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32949" w14:textId="77777777" w:rsidR="000D236A" w:rsidRPr="000D236A" w:rsidRDefault="000D236A" w:rsidP="000D236A">
      <w:pPr>
        <w:jc w:val="center"/>
        <w:rPr>
          <w:rFonts w:ascii="Arial" w:hAnsi="Arial" w:cs="Arial"/>
          <w:sz w:val="36"/>
          <w:szCs w:val="36"/>
        </w:rPr>
      </w:pPr>
      <w:bookmarkStart w:id="0" w:name="_Toc223352900"/>
    </w:p>
    <w:p w14:paraId="643BDA3B" w14:textId="77777777" w:rsidR="000D236A" w:rsidRPr="000D236A" w:rsidRDefault="000D236A" w:rsidP="000D236A">
      <w:pPr>
        <w:jc w:val="center"/>
        <w:rPr>
          <w:rFonts w:ascii="Arial" w:hAnsi="Arial" w:cs="Arial"/>
          <w:sz w:val="36"/>
          <w:szCs w:val="36"/>
        </w:rPr>
      </w:pPr>
    </w:p>
    <w:p w14:paraId="65DFFADC" w14:textId="5BF2A316" w:rsidR="000D236A" w:rsidRPr="000D236A" w:rsidRDefault="000D236A" w:rsidP="000D236A">
      <w:pPr>
        <w:jc w:val="center"/>
        <w:rPr>
          <w:rFonts w:ascii="Arial" w:hAnsi="Arial" w:cs="Arial"/>
          <w:sz w:val="36"/>
          <w:szCs w:val="36"/>
        </w:rPr>
      </w:pPr>
      <w:r w:rsidRPr="000D236A">
        <w:rPr>
          <w:rFonts w:ascii="Arial" w:hAnsi="Arial" w:cs="Arial"/>
          <w:sz w:val="36"/>
          <w:szCs w:val="36"/>
        </w:rPr>
        <w:t>Student Name: Raduta Adriana Plesca</w:t>
      </w:r>
    </w:p>
    <w:p w14:paraId="4707E18D" w14:textId="7F6858B8" w:rsidR="000D236A" w:rsidRPr="000D236A" w:rsidRDefault="000D236A" w:rsidP="000D236A">
      <w:pPr>
        <w:jc w:val="center"/>
        <w:rPr>
          <w:rFonts w:ascii="Arial" w:hAnsi="Arial" w:cs="Arial"/>
          <w:sz w:val="36"/>
          <w:szCs w:val="36"/>
        </w:rPr>
      </w:pPr>
      <w:r w:rsidRPr="000D236A">
        <w:rPr>
          <w:rFonts w:ascii="Arial" w:hAnsi="Arial" w:cs="Arial"/>
          <w:sz w:val="36"/>
          <w:szCs w:val="36"/>
        </w:rPr>
        <w:t>Student Number:</w:t>
      </w:r>
    </w:p>
    <w:p w14:paraId="05D6A422" w14:textId="58ED1BB6" w:rsidR="000D236A" w:rsidRPr="000D236A" w:rsidRDefault="000D236A" w:rsidP="000D236A">
      <w:pPr>
        <w:jc w:val="center"/>
        <w:rPr>
          <w:rFonts w:ascii="Arial" w:hAnsi="Arial" w:cs="Arial"/>
          <w:sz w:val="36"/>
          <w:szCs w:val="36"/>
        </w:rPr>
      </w:pPr>
      <w:r w:rsidRPr="000D236A">
        <w:rPr>
          <w:rFonts w:ascii="Arial" w:hAnsi="Arial" w:cs="Arial"/>
          <w:sz w:val="36"/>
          <w:szCs w:val="36"/>
        </w:rPr>
        <w:t>Module Code: LCLM5002</w:t>
      </w:r>
    </w:p>
    <w:p w14:paraId="74CD6A4A" w14:textId="6120904A" w:rsidR="000D236A" w:rsidRPr="000D236A" w:rsidRDefault="000D236A" w:rsidP="000D236A">
      <w:pPr>
        <w:jc w:val="center"/>
        <w:rPr>
          <w:rFonts w:ascii="Arial" w:hAnsi="Arial" w:cs="Arial"/>
          <w:sz w:val="36"/>
          <w:szCs w:val="36"/>
        </w:rPr>
      </w:pPr>
      <w:r w:rsidRPr="000D236A">
        <w:rPr>
          <w:rFonts w:ascii="Arial" w:hAnsi="Arial" w:cs="Arial"/>
          <w:sz w:val="36"/>
          <w:szCs w:val="36"/>
        </w:rPr>
        <w:t>Module Name: Developing and Manging Individuals and Teams</w:t>
      </w:r>
    </w:p>
    <w:p w14:paraId="74C129DC" w14:textId="3163D123" w:rsidR="000D236A" w:rsidRPr="000D236A" w:rsidRDefault="000D236A" w:rsidP="000D236A">
      <w:pPr>
        <w:jc w:val="center"/>
        <w:rPr>
          <w:rFonts w:ascii="Arial" w:hAnsi="Arial" w:cs="Arial"/>
          <w:sz w:val="36"/>
          <w:szCs w:val="36"/>
        </w:rPr>
      </w:pPr>
      <w:r w:rsidRPr="000D236A">
        <w:rPr>
          <w:rFonts w:ascii="Arial" w:hAnsi="Arial" w:cs="Arial"/>
          <w:sz w:val="36"/>
          <w:szCs w:val="36"/>
        </w:rPr>
        <w:t>Lecturer Name: Doreen Nyaa Amundam</w:t>
      </w:r>
    </w:p>
    <w:p w14:paraId="2A1F1506" w14:textId="77777777" w:rsidR="000D236A" w:rsidRPr="000D236A" w:rsidRDefault="000D236A" w:rsidP="000D236A">
      <w:pPr>
        <w:jc w:val="center"/>
        <w:rPr>
          <w:rFonts w:ascii="Arial" w:hAnsi="Arial" w:cs="Arial"/>
          <w:sz w:val="36"/>
          <w:szCs w:val="36"/>
        </w:rPr>
      </w:pPr>
    </w:p>
    <w:p w14:paraId="29A88C29" w14:textId="77777777" w:rsidR="000D236A" w:rsidRDefault="000D236A" w:rsidP="000D236A"/>
    <w:p w14:paraId="5BC5AC59" w14:textId="77777777" w:rsidR="000D236A" w:rsidRDefault="000D236A" w:rsidP="000D236A"/>
    <w:p w14:paraId="28CA26F4" w14:textId="77777777" w:rsidR="000D236A" w:rsidRDefault="000D236A" w:rsidP="000D236A"/>
    <w:p w14:paraId="6B30D66E" w14:textId="77777777" w:rsidR="000D236A" w:rsidRDefault="000D236A" w:rsidP="000D236A"/>
    <w:p w14:paraId="33F7CC7E" w14:textId="77777777" w:rsidR="000D236A" w:rsidRDefault="000D236A" w:rsidP="000D236A"/>
    <w:p w14:paraId="5DA8AD98" w14:textId="77777777" w:rsidR="000D236A" w:rsidRDefault="000D236A" w:rsidP="000D236A"/>
    <w:p w14:paraId="69DACBE6" w14:textId="77777777" w:rsidR="000D236A" w:rsidRDefault="000D236A" w:rsidP="000D236A"/>
    <w:p w14:paraId="1BAA1C7A" w14:textId="77777777" w:rsidR="000D236A" w:rsidRDefault="000D236A" w:rsidP="000D236A"/>
    <w:p w14:paraId="446B91F1" w14:textId="77777777" w:rsidR="000D236A" w:rsidRDefault="000D236A" w:rsidP="000D236A"/>
    <w:p w14:paraId="12423FCE" w14:textId="77777777" w:rsidR="000D236A" w:rsidRDefault="000D236A" w:rsidP="000D236A"/>
    <w:p w14:paraId="3210C4DF" w14:textId="77777777" w:rsidR="000D236A" w:rsidRDefault="000D236A" w:rsidP="000D236A"/>
    <w:p w14:paraId="44BE5732" w14:textId="77777777" w:rsidR="000D236A" w:rsidRDefault="000D236A" w:rsidP="000D236A"/>
    <w:p w14:paraId="5EBB4435" w14:textId="77777777" w:rsidR="000D236A" w:rsidRDefault="000D236A" w:rsidP="000D236A"/>
    <w:p w14:paraId="67A03A82" w14:textId="77777777" w:rsidR="000D236A" w:rsidRDefault="000D236A" w:rsidP="000D236A"/>
    <w:p w14:paraId="31CC34AD" w14:textId="77777777" w:rsidR="000D236A" w:rsidRDefault="000D236A" w:rsidP="000D236A"/>
    <w:p w14:paraId="5CED6690" w14:textId="77777777" w:rsidR="000D236A" w:rsidRDefault="000D236A" w:rsidP="000D236A"/>
    <w:p w14:paraId="38878338" w14:textId="77777777" w:rsidR="000D236A" w:rsidRDefault="000D236A" w:rsidP="000D236A"/>
    <w:p w14:paraId="42505270" w14:textId="77777777" w:rsidR="000D236A" w:rsidRDefault="000D236A" w:rsidP="000D236A"/>
    <w:p w14:paraId="678DFD13" w14:textId="77777777" w:rsidR="000D236A" w:rsidRDefault="000D236A" w:rsidP="000D236A"/>
    <w:sdt>
      <w:sdtPr>
        <w:rPr>
          <w:rFonts w:asciiTheme="minorHAnsi" w:eastAsiaTheme="minorHAnsi" w:hAnsiTheme="minorHAnsi" w:cstheme="minorBidi"/>
          <w:color w:val="auto"/>
          <w:kern w:val="2"/>
          <w:sz w:val="24"/>
          <w:szCs w:val="24"/>
          <w:lang w:val="en-GB"/>
          <w14:ligatures w14:val="standardContextual"/>
        </w:rPr>
        <w:id w:val="-484007223"/>
        <w:docPartObj>
          <w:docPartGallery w:val="Table of Contents"/>
          <w:docPartUnique/>
        </w:docPartObj>
      </w:sdtPr>
      <w:sdtEndPr>
        <w:rPr>
          <w:b/>
          <w:bCs/>
          <w:noProof/>
        </w:rPr>
      </w:sdtEndPr>
      <w:sdtContent>
        <w:p w14:paraId="1ADBB045" w14:textId="26FDCC50" w:rsidR="000D236A" w:rsidRDefault="000D236A">
          <w:pPr>
            <w:pStyle w:val="TOCHeading"/>
          </w:pPr>
          <w:r>
            <w:t>Contents</w:t>
          </w:r>
        </w:p>
        <w:p w14:paraId="34966591" w14:textId="79179F08" w:rsidR="00484840" w:rsidRDefault="000D236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4568818" w:history="1">
            <w:r w:rsidR="00484840" w:rsidRPr="00BD0BBC">
              <w:rPr>
                <w:rStyle w:val="Hyperlink"/>
                <w:noProof/>
              </w:rPr>
              <w:t>Introduction</w:t>
            </w:r>
            <w:r w:rsidR="00484840">
              <w:rPr>
                <w:noProof/>
                <w:webHidden/>
              </w:rPr>
              <w:tab/>
            </w:r>
            <w:r w:rsidR="00484840">
              <w:rPr>
                <w:noProof/>
                <w:webHidden/>
              </w:rPr>
              <w:fldChar w:fldCharType="begin"/>
            </w:r>
            <w:r w:rsidR="00484840">
              <w:rPr>
                <w:noProof/>
                <w:webHidden/>
              </w:rPr>
              <w:instrText xml:space="preserve"> PAGEREF _Toc224568818 \h </w:instrText>
            </w:r>
            <w:r w:rsidR="00484840">
              <w:rPr>
                <w:noProof/>
                <w:webHidden/>
              </w:rPr>
            </w:r>
            <w:r w:rsidR="00484840">
              <w:rPr>
                <w:noProof/>
                <w:webHidden/>
              </w:rPr>
              <w:fldChar w:fldCharType="separate"/>
            </w:r>
            <w:r w:rsidR="00484840">
              <w:rPr>
                <w:noProof/>
                <w:webHidden/>
              </w:rPr>
              <w:t>3</w:t>
            </w:r>
            <w:r w:rsidR="00484840">
              <w:rPr>
                <w:noProof/>
                <w:webHidden/>
              </w:rPr>
              <w:fldChar w:fldCharType="end"/>
            </w:r>
          </w:hyperlink>
        </w:p>
        <w:p w14:paraId="08C33D6D" w14:textId="30F0D3F4" w:rsidR="00484840" w:rsidRDefault="00484840">
          <w:pPr>
            <w:pStyle w:val="TOC1"/>
            <w:tabs>
              <w:tab w:val="right" w:leader="dot" w:pos="9016"/>
            </w:tabs>
            <w:rPr>
              <w:rFonts w:eastAsiaTheme="minorEastAsia"/>
              <w:noProof/>
              <w:lang w:eastAsia="en-GB"/>
            </w:rPr>
          </w:pPr>
          <w:hyperlink w:anchor="_Toc224568819" w:history="1">
            <w:r w:rsidRPr="00BD0BBC">
              <w:rPr>
                <w:rStyle w:val="Hyperlink"/>
                <w:noProof/>
              </w:rPr>
              <w:t>Explanation of Specific HR Factors Affecting Tesco</w:t>
            </w:r>
            <w:r>
              <w:rPr>
                <w:noProof/>
                <w:webHidden/>
              </w:rPr>
              <w:tab/>
            </w:r>
            <w:r>
              <w:rPr>
                <w:noProof/>
                <w:webHidden/>
              </w:rPr>
              <w:fldChar w:fldCharType="begin"/>
            </w:r>
            <w:r>
              <w:rPr>
                <w:noProof/>
                <w:webHidden/>
              </w:rPr>
              <w:instrText xml:space="preserve"> PAGEREF _Toc224568819 \h </w:instrText>
            </w:r>
            <w:r>
              <w:rPr>
                <w:noProof/>
                <w:webHidden/>
              </w:rPr>
            </w:r>
            <w:r>
              <w:rPr>
                <w:noProof/>
                <w:webHidden/>
              </w:rPr>
              <w:fldChar w:fldCharType="separate"/>
            </w:r>
            <w:r>
              <w:rPr>
                <w:noProof/>
                <w:webHidden/>
              </w:rPr>
              <w:t>4</w:t>
            </w:r>
            <w:r>
              <w:rPr>
                <w:noProof/>
                <w:webHidden/>
              </w:rPr>
              <w:fldChar w:fldCharType="end"/>
            </w:r>
          </w:hyperlink>
        </w:p>
        <w:p w14:paraId="45183898" w14:textId="753029EF" w:rsidR="00484840" w:rsidRDefault="00484840">
          <w:pPr>
            <w:pStyle w:val="TOC1"/>
            <w:tabs>
              <w:tab w:val="right" w:leader="dot" w:pos="9016"/>
            </w:tabs>
            <w:rPr>
              <w:rFonts w:eastAsiaTheme="minorEastAsia"/>
              <w:noProof/>
              <w:lang w:eastAsia="en-GB"/>
            </w:rPr>
          </w:pPr>
          <w:hyperlink w:anchor="_Toc224568820" w:history="1">
            <w:r w:rsidRPr="00BD0BBC">
              <w:rPr>
                <w:rStyle w:val="Hyperlink"/>
                <w:noProof/>
              </w:rPr>
              <w:t>Evaluation of Contemporary HR Practices Address Identified Factors</w:t>
            </w:r>
            <w:r>
              <w:rPr>
                <w:noProof/>
                <w:webHidden/>
              </w:rPr>
              <w:tab/>
            </w:r>
            <w:r>
              <w:rPr>
                <w:noProof/>
                <w:webHidden/>
              </w:rPr>
              <w:fldChar w:fldCharType="begin"/>
            </w:r>
            <w:r>
              <w:rPr>
                <w:noProof/>
                <w:webHidden/>
              </w:rPr>
              <w:instrText xml:space="preserve"> PAGEREF _Toc224568820 \h </w:instrText>
            </w:r>
            <w:r>
              <w:rPr>
                <w:noProof/>
                <w:webHidden/>
              </w:rPr>
            </w:r>
            <w:r>
              <w:rPr>
                <w:noProof/>
                <w:webHidden/>
              </w:rPr>
              <w:fldChar w:fldCharType="separate"/>
            </w:r>
            <w:r>
              <w:rPr>
                <w:noProof/>
                <w:webHidden/>
              </w:rPr>
              <w:t>6</w:t>
            </w:r>
            <w:r>
              <w:rPr>
                <w:noProof/>
                <w:webHidden/>
              </w:rPr>
              <w:fldChar w:fldCharType="end"/>
            </w:r>
          </w:hyperlink>
        </w:p>
        <w:p w14:paraId="4D3FE953" w14:textId="61556E30" w:rsidR="00484840" w:rsidRDefault="00484840">
          <w:pPr>
            <w:pStyle w:val="TOC1"/>
            <w:tabs>
              <w:tab w:val="right" w:leader="dot" w:pos="9016"/>
            </w:tabs>
            <w:rPr>
              <w:rFonts w:eastAsiaTheme="minorEastAsia"/>
              <w:noProof/>
              <w:lang w:eastAsia="en-GB"/>
            </w:rPr>
          </w:pPr>
          <w:hyperlink w:anchor="_Toc224568821" w:history="1">
            <w:r w:rsidRPr="00BD0BBC">
              <w:rPr>
                <w:rStyle w:val="Hyperlink"/>
                <w:noProof/>
              </w:rPr>
              <w:t>Critical Evaluation of the Role of Departmental Managers</w:t>
            </w:r>
            <w:r>
              <w:rPr>
                <w:noProof/>
                <w:webHidden/>
              </w:rPr>
              <w:tab/>
            </w:r>
            <w:r>
              <w:rPr>
                <w:noProof/>
                <w:webHidden/>
              </w:rPr>
              <w:fldChar w:fldCharType="begin"/>
            </w:r>
            <w:r>
              <w:rPr>
                <w:noProof/>
                <w:webHidden/>
              </w:rPr>
              <w:instrText xml:space="preserve"> PAGEREF _Toc224568821 \h </w:instrText>
            </w:r>
            <w:r>
              <w:rPr>
                <w:noProof/>
                <w:webHidden/>
              </w:rPr>
            </w:r>
            <w:r>
              <w:rPr>
                <w:noProof/>
                <w:webHidden/>
              </w:rPr>
              <w:fldChar w:fldCharType="separate"/>
            </w:r>
            <w:r>
              <w:rPr>
                <w:noProof/>
                <w:webHidden/>
              </w:rPr>
              <w:t>8</w:t>
            </w:r>
            <w:r>
              <w:rPr>
                <w:noProof/>
                <w:webHidden/>
              </w:rPr>
              <w:fldChar w:fldCharType="end"/>
            </w:r>
          </w:hyperlink>
        </w:p>
        <w:p w14:paraId="27E6E148" w14:textId="0094B58E" w:rsidR="00484840" w:rsidRDefault="00484840">
          <w:pPr>
            <w:pStyle w:val="TOC1"/>
            <w:tabs>
              <w:tab w:val="right" w:leader="dot" w:pos="9016"/>
            </w:tabs>
            <w:rPr>
              <w:rFonts w:eastAsiaTheme="minorEastAsia"/>
              <w:noProof/>
              <w:lang w:eastAsia="en-GB"/>
            </w:rPr>
          </w:pPr>
          <w:hyperlink w:anchor="_Toc224568822" w:history="1">
            <w:r w:rsidRPr="00BD0BBC">
              <w:rPr>
                <w:rStyle w:val="Hyperlink"/>
                <w:noProof/>
              </w:rPr>
              <w:t>Recommendations</w:t>
            </w:r>
            <w:r>
              <w:rPr>
                <w:noProof/>
                <w:webHidden/>
              </w:rPr>
              <w:tab/>
            </w:r>
            <w:r>
              <w:rPr>
                <w:noProof/>
                <w:webHidden/>
              </w:rPr>
              <w:fldChar w:fldCharType="begin"/>
            </w:r>
            <w:r>
              <w:rPr>
                <w:noProof/>
                <w:webHidden/>
              </w:rPr>
              <w:instrText xml:space="preserve"> PAGEREF _Toc224568822 \h </w:instrText>
            </w:r>
            <w:r>
              <w:rPr>
                <w:noProof/>
                <w:webHidden/>
              </w:rPr>
            </w:r>
            <w:r>
              <w:rPr>
                <w:noProof/>
                <w:webHidden/>
              </w:rPr>
              <w:fldChar w:fldCharType="separate"/>
            </w:r>
            <w:r>
              <w:rPr>
                <w:noProof/>
                <w:webHidden/>
              </w:rPr>
              <w:t>9</w:t>
            </w:r>
            <w:r>
              <w:rPr>
                <w:noProof/>
                <w:webHidden/>
              </w:rPr>
              <w:fldChar w:fldCharType="end"/>
            </w:r>
          </w:hyperlink>
        </w:p>
        <w:p w14:paraId="5F5D4F9C" w14:textId="4D4E497E" w:rsidR="00484840" w:rsidRDefault="00484840">
          <w:pPr>
            <w:pStyle w:val="TOC1"/>
            <w:tabs>
              <w:tab w:val="right" w:leader="dot" w:pos="9016"/>
            </w:tabs>
            <w:rPr>
              <w:rFonts w:eastAsiaTheme="minorEastAsia"/>
              <w:noProof/>
              <w:lang w:eastAsia="en-GB"/>
            </w:rPr>
          </w:pPr>
          <w:hyperlink w:anchor="_Toc224568823" w:history="1">
            <w:r w:rsidRPr="00BD0BBC">
              <w:rPr>
                <w:rStyle w:val="Hyperlink"/>
                <w:noProof/>
              </w:rPr>
              <w:t>Conclusion</w:t>
            </w:r>
            <w:r>
              <w:rPr>
                <w:noProof/>
                <w:webHidden/>
              </w:rPr>
              <w:tab/>
            </w:r>
            <w:r>
              <w:rPr>
                <w:noProof/>
                <w:webHidden/>
              </w:rPr>
              <w:fldChar w:fldCharType="begin"/>
            </w:r>
            <w:r>
              <w:rPr>
                <w:noProof/>
                <w:webHidden/>
              </w:rPr>
              <w:instrText xml:space="preserve"> PAGEREF _Toc224568823 \h </w:instrText>
            </w:r>
            <w:r>
              <w:rPr>
                <w:noProof/>
                <w:webHidden/>
              </w:rPr>
            </w:r>
            <w:r>
              <w:rPr>
                <w:noProof/>
                <w:webHidden/>
              </w:rPr>
              <w:fldChar w:fldCharType="separate"/>
            </w:r>
            <w:r>
              <w:rPr>
                <w:noProof/>
                <w:webHidden/>
              </w:rPr>
              <w:t>9</w:t>
            </w:r>
            <w:r>
              <w:rPr>
                <w:noProof/>
                <w:webHidden/>
              </w:rPr>
              <w:fldChar w:fldCharType="end"/>
            </w:r>
          </w:hyperlink>
        </w:p>
        <w:p w14:paraId="19C40651" w14:textId="1F092CE2" w:rsidR="00484840" w:rsidRDefault="00484840">
          <w:pPr>
            <w:pStyle w:val="TOC1"/>
            <w:tabs>
              <w:tab w:val="right" w:leader="dot" w:pos="9016"/>
            </w:tabs>
            <w:rPr>
              <w:rFonts w:eastAsiaTheme="minorEastAsia"/>
              <w:noProof/>
              <w:lang w:eastAsia="en-GB"/>
            </w:rPr>
          </w:pPr>
          <w:hyperlink w:anchor="_Toc224568824" w:history="1">
            <w:r w:rsidRPr="00BD0BBC">
              <w:rPr>
                <w:rStyle w:val="Hyperlink"/>
                <w:noProof/>
              </w:rPr>
              <w:t>References</w:t>
            </w:r>
            <w:r>
              <w:rPr>
                <w:noProof/>
                <w:webHidden/>
              </w:rPr>
              <w:tab/>
            </w:r>
            <w:r>
              <w:rPr>
                <w:noProof/>
                <w:webHidden/>
              </w:rPr>
              <w:fldChar w:fldCharType="begin"/>
            </w:r>
            <w:r>
              <w:rPr>
                <w:noProof/>
                <w:webHidden/>
              </w:rPr>
              <w:instrText xml:space="preserve"> PAGEREF _Toc224568824 \h </w:instrText>
            </w:r>
            <w:r>
              <w:rPr>
                <w:noProof/>
                <w:webHidden/>
              </w:rPr>
            </w:r>
            <w:r>
              <w:rPr>
                <w:noProof/>
                <w:webHidden/>
              </w:rPr>
              <w:fldChar w:fldCharType="separate"/>
            </w:r>
            <w:r>
              <w:rPr>
                <w:noProof/>
                <w:webHidden/>
              </w:rPr>
              <w:t>10</w:t>
            </w:r>
            <w:r>
              <w:rPr>
                <w:noProof/>
                <w:webHidden/>
              </w:rPr>
              <w:fldChar w:fldCharType="end"/>
            </w:r>
          </w:hyperlink>
        </w:p>
        <w:p w14:paraId="10330175" w14:textId="608D4709" w:rsidR="00484840" w:rsidRDefault="00484840">
          <w:pPr>
            <w:pStyle w:val="TOC1"/>
            <w:tabs>
              <w:tab w:val="right" w:leader="dot" w:pos="9016"/>
            </w:tabs>
            <w:rPr>
              <w:rFonts w:eastAsiaTheme="minorEastAsia"/>
              <w:noProof/>
              <w:lang w:eastAsia="en-GB"/>
            </w:rPr>
          </w:pPr>
          <w:hyperlink w:anchor="_Toc224568825" w:history="1">
            <w:r w:rsidRPr="00BD0BBC">
              <w:rPr>
                <w:rStyle w:val="Hyperlink"/>
                <w:noProof/>
              </w:rPr>
              <w:t>Appendix</w:t>
            </w:r>
            <w:r>
              <w:rPr>
                <w:noProof/>
                <w:webHidden/>
              </w:rPr>
              <w:tab/>
            </w:r>
            <w:r>
              <w:rPr>
                <w:noProof/>
                <w:webHidden/>
              </w:rPr>
              <w:fldChar w:fldCharType="begin"/>
            </w:r>
            <w:r>
              <w:rPr>
                <w:noProof/>
                <w:webHidden/>
              </w:rPr>
              <w:instrText xml:space="preserve"> PAGEREF _Toc224568825 \h </w:instrText>
            </w:r>
            <w:r>
              <w:rPr>
                <w:noProof/>
                <w:webHidden/>
              </w:rPr>
            </w:r>
            <w:r>
              <w:rPr>
                <w:noProof/>
                <w:webHidden/>
              </w:rPr>
              <w:fldChar w:fldCharType="separate"/>
            </w:r>
            <w:r>
              <w:rPr>
                <w:noProof/>
                <w:webHidden/>
              </w:rPr>
              <w:t>11</w:t>
            </w:r>
            <w:r>
              <w:rPr>
                <w:noProof/>
                <w:webHidden/>
              </w:rPr>
              <w:fldChar w:fldCharType="end"/>
            </w:r>
          </w:hyperlink>
        </w:p>
        <w:p w14:paraId="7905F5E5" w14:textId="0FCBA98B" w:rsidR="000D236A" w:rsidRDefault="000D236A">
          <w:r>
            <w:rPr>
              <w:b/>
              <w:bCs/>
              <w:noProof/>
            </w:rPr>
            <w:fldChar w:fldCharType="end"/>
          </w:r>
        </w:p>
      </w:sdtContent>
    </w:sdt>
    <w:p w14:paraId="2B65047D" w14:textId="77777777" w:rsidR="000D236A" w:rsidRDefault="000D236A" w:rsidP="000D236A"/>
    <w:p w14:paraId="44541791" w14:textId="77777777" w:rsidR="000D236A" w:rsidRDefault="000D236A" w:rsidP="000D236A"/>
    <w:p w14:paraId="7A3C888E" w14:textId="77777777" w:rsidR="000D236A" w:rsidRDefault="000D236A" w:rsidP="000D236A"/>
    <w:p w14:paraId="30315D75" w14:textId="77777777" w:rsidR="000D236A" w:rsidRDefault="000D236A" w:rsidP="000D236A"/>
    <w:p w14:paraId="210F782E" w14:textId="77777777" w:rsidR="000D236A" w:rsidRDefault="000D236A" w:rsidP="000D236A"/>
    <w:p w14:paraId="4598CF6A" w14:textId="77777777" w:rsidR="000D236A" w:rsidRDefault="000D236A" w:rsidP="000D236A"/>
    <w:p w14:paraId="1CA72A15" w14:textId="77777777" w:rsidR="000D236A" w:rsidRDefault="000D236A" w:rsidP="000D236A"/>
    <w:p w14:paraId="2111A68A" w14:textId="77777777" w:rsidR="000D236A" w:rsidRDefault="000D236A" w:rsidP="000D236A"/>
    <w:p w14:paraId="474F7496" w14:textId="77777777" w:rsidR="000D236A" w:rsidRDefault="000D236A" w:rsidP="000D236A"/>
    <w:p w14:paraId="6A3EA616" w14:textId="77777777" w:rsidR="000D236A" w:rsidRDefault="000D236A" w:rsidP="000D236A"/>
    <w:p w14:paraId="612BA027" w14:textId="77777777" w:rsidR="000D236A" w:rsidRDefault="000D236A" w:rsidP="000D236A"/>
    <w:p w14:paraId="1B0B6CAE" w14:textId="77777777" w:rsidR="000D236A" w:rsidRDefault="000D236A" w:rsidP="000D236A"/>
    <w:p w14:paraId="79A81C58" w14:textId="77777777" w:rsidR="000D236A" w:rsidRDefault="000D236A" w:rsidP="000D236A"/>
    <w:p w14:paraId="5E2CC10A" w14:textId="77777777" w:rsidR="000D236A" w:rsidRDefault="000D236A" w:rsidP="000D236A"/>
    <w:p w14:paraId="0B11F2CC" w14:textId="77777777" w:rsidR="000D236A" w:rsidRDefault="000D236A" w:rsidP="000D236A"/>
    <w:p w14:paraId="649B2202" w14:textId="77777777" w:rsidR="000D236A" w:rsidRDefault="000D236A" w:rsidP="000D236A"/>
    <w:p w14:paraId="0A6F487F" w14:textId="77777777" w:rsidR="000D236A" w:rsidRDefault="000D236A" w:rsidP="000D236A"/>
    <w:p w14:paraId="3B2044CA" w14:textId="77777777" w:rsidR="000D236A" w:rsidRDefault="000D236A" w:rsidP="000D236A"/>
    <w:p w14:paraId="7CE078A1" w14:textId="5FFBBFF7" w:rsidR="000D236A" w:rsidRPr="004B53F6" w:rsidRDefault="000D236A" w:rsidP="004B53F6">
      <w:pPr>
        <w:pStyle w:val="Heading1"/>
      </w:pPr>
      <w:bookmarkStart w:id="1" w:name="_Toc224568818"/>
      <w:r w:rsidRPr="004B53F6">
        <w:t>Introduction</w:t>
      </w:r>
      <w:bookmarkEnd w:id="0"/>
      <w:bookmarkEnd w:id="1"/>
      <w:r w:rsidRPr="004B53F6">
        <w:t xml:space="preserve"> </w:t>
      </w:r>
    </w:p>
    <w:p w14:paraId="4A80C62D" w14:textId="77777777" w:rsidR="000D236A" w:rsidRPr="00484840" w:rsidRDefault="000D236A" w:rsidP="00484840">
      <w:pPr>
        <w:spacing w:line="360" w:lineRule="auto"/>
        <w:rPr>
          <w:rFonts w:ascii="Arial" w:hAnsi="Arial" w:cs="Arial"/>
          <w:sz w:val="22"/>
          <w:szCs w:val="22"/>
        </w:rPr>
      </w:pPr>
      <w:r w:rsidRPr="00484840">
        <w:rPr>
          <w:rFonts w:ascii="Arial" w:hAnsi="Arial" w:cs="Arial"/>
          <w:sz w:val="22"/>
          <w:szCs w:val="22"/>
        </w:rPr>
        <w:t>Human Resources Management (HRM) Is essential for organisations to achieve their operational and strategic objectives in a competitive and dynamic business landscape. In the United Kingdom large organisation encounter increasing demand to adapt to swift technological advancement, recruit and retain proficient personnel, and establish varied, egalitarian, and inclusive work environments. These challenges are especially pronounced in the retail sector, where organisations depend significantly on a substantial and varied workforce to provide constant customer service while ensuring efficiency and profitability. Tesco plc, one of the UK’s largest retailers, provides an appropriate case study for examining contemporary HR challenges and responses.</w:t>
      </w:r>
    </w:p>
    <w:p w14:paraId="493F98C5" w14:textId="77777777" w:rsidR="000D236A" w:rsidRPr="00484840" w:rsidRDefault="000D236A" w:rsidP="00484840">
      <w:pPr>
        <w:spacing w:line="360" w:lineRule="auto"/>
        <w:rPr>
          <w:rFonts w:ascii="Arial" w:hAnsi="Arial" w:cs="Arial"/>
          <w:sz w:val="22"/>
          <w:szCs w:val="22"/>
        </w:rPr>
      </w:pPr>
      <w:r w:rsidRPr="00484840">
        <w:rPr>
          <w:rFonts w:ascii="Arial" w:hAnsi="Arial" w:cs="Arial"/>
          <w:sz w:val="22"/>
          <w:szCs w:val="22"/>
        </w:rPr>
        <w:t xml:space="preserve">Tesco employs hundreds of thousands of personnel across its retail locations, distributions centres, and corporate headquarters. As a labour-intensive organisation, Tesco’s performance is predominantly contingent upon the efficacy of its human resource management. In recent years, the corporation has invested in digital technology, enhanced its online operations, and publicly pledged to advance diversity and inclusion. Now withstanding these initiatives, Tesco persists in encountering obstacles, including skill deficiencies resulting from technological advancements, elevated staff turnover in frontline positions, and the necessity to uphold equity and inclusion within a markedly varied workforce. </w:t>
      </w:r>
    </w:p>
    <w:p w14:paraId="27D4910A" w14:textId="77777777" w:rsidR="000D236A" w:rsidRPr="00484840" w:rsidRDefault="000D236A" w:rsidP="00484840">
      <w:pPr>
        <w:spacing w:line="360" w:lineRule="auto"/>
        <w:rPr>
          <w:rFonts w:ascii="Arial" w:hAnsi="Arial" w:cs="Arial"/>
          <w:sz w:val="22"/>
          <w:szCs w:val="22"/>
        </w:rPr>
      </w:pPr>
      <w:r w:rsidRPr="00484840">
        <w:rPr>
          <w:rFonts w:ascii="Arial" w:hAnsi="Arial" w:cs="Arial"/>
          <w:sz w:val="22"/>
          <w:szCs w:val="22"/>
        </w:rPr>
        <w:t>This report aims to critically analyse the primary HR challenges encountered by Tesco and assess the efficacy of modern HR approaches in addressing these issues. The report is organised into three primary sections. The initial section delineates the elements influencing HR concerning technological progress, talent acquisition and retention, and diversity, equality and inclusion (DEI). The second segment assess contemporary HR methods that can address these difficulties. The concluding section evaluates the function of departmental managers in guaranteeing the prompt and efficient execution of these practices. The research concludes with recommendations designed to enhance HR efficacy and organisational success at Tesco.</w:t>
      </w:r>
    </w:p>
    <w:p w14:paraId="20CCED73" w14:textId="77777777" w:rsidR="000D236A" w:rsidRPr="00325E23" w:rsidRDefault="000D236A" w:rsidP="000D236A">
      <w:pPr>
        <w:rPr>
          <w:sz w:val="22"/>
          <w:szCs w:val="22"/>
        </w:rPr>
      </w:pPr>
    </w:p>
    <w:p w14:paraId="77965B7F" w14:textId="77777777" w:rsidR="00484840" w:rsidRDefault="00484840" w:rsidP="004B53F6">
      <w:pPr>
        <w:pStyle w:val="Heading1"/>
      </w:pPr>
      <w:bookmarkStart w:id="2" w:name="_Toc223352901"/>
    </w:p>
    <w:p w14:paraId="5B674050" w14:textId="5938EAD9" w:rsidR="000D236A" w:rsidRPr="004B53F6" w:rsidRDefault="000D236A" w:rsidP="004B53F6">
      <w:pPr>
        <w:pStyle w:val="Heading1"/>
      </w:pPr>
      <w:bookmarkStart w:id="3" w:name="_Toc224568819"/>
      <w:r w:rsidRPr="004B53F6">
        <w:t>Explanation of Specific HR Factors Affecting Tesco</w:t>
      </w:r>
      <w:bookmarkEnd w:id="2"/>
      <w:bookmarkEnd w:id="3"/>
      <w:r w:rsidRPr="004B53F6">
        <w:t xml:space="preserve"> </w:t>
      </w:r>
    </w:p>
    <w:p w14:paraId="6404EE29" w14:textId="0A587AD1" w:rsidR="000D236A" w:rsidRPr="00484840" w:rsidRDefault="004B53F6" w:rsidP="00484840">
      <w:pPr>
        <w:spacing w:line="360" w:lineRule="auto"/>
        <w:rPr>
          <w:rFonts w:ascii="Arial" w:hAnsi="Arial" w:cs="Arial"/>
          <w:sz w:val="22"/>
          <w:szCs w:val="22"/>
        </w:rPr>
      </w:pPr>
      <w:r w:rsidRPr="00484840">
        <w:rPr>
          <w:rFonts w:ascii="Arial" w:hAnsi="Arial" w:cs="Arial"/>
          <w:b/>
          <w:bCs/>
          <w:sz w:val="22"/>
          <w:szCs w:val="22"/>
        </w:rPr>
        <w:t>1.</w:t>
      </w:r>
      <w:r w:rsidR="000D236A" w:rsidRPr="00484840">
        <w:rPr>
          <w:rFonts w:ascii="Arial" w:hAnsi="Arial" w:cs="Arial"/>
          <w:b/>
          <w:bCs/>
          <w:sz w:val="22"/>
          <w:szCs w:val="22"/>
        </w:rPr>
        <w:t>Meeting Technological Advancement</w:t>
      </w:r>
      <w:r w:rsidR="000D236A" w:rsidRPr="00484840">
        <w:rPr>
          <w:rFonts w:ascii="Arial" w:hAnsi="Arial" w:cs="Arial"/>
          <w:sz w:val="22"/>
          <w:szCs w:val="22"/>
        </w:rPr>
        <w:t> </w:t>
      </w:r>
    </w:p>
    <w:p w14:paraId="2C3196AD" w14:textId="1FB702ED" w:rsidR="000D236A" w:rsidRPr="00484840" w:rsidRDefault="000D236A" w:rsidP="00484840">
      <w:pPr>
        <w:spacing w:line="360" w:lineRule="auto"/>
        <w:rPr>
          <w:rFonts w:ascii="Arial" w:hAnsi="Arial" w:cs="Arial"/>
          <w:sz w:val="22"/>
          <w:szCs w:val="22"/>
        </w:rPr>
      </w:pPr>
      <w:r w:rsidRPr="00484840">
        <w:rPr>
          <w:rFonts w:ascii="Arial" w:hAnsi="Arial" w:cs="Arial"/>
          <w:sz w:val="22"/>
          <w:szCs w:val="22"/>
        </w:rPr>
        <w:t>Technology has developed operations, consumer interactions, and personnel management in the retail sector. Tesco has implemented a range of technologies, such as self-service checkouts, online grocery platforms, automated warehouses, workforce management systems, and data analytics tools. According to Tesco, (2023) they also introduced new scan-free technology on self-service tills at GetGo store. Technological advancement strategic HR challenges relating to workforce capability, job redesign and organisational change, requiring effective HR planning and consideration to ensure successful implementation</w:t>
      </w:r>
      <w:r w:rsidR="00484840">
        <w:rPr>
          <w:rFonts w:ascii="Arial" w:hAnsi="Arial" w:cs="Arial"/>
          <w:sz w:val="22"/>
          <w:szCs w:val="22"/>
        </w:rPr>
        <w:t>.</w:t>
      </w:r>
      <w:r w:rsidRPr="00484840">
        <w:rPr>
          <w:rFonts w:ascii="Arial" w:hAnsi="Arial" w:cs="Arial"/>
          <w:sz w:val="22"/>
          <w:szCs w:val="22"/>
        </w:rPr>
        <w:t> </w:t>
      </w:r>
    </w:p>
    <w:p w14:paraId="056E4763" w14:textId="77777777" w:rsidR="000D236A" w:rsidRPr="00325E23" w:rsidRDefault="000D236A" w:rsidP="000D236A">
      <w:pPr>
        <w:rPr>
          <w:sz w:val="22"/>
          <w:szCs w:val="22"/>
        </w:rPr>
      </w:pPr>
      <w:r w:rsidRPr="00325E23">
        <w:rPr>
          <w:sz w:val="22"/>
          <w:szCs w:val="22"/>
        </w:rPr>
        <w:t> </w:t>
      </w:r>
    </w:p>
    <w:p w14:paraId="33554F20" w14:textId="6006E71A" w:rsidR="000D236A" w:rsidRPr="00484840" w:rsidRDefault="000D236A" w:rsidP="00484840">
      <w:pPr>
        <w:spacing w:line="360" w:lineRule="auto"/>
        <w:rPr>
          <w:rFonts w:ascii="Arial" w:hAnsi="Arial" w:cs="Arial"/>
          <w:sz w:val="22"/>
          <w:szCs w:val="22"/>
        </w:rPr>
      </w:pPr>
      <w:r w:rsidRPr="00484840">
        <w:rPr>
          <w:rFonts w:ascii="Arial" w:hAnsi="Arial" w:cs="Arial"/>
          <w:sz w:val="22"/>
          <w:szCs w:val="22"/>
        </w:rPr>
        <w:t>A primary challenge is the inconsistency in digital competencies. A considerable number of frontline staff might lack skills in using the in modern technology, especially elderly workers. As Tesco implements new systems, HR must guarantee that employees receive sufficient training to use them efficiently. Also, swift technology advancements may induce anxiety in employees concerned about job displacement from automation, resulting in resistance to change and diminished morale.  </w:t>
      </w:r>
    </w:p>
    <w:p w14:paraId="3CF6F88B" w14:textId="15E1F470" w:rsidR="000D236A" w:rsidRPr="00484840" w:rsidRDefault="000D236A" w:rsidP="00484840">
      <w:pPr>
        <w:spacing w:line="360" w:lineRule="auto"/>
        <w:rPr>
          <w:rFonts w:ascii="Arial" w:hAnsi="Arial" w:cs="Arial"/>
          <w:sz w:val="22"/>
          <w:szCs w:val="22"/>
        </w:rPr>
      </w:pPr>
      <w:r w:rsidRPr="00484840">
        <w:rPr>
          <w:rFonts w:ascii="Arial" w:hAnsi="Arial" w:cs="Arial"/>
          <w:sz w:val="22"/>
          <w:szCs w:val="22"/>
        </w:rPr>
        <w:t>A further consideration is work redesign. Self-checkout systems reallocate staff duties from item scanning to customer assistance and technological problems. Human Resources must collaborate with management to redefine job roles, revise job descriptions. </w:t>
      </w:r>
    </w:p>
    <w:p w14:paraId="0D0E1333" w14:textId="309A8394" w:rsidR="000D236A" w:rsidRPr="00484840" w:rsidRDefault="000D236A" w:rsidP="00484840">
      <w:pPr>
        <w:spacing w:line="360" w:lineRule="auto"/>
        <w:rPr>
          <w:rFonts w:ascii="Arial" w:hAnsi="Arial" w:cs="Arial"/>
          <w:sz w:val="22"/>
          <w:szCs w:val="22"/>
        </w:rPr>
      </w:pPr>
      <w:r w:rsidRPr="00484840">
        <w:rPr>
          <w:rFonts w:ascii="Arial" w:hAnsi="Arial" w:cs="Arial"/>
          <w:sz w:val="22"/>
          <w:szCs w:val="22"/>
        </w:rPr>
        <w:t>Moreover, technological progress necessitates that HR adeptly oversee organisational transformation. The Haber and Carmeli, (2023), the implementation of a new technology, particularly when acquired from an external source, is a process that often entails a change in the organisational work and further may pose a threat to some employees. Implementing new systems without employee consultation or gradual integration can be heighten opposition and erode trust in management.  </w:t>
      </w:r>
    </w:p>
    <w:p w14:paraId="70034871" w14:textId="74A86795" w:rsidR="000D236A" w:rsidRPr="00484840" w:rsidRDefault="000D236A" w:rsidP="00484840">
      <w:pPr>
        <w:spacing w:line="360" w:lineRule="auto"/>
        <w:rPr>
          <w:rFonts w:ascii="Arial" w:hAnsi="Arial" w:cs="Arial"/>
          <w:sz w:val="22"/>
          <w:szCs w:val="22"/>
        </w:rPr>
      </w:pPr>
      <w:r w:rsidRPr="00484840">
        <w:rPr>
          <w:rFonts w:ascii="Arial" w:hAnsi="Arial" w:cs="Arial"/>
          <w:sz w:val="22"/>
          <w:szCs w:val="22"/>
        </w:rPr>
        <w:t>HR can monitor the effectiveness of technology adoption through employee feedback surveys, system usage metrics and performance to ensure smooth integration and proactively address challenges</w:t>
      </w:r>
      <w:r w:rsidR="00484840">
        <w:rPr>
          <w:rFonts w:ascii="Arial" w:hAnsi="Arial" w:cs="Arial"/>
          <w:sz w:val="22"/>
          <w:szCs w:val="22"/>
        </w:rPr>
        <w:t>.</w:t>
      </w:r>
    </w:p>
    <w:p w14:paraId="48FF0ABD" w14:textId="77777777" w:rsidR="000D236A" w:rsidRPr="00325E23" w:rsidRDefault="000D236A" w:rsidP="000D236A">
      <w:pPr>
        <w:rPr>
          <w:sz w:val="22"/>
          <w:szCs w:val="22"/>
        </w:rPr>
      </w:pPr>
      <w:r w:rsidRPr="00325E23">
        <w:rPr>
          <w:sz w:val="22"/>
          <w:szCs w:val="22"/>
        </w:rPr>
        <w:t> </w:t>
      </w:r>
    </w:p>
    <w:p w14:paraId="28D8B82C" w14:textId="4CB03B06" w:rsidR="000D236A" w:rsidRPr="004C1D81" w:rsidRDefault="004B53F6" w:rsidP="004C1D81">
      <w:pPr>
        <w:spacing w:line="360" w:lineRule="auto"/>
        <w:rPr>
          <w:rFonts w:ascii="Arial" w:hAnsi="Arial" w:cs="Arial"/>
          <w:sz w:val="22"/>
          <w:szCs w:val="22"/>
        </w:rPr>
      </w:pPr>
      <w:r w:rsidRPr="004C1D81">
        <w:rPr>
          <w:rFonts w:ascii="Arial" w:hAnsi="Arial" w:cs="Arial"/>
          <w:b/>
          <w:bCs/>
          <w:sz w:val="22"/>
          <w:szCs w:val="22"/>
        </w:rPr>
        <w:lastRenderedPageBreak/>
        <w:t>2.</w:t>
      </w:r>
      <w:r w:rsidR="000D236A" w:rsidRPr="004C1D81">
        <w:rPr>
          <w:rFonts w:ascii="Arial" w:hAnsi="Arial" w:cs="Arial"/>
          <w:b/>
          <w:bCs/>
          <w:sz w:val="22"/>
          <w:szCs w:val="22"/>
        </w:rPr>
        <w:t>Talent Acquisition and Retention</w:t>
      </w:r>
      <w:r w:rsidR="000D236A" w:rsidRPr="004C1D81">
        <w:rPr>
          <w:rFonts w:ascii="Arial" w:hAnsi="Arial" w:cs="Arial"/>
          <w:sz w:val="22"/>
          <w:szCs w:val="22"/>
        </w:rPr>
        <w:t> </w:t>
      </w:r>
    </w:p>
    <w:p w14:paraId="379D6696" w14:textId="008F99FE" w:rsidR="000D236A" w:rsidRPr="004C1D81" w:rsidRDefault="000D236A" w:rsidP="004C1D81">
      <w:pPr>
        <w:spacing w:line="360" w:lineRule="auto"/>
        <w:rPr>
          <w:rFonts w:ascii="Arial" w:hAnsi="Arial" w:cs="Arial"/>
          <w:sz w:val="22"/>
          <w:szCs w:val="22"/>
        </w:rPr>
      </w:pPr>
      <w:r w:rsidRPr="004C1D81">
        <w:rPr>
          <w:rFonts w:ascii="Arial" w:hAnsi="Arial" w:cs="Arial"/>
          <w:sz w:val="22"/>
          <w:szCs w:val="22"/>
        </w:rPr>
        <w:t>Talent acquisition and retention practice enhances overall growth and development of a company in particular industrial sector, (Gallardo-Gallardo, Thunnissen and Scullion, 2020) Talent acquisition and retention constitute a significant problem for Tesco, especially in the highly competitive UK retail labour market. Retail business frequently has elevated staff turnover attributable to problems such as inadequate compensation, irregular working hours, restricted career advancement, and job instability. HR can implement this effectively by using targeted recruitment strategies, clear career pathways and structured selection processes to ensure value alignment. </w:t>
      </w:r>
    </w:p>
    <w:p w14:paraId="2C756435" w14:textId="77777777" w:rsidR="000D236A" w:rsidRPr="004C1D81" w:rsidRDefault="000D236A" w:rsidP="004C1D81">
      <w:pPr>
        <w:spacing w:line="360" w:lineRule="auto"/>
        <w:rPr>
          <w:rFonts w:ascii="Arial" w:hAnsi="Arial" w:cs="Arial"/>
          <w:sz w:val="22"/>
          <w:szCs w:val="22"/>
        </w:rPr>
      </w:pPr>
      <w:r w:rsidRPr="004C1D81">
        <w:rPr>
          <w:rFonts w:ascii="Arial" w:hAnsi="Arial" w:cs="Arial"/>
          <w:sz w:val="22"/>
          <w:szCs w:val="22"/>
        </w:rPr>
        <w:t>A main challenge in talent acquisition is finding appropriate applicants who agree with Tesco’s values and service standards. Prospective employees increasingly evaluate variables such as organisational culture, work-life balance, and possibilities for advancement when selecting a company. If Tesco is viewed as providing inadequate advancement opportunities or substandard working conditions, it may find it challenging to attract top-tier candidates. HR must consequently prioritise enhancing Tesco’s employer image to attract a wide and diverse talent pool. </w:t>
      </w:r>
    </w:p>
    <w:p w14:paraId="32E2D9E1" w14:textId="60DEE11F" w:rsidR="000D236A" w:rsidRPr="004C1D81" w:rsidRDefault="000D236A" w:rsidP="004C1D81">
      <w:pPr>
        <w:spacing w:line="360" w:lineRule="auto"/>
        <w:rPr>
          <w:rFonts w:ascii="Arial" w:hAnsi="Arial" w:cs="Arial"/>
          <w:sz w:val="22"/>
          <w:szCs w:val="22"/>
        </w:rPr>
      </w:pPr>
      <w:r w:rsidRPr="004C1D81">
        <w:rPr>
          <w:rFonts w:ascii="Arial" w:hAnsi="Arial" w:cs="Arial"/>
          <w:sz w:val="22"/>
          <w:szCs w:val="22"/>
        </w:rPr>
        <w:t> </w:t>
      </w:r>
    </w:p>
    <w:p w14:paraId="398ED151" w14:textId="763802D2" w:rsidR="000D236A" w:rsidRPr="004C1D81" w:rsidRDefault="000D236A" w:rsidP="004C1D81">
      <w:pPr>
        <w:spacing w:line="360" w:lineRule="auto"/>
        <w:rPr>
          <w:rFonts w:ascii="Arial" w:hAnsi="Arial" w:cs="Arial"/>
          <w:sz w:val="22"/>
          <w:szCs w:val="22"/>
        </w:rPr>
      </w:pPr>
      <w:r w:rsidRPr="004C1D81">
        <w:rPr>
          <w:rFonts w:ascii="Arial" w:hAnsi="Arial" w:cs="Arial"/>
          <w:sz w:val="22"/>
          <w:szCs w:val="22"/>
        </w:rPr>
        <w:t>High turnover at Tesco is often caused by low pay, inflexible working hours and limited career growth. Inflexible schedules can reduce motivation and work life balance,</w:t>
      </w:r>
      <w:r w:rsidRPr="00325E23">
        <w:rPr>
          <w:sz w:val="22"/>
          <w:szCs w:val="22"/>
        </w:rPr>
        <w:t xml:space="preserve"> </w:t>
      </w:r>
      <w:r w:rsidRPr="004C1D81">
        <w:rPr>
          <w:rFonts w:ascii="Arial" w:hAnsi="Arial" w:cs="Arial"/>
          <w:sz w:val="22"/>
          <w:szCs w:val="22"/>
        </w:rPr>
        <w:t>as Maslow’s Hierarchy of Needs highlights the importance of fulfilling both basic and higher-level needs. Tesco must address this through flexible shifts, mentoring and rewards, ensuring employees feel supported, recognised and motivated, to improve retention and engagement</w:t>
      </w:r>
      <w:r w:rsidR="004B53F6" w:rsidRPr="004C1D81">
        <w:rPr>
          <w:rFonts w:ascii="Arial" w:hAnsi="Arial" w:cs="Arial"/>
          <w:sz w:val="22"/>
          <w:szCs w:val="22"/>
        </w:rPr>
        <w:t>.</w:t>
      </w:r>
    </w:p>
    <w:p w14:paraId="3700F25C" w14:textId="77777777" w:rsidR="000D236A" w:rsidRPr="004C1D81" w:rsidRDefault="000D236A" w:rsidP="004C1D81">
      <w:pPr>
        <w:spacing w:line="360" w:lineRule="auto"/>
        <w:rPr>
          <w:rFonts w:ascii="Arial" w:hAnsi="Arial" w:cs="Arial"/>
          <w:sz w:val="22"/>
          <w:szCs w:val="22"/>
        </w:rPr>
      </w:pPr>
      <w:r w:rsidRPr="004C1D81">
        <w:rPr>
          <w:rFonts w:ascii="Arial" w:hAnsi="Arial" w:cs="Arial"/>
          <w:sz w:val="22"/>
          <w:szCs w:val="22"/>
        </w:rPr>
        <w:t> According to Xiang, (2024) the leading reason employees choose to leave a job, selected by 32.4% of employees who quit their job in year 2024, is a toxic or negative work environment, followed by poor company leadership (30.3%) and dissatisfaction with one’s manager or supervisor (27.7%).  </w:t>
      </w:r>
    </w:p>
    <w:p w14:paraId="54F15C75" w14:textId="13E4B407" w:rsidR="000D236A" w:rsidRPr="00325E23" w:rsidRDefault="000D236A" w:rsidP="000D236A">
      <w:pPr>
        <w:rPr>
          <w:sz w:val="22"/>
          <w:szCs w:val="22"/>
        </w:rPr>
      </w:pPr>
    </w:p>
    <w:p w14:paraId="7CAFC810" w14:textId="12F1DA31" w:rsidR="000D236A" w:rsidRPr="00540909" w:rsidRDefault="004B53F6" w:rsidP="00540909">
      <w:pPr>
        <w:spacing w:line="360" w:lineRule="auto"/>
        <w:rPr>
          <w:rFonts w:ascii="Arial" w:hAnsi="Arial" w:cs="Arial"/>
          <w:sz w:val="22"/>
          <w:szCs w:val="22"/>
        </w:rPr>
      </w:pPr>
      <w:r w:rsidRPr="00540909">
        <w:rPr>
          <w:rFonts w:ascii="Arial" w:hAnsi="Arial" w:cs="Arial"/>
          <w:b/>
          <w:bCs/>
          <w:sz w:val="22"/>
          <w:szCs w:val="22"/>
        </w:rPr>
        <w:t>3.</w:t>
      </w:r>
      <w:r w:rsidR="000D236A" w:rsidRPr="00540909">
        <w:rPr>
          <w:rFonts w:ascii="Arial" w:hAnsi="Arial" w:cs="Arial"/>
          <w:b/>
          <w:bCs/>
          <w:sz w:val="22"/>
          <w:szCs w:val="22"/>
        </w:rPr>
        <w:t>Diversity, Equity and Inclusion (DEI)</w:t>
      </w:r>
      <w:r w:rsidR="000D236A" w:rsidRPr="00540909">
        <w:rPr>
          <w:rFonts w:ascii="Arial" w:hAnsi="Arial" w:cs="Arial"/>
          <w:sz w:val="22"/>
          <w:szCs w:val="22"/>
        </w:rPr>
        <w:t> </w:t>
      </w:r>
    </w:p>
    <w:p w14:paraId="1B5639B8" w14:textId="33F2F9DE" w:rsidR="000D236A" w:rsidRPr="00540909" w:rsidRDefault="000D236A" w:rsidP="00540909">
      <w:pPr>
        <w:spacing w:line="360" w:lineRule="auto"/>
        <w:rPr>
          <w:rFonts w:ascii="Arial" w:hAnsi="Arial" w:cs="Arial"/>
          <w:sz w:val="22"/>
          <w:szCs w:val="22"/>
        </w:rPr>
      </w:pPr>
      <w:r w:rsidRPr="00540909">
        <w:rPr>
          <w:rFonts w:ascii="Arial" w:hAnsi="Arial" w:cs="Arial"/>
          <w:sz w:val="22"/>
          <w:szCs w:val="22"/>
        </w:rPr>
        <w:t xml:space="preserve">Diversity, Equity and Inclusion (DEI) is a key focus for HR, especially in large, diverse companies like Tesco. Diversity means to include people from different social backgrounds, economic and demographic backgrounds; equality ensures fair policies </w:t>
      </w:r>
      <w:r w:rsidRPr="00540909">
        <w:rPr>
          <w:rFonts w:ascii="Arial" w:hAnsi="Arial" w:cs="Arial"/>
          <w:sz w:val="22"/>
          <w:szCs w:val="22"/>
        </w:rPr>
        <w:lastRenderedPageBreak/>
        <w:t>and opportunities. Also, inclusion creates a workplace where all employees feel valued and empowered. </w:t>
      </w:r>
    </w:p>
    <w:p w14:paraId="122E6586" w14:textId="6CCA93E1" w:rsidR="000D236A" w:rsidRPr="00540909" w:rsidRDefault="000D236A" w:rsidP="00540909">
      <w:pPr>
        <w:spacing w:line="360" w:lineRule="auto"/>
        <w:rPr>
          <w:rFonts w:ascii="Arial" w:hAnsi="Arial" w:cs="Arial"/>
          <w:sz w:val="22"/>
          <w:szCs w:val="22"/>
        </w:rPr>
      </w:pPr>
      <w:r w:rsidRPr="00540909">
        <w:rPr>
          <w:rFonts w:ascii="Arial" w:hAnsi="Arial" w:cs="Arial"/>
          <w:sz w:val="22"/>
          <w:szCs w:val="22"/>
        </w:rPr>
        <w:t>In terms of age, gender, ethnicity, disabilities and socioeconomic status, Tesco’s workforce is diverse. However, equal representation in senior roles doesn’t not always follow from diversity at the entry level.HR must address these challenges that underrepresented groups encounter such as workplace culture that favour dominant groups, limited access to growth opportunities and unconscious prejudice in hiring and promotions. Additionally, pay fairness is essential since differences in pay or working conditions based on a person’s gender, race or other characterises can rode trust and damage their reputation. To prevent disengagement, complains and legal problems, HR must make sure that reward system are open, fair and based on objective standards </w:t>
      </w:r>
    </w:p>
    <w:p w14:paraId="18F97855" w14:textId="77777777" w:rsidR="000D236A" w:rsidRPr="00540909" w:rsidRDefault="000D236A" w:rsidP="00540909">
      <w:pPr>
        <w:spacing w:line="360" w:lineRule="auto"/>
        <w:rPr>
          <w:rFonts w:ascii="Arial" w:hAnsi="Arial" w:cs="Arial"/>
          <w:sz w:val="22"/>
          <w:szCs w:val="22"/>
        </w:rPr>
      </w:pPr>
      <w:r w:rsidRPr="00540909">
        <w:rPr>
          <w:rFonts w:ascii="Arial" w:hAnsi="Arial" w:cs="Arial"/>
          <w:sz w:val="22"/>
          <w:szCs w:val="22"/>
        </w:rPr>
        <w:t>Equally vital is Inclusion. If employees lack the sense of valued or respected, a diverse staff fails to deliver good results. Isolation and increased turnover can result from bias, discrimination and a lack of managerial support.HR should establish specific anti-discrimination rules, encourage inclusion leadership and offer diversity training. Developing a workplace policy that adhere to Equality Act 2010 (Government Equalities Office,2010) and ACAS (2022) promotes engagement, innovation and overall organisational performance. Measurable DEI goals such maintaining a focus on leadership representation, evaluating pay equity and conducting employee inclusion surveys, contribute to the effectiveness and ongoing improvement of policies. </w:t>
      </w:r>
    </w:p>
    <w:p w14:paraId="0FF8A87C" w14:textId="17615DA5" w:rsidR="000D236A" w:rsidRPr="00325E23" w:rsidRDefault="000D236A" w:rsidP="000D236A">
      <w:pPr>
        <w:rPr>
          <w:sz w:val="22"/>
          <w:szCs w:val="22"/>
        </w:rPr>
      </w:pPr>
      <w:r w:rsidRPr="00325E23">
        <w:rPr>
          <w:sz w:val="22"/>
          <w:szCs w:val="22"/>
        </w:rPr>
        <w:t> </w:t>
      </w:r>
    </w:p>
    <w:p w14:paraId="46E2652B" w14:textId="77777777" w:rsidR="000D5AC5" w:rsidRDefault="000D5AC5" w:rsidP="004B53F6">
      <w:pPr>
        <w:pStyle w:val="Heading1"/>
      </w:pPr>
    </w:p>
    <w:p w14:paraId="51646726" w14:textId="0A0A4414" w:rsidR="000D236A" w:rsidRDefault="000D236A" w:rsidP="004B53F6">
      <w:pPr>
        <w:pStyle w:val="Heading1"/>
      </w:pPr>
      <w:bookmarkStart w:id="4" w:name="_Toc224568820"/>
      <w:r w:rsidRPr="004B53F6">
        <w:t>Evaluation of Contemporary HR Practices Address Identified Factors</w:t>
      </w:r>
      <w:bookmarkEnd w:id="4"/>
      <w:r w:rsidRPr="004B53F6">
        <w:t> </w:t>
      </w:r>
    </w:p>
    <w:p w14:paraId="16159F11" w14:textId="094E5D00" w:rsidR="000D236A" w:rsidRPr="00BF03C7" w:rsidRDefault="000D236A" w:rsidP="00E3338D">
      <w:pPr>
        <w:spacing w:line="360" w:lineRule="auto"/>
        <w:rPr>
          <w:rFonts w:ascii="Arial" w:hAnsi="Arial" w:cs="Arial"/>
          <w:sz w:val="22"/>
          <w:szCs w:val="22"/>
        </w:rPr>
      </w:pPr>
      <w:r w:rsidRPr="00BF03C7">
        <w:rPr>
          <w:rFonts w:ascii="Arial" w:hAnsi="Arial" w:cs="Arial"/>
          <w:sz w:val="22"/>
          <w:szCs w:val="22"/>
        </w:rPr>
        <w:t>Modern HR strategies help Tesco address challenges in technology, talent acquisition, retention and DEI. This part analyses effective approaches for these issues</w:t>
      </w:r>
      <w:r w:rsidR="00BF03C7">
        <w:rPr>
          <w:rFonts w:ascii="Arial" w:hAnsi="Arial" w:cs="Arial"/>
          <w:sz w:val="22"/>
          <w:szCs w:val="22"/>
        </w:rPr>
        <w:t>.</w:t>
      </w:r>
    </w:p>
    <w:p w14:paraId="251E0789" w14:textId="18F2AF69" w:rsidR="000D236A" w:rsidRPr="00325E23" w:rsidRDefault="002209A6" w:rsidP="00E3338D">
      <w:pPr>
        <w:spacing w:line="360" w:lineRule="auto"/>
        <w:rPr>
          <w:sz w:val="22"/>
          <w:szCs w:val="22"/>
        </w:rPr>
      </w:pPr>
      <w:r>
        <w:rPr>
          <w:b/>
          <w:bCs/>
          <w:sz w:val="22"/>
          <w:szCs w:val="22"/>
        </w:rPr>
        <w:t>1.</w:t>
      </w:r>
      <w:r w:rsidR="000D236A" w:rsidRPr="00325E23">
        <w:rPr>
          <w:b/>
          <w:bCs/>
          <w:sz w:val="22"/>
          <w:szCs w:val="22"/>
        </w:rPr>
        <w:t>Technological Advancement</w:t>
      </w:r>
      <w:r w:rsidR="000D236A" w:rsidRPr="00325E23">
        <w:rPr>
          <w:sz w:val="22"/>
          <w:szCs w:val="22"/>
        </w:rPr>
        <w:t> </w:t>
      </w:r>
    </w:p>
    <w:p w14:paraId="702473FA" w14:textId="21CAEB75" w:rsidR="000D236A" w:rsidRPr="00BF03C7" w:rsidRDefault="000D236A" w:rsidP="00BF03C7">
      <w:pPr>
        <w:spacing w:line="360" w:lineRule="auto"/>
        <w:rPr>
          <w:rFonts w:ascii="Arial" w:hAnsi="Arial" w:cs="Arial"/>
          <w:sz w:val="22"/>
          <w:szCs w:val="22"/>
        </w:rPr>
      </w:pPr>
      <w:r w:rsidRPr="00BF03C7">
        <w:rPr>
          <w:rFonts w:ascii="Arial" w:hAnsi="Arial" w:cs="Arial"/>
          <w:sz w:val="22"/>
          <w:szCs w:val="22"/>
        </w:rPr>
        <w:t xml:space="preserve">Continuous learning and development are crucial component of a contemporary HR strategy for development, coaching and assistance, assisting the employees in adjusting to new systems at their own pace meeting technology change. Tesco may tarin staff members </w:t>
      </w:r>
      <w:r w:rsidRPr="00BF03C7">
        <w:rPr>
          <w:rFonts w:ascii="Arial" w:hAnsi="Arial" w:cs="Arial"/>
          <w:sz w:val="22"/>
          <w:szCs w:val="22"/>
        </w:rPr>
        <w:lastRenderedPageBreak/>
        <w:t>on new technology, data systems and digital customer support tools using digital learning platforms. Tesco Career (2024) states that the organisation also provides career development, coaching and assistance, assisting staff members in adjusting to new systems at their own pace and lowering anxiety. </w:t>
      </w:r>
    </w:p>
    <w:p w14:paraId="797C2D6B" w14:textId="1BB77E15" w:rsidR="000D236A" w:rsidRPr="00BF03C7" w:rsidRDefault="000D236A" w:rsidP="00BF03C7">
      <w:pPr>
        <w:spacing w:line="360" w:lineRule="auto"/>
        <w:rPr>
          <w:rFonts w:ascii="Arial" w:hAnsi="Arial" w:cs="Arial"/>
          <w:sz w:val="22"/>
          <w:szCs w:val="22"/>
        </w:rPr>
      </w:pPr>
      <w:r w:rsidRPr="00BF03C7">
        <w:rPr>
          <w:rFonts w:ascii="Arial" w:hAnsi="Arial" w:cs="Arial"/>
          <w:sz w:val="22"/>
          <w:szCs w:val="22"/>
        </w:rPr>
        <w:t>Programs for upskilling and reskilling are equally important. Employees that previously handled manual checkout can be educated to oversee self-services areas, help guest or support online orders when technology changes their job duties. This boots morale and employability while showcasing Tesco commitment to employee development. </w:t>
      </w:r>
    </w:p>
    <w:p w14:paraId="0209B831" w14:textId="0ED6219C" w:rsidR="000D236A" w:rsidRPr="00BF03C7" w:rsidRDefault="000D236A" w:rsidP="00BF03C7">
      <w:pPr>
        <w:spacing w:line="360" w:lineRule="auto"/>
        <w:rPr>
          <w:rFonts w:ascii="Arial" w:hAnsi="Arial" w:cs="Arial"/>
          <w:sz w:val="22"/>
          <w:szCs w:val="22"/>
        </w:rPr>
      </w:pPr>
      <w:r w:rsidRPr="00BF03C7">
        <w:rPr>
          <w:rFonts w:ascii="Arial" w:hAnsi="Arial" w:cs="Arial"/>
          <w:sz w:val="22"/>
          <w:szCs w:val="22"/>
        </w:rPr>
        <w:t>Through flexible planning, quick feedback and collaboration between HR, management and employees, agile HR practices further facilitate the adoption of new technology. Tesco can reduce disruption and boost acceptance by piloting improvements in a few locations, getting feedback and improving process before implementing new technology across all the stores at once  </w:t>
      </w:r>
    </w:p>
    <w:p w14:paraId="7AA5DF04" w14:textId="428C3ACB" w:rsidR="000D236A" w:rsidRPr="00BF03C7" w:rsidRDefault="000D236A" w:rsidP="00BF03C7">
      <w:pPr>
        <w:spacing w:line="360" w:lineRule="auto"/>
        <w:rPr>
          <w:rFonts w:ascii="Arial" w:hAnsi="Arial" w:cs="Arial"/>
          <w:sz w:val="22"/>
          <w:szCs w:val="22"/>
        </w:rPr>
      </w:pPr>
      <w:r w:rsidRPr="00BF03C7">
        <w:rPr>
          <w:rFonts w:ascii="Arial" w:hAnsi="Arial" w:cs="Arial"/>
          <w:sz w:val="22"/>
          <w:szCs w:val="22"/>
        </w:rPr>
        <w:t>Evidence based decision making is made possible by hr analytics.HR can find skills gaps and effectively customise programs by monitoring system usage, performance statistics and training participation.</w:t>
      </w:r>
    </w:p>
    <w:p w14:paraId="48698640" w14:textId="77777777" w:rsidR="000D236A" w:rsidRPr="00BF03C7" w:rsidRDefault="000D236A" w:rsidP="00BF03C7">
      <w:pPr>
        <w:spacing w:line="360" w:lineRule="auto"/>
        <w:rPr>
          <w:rFonts w:ascii="Arial" w:hAnsi="Arial" w:cs="Arial"/>
          <w:sz w:val="22"/>
          <w:szCs w:val="22"/>
        </w:rPr>
      </w:pPr>
      <w:r w:rsidRPr="00BF03C7">
        <w:rPr>
          <w:rFonts w:ascii="Arial" w:hAnsi="Arial" w:cs="Arial"/>
          <w:sz w:val="22"/>
          <w:szCs w:val="22"/>
        </w:rPr>
        <w:t>Additionally, HR can use analytics to identify employees struggling with new technology and provide targeted support, ensuring smother adoption and reducing resistance to change. Regular feedback loops between employees and HR can further enhance system effectiveness. </w:t>
      </w:r>
    </w:p>
    <w:p w14:paraId="13503160" w14:textId="77777777" w:rsidR="000D236A" w:rsidRPr="00325E23" w:rsidRDefault="000D236A" w:rsidP="000D236A">
      <w:pPr>
        <w:rPr>
          <w:sz w:val="22"/>
          <w:szCs w:val="22"/>
        </w:rPr>
      </w:pPr>
      <w:r w:rsidRPr="00325E23">
        <w:rPr>
          <w:sz w:val="22"/>
          <w:szCs w:val="22"/>
        </w:rPr>
        <w:t> </w:t>
      </w:r>
    </w:p>
    <w:p w14:paraId="0682E77A" w14:textId="77777777" w:rsidR="000D236A" w:rsidRPr="00325E23" w:rsidRDefault="000D236A" w:rsidP="000D236A">
      <w:pPr>
        <w:rPr>
          <w:sz w:val="22"/>
          <w:szCs w:val="22"/>
        </w:rPr>
      </w:pPr>
      <w:r w:rsidRPr="00325E23">
        <w:rPr>
          <w:sz w:val="22"/>
          <w:szCs w:val="22"/>
        </w:rPr>
        <w:t> </w:t>
      </w:r>
    </w:p>
    <w:p w14:paraId="08ED3784" w14:textId="789A531D" w:rsidR="000D236A" w:rsidRPr="000B7095" w:rsidRDefault="00FD245C" w:rsidP="000B7095">
      <w:pPr>
        <w:spacing w:line="360" w:lineRule="auto"/>
        <w:rPr>
          <w:rFonts w:ascii="Arial" w:hAnsi="Arial" w:cs="Arial"/>
          <w:sz w:val="22"/>
          <w:szCs w:val="22"/>
        </w:rPr>
      </w:pPr>
      <w:r w:rsidRPr="000B7095">
        <w:rPr>
          <w:rFonts w:ascii="Arial" w:hAnsi="Arial" w:cs="Arial"/>
          <w:b/>
          <w:bCs/>
          <w:sz w:val="22"/>
          <w:szCs w:val="22"/>
        </w:rPr>
        <w:t>2</w:t>
      </w:r>
      <w:r w:rsidR="000D236A" w:rsidRPr="000B7095">
        <w:rPr>
          <w:rFonts w:ascii="Arial" w:hAnsi="Arial" w:cs="Arial"/>
          <w:b/>
          <w:bCs/>
          <w:sz w:val="22"/>
          <w:szCs w:val="22"/>
        </w:rPr>
        <w:t>.Talent Acquisition and Retention</w:t>
      </w:r>
      <w:r w:rsidR="000D236A" w:rsidRPr="000B7095">
        <w:rPr>
          <w:rFonts w:ascii="Arial" w:hAnsi="Arial" w:cs="Arial"/>
          <w:sz w:val="22"/>
          <w:szCs w:val="22"/>
        </w:rPr>
        <w:t> </w:t>
      </w:r>
    </w:p>
    <w:p w14:paraId="72A2E72D" w14:textId="7C0E4DDD" w:rsidR="000D236A" w:rsidRPr="000B7095" w:rsidRDefault="000D236A" w:rsidP="000B7095">
      <w:pPr>
        <w:spacing w:line="360" w:lineRule="auto"/>
        <w:rPr>
          <w:rFonts w:ascii="Arial" w:hAnsi="Arial" w:cs="Arial"/>
          <w:sz w:val="22"/>
          <w:szCs w:val="22"/>
        </w:rPr>
      </w:pPr>
      <w:r w:rsidRPr="000B7095">
        <w:rPr>
          <w:rFonts w:ascii="Arial" w:hAnsi="Arial" w:cs="Arial"/>
          <w:sz w:val="22"/>
          <w:szCs w:val="22"/>
        </w:rPr>
        <w:t>Tesco can increase productivity and the applicant experience by reaching a larger, more varied pool of applicants using social media, digital recruitment platforms and AI enhanced monitoring tools. Tesco’s values, career development and commitment to employee well-being are all promoted by string employer branding, that helps establish the company as an employer of choice. </w:t>
      </w:r>
    </w:p>
    <w:p w14:paraId="226F0EFC" w14:textId="6E8175C4" w:rsidR="000D236A" w:rsidRPr="000B7095" w:rsidRDefault="000D236A" w:rsidP="000B7095">
      <w:pPr>
        <w:spacing w:line="360" w:lineRule="auto"/>
        <w:rPr>
          <w:rFonts w:ascii="Arial" w:hAnsi="Arial" w:cs="Arial"/>
          <w:sz w:val="22"/>
          <w:szCs w:val="22"/>
        </w:rPr>
      </w:pPr>
      <w:r w:rsidRPr="000B7095">
        <w:rPr>
          <w:rFonts w:ascii="Arial" w:hAnsi="Arial" w:cs="Arial"/>
          <w:sz w:val="22"/>
          <w:szCs w:val="22"/>
        </w:rPr>
        <w:t>Flexible work schedules such as part time, remote and adjustable shifts, promote work life balance and fewer absences from through frequent assessment, clear standards, apprenticeship and internal promotions, performance management and career development promote engagement and long-term retention </w:t>
      </w:r>
    </w:p>
    <w:p w14:paraId="199E95B8" w14:textId="7C19F592" w:rsidR="000D236A" w:rsidRPr="000B7095" w:rsidRDefault="000D236A" w:rsidP="000B7095">
      <w:pPr>
        <w:spacing w:line="360" w:lineRule="auto"/>
        <w:rPr>
          <w:rFonts w:ascii="Arial" w:hAnsi="Arial" w:cs="Arial"/>
          <w:sz w:val="22"/>
          <w:szCs w:val="22"/>
        </w:rPr>
      </w:pPr>
      <w:r w:rsidRPr="000B7095">
        <w:rPr>
          <w:rFonts w:ascii="Arial" w:hAnsi="Arial" w:cs="Arial"/>
          <w:sz w:val="22"/>
          <w:szCs w:val="22"/>
        </w:rPr>
        <w:lastRenderedPageBreak/>
        <w:t>Employee satisfaction is further increased by transparent reward systems, which include competitive compensation, employee discounts, retirement plans and wellness initiatives. To improve employee engagement and lower turnover, HR should also include all these strategies into a cohesive talent management strategy. Consistent observation and input ca guarantee ongoing development and alignment with business goals</w:t>
      </w:r>
      <w:r w:rsidR="000B7095">
        <w:rPr>
          <w:rFonts w:ascii="Arial" w:hAnsi="Arial" w:cs="Arial"/>
          <w:sz w:val="22"/>
          <w:szCs w:val="22"/>
        </w:rPr>
        <w:t>.</w:t>
      </w:r>
    </w:p>
    <w:p w14:paraId="634242BD" w14:textId="77777777" w:rsidR="001D3477" w:rsidRPr="000856C3" w:rsidRDefault="001D3477" w:rsidP="000D236A">
      <w:pPr>
        <w:rPr>
          <w:rFonts w:ascii="Arial" w:hAnsi="Arial" w:cs="Arial"/>
          <w:sz w:val="22"/>
          <w:szCs w:val="22"/>
        </w:rPr>
      </w:pPr>
    </w:p>
    <w:p w14:paraId="4ED0AFE7" w14:textId="6C49576D" w:rsidR="000D236A" w:rsidRPr="001D3477" w:rsidRDefault="001D3477" w:rsidP="009B3F65">
      <w:pPr>
        <w:spacing w:line="360" w:lineRule="auto"/>
        <w:rPr>
          <w:rFonts w:ascii="Arial" w:hAnsi="Arial" w:cs="Arial"/>
          <w:sz w:val="22"/>
          <w:szCs w:val="22"/>
        </w:rPr>
      </w:pPr>
      <w:r w:rsidRPr="001D3477">
        <w:rPr>
          <w:rFonts w:ascii="Arial" w:hAnsi="Arial" w:cs="Arial"/>
          <w:b/>
          <w:bCs/>
          <w:sz w:val="22"/>
          <w:szCs w:val="22"/>
        </w:rPr>
        <w:t>3.</w:t>
      </w:r>
      <w:r w:rsidR="000D236A" w:rsidRPr="001D3477">
        <w:rPr>
          <w:rFonts w:ascii="Arial" w:hAnsi="Arial" w:cs="Arial"/>
          <w:b/>
          <w:bCs/>
          <w:sz w:val="22"/>
          <w:szCs w:val="22"/>
        </w:rPr>
        <w:t>Diversity, Equity and Inclusion (DEI</w:t>
      </w:r>
      <w:r w:rsidR="00FD245C" w:rsidRPr="001D3477">
        <w:rPr>
          <w:rFonts w:ascii="Arial" w:hAnsi="Arial" w:cs="Arial"/>
          <w:b/>
          <w:bCs/>
          <w:sz w:val="22"/>
          <w:szCs w:val="22"/>
        </w:rPr>
        <w:t>)</w:t>
      </w:r>
    </w:p>
    <w:p w14:paraId="36F90450" w14:textId="77777777" w:rsidR="000D236A" w:rsidRPr="000856C3" w:rsidRDefault="000D236A" w:rsidP="009B3F65">
      <w:pPr>
        <w:spacing w:line="360" w:lineRule="auto"/>
        <w:rPr>
          <w:rFonts w:ascii="Arial" w:hAnsi="Arial" w:cs="Arial"/>
          <w:sz w:val="22"/>
          <w:szCs w:val="22"/>
        </w:rPr>
      </w:pPr>
      <w:r w:rsidRPr="000856C3">
        <w:rPr>
          <w:rFonts w:ascii="Arial" w:hAnsi="Arial" w:cs="Arial"/>
          <w:sz w:val="22"/>
          <w:szCs w:val="22"/>
        </w:rPr>
        <w:t>Incorporating equity and inclusion into employment is the main goal of contemporary DEI practices. Bias is reduced by inclusive hiring practices such as anonymised applications, diverse panels and structured interviews. </w:t>
      </w:r>
    </w:p>
    <w:p w14:paraId="0A275146" w14:textId="77777777" w:rsidR="000D236A" w:rsidRPr="000856C3" w:rsidRDefault="000D236A" w:rsidP="009B3F65">
      <w:pPr>
        <w:spacing w:line="360" w:lineRule="auto"/>
        <w:rPr>
          <w:rFonts w:ascii="Arial" w:hAnsi="Arial" w:cs="Arial"/>
          <w:sz w:val="22"/>
          <w:szCs w:val="22"/>
        </w:rPr>
      </w:pPr>
      <w:r w:rsidRPr="000856C3">
        <w:rPr>
          <w:rFonts w:ascii="Arial" w:hAnsi="Arial" w:cs="Arial"/>
          <w:sz w:val="22"/>
          <w:szCs w:val="22"/>
        </w:rPr>
        <w:t>Managers are acquiring to ability to identify bias, value diversity and establish psychologically secure environment where employee can freely exchange ideas through diversity training and inclusive leadership development. Although they need organisational support to be successful, Employee Resource Groups (ERGs) assist underrepresented groups by offering employee insights. Transparency and accountability are increased by maintaining a check on DEI measures including representation and inequality in wages. </w:t>
      </w:r>
    </w:p>
    <w:p w14:paraId="2165A699" w14:textId="77777777" w:rsidR="000D236A" w:rsidRPr="00325E23" w:rsidRDefault="000D236A" w:rsidP="009B3F65">
      <w:pPr>
        <w:spacing w:line="360" w:lineRule="auto"/>
        <w:rPr>
          <w:sz w:val="22"/>
          <w:szCs w:val="22"/>
        </w:rPr>
      </w:pPr>
      <w:r w:rsidRPr="000856C3">
        <w:rPr>
          <w:rFonts w:ascii="Arial" w:hAnsi="Arial" w:cs="Arial"/>
          <w:sz w:val="22"/>
          <w:szCs w:val="22"/>
        </w:rPr>
        <w:t>Sustained impact and ongoing improvement are ensured by combining training, ERGs and data monitoring with specific, measurable DEI goals such as manager accountability, inclusion survey tracking and leadership diversity targets.</w:t>
      </w:r>
      <w:r w:rsidRPr="00325E23">
        <w:rPr>
          <w:sz w:val="22"/>
          <w:szCs w:val="22"/>
        </w:rPr>
        <w:t> </w:t>
      </w:r>
    </w:p>
    <w:p w14:paraId="6552E8A6" w14:textId="0FA2F288" w:rsidR="000D236A" w:rsidRPr="00325E23" w:rsidRDefault="000D236A" w:rsidP="000D236A">
      <w:pPr>
        <w:rPr>
          <w:sz w:val="22"/>
          <w:szCs w:val="22"/>
        </w:rPr>
      </w:pPr>
      <w:r w:rsidRPr="00325E23">
        <w:rPr>
          <w:sz w:val="22"/>
          <w:szCs w:val="22"/>
        </w:rPr>
        <w:t> </w:t>
      </w:r>
    </w:p>
    <w:p w14:paraId="726BD5EE" w14:textId="755DAD24" w:rsidR="000D236A" w:rsidRPr="004B53F6" w:rsidRDefault="000D236A" w:rsidP="004B53F6">
      <w:pPr>
        <w:pStyle w:val="Heading1"/>
      </w:pPr>
      <w:bookmarkStart w:id="5" w:name="_Toc224568821"/>
      <w:r w:rsidRPr="004B53F6">
        <w:t>Critical Evaluation of the Role of Departmental Managers</w:t>
      </w:r>
      <w:bookmarkEnd w:id="5"/>
      <w:r w:rsidRPr="004B53F6">
        <w:t> </w:t>
      </w:r>
    </w:p>
    <w:p w14:paraId="121B1498" w14:textId="0F210C5D" w:rsidR="000D236A" w:rsidRPr="00554020" w:rsidRDefault="000D236A" w:rsidP="00E3338D">
      <w:pPr>
        <w:spacing w:line="360" w:lineRule="auto"/>
        <w:rPr>
          <w:rFonts w:ascii="Arial" w:hAnsi="Arial" w:cs="Arial"/>
          <w:sz w:val="22"/>
          <w:szCs w:val="22"/>
        </w:rPr>
      </w:pPr>
      <w:r w:rsidRPr="00554020">
        <w:rPr>
          <w:rFonts w:ascii="Arial" w:hAnsi="Arial" w:cs="Arial"/>
          <w:sz w:val="22"/>
          <w:szCs w:val="22"/>
        </w:rPr>
        <w:t>Departmental managers </w:t>
      </w:r>
      <w:r w:rsidR="00554020" w:rsidRPr="00554020">
        <w:rPr>
          <w:rFonts w:ascii="Arial" w:hAnsi="Arial" w:cs="Arial"/>
          <w:sz w:val="22"/>
          <w:szCs w:val="22"/>
        </w:rPr>
        <w:t>oversee</w:t>
      </w:r>
      <w:r w:rsidRPr="00554020">
        <w:rPr>
          <w:rFonts w:ascii="Arial" w:hAnsi="Arial" w:cs="Arial"/>
          <w:sz w:val="22"/>
          <w:szCs w:val="22"/>
        </w:rPr>
        <w:t> HR department’s policies and procedures into a practice and a daily basis. Their function is essential to ensure the efficient and uniform use of modern HR procedures.  </w:t>
      </w:r>
    </w:p>
    <w:p w14:paraId="5F553FFE" w14:textId="580F1B56" w:rsidR="000D236A" w:rsidRPr="00554020" w:rsidRDefault="000D236A" w:rsidP="00E3338D">
      <w:pPr>
        <w:spacing w:line="360" w:lineRule="auto"/>
        <w:rPr>
          <w:rFonts w:ascii="Arial" w:hAnsi="Arial" w:cs="Arial"/>
          <w:sz w:val="22"/>
          <w:szCs w:val="22"/>
        </w:rPr>
      </w:pPr>
      <w:r w:rsidRPr="00554020">
        <w:rPr>
          <w:rFonts w:ascii="Arial" w:hAnsi="Arial" w:cs="Arial"/>
          <w:sz w:val="22"/>
          <w:szCs w:val="22"/>
        </w:rPr>
        <w:t>Managers use accountability and performance management to assist with HR implementation. They coordinate operational goals with HR objectives by monitoring completion, employee turnover and team diversity. Prioritising HR effort is encouraged when these outcomes are connected to performance evaluations and rewards. </w:t>
      </w:r>
    </w:p>
    <w:p w14:paraId="5A5B0E0E" w14:textId="31519235" w:rsidR="000D236A" w:rsidRPr="00554020" w:rsidRDefault="000D236A" w:rsidP="00E3338D">
      <w:pPr>
        <w:spacing w:line="360" w:lineRule="auto"/>
        <w:rPr>
          <w:rFonts w:ascii="Arial" w:hAnsi="Arial" w:cs="Arial"/>
          <w:sz w:val="22"/>
          <w:szCs w:val="22"/>
        </w:rPr>
      </w:pPr>
      <w:r w:rsidRPr="00554020">
        <w:rPr>
          <w:rFonts w:ascii="Arial" w:hAnsi="Arial" w:cs="Arial"/>
          <w:sz w:val="22"/>
          <w:szCs w:val="22"/>
        </w:rPr>
        <w:lastRenderedPageBreak/>
        <w:t>Additionally, managers are essential in communication and change management. They serve as a liaison between HR and staff, outlining the goals and advantages of new projects. Effective communication lowers resistance to change and increases trust  </w:t>
      </w:r>
    </w:p>
    <w:p w14:paraId="436FA881" w14:textId="132D7714" w:rsidR="000D236A" w:rsidRPr="00554020" w:rsidRDefault="000D236A" w:rsidP="00E3338D">
      <w:pPr>
        <w:spacing w:line="360" w:lineRule="auto"/>
        <w:rPr>
          <w:rFonts w:ascii="Arial" w:hAnsi="Arial" w:cs="Arial"/>
          <w:sz w:val="22"/>
          <w:szCs w:val="22"/>
        </w:rPr>
      </w:pPr>
      <w:r w:rsidRPr="00554020">
        <w:rPr>
          <w:rFonts w:ascii="Arial" w:hAnsi="Arial" w:cs="Arial"/>
          <w:sz w:val="22"/>
          <w:szCs w:val="22"/>
        </w:rPr>
        <w:t>Competency in management and training are crucial. Managers need to be prepared to support the growth, inclusion and wellbeing of their workforce. Effective resource allocation strikes a balance between people management and operational demands by ensuring that employees have time for training, DEI projects and development activities. </w:t>
      </w:r>
    </w:p>
    <w:p w14:paraId="75D56F44" w14:textId="6906F168" w:rsidR="000D236A" w:rsidRPr="00554020" w:rsidRDefault="000D236A" w:rsidP="00E3338D">
      <w:pPr>
        <w:spacing w:line="360" w:lineRule="auto"/>
        <w:rPr>
          <w:rFonts w:ascii="Arial" w:hAnsi="Arial" w:cs="Arial"/>
          <w:sz w:val="22"/>
          <w:szCs w:val="22"/>
        </w:rPr>
      </w:pPr>
      <w:r w:rsidRPr="00554020">
        <w:rPr>
          <w:rFonts w:ascii="Arial" w:hAnsi="Arial" w:cs="Arial"/>
          <w:sz w:val="22"/>
          <w:szCs w:val="22"/>
        </w:rPr>
        <w:t>Setting a good example is essential. While inconsistent or prejudiced behaviour can lower morale and hinder HR efforts, inclusive and supportive behaviour inspires employees to follow in positive acts, (LO,2024). According to behaviourist theory, rewarding positive behaviour encourages repetition and creates a positive community. </w:t>
      </w:r>
    </w:p>
    <w:p w14:paraId="287DE1D0" w14:textId="17C6DCA5" w:rsidR="000D236A" w:rsidRPr="00554020" w:rsidRDefault="000D236A" w:rsidP="00E3338D">
      <w:pPr>
        <w:spacing w:line="360" w:lineRule="auto"/>
        <w:rPr>
          <w:rFonts w:ascii="Arial" w:hAnsi="Arial" w:cs="Arial"/>
          <w:sz w:val="22"/>
          <w:szCs w:val="22"/>
        </w:rPr>
      </w:pPr>
      <w:r w:rsidRPr="00554020">
        <w:rPr>
          <w:rFonts w:ascii="Arial" w:hAnsi="Arial" w:cs="Arial"/>
          <w:sz w:val="22"/>
          <w:szCs w:val="22"/>
        </w:rPr>
        <w:t>Managers need to be continuously coached and assed on their HR implementation. Policies are not only conveyed but also actively implemented in a day-to-day operation when HR objective is integrated into managerial KPIs, feedback is given and successful practice adoption is acknowledged. </w:t>
      </w:r>
    </w:p>
    <w:p w14:paraId="17D6E89E" w14:textId="1DAEEC8F" w:rsidR="000D236A" w:rsidRPr="004B53F6" w:rsidRDefault="000D236A" w:rsidP="004B53F6">
      <w:pPr>
        <w:pStyle w:val="Heading1"/>
      </w:pPr>
      <w:bookmarkStart w:id="6" w:name="_Toc224568822"/>
      <w:r w:rsidRPr="004B53F6">
        <w:t>Recommendations</w:t>
      </w:r>
      <w:bookmarkEnd w:id="6"/>
      <w:r w:rsidRPr="004B53F6">
        <w:t xml:space="preserve"> </w:t>
      </w:r>
    </w:p>
    <w:p w14:paraId="5584469B" w14:textId="77777777" w:rsidR="000D236A" w:rsidRPr="00C11070" w:rsidRDefault="000D236A" w:rsidP="00E3338D">
      <w:pPr>
        <w:spacing w:line="360" w:lineRule="auto"/>
        <w:rPr>
          <w:rFonts w:ascii="Arial" w:hAnsi="Arial" w:cs="Arial"/>
          <w:sz w:val="22"/>
          <w:szCs w:val="22"/>
        </w:rPr>
      </w:pPr>
      <w:r w:rsidRPr="00C11070">
        <w:rPr>
          <w:rFonts w:ascii="Arial" w:hAnsi="Arial" w:cs="Arial"/>
          <w:sz w:val="22"/>
          <w:szCs w:val="22"/>
        </w:rPr>
        <w:t>Tesco should make investments in flexible digital training platforms, improve employer branding, incorporate DEI measures into management assessment and offer continuous leadership development to increase HR effectiveness. Tesco can ensure that HR procedures are applied quickly and sustainably, promoting employee well-being and organisational performance by encouraging cooperation between HR and departmental managers. </w:t>
      </w:r>
    </w:p>
    <w:p w14:paraId="4E95831F" w14:textId="77777777" w:rsidR="000D236A" w:rsidRPr="000C0DA2" w:rsidRDefault="000D236A" w:rsidP="000D236A">
      <w:pPr>
        <w:rPr>
          <w:rFonts w:ascii="Arial" w:hAnsi="Arial" w:cs="Arial"/>
          <w:sz w:val="20"/>
          <w:szCs w:val="20"/>
        </w:rPr>
      </w:pPr>
      <w:r w:rsidRPr="00325E23">
        <w:rPr>
          <w:sz w:val="22"/>
          <w:szCs w:val="22"/>
        </w:rPr>
        <w:t> </w:t>
      </w:r>
    </w:p>
    <w:p w14:paraId="58D41BCB" w14:textId="01307BDA" w:rsidR="000D236A" w:rsidRDefault="000D236A" w:rsidP="00731804">
      <w:pPr>
        <w:pStyle w:val="Heading1"/>
      </w:pPr>
      <w:r w:rsidRPr="000C0DA2">
        <w:t> </w:t>
      </w:r>
      <w:bookmarkStart w:id="7" w:name="_Toc224568823"/>
      <w:r w:rsidR="000C0DA2" w:rsidRPr="000C0DA2">
        <w:t>Conclusion</w:t>
      </w:r>
      <w:bookmarkEnd w:id="7"/>
      <w:r w:rsidR="000C0DA2" w:rsidRPr="000C0DA2">
        <w:t xml:space="preserve"> </w:t>
      </w:r>
    </w:p>
    <w:p w14:paraId="6302AC1D" w14:textId="61E574EF" w:rsidR="000C0DA2" w:rsidRPr="00E3338D" w:rsidRDefault="000C0DA2" w:rsidP="00E3338D">
      <w:pPr>
        <w:spacing w:line="360" w:lineRule="auto"/>
        <w:rPr>
          <w:rFonts w:ascii="Arial" w:hAnsi="Arial" w:cs="Arial"/>
          <w:sz w:val="22"/>
          <w:szCs w:val="22"/>
        </w:rPr>
      </w:pPr>
      <w:r w:rsidRPr="00E3338D">
        <w:rPr>
          <w:rFonts w:ascii="Arial" w:hAnsi="Arial" w:cs="Arial"/>
          <w:sz w:val="22"/>
          <w:szCs w:val="22"/>
        </w:rPr>
        <w:t>In Conclusion, Tesco confronts difficult human resources issues related to diversity, equality and inclusion, talent acquisition and retention and technology development. Effective solutions are provided by modern HR practices, but their success depends on leadership commitment, continuous implementation and strategic alignment. Building a resilient and motivated staff requires open performance management, flexible scheduling, inclusive and ongoing learning</w:t>
      </w:r>
      <w:r w:rsidRPr="00E3338D">
        <w:rPr>
          <w:rFonts w:ascii="Arial" w:hAnsi="Arial" w:cs="Arial"/>
          <w:sz w:val="22"/>
          <w:szCs w:val="22"/>
        </w:rPr>
        <w:t>.</w:t>
      </w:r>
    </w:p>
    <w:p w14:paraId="5C3B2B49" w14:textId="77777777" w:rsidR="000D236A" w:rsidRPr="000D236A" w:rsidRDefault="000D236A" w:rsidP="000D236A">
      <w:r w:rsidRPr="000D236A">
        <w:t> </w:t>
      </w:r>
    </w:p>
    <w:p w14:paraId="64F888FA" w14:textId="77777777" w:rsidR="000D236A" w:rsidRPr="000D236A" w:rsidRDefault="000D236A" w:rsidP="000D236A">
      <w:r w:rsidRPr="000D236A">
        <w:lastRenderedPageBreak/>
        <w:t> </w:t>
      </w:r>
    </w:p>
    <w:p w14:paraId="2DABC985" w14:textId="77777777" w:rsidR="000D236A" w:rsidRPr="000D236A" w:rsidRDefault="000D236A" w:rsidP="000D236A">
      <w:r w:rsidRPr="000D236A">
        <w:t> </w:t>
      </w:r>
    </w:p>
    <w:p w14:paraId="325EBFF8" w14:textId="77777777" w:rsidR="000D236A" w:rsidRPr="000D236A" w:rsidRDefault="000D236A" w:rsidP="000D236A">
      <w:r w:rsidRPr="000D236A">
        <w:t> </w:t>
      </w:r>
    </w:p>
    <w:p w14:paraId="77F75FF6" w14:textId="77777777" w:rsidR="000D236A" w:rsidRPr="000D236A" w:rsidRDefault="000D236A" w:rsidP="000D236A">
      <w:r w:rsidRPr="000D236A">
        <w:t> </w:t>
      </w:r>
    </w:p>
    <w:p w14:paraId="68295C85" w14:textId="77777777" w:rsidR="000D236A" w:rsidRPr="000D236A" w:rsidRDefault="000D236A" w:rsidP="000D236A">
      <w:r w:rsidRPr="000D236A">
        <w:t> </w:t>
      </w:r>
    </w:p>
    <w:p w14:paraId="15CF59C6" w14:textId="77777777" w:rsidR="000D236A" w:rsidRPr="000D236A" w:rsidRDefault="000D236A" w:rsidP="000D236A">
      <w:r w:rsidRPr="000D236A">
        <w:t> </w:t>
      </w:r>
    </w:p>
    <w:p w14:paraId="4EB3B348" w14:textId="77777777" w:rsidR="000D236A" w:rsidRPr="000D236A" w:rsidRDefault="000D236A" w:rsidP="000D236A">
      <w:r w:rsidRPr="000D236A">
        <w:t> </w:t>
      </w:r>
    </w:p>
    <w:p w14:paraId="5EF1AD64" w14:textId="77777777" w:rsidR="000D236A" w:rsidRPr="000D236A" w:rsidRDefault="000D236A" w:rsidP="000D236A">
      <w:r w:rsidRPr="000D236A">
        <w:t> </w:t>
      </w:r>
    </w:p>
    <w:p w14:paraId="7895C62B" w14:textId="77777777" w:rsidR="000D236A" w:rsidRPr="000D236A" w:rsidRDefault="000D236A" w:rsidP="000D236A">
      <w:r w:rsidRPr="000D236A">
        <w:t> </w:t>
      </w:r>
    </w:p>
    <w:p w14:paraId="24E04E98" w14:textId="77777777" w:rsidR="000D236A" w:rsidRPr="000D236A" w:rsidRDefault="000D236A" w:rsidP="000D236A">
      <w:r w:rsidRPr="000D236A">
        <w:t> </w:t>
      </w:r>
    </w:p>
    <w:p w14:paraId="4C33D125" w14:textId="77777777" w:rsidR="000D236A" w:rsidRPr="000D236A" w:rsidRDefault="000D236A" w:rsidP="000D236A">
      <w:r w:rsidRPr="000D236A">
        <w:t> </w:t>
      </w:r>
    </w:p>
    <w:p w14:paraId="223EDD20" w14:textId="3359F3D7" w:rsidR="000D236A" w:rsidRPr="000D236A" w:rsidRDefault="000D236A" w:rsidP="000D236A"/>
    <w:p w14:paraId="60B5DAD5" w14:textId="77777777" w:rsidR="000D236A" w:rsidRPr="000D236A" w:rsidRDefault="000D236A" w:rsidP="003F6A1B">
      <w:pPr>
        <w:pStyle w:val="Heading1"/>
      </w:pPr>
      <w:bookmarkStart w:id="8" w:name="_Toc224568824"/>
      <w:r w:rsidRPr="000D236A">
        <w:t>References</w:t>
      </w:r>
      <w:bookmarkEnd w:id="8"/>
      <w:r w:rsidRPr="000D236A">
        <w:t>  </w:t>
      </w:r>
    </w:p>
    <w:p w14:paraId="777343F3" w14:textId="5EF48C4A" w:rsidR="000D236A" w:rsidRPr="000D236A" w:rsidRDefault="000D236A" w:rsidP="000D236A">
      <w:r w:rsidRPr="000D236A">
        <w:t>Tesco (2023). </w:t>
      </w:r>
      <w:r w:rsidRPr="000D236A">
        <w:rPr>
          <w:i/>
          <w:iCs/>
        </w:rPr>
        <w:t>Tesco to introduce new scan-free technology on self-service tills at GetGo store</w:t>
      </w:r>
      <w:r w:rsidRPr="000D236A">
        <w:t>. [online] www.tescoplc.com. Available at: </w:t>
      </w:r>
      <w:hyperlink r:id="rId7" w:tgtFrame="_blank" w:history="1">
        <w:r w:rsidRPr="000D236A">
          <w:rPr>
            <w:rStyle w:val="Hyperlink"/>
          </w:rPr>
          <w:t>https://www.tescoplc.com/tesco-to-introduce-new-scan-free-technology-on-self-service-tills-at-getgo-store/</w:t>
        </w:r>
      </w:hyperlink>
      <w:r w:rsidRPr="000D236A">
        <w:t>. </w:t>
      </w:r>
    </w:p>
    <w:p w14:paraId="31917453" w14:textId="6FCFD917" w:rsidR="000D236A" w:rsidRPr="000D236A" w:rsidRDefault="000D236A" w:rsidP="000D236A">
      <w:r w:rsidRPr="000D236A">
        <w:t>Haber, L. and Carmeli, A. (2023). Leading the challenges of implementing new technologies in organizations. </w:t>
      </w:r>
      <w:r w:rsidRPr="000D236A">
        <w:rPr>
          <w:i/>
          <w:iCs/>
        </w:rPr>
        <w:t>Technology in Society</w:t>
      </w:r>
      <w:r w:rsidRPr="000D236A">
        <w:t>, 74(102300), pp.102300–102300. doi: </w:t>
      </w:r>
      <w:hyperlink r:id="rId8" w:tgtFrame="_blank" w:history="1">
        <w:r w:rsidRPr="000D236A">
          <w:rPr>
            <w:rStyle w:val="Hyperlink"/>
          </w:rPr>
          <w:t>https://doi.org/10.1016/j.techsoc.2023.102300</w:t>
        </w:r>
      </w:hyperlink>
      <w:r w:rsidRPr="000D236A">
        <w:t>. </w:t>
      </w:r>
    </w:p>
    <w:p w14:paraId="0C7B2D2F" w14:textId="2E62A65A" w:rsidR="000D236A" w:rsidRPr="000D236A" w:rsidRDefault="000D236A" w:rsidP="000D236A">
      <w:r w:rsidRPr="000D236A">
        <w:t>Gallardo-Gallardo, E., Thunnissen, M., &amp; Scullion, H. (2020). Talent Management: Context Matters.</w:t>
      </w:r>
      <w:r w:rsidRPr="000D236A">
        <w:rPr>
          <w:rFonts w:ascii="Arial" w:hAnsi="Arial" w:cs="Arial"/>
        </w:rPr>
        <w:t> </w:t>
      </w:r>
      <w:r w:rsidRPr="000D236A">
        <w:rPr>
          <w:i/>
          <w:iCs/>
        </w:rPr>
        <w:t>The</w:t>
      </w:r>
      <w:r w:rsidRPr="000D236A">
        <w:rPr>
          <w:rFonts w:ascii="Arial" w:hAnsi="Arial" w:cs="Arial"/>
        </w:rPr>
        <w:t> </w:t>
      </w:r>
      <w:r w:rsidRPr="000D236A">
        <w:rPr>
          <w:i/>
          <w:iCs/>
        </w:rPr>
        <w:t>International</w:t>
      </w:r>
      <w:r w:rsidRPr="000D236A">
        <w:rPr>
          <w:rFonts w:ascii="Arial" w:hAnsi="Arial" w:cs="Arial"/>
        </w:rPr>
        <w:t> </w:t>
      </w:r>
      <w:r w:rsidRPr="000D236A">
        <w:rPr>
          <w:i/>
          <w:iCs/>
        </w:rPr>
        <w:t>Journal</w:t>
      </w:r>
      <w:r w:rsidRPr="000D236A">
        <w:rPr>
          <w:rFonts w:ascii="Arial" w:hAnsi="Arial" w:cs="Arial"/>
        </w:rPr>
        <w:t> </w:t>
      </w:r>
      <w:r w:rsidRPr="000D236A">
        <w:rPr>
          <w:i/>
          <w:iCs/>
        </w:rPr>
        <w:t>of</w:t>
      </w:r>
      <w:r w:rsidRPr="000D236A">
        <w:rPr>
          <w:rFonts w:ascii="Arial" w:hAnsi="Arial" w:cs="Arial"/>
        </w:rPr>
        <w:t> </w:t>
      </w:r>
      <w:r w:rsidRPr="000D236A">
        <w:rPr>
          <w:i/>
          <w:iCs/>
        </w:rPr>
        <w:t>Human</w:t>
      </w:r>
      <w:r w:rsidRPr="000D236A">
        <w:rPr>
          <w:rFonts w:ascii="Arial" w:hAnsi="Arial" w:cs="Arial"/>
        </w:rPr>
        <w:t> </w:t>
      </w:r>
      <w:r w:rsidRPr="000D236A">
        <w:rPr>
          <w:i/>
          <w:iCs/>
        </w:rPr>
        <w:t>Resource</w:t>
      </w:r>
      <w:r w:rsidRPr="000D236A">
        <w:rPr>
          <w:rFonts w:ascii="Arial" w:hAnsi="Arial" w:cs="Arial"/>
        </w:rPr>
        <w:t> </w:t>
      </w:r>
      <w:r w:rsidRPr="000D236A">
        <w:rPr>
          <w:i/>
          <w:iCs/>
        </w:rPr>
        <w:t>Management,</w:t>
      </w:r>
      <w:r w:rsidRPr="000D236A">
        <w:rPr>
          <w:rFonts w:ascii="Arial" w:hAnsi="Arial" w:cs="Arial"/>
        </w:rPr>
        <w:t> </w:t>
      </w:r>
      <w:r w:rsidRPr="000D236A">
        <w:rPr>
          <w:i/>
          <w:iCs/>
        </w:rPr>
        <w:t>31,</w:t>
      </w:r>
      <w:r w:rsidRPr="000D236A">
        <w:rPr>
          <w:rFonts w:ascii="Arial" w:hAnsi="Arial" w:cs="Arial"/>
        </w:rPr>
        <w:t> </w:t>
      </w:r>
      <w:r w:rsidRPr="000D236A">
        <w:t>457-473. </w:t>
      </w:r>
      <w:hyperlink r:id="rId9" w:tgtFrame="_blank" w:history="1">
        <w:r w:rsidRPr="000D236A">
          <w:rPr>
            <w:rStyle w:val="Hyperlink"/>
          </w:rPr>
          <w:t>https://doi.org/10.1080/09585192.2019.1642645</w:t>
        </w:r>
      </w:hyperlink>
      <w:r w:rsidRPr="000D236A">
        <w:t> </w:t>
      </w:r>
    </w:p>
    <w:p w14:paraId="3037A4F9" w14:textId="13545B92" w:rsidR="000D236A" w:rsidRPr="000D236A" w:rsidRDefault="000D236A" w:rsidP="000D236A">
      <w:r w:rsidRPr="000D236A">
        <w:t>Xiang, N. (2024). </w:t>
      </w:r>
      <w:r w:rsidRPr="000D236A">
        <w:rPr>
          <w:i/>
          <w:iCs/>
        </w:rPr>
        <w:t>Future of Talent Retention: Understanding Why Employees Leave and Why They Stay</w:t>
      </w:r>
      <w:r w:rsidRPr="000D236A">
        <w:t>. [online] Shrm.org. Available at: </w:t>
      </w:r>
      <w:hyperlink r:id="rId10" w:tgtFrame="_blank" w:history="1">
        <w:r w:rsidRPr="000D236A">
          <w:rPr>
            <w:rStyle w:val="Hyperlink"/>
          </w:rPr>
          <w:t>https://www.shrm.org/executive-network/insights/future-of-talent-retention-report-why-employees-leave</w:t>
        </w:r>
      </w:hyperlink>
      <w:r w:rsidRPr="000D236A">
        <w:t>. </w:t>
      </w:r>
    </w:p>
    <w:p w14:paraId="37E45737" w14:textId="5066D88D" w:rsidR="000D236A" w:rsidRPr="000D236A" w:rsidRDefault="000D236A" w:rsidP="000D236A">
      <w:r w:rsidRPr="000D236A">
        <w:t>ACAS (2022). </w:t>
      </w:r>
      <w:r w:rsidRPr="000D236A">
        <w:rPr>
          <w:i/>
          <w:iCs/>
        </w:rPr>
        <w:t>Making Sure Your Workplace Is Inclusive</w:t>
      </w:r>
      <w:r w:rsidRPr="000D236A">
        <w:t>. [online] ACAS. Available at: </w:t>
      </w:r>
      <w:hyperlink r:id="rId11" w:tgtFrame="_blank" w:history="1">
        <w:r w:rsidRPr="000D236A">
          <w:rPr>
            <w:rStyle w:val="Hyperlink"/>
          </w:rPr>
          <w:t>https://www.acas.org.uk/improving-equality-diversity-and-inclusion/making-your-workplace-inclusive</w:t>
        </w:r>
      </w:hyperlink>
      <w:r w:rsidRPr="000D236A">
        <w:t>. </w:t>
      </w:r>
    </w:p>
    <w:p w14:paraId="73DCA749" w14:textId="58D40084" w:rsidR="000D236A" w:rsidRPr="000D236A" w:rsidRDefault="000D236A" w:rsidP="000D236A">
      <w:r w:rsidRPr="000D236A">
        <w:t>Government Equalities Office (2010). </w:t>
      </w:r>
      <w:r w:rsidRPr="000D236A">
        <w:rPr>
          <w:i/>
          <w:iCs/>
        </w:rPr>
        <w:t>EQUALITY ACT 2010: WHAT DO I NEED TO KNOW? A SUMMARY GUIDE FOR PUBLIC SECTOR ORGANISATIONS</w:t>
      </w:r>
      <w:r w:rsidRPr="000D236A">
        <w:t xml:space="preserve">. [online] Available </w:t>
      </w:r>
      <w:r w:rsidRPr="000D236A">
        <w:lastRenderedPageBreak/>
        <w:t>at: </w:t>
      </w:r>
      <w:hyperlink r:id="rId12" w:tgtFrame="_blank" w:history="1">
        <w:r w:rsidRPr="000D236A">
          <w:rPr>
            <w:rStyle w:val="Hyperlink"/>
          </w:rPr>
          <w:t>https://assets.publishing.service.gov.uk/government/uploads/system/uploads/attachment_data/file/85021/public-sector.pdf</w:t>
        </w:r>
      </w:hyperlink>
      <w:r w:rsidRPr="000D236A">
        <w:t> </w:t>
      </w:r>
    </w:p>
    <w:p w14:paraId="75EB7DA5" w14:textId="4A45F06B" w:rsidR="000D236A" w:rsidRPr="000D236A" w:rsidRDefault="000D236A" w:rsidP="000D236A">
      <w:r w:rsidRPr="000D236A">
        <w:t>Tesco Careers. (2024). </w:t>
      </w:r>
      <w:r w:rsidRPr="000D236A">
        <w:rPr>
          <w:i/>
          <w:iCs/>
        </w:rPr>
        <w:t>Career development and opportunities</w:t>
      </w:r>
      <w:r w:rsidRPr="000D236A">
        <w:t>. [online] Available at: </w:t>
      </w:r>
      <w:hyperlink r:id="rId13" w:tgtFrame="_blank" w:history="1">
        <w:r w:rsidRPr="000D236A">
          <w:rPr>
            <w:rStyle w:val="Hyperlink"/>
          </w:rPr>
          <w:t>https://www.tesco.com/careers/en-GB/our-culture/why-work-here/career-development-opportunities?msockid=16996e92da04606f384c7beedbe461</w:t>
        </w:r>
      </w:hyperlink>
      <w:r w:rsidRPr="000D236A">
        <w:t> </w:t>
      </w:r>
    </w:p>
    <w:p w14:paraId="66401C40" w14:textId="77777777" w:rsidR="000D236A" w:rsidRPr="000D236A" w:rsidRDefault="000D236A" w:rsidP="000D236A">
      <w:r w:rsidRPr="000D236A">
        <w:t>Tesco PLC (2024). </w:t>
      </w:r>
      <w:r w:rsidRPr="000D236A">
        <w:rPr>
          <w:i/>
          <w:iCs/>
        </w:rPr>
        <w:t>Annual Report.</w:t>
      </w:r>
      <w:r w:rsidRPr="000D236A">
        <w:t> Tesco PLC </w:t>
      </w:r>
    </w:p>
    <w:p w14:paraId="4488A016" w14:textId="77777777" w:rsidR="000D236A" w:rsidRPr="000D236A" w:rsidRDefault="000D236A" w:rsidP="000D236A">
      <w:r w:rsidRPr="000D236A">
        <w:t> </w:t>
      </w:r>
    </w:p>
    <w:p w14:paraId="44DCB96C" w14:textId="3D884913" w:rsidR="000D236A" w:rsidRDefault="000D236A" w:rsidP="000D236A"/>
    <w:p w14:paraId="40AAA908" w14:textId="77777777" w:rsidR="004B53F6" w:rsidRDefault="004B53F6" w:rsidP="000D236A"/>
    <w:p w14:paraId="60DAFD8A" w14:textId="77777777" w:rsidR="004B53F6" w:rsidRDefault="004B53F6" w:rsidP="000D236A"/>
    <w:p w14:paraId="669D89FF" w14:textId="77777777" w:rsidR="004B53F6" w:rsidRDefault="004B53F6" w:rsidP="000D236A"/>
    <w:p w14:paraId="5F391EA1" w14:textId="77777777" w:rsidR="004B53F6" w:rsidRPr="000D236A" w:rsidRDefault="004B53F6" w:rsidP="000D236A"/>
    <w:p w14:paraId="51586AA0" w14:textId="1A9345D0" w:rsidR="000D236A" w:rsidRPr="000D236A" w:rsidRDefault="000D236A" w:rsidP="0049304B">
      <w:pPr>
        <w:pStyle w:val="Heading1"/>
      </w:pPr>
      <w:bookmarkStart w:id="9" w:name="_Toc224568825"/>
      <w:r w:rsidRPr="004B53F6">
        <w:t>Appendix</w:t>
      </w:r>
      <w:bookmarkEnd w:id="9"/>
      <w:r w:rsidRPr="004B53F6">
        <w:t>  </w:t>
      </w:r>
    </w:p>
    <w:tbl>
      <w:tblPr>
        <w:tblW w:w="11199" w:type="dxa"/>
        <w:tblInd w:w="-85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76"/>
        <w:gridCol w:w="3158"/>
        <w:gridCol w:w="4265"/>
      </w:tblGrid>
      <w:tr w:rsidR="000D236A" w:rsidRPr="000D236A" w14:paraId="770F664A" w14:textId="77777777" w:rsidTr="0049304B">
        <w:trPr>
          <w:trHeight w:val="45"/>
        </w:trPr>
        <w:tc>
          <w:tcPr>
            <w:tcW w:w="3614" w:type="dxa"/>
            <w:tcBorders>
              <w:top w:val="single" w:sz="6" w:space="0" w:color="156082"/>
              <w:left w:val="single" w:sz="6" w:space="0" w:color="156082"/>
              <w:bottom w:val="single" w:sz="6" w:space="0" w:color="156082"/>
              <w:right w:val="nil"/>
            </w:tcBorders>
            <w:shd w:val="clear" w:color="auto" w:fill="156082"/>
            <w:hideMark/>
          </w:tcPr>
          <w:p w14:paraId="47FF57C3" w14:textId="77777777" w:rsidR="000D236A" w:rsidRPr="0049304B" w:rsidRDefault="000D236A" w:rsidP="000D236A">
            <w:pPr>
              <w:rPr>
                <w:rFonts w:ascii="Arial" w:hAnsi="Arial" w:cs="Arial"/>
                <w:b/>
                <w:bCs/>
                <w:sz w:val="22"/>
                <w:szCs w:val="22"/>
              </w:rPr>
            </w:pPr>
            <w:r w:rsidRPr="0049304B">
              <w:rPr>
                <w:rFonts w:ascii="Arial" w:hAnsi="Arial" w:cs="Arial"/>
                <w:b/>
                <w:bCs/>
                <w:sz w:val="22"/>
                <w:szCs w:val="22"/>
              </w:rPr>
              <w:t>HR Challenge </w:t>
            </w:r>
          </w:p>
        </w:tc>
        <w:tc>
          <w:tcPr>
            <w:tcW w:w="3023" w:type="dxa"/>
            <w:tcBorders>
              <w:top w:val="single" w:sz="6" w:space="0" w:color="156082"/>
              <w:left w:val="nil"/>
              <w:bottom w:val="single" w:sz="6" w:space="0" w:color="156082"/>
              <w:right w:val="nil"/>
            </w:tcBorders>
            <w:shd w:val="clear" w:color="auto" w:fill="156082"/>
            <w:hideMark/>
          </w:tcPr>
          <w:p w14:paraId="29D6B34D" w14:textId="77777777" w:rsidR="000D236A" w:rsidRPr="0049304B" w:rsidRDefault="000D236A" w:rsidP="000D236A">
            <w:pPr>
              <w:rPr>
                <w:rFonts w:ascii="Arial" w:hAnsi="Arial" w:cs="Arial"/>
                <w:b/>
                <w:bCs/>
                <w:sz w:val="22"/>
                <w:szCs w:val="22"/>
              </w:rPr>
            </w:pPr>
            <w:r w:rsidRPr="0049304B">
              <w:rPr>
                <w:rFonts w:ascii="Arial" w:hAnsi="Arial" w:cs="Arial"/>
                <w:b/>
                <w:bCs/>
                <w:sz w:val="22"/>
                <w:szCs w:val="22"/>
              </w:rPr>
              <w:t>Contemporary HR Practice </w:t>
            </w:r>
          </w:p>
        </w:tc>
        <w:tc>
          <w:tcPr>
            <w:tcW w:w="4562" w:type="dxa"/>
            <w:tcBorders>
              <w:top w:val="single" w:sz="6" w:space="0" w:color="156082"/>
              <w:left w:val="nil"/>
              <w:bottom w:val="single" w:sz="6" w:space="0" w:color="156082"/>
              <w:right w:val="single" w:sz="6" w:space="0" w:color="156082"/>
            </w:tcBorders>
            <w:shd w:val="clear" w:color="auto" w:fill="156082"/>
            <w:hideMark/>
          </w:tcPr>
          <w:p w14:paraId="2CA9542F" w14:textId="77777777" w:rsidR="000D236A" w:rsidRPr="0049304B" w:rsidRDefault="000D236A" w:rsidP="000D236A">
            <w:pPr>
              <w:rPr>
                <w:rFonts w:ascii="Arial" w:hAnsi="Arial" w:cs="Arial"/>
                <w:b/>
                <w:bCs/>
                <w:sz w:val="22"/>
                <w:szCs w:val="22"/>
              </w:rPr>
            </w:pPr>
            <w:r w:rsidRPr="0049304B">
              <w:rPr>
                <w:rFonts w:ascii="Arial" w:hAnsi="Arial" w:cs="Arial"/>
                <w:b/>
                <w:bCs/>
                <w:sz w:val="22"/>
                <w:szCs w:val="22"/>
              </w:rPr>
              <w:t>Managerial Implementation  </w:t>
            </w:r>
          </w:p>
        </w:tc>
      </w:tr>
      <w:tr w:rsidR="000D236A" w:rsidRPr="000D236A" w14:paraId="38950529" w14:textId="77777777" w:rsidTr="0049304B">
        <w:trPr>
          <w:trHeight w:val="3555"/>
        </w:trPr>
        <w:tc>
          <w:tcPr>
            <w:tcW w:w="3614" w:type="dxa"/>
            <w:tcBorders>
              <w:top w:val="single" w:sz="6" w:space="0" w:color="45B0E1"/>
              <w:left w:val="single" w:sz="6" w:space="0" w:color="45B0E1"/>
              <w:bottom w:val="single" w:sz="6" w:space="0" w:color="45B0E1"/>
              <w:right w:val="single" w:sz="6" w:space="0" w:color="45B0E1"/>
            </w:tcBorders>
            <w:shd w:val="clear" w:color="auto" w:fill="C1E4F5"/>
            <w:hideMark/>
          </w:tcPr>
          <w:p w14:paraId="24D40F35" w14:textId="77777777" w:rsidR="000D236A" w:rsidRPr="0049304B" w:rsidRDefault="000D236A" w:rsidP="000D236A">
            <w:pPr>
              <w:rPr>
                <w:rFonts w:ascii="Arial" w:hAnsi="Arial" w:cs="Arial"/>
                <w:b/>
                <w:bCs/>
                <w:sz w:val="22"/>
                <w:szCs w:val="22"/>
              </w:rPr>
            </w:pPr>
            <w:r w:rsidRPr="0049304B">
              <w:rPr>
                <w:rFonts w:ascii="Arial" w:hAnsi="Arial" w:cs="Arial"/>
                <w:b/>
                <w:bCs/>
                <w:sz w:val="22"/>
                <w:szCs w:val="22"/>
              </w:rPr>
              <w:t>Technological Advancement –</w:t>
            </w:r>
            <w:r w:rsidRPr="0049304B">
              <w:rPr>
                <w:rFonts w:ascii="Arial" w:hAnsi="Arial" w:cs="Arial"/>
                <w:sz w:val="22"/>
                <w:szCs w:val="22"/>
              </w:rPr>
              <w:t> self-service systems, automation, digital platforms at Tesco </w:t>
            </w:r>
            <w:r w:rsidRPr="0049304B">
              <w:rPr>
                <w:rFonts w:ascii="Arial" w:hAnsi="Arial" w:cs="Arial"/>
                <w:b/>
                <w:bCs/>
                <w:sz w:val="22"/>
                <w:szCs w:val="22"/>
              </w:rPr>
              <w:t> </w:t>
            </w:r>
          </w:p>
        </w:tc>
        <w:tc>
          <w:tcPr>
            <w:tcW w:w="3023" w:type="dxa"/>
            <w:tcBorders>
              <w:top w:val="single" w:sz="6" w:space="0" w:color="45B0E1"/>
              <w:left w:val="single" w:sz="6" w:space="0" w:color="45B0E1"/>
              <w:bottom w:val="single" w:sz="6" w:space="0" w:color="45B0E1"/>
              <w:right w:val="single" w:sz="6" w:space="0" w:color="45B0E1"/>
            </w:tcBorders>
            <w:shd w:val="clear" w:color="auto" w:fill="C1E4F5"/>
            <w:hideMark/>
          </w:tcPr>
          <w:p w14:paraId="76583480" w14:textId="77777777" w:rsidR="000D236A" w:rsidRPr="0049304B" w:rsidRDefault="000D236A" w:rsidP="000D236A">
            <w:pPr>
              <w:rPr>
                <w:rFonts w:ascii="Arial" w:hAnsi="Arial" w:cs="Arial"/>
                <w:sz w:val="22"/>
                <w:szCs w:val="22"/>
              </w:rPr>
            </w:pPr>
            <w:r w:rsidRPr="0049304B">
              <w:rPr>
                <w:rFonts w:ascii="Arial" w:hAnsi="Arial" w:cs="Arial"/>
                <w:sz w:val="22"/>
                <w:szCs w:val="22"/>
              </w:rPr>
              <w:t> </w:t>
            </w:r>
          </w:p>
          <w:p w14:paraId="30E300F2" w14:textId="77777777" w:rsidR="000D236A" w:rsidRPr="0049304B" w:rsidRDefault="000D236A" w:rsidP="000D236A">
            <w:pPr>
              <w:numPr>
                <w:ilvl w:val="0"/>
                <w:numId w:val="8"/>
              </w:numPr>
              <w:rPr>
                <w:rFonts w:ascii="Arial" w:hAnsi="Arial" w:cs="Arial"/>
                <w:sz w:val="22"/>
                <w:szCs w:val="22"/>
              </w:rPr>
            </w:pPr>
            <w:r w:rsidRPr="0049304B">
              <w:rPr>
                <w:rFonts w:ascii="Arial" w:hAnsi="Arial" w:cs="Arial"/>
                <w:sz w:val="22"/>
                <w:szCs w:val="22"/>
              </w:rPr>
              <w:t>Continuous learning and digital training platforms </w:t>
            </w:r>
          </w:p>
          <w:p w14:paraId="0FA813DE" w14:textId="77777777" w:rsidR="000D236A" w:rsidRPr="0049304B" w:rsidRDefault="000D236A" w:rsidP="000D236A">
            <w:pPr>
              <w:numPr>
                <w:ilvl w:val="0"/>
                <w:numId w:val="9"/>
              </w:numPr>
              <w:rPr>
                <w:rFonts w:ascii="Arial" w:hAnsi="Arial" w:cs="Arial"/>
                <w:sz w:val="22"/>
                <w:szCs w:val="22"/>
              </w:rPr>
            </w:pPr>
            <w:r w:rsidRPr="0049304B">
              <w:rPr>
                <w:rFonts w:ascii="Arial" w:hAnsi="Arial" w:cs="Arial"/>
                <w:sz w:val="22"/>
                <w:szCs w:val="22"/>
              </w:rPr>
              <w:t>Upskilling and reskilling programmes </w:t>
            </w:r>
          </w:p>
          <w:p w14:paraId="3E0ED7DB" w14:textId="77777777" w:rsidR="000D236A" w:rsidRPr="0049304B" w:rsidRDefault="000D236A" w:rsidP="000D236A">
            <w:pPr>
              <w:numPr>
                <w:ilvl w:val="0"/>
                <w:numId w:val="10"/>
              </w:numPr>
              <w:rPr>
                <w:rFonts w:ascii="Arial" w:hAnsi="Arial" w:cs="Arial"/>
                <w:sz w:val="22"/>
                <w:szCs w:val="22"/>
              </w:rPr>
            </w:pPr>
            <w:r w:rsidRPr="0049304B">
              <w:rPr>
                <w:rFonts w:ascii="Arial" w:hAnsi="Arial" w:cs="Arial"/>
                <w:sz w:val="22"/>
                <w:szCs w:val="22"/>
              </w:rPr>
              <w:t>Agile HR practices such as piloting, feedback loops </w:t>
            </w:r>
          </w:p>
          <w:p w14:paraId="5A7BCCD7" w14:textId="77777777" w:rsidR="000D236A" w:rsidRPr="0049304B" w:rsidRDefault="000D236A" w:rsidP="000D236A">
            <w:pPr>
              <w:numPr>
                <w:ilvl w:val="0"/>
                <w:numId w:val="11"/>
              </w:numPr>
              <w:rPr>
                <w:rFonts w:ascii="Arial" w:hAnsi="Arial" w:cs="Arial"/>
                <w:sz w:val="22"/>
                <w:szCs w:val="22"/>
              </w:rPr>
            </w:pPr>
            <w:r w:rsidRPr="0049304B">
              <w:rPr>
                <w:rFonts w:ascii="Arial" w:hAnsi="Arial" w:cs="Arial"/>
                <w:sz w:val="22"/>
                <w:szCs w:val="22"/>
              </w:rPr>
              <w:t>HR analytics to identify skills gaps  </w:t>
            </w:r>
          </w:p>
        </w:tc>
        <w:tc>
          <w:tcPr>
            <w:tcW w:w="4562" w:type="dxa"/>
            <w:tcBorders>
              <w:top w:val="single" w:sz="6" w:space="0" w:color="45B0E1"/>
              <w:left w:val="single" w:sz="6" w:space="0" w:color="45B0E1"/>
              <w:bottom w:val="single" w:sz="6" w:space="0" w:color="45B0E1"/>
              <w:right w:val="single" w:sz="6" w:space="0" w:color="45B0E1"/>
            </w:tcBorders>
            <w:shd w:val="clear" w:color="auto" w:fill="C1E4F5"/>
            <w:hideMark/>
          </w:tcPr>
          <w:p w14:paraId="5A6E3D9A" w14:textId="77777777" w:rsidR="000D236A" w:rsidRPr="0049304B" w:rsidRDefault="000D236A" w:rsidP="000D236A">
            <w:pPr>
              <w:rPr>
                <w:rFonts w:ascii="Arial" w:hAnsi="Arial" w:cs="Arial"/>
                <w:sz w:val="22"/>
                <w:szCs w:val="22"/>
              </w:rPr>
            </w:pPr>
            <w:r w:rsidRPr="0049304B">
              <w:rPr>
                <w:rFonts w:ascii="Arial" w:hAnsi="Arial" w:cs="Arial"/>
                <w:sz w:val="22"/>
                <w:szCs w:val="22"/>
              </w:rPr>
              <w:t> </w:t>
            </w:r>
          </w:p>
          <w:p w14:paraId="523E338E" w14:textId="77777777" w:rsidR="000D236A" w:rsidRPr="0049304B" w:rsidRDefault="000D236A" w:rsidP="000D236A">
            <w:pPr>
              <w:numPr>
                <w:ilvl w:val="0"/>
                <w:numId w:val="12"/>
              </w:numPr>
              <w:rPr>
                <w:rFonts w:ascii="Arial" w:hAnsi="Arial" w:cs="Arial"/>
                <w:sz w:val="22"/>
                <w:szCs w:val="22"/>
              </w:rPr>
            </w:pPr>
            <w:r w:rsidRPr="0049304B">
              <w:rPr>
                <w:rFonts w:ascii="Arial" w:hAnsi="Arial" w:cs="Arial"/>
                <w:sz w:val="22"/>
                <w:szCs w:val="22"/>
              </w:rPr>
              <w:t>Schedule staff for digital training  </w:t>
            </w:r>
          </w:p>
          <w:p w14:paraId="374CBD08" w14:textId="77777777" w:rsidR="000D236A" w:rsidRPr="0049304B" w:rsidRDefault="000D236A" w:rsidP="000D236A">
            <w:pPr>
              <w:numPr>
                <w:ilvl w:val="0"/>
                <w:numId w:val="13"/>
              </w:numPr>
              <w:rPr>
                <w:rFonts w:ascii="Arial" w:hAnsi="Arial" w:cs="Arial"/>
                <w:sz w:val="22"/>
                <w:szCs w:val="22"/>
              </w:rPr>
            </w:pPr>
            <w:r w:rsidRPr="0049304B">
              <w:rPr>
                <w:rFonts w:ascii="Arial" w:hAnsi="Arial" w:cs="Arial"/>
                <w:sz w:val="22"/>
                <w:szCs w:val="22"/>
              </w:rPr>
              <w:t>Support employees during transition to new systems </w:t>
            </w:r>
          </w:p>
          <w:p w14:paraId="15FCABB5" w14:textId="77777777" w:rsidR="000D236A" w:rsidRPr="0049304B" w:rsidRDefault="000D236A" w:rsidP="000D236A">
            <w:pPr>
              <w:numPr>
                <w:ilvl w:val="0"/>
                <w:numId w:val="14"/>
              </w:numPr>
              <w:rPr>
                <w:rFonts w:ascii="Arial" w:hAnsi="Arial" w:cs="Arial"/>
                <w:sz w:val="22"/>
                <w:szCs w:val="22"/>
              </w:rPr>
            </w:pPr>
            <w:r w:rsidRPr="0049304B">
              <w:rPr>
                <w:rFonts w:ascii="Arial" w:hAnsi="Arial" w:cs="Arial"/>
                <w:sz w:val="22"/>
                <w:szCs w:val="22"/>
              </w:rPr>
              <w:t>Monitor performance and technology usage  </w:t>
            </w:r>
          </w:p>
          <w:p w14:paraId="19540364" w14:textId="77777777" w:rsidR="000D236A" w:rsidRPr="0049304B" w:rsidRDefault="000D236A" w:rsidP="000D236A">
            <w:pPr>
              <w:numPr>
                <w:ilvl w:val="0"/>
                <w:numId w:val="15"/>
              </w:numPr>
              <w:rPr>
                <w:rFonts w:ascii="Arial" w:hAnsi="Arial" w:cs="Arial"/>
                <w:sz w:val="22"/>
                <w:szCs w:val="22"/>
              </w:rPr>
            </w:pPr>
            <w:r w:rsidRPr="0049304B">
              <w:rPr>
                <w:rFonts w:ascii="Arial" w:hAnsi="Arial" w:cs="Arial"/>
                <w:sz w:val="22"/>
                <w:szCs w:val="22"/>
              </w:rPr>
              <w:t>Provide feedback to HR on adoption challenges </w:t>
            </w:r>
          </w:p>
          <w:p w14:paraId="4712D57D" w14:textId="77777777" w:rsidR="000D236A" w:rsidRPr="0049304B" w:rsidRDefault="000D236A" w:rsidP="000D236A">
            <w:pPr>
              <w:numPr>
                <w:ilvl w:val="0"/>
                <w:numId w:val="16"/>
              </w:numPr>
              <w:rPr>
                <w:rFonts w:ascii="Arial" w:hAnsi="Arial" w:cs="Arial"/>
                <w:sz w:val="22"/>
                <w:szCs w:val="22"/>
              </w:rPr>
            </w:pPr>
            <w:r w:rsidRPr="0049304B">
              <w:rPr>
                <w:rFonts w:ascii="Arial" w:hAnsi="Arial" w:cs="Arial"/>
                <w:sz w:val="22"/>
                <w:szCs w:val="22"/>
              </w:rPr>
              <w:t>Reduces resistance through clear communication </w:t>
            </w:r>
          </w:p>
        </w:tc>
      </w:tr>
      <w:tr w:rsidR="000D236A" w:rsidRPr="000D236A" w14:paraId="6179FB76" w14:textId="77777777" w:rsidTr="0049304B">
        <w:trPr>
          <w:trHeight w:val="2745"/>
        </w:trPr>
        <w:tc>
          <w:tcPr>
            <w:tcW w:w="3614" w:type="dxa"/>
            <w:tcBorders>
              <w:top w:val="single" w:sz="6" w:space="0" w:color="45B0E1"/>
              <w:left w:val="single" w:sz="6" w:space="0" w:color="45B0E1"/>
              <w:bottom w:val="single" w:sz="6" w:space="0" w:color="45B0E1"/>
              <w:right w:val="single" w:sz="6" w:space="0" w:color="45B0E1"/>
            </w:tcBorders>
            <w:hideMark/>
          </w:tcPr>
          <w:p w14:paraId="47F3CD30" w14:textId="77777777" w:rsidR="000D236A" w:rsidRPr="0049304B" w:rsidRDefault="000D236A" w:rsidP="000D236A">
            <w:pPr>
              <w:rPr>
                <w:rFonts w:ascii="Arial" w:hAnsi="Arial" w:cs="Arial"/>
                <w:b/>
                <w:bCs/>
                <w:sz w:val="22"/>
                <w:szCs w:val="22"/>
              </w:rPr>
            </w:pPr>
            <w:r w:rsidRPr="0049304B">
              <w:rPr>
                <w:rFonts w:ascii="Arial" w:hAnsi="Arial" w:cs="Arial"/>
                <w:b/>
                <w:bCs/>
                <w:sz w:val="22"/>
                <w:szCs w:val="22"/>
              </w:rPr>
              <w:t>Talent Acquisition-</w:t>
            </w:r>
            <w:r w:rsidRPr="0049304B">
              <w:rPr>
                <w:rFonts w:ascii="Arial" w:hAnsi="Arial" w:cs="Arial"/>
                <w:sz w:val="22"/>
                <w:szCs w:val="22"/>
              </w:rPr>
              <w:t>competitive Uk retail labour market</w:t>
            </w:r>
            <w:r w:rsidRPr="0049304B">
              <w:rPr>
                <w:rFonts w:ascii="Arial" w:hAnsi="Arial" w:cs="Arial"/>
                <w:b/>
                <w:bCs/>
                <w:sz w:val="22"/>
                <w:szCs w:val="22"/>
              </w:rPr>
              <w:t>  </w:t>
            </w:r>
          </w:p>
        </w:tc>
        <w:tc>
          <w:tcPr>
            <w:tcW w:w="3023" w:type="dxa"/>
            <w:tcBorders>
              <w:top w:val="single" w:sz="6" w:space="0" w:color="45B0E1"/>
              <w:left w:val="single" w:sz="6" w:space="0" w:color="45B0E1"/>
              <w:bottom w:val="single" w:sz="6" w:space="0" w:color="45B0E1"/>
              <w:right w:val="single" w:sz="6" w:space="0" w:color="45B0E1"/>
            </w:tcBorders>
            <w:vAlign w:val="center"/>
            <w:hideMark/>
          </w:tcPr>
          <w:p w14:paraId="6F13755D" w14:textId="77777777" w:rsidR="000D236A" w:rsidRPr="0049304B" w:rsidRDefault="000D236A" w:rsidP="000D236A">
            <w:pPr>
              <w:numPr>
                <w:ilvl w:val="0"/>
                <w:numId w:val="17"/>
              </w:numPr>
              <w:rPr>
                <w:rFonts w:ascii="Arial" w:hAnsi="Arial" w:cs="Arial"/>
                <w:sz w:val="22"/>
                <w:szCs w:val="22"/>
              </w:rPr>
            </w:pPr>
            <w:r w:rsidRPr="0049304B">
              <w:rPr>
                <w:rFonts w:ascii="Arial" w:hAnsi="Arial" w:cs="Arial"/>
                <w:sz w:val="22"/>
                <w:szCs w:val="22"/>
              </w:rPr>
              <w:t>Digital recruitment platforms and AI screening  </w:t>
            </w:r>
          </w:p>
          <w:p w14:paraId="588A6333" w14:textId="77777777" w:rsidR="000D236A" w:rsidRPr="0049304B" w:rsidRDefault="000D236A" w:rsidP="000D236A">
            <w:pPr>
              <w:numPr>
                <w:ilvl w:val="0"/>
                <w:numId w:val="18"/>
              </w:numPr>
              <w:rPr>
                <w:rFonts w:ascii="Arial" w:hAnsi="Arial" w:cs="Arial"/>
                <w:sz w:val="22"/>
                <w:szCs w:val="22"/>
              </w:rPr>
            </w:pPr>
            <w:r w:rsidRPr="0049304B">
              <w:rPr>
                <w:rFonts w:ascii="Arial" w:hAnsi="Arial" w:cs="Arial"/>
                <w:sz w:val="22"/>
                <w:szCs w:val="22"/>
              </w:rPr>
              <w:t>Strong employer branding  </w:t>
            </w:r>
          </w:p>
          <w:p w14:paraId="500C8374" w14:textId="77777777" w:rsidR="000D236A" w:rsidRPr="0049304B" w:rsidRDefault="000D236A" w:rsidP="000D236A">
            <w:pPr>
              <w:numPr>
                <w:ilvl w:val="0"/>
                <w:numId w:val="19"/>
              </w:numPr>
              <w:rPr>
                <w:rFonts w:ascii="Arial" w:hAnsi="Arial" w:cs="Arial"/>
                <w:sz w:val="22"/>
                <w:szCs w:val="22"/>
              </w:rPr>
            </w:pPr>
            <w:r w:rsidRPr="0049304B">
              <w:rPr>
                <w:rFonts w:ascii="Arial" w:hAnsi="Arial" w:cs="Arial"/>
                <w:sz w:val="22"/>
                <w:szCs w:val="22"/>
              </w:rPr>
              <w:t>Structured interviews and value-based selection </w:t>
            </w:r>
          </w:p>
          <w:p w14:paraId="0B1BD083" w14:textId="77777777" w:rsidR="000D236A" w:rsidRPr="0049304B" w:rsidRDefault="000D236A" w:rsidP="000D236A">
            <w:pPr>
              <w:numPr>
                <w:ilvl w:val="0"/>
                <w:numId w:val="20"/>
              </w:numPr>
              <w:rPr>
                <w:rFonts w:ascii="Arial" w:hAnsi="Arial" w:cs="Arial"/>
                <w:sz w:val="22"/>
                <w:szCs w:val="22"/>
              </w:rPr>
            </w:pPr>
            <w:r w:rsidRPr="0049304B">
              <w:rPr>
                <w:rFonts w:ascii="Arial" w:hAnsi="Arial" w:cs="Arial"/>
                <w:sz w:val="22"/>
                <w:szCs w:val="22"/>
              </w:rPr>
              <w:lastRenderedPageBreak/>
              <w:t>Apprenticeship and internal promotion pathways  </w:t>
            </w:r>
          </w:p>
        </w:tc>
        <w:tc>
          <w:tcPr>
            <w:tcW w:w="4562" w:type="dxa"/>
            <w:tcBorders>
              <w:top w:val="single" w:sz="6" w:space="0" w:color="45B0E1"/>
              <w:left w:val="single" w:sz="6" w:space="0" w:color="45B0E1"/>
              <w:bottom w:val="single" w:sz="6" w:space="0" w:color="45B0E1"/>
              <w:right w:val="single" w:sz="6" w:space="0" w:color="45B0E1"/>
            </w:tcBorders>
            <w:hideMark/>
          </w:tcPr>
          <w:p w14:paraId="451ADD20" w14:textId="77777777" w:rsidR="000D236A" w:rsidRPr="0049304B" w:rsidRDefault="000D236A" w:rsidP="000D236A">
            <w:pPr>
              <w:rPr>
                <w:rFonts w:ascii="Arial" w:hAnsi="Arial" w:cs="Arial"/>
                <w:sz w:val="22"/>
                <w:szCs w:val="22"/>
              </w:rPr>
            </w:pPr>
            <w:r w:rsidRPr="0049304B">
              <w:rPr>
                <w:rFonts w:ascii="Arial" w:hAnsi="Arial" w:cs="Arial"/>
                <w:sz w:val="22"/>
                <w:szCs w:val="22"/>
              </w:rPr>
              <w:lastRenderedPageBreak/>
              <w:t>Participate in structured and fair interviews  </w:t>
            </w:r>
          </w:p>
          <w:p w14:paraId="32A1DC8F" w14:textId="77777777" w:rsidR="000D236A" w:rsidRPr="0049304B" w:rsidRDefault="000D236A" w:rsidP="000D236A">
            <w:pPr>
              <w:rPr>
                <w:rFonts w:ascii="Arial" w:hAnsi="Arial" w:cs="Arial"/>
                <w:sz w:val="22"/>
                <w:szCs w:val="22"/>
              </w:rPr>
            </w:pPr>
            <w:r w:rsidRPr="0049304B">
              <w:rPr>
                <w:rFonts w:ascii="Arial" w:hAnsi="Arial" w:cs="Arial"/>
                <w:sz w:val="22"/>
                <w:szCs w:val="22"/>
              </w:rPr>
              <w:t>Promote Tesco values during recruitment  </w:t>
            </w:r>
          </w:p>
          <w:p w14:paraId="06971BD1" w14:textId="77777777" w:rsidR="000D236A" w:rsidRPr="0049304B" w:rsidRDefault="000D236A" w:rsidP="000D236A">
            <w:pPr>
              <w:rPr>
                <w:rFonts w:ascii="Arial" w:hAnsi="Arial" w:cs="Arial"/>
                <w:sz w:val="22"/>
                <w:szCs w:val="22"/>
              </w:rPr>
            </w:pPr>
            <w:r w:rsidRPr="0049304B">
              <w:rPr>
                <w:rFonts w:ascii="Arial" w:hAnsi="Arial" w:cs="Arial"/>
                <w:sz w:val="22"/>
                <w:szCs w:val="22"/>
              </w:rPr>
              <w:t>Identify internal talent for promotion </w:t>
            </w:r>
          </w:p>
          <w:p w14:paraId="6E12C770" w14:textId="77777777" w:rsidR="000D236A" w:rsidRPr="0049304B" w:rsidRDefault="000D236A" w:rsidP="000D236A">
            <w:pPr>
              <w:rPr>
                <w:rFonts w:ascii="Arial" w:hAnsi="Arial" w:cs="Arial"/>
                <w:sz w:val="22"/>
                <w:szCs w:val="22"/>
              </w:rPr>
            </w:pPr>
            <w:r w:rsidRPr="0049304B">
              <w:rPr>
                <w:rFonts w:ascii="Arial" w:hAnsi="Arial" w:cs="Arial"/>
                <w:sz w:val="22"/>
                <w:szCs w:val="22"/>
              </w:rPr>
              <w:t>Ensure realistic job previews and clear expectations  </w:t>
            </w:r>
          </w:p>
        </w:tc>
      </w:tr>
      <w:tr w:rsidR="000D236A" w:rsidRPr="000D236A" w14:paraId="55D33AFF" w14:textId="77777777" w:rsidTr="0049304B">
        <w:trPr>
          <w:trHeight w:val="2730"/>
        </w:trPr>
        <w:tc>
          <w:tcPr>
            <w:tcW w:w="3614" w:type="dxa"/>
            <w:tcBorders>
              <w:top w:val="single" w:sz="6" w:space="0" w:color="45B0E1"/>
              <w:left w:val="single" w:sz="6" w:space="0" w:color="45B0E1"/>
              <w:bottom w:val="single" w:sz="6" w:space="0" w:color="45B0E1"/>
              <w:right w:val="single" w:sz="6" w:space="0" w:color="45B0E1"/>
            </w:tcBorders>
            <w:shd w:val="clear" w:color="auto" w:fill="C1E4F5"/>
            <w:hideMark/>
          </w:tcPr>
          <w:p w14:paraId="1FB0CDBD" w14:textId="77777777" w:rsidR="000D236A" w:rsidRPr="0049304B" w:rsidRDefault="000D236A" w:rsidP="000D236A">
            <w:pPr>
              <w:rPr>
                <w:rFonts w:ascii="Arial" w:hAnsi="Arial" w:cs="Arial"/>
                <w:b/>
                <w:bCs/>
                <w:sz w:val="22"/>
                <w:szCs w:val="22"/>
              </w:rPr>
            </w:pPr>
            <w:r w:rsidRPr="0049304B">
              <w:rPr>
                <w:rFonts w:ascii="Arial" w:hAnsi="Arial" w:cs="Arial"/>
                <w:b/>
                <w:bCs/>
                <w:sz w:val="22"/>
                <w:szCs w:val="22"/>
              </w:rPr>
              <w:t>Talent Retention -</w:t>
            </w:r>
            <w:r w:rsidRPr="0049304B">
              <w:rPr>
                <w:rFonts w:ascii="Arial" w:hAnsi="Arial" w:cs="Arial"/>
                <w:sz w:val="22"/>
                <w:szCs w:val="22"/>
              </w:rPr>
              <w:t>High turnover, low motivation, work life imbalance</w:t>
            </w:r>
            <w:r w:rsidRPr="0049304B">
              <w:rPr>
                <w:rFonts w:ascii="Arial" w:hAnsi="Arial" w:cs="Arial"/>
                <w:b/>
                <w:bCs/>
                <w:sz w:val="22"/>
                <w:szCs w:val="22"/>
              </w:rPr>
              <w:t>  </w:t>
            </w:r>
          </w:p>
        </w:tc>
        <w:tc>
          <w:tcPr>
            <w:tcW w:w="3023" w:type="dxa"/>
            <w:tcBorders>
              <w:top w:val="single" w:sz="6" w:space="0" w:color="45B0E1"/>
              <w:left w:val="single" w:sz="6" w:space="0" w:color="45B0E1"/>
              <w:bottom w:val="single" w:sz="6" w:space="0" w:color="45B0E1"/>
              <w:right w:val="single" w:sz="6" w:space="0" w:color="45B0E1"/>
            </w:tcBorders>
            <w:shd w:val="clear" w:color="auto" w:fill="C1E4F5"/>
            <w:hideMark/>
          </w:tcPr>
          <w:p w14:paraId="5CD18667" w14:textId="77777777" w:rsidR="000D236A" w:rsidRPr="0049304B" w:rsidRDefault="000D236A" w:rsidP="000D236A">
            <w:pPr>
              <w:numPr>
                <w:ilvl w:val="0"/>
                <w:numId w:val="21"/>
              </w:numPr>
              <w:rPr>
                <w:rFonts w:ascii="Arial" w:hAnsi="Arial" w:cs="Arial"/>
                <w:sz w:val="22"/>
                <w:szCs w:val="22"/>
              </w:rPr>
            </w:pPr>
            <w:r w:rsidRPr="0049304B">
              <w:rPr>
                <w:rFonts w:ascii="Arial" w:hAnsi="Arial" w:cs="Arial"/>
                <w:sz w:val="22"/>
                <w:szCs w:val="22"/>
              </w:rPr>
              <w:t>Flexible working arrangements </w:t>
            </w:r>
          </w:p>
          <w:p w14:paraId="6D1E06D7" w14:textId="77777777" w:rsidR="000D236A" w:rsidRPr="0049304B" w:rsidRDefault="000D236A" w:rsidP="000D236A">
            <w:pPr>
              <w:numPr>
                <w:ilvl w:val="0"/>
                <w:numId w:val="22"/>
              </w:numPr>
              <w:rPr>
                <w:rFonts w:ascii="Arial" w:hAnsi="Arial" w:cs="Arial"/>
                <w:sz w:val="22"/>
                <w:szCs w:val="22"/>
              </w:rPr>
            </w:pPr>
            <w:r w:rsidRPr="0049304B">
              <w:rPr>
                <w:rFonts w:ascii="Arial" w:hAnsi="Arial" w:cs="Arial"/>
                <w:sz w:val="22"/>
                <w:szCs w:val="22"/>
              </w:rPr>
              <w:t>Transparent reward systems </w:t>
            </w:r>
          </w:p>
          <w:p w14:paraId="33F955C0" w14:textId="77777777" w:rsidR="000D236A" w:rsidRPr="0049304B" w:rsidRDefault="000D236A" w:rsidP="000D236A">
            <w:pPr>
              <w:numPr>
                <w:ilvl w:val="0"/>
                <w:numId w:val="23"/>
              </w:numPr>
              <w:rPr>
                <w:rFonts w:ascii="Arial" w:hAnsi="Arial" w:cs="Arial"/>
                <w:sz w:val="22"/>
                <w:szCs w:val="22"/>
              </w:rPr>
            </w:pPr>
            <w:r w:rsidRPr="0049304B">
              <w:rPr>
                <w:rFonts w:ascii="Arial" w:hAnsi="Arial" w:cs="Arial"/>
                <w:sz w:val="22"/>
                <w:szCs w:val="22"/>
              </w:rPr>
              <w:t>Performance management systems </w:t>
            </w:r>
          </w:p>
          <w:p w14:paraId="7F5B7319" w14:textId="77777777" w:rsidR="000D236A" w:rsidRPr="0049304B" w:rsidRDefault="000D236A" w:rsidP="000D236A">
            <w:pPr>
              <w:numPr>
                <w:ilvl w:val="0"/>
                <w:numId w:val="24"/>
              </w:numPr>
              <w:rPr>
                <w:rFonts w:ascii="Arial" w:hAnsi="Arial" w:cs="Arial"/>
                <w:sz w:val="22"/>
                <w:szCs w:val="22"/>
              </w:rPr>
            </w:pPr>
            <w:r w:rsidRPr="0049304B">
              <w:rPr>
                <w:rFonts w:ascii="Arial" w:hAnsi="Arial" w:cs="Arial"/>
                <w:sz w:val="22"/>
                <w:szCs w:val="22"/>
              </w:rPr>
              <w:t>Mentoring and career development programmes </w:t>
            </w:r>
          </w:p>
          <w:p w14:paraId="725B89CE" w14:textId="77777777" w:rsidR="000D236A" w:rsidRPr="0049304B" w:rsidRDefault="000D236A" w:rsidP="000D236A">
            <w:pPr>
              <w:rPr>
                <w:rFonts w:ascii="Arial" w:hAnsi="Arial" w:cs="Arial"/>
                <w:sz w:val="22"/>
                <w:szCs w:val="22"/>
              </w:rPr>
            </w:pPr>
            <w:r w:rsidRPr="0049304B">
              <w:rPr>
                <w:rFonts w:ascii="Arial" w:hAnsi="Arial" w:cs="Arial"/>
                <w:sz w:val="22"/>
                <w:szCs w:val="22"/>
              </w:rPr>
              <w:t> </w:t>
            </w:r>
          </w:p>
        </w:tc>
        <w:tc>
          <w:tcPr>
            <w:tcW w:w="4562" w:type="dxa"/>
            <w:tcBorders>
              <w:top w:val="single" w:sz="6" w:space="0" w:color="45B0E1"/>
              <w:left w:val="single" w:sz="6" w:space="0" w:color="45B0E1"/>
              <w:bottom w:val="single" w:sz="6" w:space="0" w:color="45B0E1"/>
              <w:right w:val="single" w:sz="6" w:space="0" w:color="45B0E1"/>
            </w:tcBorders>
            <w:shd w:val="clear" w:color="auto" w:fill="C1E4F5"/>
            <w:hideMark/>
          </w:tcPr>
          <w:p w14:paraId="3CC28A43" w14:textId="77777777" w:rsidR="000D236A" w:rsidRPr="0049304B" w:rsidRDefault="000D236A" w:rsidP="000D236A">
            <w:pPr>
              <w:numPr>
                <w:ilvl w:val="0"/>
                <w:numId w:val="25"/>
              </w:numPr>
              <w:rPr>
                <w:rFonts w:ascii="Arial" w:hAnsi="Arial" w:cs="Arial"/>
                <w:sz w:val="22"/>
                <w:szCs w:val="22"/>
              </w:rPr>
            </w:pPr>
            <w:r w:rsidRPr="0049304B">
              <w:rPr>
                <w:rFonts w:ascii="Arial" w:hAnsi="Arial" w:cs="Arial"/>
                <w:sz w:val="22"/>
                <w:szCs w:val="22"/>
              </w:rPr>
              <w:t>Create flexible shift schedules </w:t>
            </w:r>
          </w:p>
          <w:p w14:paraId="0E3F11DF" w14:textId="77777777" w:rsidR="000D236A" w:rsidRPr="0049304B" w:rsidRDefault="000D236A" w:rsidP="000D236A">
            <w:pPr>
              <w:numPr>
                <w:ilvl w:val="0"/>
                <w:numId w:val="26"/>
              </w:numPr>
              <w:rPr>
                <w:rFonts w:ascii="Arial" w:hAnsi="Arial" w:cs="Arial"/>
                <w:sz w:val="22"/>
                <w:szCs w:val="22"/>
              </w:rPr>
            </w:pPr>
            <w:r w:rsidRPr="0049304B">
              <w:rPr>
                <w:rFonts w:ascii="Arial" w:hAnsi="Arial" w:cs="Arial"/>
                <w:sz w:val="22"/>
                <w:szCs w:val="22"/>
              </w:rPr>
              <w:t>Conduct regular performance  </w:t>
            </w:r>
          </w:p>
          <w:p w14:paraId="249D5036" w14:textId="77777777" w:rsidR="000D236A" w:rsidRPr="0049304B" w:rsidRDefault="000D236A" w:rsidP="000D236A">
            <w:pPr>
              <w:numPr>
                <w:ilvl w:val="0"/>
                <w:numId w:val="27"/>
              </w:numPr>
              <w:rPr>
                <w:rFonts w:ascii="Arial" w:hAnsi="Arial" w:cs="Arial"/>
                <w:sz w:val="22"/>
                <w:szCs w:val="22"/>
              </w:rPr>
            </w:pPr>
            <w:r w:rsidRPr="0049304B">
              <w:rPr>
                <w:rFonts w:ascii="Arial" w:hAnsi="Arial" w:cs="Arial"/>
                <w:sz w:val="22"/>
                <w:szCs w:val="22"/>
              </w:rPr>
              <w:t>Provide mentoring and coaching </w:t>
            </w:r>
          </w:p>
          <w:p w14:paraId="421AE3EF" w14:textId="77777777" w:rsidR="000D236A" w:rsidRPr="0049304B" w:rsidRDefault="000D236A" w:rsidP="000D236A">
            <w:pPr>
              <w:numPr>
                <w:ilvl w:val="0"/>
                <w:numId w:val="28"/>
              </w:numPr>
              <w:rPr>
                <w:rFonts w:ascii="Arial" w:hAnsi="Arial" w:cs="Arial"/>
                <w:sz w:val="22"/>
                <w:szCs w:val="22"/>
              </w:rPr>
            </w:pPr>
            <w:r w:rsidRPr="0049304B">
              <w:rPr>
                <w:rFonts w:ascii="Arial" w:hAnsi="Arial" w:cs="Arial"/>
                <w:sz w:val="22"/>
                <w:szCs w:val="22"/>
              </w:rPr>
              <w:t>Recognise and reward good performance  </w:t>
            </w:r>
          </w:p>
          <w:p w14:paraId="1CA72A22" w14:textId="77777777" w:rsidR="000D236A" w:rsidRPr="0049304B" w:rsidRDefault="000D236A" w:rsidP="000D236A">
            <w:pPr>
              <w:numPr>
                <w:ilvl w:val="0"/>
                <w:numId w:val="29"/>
              </w:numPr>
              <w:rPr>
                <w:rFonts w:ascii="Arial" w:hAnsi="Arial" w:cs="Arial"/>
                <w:sz w:val="22"/>
                <w:szCs w:val="22"/>
              </w:rPr>
            </w:pPr>
            <w:r w:rsidRPr="0049304B">
              <w:rPr>
                <w:rFonts w:ascii="Arial" w:hAnsi="Arial" w:cs="Arial"/>
                <w:sz w:val="22"/>
                <w:szCs w:val="22"/>
              </w:rPr>
              <w:t>Adress toxic behaviours within the teams </w:t>
            </w:r>
          </w:p>
          <w:p w14:paraId="540819D1" w14:textId="77777777" w:rsidR="000D236A" w:rsidRPr="0049304B" w:rsidRDefault="000D236A" w:rsidP="000D236A">
            <w:pPr>
              <w:rPr>
                <w:rFonts w:ascii="Arial" w:hAnsi="Arial" w:cs="Arial"/>
                <w:sz w:val="22"/>
                <w:szCs w:val="22"/>
              </w:rPr>
            </w:pPr>
            <w:r w:rsidRPr="0049304B">
              <w:rPr>
                <w:rFonts w:ascii="Arial" w:hAnsi="Arial" w:cs="Arial"/>
                <w:sz w:val="22"/>
                <w:szCs w:val="22"/>
              </w:rPr>
              <w:t> </w:t>
            </w:r>
          </w:p>
        </w:tc>
      </w:tr>
      <w:tr w:rsidR="000D236A" w:rsidRPr="000D236A" w14:paraId="4D0E84DF" w14:textId="77777777" w:rsidTr="0049304B">
        <w:trPr>
          <w:trHeight w:val="120"/>
        </w:trPr>
        <w:tc>
          <w:tcPr>
            <w:tcW w:w="3614" w:type="dxa"/>
            <w:tcBorders>
              <w:top w:val="single" w:sz="6" w:space="0" w:color="45B0E1"/>
              <w:left w:val="single" w:sz="6" w:space="0" w:color="45B0E1"/>
              <w:bottom w:val="single" w:sz="6" w:space="0" w:color="45B0E1"/>
              <w:right w:val="single" w:sz="6" w:space="0" w:color="45B0E1"/>
            </w:tcBorders>
            <w:hideMark/>
          </w:tcPr>
          <w:p w14:paraId="238B1AD6" w14:textId="77777777" w:rsidR="000D236A" w:rsidRPr="0049304B" w:rsidRDefault="000D236A" w:rsidP="000D236A">
            <w:pPr>
              <w:rPr>
                <w:rFonts w:ascii="Arial" w:hAnsi="Arial" w:cs="Arial"/>
                <w:b/>
                <w:bCs/>
                <w:sz w:val="22"/>
                <w:szCs w:val="22"/>
              </w:rPr>
            </w:pPr>
            <w:r w:rsidRPr="0049304B">
              <w:rPr>
                <w:rFonts w:ascii="Arial" w:hAnsi="Arial" w:cs="Arial"/>
                <w:b/>
                <w:bCs/>
                <w:sz w:val="22"/>
                <w:szCs w:val="22"/>
              </w:rPr>
              <w:t>Diversity, Equity and </w:t>
            </w:r>
            <w:proofErr w:type="gramStart"/>
            <w:r w:rsidRPr="0049304B">
              <w:rPr>
                <w:rFonts w:ascii="Arial" w:hAnsi="Arial" w:cs="Arial"/>
                <w:b/>
                <w:bCs/>
                <w:sz w:val="22"/>
                <w:szCs w:val="22"/>
              </w:rPr>
              <w:t>Inclusion(</w:t>
            </w:r>
            <w:proofErr w:type="gramEnd"/>
            <w:r w:rsidRPr="0049304B">
              <w:rPr>
                <w:rFonts w:ascii="Arial" w:hAnsi="Arial" w:cs="Arial"/>
                <w:b/>
                <w:bCs/>
                <w:sz w:val="22"/>
                <w:szCs w:val="22"/>
              </w:rPr>
              <w:t>DEI) </w:t>
            </w:r>
          </w:p>
          <w:p w14:paraId="2A91412F" w14:textId="77777777" w:rsidR="000D236A" w:rsidRPr="0049304B" w:rsidRDefault="000D236A" w:rsidP="000D236A">
            <w:pPr>
              <w:rPr>
                <w:rFonts w:ascii="Arial" w:hAnsi="Arial" w:cs="Arial"/>
                <w:b/>
                <w:bCs/>
                <w:sz w:val="22"/>
                <w:szCs w:val="22"/>
              </w:rPr>
            </w:pPr>
            <w:r w:rsidRPr="0049304B">
              <w:rPr>
                <w:rFonts w:ascii="Arial" w:hAnsi="Arial" w:cs="Arial"/>
                <w:sz w:val="22"/>
                <w:szCs w:val="22"/>
              </w:rPr>
              <w:t>Aligned with Equality Act 2010</w:t>
            </w:r>
            <w:r w:rsidRPr="0049304B">
              <w:rPr>
                <w:rFonts w:ascii="Arial" w:hAnsi="Arial" w:cs="Arial"/>
                <w:b/>
                <w:bCs/>
                <w:sz w:val="22"/>
                <w:szCs w:val="22"/>
              </w:rPr>
              <w:t> </w:t>
            </w:r>
          </w:p>
        </w:tc>
        <w:tc>
          <w:tcPr>
            <w:tcW w:w="3023" w:type="dxa"/>
            <w:tcBorders>
              <w:top w:val="single" w:sz="6" w:space="0" w:color="45B0E1"/>
              <w:left w:val="single" w:sz="6" w:space="0" w:color="45B0E1"/>
              <w:bottom w:val="single" w:sz="6" w:space="0" w:color="45B0E1"/>
              <w:right w:val="single" w:sz="6" w:space="0" w:color="45B0E1"/>
            </w:tcBorders>
            <w:hideMark/>
          </w:tcPr>
          <w:p w14:paraId="217E7FD1" w14:textId="77777777" w:rsidR="000D236A" w:rsidRPr="0049304B" w:rsidRDefault="000D236A" w:rsidP="000D236A">
            <w:pPr>
              <w:rPr>
                <w:rFonts w:ascii="Arial" w:hAnsi="Arial" w:cs="Arial"/>
                <w:sz w:val="22"/>
                <w:szCs w:val="22"/>
              </w:rPr>
            </w:pPr>
            <w:r w:rsidRPr="0049304B">
              <w:rPr>
                <w:rFonts w:ascii="Arial" w:hAnsi="Arial" w:cs="Arial"/>
                <w:sz w:val="22"/>
                <w:szCs w:val="22"/>
              </w:rPr>
              <w:t>Inclusive recruitment; anonymised CV, diverse panels </w:t>
            </w:r>
          </w:p>
          <w:p w14:paraId="0CFA434E" w14:textId="77777777" w:rsidR="000D236A" w:rsidRPr="0049304B" w:rsidRDefault="000D236A" w:rsidP="000D236A">
            <w:pPr>
              <w:rPr>
                <w:rFonts w:ascii="Arial" w:hAnsi="Arial" w:cs="Arial"/>
                <w:sz w:val="22"/>
                <w:szCs w:val="22"/>
              </w:rPr>
            </w:pPr>
            <w:r w:rsidRPr="0049304B">
              <w:rPr>
                <w:rFonts w:ascii="Arial" w:hAnsi="Arial" w:cs="Arial"/>
                <w:sz w:val="22"/>
                <w:szCs w:val="22"/>
              </w:rPr>
              <w:t>Diversity and unconscious bias training  </w:t>
            </w:r>
          </w:p>
          <w:p w14:paraId="77F4BAA9" w14:textId="77777777" w:rsidR="000D236A" w:rsidRPr="0049304B" w:rsidRDefault="000D236A" w:rsidP="000D236A">
            <w:pPr>
              <w:rPr>
                <w:rFonts w:ascii="Arial" w:hAnsi="Arial" w:cs="Arial"/>
                <w:sz w:val="22"/>
                <w:szCs w:val="22"/>
              </w:rPr>
            </w:pPr>
            <w:r w:rsidRPr="0049304B">
              <w:rPr>
                <w:rFonts w:ascii="Arial" w:hAnsi="Arial" w:cs="Arial"/>
                <w:sz w:val="22"/>
                <w:szCs w:val="22"/>
              </w:rPr>
              <w:t>Employee Resources Groups </w:t>
            </w:r>
          </w:p>
          <w:p w14:paraId="02A9CF7F" w14:textId="77777777" w:rsidR="000D236A" w:rsidRPr="0049304B" w:rsidRDefault="000D236A" w:rsidP="000D236A">
            <w:pPr>
              <w:rPr>
                <w:rFonts w:ascii="Arial" w:hAnsi="Arial" w:cs="Arial"/>
                <w:sz w:val="22"/>
                <w:szCs w:val="22"/>
              </w:rPr>
            </w:pPr>
            <w:r w:rsidRPr="0049304B">
              <w:rPr>
                <w:rFonts w:ascii="Arial" w:hAnsi="Arial" w:cs="Arial"/>
                <w:sz w:val="22"/>
                <w:szCs w:val="22"/>
              </w:rPr>
              <w:t>DEI metrics and pay equity monitoring  </w:t>
            </w:r>
          </w:p>
        </w:tc>
        <w:tc>
          <w:tcPr>
            <w:tcW w:w="4562" w:type="dxa"/>
            <w:tcBorders>
              <w:top w:val="single" w:sz="6" w:space="0" w:color="45B0E1"/>
              <w:left w:val="single" w:sz="6" w:space="0" w:color="45B0E1"/>
              <w:bottom w:val="single" w:sz="6" w:space="0" w:color="45B0E1"/>
              <w:right w:val="single" w:sz="6" w:space="0" w:color="45B0E1"/>
            </w:tcBorders>
            <w:hideMark/>
          </w:tcPr>
          <w:p w14:paraId="4789F668" w14:textId="77777777" w:rsidR="000D236A" w:rsidRPr="0049304B" w:rsidRDefault="000D236A" w:rsidP="000D236A">
            <w:pPr>
              <w:rPr>
                <w:rFonts w:ascii="Arial" w:hAnsi="Arial" w:cs="Arial"/>
                <w:sz w:val="22"/>
                <w:szCs w:val="22"/>
              </w:rPr>
            </w:pPr>
            <w:r w:rsidRPr="0049304B">
              <w:rPr>
                <w:rFonts w:ascii="Arial" w:hAnsi="Arial" w:cs="Arial"/>
                <w:sz w:val="22"/>
                <w:szCs w:val="22"/>
              </w:rPr>
              <w:t>Ensure fair allocation of tasks and opportunities </w:t>
            </w:r>
          </w:p>
          <w:p w14:paraId="12BEC143" w14:textId="77777777" w:rsidR="000D236A" w:rsidRPr="0049304B" w:rsidRDefault="000D236A" w:rsidP="000D236A">
            <w:pPr>
              <w:rPr>
                <w:rFonts w:ascii="Arial" w:hAnsi="Arial" w:cs="Arial"/>
                <w:sz w:val="22"/>
                <w:szCs w:val="22"/>
              </w:rPr>
            </w:pPr>
            <w:r w:rsidRPr="0049304B">
              <w:rPr>
                <w:rFonts w:ascii="Arial" w:hAnsi="Arial" w:cs="Arial"/>
                <w:sz w:val="22"/>
                <w:szCs w:val="22"/>
              </w:rPr>
              <w:t>Encourage inclusive team discussions </w:t>
            </w:r>
          </w:p>
          <w:p w14:paraId="3B08EAC7" w14:textId="77777777" w:rsidR="000D236A" w:rsidRPr="0049304B" w:rsidRDefault="000D236A" w:rsidP="000D236A">
            <w:pPr>
              <w:rPr>
                <w:rFonts w:ascii="Arial" w:hAnsi="Arial" w:cs="Arial"/>
                <w:sz w:val="22"/>
                <w:szCs w:val="22"/>
              </w:rPr>
            </w:pPr>
            <w:r w:rsidRPr="0049304B">
              <w:rPr>
                <w:rFonts w:ascii="Arial" w:hAnsi="Arial" w:cs="Arial"/>
                <w:sz w:val="22"/>
                <w:szCs w:val="22"/>
              </w:rPr>
              <w:t>Monitor team diversity and representation </w:t>
            </w:r>
          </w:p>
          <w:p w14:paraId="60239A0D" w14:textId="77777777" w:rsidR="000D236A" w:rsidRPr="0049304B" w:rsidRDefault="000D236A" w:rsidP="000D236A">
            <w:pPr>
              <w:rPr>
                <w:rFonts w:ascii="Arial" w:hAnsi="Arial" w:cs="Arial"/>
                <w:sz w:val="22"/>
                <w:szCs w:val="22"/>
              </w:rPr>
            </w:pPr>
            <w:r w:rsidRPr="0049304B">
              <w:rPr>
                <w:rFonts w:ascii="Arial" w:hAnsi="Arial" w:cs="Arial"/>
                <w:sz w:val="22"/>
                <w:szCs w:val="22"/>
              </w:rPr>
              <w:t>Address discrimination promptly  </w:t>
            </w:r>
          </w:p>
          <w:p w14:paraId="50D9C2AF" w14:textId="77777777" w:rsidR="000D236A" w:rsidRPr="0049304B" w:rsidRDefault="000D236A" w:rsidP="000D236A">
            <w:pPr>
              <w:rPr>
                <w:rFonts w:ascii="Arial" w:hAnsi="Arial" w:cs="Arial"/>
                <w:sz w:val="22"/>
                <w:szCs w:val="22"/>
              </w:rPr>
            </w:pPr>
            <w:r w:rsidRPr="0049304B">
              <w:rPr>
                <w:rFonts w:ascii="Arial" w:hAnsi="Arial" w:cs="Arial"/>
                <w:sz w:val="22"/>
                <w:szCs w:val="22"/>
              </w:rPr>
              <w:t>Model inclusive leadership behaviour </w:t>
            </w:r>
          </w:p>
        </w:tc>
      </w:tr>
      <w:tr w:rsidR="000D236A" w:rsidRPr="000D236A" w14:paraId="0FEC267D" w14:textId="77777777" w:rsidTr="0049304B">
        <w:trPr>
          <w:trHeight w:val="645"/>
        </w:trPr>
        <w:tc>
          <w:tcPr>
            <w:tcW w:w="3614" w:type="dxa"/>
            <w:tcBorders>
              <w:top w:val="single" w:sz="6" w:space="0" w:color="45B0E1"/>
              <w:left w:val="single" w:sz="6" w:space="0" w:color="45B0E1"/>
              <w:bottom w:val="single" w:sz="6" w:space="0" w:color="45B0E1"/>
              <w:right w:val="single" w:sz="6" w:space="0" w:color="45B0E1"/>
            </w:tcBorders>
            <w:shd w:val="clear" w:color="auto" w:fill="C1E4F5"/>
            <w:hideMark/>
          </w:tcPr>
          <w:p w14:paraId="410C3BEC" w14:textId="77777777" w:rsidR="000D236A" w:rsidRPr="0049304B" w:rsidRDefault="000D236A" w:rsidP="000D236A">
            <w:pPr>
              <w:rPr>
                <w:rFonts w:ascii="Arial" w:hAnsi="Arial" w:cs="Arial"/>
                <w:b/>
                <w:bCs/>
                <w:sz w:val="22"/>
                <w:szCs w:val="22"/>
              </w:rPr>
            </w:pPr>
            <w:r w:rsidRPr="0049304B">
              <w:rPr>
                <w:rFonts w:ascii="Arial" w:hAnsi="Arial" w:cs="Arial"/>
                <w:b/>
                <w:bCs/>
                <w:sz w:val="22"/>
                <w:szCs w:val="22"/>
              </w:rPr>
              <w:t>Organisational change management -technology integration and restructuring </w:t>
            </w:r>
          </w:p>
        </w:tc>
        <w:tc>
          <w:tcPr>
            <w:tcW w:w="3023" w:type="dxa"/>
            <w:tcBorders>
              <w:top w:val="single" w:sz="6" w:space="0" w:color="45B0E1"/>
              <w:left w:val="single" w:sz="6" w:space="0" w:color="45B0E1"/>
              <w:bottom w:val="single" w:sz="6" w:space="0" w:color="45B0E1"/>
              <w:right w:val="single" w:sz="6" w:space="0" w:color="45B0E1"/>
            </w:tcBorders>
            <w:shd w:val="clear" w:color="auto" w:fill="C1E4F5"/>
            <w:hideMark/>
          </w:tcPr>
          <w:p w14:paraId="0D63AF91" w14:textId="77777777" w:rsidR="000D236A" w:rsidRPr="0049304B" w:rsidRDefault="000D236A" w:rsidP="000D236A">
            <w:pPr>
              <w:rPr>
                <w:rFonts w:ascii="Arial" w:hAnsi="Arial" w:cs="Arial"/>
                <w:sz w:val="22"/>
                <w:szCs w:val="22"/>
              </w:rPr>
            </w:pPr>
            <w:r w:rsidRPr="0049304B">
              <w:rPr>
                <w:rFonts w:ascii="Arial" w:hAnsi="Arial" w:cs="Arial"/>
                <w:sz w:val="22"/>
                <w:szCs w:val="22"/>
              </w:rPr>
              <w:t>Agile HR approaches </w:t>
            </w:r>
          </w:p>
          <w:p w14:paraId="4453178E" w14:textId="77777777" w:rsidR="000D236A" w:rsidRPr="0049304B" w:rsidRDefault="000D236A" w:rsidP="000D236A">
            <w:pPr>
              <w:rPr>
                <w:rFonts w:ascii="Arial" w:hAnsi="Arial" w:cs="Arial"/>
                <w:sz w:val="22"/>
                <w:szCs w:val="22"/>
              </w:rPr>
            </w:pPr>
            <w:r w:rsidRPr="0049304B">
              <w:rPr>
                <w:rFonts w:ascii="Arial" w:hAnsi="Arial" w:cs="Arial"/>
                <w:sz w:val="22"/>
                <w:szCs w:val="22"/>
              </w:rPr>
              <w:t>Employee engagement surveys </w:t>
            </w:r>
          </w:p>
          <w:p w14:paraId="42BB802C" w14:textId="77777777" w:rsidR="000D236A" w:rsidRPr="0049304B" w:rsidRDefault="000D236A" w:rsidP="000D236A">
            <w:pPr>
              <w:rPr>
                <w:rFonts w:ascii="Arial" w:hAnsi="Arial" w:cs="Arial"/>
                <w:sz w:val="22"/>
                <w:szCs w:val="22"/>
              </w:rPr>
            </w:pPr>
            <w:r w:rsidRPr="0049304B">
              <w:rPr>
                <w:rFonts w:ascii="Arial" w:hAnsi="Arial" w:cs="Arial"/>
                <w:sz w:val="22"/>
                <w:szCs w:val="22"/>
              </w:rPr>
              <w:t>Change communication strategies </w:t>
            </w:r>
          </w:p>
          <w:p w14:paraId="2E30ECCE" w14:textId="77777777" w:rsidR="000D236A" w:rsidRPr="0049304B" w:rsidRDefault="000D236A" w:rsidP="000D236A">
            <w:pPr>
              <w:rPr>
                <w:rFonts w:ascii="Arial" w:hAnsi="Arial" w:cs="Arial"/>
                <w:sz w:val="22"/>
                <w:szCs w:val="22"/>
              </w:rPr>
            </w:pPr>
            <w:r w:rsidRPr="0049304B">
              <w:rPr>
                <w:rFonts w:ascii="Arial" w:hAnsi="Arial" w:cs="Arial"/>
                <w:sz w:val="22"/>
                <w:szCs w:val="22"/>
              </w:rPr>
              <w:t>Evidence based decision making  </w:t>
            </w:r>
          </w:p>
        </w:tc>
        <w:tc>
          <w:tcPr>
            <w:tcW w:w="4562" w:type="dxa"/>
            <w:tcBorders>
              <w:top w:val="single" w:sz="6" w:space="0" w:color="45B0E1"/>
              <w:left w:val="single" w:sz="6" w:space="0" w:color="45B0E1"/>
              <w:bottom w:val="single" w:sz="6" w:space="0" w:color="45B0E1"/>
              <w:right w:val="single" w:sz="6" w:space="0" w:color="45B0E1"/>
            </w:tcBorders>
            <w:shd w:val="clear" w:color="auto" w:fill="C1E4F5"/>
            <w:hideMark/>
          </w:tcPr>
          <w:p w14:paraId="25F965FE" w14:textId="77777777" w:rsidR="000D236A" w:rsidRPr="0049304B" w:rsidRDefault="000D236A" w:rsidP="000D236A">
            <w:pPr>
              <w:rPr>
                <w:rFonts w:ascii="Arial" w:hAnsi="Arial" w:cs="Arial"/>
                <w:sz w:val="22"/>
                <w:szCs w:val="22"/>
              </w:rPr>
            </w:pPr>
            <w:r w:rsidRPr="0049304B">
              <w:rPr>
                <w:rFonts w:ascii="Arial" w:hAnsi="Arial" w:cs="Arial"/>
                <w:sz w:val="22"/>
                <w:szCs w:val="22"/>
              </w:rPr>
              <w:t>Communicate purpose and benefits of change </w:t>
            </w:r>
          </w:p>
          <w:p w14:paraId="6BCA7BDD" w14:textId="77777777" w:rsidR="000D236A" w:rsidRPr="0049304B" w:rsidRDefault="000D236A" w:rsidP="000D236A">
            <w:pPr>
              <w:rPr>
                <w:rFonts w:ascii="Arial" w:hAnsi="Arial" w:cs="Arial"/>
                <w:sz w:val="22"/>
                <w:szCs w:val="22"/>
              </w:rPr>
            </w:pPr>
            <w:r w:rsidRPr="0049304B">
              <w:rPr>
                <w:rFonts w:ascii="Arial" w:hAnsi="Arial" w:cs="Arial"/>
                <w:sz w:val="22"/>
                <w:szCs w:val="22"/>
              </w:rPr>
              <w:t>Gather team feedback </w:t>
            </w:r>
          </w:p>
          <w:p w14:paraId="51FECF23" w14:textId="77777777" w:rsidR="000D236A" w:rsidRPr="0049304B" w:rsidRDefault="000D236A" w:rsidP="000D236A">
            <w:pPr>
              <w:rPr>
                <w:rFonts w:ascii="Arial" w:hAnsi="Arial" w:cs="Arial"/>
                <w:sz w:val="22"/>
                <w:szCs w:val="22"/>
              </w:rPr>
            </w:pPr>
            <w:r w:rsidRPr="0049304B">
              <w:rPr>
                <w:rFonts w:ascii="Arial" w:hAnsi="Arial" w:cs="Arial"/>
                <w:sz w:val="22"/>
                <w:szCs w:val="22"/>
              </w:rPr>
              <w:t>Reduce anxiety through reassurance and support </w:t>
            </w:r>
          </w:p>
          <w:p w14:paraId="375D4350" w14:textId="77777777" w:rsidR="000D236A" w:rsidRPr="0049304B" w:rsidRDefault="000D236A" w:rsidP="000D236A">
            <w:pPr>
              <w:rPr>
                <w:rFonts w:ascii="Arial" w:hAnsi="Arial" w:cs="Arial"/>
                <w:sz w:val="22"/>
                <w:szCs w:val="22"/>
              </w:rPr>
            </w:pPr>
            <w:r w:rsidRPr="0049304B">
              <w:rPr>
                <w:rFonts w:ascii="Arial" w:hAnsi="Arial" w:cs="Arial"/>
                <w:sz w:val="22"/>
                <w:szCs w:val="22"/>
              </w:rPr>
              <w:t>Align team objectives with organisational goals </w:t>
            </w:r>
          </w:p>
        </w:tc>
      </w:tr>
    </w:tbl>
    <w:p w14:paraId="718D3564" w14:textId="77777777" w:rsidR="000D236A" w:rsidRPr="000D236A" w:rsidRDefault="000D236A" w:rsidP="000D236A">
      <w:r w:rsidRPr="000D236A">
        <w:t> </w:t>
      </w:r>
    </w:p>
    <w:p w14:paraId="51462F12" w14:textId="77777777" w:rsidR="000D236A" w:rsidRPr="000D236A" w:rsidRDefault="000D236A" w:rsidP="000D236A">
      <w:r w:rsidRPr="000D236A">
        <w:t> </w:t>
      </w:r>
    </w:p>
    <w:p w14:paraId="70371A17" w14:textId="6324C32E" w:rsidR="000D236A" w:rsidRDefault="000D236A"/>
    <w:sectPr w:rsidR="000D236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49794C" w14:textId="77777777" w:rsidR="002557C5" w:rsidRDefault="002557C5" w:rsidP="004B53F6">
      <w:pPr>
        <w:spacing w:after="0" w:line="240" w:lineRule="auto"/>
      </w:pPr>
      <w:r>
        <w:separator/>
      </w:r>
    </w:p>
  </w:endnote>
  <w:endnote w:type="continuationSeparator" w:id="0">
    <w:p w14:paraId="50FC008F" w14:textId="77777777" w:rsidR="002557C5" w:rsidRDefault="002557C5" w:rsidP="004B53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3774364"/>
      <w:docPartObj>
        <w:docPartGallery w:val="Page Numbers (Bottom of Page)"/>
        <w:docPartUnique/>
      </w:docPartObj>
    </w:sdtPr>
    <w:sdtEndPr>
      <w:rPr>
        <w:noProof/>
      </w:rPr>
    </w:sdtEndPr>
    <w:sdtContent>
      <w:p w14:paraId="69BC39DB" w14:textId="2B0CB8B2" w:rsidR="004B53F6" w:rsidRDefault="004B53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14CB2E" w14:textId="77777777" w:rsidR="004B53F6" w:rsidRDefault="004B53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FF7C1" w14:textId="77777777" w:rsidR="002557C5" w:rsidRDefault="002557C5" w:rsidP="004B53F6">
      <w:pPr>
        <w:spacing w:after="0" w:line="240" w:lineRule="auto"/>
      </w:pPr>
      <w:r>
        <w:separator/>
      </w:r>
    </w:p>
  </w:footnote>
  <w:footnote w:type="continuationSeparator" w:id="0">
    <w:p w14:paraId="374AC462" w14:textId="77777777" w:rsidR="002557C5" w:rsidRDefault="002557C5" w:rsidP="004B53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17A99"/>
    <w:multiLevelType w:val="multilevel"/>
    <w:tmpl w:val="017EB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E047B0"/>
    <w:multiLevelType w:val="multilevel"/>
    <w:tmpl w:val="E1F8A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E40A85"/>
    <w:multiLevelType w:val="multilevel"/>
    <w:tmpl w:val="7AC2C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55044A"/>
    <w:multiLevelType w:val="multilevel"/>
    <w:tmpl w:val="533A4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9B3679"/>
    <w:multiLevelType w:val="multilevel"/>
    <w:tmpl w:val="06CAC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5D6524"/>
    <w:multiLevelType w:val="multilevel"/>
    <w:tmpl w:val="E3C23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1E71114"/>
    <w:multiLevelType w:val="multilevel"/>
    <w:tmpl w:val="DD280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362533C"/>
    <w:multiLevelType w:val="multilevel"/>
    <w:tmpl w:val="D05C0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4C36D8"/>
    <w:multiLevelType w:val="multilevel"/>
    <w:tmpl w:val="624A1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CB909DC"/>
    <w:multiLevelType w:val="multilevel"/>
    <w:tmpl w:val="CF6CE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DB43D2B"/>
    <w:multiLevelType w:val="multilevel"/>
    <w:tmpl w:val="A75AC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F511D94"/>
    <w:multiLevelType w:val="multilevel"/>
    <w:tmpl w:val="E8F6E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1992AE3"/>
    <w:multiLevelType w:val="multilevel"/>
    <w:tmpl w:val="E528E46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717274B"/>
    <w:multiLevelType w:val="multilevel"/>
    <w:tmpl w:val="600C4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923530"/>
    <w:multiLevelType w:val="multilevel"/>
    <w:tmpl w:val="741E2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AF871E1"/>
    <w:multiLevelType w:val="multilevel"/>
    <w:tmpl w:val="4022E5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AA1D18"/>
    <w:multiLevelType w:val="hybridMultilevel"/>
    <w:tmpl w:val="487625EE"/>
    <w:lvl w:ilvl="0" w:tplc="48C89EEC">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384B2F"/>
    <w:multiLevelType w:val="multilevel"/>
    <w:tmpl w:val="1BA4C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BE314D7"/>
    <w:multiLevelType w:val="multilevel"/>
    <w:tmpl w:val="622CB7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15693E"/>
    <w:multiLevelType w:val="multilevel"/>
    <w:tmpl w:val="59D0E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E247380"/>
    <w:multiLevelType w:val="multilevel"/>
    <w:tmpl w:val="A5BCC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F622CF0"/>
    <w:multiLevelType w:val="multilevel"/>
    <w:tmpl w:val="54105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79A6C18"/>
    <w:multiLevelType w:val="multilevel"/>
    <w:tmpl w:val="5B089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9D3325C"/>
    <w:multiLevelType w:val="multilevel"/>
    <w:tmpl w:val="3F004F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6004D91"/>
    <w:multiLevelType w:val="multilevel"/>
    <w:tmpl w:val="FEACB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6CE3F50"/>
    <w:multiLevelType w:val="multilevel"/>
    <w:tmpl w:val="634CFB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96B6886"/>
    <w:multiLevelType w:val="multilevel"/>
    <w:tmpl w:val="4E7E8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DF75CE5"/>
    <w:multiLevelType w:val="multilevel"/>
    <w:tmpl w:val="329C0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41E61B5"/>
    <w:multiLevelType w:val="multilevel"/>
    <w:tmpl w:val="3E967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AA56F71"/>
    <w:multiLevelType w:val="multilevel"/>
    <w:tmpl w:val="055C1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1651694">
    <w:abstractNumId w:val="7"/>
  </w:num>
  <w:num w:numId="2" w16cid:durableId="1891961156">
    <w:abstractNumId w:val="18"/>
  </w:num>
  <w:num w:numId="3" w16cid:durableId="1358122301">
    <w:abstractNumId w:val="12"/>
  </w:num>
  <w:num w:numId="4" w16cid:durableId="706871833">
    <w:abstractNumId w:val="23"/>
  </w:num>
  <w:num w:numId="5" w16cid:durableId="1090278961">
    <w:abstractNumId w:val="13"/>
  </w:num>
  <w:num w:numId="6" w16cid:durableId="45495700">
    <w:abstractNumId w:val="25"/>
  </w:num>
  <w:num w:numId="7" w16cid:durableId="1464886303">
    <w:abstractNumId w:val="15"/>
  </w:num>
  <w:num w:numId="8" w16cid:durableId="1982496193">
    <w:abstractNumId w:val="17"/>
  </w:num>
  <w:num w:numId="9" w16cid:durableId="688718070">
    <w:abstractNumId w:val="10"/>
  </w:num>
  <w:num w:numId="10" w16cid:durableId="1579318101">
    <w:abstractNumId w:val="3"/>
  </w:num>
  <w:num w:numId="11" w16cid:durableId="1558660930">
    <w:abstractNumId w:val="21"/>
  </w:num>
  <w:num w:numId="12" w16cid:durableId="1904950612">
    <w:abstractNumId w:val="28"/>
  </w:num>
  <w:num w:numId="13" w16cid:durableId="299111385">
    <w:abstractNumId w:val="29"/>
  </w:num>
  <w:num w:numId="14" w16cid:durableId="1915889221">
    <w:abstractNumId w:val="5"/>
  </w:num>
  <w:num w:numId="15" w16cid:durableId="570047938">
    <w:abstractNumId w:val="24"/>
  </w:num>
  <w:num w:numId="16" w16cid:durableId="468400770">
    <w:abstractNumId w:val="1"/>
  </w:num>
  <w:num w:numId="17" w16cid:durableId="839546544">
    <w:abstractNumId w:val="19"/>
  </w:num>
  <w:num w:numId="18" w16cid:durableId="1969622136">
    <w:abstractNumId w:val="11"/>
  </w:num>
  <w:num w:numId="19" w16cid:durableId="2015526492">
    <w:abstractNumId w:val="2"/>
  </w:num>
  <w:num w:numId="20" w16cid:durableId="1640569224">
    <w:abstractNumId w:val="27"/>
  </w:num>
  <w:num w:numId="21" w16cid:durableId="795415648">
    <w:abstractNumId w:val="9"/>
  </w:num>
  <w:num w:numId="22" w16cid:durableId="1449813726">
    <w:abstractNumId w:val="20"/>
  </w:num>
  <w:num w:numId="23" w16cid:durableId="1932616617">
    <w:abstractNumId w:val="6"/>
  </w:num>
  <w:num w:numId="24" w16cid:durableId="25761072">
    <w:abstractNumId w:val="8"/>
  </w:num>
  <w:num w:numId="25" w16cid:durableId="653486383">
    <w:abstractNumId w:val="0"/>
  </w:num>
  <w:num w:numId="26" w16cid:durableId="504323250">
    <w:abstractNumId w:val="4"/>
  </w:num>
  <w:num w:numId="27" w16cid:durableId="192964389">
    <w:abstractNumId w:val="22"/>
  </w:num>
  <w:num w:numId="28" w16cid:durableId="1495410045">
    <w:abstractNumId w:val="14"/>
  </w:num>
  <w:num w:numId="29" w16cid:durableId="666834358">
    <w:abstractNumId w:val="26"/>
  </w:num>
  <w:num w:numId="30" w16cid:durableId="169129547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36A"/>
    <w:rsid w:val="000856C3"/>
    <w:rsid w:val="000B7095"/>
    <w:rsid w:val="000C0DA2"/>
    <w:rsid w:val="000D236A"/>
    <w:rsid w:val="000D5AC5"/>
    <w:rsid w:val="001609EC"/>
    <w:rsid w:val="001D3477"/>
    <w:rsid w:val="002209A6"/>
    <w:rsid w:val="002557C5"/>
    <w:rsid w:val="00325E23"/>
    <w:rsid w:val="003F6A1B"/>
    <w:rsid w:val="00484840"/>
    <w:rsid w:val="0049304B"/>
    <w:rsid w:val="004B53F6"/>
    <w:rsid w:val="004C1D81"/>
    <w:rsid w:val="00540909"/>
    <w:rsid w:val="00554020"/>
    <w:rsid w:val="00731804"/>
    <w:rsid w:val="007F7258"/>
    <w:rsid w:val="00926BBF"/>
    <w:rsid w:val="00945BBB"/>
    <w:rsid w:val="009B3F65"/>
    <w:rsid w:val="00A40FC7"/>
    <w:rsid w:val="00AE74E4"/>
    <w:rsid w:val="00B14B3C"/>
    <w:rsid w:val="00BF03C7"/>
    <w:rsid w:val="00C11070"/>
    <w:rsid w:val="00C27118"/>
    <w:rsid w:val="00DC513D"/>
    <w:rsid w:val="00E3338D"/>
    <w:rsid w:val="00FD24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2561A"/>
  <w15:chartTrackingRefBased/>
  <w15:docId w15:val="{02B5A7FA-4053-4804-81E8-D430356DC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23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23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23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23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23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23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23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23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23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3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23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23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23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23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23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23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23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236A"/>
    <w:rPr>
      <w:rFonts w:eastAsiaTheme="majorEastAsia" w:cstheme="majorBidi"/>
      <w:color w:val="272727" w:themeColor="text1" w:themeTint="D8"/>
    </w:rPr>
  </w:style>
  <w:style w:type="paragraph" w:styleId="Title">
    <w:name w:val="Title"/>
    <w:basedOn w:val="Normal"/>
    <w:next w:val="Normal"/>
    <w:link w:val="TitleChar"/>
    <w:uiPriority w:val="10"/>
    <w:qFormat/>
    <w:rsid w:val="000D23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23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23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23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236A"/>
    <w:pPr>
      <w:spacing w:before="160"/>
      <w:jc w:val="center"/>
    </w:pPr>
    <w:rPr>
      <w:i/>
      <w:iCs/>
      <w:color w:val="404040" w:themeColor="text1" w:themeTint="BF"/>
    </w:rPr>
  </w:style>
  <w:style w:type="character" w:customStyle="1" w:styleId="QuoteChar">
    <w:name w:val="Quote Char"/>
    <w:basedOn w:val="DefaultParagraphFont"/>
    <w:link w:val="Quote"/>
    <w:uiPriority w:val="29"/>
    <w:rsid w:val="000D236A"/>
    <w:rPr>
      <w:i/>
      <w:iCs/>
      <w:color w:val="404040" w:themeColor="text1" w:themeTint="BF"/>
    </w:rPr>
  </w:style>
  <w:style w:type="paragraph" w:styleId="ListParagraph">
    <w:name w:val="List Paragraph"/>
    <w:basedOn w:val="Normal"/>
    <w:uiPriority w:val="34"/>
    <w:qFormat/>
    <w:rsid w:val="000D236A"/>
    <w:pPr>
      <w:ind w:left="720"/>
      <w:contextualSpacing/>
    </w:pPr>
  </w:style>
  <w:style w:type="character" w:styleId="IntenseEmphasis">
    <w:name w:val="Intense Emphasis"/>
    <w:basedOn w:val="DefaultParagraphFont"/>
    <w:uiPriority w:val="21"/>
    <w:qFormat/>
    <w:rsid w:val="000D236A"/>
    <w:rPr>
      <w:i/>
      <w:iCs/>
      <w:color w:val="0F4761" w:themeColor="accent1" w:themeShade="BF"/>
    </w:rPr>
  </w:style>
  <w:style w:type="paragraph" w:styleId="IntenseQuote">
    <w:name w:val="Intense Quote"/>
    <w:basedOn w:val="Normal"/>
    <w:next w:val="Normal"/>
    <w:link w:val="IntenseQuoteChar"/>
    <w:uiPriority w:val="30"/>
    <w:qFormat/>
    <w:rsid w:val="000D23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236A"/>
    <w:rPr>
      <w:i/>
      <w:iCs/>
      <w:color w:val="0F4761" w:themeColor="accent1" w:themeShade="BF"/>
    </w:rPr>
  </w:style>
  <w:style w:type="character" w:styleId="IntenseReference">
    <w:name w:val="Intense Reference"/>
    <w:basedOn w:val="DefaultParagraphFont"/>
    <w:uiPriority w:val="32"/>
    <w:qFormat/>
    <w:rsid w:val="000D236A"/>
    <w:rPr>
      <w:b/>
      <w:bCs/>
      <w:smallCaps/>
      <w:color w:val="0F4761" w:themeColor="accent1" w:themeShade="BF"/>
      <w:spacing w:val="5"/>
    </w:rPr>
  </w:style>
  <w:style w:type="character" w:styleId="Hyperlink">
    <w:name w:val="Hyperlink"/>
    <w:basedOn w:val="DefaultParagraphFont"/>
    <w:uiPriority w:val="99"/>
    <w:unhideWhenUsed/>
    <w:rsid w:val="000D236A"/>
    <w:rPr>
      <w:color w:val="467886" w:themeColor="hyperlink"/>
      <w:u w:val="single"/>
    </w:rPr>
  </w:style>
  <w:style w:type="character" w:styleId="UnresolvedMention">
    <w:name w:val="Unresolved Mention"/>
    <w:basedOn w:val="DefaultParagraphFont"/>
    <w:uiPriority w:val="99"/>
    <w:semiHidden/>
    <w:unhideWhenUsed/>
    <w:rsid w:val="000D236A"/>
    <w:rPr>
      <w:color w:val="605E5C"/>
      <w:shd w:val="clear" w:color="auto" w:fill="E1DFDD"/>
    </w:rPr>
  </w:style>
  <w:style w:type="paragraph" w:styleId="TOCHeading">
    <w:name w:val="TOC Heading"/>
    <w:basedOn w:val="Heading1"/>
    <w:next w:val="Normal"/>
    <w:uiPriority w:val="39"/>
    <w:unhideWhenUsed/>
    <w:qFormat/>
    <w:rsid w:val="000D236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D236A"/>
    <w:pPr>
      <w:spacing w:after="100"/>
    </w:pPr>
  </w:style>
  <w:style w:type="paragraph" w:styleId="Header">
    <w:name w:val="header"/>
    <w:basedOn w:val="Normal"/>
    <w:link w:val="HeaderChar"/>
    <w:uiPriority w:val="99"/>
    <w:unhideWhenUsed/>
    <w:rsid w:val="004B53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53F6"/>
  </w:style>
  <w:style w:type="paragraph" w:styleId="Footer">
    <w:name w:val="footer"/>
    <w:basedOn w:val="Normal"/>
    <w:link w:val="FooterChar"/>
    <w:uiPriority w:val="99"/>
    <w:unhideWhenUsed/>
    <w:rsid w:val="004B53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53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techsoc.2023.102300" TargetMode="External"/><Relationship Id="rId13" Type="http://schemas.openxmlformats.org/officeDocument/2006/relationships/hyperlink" Target="https://www.tesco.com/careers/en-GB/our-culture/why-work-here/career-development-opportunities?msockid=16996e92da04606f384c7beedbe461" TargetMode="External"/><Relationship Id="rId3" Type="http://schemas.openxmlformats.org/officeDocument/2006/relationships/settings" Target="settings.xml"/><Relationship Id="rId7" Type="http://schemas.openxmlformats.org/officeDocument/2006/relationships/hyperlink" Target="https://www.tescoplc.com/tesco-to-introduce-new-scan-free-technology-on-self-service-tills-at-getgo-store/" TargetMode="External"/><Relationship Id="rId12" Type="http://schemas.openxmlformats.org/officeDocument/2006/relationships/hyperlink" Target="https://assets.publishing.service.gov.uk/government/uploads/system/uploads/attachment_data/file/85021/public-sector.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as.org.uk/improving-equality-diversity-and-inclusion/making-your-workplace-inclusiv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hrm.org/executive-network/insights/future-of-talent-retention-report-why-employees-leave" TargetMode="External"/><Relationship Id="rId4" Type="http://schemas.openxmlformats.org/officeDocument/2006/relationships/webSettings" Target="webSettings.xml"/><Relationship Id="rId9" Type="http://schemas.openxmlformats.org/officeDocument/2006/relationships/hyperlink" Target="https://doi.org/10.1080/09585192.2019.1642645"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10619</TotalTime>
  <Pages>12</Pages>
  <Words>3102</Words>
  <Characters>17686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Raduta-Adriana Plesca (2420315)</dc:creator>
  <cp:keywords/>
  <dc:description/>
  <cp:lastModifiedBy>raduta plesca</cp:lastModifiedBy>
  <cp:revision>27</cp:revision>
  <dcterms:created xsi:type="dcterms:W3CDTF">2026-03-04T14:44:00Z</dcterms:created>
  <dcterms:modified xsi:type="dcterms:W3CDTF">2026-03-16T15:53:00Z</dcterms:modified>
</cp:coreProperties>
</file>