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975C8F5" w14:textId="123C3F4E" w:rsidR="0068279E" w:rsidRDefault="00352BEC">
      <w:r>
        <w:t xml:space="preserve">Josh WILLIAMS – 2117998 </w:t>
      </w:r>
    </w:p>
    <w:p w14:paraId="2C554ADC" w14:textId="2A963D56" w:rsidR="00352BEC" w:rsidRDefault="00352BEC">
      <w:r>
        <w:t>DHEP Academic Assignments</w:t>
      </w:r>
    </w:p>
    <w:p w14:paraId="240FFCE4" w14:textId="4A9ED560" w:rsidR="00352BEC" w:rsidRPr="00352BEC" w:rsidRDefault="00352BEC" w:rsidP="00352BEC">
      <w:pPr>
        <w:rPr>
          <w:b/>
          <w:bCs/>
          <w:sz w:val="24"/>
          <w:szCs w:val="24"/>
        </w:rPr>
      </w:pPr>
      <w:r w:rsidRPr="00352BEC">
        <w:rPr>
          <w:b/>
          <w:bCs/>
          <w:sz w:val="24"/>
          <w:szCs w:val="24"/>
        </w:rPr>
        <w:t>Essay 1:</w:t>
      </w:r>
    </w:p>
    <w:p w14:paraId="300A24B2" w14:textId="4AEFD8BC" w:rsidR="00352BEC" w:rsidRDefault="00352BEC" w:rsidP="00352BEC">
      <w:pPr>
        <w:rPr>
          <w:b/>
          <w:bCs/>
          <w:sz w:val="24"/>
          <w:szCs w:val="24"/>
        </w:rPr>
      </w:pPr>
      <w:r w:rsidRPr="00352BEC">
        <w:rPr>
          <w:b/>
          <w:bCs/>
          <w:sz w:val="24"/>
          <w:szCs w:val="24"/>
        </w:rPr>
        <w:t>Digital policing – assess the role of specialist units in investigating cybercrime.</w:t>
      </w:r>
    </w:p>
    <w:p w14:paraId="6E5A89BF" w14:textId="22636258" w:rsidR="00BA53CE" w:rsidRDefault="00BA53CE" w:rsidP="00352BEC">
      <w:pPr>
        <w:rPr>
          <w:b/>
          <w:bCs/>
          <w:sz w:val="24"/>
          <w:szCs w:val="24"/>
        </w:rPr>
      </w:pPr>
    </w:p>
    <w:p w14:paraId="59C08A7B" w14:textId="77777777" w:rsidR="00BA53CE" w:rsidRPr="00352BEC" w:rsidRDefault="00BA53CE" w:rsidP="00352BEC">
      <w:pPr>
        <w:rPr>
          <w:b/>
          <w:bCs/>
          <w:sz w:val="24"/>
          <w:szCs w:val="24"/>
        </w:rPr>
      </w:pPr>
    </w:p>
    <w:p w14:paraId="46FFB4FF" w14:textId="77777777" w:rsidR="00352BEC" w:rsidRPr="00352BEC" w:rsidRDefault="00352BEC" w:rsidP="00352BEC">
      <w:pPr>
        <w:rPr>
          <w:sz w:val="24"/>
          <w:szCs w:val="24"/>
        </w:rPr>
      </w:pPr>
      <w:r w:rsidRPr="00352BEC">
        <w:rPr>
          <w:sz w:val="24"/>
          <w:szCs w:val="24"/>
        </w:rPr>
        <w:t xml:space="preserve">Recently, in terms of volume, cybercrime has surpassed “all other forms of crime in the UK and has been acknowledged as a national priority” (Schreuders et al, 2020:316). The importance of responding to cybercrime effectively is highlighted by the Home Office in the Policing Vision 2025 report that states we require “new law enforcement capabilities and ensuring our people are trained and equipped to deal with the new and challenging threats” (NPCC, 2016:8). As a result, every police force in England and Wales now has a dedicated cybercrime unit to combat cybercrime following funding from the UK government (Ashford, 2019). Despite there still being room for improvement, this essay will argue that specialist cybercrime units are an essential part of modern-day policing. Firstly, I will explore what is cybercrime. </w:t>
      </w:r>
    </w:p>
    <w:p w14:paraId="5ACF66FD" w14:textId="77777777" w:rsidR="00352BEC" w:rsidRPr="00352BEC" w:rsidRDefault="00352BEC" w:rsidP="00352BEC">
      <w:pPr>
        <w:rPr>
          <w:sz w:val="24"/>
          <w:szCs w:val="24"/>
        </w:rPr>
      </w:pPr>
      <w:r w:rsidRPr="00352BEC">
        <w:rPr>
          <w:sz w:val="24"/>
          <w:szCs w:val="24"/>
        </w:rPr>
        <w:t xml:space="preserve">There is no single agreed upon definition of cybercrime; however, the term is often used to describe a “crime or other undesirable behaviours that involve the use of networked technology and more specifically the internet” (Hunton, 2011:106). Cybercrime can affect anyone who uses a computer or the internet (Horan and Saiedian, 2021). In the UK, 87% of adults used the internet daily or almost every day in 2019 (ONS, 2019), illustrating the vast number of people vulnerable to cybercrime offences. It is estimated fraudsters stole more than £4 billion in the UK in 2022 (Flinders, 2023), highlighting the enormous economic impact of cybercrime. However, the impacts of cybercrime are not limited to people and can have immense impacts on businesses. More than 80% of UK organisations experienced a cyber-attack in 2021/22 (O’Driscoll, 2023), which has a considerable impact on the organisation’s reputation. Types of cybercrime include phishing, ransomware, and malware attacks. The volume and complexity of cybercrime is escalating (Harkin and Whelan, 2019), which highlights the importance of specialist cybercrime in investigating these complex and challenging crimes. In the next sections I will assess the importance of specialist cybercrime units.  </w:t>
      </w:r>
    </w:p>
    <w:p w14:paraId="61AED545" w14:textId="77777777" w:rsidR="00352BEC" w:rsidRPr="00352BEC" w:rsidRDefault="00352BEC" w:rsidP="00352BEC">
      <w:pPr>
        <w:rPr>
          <w:sz w:val="24"/>
          <w:szCs w:val="24"/>
        </w:rPr>
      </w:pPr>
      <w:r w:rsidRPr="00352BEC">
        <w:rPr>
          <w:sz w:val="24"/>
          <w:szCs w:val="24"/>
        </w:rPr>
        <w:t xml:space="preserve">Specialised cybercrime units are essential to modern-day policing organisations due to their skills and expertise in investigating cybercrime. The skills possessed by these cybercrime units are not readily available in other departments within the police. Harkin and Whelan states that is it widely recognised there is a “growing deficit in police expertise and capacity to address cyber-crime” (2021:531). As a result, it is argued that we must think “differently about what is meant by ‘frontline policing’” (Home Affairs Committee, 2018:59). These quotes imply frontline officers are not adequately equipped to deal with cybercrime investigations. A similar argument has been raised by Harkin and Whelan who state, “front-line officers can face citizen requests for assistance that they cannot understand or respond </w:t>
      </w:r>
      <w:r w:rsidRPr="00352BEC">
        <w:rPr>
          <w:sz w:val="24"/>
          <w:szCs w:val="24"/>
        </w:rPr>
        <w:lastRenderedPageBreak/>
        <w:t xml:space="preserve">to” (2022:73). Highlighting the importance of specialist cybercrime units who can understand the complexities and technical aspects of investigating cybercrime. Dekic is another scholar who declared the initial response to high-tech crime “should come from people with solid engineering competency as those persons can understand how technical systems work” (2022:273). The above arguments demonstrate how crucial specialist cybercrime units are due to their specific skill set. </w:t>
      </w:r>
    </w:p>
    <w:p w14:paraId="0B389E59" w14:textId="77777777" w:rsidR="00352BEC" w:rsidRPr="00352BEC" w:rsidRDefault="00352BEC" w:rsidP="00352BEC">
      <w:pPr>
        <w:rPr>
          <w:sz w:val="24"/>
          <w:szCs w:val="24"/>
        </w:rPr>
      </w:pPr>
      <w:r w:rsidRPr="00352BEC">
        <w:rPr>
          <w:sz w:val="24"/>
          <w:szCs w:val="24"/>
        </w:rPr>
        <w:t>Furthermore, due to the technical skills possessed by specialist cybercrime units, they can produce expert evidence for use in court. Horan and Saiedian explain digital forensics help “investigators piece together evidence and determine the timeline of events in a crime” (2021:580). Specialist cybercrime units can “support investigating officers with the collection and interpretation of digital evidence” (Wilson-Kovacs, 2021:669), providing key help and support to investigators of other units. Furthermore, Rappert et al have explored how digital forensic units turn digital data into legitimate evidence for use within the criminal justice system (2022). This vast and valuable evidence would not be as readily available without these skilled specialist cybercrime units. Moreover, Rappert et al confirm digital forensic units form a vital part of turning digital footprints into evidence for exploitation and indecent image offences (2022:8). Their capabilities surpass those of frontline officers in identifying and prosecuting perpetrators of online exploitation offences. Despite the value of these specialist cybercrime units, in the next section I will explore the issues for these units to overcome to realise their potential.</w:t>
      </w:r>
    </w:p>
    <w:p w14:paraId="161F6D7D" w14:textId="77777777" w:rsidR="00352BEC" w:rsidRPr="00352BEC" w:rsidRDefault="00352BEC" w:rsidP="00352BEC">
      <w:pPr>
        <w:rPr>
          <w:sz w:val="24"/>
          <w:szCs w:val="24"/>
        </w:rPr>
      </w:pPr>
      <w:r w:rsidRPr="00352BEC">
        <w:rPr>
          <w:sz w:val="24"/>
          <w:szCs w:val="24"/>
        </w:rPr>
        <w:t xml:space="preserve">An issue faced by specialist cybercrime units in the UK is that there are too many local variations in their response to cybercrime (HMICFRS, 2019). Furthermore, a more recent article from the HMICFRS reports that victims face a postcode lottery with the service they receive, with significant different between forces across England and Wales in the amount of time it takes for digital forensic examinations to begin after a crime is reported (2022). This is despite considerable investment from the government in the cybercrime units in police organisations across England and Wales. A consequence of not having a consistently high-level law enforcement response to cybercrime across England and Wales is the negative impact this will have on the institutional legitimacy of police forces (Koziarski and Lee, 2020). A possible solution to this is for forces to work in collaboration with other forces and third-party agencies (NPCC, 2020). </w:t>
      </w:r>
    </w:p>
    <w:p w14:paraId="4EB80DE1" w14:textId="77777777" w:rsidR="00352BEC" w:rsidRPr="00352BEC" w:rsidRDefault="00352BEC" w:rsidP="00352BEC">
      <w:pPr>
        <w:rPr>
          <w:sz w:val="24"/>
          <w:szCs w:val="24"/>
        </w:rPr>
      </w:pPr>
      <w:r w:rsidRPr="00352BEC">
        <w:rPr>
          <w:sz w:val="24"/>
          <w:szCs w:val="24"/>
        </w:rPr>
        <w:t xml:space="preserve">Another issue faced by specialist cybercrime units are the resourcing issues they face. Harkin and Whelan argue that it is clear the demand of cybercrime is exceeding the capacity of most police forces due to the “escalating volume and complexity of cybercrimes” (2021:531). Despite Harkin and Whelan writing from an Australian perspective, it seems that similar issues are present in the UK with the HMICFRS reporting that England and Wales police forces are overwhelmed when it comes to digital forensics (2022). It is argued police forces are overwhelmed due to a lack of police expertise to address the growing cybercrime demand (Harkin and Whelan, 2021). Harkin and Whelan have argued the ‘low visibility’ of these specialist cybercrime units may result in resourcing issues as senior management fail to understand the core needs of these units (2019). A possible solution to this resourcing issues is to hire highly skilled and technically minded civilian staff to improve the resourcing </w:t>
      </w:r>
      <w:r w:rsidRPr="00352BEC">
        <w:rPr>
          <w:sz w:val="24"/>
          <w:szCs w:val="24"/>
        </w:rPr>
        <w:lastRenderedPageBreak/>
        <w:t xml:space="preserve">levels of these specialist cybercrime units, to narrow the gap between existing police capacity and high demand levels (Harkin and Whelan, 2021). </w:t>
      </w:r>
    </w:p>
    <w:p w14:paraId="05F956CB" w14:textId="77777777" w:rsidR="00352BEC" w:rsidRPr="00352BEC" w:rsidRDefault="00352BEC" w:rsidP="00352BEC">
      <w:pPr>
        <w:rPr>
          <w:sz w:val="24"/>
          <w:szCs w:val="24"/>
        </w:rPr>
      </w:pPr>
      <w:r w:rsidRPr="00352BEC">
        <w:rPr>
          <w:sz w:val="24"/>
          <w:szCs w:val="24"/>
        </w:rPr>
        <w:t xml:space="preserve">In conclusion, despite the issues faced by specialist cybercrime units, they are still an essential and vital part of modern-day policing. This is evidenced by the home office labelling these units as a national priority (NPCC, 2020). This assignment has argued that despite the need to improve the regional differences and resourcing issues of specialist cybercrime units, they are a critical part of police organisations due to the expert evidence they produce, and the crucial skill set they possess to investigate cybercrime offences and help prosecute offenders. </w:t>
      </w:r>
    </w:p>
    <w:p w14:paraId="49836C5B" w14:textId="66CC54D8" w:rsidR="00352BEC" w:rsidRDefault="00352BEC" w:rsidP="00352BEC">
      <w:r>
        <w:t>Word Count 1,094</w:t>
      </w:r>
    </w:p>
    <w:p w14:paraId="47DFCCDE" w14:textId="6FC337CA" w:rsidR="00352BEC" w:rsidRDefault="00352BEC" w:rsidP="00352BEC"/>
    <w:p w14:paraId="7B30CC42" w14:textId="1DC3109B" w:rsidR="00352BEC" w:rsidRDefault="00352BEC" w:rsidP="00352BEC"/>
    <w:p w14:paraId="5F60CE1E" w14:textId="77777777" w:rsidR="001C2A9E" w:rsidRDefault="001C2A9E" w:rsidP="00352BEC"/>
    <w:p w14:paraId="166D1BB9" w14:textId="48763DE1" w:rsidR="00352BEC" w:rsidRPr="00352BEC" w:rsidRDefault="00352BEC" w:rsidP="00352BEC">
      <w:pPr>
        <w:rPr>
          <w:b/>
          <w:bCs/>
          <w:sz w:val="24"/>
          <w:szCs w:val="24"/>
        </w:rPr>
      </w:pPr>
      <w:r w:rsidRPr="00352BEC">
        <w:rPr>
          <w:b/>
          <w:bCs/>
          <w:sz w:val="24"/>
          <w:szCs w:val="24"/>
        </w:rPr>
        <w:t>Bibliography:</w:t>
      </w:r>
    </w:p>
    <w:p w14:paraId="72CD4054" w14:textId="77777777" w:rsidR="00352BEC" w:rsidRPr="00352BEC" w:rsidRDefault="00352BEC" w:rsidP="00352BEC">
      <w:pPr>
        <w:pStyle w:val="ListParagraph"/>
        <w:numPr>
          <w:ilvl w:val="0"/>
          <w:numId w:val="2"/>
        </w:numPr>
        <w:spacing w:after="160" w:line="259" w:lineRule="auto"/>
        <w:rPr>
          <w:sz w:val="24"/>
          <w:szCs w:val="24"/>
        </w:rPr>
      </w:pPr>
      <w:r w:rsidRPr="00352BEC">
        <w:rPr>
          <w:sz w:val="24"/>
          <w:szCs w:val="24"/>
        </w:rPr>
        <w:t>Ashford, W. (2019) ‘Police local cyber crime units get multimillion pound boost’, Computer Weekly, 12</w:t>
      </w:r>
      <w:r w:rsidRPr="00352BEC">
        <w:rPr>
          <w:sz w:val="24"/>
          <w:szCs w:val="24"/>
          <w:vertAlign w:val="superscript"/>
        </w:rPr>
        <w:t>th</w:t>
      </w:r>
      <w:r w:rsidRPr="00352BEC">
        <w:rPr>
          <w:sz w:val="24"/>
          <w:szCs w:val="24"/>
        </w:rPr>
        <w:t xml:space="preserve"> April. Available at: </w:t>
      </w:r>
      <w:hyperlink r:id="rId7" w:history="1">
        <w:r w:rsidRPr="00352BEC">
          <w:rPr>
            <w:rStyle w:val="Hyperlink"/>
            <w:sz w:val="24"/>
            <w:szCs w:val="24"/>
          </w:rPr>
          <w:t>https://www.computerweekly.com/news/252461568/Police-local-cyber-crime-units-get-multimillion-pound-boost</w:t>
        </w:r>
      </w:hyperlink>
      <w:r w:rsidRPr="00352BEC">
        <w:rPr>
          <w:sz w:val="24"/>
          <w:szCs w:val="24"/>
        </w:rPr>
        <w:t xml:space="preserve"> (Accessed: 10 February 2023). </w:t>
      </w:r>
    </w:p>
    <w:p w14:paraId="4729C93B" w14:textId="77777777" w:rsidR="00352BEC" w:rsidRPr="00352BEC" w:rsidRDefault="00352BEC" w:rsidP="00352BEC">
      <w:pPr>
        <w:pStyle w:val="ListParagraph"/>
        <w:numPr>
          <w:ilvl w:val="0"/>
          <w:numId w:val="2"/>
        </w:numPr>
        <w:spacing w:after="160" w:line="259" w:lineRule="auto"/>
        <w:rPr>
          <w:sz w:val="24"/>
          <w:szCs w:val="24"/>
        </w:rPr>
      </w:pPr>
      <w:r w:rsidRPr="00352BEC">
        <w:rPr>
          <w:sz w:val="24"/>
          <w:szCs w:val="24"/>
        </w:rPr>
        <w:t xml:space="preserve">Dekic, M.D. (2022) ‘Investigating cybercrime’, Tehnika, 77(2), pp.272-275. </w:t>
      </w:r>
    </w:p>
    <w:p w14:paraId="2919B9DF" w14:textId="77777777" w:rsidR="00352BEC" w:rsidRPr="00352BEC" w:rsidRDefault="00352BEC" w:rsidP="00352BEC">
      <w:pPr>
        <w:pStyle w:val="ListParagraph"/>
        <w:numPr>
          <w:ilvl w:val="0"/>
          <w:numId w:val="2"/>
        </w:numPr>
        <w:spacing w:after="160" w:line="259" w:lineRule="auto"/>
        <w:rPr>
          <w:sz w:val="24"/>
          <w:szCs w:val="24"/>
        </w:rPr>
      </w:pPr>
      <w:r w:rsidRPr="00352BEC">
        <w:rPr>
          <w:sz w:val="24"/>
          <w:szCs w:val="24"/>
        </w:rPr>
        <w:t xml:space="preserve">Flinders, K. (2023) ‘Fraudsters and cyber criminals stole more than £4bn in the UK through 2022’, Computer Weekly, 19 January. Available at: </w:t>
      </w:r>
      <w:hyperlink r:id="rId8" w:history="1">
        <w:r w:rsidRPr="00352BEC">
          <w:rPr>
            <w:rStyle w:val="Hyperlink"/>
            <w:sz w:val="24"/>
            <w:szCs w:val="24"/>
          </w:rPr>
          <w:t>https://www.computerweekly.com/news/252529367/Fraudsters-and-cyber-criminals-stole-more-than-4bn-in-the-UK-through-2022</w:t>
        </w:r>
      </w:hyperlink>
      <w:r w:rsidRPr="00352BEC">
        <w:rPr>
          <w:sz w:val="24"/>
          <w:szCs w:val="24"/>
        </w:rPr>
        <w:t xml:space="preserve"> (Accessed: 10 February 2023). </w:t>
      </w:r>
    </w:p>
    <w:p w14:paraId="5AFC66E4" w14:textId="77777777" w:rsidR="00352BEC" w:rsidRPr="00352BEC" w:rsidRDefault="00352BEC" w:rsidP="00352BEC">
      <w:pPr>
        <w:pStyle w:val="ListParagraph"/>
        <w:numPr>
          <w:ilvl w:val="0"/>
          <w:numId w:val="2"/>
        </w:numPr>
        <w:spacing w:after="160" w:line="259" w:lineRule="auto"/>
        <w:rPr>
          <w:sz w:val="24"/>
          <w:szCs w:val="24"/>
        </w:rPr>
      </w:pPr>
      <w:r w:rsidRPr="00352BEC">
        <w:rPr>
          <w:sz w:val="24"/>
          <w:szCs w:val="24"/>
        </w:rPr>
        <w:t xml:space="preserve">Harkin, D. and Whelan, C. (2019) ‘Exploring the implications of ‘low visibility’ specialist cyber crime units’, Australian and New Zealand Journal of Criminology, 52(4), pp.578-594. </w:t>
      </w:r>
    </w:p>
    <w:p w14:paraId="20043297" w14:textId="77777777" w:rsidR="00352BEC" w:rsidRPr="00352BEC" w:rsidRDefault="00352BEC" w:rsidP="00352BEC">
      <w:pPr>
        <w:pStyle w:val="ListParagraph"/>
        <w:numPr>
          <w:ilvl w:val="0"/>
          <w:numId w:val="2"/>
        </w:numPr>
        <w:spacing w:after="160" w:line="259" w:lineRule="auto"/>
        <w:rPr>
          <w:sz w:val="24"/>
          <w:szCs w:val="24"/>
        </w:rPr>
      </w:pPr>
      <w:r w:rsidRPr="00352BEC">
        <w:rPr>
          <w:sz w:val="24"/>
          <w:szCs w:val="24"/>
        </w:rPr>
        <w:t xml:space="preserve">Harkin, D. and Whelan, C. (2021) ‘Civilianising specialist units: Reflections on the policing of cyber-crime’, Criminology and Criminal Justice, 21(4), pp.529-546. </w:t>
      </w:r>
    </w:p>
    <w:p w14:paraId="5C1584B3" w14:textId="77777777" w:rsidR="00352BEC" w:rsidRPr="00352BEC" w:rsidRDefault="00352BEC" w:rsidP="00352BEC">
      <w:pPr>
        <w:pStyle w:val="ListParagraph"/>
        <w:numPr>
          <w:ilvl w:val="0"/>
          <w:numId w:val="2"/>
        </w:numPr>
        <w:spacing w:after="160" w:line="259" w:lineRule="auto"/>
        <w:rPr>
          <w:sz w:val="24"/>
          <w:szCs w:val="24"/>
        </w:rPr>
      </w:pPr>
      <w:r w:rsidRPr="00352BEC">
        <w:rPr>
          <w:sz w:val="24"/>
          <w:szCs w:val="24"/>
        </w:rPr>
        <w:t xml:space="preserve">Harkin, D. and Whelan, C. (2022) ‘Perceptions of police training needs in cyber-crime’, International Journal of Police Science and Management, 24(1), pp.66-76. </w:t>
      </w:r>
    </w:p>
    <w:p w14:paraId="4090A98F" w14:textId="77777777" w:rsidR="00352BEC" w:rsidRPr="00352BEC" w:rsidRDefault="00352BEC" w:rsidP="00352BEC">
      <w:pPr>
        <w:pStyle w:val="ListParagraph"/>
        <w:numPr>
          <w:ilvl w:val="0"/>
          <w:numId w:val="2"/>
        </w:numPr>
        <w:spacing w:after="160" w:line="259" w:lineRule="auto"/>
        <w:rPr>
          <w:sz w:val="24"/>
          <w:szCs w:val="24"/>
        </w:rPr>
      </w:pPr>
      <w:r w:rsidRPr="00352BEC">
        <w:rPr>
          <w:sz w:val="24"/>
          <w:szCs w:val="24"/>
        </w:rPr>
        <w:t>HM Inspectorate of Constabulary and Fire and Rescue Services [HMICFRS] (2019)</w:t>
      </w:r>
      <w:r w:rsidRPr="00352BEC">
        <w:rPr>
          <w:i/>
          <w:iCs/>
          <w:sz w:val="24"/>
          <w:szCs w:val="24"/>
        </w:rPr>
        <w:t xml:space="preserve"> Police response to cyber-dependent crime is generally good, but it can be inconsistent, finds Inspectorate. </w:t>
      </w:r>
      <w:r w:rsidRPr="00352BEC">
        <w:rPr>
          <w:sz w:val="24"/>
          <w:szCs w:val="24"/>
        </w:rPr>
        <w:t xml:space="preserve">Available at: </w:t>
      </w:r>
      <w:hyperlink r:id="rId9" w:history="1">
        <w:r w:rsidRPr="00352BEC">
          <w:rPr>
            <w:rStyle w:val="Hyperlink"/>
            <w:sz w:val="24"/>
            <w:szCs w:val="24"/>
          </w:rPr>
          <w:t>https://www.justiceinspectorates.gov.uk/hmicfrs/news/news-feed/police-response-cyber-dependent-crime-generally-good/</w:t>
        </w:r>
      </w:hyperlink>
      <w:r w:rsidRPr="00352BEC">
        <w:rPr>
          <w:sz w:val="24"/>
          <w:szCs w:val="24"/>
        </w:rPr>
        <w:t xml:space="preserve"> (Accessed: 20 February 2023). </w:t>
      </w:r>
    </w:p>
    <w:p w14:paraId="08C5A752" w14:textId="77777777" w:rsidR="00352BEC" w:rsidRPr="00352BEC" w:rsidRDefault="00352BEC" w:rsidP="00352BEC">
      <w:pPr>
        <w:pStyle w:val="ListParagraph"/>
        <w:numPr>
          <w:ilvl w:val="0"/>
          <w:numId w:val="2"/>
        </w:numPr>
        <w:spacing w:after="160" w:line="259" w:lineRule="auto"/>
        <w:rPr>
          <w:sz w:val="24"/>
          <w:szCs w:val="24"/>
        </w:rPr>
      </w:pPr>
      <w:r w:rsidRPr="00352BEC">
        <w:rPr>
          <w:sz w:val="24"/>
          <w:szCs w:val="24"/>
        </w:rPr>
        <w:t xml:space="preserve">HM Inspectorate of Constabulary and Fire and Rescue Services [HMICFRS] (2022) </w:t>
      </w:r>
      <w:r w:rsidRPr="00352BEC">
        <w:rPr>
          <w:i/>
          <w:iCs/>
          <w:sz w:val="24"/>
          <w:szCs w:val="24"/>
        </w:rPr>
        <w:t xml:space="preserve">Police forces overwhelmed and ineffective when it comes to digital forensics, new report finds. </w:t>
      </w:r>
      <w:r w:rsidRPr="00352BEC">
        <w:rPr>
          <w:sz w:val="24"/>
          <w:szCs w:val="24"/>
        </w:rPr>
        <w:t xml:space="preserve">Available at: </w:t>
      </w:r>
      <w:hyperlink r:id="rId10" w:history="1">
        <w:r w:rsidRPr="00352BEC">
          <w:rPr>
            <w:rStyle w:val="Hyperlink"/>
            <w:sz w:val="24"/>
            <w:szCs w:val="24"/>
          </w:rPr>
          <w:t>https://www.justiceinspectorates.gov.uk/hmicfrs/news/news-feed/police-forces-overwhelmed-and-ineffective-when-it-comes-to-digital-forensics/</w:t>
        </w:r>
      </w:hyperlink>
      <w:r w:rsidRPr="00352BEC">
        <w:rPr>
          <w:sz w:val="24"/>
          <w:szCs w:val="24"/>
        </w:rPr>
        <w:t xml:space="preserve"> (Accessed 20 February 2023). </w:t>
      </w:r>
    </w:p>
    <w:p w14:paraId="21B0BC7F" w14:textId="77777777" w:rsidR="00352BEC" w:rsidRPr="00352BEC" w:rsidRDefault="00352BEC" w:rsidP="00352BEC">
      <w:pPr>
        <w:pStyle w:val="ListParagraph"/>
        <w:numPr>
          <w:ilvl w:val="0"/>
          <w:numId w:val="2"/>
        </w:numPr>
        <w:spacing w:after="160" w:line="259" w:lineRule="auto"/>
        <w:rPr>
          <w:sz w:val="24"/>
          <w:szCs w:val="24"/>
        </w:rPr>
      </w:pPr>
      <w:r w:rsidRPr="00352BEC">
        <w:rPr>
          <w:sz w:val="24"/>
          <w:szCs w:val="24"/>
        </w:rPr>
        <w:lastRenderedPageBreak/>
        <w:t xml:space="preserve">Home Affairs Committee (2018) </w:t>
      </w:r>
      <w:r w:rsidRPr="00352BEC">
        <w:rPr>
          <w:i/>
          <w:iCs/>
          <w:sz w:val="24"/>
          <w:szCs w:val="24"/>
        </w:rPr>
        <w:t>Policing for the future: Tenth Report of Sessions 2017-19.</w:t>
      </w:r>
      <w:r w:rsidRPr="00352BEC">
        <w:rPr>
          <w:sz w:val="24"/>
          <w:szCs w:val="24"/>
        </w:rPr>
        <w:t xml:space="preserve"> London: House of Commons. </w:t>
      </w:r>
    </w:p>
    <w:p w14:paraId="143C2776" w14:textId="77777777" w:rsidR="00352BEC" w:rsidRPr="00352BEC" w:rsidRDefault="00352BEC" w:rsidP="00352BEC">
      <w:pPr>
        <w:pStyle w:val="ListParagraph"/>
        <w:numPr>
          <w:ilvl w:val="0"/>
          <w:numId w:val="2"/>
        </w:numPr>
        <w:spacing w:after="160" w:line="259" w:lineRule="auto"/>
        <w:rPr>
          <w:sz w:val="24"/>
          <w:szCs w:val="24"/>
        </w:rPr>
      </w:pPr>
      <w:r w:rsidRPr="00352BEC">
        <w:rPr>
          <w:sz w:val="24"/>
          <w:szCs w:val="24"/>
        </w:rPr>
        <w:t xml:space="preserve">Horan, C. and Saiedian, H. (2021) ‘Cyber Crime Investigation: Landscape, Challenges and Future Research Directions’, Journal of Cybersecurity and Privacy, 1(4), pp.580-596. </w:t>
      </w:r>
    </w:p>
    <w:p w14:paraId="62C28CBE" w14:textId="77777777" w:rsidR="00352BEC" w:rsidRPr="00352BEC" w:rsidRDefault="00352BEC" w:rsidP="00352BEC">
      <w:pPr>
        <w:pStyle w:val="ListParagraph"/>
        <w:numPr>
          <w:ilvl w:val="0"/>
          <w:numId w:val="2"/>
        </w:numPr>
        <w:spacing w:after="160" w:line="259" w:lineRule="auto"/>
        <w:rPr>
          <w:sz w:val="24"/>
          <w:szCs w:val="24"/>
        </w:rPr>
      </w:pPr>
      <w:r w:rsidRPr="00352BEC">
        <w:rPr>
          <w:sz w:val="24"/>
          <w:szCs w:val="24"/>
        </w:rPr>
        <w:t xml:space="preserve">Hunton, P. (2011) ‘A rigorous approach to formalising the technical investigation stages of cybercrime and criminality within a UK law enforcement environment’, Digital Investigation, 7(3), pp.105-113. </w:t>
      </w:r>
    </w:p>
    <w:p w14:paraId="5C9E3BAC" w14:textId="77777777" w:rsidR="00352BEC" w:rsidRPr="00352BEC" w:rsidRDefault="00352BEC" w:rsidP="00352BEC">
      <w:pPr>
        <w:pStyle w:val="ListParagraph"/>
        <w:numPr>
          <w:ilvl w:val="0"/>
          <w:numId w:val="2"/>
        </w:numPr>
        <w:spacing w:after="160" w:line="259" w:lineRule="auto"/>
        <w:rPr>
          <w:sz w:val="24"/>
          <w:szCs w:val="24"/>
        </w:rPr>
      </w:pPr>
      <w:r w:rsidRPr="00352BEC">
        <w:rPr>
          <w:sz w:val="24"/>
          <w:szCs w:val="24"/>
        </w:rPr>
        <w:t xml:space="preserve">Koziarski, J. and Lee, J.R. (2020) ‘Connecting evidence-based policing and cybercrime’, International Journal of Police Strategies and Management, 43(1), pp.198-211. </w:t>
      </w:r>
    </w:p>
    <w:p w14:paraId="3D642FD8" w14:textId="77777777" w:rsidR="00352BEC" w:rsidRPr="00352BEC" w:rsidRDefault="00352BEC" w:rsidP="00352BEC">
      <w:pPr>
        <w:pStyle w:val="ListParagraph"/>
        <w:numPr>
          <w:ilvl w:val="0"/>
          <w:numId w:val="2"/>
        </w:numPr>
        <w:spacing w:after="160" w:line="259" w:lineRule="auto"/>
        <w:rPr>
          <w:sz w:val="24"/>
          <w:szCs w:val="24"/>
        </w:rPr>
      </w:pPr>
      <w:r w:rsidRPr="00352BEC">
        <w:rPr>
          <w:sz w:val="24"/>
          <w:szCs w:val="24"/>
        </w:rPr>
        <w:t xml:space="preserve">National Police Chiefs Council [NPCC] (2016) Policing Vision 2025. Available at: </w:t>
      </w:r>
      <w:hyperlink r:id="rId11" w:history="1">
        <w:r w:rsidRPr="00352BEC">
          <w:rPr>
            <w:rStyle w:val="Hyperlink"/>
            <w:sz w:val="24"/>
            <w:szCs w:val="24"/>
          </w:rPr>
          <w:t>https://assets.college.police.uk/s3fs-public/policing_vision_2025.pdf</w:t>
        </w:r>
      </w:hyperlink>
      <w:r w:rsidRPr="00352BEC">
        <w:rPr>
          <w:sz w:val="24"/>
          <w:szCs w:val="24"/>
        </w:rPr>
        <w:t xml:space="preserve"> (Accessed: 12 February 2023). </w:t>
      </w:r>
    </w:p>
    <w:p w14:paraId="478C3CB2" w14:textId="77777777" w:rsidR="00352BEC" w:rsidRPr="00352BEC" w:rsidRDefault="00352BEC" w:rsidP="00352BEC">
      <w:pPr>
        <w:pStyle w:val="ListParagraph"/>
        <w:numPr>
          <w:ilvl w:val="0"/>
          <w:numId w:val="2"/>
        </w:numPr>
        <w:spacing w:after="160" w:line="259" w:lineRule="auto"/>
        <w:rPr>
          <w:sz w:val="24"/>
          <w:szCs w:val="24"/>
        </w:rPr>
      </w:pPr>
      <w:r w:rsidRPr="00352BEC">
        <w:rPr>
          <w:sz w:val="24"/>
          <w:szCs w:val="24"/>
        </w:rPr>
        <w:t xml:space="preserve">National Police Chiefs Council [NPCC] (2020) </w:t>
      </w:r>
      <w:r w:rsidRPr="00352BEC">
        <w:rPr>
          <w:i/>
          <w:iCs/>
          <w:sz w:val="24"/>
          <w:szCs w:val="24"/>
        </w:rPr>
        <w:t xml:space="preserve">National Policing Digital Strategy: Digital, Data and Technology Strategy 2020-2030. </w:t>
      </w:r>
      <w:r w:rsidRPr="00352BEC">
        <w:rPr>
          <w:sz w:val="24"/>
          <w:szCs w:val="24"/>
        </w:rPr>
        <w:t xml:space="preserve">Available at: </w:t>
      </w:r>
      <w:hyperlink r:id="rId12" w:history="1">
        <w:r w:rsidRPr="00352BEC">
          <w:rPr>
            <w:rStyle w:val="Hyperlink"/>
            <w:sz w:val="24"/>
            <w:szCs w:val="24"/>
          </w:rPr>
          <w:t>https://pds.police.uk/wp-content/uploads/2020/01/National-Policing-Digital-Strategy-2020-2030.pdf</w:t>
        </w:r>
      </w:hyperlink>
      <w:r w:rsidRPr="00352BEC">
        <w:rPr>
          <w:sz w:val="24"/>
          <w:szCs w:val="24"/>
        </w:rPr>
        <w:t xml:space="preserve"> (Accessed: 27 February 2023). </w:t>
      </w:r>
    </w:p>
    <w:p w14:paraId="6A016096" w14:textId="77777777" w:rsidR="00352BEC" w:rsidRPr="00352BEC" w:rsidRDefault="00352BEC" w:rsidP="00352BEC">
      <w:pPr>
        <w:pStyle w:val="ListParagraph"/>
        <w:numPr>
          <w:ilvl w:val="0"/>
          <w:numId w:val="2"/>
        </w:numPr>
        <w:spacing w:after="160" w:line="259" w:lineRule="auto"/>
        <w:rPr>
          <w:sz w:val="24"/>
          <w:szCs w:val="24"/>
        </w:rPr>
      </w:pPr>
      <w:r w:rsidRPr="00352BEC">
        <w:rPr>
          <w:sz w:val="24"/>
          <w:szCs w:val="24"/>
        </w:rPr>
        <w:t>O’Driscoll, A. (2023) ‘UK cyber security and cyber crime statistics’, Comparitech, 10</w:t>
      </w:r>
      <w:r w:rsidRPr="00352BEC">
        <w:rPr>
          <w:sz w:val="24"/>
          <w:szCs w:val="24"/>
          <w:vertAlign w:val="superscript"/>
        </w:rPr>
        <w:t>th</w:t>
      </w:r>
      <w:r w:rsidRPr="00352BEC">
        <w:rPr>
          <w:sz w:val="24"/>
          <w:szCs w:val="24"/>
        </w:rPr>
        <w:t xml:space="preserve"> February. Available at: </w:t>
      </w:r>
      <w:hyperlink r:id="rId13" w:history="1">
        <w:r w:rsidRPr="00352BEC">
          <w:rPr>
            <w:rStyle w:val="Hyperlink"/>
            <w:sz w:val="24"/>
            <w:szCs w:val="24"/>
          </w:rPr>
          <w:t>https://www.comparitech.com/blog/information-security/uk-cyber-security-statistics/</w:t>
        </w:r>
      </w:hyperlink>
      <w:r w:rsidRPr="00352BEC">
        <w:rPr>
          <w:sz w:val="24"/>
          <w:szCs w:val="24"/>
        </w:rPr>
        <w:t xml:space="preserve"> (Accessed: 05 March 2023). </w:t>
      </w:r>
    </w:p>
    <w:p w14:paraId="51E35839" w14:textId="77777777" w:rsidR="00352BEC" w:rsidRPr="00352BEC" w:rsidRDefault="00352BEC" w:rsidP="00352BEC">
      <w:pPr>
        <w:pStyle w:val="ListParagraph"/>
        <w:numPr>
          <w:ilvl w:val="0"/>
          <w:numId w:val="2"/>
        </w:numPr>
        <w:spacing w:after="160" w:line="259" w:lineRule="auto"/>
        <w:rPr>
          <w:sz w:val="24"/>
          <w:szCs w:val="24"/>
        </w:rPr>
      </w:pPr>
      <w:r w:rsidRPr="00352BEC">
        <w:rPr>
          <w:sz w:val="24"/>
          <w:szCs w:val="24"/>
        </w:rPr>
        <w:t xml:space="preserve">Office for National Statistics [ONS] (2019) </w:t>
      </w:r>
      <w:r w:rsidRPr="00352BEC">
        <w:rPr>
          <w:i/>
          <w:iCs/>
          <w:sz w:val="24"/>
          <w:szCs w:val="24"/>
        </w:rPr>
        <w:t xml:space="preserve">Internet access – households and individuals, Great Britain: 2019. </w:t>
      </w:r>
      <w:r w:rsidRPr="00352BEC">
        <w:rPr>
          <w:sz w:val="24"/>
          <w:szCs w:val="24"/>
        </w:rPr>
        <w:t xml:space="preserve">Available at: </w:t>
      </w:r>
      <w:hyperlink r:id="rId14" w:history="1">
        <w:r w:rsidRPr="00352BEC">
          <w:rPr>
            <w:rStyle w:val="Hyperlink"/>
            <w:sz w:val="24"/>
            <w:szCs w:val="24"/>
          </w:rPr>
          <w:t>https://www.ons.gov.uk/peoplepopulationandcommunity/householdcharacteristics/homeinternetandsocialmediausage/bulletins/internetaccesshouseholdsandindividuals/2019</w:t>
        </w:r>
      </w:hyperlink>
      <w:r w:rsidRPr="00352BEC">
        <w:rPr>
          <w:sz w:val="24"/>
          <w:szCs w:val="24"/>
        </w:rPr>
        <w:t xml:space="preserve"> (Accessed: 15 February 2023). </w:t>
      </w:r>
    </w:p>
    <w:p w14:paraId="19BC549B" w14:textId="77777777" w:rsidR="00352BEC" w:rsidRPr="00352BEC" w:rsidRDefault="00352BEC" w:rsidP="00352BEC">
      <w:pPr>
        <w:pStyle w:val="ListParagraph"/>
        <w:numPr>
          <w:ilvl w:val="0"/>
          <w:numId w:val="2"/>
        </w:numPr>
        <w:spacing w:after="160" w:line="259" w:lineRule="auto"/>
        <w:rPr>
          <w:sz w:val="24"/>
          <w:szCs w:val="24"/>
        </w:rPr>
      </w:pPr>
      <w:r w:rsidRPr="00352BEC">
        <w:rPr>
          <w:sz w:val="24"/>
          <w:szCs w:val="24"/>
        </w:rPr>
        <w:t xml:space="preserve">Rappert, B., Wilson-Kovacs, D., Wheat, H. and Leonelli, S. (2022) ‘Evincing offence: How Digital Forensics Turns Big Data into Evidence for Policing Sexual Abuse’, Engaging Science, Technology and Society, 8(3), pp.8-30. </w:t>
      </w:r>
    </w:p>
    <w:p w14:paraId="6906863D" w14:textId="77777777" w:rsidR="00352BEC" w:rsidRPr="00352BEC" w:rsidRDefault="00352BEC" w:rsidP="00352BEC">
      <w:pPr>
        <w:pStyle w:val="ListParagraph"/>
        <w:numPr>
          <w:ilvl w:val="0"/>
          <w:numId w:val="2"/>
        </w:numPr>
        <w:spacing w:after="160" w:line="259" w:lineRule="auto"/>
        <w:rPr>
          <w:sz w:val="24"/>
          <w:szCs w:val="24"/>
        </w:rPr>
      </w:pPr>
      <w:r w:rsidRPr="00352BEC">
        <w:rPr>
          <w:sz w:val="24"/>
          <w:szCs w:val="24"/>
        </w:rPr>
        <w:t xml:space="preserve">Schreuder, Z.C., Cockcroft, T., Elliott, J., Butterfield, E., Soobhany., A.R. and Shan-A-Khuda, M. (2020) ‘Needs Assessment of Cybercrime and Digital Evidence in a UK Police Force’, International Journal of Cyber Criminology, 14(1), pp.316-340. </w:t>
      </w:r>
    </w:p>
    <w:p w14:paraId="3A58BA63" w14:textId="3DA170EB" w:rsidR="00352BEC" w:rsidRDefault="00352BEC" w:rsidP="00352BEC">
      <w:pPr>
        <w:pStyle w:val="ListParagraph"/>
        <w:numPr>
          <w:ilvl w:val="0"/>
          <w:numId w:val="2"/>
        </w:numPr>
        <w:spacing w:after="160" w:line="259" w:lineRule="auto"/>
        <w:rPr>
          <w:sz w:val="24"/>
          <w:szCs w:val="24"/>
        </w:rPr>
      </w:pPr>
      <w:r w:rsidRPr="00352BEC">
        <w:rPr>
          <w:sz w:val="24"/>
          <w:szCs w:val="24"/>
        </w:rPr>
        <w:t xml:space="preserve">Wilson-Kovacs, D. (2021) ‘Digital media investigators: challenges and opportunities in the use of digital forensics in police investigation in England and Wales’, International Journal of Police Strategies and Management, 44(4), pp.669-682. </w:t>
      </w:r>
    </w:p>
    <w:p w14:paraId="7575AA94" w14:textId="07E217E0" w:rsidR="00A27D6B" w:rsidRDefault="00A27D6B" w:rsidP="00A27D6B">
      <w:pPr>
        <w:rPr>
          <w:sz w:val="24"/>
          <w:szCs w:val="24"/>
        </w:rPr>
      </w:pPr>
    </w:p>
    <w:p w14:paraId="07BAB210" w14:textId="204DC071" w:rsidR="00A27D6B" w:rsidRDefault="00A27D6B" w:rsidP="00A27D6B">
      <w:pPr>
        <w:rPr>
          <w:sz w:val="24"/>
          <w:szCs w:val="24"/>
        </w:rPr>
      </w:pPr>
    </w:p>
    <w:p w14:paraId="61DC8478" w14:textId="63D2CC21" w:rsidR="00A27D6B" w:rsidRDefault="00A27D6B" w:rsidP="00A27D6B">
      <w:pPr>
        <w:rPr>
          <w:sz w:val="24"/>
          <w:szCs w:val="24"/>
        </w:rPr>
      </w:pPr>
    </w:p>
    <w:p w14:paraId="28EDF458" w14:textId="4BC38C17" w:rsidR="00A27D6B" w:rsidRDefault="00A27D6B" w:rsidP="00A27D6B">
      <w:pPr>
        <w:rPr>
          <w:sz w:val="24"/>
          <w:szCs w:val="24"/>
        </w:rPr>
      </w:pPr>
    </w:p>
    <w:p w14:paraId="231845BF" w14:textId="4A8D7995" w:rsidR="00A27D6B" w:rsidRDefault="00A27D6B" w:rsidP="00A27D6B">
      <w:pPr>
        <w:rPr>
          <w:sz w:val="24"/>
          <w:szCs w:val="24"/>
        </w:rPr>
      </w:pPr>
    </w:p>
    <w:p w14:paraId="307E2E5C" w14:textId="77777777" w:rsidR="00BA53CE" w:rsidRDefault="00BA53CE" w:rsidP="00A27D6B">
      <w:pPr>
        <w:rPr>
          <w:sz w:val="24"/>
          <w:szCs w:val="24"/>
        </w:rPr>
      </w:pPr>
    </w:p>
    <w:p w14:paraId="109258FE" w14:textId="596CCABC" w:rsidR="00A27D6B" w:rsidRDefault="00A27D6B" w:rsidP="00A27D6B">
      <w:pPr>
        <w:rPr>
          <w:sz w:val="24"/>
          <w:szCs w:val="24"/>
        </w:rPr>
      </w:pPr>
    </w:p>
    <w:p w14:paraId="674C183F" w14:textId="020AECDB" w:rsidR="00A27D6B" w:rsidRPr="00352BEC" w:rsidRDefault="00A27D6B" w:rsidP="00A27D6B">
      <w:pPr>
        <w:rPr>
          <w:b/>
          <w:bCs/>
          <w:sz w:val="24"/>
          <w:szCs w:val="24"/>
        </w:rPr>
      </w:pPr>
      <w:r w:rsidRPr="00352BEC">
        <w:rPr>
          <w:b/>
          <w:bCs/>
          <w:sz w:val="24"/>
          <w:szCs w:val="24"/>
        </w:rPr>
        <w:lastRenderedPageBreak/>
        <w:t xml:space="preserve">Essay </w:t>
      </w:r>
      <w:r>
        <w:rPr>
          <w:b/>
          <w:bCs/>
          <w:sz w:val="24"/>
          <w:szCs w:val="24"/>
        </w:rPr>
        <w:t>2</w:t>
      </w:r>
      <w:r w:rsidRPr="00352BEC">
        <w:rPr>
          <w:b/>
          <w:bCs/>
          <w:sz w:val="24"/>
          <w:szCs w:val="24"/>
        </w:rPr>
        <w:t>:</w:t>
      </w:r>
    </w:p>
    <w:p w14:paraId="2F7C4393" w14:textId="5A315EA7" w:rsidR="002E3338" w:rsidRDefault="002E3338" w:rsidP="00A27D6B">
      <w:pPr>
        <w:rPr>
          <w:b/>
          <w:bCs/>
          <w:sz w:val="24"/>
          <w:szCs w:val="24"/>
        </w:rPr>
      </w:pPr>
      <w:r w:rsidRPr="002E3338">
        <w:rPr>
          <w:b/>
          <w:bCs/>
          <w:sz w:val="24"/>
          <w:szCs w:val="24"/>
        </w:rPr>
        <w:t>Critically evaluate methods used to communicate information and intelligence both within individual police forces and more widely. Are current methods effective, and how might they be improved? Your answer must be based on academic research, but you may make reference to recent, relevant examples</w:t>
      </w:r>
      <w:r>
        <w:rPr>
          <w:b/>
          <w:bCs/>
          <w:sz w:val="24"/>
          <w:szCs w:val="24"/>
        </w:rPr>
        <w:t>.</w:t>
      </w:r>
    </w:p>
    <w:p w14:paraId="330915A5" w14:textId="77777777" w:rsidR="002E3338" w:rsidRPr="002E3338" w:rsidRDefault="002E3338" w:rsidP="00A27D6B">
      <w:pPr>
        <w:rPr>
          <w:b/>
          <w:bCs/>
          <w:sz w:val="24"/>
          <w:szCs w:val="24"/>
        </w:rPr>
      </w:pPr>
    </w:p>
    <w:p w14:paraId="67D1A0A3" w14:textId="77777777" w:rsidR="00A27D6B" w:rsidRPr="00A27D6B" w:rsidRDefault="00A27D6B" w:rsidP="00A27D6B">
      <w:pPr>
        <w:rPr>
          <w:sz w:val="24"/>
          <w:szCs w:val="24"/>
        </w:rPr>
      </w:pPr>
      <w:r w:rsidRPr="00A27D6B">
        <w:rPr>
          <w:sz w:val="24"/>
          <w:szCs w:val="24"/>
        </w:rPr>
        <w:t>Recent articles have argued that intelligence is “essential for all criminal investigations” (Kowalick et al, 2018:596). The importance of communicating information and intelligence effectively within and between police forces is “becoming essential for success” (</w:t>
      </w:r>
      <w:bookmarkStart w:id="0" w:name="_Hlk134966778"/>
      <w:r w:rsidRPr="00A27D6B">
        <w:rPr>
          <w:sz w:val="24"/>
          <w:szCs w:val="24"/>
        </w:rPr>
        <w:t>Griffiths et al, 2016</w:t>
      </w:r>
      <w:bookmarkEnd w:id="0"/>
      <w:r w:rsidRPr="00A27D6B">
        <w:rPr>
          <w:sz w:val="24"/>
          <w:szCs w:val="24"/>
        </w:rPr>
        <w:t xml:space="preserve">:268). The failure to share information and intelligence effectively can be devastating as illustrated by the Soham murders in 2002 (Brown, 2018). The failure to share information on this occasion allowed a previously investigated individual to gain the position of school caretaker in Soham who subsequently murdered two schoolgirls (Griffiths et al, 2016). This essay will evaluate the methods used to communicate information and intelligence within and between police forces, arguing the current methods require improving. Firstly, I will explore what is information and intelligence. </w:t>
      </w:r>
    </w:p>
    <w:p w14:paraId="700C7AAF" w14:textId="77777777" w:rsidR="00A27D6B" w:rsidRPr="00A27D6B" w:rsidRDefault="00A27D6B" w:rsidP="00A27D6B">
      <w:pPr>
        <w:rPr>
          <w:sz w:val="24"/>
          <w:szCs w:val="24"/>
        </w:rPr>
      </w:pPr>
      <w:r w:rsidRPr="00A27D6B">
        <w:rPr>
          <w:sz w:val="24"/>
          <w:szCs w:val="24"/>
        </w:rPr>
        <w:t xml:space="preserve">Information has been defined as the “raw material used the create intelligence” (Brown, 2018:2). Information can be gathered via several methods such as routine operational police activity and members of the public (COP, 2013). On the other hand, intelligence has been defined as “information that is collected about crime and criminals and evaluated, analysed and disseminated” (Parliamentary Joint Committee on Law Enforcement, 2013:5). Similarly, the NCA defined intelligence as information that has been analysed and assessed (2023). Phythian and Kirby argue that intelligence is critical in tackling “current strategic policing priorities” (2022:4). The advantages of obtaining vast amounts of intelligence are well established. New intelligence can generate greater lines of enquiry, improving operational effectiveness (Lambri et al, 2011). Furthermore, it is argued that increasing knowledge and intelligence helps improve decision making (Brown, 2018). For example, the intelligence can assist in identifying which criminal groups to target in an age of resource constraints (Ratcliffe, 2016). In addition, there is extensive research highlighting the advantages of sharing the information and intelligence that has been collected. For instance, through effective intelligence sharing it is suggested police forces can “draw upon broad expertise, including the latest advancements in policing techniques and best practice” (Griffiths et al, 2016:270). In the next section, I will evaluate the informal methods used to communicate information and intelligence within police forces. </w:t>
      </w:r>
    </w:p>
    <w:p w14:paraId="29CB73E0" w14:textId="77777777" w:rsidR="00A27D6B" w:rsidRPr="00A27D6B" w:rsidRDefault="00A27D6B" w:rsidP="00A27D6B">
      <w:pPr>
        <w:rPr>
          <w:sz w:val="24"/>
          <w:szCs w:val="24"/>
        </w:rPr>
      </w:pPr>
      <w:r w:rsidRPr="00A27D6B">
        <w:rPr>
          <w:sz w:val="24"/>
          <w:szCs w:val="24"/>
        </w:rPr>
        <w:t xml:space="preserve">Within police forces, it has been suggested that information and intelligence can be shared through more formal methods such as digital information networks, or informally via personal social networks (Cotter, 2017). These informal communication methods include verbal and written briefings and face to face meetings (Griffiths et al, 2016). Officers will utilise informal communication methods to seek information to “prevent crimes, solve criminal cases and to find missing persons” (Lewandowski and Nestel, 2016:50). Several articles have highlighted the popularity of the informal methods of communication with </w:t>
      </w:r>
      <w:r w:rsidRPr="00A27D6B">
        <w:rPr>
          <w:sz w:val="24"/>
          <w:szCs w:val="24"/>
        </w:rPr>
        <w:lastRenderedPageBreak/>
        <w:t xml:space="preserve">Lewandowski and Nestel stating police officers use “personal contact most frequently when seeking information” (2016:49). There are multiple perceived benefits of using these more informal methods of communication. Weiss notes that the more formal systems used to communicate intelligence were too time consuming compared to informal methods (1997), suggesting it is more effective to gather intelligence through peer-to-peer communication. Furthermore, Cotter argues that intelligence shared informally between contacts was perceived to be “more current, detailed, reliable and secure”, with officers seeking to avoid IT systems particularly when sharing sensitive information (2017:173). Despite the benefits, scholars have highlighted aspects of informal communication methods that requires improving. </w:t>
      </w:r>
    </w:p>
    <w:p w14:paraId="7D292C37" w14:textId="77777777" w:rsidR="00A27D6B" w:rsidRPr="00A27D6B" w:rsidRDefault="00A27D6B" w:rsidP="00A27D6B">
      <w:pPr>
        <w:rPr>
          <w:sz w:val="24"/>
          <w:szCs w:val="24"/>
        </w:rPr>
      </w:pPr>
      <w:r w:rsidRPr="00A27D6B">
        <w:rPr>
          <w:sz w:val="24"/>
          <w:szCs w:val="24"/>
        </w:rPr>
        <w:t xml:space="preserve">Firstly, it has been argued that one of the main barriers to information and intelligence sharing in relation to informal communication methods is the fact that individuals recognise that knowledge is power (Seba and Rowley, 2010). As a result, there is a reluctance to share important intelligence as this is seen as an asset with considerable value in relation to status and career development (Seba and Rowley, 2010). Additionally, Carter and Carter state there is an unwillingness to share information if there is additional gain from holding on to it (2009). As a result, it is essential to ensure there is an organisational culture which encourages and promotes the sharing of intelligence (Goh and Hooper, 2009). A way of creating a sharing culture is through the implementation of long-term initiatives such as regular team briefings and team building exercises (Lindsay et al, 2009). Additional measures that may promote a sharing culture is introducing or maintaining staff canteens as a way or encouraging information exchanges of information (Griffiths et al, 2016). </w:t>
      </w:r>
    </w:p>
    <w:p w14:paraId="2F924400" w14:textId="77777777" w:rsidR="00A27D6B" w:rsidRPr="00A27D6B" w:rsidRDefault="00A27D6B" w:rsidP="00A27D6B">
      <w:pPr>
        <w:rPr>
          <w:sz w:val="24"/>
          <w:szCs w:val="24"/>
        </w:rPr>
      </w:pPr>
      <w:r w:rsidRPr="00A27D6B">
        <w:rPr>
          <w:sz w:val="24"/>
          <w:szCs w:val="24"/>
        </w:rPr>
        <w:t xml:space="preserve">Next, I will evaluate the use of PND to share intelligence between police forces. PND has been championed as representing “one of the most important developments in recent policing history” (Lambri et al, 2011:1). PND was born out of the Bichard inquiry where one of its recommendations was the implementation of a national intelligence system as a matter of urgency (Bichard, 2004). PND allows police forces across England and Wales to see and share intelligence that until now has only been available within individual police forces (Lambri et al, 2011). PND is an effective system making information from other forces readily available to improve operations outcomes and inform decision making (Lambri et al, 2011). Furthermore, it helps support de-confliction (Mapel, 2014). De-confliction is to prevent more than once police force simultaneously investigating the same individual or group (Brown, 2018:3). This can prevent the duplication of effort, saving time and resources for each police force concerned (Parliamentary Joint Committee on Law Enforcement, 2013). Despite the extensive advantages associated with PND, there are aspects that could be improved. </w:t>
      </w:r>
    </w:p>
    <w:p w14:paraId="19477DF5" w14:textId="77777777" w:rsidR="00A27D6B" w:rsidRPr="00A27D6B" w:rsidRDefault="00A27D6B" w:rsidP="00A27D6B">
      <w:pPr>
        <w:rPr>
          <w:sz w:val="24"/>
          <w:szCs w:val="24"/>
        </w:rPr>
      </w:pPr>
      <w:r w:rsidRPr="00A27D6B">
        <w:rPr>
          <w:sz w:val="24"/>
          <w:szCs w:val="24"/>
        </w:rPr>
        <w:t xml:space="preserve">A barrier to the success of PND is data quality. Lambri et al, have stated that data which is “incomplete, inconsistent, not meaningful or misinterpreted due to the different ways forces manage their information can lead to poor decisions, wasted time or missed opportunities” (2011:10). Furthermore, it is argued the lack of data standard can lead to inaccuracies in recording “people, events and even colours” (CGI, 2013:1). These issues stem from the “non-standardised and inconsistent data gathering methods across forces (Lambri </w:t>
      </w:r>
      <w:r w:rsidRPr="00A27D6B">
        <w:rPr>
          <w:sz w:val="24"/>
          <w:szCs w:val="24"/>
        </w:rPr>
        <w:lastRenderedPageBreak/>
        <w:t xml:space="preserve">et al, 2011:15). It is crucial to rectify these data quality issues to ensure that PND is as effective as possible. Phythian and Kirby conclude in their article, a solution to these data quality issues is to establish national standard for data quality and PND use across forces (2022:11). </w:t>
      </w:r>
    </w:p>
    <w:p w14:paraId="66B7DE31" w14:textId="481ADEB8" w:rsidR="00A27D6B" w:rsidRPr="00A27D6B" w:rsidRDefault="00A27D6B" w:rsidP="00A27D6B">
      <w:pPr>
        <w:rPr>
          <w:sz w:val="24"/>
          <w:szCs w:val="24"/>
        </w:rPr>
      </w:pPr>
      <w:r w:rsidRPr="00A27D6B">
        <w:rPr>
          <w:sz w:val="24"/>
          <w:szCs w:val="24"/>
        </w:rPr>
        <w:t xml:space="preserve">In conclusion, despite informal communication and PND being identified as effective methods used to communicate information and intelligence within and between forces, there are still aspects that can be improved to ensure they are more effective. This assignment has argued that promoting a culture of information exchange may ensure that officers are sharing valuable and important intelligence. Furthermore, PND could become more effective if national standards in data quality </w:t>
      </w:r>
      <w:r w:rsidR="00D5421C">
        <w:rPr>
          <w:sz w:val="24"/>
          <w:szCs w:val="24"/>
        </w:rPr>
        <w:t>are</w:t>
      </w:r>
      <w:r w:rsidRPr="00A27D6B">
        <w:rPr>
          <w:sz w:val="24"/>
          <w:szCs w:val="24"/>
        </w:rPr>
        <w:t xml:space="preserve"> established. </w:t>
      </w:r>
    </w:p>
    <w:p w14:paraId="36D3F4DD" w14:textId="7E9020C5" w:rsidR="00A27D6B" w:rsidRDefault="00A27D6B" w:rsidP="00A27D6B">
      <w:r>
        <w:t>Word Count: 1,082</w:t>
      </w:r>
    </w:p>
    <w:p w14:paraId="7A4630DB" w14:textId="71CD352C" w:rsidR="002E3338" w:rsidRDefault="002E3338" w:rsidP="00A27D6B"/>
    <w:p w14:paraId="782B8A32" w14:textId="570F0202" w:rsidR="006D6012" w:rsidRPr="006D6012" w:rsidRDefault="006D6012" w:rsidP="006D6012">
      <w:pPr>
        <w:rPr>
          <w:b/>
          <w:bCs/>
          <w:sz w:val="24"/>
          <w:szCs w:val="24"/>
        </w:rPr>
      </w:pPr>
      <w:r w:rsidRPr="006D6012">
        <w:rPr>
          <w:b/>
          <w:bCs/>
          <w:sz w:val="24"/>
          <w:szCs w:val="24"/>
        </w:rPr>
        <w:t>Bibliography:</w:t>
      </w:r>
    </w:p>
    <w:p w14:paraId="3961A59D" w14:textId="77777777" w:rsidR="006D6012" w:rsidRPr="006D6012" w:rsidRDefault="006D6012" w:rsidP="006D6012">
      <w:pPr>
        <w:pStyle w:val="ListParagraph"/>
        <w:numPr>
          <w:ilvl w:val="0"/>
          <w:numId w:val="3"/>
        </w:numPr>
        <w:spacing w:after="160" w:line="259" w:lineRule="auto"/>
        <w:rPr>
          <w:sz w:val="24"/>
          <w:szCs w:val="24"/>
        </w:rPr>
      </w:pPr>
      <w:r w:rsidRPr="006D6012">
        <w:rPr>
          <w:sz w:val="24"/>
          <w:szCs w:val="24"/>
        </w:rPr>
        <w:t xml:space="preserve">Bichard, M. (2004) </w:t>
      </w:r>
      <w:r w:rsidRPr="006D6012">
        <w:rPr>
          <w:i/>
          <w:iCs/>
          <w:sz w:val="24"/>
          <w:szCs w:val="24"/>
        </w:rPr>
        <w:t xml:space="preserve">The Bichard Inquiry. </w:t>
      </w:r>
      <w:r w:rsidRPr="006D6012">
        <w:rPr>
          <w:sz w:val="24"/>
          <w:szCs w:val="24"/>
        </w:rPr>
        <w:t xml:space="preserve">London: Stationery Office. </w:t>
      </w:r>
    </w:p>
    <w:p w14:paraId="721B3ED7" w14:textId="77777777" w:rsidR="006D6012" w:rsidRPr="006D6012" w:rsidRDefault="006D6012" w:rsidP="006D6012">
      <w:pPr>
        <w:pStyle w:val="ListParagraph"/>
        <w:numPr>
          <w:ilvl w:val="0"/>
          <w:numId w:val="3"/>
        </w:numPr>
        <w:spacing w:after="160" w:line="259" w:lineRule="auto"/>
        <w:rPr>
          <w:sz w:val="24"/>
          <w:szCs w:val="24"/>
        </w:rPr>
      </w:pPr>
      <w:r w:rsidRPr="006D6012">
        <w:rPr>
          <w:sz w:val="24"/>
          <w:szCs w:val="24"/>
        </w:rPr>
        <w:t xml:space="preserve">Brown, R. (2018) ‘Understanding law enforcement information sharing for criminal intelligence purposes’, Trends and Issues in Crime and Criminal Justice, (566), pp.1-15. </w:t>
      </w:r>
    </w:p>
    <w:p w14:paraId="1A46B0E6" w14:textId="77777777" w:rsidR="006D6012" w:rsidRPr="006D6012" w:rsidRDefault="006D6012" w:rsidP="006D6012">
      <w:pPr>
        <w:pStyle w:val="ListParagraph"/>
        <w:numPr>
          <w:ilvl w:val="0"/>
          <w:numId w:val="3"/>
        </w:numPr>
        <w:spacing w:after="160" w:line="259" w:lineRule="auto"/>
        <w:rPr>
          <w:sz w:val="24"/>
          <w:szCs w:val="24"/>
        </w:rPr>
      </w:pPr>
      <w:r w:rsidRPr="006D6012">
        <w:rPr>
          <w:sz w:val="24"/>
          <w:szCs w:val="24"/>
        </w:rPr>
        <w:t xml:space="preserve">Carter, D. and Carter, J. (2009) ‘The intelligence fusion process for state, local and tribal law enforcement’, Criminal Justice and Behaviour, 26(12), pp.1323-1339. </w:t>
      </w:r>
    </w:p>
    <w:p w14:paraId="24FD2586" w14:textId="77777777" w:rsidR="006D6012" w:rsidRPr="006D6012" w:rsidRDefault="006D6012" w:rsidP="006D6012">
      <w:pPr>
        <w:pStyle w:val="ListParagraph"/>
        <w:numPr>
          <w:ilvl w:val="0"/>
          <w:numId w:val="3"/>
        </w:numPr>
        <w:spacing w:after="160" w:line="259" w:lineRule="auto"/>
        <w:rPr>
          <w:sz w:val="24"/>
          <w:szCs w:val="24"/>
        </w:rPr>
      </w:pPr>
      <w:r w:rsidRPr="006D6012">
        <w:rPr>
          <w:sz w:val="24"/>
          <w:szCs w:val="24"/>
        </w:rPr>
        <w:t xml:space="preserve">CGI. (2013) Police National Database. Available at: </w:t>
      </w:r>
      <w:hyperlink r:id="rId15" w:history="1">
        <w:r w:rsidRPr="006D6012">
          <w:rPr>
            <w:rStyle w:val="Hyperlink"/>
            <w:sz w:val="24"/>
            <w:szCs w:val="24"/>
          </w:rPr>
          <w:t>https://www.cgi.com/en/case-study/joining-forces-pnd</w:t>
        </w:r>
      </w:hyperlink>
      <w:r w:rsidRPr="006D6012">
        <w:rPr>
          <w:sz w:val="24"/>
          <w:szCs w:val="24"/>
        </w:rPr>
        <w:t xml:space="preserve"> (Accessed 26 April 2023). </w:t>
      </w:r>
    </w:p>
    <w:p w14:paraId="1E95417A" w14:textId="77777777" w:rsidR="006D6012" w:rsidRPr="006D6012" w:rsidRDefault="006D6012" w:rsidP="006D6012">
      <w:pPr>
        <w:pStyle w:val="ListParagraph"/>
        <w:numPr>
          <w:ilvl w:val="0"/>
          <w:numId w:val="3"/>
        </w:numPr>
        <w:spacing w:after="160" w:line="259" w:lineRule="auto"/>
        <w:rPr>
          <w:sz w:val="24"/>
          <w:szCs w:val="24"/>
        </w:rPr>
      </w:pPr>
      <w:r w:rsidRPr="006D6012">
        <w:rPr>
          <w:sz w:val="24"/>
          <w:szCs w:val="24"/>
        </w:rPr>
        <w:t xml:space="preserve">College of Policing [COP] (2013) </w:t>
      </w:r>
      <w:r w:rsidRPr="006D6012">
        <w:rPr>
          <w:i/>
          <w:iCs/>
          <w:sz w:val="24"/>
          <w:szCs w:val="24"/>
        </w:rPr>
        <w:t xml:space="preserve">Collection and recording. </w:t>
      </w:r>
      <w:r w:rsidRPr="006D6012">
        <w:rPr>
          <w:sz w:val="24"/>
          <w:szCs w:val="24"/>
        </w:rPr>
        <w:t xml:space="preserve">Available at: </w:t>
      </w:r>
      <w:hyperlink r:id="rId16" w:anchor="routine-collection" w:history="1">
        <w:r w:rsidRPr="006D6012">
          <w:rPr>
            <w:rStyle w:val="Hyperlink"/>
            <w:sz w:val="24"/>
            <w:szCs w:val="24"/>
          </w:rPr>
          <w:t>https://www.college.police.uk/app/information-management/management-police-information/collection-and-recording#routine-collection</w:t>
        </w:r>
      </w:hyperlink>
      <w:r w:rsidRPr="006D6012">
        <w:rPr>
          <w:sz w:val="24"/>
          <w:szCs w:val="24"/>
        </w:rPr>
        <w:t xml:space="preserve"> (Accessed 27 April 2023). </w:t>
      </w:r>
    </w:p>
    <w:p w14:paraId="5EFD96D9" w14:textId="77777777" w:rsidR="006D6012" w:rsidRPr="006D6012" w:rsidRDefault="006D6012" w:rsidP="006D6012">
      <w:pPr>
        <w:pStyle w:val="ListParagraph"/>
        <w:numPr>
          <w:ilvl w:val="0"/>
          <w:numId w:val="3"/>
        </w:numPr>
        <w:spacing w:after="160" w:line="259" w:lineRule="auto"/>
        <w:rPr>
          <w:sz w:val="24"/>
          <w:szCs w:val="24"/>
        </w:rPr>
      </w:pPr>
      <w:r w:rsidRPr="006D6012">
        <w:rPr>
          <w:sz w:val="24"/>
          <w:szCs w:val="24"/>
        </w:rPr>
        <w:t xml:space="preserve">Cotter, R.S. (2017) ‘Police intelligence: connecting-the-dots in a network society’, Policing and Society, 27(2), pp.173-187. </w:t>
      </w:r>
    </w:p>
    <w:p w14:paraId="4190DF25" w14:textId="77777777" w:rsidR="006D6012" w:rsidRPr="006D6012" w:rsidRDefault="006D6012" w:rsidP="006D6012">
      <w:pPr>
        <w:pStyle w:val="ListParagraph"/>
        <w:numPr>
          <w:ilvl w:val="0"/>
          <w:numId w:val="3"/>
        </w:numPr>
        <w:spacing w:after="160" w:line="259" w:lineRule="auto"/>
        <w:rPr>
          <w:sz w:val="24"/>
          <w:szCs w:val="24"/>
        </w:rPr>
      </w:pPr>
      <w:r w:rsidRPr="006D6012">
        <w:rPr>
          <w:sz w:val="24"/>
          <w:szCs w:val="24"/>
        </w:rPr>
        <w:t xml:space="preserve">Goh, C.H.T. and Hooper, V. (2009) ‘Knowledge and Information sharing in a closed information environment’, Journal of Knowledge Management, 13, pp.21-34. </w:t>
      </w:r>
    </w:p>
    <w:p w14:paraId="6DCD5FE3" w14:textId="77777777" w:rsidR="006D6012" w:rsidRPr="006D6012" w:rsidRDefault="006D6012" w:rsidP="006D6012">
      <w:pPr>
        <w:pStyle w:val="ListParagraph"/>
        <w:numPr>
          <w:ilvl w:val="0"/>
          <w:numId w:val="3"/>
        </w:numPr>
        <w:spacing w:after="160" w:line="259" w:lineRule="auto"/>
        <w:rPr>
          <w:sz w:val="24"/>
          <w:szCs w:val="24"/>
        </w:rPr>
      </w:pPr>
      <w:r w:rsidRPr="006D6012">
        <w:rPr>
          <w:sz w:val="24"/>
          <w:szCs w:val="24"/>
        </w:rPr>
        <w:t xml:space="preserve">Griffiths, K., Birdi, K., Victoria, A., Andrei, D., Baban, A., Bayerl, P.S., Bisogni, F., Chirica, S., Costanzo, P., Gasco, M., Gruschinske, M., Horton, K., Jacobs, G., Jochoms, T., Krstevska, K., Mirceva, S., Mouhanna, C., Oord, A.V.D., Otoiu, C., Rajkovcevski, R., Ratio, L., Reguli, Z., Rus, C., Stein-Muller, S., Stojanovski, T., Varga, M., Vita, M. and Vonas, G. (2016) ‘Knowledge Sharing Practices and Issues in Policing Contexts: A Systematic Review of the Literature’, European Journal of Policing Studies, 3(3), pp.267-291. </w:t>
      </w:r>
    </w:p>
    <w:p w14:paraId="7AE4724F" w14:textId="77777777" w:rsidR="006D6012" w:rsidRPr="006D6012" w:rsidRDefault="006D6012" w:rsidP="006D6012">
      <w:pPr>
        <w:pStyle w:val="ListParagraph"/>
        <w:numPr>
          <w:ilvl w:val="0"/>
          <w:numId w:val="3"/>
        </w:numPr>
        <w:spacing w:after="160" w:line="259" w:lineRule="auto"/>
        <w:rPr>
          <w:sz w:val="24"/>
          <w:szCs w:val="24"/>
        </w:rPr>
      </w:pPr>
      <w:r w:rsidRPr="006D6012">
        <w:rPr>
          <w:sz w:val="24"/>
          <w:szCs w:val="24"/>
        </w:rPr>
        <w:t xml:space="preserve">Kowalick, P., Connery, D. and Sarre, R. (2018) ‘Intelligence-sharing in the context of policing transnational serious and organized crime: a note on policy and practice in an Australian setting’, Police, Practice and Research, 19(6), pp.596-608. </w:t>
      </w:r>
    </w:p>
    <w:p w14:paraId="290241CD" w14:textId="77777777" w:rsidR="006D6012" w:rsidRPr="006D6012" w:rsidRDefault="006D6012" w:rsidP="006D6012">
      <w:pPr>
        <w:pStyle w:val="ListParagraph"/>
        <w:numPr>
          <w:ilvl w:val="0"/>
          <w:numId w:val="3"/>
        </w:numPr>
        <w:spacing w:after="160" w:line="259" w:lineRule="auto"/>
        <w:rPr>
          <w:sz w:val="24"/>
          <w:szCs w:val="24"/>
        </w:rPr>
      </w:pPr>
      <w:r w:rsidRPr="006D6012">
        <w:rPr>
          <w:sz w:val="24"/>
          <w:szCs w:val="24"/>
        </w:rPr>
        <w:t xml:space="preserve">Lambri, T., Jackson, T. and Cooke, L. (2019) ‘The challenges and complexities of implementing and evaluating the benefits of an IT system: the UK Police National Database’, in Dawson, R.J., Ross, M. and Staples, G. (eds). </w:t>
      </w:r>
      <w:r w:rsidRPr="006D6012">
        <w:rPr>
          <w:i/>
          <w:iCs/>
          <w:sz w:val="24"/>
          <w:szCs w:val="24"/>
        </w:rPr>
        <w:t xml:space="preserve">Proceedings of Software Quality Management XIX: Global Quality Issues. </w:t>
      </w:r>
      <w:r w:rsidRPr="006D6012">
        <w:rPr>
          <w:sz w:val="24"/>
          <w:szCs w:val="24"/>
        </w:rPr>
        <w:t xml:space="preserve">BCS: Loughborough. </w:t>
      </w:r>
    </w:p>
    <w:p w14:paraId="56A32E1D" w14:textId="77777777" w:rsidR="006D6012" w:rsidRPr="006D6012" w:rsidRDefault="006D6012" w:rsidP="006D6012">
      <w:pPr>
        <w:pStyle w:val="ListParagraph"/>
        <w:numPr>
          <w:ilvl w:val="0"/>
          <w:numId w:val="3"/>
        </w:numPr>
        <w:spacing w:after="160" w:line="259" w:lineRule="auto"/>
        <w:rPr>
          <w:sz w:val="24"/>
          <w:szCs w:val="24"/>
        </w:rPr>
      </w:pPr>
      <w:r w:rsidRPr="006D6012">
        <w:rPr>
          <w:sz w:val="24"/>
          <w:szCs w:val="24"/>
        </w:rPr>
        <w:lastRenderedPageBreak/>
        <w:t xml:space="preserve">Lewandowski, C. and Nestel, T.J. (2016) ‘Police communication at the local level: an exploratory study’, Journal of Policing, Intelligence and Counter Terrorism, 11(1), pp.49-62. </w:t>
      </w:r>
    </w:p>
    <w:p w14:paraId="4D2CE3CE" w14:textId="77777777" w:rsidR="006D6012" w:rsidRPr="006D6012" w:rsidRDefault="006D6012" w:rsidP="006D6012">
      <w:pPr>
        <w:pStyle w:val="ListParagraph"/>
        <w:numPr>
          <w:ilvl w:val="0"/>
          <w:numId w:val="3"/>
        </w:numPr>
        <w:spacing w:after="160" w:line="259" w:lineRule="auto"/>
        <w:rPr>
          <w:sz w:val="24"/>
          <w:szCs w:val="24"/>
        </w:rPr>
      </w:pPr>
      <w:r w:rsidRPr="006D6012">
        <w:rPr>
          <w:sz w:val="24"/>
          <w:szCs w:val="24"/>
        </w:rPr>
        <w:t xml:space="preserve">Lindsay, R., Cooke, L. and Jackson, T. (2009) ‘The impact of mobile technology on a UK police force and their knowledge sharing’, Journal of Information and Knowledge Management, 8, pp.101-112. </w:t>
      </w:r>
    </w:p>
    <w:p w14:paraId="4E2C246F" w14:textId="77777777" w:rsidR="006D6012" w:rsidRPr="006D6012" w:rsidRDefault="006D6012" w:rsidP="006D6012">
      <w:pPr>
        <w:pStyle w:val="ListParagraph"/>
        <w:numPr>
          <w:ilvl w:val="0"/>
          <w:numId w:val="3"/>
        </w:numPr>
        <w:spacing w:after="160" w:line="259" w:lineRule="auto"/>
        <w:rPr>
          <w:sz w:val="24"/>
          <w:szCs w:val="24"/>
        </w:rPr>
      </w:pPr>
      <w:r w:rsidRPr="006D6012">
        <w:rPr>
          <w:sz w:val="24"/>
          <w:szCs w:val="24"/>
        </w:rPr>
        <w:t xml:space="preserve">Mapel, M. (2014) Protecting those who protect us: Federal law enforcement deconfliction. Master’s Thesis. Naval Postgraduate School, California. </w:t>
      </w:r>
    </w:p>
    <w:p w14:paraId="0E7EA4EC" w14:textId="77777777" w:rsidR="006D6012" w:rsidRPr="006D6012" w:rsidRDefault="006D6012" w:rsidP="006D6012">
      <w:pPr>
        <w:pStyle w:val="ListParagraph"/>
        <w:numPr>
          <w:ilvl w:val="0"/>
          <w:numId w:val="3"/>
        </w:numPr>
        <w:spacing w:after="160" w:line="259" w:lineRule="auto"/>
        <w:rPr>
          <w:sz w:val="24"/>
          <w:szCs w:val="24"/>
        </w:rPr>
      </w:pPr>
      <w:r w:rsidRPr="006D6012">
        <w:rPr>
          <w:sz w:val="24"/>
          <w:szCs w:val="24"/>
        </w:rPr>
        <w:t xml:space="preserve">National Crime Agency [NCA] (2023) </w:t>
      </w:r>
      <w:r w:rsidRPr="006D6012">
        <w:rPr>
          <w:i/>
          <w:iCs/>
          <w:sz w:val="24"/>
          <w:szCs w:val="24"/>
        </w:rPr>
        <w:t xml:space="preserve">Intelligence: enhancing the picture of serious organised crime affecting the UK. </w:t>
      </w:r>
      <w:r w:rsidRPr="006D6012">
        <w:rPr>
          <w:sz w:val="24"/>
          <w:szCs w:val="24"/>
        </w:rPr>
        <w:t xml:space="preserve">Available at: </w:t>
      </w:r>
      <w:hyperlink r:id="rId17" w:history="1">
        <w:r w:rsidRPr="006D6012">
          <w:rPr>
            <w:rStyle w:val="Hyperlink"/>
            <w:sz w:val="24"/>
            <w:szCs w:val="24"/>
          </w:rPr>
          <w:t>https://nationalcrimeagency.gov.uk/what-we-do/how-we-work/intelligence-enhancing-the-picture-of-serious-organised-crime-affecting-the-uk</w:t>
        </w:r>
      </w:hyperlink>
      <w:r w:rsidRPr="006D6012">
        <w:rPr>
          <w:sz w:val="24"/>
          <w:szCs w:val="24"/>
        </w:rPr>
        <w:t xml:space="preserve"> (Accessed: 26 April 2023). </w:t>
      </w:r>
    </w:p>
    <w:p w14:paraId="2B89A91C" w14:textId="77777777" w:rsidR="006D6012" w:rsidRPr="006D6012" w:rsidRDefault="006D6012" w:rsidP="006D6012">
      <w:pPr>
        <w:pStyle w:val="ListParagraph"/>
        <w:numPr>
          <w:ilvl w:val="0"/>
          <w:numId w:val="3"/>
        </w:numPr>
        <w:spacing w:after="160" w:line="259" w:lineRule="auto"/>
        <w:rPr>
          <w:sz w:val="24"/>
          <w:szCs w:val="24"/>
        </w:rPr>
      </w:pPr>
      <w:r w:rsidRPr="006D6012">
        <w:rPr>
          <w:sz w:val="24"/>
          <w:szCs w:val="24"/>
        </w:rPr>
        <w:t xml:space="preserve">Parliamentary Joint Committee on Law Enforcement (2013) </w:t>
      </w:r>
      <w:r w:rsidRPr="006D6012">
        <w:rPr>
          <w:i/>
          <w:iCs/>
          <w:sz w:val="24"/>
          <w:szCs w:val="24"/>
        </w:rPr>
        <w:t xml:space="preserve">Inquiry into the gathering and use of criminal intelligence. </w:t>
      </w:r>
      <w:r w:rsidRPr="006D6012">
        <w:rPr>
          <w:sz w:val="24"/>
          <w:szCs w:val="24"/>
        </w:rPr>
        <w:t xml:space="preserve">Canberra: Australian Parliament. </w:t>
      </w:r>
    </w:p>
    <w:p w14:paraId="5B295390" w14:textId="77777777" w:rsidR="006D6012" w:rsidRPr="006D6012" w:rsidRDefault="006D6012" w:rsidP="006D6012">
      <w:pPr>
        <w:pStyle w:val="ListParagraph"/>
        <w:numPr>
          <w:ilvl w:val="0"/>
          <w:numId w:val="3"/>
        </w:numPr>
        <w:spacing w:after="160" w:line="259" w:lineRule="auto"/>
        <w:rPr>
          <w:sz w:val="24"/>
          <w:szCs w:val="24"/>
        </w:rPr>
      </w:pPr>
      <w:r w:rsidRPr="006D6012">
        <w:rPr>
          <w:sz w:val="24"/>
          <w:szCs w:val="24"/>
        </w:rPr>
        <w:t>Phythian, R. and Kirby, S. (2022) ‘What does the UK Police National Database tell us about the future of police intelligence?’, Policing: A Journal of Police and Practice, pp.1-14.</w:t>
      </w:r>
    </w:p>
    <w:p w14:paraId="5B77A496" w14:textId="77777777" w:rsidR="006D6012" w:rsidRPr="006D6012" w:rsidRDefault="006D6012" w:rsidP="006D6012">
      <w:pPr>
        <w:pStyle w:val="ListParagraph"/>
        <w:numPr>
          <w:ilvl w:val="0"/>
          <w:numId w:val="3"/>
        </w:numPr>
        <w:spacing w:after="160" w:line="259" w:lineRule="auto"/>
        <w:rPr>
          <w:sz w:val="24"/>
          <w:szCs w:val="24"/>
        </w:rPr>
      </w:pPr>
      <w:r w:rsidRPr="006D6012">
        <w:rPr>
          <w:sz w:val="24"/>
          <w:szCs w:val="24"/>
        </w:rPr>
        <w:t xml:space="preserve">Ratcliffe, J.H. (2016) </w:t>
      </w:r>
      <w:r w:rsidRPr="006D6012">
        <w:rPr>
          <w:i/>
          <w:iCs/>
          <w:sz w:val="24"/>
          <w:szCs w:val="24"/>
        </w:rPr>
        <w:t>Intelligence-led policing</w:t>
      </w:r>
      <w:r w:rsidRPr="006D6012">
        <w:rPr>
          <w:sz w:val="24"/>
          <w:szCs w:val="24"/>
        </w:rPr>
        <w:t>. 2</w:t>
      </w:r>
      <w:r w:rsidRPr="006D6012">
        <w:rPr>
          <w:sz w:val="24"/>
          <w:szCs w:val="24"/>
          <w:vertAlign w:val="superscript"/>
        </w:rPr>
        <w:t>nd</w:t>
      </w:r>
      <w:r w:rsidRPr="006D6012">
        <w:rPr>
          <w:sz w:val="24"/>
          <w:szCs w:val="24"/>
        </w:rPr>
        <w:t xml:space="preserve"> ed. Abingdon: Routledge. </w:t>
      </w:r>
    </w:p>
    <w:p w14:paraId="17F1F034" w14:textId="77777777" w:rsidR="006D6012" w:rsidRPr="006D6012" w:rsidRDefault="006D6012" w:rsidP="006D6012">
      <w:pPr>
        <w:pStyle w:val="ListParagraph"/>
        <w:numPr>
          <w:ilvl w:val="0"/>
          <w:numId w:val="3"/>
        </w:numPr>
        <w:spacing w:after="160" w:line="259" w:lineRule="auto"/>
        <w:rPr>
          <w:sz w:val="24"/>
          <w:szCs w:val="24"/>
        </w:rPr>
      </w:pPr>
      <w:r w:rsidRPr="006D6012">
        <w:rPr>
          <w:sz w:val="24"/>
          <w:szCs w:val="24"/>
        </w:rPr>
        <w:t xml:space="preserve">Seba, I. and Rowley, J. (2010) ‘Knowledge management in UK police forces’, Journal of Knowledge Management, 14(4), pp.611-626. </w:t>
      </w:r>
    </w:p>
    <w:p w14:paraId="3798A8F9" w14:textId="62D43F46" w:rsidR="006D6012" w:rsidRDefault="006D6012" w:rsidP="006D6012">
      <w:pPr>
        <w:pStyle w:val="ListParagraph"/>
        <w:numPr>
          <w:ilvl w:val="0"/>
          <w:numId w:val="3"/>
        </w:numPr>
        <w:spacing w:after="160" w:line="259" w:lineRule="auto"/>
        <w:rPr>
          <w:sz w:val="24"/>
          <w:szCs w:val="24"/>
        </w:rPr>
      </w:pPr>
      <w:r w:rsidRPr="006D6012">
        <w:rPr>
          <w:sz w:val="24"/>
          <w:szCs w:val="24"/>
        </w:rPr>
        <w:t xml:space="preserve">Weiss, A. (1997) ‘The communication of innovation in American Policing. Policing: An International Journal of Police Strategies and Management, 20(2), pp.292-310. </w:t>
      </w:r>
    </w:p>
    <w:p w14:paraId="038C3DA5" w14:textId="585B9002" w:rsidR="006D6012" w:rsidRDefault="006D6012" w:rsidP="006D6012">
      <w:pPr>
        <w:rPr>
          <w:sz w:val="24"/>
          <w:szCs w:val="24"/>
        </w:rPr>
      </w:pPr>
    </w:p>
    <w:p w14:paraId="4BB0858D" w14:textId="4E00507B" w:rsidR="006D6012" w:rsidRDefault="006D6012" w:rsidP="006D6012">
      <w:pPr>
        <w:rPr>
          <w:sz w:val="24"/>
          <w:szCs w:val="24"/>
        </w:rPr>
      </w:pPr>
    </w:p>
    <w:p w14:paraId="7D1C6BDA" w14:textId="46627CFC" w:rsidR="006D6012" w:rsidRDefault="006D6012" w:rsidP="006D6012">
      <w:pPr>
        <w:rPr>
          <w:sz w:val="24"/>
          <w:szCs w:val="24"/>
        </w:rPr>
      </w:pPr>
    </w:p>
    <w:p w14:paraId="4B61B3E0" w14:textId="7E3E7A87" w:rsidR="006D6012" w:rsidRDefault="006D6012" w:rsidP="006D6012">
      <w:pPr>
        <w:rPr>
          <w:sz w:val="24"/>
          <w:szCs w:val="24"/>
        </w:rPr>
      </w:pPr>
    </w:p>
    <w:p w14:paraId="3DEF8B4C" w14:textId="29BFBEFF" w:rsidR="006D6012" w:rsidRDefault="006D6012" w:rsidP="006D6012">
      <w:pPr>
        <w:rPr>
          <w:sz w:val="24"/>
          <w:szCs w:val="24"/>
        </w:rPr>
      </w:pPr>
    </w:p>
    <w:p w14:paraId="3C0F150D" w14:textId="29A77A73" w:rsidR="006D6012" w:rsidRDefault="006D6012" w:rsidP="006D6012">
      <w:pPr>
        <w:rPr>
          <w:sz w:val="24"/>
          <w:szCs w:val="24"/>
        </w:rPr>
      </w:pPr>
    </w:p>
    <w:p w14:paraId="191168BE" w14:textId="4BEC0821" w:rsidR="006D6012" w:rsidRDefault="006D6012" w:rsidP="006D6012">
      <w:pPr>
        <w:rPr>
          <w:sz w:val="24"/>
          <w:szCs w:val="24"/>
        </w:rPr>
      </w:pPr>
    </w:p>
    <w:p w14:paraId="3900C24A" w14:textId="6D2A64BA" w:rsidR="006D6012" w:rsidRDefault="006D6012" w:rsidP="006D6012">
      <w:pPr>
        <w:rPr>
          <w:sz w:val="24"/>
          <w:szCs w:val="24"/>
        </w:rPr>
      </w:pPr>
    </w:p>
    <w:p w14:paraId="0E67173A" w14:textId="23F2D607" w:rsidR="006D6012" w:rsidRDefault="006D6012" w:rsidP="006D6012">
      <w:pPr>
        <w:rPr>
          <w:sz w:val="24"/>
          <w:szCs w:val="24"/>
        </w:rPr>
      </w:pPr>
    </w:p>
    <w:p w14:paraId="360988BC" w14:textId="26CF64FF" w:rsidR="006D6012" w:rsidRDefault="006D6012" w:rsidP="006D6012">
      <w:pPr>
        <w:rPr>
          <w:sz w:val="24"/>
          <w:szCs w:val="24"/>
        </w:rPr>
      </w:pPr>
    </w:p>
    <w:p w14:paraId="7D625629" w14:textId="409066B2" w:rsidR="006D6012" w:rsidRDefault="006D6012" w:rsidP="006D6012">
      <w:pPr>
        <w:rPr>
          <w:sz w:val="24"/>
          <w:szCs w:val="24"/>
        </w:rPr>
      </w:pPr>
    </w:p>
    <w:p w14:paraId="7EC0819E" w14:textId="3A398B20" w:rsidR="006D6012" w:rsidRDefault="006D6012" w:rsidP="006D6012">
      <w:pPr>
        <w:rPr>
          <w:sz w:val="24"/>
          <w:szCs w:val="24"/>
        </w:rPr>
      </w:pPr>
    </w:p>
    <w:p w14:paraId="4C9B26DC" w14:textId="772EB6C3" w:rsidR="006D6012" w:rsidRDefault="006D6012" w:rsidP="006D6012">
      <w:pPr>
        <w:rPr>
          <w:sz w:val="24"/>
          <w:szCs w:val="24"/>
        </w:rPr>
      </w:pPr>
    </w:p>
    <w:p w14:paraId="562645CF" w14:textId="1550F07E" w:rsidR="006D6012" w:rsidRDefault="006D6012" w:rsidP="006D6012">
      <w:pPr>
        <w:rPr>
          <w:sz w:val="24"/>
          <w:szCs w:val="24"/>
        </w:rPr>
      </w:pPr>
    </w:p>
    <w:p w14:paraId="750501D6" w14:textId="092562EC" w:rsidR="006D6012" w:rsidRDefault="006D6012" w:rsidP="006D6012">
      <w:pPr>
        <w:rPr>
          <w:b/>
          <w:bCs/>
          <w:sz w:val="24"/>
          <w:szCs w:val="24"/>
        </w:rPr>
      </w:pPr>
      <w:r w:rsidRPr="00352BEC">
        <w:rPr>
          <w:b/>
          <w:bCs/>
          <w:sz w:val="24"/>
          <w:szCs w:val="24"/>
        </w:rPr>
        <w:lastRenderedPageBreak/>
        <w:t xml:space="preserve">Essay </w:t>
      </w:r>
      <w:r>
        <w:rPr>
          <w:b/>
          <w:bCs/>
          <w:sz w:val="24"/>
          <w:szCs w:val="24"/>
        </w:rPr>
        <w:t>3</w:t>
      </w:r>
      <w:r w:rsidRPr="00352BEC">
        <w:rPr>
          <w:b/>
          <w:bCs/>
          <w:sz w:val="24"/>
          <w:szCs w:val="24"/>
        </w:rPr>
        <w:t>:</w:t>
      </w:r>
    </w:p>
    <w:p w14:paraId="407768AE" w14:textId="0EF49A1E" w:rsidR="006D6012" w:rsidRDefault="006D6012" w:rsidP="006D6012">
      <w:pPr>
        <w:rPr>
          <w:b/>
          <w:bCs/>
          <w:sz w:val="24"/>
          <w:szCs w:val="24"/>
        </w:rPr>
      </w:pPr>
      <w:r w:rsidRPr="006D6012">
        <w:rPr>
          <w:b/>
          <w:bCs/>
          <w:sz w:val="24"/>
          <w:szCs w:val="24"/>
        </w:rPr>
        <w:t xml:space="preserve">What impact can personal bias have on investigations, and how effective are the measures in place to prevent this? Your answer must be based on academic research rather than personal experience. </w:t>
      </w:r>
    </w:p>
    <w:p w14:paraId="58C91A1C" w14:textId="35FB7A44" w:rsidR="008C54B6" w:rsidRDefault="008C54B6" w:rsidP="006D6012">
      <w:pPr>
        <w:rPr>
          <w:b/>
          <w:bCs/>
          <w:sz w:val="24"/>
          <w:szCs w:val="24"/>
        </w:rPr>
      </w:pPr>
    </w:p>
    <w:p w14:paraId="0B8E513B" w14:textId="77777777" w:rsidR="008C54B6" w:rsidRDefault="008C54B6" w:rsidP="006D6012">
      <w:pPr>
        <w:rPr>
          <w:b/>
          <w:bCs/>
          <w:sz w:val="24"/>
          <w:szCs w:val="24"/>
        </w:rPr>
      </w:pPr>
    </w:p>
    <w:p w14:paraId="00A40F69" w14:textId="77777777" w:rsidR="006D6012" w:rsidRPr="006D6012" w:rsidRDefault="006D6012" w:rsidP="006D6012">
      <w:pPr>
        <w:rPr>
          <w:sz w:val="24"/>
          <w:szCs w:val="24"/>
        </w:rPr>
      </w:pPr>
      <w:r w:rsidRPr="006D6012">
        <w:rPr>
          <w:sz w:val="24"/>
          <w:szCs w:val="24"/>
        </w:rPr>
        <w:t xml:space="preserve">Recently, movements such as Black Lives Matter have cast a “spotlight on implicit and unconscious bias” (Chafota, 2020:1). It is argued we must confront the issue of police bias immediately (Cooper and Fullilove, 2020), as prejudice within policing is not a new problem (Chan, 1997). Although, the impacts of police bias extend beyond investigations and can greatly diminish the trust communities place in the police (Madon and Murphy, 2021), in this essay I will focus on the impact that personal bias can have on a police investigation. Personal biases can take many forms (Northon, 2016), however in this essay I will focus on confirmation bias and stereotyping. I will argue that current measures in place to prevent these personal biases impacting investigation are not entirely effective. I will start by exploring confirmation bias. </w:t>
      </w:r>
    </w:p>
    <w:p w14:paraId="30EFE300" w14:textId="77777777" w:rsidR="006D6012" w:rsidRPr="006D6012" w:rsidRDefault="006D6012" w:rsidP="006D6012">
      <w:pPr>
        <w:tabs>
          <w:tab w:val="left" w:pos="2820"/>
        </w:tabs>
        <w:rPr>
          <w:sz w:val="24"/>
          <w:szCs w:val="24"/>
        </w:rPr>
      </w:pPr>
    </w:p>
    <w:p w14:paraId="7DE435C8" w14:textId="77777777" w:rsidR="006D6012" w:rsidRPr="006D6012" w:rsidRDefault="006D6012" w:rsidP="006D6012">
      <w:pPr>
        <w:rPr>
          <w:sz w:val="24"/>
          <w:szCs w:val="24"/>
        </w:rPr>
      </w:pPr>
      <w:r w:rsidRPr="006D6012">
        <w:rPr>
          <w:sz w:val="24"/>
          <w:szCs w:val="24"/>
        </w:rPr>
        <w:t xml:space="preserve">Confirmation bias has been defined as “seeking or interpreting of evidence in ways that are partial to the existing beliefs, expectations or a hypothesis in hand” (Nickerson, 1998:175). It is contested that confirmation bias can cause an officer to “focus on evidence confirming the investigative theory, while ignoring or refusing to look for contradicting evidence” (Rumney and McPhee, 2021:438). Confirmation bias has been shown to impact multiple stages of an investigation from the gathering of evidence to the interviewing of suspects and victims (Minhas and Walsh, 2018; Sumampouw et al, 2022). Furthermore, it is argued that “any investigation could be at risk of being subject of confirmation bias” (Minhas and Walsh, 2018:2). Several scholars have explored the impact of confirmation bias on a criminal investigation. For example, O’Brien (2009) found during a mock criminal investigation that police students who named a suspect early, were biased and determined to confirm that person’s guilt as the investigation progressed. However, confirmation bias is not limited to new recruits and can impact senior investigators. For example, Ask and Gronhag (2007) found that experienced investigators rated evidence as more credible and reliable if it was consistent with their initial theory. These studies show how confirmation bias could result in tunnel vision, where police officers do not investigate wholistically, only seeking information that supports their theory (Meterko and Cooper, 2022). Rossmo and Pollock concluded in their article that confirmation bias led to flawed decision making and poor thinking during investigations and was ultimately the biggest problem in wrongful convictions (2018). Next, I will explore stereotyping. </w:t>
      </w:r>
    </w:p>
    <w:p w14:paraId="36F02EF5" w14:textId="77777777" w:rsidR="006D6012" w:rsidRPr="006D6012" w:rsidRDefault="006D6012" w:rsidP="006D6012">
      <w:pPr>
        <w:tabs>
          <w:tab w:val="left" w:pos="2820"/>
        </w:tabs>
        <w:rPr>
          <w:sz w:val="24"/>
          <w:szCs w:val="24"/>
        </w:rPr>
      </w:pPr>
    </w:p>
    <w:p w14:paraId="37464173" w14:textId="77777777" w:rsidR="006D6012" w:rsidRPr="006D6012" w:rsidRDefault="006D6012" w:rsidP="006D6012">
      <w:pPr>
        <w:rPr>
          <w:sz w:val="24"/>
          <w:szCs w:val="24"/>
        </w:rPr>
      </w:pPr>
      <w:r w:rsidRPr="006D6012">
        <w:rPr>
          <w:sz w:val="24"/>
          <w:szCs w:val="24"/>
        </w:rPr>
        <w:t xml:space="preserve">Stereotypes are defined as “generalizations about a group of people that are both individual and collective” (Christiani, 2021:894). For example, Correll et al state that certain ethnic </w:t>
      </w:r>
      <w:r w:rsidRPr="006D6012">
        <w:rPr>
          <w:sz w:val="24"/>
          <w:szCs w:val="24"/>
        </w:rPr>
        <w:lastRenderedPageBreak/>
        <w:t xml:space="preserve">minorities are stereotyped as more likely to be involved in criminal behaviour (2007). Minhas and Walsh state that stereotyping is “one of the major sources of partiality in criminal investigations” (2021:267). Stereotypes impact different aspects of policing from investigations to judgments about who to stop and search (Spencer et al, 2016). In relation to stereotyping in criminal investigations, studies have shown that police officers are more likely to focus on black people when thinking of about criminal activity (Spencer et al, 2016). It is argued that this bias is problematic as it shifts investigators attention away from true offender who are not black towards “black citizens who are not violating the law” (Spencer et al, 2016:54). This has the potential to delay investigation and result in wrongful convictions. Racially discriminatory stereotypes are well documented in the policing domain (Glaser, 2014). However, stereotypes extend beyond race, with female domestic violence victims experiencing a non-intervention approach from police officers due to gendered stereotypes about their untrustworthiness (Leung, 2014). This could result in police officers failing to investigate effectively due to a perception that females lack credibility (Leung, 2014). Next, I will explore the effectiveness of training in combating the negative consequences of stereotyping. </w:t>
      </w:r>
    </w:p>
    <w:p w14:paraId="1D49A774" w14:textId="77777777" w:rsidR="006D6012" w:rsidRPr="006D6012" w:rsidRDefault="006D6012" w:rsidP="006D6012">
      <w:pPr>
        <w:rPr>
          <w:sz w:val="24"/>
          <w:szCs w:val="24"/>
        </w:rPr>
      </w:pPr>
    </w:p>
    <w:p w14:paraId="2DA9DC57" w14:textId="77777777" w:rsidR="006D6012" w:rsidRPr="006D6012" w:rsidRDefault="006D6012" w:rsidP="006D6012">
      <w:pPr>
        <w:rPr>
          <w:sz w:val="24"/>
          <w:szCs w:val="24"/>
        </w:rPr>
      </w:pPr>
      <w:r w:rsidRPr="006D6012">
        <w:rPr>
          <w:sz w:val="24"/>
          <w:szCs w:val="24"/>
        </w:rPr>
        <w:t>Anti-bias training, a term used interchangeably with diversity training, is typically offered, or mandated for employees (Legate et al, 2023). It is estimated that billions are spent on these types of training annually (Kirkland and Bohnet, 2017). Anti-bias training aims to reduce biased attitudes and stereotyping through providing the participant with educational information about their psychological biases in order to raise awareness of the biases they may possess (HMICFRS, 2017). Despite the large investment, the benefits of anti-bias training in reducing personal bias are disputed. Minhas and Walsh argue that the training is necessary to make officers aware of stereotyping and “improve case outcomes” (2021:280). However, Paluck et al argue that anti-bias training tends to have very little lasting effects with only a modest effect immediately following the training (2021). Furthermore, Legate et al (2023) in one of the most recent articles to explore the impact of anti-bias training from a U.K. perspective again concluded that the effects of anti-bias training are negligible. In response to this, authors have recognised the importance of organisational culture in reducing prejudice and stereotyping (Carter et al, 2020). For example, Applebaum states that diversity training will only produce results if there is an appropriate workplace culture that promotes diversity (2019). The above articles highlight that training alone is not an effective measure to combat bias and requires an effective organisational culture that encourages broader diversity and inclusion initiatives (Berzukova et al, 2016).</w:t>
      </w:r>
    </w:p>
    <w:p w14:paraId="6876CF38" w14:textId="77777777" w:rsidR="006D6012" w:rsidRPr="006D6012" w:rsidRDefault="006D6012" w:rsidP="006D6012">
      <w:pPr>
        <w:rPr>
          <w:sz w:val="24"/>
          <w:szCs w:val="24"/>
        </w:rPr>
      </w:pPr>
      <w:r w:rsidRPr="006D6012">
        <w:rPr>
          <w:sz w:val="24"/>
          <w:szCs w:val="24"/>
        </w:rPr>
        <w:t xml:space="preserve">Finally, an approach that is suggested to help prevent confirmation bias is a tool that prompts the investigator to consider to what extent does the same evidence support alternative hypothesis (Rassin, 2018). The ‘alternative scenario model’ refers to the idea that “police investigators should postulate at least two scenarios” (Sumampouw et al, 2022:384). Sumampouw et al go on to state that this model could “increase objectivity of police investigators and mitigate the effects of confirmation bias” (2022:384).  It is argued that this approach is showing promise at reducing the effects of tunnel vision (Meterko and </w:t>
      </w:r>
      <w:r w:rsidRPr="006D6012">
        <w:rPr>
          <w:sz w:val="24"/>
          <w:szCs w:val="24"/>
        </w:rPr>
        <w:lastRenderedPageBreak/>
        <w:t xml:space="preserve">Cooper, 2022). Despite the promise of this alternative scenario model, there is currently limited research on the model which will require greater examination in future studies before we can label the model as effective. </w:t>
      </w:r>
    </w:p>
    <w:p w14:paraId="30F87A7A" w14:textId="77777777" w:rsidR="006D6012" w:rsidRPr="006D6012" w:rsidRDefault="006D6012" w:rsidP="006D6012">
      <w:pPr>
        <w:rPr>
          <w:sz w:val="24"/>
          <w:szCs w:val="24"/>
        </w:rPr>
      </w:pPr>
      <w:r w:rsidRPr="006D6012">
        <w:rPr>
          <w:sz w:val="24"/>
          <w:szCs w:val="24"/>
        </w:rPr>
        <w:t xml:space="preserve">In conclusion, the negative consequences of both confirmation bias and stereotyping on an investigation are well established. It is argued that these personal biases can impact decision making and lead to ‘tunnel vision’ (Meterko and Cooper, 2022). The training currently in place to prevent the effects of stereotyping are ineffective, and it is suggested that police forces will require an organisational culture change to increase their effectiveness (Applebaum, 2019). However, this essay suggests that an ‘alternative scenario model’ is showing promise and could be effective at reducing the effects of confirmation bias (Meteko and Cooper, 2022). </w:t>
      </w:r>
    </w:p>
    <w:p w14:paraId="477F59B6" w14:textId="77777777" w:rsidR="006D6012" w:rsidRDefault="006D6012" w:rsidP="006D6012"/>
    <w:p w14:paraId="7BA16837" w14:textId="193AF251" w:rsidR="006D6012" w:rsidRDefault="006D6012" w:rsidP="006D6012">
      <w:r>
        <w:t>Word Count: 1,083</w:t>
      </w:r>
    </w:p>
    <w:p w14:paraId="056ED5F6" w14:textId="0812EB41" w:rsidR="006D6012" w:rsidRDefault="006D6012" w:rsidP="006D6012"/>
    <w:p w14:paraId="2770B4C7" w14:textId="0E62A981" w:rsidR="006D6012" w:rsidRPr="006D6012" w:rsidRDefault="006D6012" w:rsidP="006D6012">
      <w:pPr>
        <w:rPr>
          <w:b/>
          <w:bCs/>
          <w:sz w:val="24"/>
          <w:szCs w:val="24"/>
        </w:rPr>
      </w:pPr>
      <w:r w:rsidRPr="006D6012">
        <w:rPr>
          <w:b/>
          <w:bCs/>
          <w:sz w:val="24"/>
          <w:szCs w:val="24"/>
        </w:rPr>
        <w:t>Bibliography:</w:t>
      </w:r>
    </w:p>
    <w:p w14:paraId="29D3F010" w14:textId="77777777" w:rsidR="006D6012" w:rsidRPr="006D6012" w:rsidRDefault="006D6012" w:rsidP="006D6012">
      <w:pPr>
        <w:pStyle w:val="ListParagraph"/>
        <w:numPr>
          <w:ilvl w:val="0"/>
          <w:numId w:val="4"/>
        </w:numPr>
        <w:spacing w:after="160" w:line="259" w:lineRule="auto"/>
        <w:rPr>
          <w:sz w:val="24"/>
          <w:szCs w:val="24"/>
        </w:rPr>
      </w:pPr>
      <w:r w:rsidRPr="006D6012">
        <w:rPr>
          <w:sz w:val="24"/>
          <w:szCs w:val="24"/>
        </w:rPr>
        <w:t xml:space="preserve">Applebaum, B. (2019) ‘Remediating campus climate: Implicit bias training is not enough’, Studies in Philosophy and Education, 38(2), pp.129-141. </w:t>
      </w:r>
    </w:p>
    <w:p w14:paraId="42AD7160" w14:textId="77777777" w:rsidR="006D6012" w:rsidRPr="006D6012" w:rsidRDefault="006D6012" w:rsidP="006D6012">
      <w:pPr>
        <w:pStyle w:val="ListParagraph"/>
        <w:numPr>
          <w:ilvl w:val="0"/>
          <w:numId w:val="4"/>
        </w:numPr>
        <w:spacing w:after="160" w:line="259" w:lineRule="auto"/>
        <w:rPr>
          <w:sz w:val="24"/>
          <w:szCs w:val="24"/>
        </w:rPr>
      </w:pPr>
      <w:r w:rsidRPr="006D6012">
        <w:rPr>
          <w:sz w:val="24"/>
          <w:szCs w:val="24"/>
        </w:rPr>
        <w:t>Ask, K. and Granhag, P.A. (2007) ‘Motivational bias in criminal investigators judgement of witness reliability’, Journal of Applied Social Psychology, 37(3), pp.561-591.</w:t>
      </w:r>
    </w:p>
    <w:p w14:paraId="12E3485E" w14:textId="77777777" w:rsidR="006D6012" w:rsidRPr="006D6012" w:rsidRDefault="006D6012" w:rsidP="006D6012">
      <w:pPr>
        <w:pStyle w:val="ListParagraph"/>
        <w:numPr>
          <w:ilvl w:val="0"/>
          <w:numId w:val="4"/>
        </w:numPr>
        <w:spacing w:after="160" w:line="259" w:lineRule="auto"/>
        <w:rPr>
          <w:sz w:val="24"/>
          <w:szCs w:val="24"/>
        </w:rPr>
      </w:pPr>
      <w:r w:rsidRPr="006D6012">
        <w:rPr>
          <w:sz w:val="24"/>
          <w:szCs w:val="24"/>
        </w:rPr>
        <w:t xml:space="preserve">Bezrukova, K., Spell, C.S., Perry, J.L. and Jehn, K.A. (2016) ‘A meta-analytical integration of over 40 years of research on diversity training evaluation’, Psychological Bulletin, 142(11), pp.1227-1274. </w:t>
      </w:r>
    </w:p>
    <w:p w14:paraId="345C057B" w14:textId="77777777" w:rsidR="006D6012" w:rsidRPr="006D6012" w:rsidRDefault="006D6012" w:rsidP="006D6012">
      <w:pPr>
        <w:pStyle w:val="ListParagraph"/>
        <w:numPr>
          <w:ilvl w:val="0"/>
          <w:numId w:val="4"/>
        </w:numPr>
        <w:spacing w:after="160" w:line="259" w:lineRule="auto"/>
        <w:rPr>
          <w:sz w:val="24"/>
          <w:szCs w:val="24"/>
        </w:rPr>
      </w:pPr>
      <w:r w:rsidRPr="006D6012">
        <w:rPr>
          <w:sz w:val="24"/>
          <w:szCs w:val="24"/>
        </w:rPr>
        <w:t xml:space="preserve">Carter, E.R., Onyeador, I.N. and Lewis, N.A. (2020) ‘Developing and delivering effective anti-bias: Challenges and recommendations’, Behavioural Science and Policy, 6(1), pp.57-70. </w:t>
      </w:r>
    </w:p>
    <w:p w14:paraId="494B1686" w14:textId="77777777" w:rsidR="006D6012" w:rsidRPr="006D6012" w:rsidRDefault="006D6012" w:rsidP="006D6012">
      <w:pPr>
        <w:pStyle w:val="ListParagraph"/>
        <w:numPr>
          <w:ilvl w:val="0"/>
          <w:numId w:val="4"/>
        </w:numPr>
        <w:spacing w:after="160" w:line="259" w:lineRule="auto"/>
        <w:rPr>
          <w:sz w:val="24"/>
          <w:szCs w:val="24"/>
        </w:rPr>
      </w:pPr>
      <w:r w:rsidRPr="006D6012">
        <w:rPr>
          <w:sz w:val="24"/>
          <w:szCs w:val="24"/>
        </w:rPr>
        <w:t xml:space="preserve">Chafota, E. (2020) </w:t>
      </w:r>
      <w:r w:rsidRPr="006D6012">
        <w:rPr>
          <w:i/>
          <w:iCs/>
          <w:sz w:val="24"/>
          <w:szCs w:val="24"/>
        </w:rPr>
        <w:t xml:space="preserve">Unconscious Bias: How Might It Affect Social Work. </w:t>
      </w:r>
      <w:r w:rsidRPr="006D6012">
        <w:rPr>
          <w:sz w:val="24"/>
          <w:szCs w:val="24"/>
        </w:rPr>
        <w:t xml:space="preserve">Available at: </w:t>
      </w:r>
      <w:hyperlink r:id="rId18" w:history="1">
        <w:r w:rsidRPr="006D6012">
          <w:rPr>
            <w:rStyle w:val="Hyperlink"/>
            <w:sz w:val="24"/>
            <w:szCs w:val="24"/>
          </w:rPr>
          <w:t>https://www.gloucestershire.gov.uk/media/2104016/unconcious-bias.pdf</w:t>
        </w:r>
      </w:hyperlink>
      <w:r w:rsidRPr="006D6012">
        <w:rPr>
          <w:sz w:val="24"/>
          <w:szCs w:val="24"/>
        </w:rPr>
        <w:t xml:space="preserve"> (Accessed: 02 May 2023).</w:t>
      </w:r>
    </w:p>
    <w:p w14:paraId="60AC0086" w14:textId="77777777" w:rsidR="006D6012" w:rsidRPr="006D6012" w:rsidRDefault="006D6012" w:rsidP="006D6012">
      <w:pPr>
        <w:pStyle w:val="ListParagraph"/>
        <w:numPr>
          <w:ilvl w:val="0"/>
          <w:numId w:val="4"/>
        </w:numPr>
        <w:spacing w:after="160" w:line="259" w:lineRule="auto"/>
        <w:rPr>
          <w:sz w:val="24"/>
          <w:szCs w:val="24"/>
        </w:rPr>
      </w:pPr>
      <w:r w:rsidRPr="006D6012">
        <w:rPr>
          <w:sz w:val="24"/>
          <w:szCs w:val="24"/>
        </w:rPr>
        <w:t xml:space="preserve">Chan, J.B. (1997) </w:t>
      </w:r>
      <w:r w:rsidRPr="006D6012">
        <w:rPr>
          <w:i/>
          <w:iCs/>
          <w:sz w:val="24"/>
          <w:szCs w:val="24"/>
        </w:rPr>
        <w:t>Changing police culture: Policing in a multicultural society.</w:t>
      </w:r>
      <w:r w:rsidRPr="006D6012">
        <w:rPr>
          <w:sz w:val="24"/>
          <w:szCs w:val="24"/>
        </w:rPr>
        <w:t xml:space="preserve"> Cambridge: Cambridge University Press. </w:t>
      </w:r>
    </w:p>
    <w:p w14:paraId="419CF975" w14:textId="77777777" w:rsidR="006D6012" w:rsidRPr="006D6012" w:rsidRDefault="006D6012" w:rsidP="006D6012">
      <w:pPr>
        <w:pStyle w:val="ListParagraph"/>
        <w:numPr>
          <w:ilvl w:val="0"/>
          <w:numId w:val="4"/>
        </w:numPr>
        <w:spacing w:after="160" w:line="259" w:lineRule="auto"/>
        <w:rPr>
          <w:sz w:val="24"/>
          <w:szCs w:val="24"/>
        </w:rPr>
      </w:pPr>
      <w:r w:rsidRPr="006D6012">
        <w:rPr>
          <w:sz w:val="24"/>
          <w:szCs w:val="24"/>
        </w:rPr>
        <w:t xml:space="preserve">Christiani, L. (2021) ‘Intersectional stereotyping in policing: an analysis of traffic stop outcomes’, Politics, Groups and Identities, 9(5), pp.893-915. </w:t>
      </w:r>
    </w:p>
    <w:p w14:paraId="3E1AE31B" w14:textId="77777777" w:rsidR="006D6012" w:rsidRPr="006D6012" w:rsidRDefault="006D6012" w:rsidP="006D6012">
      <w:pPr>
        <w:pStyle w:val="ListParagraph"/>
        <w:numPr>
          <w:ilvl w:val="0"/>
          <w:numId w:val="4"/>
        </w:numPr>
        <w:spacing w:after="160" w:line="259" w:lineRule="auto"/>
        <w:rPr>
          <w:sz w:val="24"/>
          <w:szCs w:val="24"/>
        </w:rPr>
      </w:pPr>
      <w:r w:rsidRPr="006D6012">
        <w:rPr>
          <w:sz w:val="24"/>
          <w:szCs w:val="24"/>
        </w:rPr>
        <w:t xml:space="preserve">Cooper, H.L. and Fullilove, M.T. (2020) </w:t>
      </w:r>
      <w:r w:rsidRPr="006D6012">
        <w:rPr>
          <w:i/>
          <w:iCs/>
          <w:sz w:val="24"/>
          <w:szCs w:val="24"/>
        </w:rPr>
        <w:t>From enforcers to guardians: A public health primer on ending police violence</w:t>
      </w:r>
      <w:r w:rsidRPr="006D6012">
        <w:rPr>
          <w:sz w:val="24"/>
          <w:szCs w:val="24"/>
        </w:rPr>
        <w:t xml:space="preserve">. Baltimore: John Hopkins University Press. </w:t>
      </w:r>
    </w:p>
    <w:p w14:paraId="28876857" w14:textId="77777777" w:rsidR="006D6012" w:rsidRPr="006D6012" w:rsidRDefault="006D6012" w:rsidP="006D6012">
      <w:pPr>
        <w:pStyle w:val="ListParagraph"/>
        <w:numPr>
          <w:ilvl w:val="0"/>
          <w:numId w:val="4"/>
        </w:numPr>
        <w:spacing w:after="160" w:line="259" w:lineRule="auto"/>
        <w:rPr>
          <w:sz w:val="24"/>
          <w:szCs w:val="24"/>
        </w:rPr>
      </w:pPr>
      <w:r w:rsidRPr="006D6012">
        <w:rPr>
          <w:sz w:val="24"/>
          <w:szCs w:val="24"/>
        </w:rPr>
        <w:t xml:space="preserve">Correll, J., Wittenbrink, B., Park, B., Judd, C.M., Sadler, M.S. and Keesee, T. (2007) ‘Across the think blue line: Police officers and racial bias in the decision to shoot’, Journal of Personality and Social Psychology, 92, pp.1006-1023. </w:t>
      </w:r>
    </w:p>
    <w:p w14:paraId="6DBA89CD" w14:textId="77777777" w:rsidR="006D6012" w:rsidRPr="006D6012" w:rsidRDefault="006D6012" w:rsidP="006D6012">
      <w:pPr>
        <w:pStyle w:val="ListParagraph"/>
        <w:numPr>
          <w:ilvl w:val="0"/>
          <w:numId w:val="4"/>
        </w:numPr>
        <w:spacing w:after="160" w:line="259" w:lineRule="auto"/>
        <w:rPr>
          <w:sz w:val="24"/>
          <w:szCs w:val="24"/>
        </w:rPr>
      </w:pPr>
      <w:r w:rsidRPr="006D6012">
        <w:rPr>
          <w:sz w:val="24"/>
          <w:szCs w:val="24"/>
        </w:rPr>
        <w:t xml:space="preserve">Glaser, J. (2014) </w:t>
      </w:r>
      <w:r w:rsidRPr="006D6012">
        <w:rPr>
          <w:i/>
          <w:iCs/>
          <w:sz w:val="24"/>
          <w:szCs w:val="24"/>
        </w:rPr>
        <w:t>Suspect Race: Causes and Consequences of Racial Profiling</w:t>
      </w:r>
      <w:r w:rsidRPr="006D6012">
        <w:rPr>
          <w:sz w:val="24"/>
          <w:szCs w:val="24"/>
        </w:rPr>
        <w:t xml:space="preserve">. New York: Oxford University Press. </w:t>
      </w:r>
    </w:p>
    <w:p w14:paraId="28456028" w14:textId="77777777" w:rsidR="006D6012" w:rsidRPr="006D6012" w:rsidRDefault="006D6012" w:rsidP="006D6012">
      <w:pPr>
        <w:pStyle w:val="ListParagraph"/>
        <w:numPr>
          <w:ilvl w:val="0"/>
          <w:numId w:val="4"/>
        </w:numPr>
        <w:spacing w:after="160" w:line="259" w:lineRule="auto"/>
        <w:rPr>
          <w:sz w:val="24"/>
          <w:szCs w:val="24"/>
        </w:rPr>
      </w:pPr>
      <w:r w:rsidRPr="006D6012">
        <w:rPr>
          <w:sz w:val="24"/>
          <w:szCs w:val="24"/>
        </w:rPr>
        <w:t xml:space="preserve">HM Inspectorate of Constabulary and Fire and Rescue Services [HMICFRS]. (2017) </w:t>
      </w:r>
      <w:r w:rsidRPr="006D6012">
        <w:rPr>
          <w:i/>
          <w:iCs/>
          <w:sz w:val="24"/>
          <w:szCs w:val="24"/>
        </w:rPr>
        <w:t xml:space="preserve">PEEL: Police Legitimacy 2017: A national overview. </w:t>
      </w:r>
      <w:r w:rsidRPr="006D6012">
        <w:rPr>
          <w:sz w:val="24"/>
          <w:szCs w:val="24"/>
        </w:rPr>
        <w:t xml:space="preserve">London: HMICFRS. </w:t>
      </w:r>
    </w:p>
    <w:p w14:paraId="08869A8D" w14:textId="77777777" w:rsidR="006D6012" w:rsidRPr="006D6012" w:rsidRDefault="006D6012" w:rsidP="006D6012">
      <w:pPr>
        <w:pStyle w:val="ListParagraph"/>
        <w:numPr>
          <w:ilvl w:val="0"/>
          <w:numId w:val="4"/>
        </w:numPr>
        <w:spacing w:after="160" w:line="259" w:lineRule="auto"/>
        <w:rPr>
          <w:sz w:val="24"/>
          <w:szCs w:val="24"/>
        </w:rPr>
      </w:pPr>
      <w:r w:rsidRPr="006D6012">
        <w:rPr>
          <w:sz w:val="24"/>
          <w:szCs w:val="24"/>
        </w:rPr>
        <w:lastRenderedPageBreak/>
        <w:t>Kirkland, R. and Bohnet, I. (2017) ‘Focusing on what works for workplace diversity’, McKinsey and Company, 7</w:t>
      </w:r>
      <w:r w:rsidRPr="006D6012">
        <w:rPr>
          <w:sz w:val="24"/>
          <w:szCs w:val="24"/>
          <w:vertAlign w:val="superscript"/>
        </w:rPr>
        <w:t>th</w:t>
      </w:r>
      <w:r w:rsidRPr="006D6012">
        <w:rPr>
          <w:sz w:val="24"/>
          <w:szCs w:val="24"/>
        </w:rPr>
        <w:t xml:space="preserve"> April, Available at: </w:t>
      </w:r>
      <w:hyperlink r:id="rId19" w:anchor="/" w:history="1">
        <w:r w:rsidRPr="006D6012">
          <w:rPr>
            <w:rStyle w:val="Hyperlink"/>
            <w:sz w:val="24"/>
            <w:szCs w:val="24"/>
          </w:rPr>
          <w:t>https://www.mckinsey.com/featured-insights/gender-equality/focusing-on-what-works-for-workplace-diversity#/</w:t>
        </w:r>
      </w:hyperlink>
      <w:r w:rsidRPr="006D6012">
        <w:rPr>
          <w:sz w:val="24"/>
          <w:szCs w:val="24"/>
        </w:rPr>
        <w:t xml:space="preserve"> (Accessed: 15 May 2023). </w:t>
      </w:r>
    </w:p>
    <w:p w14:paraId="2EE3D9A8" w14:textId="77777777" w:rsidR="006D6012" w:rsidRPr="006D6012" w:rsidRDefault="006D6012" w:rsidP="006D6012">
      <w:pPr>
        <w:pStyle w:val="ListParagraph"/>
        <w:numPr>
          <w:ilvl w:val="0"/>
          <w:numId w:val="4"/>
        </w:numPr>
        <w:spacing w:after="160" w:line="259" w:lineRule="auto"/>
        <w:rPr>
          <w:sz w:val="24"/>
          <w:szCs w:val="24"/>
        </w:rPr>
      </w:pPr>
      <w:r w:rsidRPr="006D6012">
        <w:rPr>
          <w:sz w:val="24"/>
          <w:szCs w:val="24"/>
        </w:rPr>
        <w:t xml:space="preserve">Legate, N., Weinstein, N., Graham, L. and Plater, M. (2023) ‘Anti-bias training and perceived force climate: Links with prejudiced attitudes in United Kingdom policing’, Journal of Community and Applied Social Psychology, pp.1-11. </w:t>
      </w:r>
    </w:p>
    <w:p w14:paraId="7621D1FA" w14:textId="77777777" w:rsidR="006D6012" w:rsidRPr="006D6012" w:rsidRDefault="006D6012" w:rsidP="006D6012">
      <w:pPr>
        <w:pStyle w:val="ListParagraph"/>
        <w:numPr>
          <w:ilvl w:val="0"/>
          <w:numId w:val="4"/>
        </w:numPr>
        <w:spacing w:after="160" w:line="259" w:lineRule="auto"/>
        <w:rPr>
          <w:sz w:val="24"/>
          <w:szCs w:val="24"/>
        </w:rPr>
      </w:pPr>
      <w:r w:rsidRPr="006D6012">
        <w:rPr>
          <w:sz w:val="24"/>
          <w:szCs w:val="24"/>
        </w:rPr>
        <w:t xml:space="preserve">Leung, L.C. (2014) ‘It’s a Matter of Trust: Policing Domestic Violence in Hong Kong’, Journal of Interpersonal Violence, 29(1), pp.82-101. </w:t>
      </w:r>
    </w:p>
    <w:p w14:paraId="0A815CC2" w14:textId="77777777" w:rsidR="006D6012" w:rsidRPr="006D6012" w:rsidRDefault="006D6012" w:rsidP="006D6012">
      <w:pPr>
        <w:pStyle w:val="ListParagraph"/>
        <w:numPr>
          <w:ilvl w:val="0"/>
          <w:numId w:val="4"/>
        </w:numPr>
        <w:spacing w:after="160" w:line="259" w:lineRule="auto"/>
        <w:rPr>
          <w:sz w:val="24"/>
          <w:szCs w:val="24"/>
        </w:rPr>
      </w:pPr>
      <w:r w:rsidRPr="006D6012">
        <w:rPr>
          <w:sz w:val="24"/>
          <w:szCs w:val="24"/>
        </w:rPr>
        <w:t xml:space="preserve">Madon, N.S. and Murphy, K. (2021) ‘Police bias and diminished trust in police: a role for procedural justice?’, Policing: An International Journal of Police Strategies and Management, 44(6), pp.1031-1045. </w:t>
      </w:r>
    </w:p>
    <w:p w14:paraId="1FD0388C" w14:textId="77777777" w:rsidR="006D6012" w:rsidRPr="006D6012" w:rsidRDefault="006D6012" w:rsidP="006D6012">
      <w:pPr>
        <w:pStyle w:val="ListParagraph"/>
        <w:numPr>
          <w:ilvl w:val="0"/>
          <w:numId w:val="4"/>
        </w:numPr>
        <w:spacing w:after="160" w:line="259" w:lineRule="auto"/>
        <w:rPr>
          <w:sz w:val="24"/>
          <w:szCs w:val="24"/>
        </w:rPr>
      </w:pPr>
      <w:r w:rsidRPr="006D6012">
        <w:rPr>
          <w:sz w:val="24"/>
          <w:szCs w:val="24"/>
        </w:rPr>
        <w:t xml:space="preserve">Meterko, V. and Cooper, G. (2022) ‘Cognitive Biases in Criminal Case Evaluation: A Review of the Research’, Journal of Police and Criminal Psychology, 37, pp.101-122. </w:t>
      </w:r>
    </w:p>
    <w:p w14:paraId="121623EF" w14:textId="77777777" w:rsidR="006D6012" w:rsidRPr="006D6012" w:rsidRDefault="006D6012" w:rsidP="006D6012">
      <w:pPr>
        <w:pStyle w:val="ListParagraph"/>
        <w:numPr>
          <w:ilvl w:val="0"/>
          <w:numId w:val="4"/>
        </w:numPr>
        <w:spacing w:after="160" w:line="259" w:lineRule="auto"/>
        <w:rPr>
          <w:sz w:val="24"/>
          <w:szCs w:val="24"/>
        </w:rPr>
      </w:pPr>
      <w:r w:rsidRPr="006D6012">
        <w:rPr>
          <w:sz w:val="24"/>
          <w:szCs w:val="24"/>
        </w:rPr>
        <w:t xml:space="preserve">Minhas, R. and Walsh, D. (2018) ‘Influence of racial stereotypes on investigative decision-making in criminal investigations: A qualitative comparative analysis’, Cogent Social Sciences, 4(1), pp.1-18. </w:t>
      </w:r>
    </w:p>
    <w:p w14:paraId="766D4FD4" w14:textId="77777777" w:rsidR="006D6012" w:rsidRPr="006D6012" w:rsidRDefault="006D6012" w:rsidP="006D6012">
      <w:pPr>
        <w:pStyle w:val="ListParagraph"/>
        <w:numPr>
          <w:ilvl w:val="0"/>
          <w:numId w:val="4"/>
        </w:numPr>
        <w:spacing w:after="160" w:line="259" w:lineRule="auto"/>
        <w:rPr>
          <w:sz w:val="24"/>
          <w:szCs w:val="24"/>
        </w:rPr>
      </w:pPr>
      <w:r w:rsidRPr="006D6012">
        <w:rPr>
          <w:sz w:val="24"/>
          <w:szCs w:val="24"/>
        </w:rPr>
        <w:t xml:space="preserve">Minhas, R. and Walsh, D. (2021) ‘Prejudicial stereotyping and police interviewing practices in England: an exploration of legal representatives’ perceptions’, Journal of Policing, Intelligence and Counter Terrorism, 16(3), pp.267-282. </w:t>
      </w:r>
    </w:p>
    <w:p w14:paraId="5A9C6735" w14:textId="77777777" w:rsidR="006D6012" w:rsidRPr="006D6012" w:rsidRDefault="006D6012" w:rsidP="006D6012">
      <w:pPr>
        <w:pStyle w:val="ListParagraph"/>
        <w:numPr>
          <w:ilvl w:val="0"/>
          <w:numId w:val="4"/>
        </w:numPr>
        <w:spacing w:after="160" w:line="259" w:lineRule="auto"/>
        <w:rPr>
          <w:sz w:val="24"/>
          <w:szCs w:val="24"/>
        </w:rPr>
      </w:pPr>
      <w:r w:rsidRPr="006D6012">
        <w:rPr>
          <w:sz w:val="24"/>
          <w:szCs w:val="24"/>
        </w:rPr>
        <w:t xml:space="preserve">Nickerson, R.S. (1998) ‘Confirmation bias: A ubiquitous phenomenon in many guises’, Review of General Psychology, 2(2), pp.175-220. </w:t>
      </w:r>
    </w:p>
    <w:p w14:paraId="3D304B60" w14:textId="77777777" w:rsidR="006D6012" w:rsidRPr="006D6012" w:rsidRDefault="006D6012" w:rsidP="006D6012">
      <w:pPr>
        <w:pStyle w:val="ListParagraph"/>
        <w:numPr>
          <w:ilvl w:val="0"/>
          <w:numId w:val="4"/>
        </w:numPr>
        <w:spacing w:after="160" w:line="259" w:lineRule="auto"/>
        <w:rPr>
          <w:sz w:val="24"/>
          <w:szCs w:val="24"/>
        </w:rPr>
      </w:pPr>
      <w:r w:rsidRPr="006D6012">
        <w:rPr>
          <w:sz w:val="24"/>
          <w:szCs w:val="24"/>
        </w:rPr>
        <w:t>Northon, L. (2016) ‘Becoming Aware of Personal Bias, and You’ll Improve Ethical Practice’, Society for Human Resource Management, July 12</w:t>
      </w:r>
      <w:r w:rsidRPr="006D6012">
        <w:rPr>
          <w:sz w:val="24"/>
          <w:szCs w:val="24"/>
          <w:vertAlign w:val="superscript"/>
        </w:rPr>
        <w:t>th</w:t>
      </w:r>
      <w:r w:rsidRPr="006D6012">
        <w:rPr>
          <w:sz w:val="24"/>
          <w:szCs w:val="24"/>
        </w:rPr>
        <w:t xml:space="preserve">, Available at: </w:t>
      </w:r>
      <w:hyperlink r:id="rId20" w:history="1">
        <w:r w:rsidRPr="006D6012">
          <w:rPr>
            <w:rStyle w:val="Hyperlink"/>
            <w:sz w:val="24"/>
            <w:szCs w:val="24"/>
          </w:rPr>
          <w:t>https://www.shrm.org/resourcesandtools/hr-topics/behavioral-competencies/ethical-practice/pages/become-aware-of-personal-bias-and-improve-ethical-practice-.aspx</w:t>
        </w:r>
      </w:hyperlink>
      <w:r w:rsidRPr="006D6012">
        <w:rPr>
          <w:sz w:val="24"/>
          <w:szCs w:val="24"/>
        </w:rPr>
        <w:t xml:space="preserve"> (Accessed: 03 May 2023). </w:t>
      </w:r>
    </w:p>
    <w:p w14:paraId="00C863AB" w14:textId="77777777" w:rsidR="006D6012" w:rsidRPr="006D6012" w:rsidRDefault="006D6012" w:rsidP="006D6012">
      <w:pPr>
        <w:pStyle w:val="ListParagraph"/>
        <w:numPr>
          <w:ilvl w:val="0"/>
          <w:numId w:val="4"/>
        </w:numPr>
        <w:spacing w:after="160" w:line="259" w:lineRule="auto"/>
        <w:rPr>
          <w:sz w:val="24"/>
          <w:szCs w:val="24"/>
        </w:rPr>
      </w:pPr>
      <w:r w:rsidRPr="006D6012">
        <w:rPr>
          <w:sz w:val="24"/>
          <w:szCs w:val="24"/>
        </w:rPr>
        <w:t xml:space="preserve">O’Brien, B.M. (2009) ‘Prime suspect: an examination of factors that aggravate and counteract confirmation bias in criminal investigations’, Psycho Public Police Law, 15(4), pp.315-334. </w:t>
      </w:r>
    </w:p>
    <w:p w14:paraId="22A436AB" w14:textId="77777777" w:rsidR="006D6012" w:rsidRPr="006D6012" w:rsidRDefault="006D6012" w:rsidP="006D6012">
      <w:pPr>
        <w:pStyle w:val="ListParagraph"/>
        <w:numPr>
          <w:ilvl w:val="0"/>
          <w:numId w:val="4"/>
        </w:numPr>
        <w:spacing w:after="160" w:line="259" w:lineRule="auto"/>
        <w:rPr>
          <w:sz w:val="24"/>
          <w:szCs w:val="24"/>
        </w:rPr>
      </w:pPr>
      <w:r w:rsidRPr="006D6012">
        <w:rPr>
          <w:sz w:val="24"/>
          <w:szCs w:val="24"/>
        </w:rPr>
        <w:t xml:space="preserve">Paluck, E.L., Porat, R., Clark, C.S. and Green, D.P. (2021) ‘Prejudice reduction: Progress and challenges’, Annual Review of Psychology, 72, pp.533-560. </w:t>
      </w:r>
    </w:p>
    <w:p w14:paraId="10D203A9" w14:textId="77777777" w:rsidR="006D6012" w:rsidRPr="006D6012" w:rsidRDefault="006D6012" w:rsidP="006D6012">
      <w:pPr>
        <w:pStyle w:val="ListParagraph"/>
        <w:numPr>
          <w:ilvl w:val="0"/>
          <w:numId w:val="4"/>
        </w:numPr>
        <w:spacing w:after="160" w:line="259" w:lineRule="auto"/>
        <w:rPr>
          <w:sz w:val="24"/>
          <w:szCs w:val="24"/>
        </w:rPr>
      </w:pPr>
      <w:r w:rsidRPr="006D6012">
        <w:rPr>
          <w:sz w:val="24"/>
          <w:szCs w:val="24"/>
        </w:rPr>
        <w:t xml:space="preserve">Rassin, E. (2018) ‘Reducing tunnel vision with a pen-and-paper tool for the weighting of criminal evidence’, Journal of Investigative Psychology and Offender Profiling, 15(2), pp.227-233. </w:t>
      </w:r>
    </w:p>
    <w:p w14:paraId="63E31896" w14:textId="77777777" w:rsidR="006D6012" w:rsidRPr="006D6012" w:rsidRDefault="006D6012" w:rsidP="006D6012">
      <w:pPr>
        <w:pStyle w:val="ListParagraph"/>
        <w:numPr>
          <w:ilvl w:val="0"/>
          <w:numId w:val="4"/>
        </w:numPr>
        <w:spacing w:after="160" w:line="259" w:lineRule="auto"/>
        <w:rPr>
          <w:sz w:val="24"/>
          <w:szCs w:val="24"/>
        </w:rPr>
      </w:pPr>
      <w:r w:rsidRPr="006D6012">
        <w:rPr>
          <w:sz w:val="24"/>
          <w:szCs w:val="24"/>
        </w:rPr>
        <w:t xml:space="preserve">Rossmo, K. and Pollock, J. (2018) </w:t>
      </w:r>
      <w:r w:rsidRPr="006D6012">
        <w:rPr>
          <w:i/>
          <w:iCs/>
          <w:sz w:val="24"/>
          <w:szCs w:val="24"/>
        </w:rPr>
        <w:t>Case Deconstruction of Criminal Investigative Failures</w:t>
      </w:r>
      <w:r w:rsidRPr="006D6012">
        <w:rPr>
          <w:sz w:val="24"/>
          <w:szCs w:val="24"/>
        </w:rPr>
        <w:t xml:space="preserve">, Final Summary Overview, National Institute of Justice, Available at: </w:t>
      </w:r>
      <w:hyperlink r:id="rId21" w:history="1">
        <w:r w:rsidRPr="006D6012">
          <w:rPr>
            <w:rStyle w:val="Hyperlink"/>
            <w:sz w:val="24"/>
            <w:szCs w:val="24"/>
          </w:rPr>
          <w:t>https://www.ojp.gov/pdffiles1/nij/grants/254340.pdf</w:t>
        </w:r>
      </w:hyperlink>
      <w:r w:rsidRPr="006D6012">
        <w:rPr>
          <w:sz w:val="24"/>
          <w:szCs w:val="24"/>
        </w:rPr>
        <w:t xml:space="preserve"> (Accessed: 10 May 2023). </w:t>
      </w:r>
    </w:p>
    <w:p w14:paraId="1A331ECE" w14:textId="77777777" w:rsidR="006D6012" w:rsidRPr="006D6012" w:rsidRDefault="006D6012" w:rsidP="006D6012">
      <w:pPr>
        <w:pStyle w:val="ListParagraph"/>
        <w:numPr>
          <w:ilvl w:val="0"/>
          <w:numId w:val="4"/>
        </w:numPr>
        <w:spacing w:after="160" w:line="259" w:lineRule="auto"/>
        <w:rPr>
          <w:sz w:val="24"/>
          <w:szCs w:val="24"/>
        </w:rPr>
      </w:pPr>
      <w:r w:rsidRPr="006D6012">
        <w:rPr>
          <w:sz w:val="24"/>
          <w:szCs w:val="24"/>
        </w:rPr>
        <w:t xml:space="preserve">Rumney, P.N.S. and McPhee, D. (2021) ‘Offender-Centric Policing in Cases of Rape’, The Journal of Criminal Law, 85(6), pp.425-440. </w:t>
      </w:r>
    </w:p>
    <w:p w14:paraId="36317AA3" w14:textId="77777777" w:rsidR="006D6012" w:rsidRPr="006D6012" w:rsidRDefault="006D6012" w:rsidP="006D6012">
      <w:pPr>
        <w:pStyle w:val="ListParagraph"/>
        <w:numPr>
          <w:ilvl w:val="0"/>
          <w:numId w:val="4"/>
        </w:numPr>
        <w:spacing w:after="160" w:line="259" w:lineRule="auto"/>
        <w:rPr>
          <w:sz w:val="24"/>
          <w:szCs w:val="24"/>
        </w:rPr>
      </w:pPr>
      <w:r w:rsidRPr="006D6012">
        <w:rPr>
          <w:sz w:val="24"/>
          <w:szCs w:val="24"/>
        </w:rPr>
        <w:t xml:space="preserve">Spencer, K.B., Charbonneau, A.K. and Glaser, J. (2016) ‘Implicit Bias and Policing’, Social and Personality Psychology Compass, 10(1), pp.50-63. </w:t>
      </w:r>
    </w:p>
    <w:p w14:paraId="03FC3A30" w14:textId="77777777" w:rsidR="008C54B6" w:rsidRDefault="006D6012" w:rsidP="006D6012">
      <w:pPr>
        <w:pStyle w:val="ListParagraph"/>
        <w:numPr>
          <w:ilvl w:val="0"/>
          <w:numId w:val="4"/>
        </w:numPr>
        <w:spacing w:after="160" w:line="259" w:lineRule="auto"/>
        <w:rPr>
          <w:sz w:val="24"/>
          <w:szCs w:val="24"/>
        </w:rPr>
      </w:pPr>
      <w:r w:rsidRPr="006D6012">
        <w:rPr>
          <w:sz w:val="24"/>
          <w:szCs w:val="24"/>
        </w:rPr>
        <w:t xml:space="preserve">Sumampouw, N.E.J., Ruiter, C.D. and Otgaar, H. (2022) ‘Potential for police investigator bias: the impact of child sexual abuse victims background characteristics on perceived statement credibility, case outcome and quality of interview questions’, Police Practice and Research, 23(3), pp.370-387. </w:t>
      </w:r>
    </w:p>
    <w:p w14:paraId="6605F2F2" w14:textId="0AAF5929" w:rsidR="006D6012" w:rsidRPr="008C54B6" w:rsidRDefault="006D6012" w:rsidP="008C54B6">
      <w:pPr>
        <w:rPr>
          <w:sz w:val="24"/>
          <w:szCs w:val="24"/>
        </w:rPr>
      </w:pPr>
      <w:r w:rsidRPr="008C54B6">
        <w:rPr>
          <w:b/>
          <w:bCs/>
          <w:sz w:val="24"/>
          <w:szCs w:val="24"/>
        </w:rPr>
        <w:lastRenderedPageBreak/>
        <w:t>Essay 4:</w:t>
      </w:r>
    </w:p>
    <w:p w14:paraId="0322364E" w14:textId="77777777" w:rsidR="001F70C2" w:rsidRPr="001F70C2" w:rsidRDefault="001F70C2" w:rsidP="001F70C2">
      <w:pPr>
        <w:rPr>
          <w:b/>
          <w:bCs/>
        </w:rPr>
      </w:pPr>
      <w:r w:rsidRPr="001F70C2">
        <w:rPr>
          <w:b/>
          <w:bCs/>
        </w:rPr>
        <w:t xml:space="preserve">What characteristics or factors increase the risk of exploitation by serious or organised crime gangs? Your answer should examine both the psychological and socio-economic characteristics of victims of exploitation. </w:t>
      </w:r>
    </w:p>
    <w:p w14:paraId="0EF02026" w14:textId="77777777" w:rsidR="001F70C2" w:rsidRDefault="001F70C2" w:rsidP="001F70C2"/>
    <w:p w14:paraId="13ADD7A7" w14:textId="6FAB051D" w:rsidR="001F70C2" w:rsidRPr="001F70C2" w:rsidRDefault="001F70C2" w:rsidP="001F70C2">
      <w:pPr>
        <w:rPr>
          <w:sz w:val="24"/>
          <w:szCs w:val="24"/>
        </w:rPr>
      </w:pPr>
      <w:r w:rsidRPr="001F70C2">
        <w:rPr>
          <w:sz w:val="24"/>
          <w:szCs w:val="24"/>
        </w:rPr>
        <w:t xml:space="preserve">Tackling organised crime is considered a national priority by the UK Government due to the threat to national security (HM Government, 2015). It is estimated that serious and organised crime costs the UK economy around £24 billion each year (Local Government Association, 2015). Furthermore, it is believed that up to 17% of recorded crime can be attributed to organised crime (Crocker et al, 2016). Several factors increase the risk of exploitation by an organised crime group (Thompson, 2019). In this essay I will examine both psychological and socio-economic characteristics of victims of exploitation from serious and organised crime groups. Specifically, I will examine social exclusion, financial vulnerability, and low self-esteem. Firstly, I will explore what is a serious and organised crime group. </w:t>
      </w:r>
    </w:p>
    <w:p w14:paraId="0F36E602" w14:textId="77777777" w:rsidR="001F70C2" w:rsidRPr="001F70C2" w:rsidRDefault="001F70C2" w:rsidP="001F70C2">
      <w:pPr>
        <w:rPr>
          <w:sz w:val="24"/>
          <w:szCs w:val="24"/>
        </w:rPr>
      </w:pPr>
      <w:r w:rsidRPr="001F70C2">
        <w:rPr>
          <w:sz w:val="24"/>
          <w:szCs w:val="24"/>
        </w:rPr>
        <w:t xml:space="preserve">The UK Government defines serious and organised crime as “individuals planning, coordinating and committing serious offences, whether individually, in groups and/or part of transnational networks” (2018:11). They go on to state the main categories of serious offences are child sexual exploitation and abuse, illegal drugs, illegal firearms, fraud, modern slavery, human trafficking among other offences (HM Government, 2018). It is argued that organised crime groups involve larger networks than more local level gangs and usually have “national and often international” reach (Thompson, 2019:103). Furthermore, McLean states that serious organised crime groups typically involve adult membership with a focus on financial reward (2017). However, scholars have challenged this policy definition of organised crime groups, arguing they are not as exceptionally coordinated and organised as the definition would suggest (Hobbs, 2013). Instead, it is suggested that the networks are often messy, and perpetrators are over-glorified (Hobbs, 2013). Despite this, it is believed there are around 4,600 organised crime groups operating in the UK (Townsend, 2019). Next, I will explore the factors that increase the risk of exploitation by these serious and organised crime gangs. </w:t>
      </w:r>
    </w:p>
    <w:p w14:paraId="48228104" w14:textId="77777777" w:rsidR="001F70C2" w:rsidRPr="001F70C2" w:rsidRDefault="001F70C2" w:rsidP="001F70C2">
      <w:pPr>
        <w:rPr>
          <w:sz w:val="24"/>
          <w:szCs w:val="24"/>
        </w:rPr>
      </w:pPr>
      <w:r w:rsidRPr="001F70C2">
        <w:rPr>
          <w:sz w:val="24"/>
          <w:szCs w:val="24"/>
        </w:rPr>
        <w:t xml:space="preserve">It is believed that social exclusion is one of the main characteristics of victims of exploitation from organised crime groups. Social exclusion is a broad concept with several definitions (Morgan et al, 2007). However, it is argued the primary elements of social exclusion highlight an individual’s lack of participation in mainstream “social culture, economic and political activities” (Burchardt, 2000:320). Furthermore, social exclusion is associated with the concepts of social isolation and ostracism (Wai, 2023). Spicer et al, highlight social exclusion as one of the main characteristics of victims of exploitation in ‘cuckooing’ (2020). ‘Cuckooing’ is the process where drug dealers and organised crime groups take over the homes of residents and create an outpost for their drug operations (Spicer et al, 2020). It is argued, due to a victims’ social isolation, they are targeted and easily ‘befriended’ by crime group members, whose main purposes is to acquire the victims home to run their operation (Spicer et al, 2020: 306). Similarly, Olver and Cockbrain found in their study of county lines </w:t>
      </w:r>
      <w:r w:rsidRPr="001F70C2">
        <w:rPr>
          <w:sz w:val="24"/>
          <w:szCs w:val="24"/>
        </w:rPr>
        <w:lastRenderedPageBreak/>
        <w:t xml:space="preserve">that people were susceptible to exploitation due to being disconnected from their community (2021). This is likely due to the loneliness of victims who are seeking family and friendship, which perpetrators take advantage of. This point is illustrated by Sharkey et al, who states affection, social significance, and the family structure that gang membership brings is often enough to entice vulnerable people into the criminal lifestyle (2011). Next, I will examine financial vulnerability. </w:t>
      </w:r>
    </w:p>
    <w:p w14:paraId="6EBC4952" w14:textId="77777777" w:rsidR="001F70C2" w:rsidRPr="001F70C2" w:rsidRDefault="001F70C2" w:rsidP="001F70C2">
      <w:pPr>
        <w:rPr>
          <w:sz w:val="24"/>
          <w:szCs w:val="24"/>
        </w:rPr>
      </w:pPr>
      <w:r w:rsidRPr="001F70C2">
        <w:rPr>
          <w:sz w:val="24"/>
          <w:szCs w:val="24"/>
        </w:rPr>
        <w:t xml:space="preserve">Financial vulnerability is a multi-faceted concept with several definitions. Despite this, in their study Chipunza and Fanta summarised financial vulnerability as the inability to accumulate savings, attend recreational activities and meet basic living costs (2023:784). Several authors have highlighted financial vulnerability as a key factor that increases the risk of exploitation by an organised crime group. For example, McLean et al (2020) highlighted that poverty is known to make young person’s vulnerable to being exploited by crime groups. Furthermore, Annan et al concluded that young persons were inclined to join gangs “to improve their personal financial status” (2022:2205). It appears young people are financially vulnerable due to a lack of financial opportunities available to them. This is something that organised crime gangs’ prey upon to exploit them. For instance, Irwin-Rogers highlights that criminals often take advantage of financially vulnerable people by offering an attractive luxury lifestyle (2019). This is something that may appeal to young persons as Ashton and Bussu (2020) highlight that those being exploited often come from poor economic backgrounds. Finally, Williams and Finlay argue due to the financial vulnerability of young people, they are easily persuaded to join ‘gangs’ to help their family financially (2019). They argue this is due to a lack of alternative options (Williams and Finlay, 2019). </w:t>
      </w:r>
    </w:p>
    <w:p w14:paraId="4855CAF2" w14:textId="3C6E7008" w:rsidR="001F70C2" w:rsidRPr="001F70C2" w:rsidRDefault="001F70C2" w:rsidP="001F70C2">
      <w:pPr>
        <w:rPr>
          <w:sz w:val="24"/>
          <w:szCs w:val="24"/>
        </w:rPr>
      </w:pPr>
      <w:r w:rsidRPr="001F70C2">
        <w:rPr>
          <w:sz w:val="24"/>
          <w:szCs w:val="24"/>
        </w:rPr>
        <w:t xml:space="preserve">Finally, I will explore low self-esteem. Self-esteem refers to an individual’s opinion of themselves (Whelan, 2022). Therefore, people with low self-esteem often have poor opinions of themselves and doubt who they are and what they can achieve (Whelan, 2022). This has been identified as a key characteristic of victims of exploitation. For example, Annan et al highlight low self-esteem as a key factor in the exploitation of young people (2022). They argue that young people perceive they are not capable of obtaining legitimate employment and are pushed into drug dealing as a result (Annan et al, 2022). Beyond the exploitation of young people by organised drug groups, studies have shown that low self-esteem is a key factor in the exploitation of young females in criminal sexual exploitation (CSE). For instance, Vrubliauskaite concluded that the main psychological factor increasing risk of “becoming victim of CSE comprise of negative views about oneself or low self-esteem” (2018:135). They argue that females develop low self-esteem as a result of childhood trauma (Vrubliauskaite, 2018). This in turn encourages young females to choose ‘maladaptive’ problem solving strategies, allowing people and </w:t>
      </w:r>
      <w:r w:rsidR="00C66B20">
        <w:rPr>
          <w:sz w:val="24"/>
          <w:szCs w:val="24"/>
        </w:rPr>
        <w:t xml:space="preserve">organised </w:t>
      </w:r>
      <w:r w:rsidRPr="001F70C2">
        <w:rPr>
          <w:sz w:val="24"/>
          <w:szCs w:val="24"/>
        </w:rPr>
        <w:t xml:space="preserve">groups to take advantage of their vulnerability (Vrubliauskaite, 2018:134). </w:t>
      </w:r>
    </w:p>
    <w:p w14:paraId="1E577F02" w14:textId="77777777" w:rsidR="001F70C2" w:rsidRPr="001F70C2" w:rsidRDefault="001F70C2" w:rsidP="001F70C2">
      <w:pPr>
        <w:rPr>
          <w:sz w:val="24"/>
          <w:szCs w:val="24"/>
        </w:rPr>
      </w:pPr>
      <w:r w:rsidRPr="001F70C2">
        <w:rPr>
          <w:sz w:val="24"/>
          <w:szCs w:val="24"/>
        </w:rPr>
        <w:t xml:space="preserve">In conclusion, this essay has explored both socio-economic and psychological characteristics of victims of exploitation. It is argued that social exclusion, financial vulnerability, and low self-esteem all play a crucial role in increasing the risk of exploitation by serious or organised crime groups. Furthermore, it appears these concepts are inter-related with </w:t>
      </w:r>
      <w:r w:rsidRPr="001F70C2">
        <w:rPr>
          <w:sz w:val="24"/>
          <w:szCs w:val="24"/>
        </w:rPr>
        <w:lastRenderedPageBreak/>
        <w:t xml:space="preserve">financial vulnerability leading to low self-esteem and a perception they are not capable of earning legitimate income, and low self-esteem potentially leading to social exclusion. However, it is important to note that the leading causes for exploitation by organised groups are “multifaceted and cannot be attributed to a single risk factor” (Annan et al, 2022:2199). </w:t>
      </w:r>
    </w:p>
    <w:p w14:paraId="1DB02215" w14:textId="77777777" w:rsidR="001F70C2" w:rsidRDefault="001F70C2" w:rsidP="001F70C2"/>
    <w:p w14:paraId="09183582" w14:textId="20D74549" w:rsidR="001F70C2" w:rsidRDefault="001F70C2" w:rsidP="001F70C2">
      <w:r>
        <w:t>Word count: 1,0</w:t>
      </w:r>
      <w:r w:rsidR="00C66B20">
        <w:t>60</w:t>
      </w:r>
    </w:p>
    <w:p w14:paraId="4B1BC35A" w14:textId="17C66C56" w:rsidR="001F70C2" w:rsidRDefault="001F70C2" w:rsidP="006D6012">
      <w:pPr>
        <w:rPr>
          <w:sz w:val="24"/>
          <w:szCs w:val="24"/>
        </w:rPr>
      </w:pPr>
    </w:p>
    <w:p w14:paraId="7C3EAE83" w14:textId="63D8BDDA" w:rsidR="001F70C2" w:rsidRPr="001F70C2" w:rsidRDefault="001F70C2" w:rsidP="001F70C2">
      <w:pPr>
        <w:rPr>
          <w:b/>
          <w:bCs/>
          <w:sz w:val="24"/>
          <w:szCs w:val="24"/>
        </w:rPr>
      </w:pPr>
      <w:r w:rsidRPr="001F70C2">
        <w:rPr>
          <w:b/>
          <w:bCs/>
          <w:sz w:val="24"/>
          <w:szCs w:val="24"/>
        </w:rPr>
        <w:t>Bibliography:</w:t>
      </w:r>
    </w:p>
    <w:p w14:paraId="0BB9D759" w14:textId="77777777" w:rsidR="001F70C2" w:rsidRPr="001F70C2" w:rsidRDefault="001F70C2" w:rsidP="001F70C2">
      <w:pPr>
        <w:pStyle w:val="ListParagraph"/>
        <w:numPr>
          <w:ilvl w:val="0"/>
          <w:numId w:val="5"/>
        </w:numPr>
        <w:spacing w:after="160" w:line="259" w:lineRule="auto"/>
        <w:rPr>
          <w:sz w:val="24"/>
          <w:szCs w:val="24"/>
        </w:rPr>
      </w:pPr>
      <w:r w:rsidRPr="001F70C2">
        <w:rPr>
          <w:sz w:val="24"/>
          <w:szCs w:val="24"/>
        </w:rPr>
        <w:t xml:space="preserve">Annan, L.G., Gaoua, N., Mileva, K. and Borges, M. (2022) ‘What makes young people get involved with street gangs in London? A study of the perceived risk factors’, Journal of community Psychology, 50, pp.2198-2213. </w:t>
      </w:r>
    </w:p>
    <w:p w14:paraId="73871944" w14:textId="77777777" w:rsidR="001F70C2" w:rsidRPr="001F70C2" w:rsidRDefault="001F70C2" w:rsidP="001F70C2">
      <w:pPr>
        <w:pStyle w:val="ListParagraph"/>
        <w:numPr>
          <w:ilvl w:val="0"/>
          <w:numId w:val="5"/>
        </w:numPr>
        <w:spacing w:after="160" w:line="259" w:lineRule="auto"/>
        <w:rPr>
          <w:sz w:val="24"/>
          <w:szCs w:val="24"/>
        </w:rPr>
      </w:pPr>
      <w:r w:rsidRPr="001F70C2">
        <w:rPr>
          <w:sz w:val="24"/>
          <w:szCs w:val="24"/>
        </w:rPr>
        <w:t xml:space="preserve">Ashton, S.A. and Bussu, A. (2020) ‘Peer groups, street gangs and organised crime in the narratives of adolescent male offenders’, Journal of Criminal Psychology, 10(4), pp.277-292. </w:t>
      </w:r>
    </w:p>
    <w:p w14:paraId="20E13ECA" w14:textId="77777777" w:rsidR="001F70C2" w:rsidRPr="001F70C2" w:rsidRDefault="001F70C2" w:rsidP="001F70C2">
      <w:pPr>
        <w:pStyle w:val="ListParagraph"/>
        <w:numPr>
          <w:ilvl w:val="0"/>
          <w:numId w:val="5"/>
        </w:numPr>
        <w:spacing w:after="160" w:line="259" w:lineRule="auto"/>
        <w:rPr>
          <w:sz w:val="24"/>
          <w:szCs w:val="24"/>
        </w:rPr>
      </w:pPr>
      <w:r w:rsidRPr="001F70C2">
        <w:rPr>
          <w:sz w:val="24"/>
          <w:szCs w:val="24"/>
        </w:rPr>
        <w:t xml:space="preserve">Burchardt, T. (2000) ‘Social Exclusion’, In Davies, M. (ed.) </w:t>
      </w:r>
      <w:r w:rsidRPr="001F70C2">
        <w:rPr>
          <w:i/>
          <w:iCs/>
          <w:sz w:val="24"/>
          <w:szCs w:val="24"/>
        </w:rPr>
        <w:t xml:space="preserve">The Blackwell Encyclopaedia of Social Work. </w:t>
      </w:r>
      <w:r w:rsidRPr="001F70C2">
        <w:rPr>
          <w:sz w:val="24"/>
          <w:szCs w:val="24"/>
        </w:rPr>
        <w:t xml:space="preserve">Oxford: Blackwell. </w:t>
      </w:r>
    </w:p>
    <w:p w14:paraId="7C32933C" w14:textId="77777777" w:rsidR="001F70C2" w:rsidRPr="001F70C2" w:rsidRDefault="001F70C2" w:rsidP="001F70C2">
      <w:pPr>
        <w:pStyle w:val="ListParagraph"/>
        <w:numPr>
          <w:ilvl w:val="0"/>
          <w:numId w:val="5"/>
        </w:numPr>
        <w:spacing w:after="160" w:line="259" w:lineRule="auto"/>
        <w:rPr>
          <w:sz w:val="24"/>
          <w:szCs w:val="24"/>
        </w:rPr>
      </w:pPr>
      <w:r w:rsidRPr="001F70C2">
        <w:rPr>
          <w:sz w:val="24"/>
          <w:szCs w:val="24"/>
        </w:rPr>
        <w:t>Chipunza, K.J. and Fanta, A.B. (2023) ‘Quality financial inclusion and financial vulnerability’, International Journal of Consumer Studies, 47, pp.784-800.</w:t>
      </w:r>
    </w:p>
    <w:p w14:paraId="3B476C6B" w14:textId="77777777" w:rsidR="001F70C2" w:rsidRPr="001F70C2" w:rsidRDefault="001F70C2" w:rsidP="001F70C2">
      <w:pPr>
        <w:pStyle w:val="ListParagraph"/>
        <w:numPr>
          <w:ilvl w:val="0"/>
          <w:numId w:val="5"/>
        </w:numPr>
        <w:spacing w:after="160" w:line="259" w:lineRule="auto"/>
        <w:rPr>
          <w:sz w:val="24"/>
          <w:szCs w:val="24"/>
        </w:rPr>
      </w:pPr>
      <w:r w:rsidRPr="001F70C2">
        <w:rPr>
          <w:sz w:val="24"/>
          <w:szCs w:val="24"/>
        </w:rPr>
        <w:t xml:space="preserve">Crocker, R., Webb, S., Garner, S., Skidmore, M., Gill, M. and Graham, J. (2016) ‘Reducing the Impact of Serious and Organised Crime in Local Communities: The Impact of organised crime on local communities’, The Police foundation, Available at: </w:t>
      </w:r>
      <w:hyperlink r:id="rId22" w:history="1">
        <w:r w:rsidRPr="001F70C2">
          <w:rPr>
            <w:rStyle w:val="Hyperlink"/>
            <w:sz w:val="24"/>
            <w:szCs w:val="24"/>
          </w:rPr>
          <w:t>https://www.police-foundation.org.uk/2017/wp-content/uploads/2017/06/impact_of_oc_on_local_communities.pdf</w:t>
        </w:r>
      </w:hyperlink>
      <w:r w:rsidRPr="001F70C2">
        <w:rPr>
          <w:sz w:val="24"/>
          <w:szCs w:val="24"/>
        </w:rPr>
        <w:t xml:space="preserve"> (Accessed: 20 May 2023). </w:t>
      </w:r>
    </w:p>
    <w:p w14:paraId="3E171605" w14:textId="77777777" w:rsidR="001F70C2" w:rsidRPr="001F70C2" w:rsidRDefault="001F70C2" w:rsidP="001F70C2">
      <w:pPr>
        <w:pStyle w:val="ListParagraph"/>
        <w:numPr>
          <w:ilvl w:val="0"/>
          <w:numId w:val="5"/>
        </w:numPr>
        <w:spacing w:after="160" w:line="259" w:lineRule="auto"/>
        <w:rPr>
          <w:sz w:val="24"/>
          <w:szCs w:val="24"/>
        </w:rPr>
      </w:pPr>
      <w:r w:rsidRPr="001F70C2">
        <w:rPr>
          <w:sz w:val="24"/>
          <w:szCs w:val="24"/>
        </w:rPr>
        <w:t xml:space="preserve">HM Government (2015) </w:t>
      </w:r>
      <w:r w:rsidRPr="001F70C2">
        <w:rPr>
          <w:i/>
          <w:iCs/>
          <w:sz w:val="24"/>
          <w:szCs w:val="24"/>
        </w:rPr>
        <w:t xml:space="preserve">National security strategy and strategic defence and security review: a secure and prosperous United Kingdom. </w:t>
      </w:r>
      <w:r w:rsidRPr="001F70C2">
        <w:rPr>
          <w:sz w:val="24"/>
          <w:szCs w:val="24"/>
        </w:rPr>
        <w:t xml:space="preserve">London: The Stationery Office. </w:t>
      </w:r>
    </w:p>
    <w:p w14:paraId="16B48CCB" w14:textId="77777777" w:rsidR="001F70C2" w:rsidRPr="001F70C2" w:rsidRDefault="001F70C2" w:rsidP="001F70C2">
      <w:pPr>
        <w:pStyle w:val="ListParagraph"/>
        <w:numPr>
          <w:ilvl w:val="0"/>
          <w:numId w:val="5"/>
        </w:numPr>
        <w:spacing w:after="160" w:line="259" w:lineRule="auto"/>
        <w:rPr>
          <w:sz w:val="24"/>
          <w:szCs w:val="24"/>
        </w:rPr>
      </w:pPr>
      <w:r w:rsidRPr="001F70C2">
        <w:rPr>
          <w:sz w:val="24"/>
          <w:szCs w:val="24"/>
        </w:rPr>
        <w:t xml:space="preserve">HM Government (2018) </w:t>
      </w:r>
      <w:r w:rsidRPr="001F70C2">
        <w:rPr>
          <w:i/>
          <w:iCs/>
          <w:sz w:val="24"/>
          <w:szCs w:val="24"/>
        </w:rPr>
        <w:t xml:space="preserve">Serious and Organised Crime Strategy. </w:t>
      </w:r>
      <w:r w:rsidRPr="001F70C2">
        <w:rPr>
          <w:sz w:val="24"/>
          <w:szCs w:val="24"/>
        </w:rPr>
        <w:t xml:space="preserve">Available at: </w:t>
      </w:r>
      <w:hyperlink r:id="rId23" w:history="1">
        <w:r w:rsidRPr="001F70C2">
          <w:rPr>
            <w:rStyle w:val="Hyperlink"/>
            <w:sz w:val="24"/>
            <w:szCs w:val="24"/>
          </w:rPr>
          <w:t>https://assets.publishing.service.gov.uk/government/uploads/system/uploads/attachment_data/file/752850/SOC-2018-web.pdf</w:t>
        </w:r>
      </w:hyperlink>
      <w:r w:rsidRPr="001F70C2">
        <w:rPr>
          <w:sz w:val="24"/>
          <w:szCs w:val="24"/>
        </w:rPr>
        <w:t xml:space="preserve"> (Accessed: 20 May 2023). </w:t>
      </w:r>
    </w:p>
    <w:p w14:paraId="278A0C75" w14:textId="77777777" w:rsidR="001F70C2" w:rsidRPr="001F70C2" w:rsidRDefault="001F70C2" w:rsidP="001F70C2">
      <w:pPr>
        <w:pStyle w:val="ListParagraph"/>
        <w:numPr>
          <w:ilvl w:val="0"/>
          <w:numId w:val="5"/>
        </w:numPr>
        <w:spacing w:after="160" w:line="259" w:lineRule="auto"/>
        <w:rPr>
          <w:sz w:val="24"/>
          <w:szCs w:val="24"/>
        </w:rPr>
      </w:pPr>
      <w:r w:rsidRPr="001F70C2">
        <w:rPr>
          <w:sz w:val="24"/>
          <w:szCs w:val="24"/>
        </w:rPr>
        <w:t xml:space="preserve">Hobbs, D. (2013) </w:t>
      </w:r>
      <w:r w:rsidRPr="001F70C2">
        <w:rPr>
          <w:i/>
          <w:iCs/>
          <w:sz w:val="24"/>
          <w:szCs w:val="24"/>
        </w:rPr>
        <w:t xml:space="preserve">Lush Life: Constructing Organised Crime in the UK. </w:t>
      </w:r>
      <w:r w:rsidRPr="001F70C2">
        <w:rPr>
          <w:sz w:val="24"/>
          <w:szCs w:val="24"/>
        </w:rPr>
        <w:t xml:space="preserve">Oxford: Oxford University Press. </w:t>
      </w:r>
    </w:p>
    <w:p w14:paraId="760CADA2" w14:textId="77777777" w:rsidR="001F70C2" w:rsidRPr="001F70C2" w:rsidRDefault="001F70C2" w:rsidP="001F70C2">
      <w:pPr>
        <w:pStyle w:val="ListParagraph"/>
        <w:numPr>
          <w:ilvl w:val="0"/>
          <w:numId w:val="5"/>
        </w:numPr>
        <w:spacing w:after="160" w:line="259" w:lineRule="auto"/>
        <w:rPr>
          <w:sz w:val="24"/>
          <w:szCs w:val="24"/>
        </w:rPr>
      </w:pPr>
      <w:r w:rsidRPr="001F70C2">
        <w:rPr>
          <w:sz w:val="24"/>
          <w:szCs w:val="24"/>
        </w:rPr>
        <w:t xml:space="preserve">Irwin-Rogers, K. (2019) ‘Illicit drug markets, consumer capitalism and the rise of social media: a toxic trap for young people’, Critical Criminology, 27(4), pp.591-620. </w:t>
      </w:r>
    </w:p>
    <w:p w14:paraId="5F6E047B" w14:textId="77777777" w:rsidR="001F70C2" w:rsidRPr="001F70C2" w:rsidRDefault="001F70C2" w:rsidP="001F70C2">
      <w:pPr>
        <w:pStyle w:val="ListParagraph"/>
        <w:numPr>
          <w:ilvl w:val="0"/>
          <w:numId w:val="5"/>
        </w:numPr>
        <w:spacing w:after="160" w:line="259" w:lineRule="auto"/>
        <w:rPr>
          <w:sz w:val="24"/>
          <w:szCs w:val="24"/>
        </w:rPr>
      </w:pPr>
      <w:r w:rsidRPr="001F70C2">
        <w:rPr>
          <w:sz w:val="24"/>
          <w:szCs w:val="24"/>
        </w:rPr>
        <w:t xml:space="preserve">Local Government Association (2015) </w:t>
      </w:r>
      <w:r w:rsidRPr="001F70C2">
        <w:rPr>
          <w:i/>
          <w:iCs/>
          <w:sz w:val="24"/>
          <w:szCs w:val="24"/>
        </w:rPr>
        <w:t xml:space="preserve">Tackling Serious and Organised Crime: a local response. </w:t>
      </w:r>
      <w:r w:rsidRPr="001F70C2">
        <w:rPr>
          <w:sz w:val="24"/>
          <w:szCs w:val="24"/>
        </w:rPr>
        <w:t xml:space="preserve">Available at: </w:t>
      </w:r>
      <w:hyperlink r:id="rId24" w:history="1">
        <w:r w:rsidRPr="001F70C2">
          <w:rPr>
            <w:rStyle w:val="Hyperlink"/>
            <w:sz w:val="24"/>
            <w:szCs w:val="24"/>
          </w:rPr>
          <w:t>https://www.local.gov.uk/sites/default/files/documents/tackling-serious-and-orga-44a.pdf</w:t>
        </w:r>
      </w:hyperlink>
      <w:r w:rsidRPr="001F70C2">
        <w:rPr>
          <w:sz w:val="24"/>
          <w:szCs w:val="24"/>
        </w:rPr>
        <w:t xml:space="preserve"> (Accessed 20 May 2023). </w:t>
      </w:r>
    </w:p>
    <w:p w14:paraId="1AAEBA6D" w14:textId="77777777" w:rsidR="001F70C2" w:rsidRPr="001F70C2" w:rsidRDefault="001F70C2" w:rsidP="001F70C2">
      <w:pPr>
        <w:pStyle w:val="ListParagraph"/>
        <w:numPr>
          <w:ilvl w:val="0"/>
          <w:numId w:val="5"/>
        </w:numPr>
        <w:spacing w:after="160" w:line="259" w:lineRule="auto"/>
        <w:rPr>
          <w:sz w:val="24"/>
          <w:szCs w:val="24"/>
        </w:rPr>
      </w:pPr>
      <w:r w:rsidRPr="001F70C2">
        <w:rPr>
          <w:sz w:val="24"/>
          <w:szCs w:val="24"/>
        </w:rPr>
        <w:t xml:space="preserve">McLean, R. (2017) ‘An evolving gang model in contemporary Scotland’, Deviant Behaviour, 39(3), pp.309-321. </w:t>
      </w:r>
    </w:p>
    <w:p w14:paraId="3C32B5F9" w14:textId="77777777" w:rsidR="001F70C2" w:rsidRPr="001F70C2" w:rsidRDefault="001F70C2" w:rsidP="001F70C2">
      <w:pPr>
        <w:pStyle w:val="ListParagraph"/>
        <w:numPr>
          <w:ilvl w:val="0"/>
          <w:numId w:val="5"/>
        </w:numPr>
        <w:spacing w:after="160" w:line="259" w:lineRule="auto"/>
        <w:rPr>
          <w:sz w:val="24"/>
          <w:szCs w:val="24"/>
        </w:rPr>
      </w:pPr>
      <w:r w:rsidRPr="001F70C2">
        <w:rPr>
          <w:sz w:val="24"/>
          <w:szCs w:val="24"/>
        </w:rPr>
        <w:t xml:space="preserve">McLean, R., Robinson, G. and James, A.D. (2020) </w:t>
      </w:r>
      <w:r w:rsidRPr="001F70C2">
        <w:rPr>
          <w:i/>
          <w:iCs/>
          <w:sz w:val="24"/>
          <w:szCs w:val="24"/>
        </w:rPr>
        <w:t xml:space="preserve">County Lines: Criminal networks and evolving drug markets in Britain. </w:t>
      </w:r>
      <w:r w:rsidRPr="001F70C2">
        <w:rPr>
          <w:sz w:val="24"/>
          <w:szCs w:val="24"/>
        </w:rPr>
        <w:t>Oxford: Springer.</w:t>
      </w:r>
    </w:p>
    <w:p w14:paraId="007BEB27" w14:textId="77777777" w:rsidR="001F70C2" w:rsidRPr="001F70C2" w:rsidRDefault="001F70C2" w:rsidP="001F70C2">
      <w:pPr>
        <w:pStyle w:val="ListParagraph"/>
        <w:numPr>
          <w:ilvl w:val="0"/>
          <w:numId w:val="5"/>
        </w:numPr>
        <w:spacing w:after="160" w:line="259" w:lineRule="auto"/>
        <w:rPr>
          <w:sz w:val="24"/>
          <w:szCs w:val="24"/>
        </w:rPr>
      </w:pPr>
      <w:r w:rsidRPr="001F70C2">
        <w:rPr>
          <w:sz w:val="24"/>
          <w:szCs w:val="24"/>
        </w:rPr>
        <w:lastRenderedPageBreak/>
        <w:t xml:space="preserve">Morgan, C., Burns, T., Fitzpatrick, R., Pinfold, V. and Priebe, S. (2007) ‘Social Exclusion and mental health: Conceptual and methodological review’, The British Journal of Psychiatry, 191(6), pp.477-483. </w:t>
      </w:r>
    </w:p>
    <w:p w14:paraId="2CF8D48B" w14:textId="77777777" w:rsidR="001F70C2" w:rsidRPr="001F70C2" w:rsidRDefault="001F70C2" w:rsidP="001F70C2">
      <w:pPr>
        <w:pStyle w:val="ListParagraph"/>
        <w:numPr>
          <w:ilvl w:val="0"/>
          <w:numId w:val="5"/>
        </w:numPr>
        <w:spacing w:after="160" w:line="259" w:lineRule="auto"/>
        <w:rPr>
          <w:sz w:val="24"/>
          <w:szCs w:val="24"/>
        </w:rPr>
      </w:pPr>
      <w:r w:rsidRPr="001F70C2">
        <w:rPr>
          <w:sz w:val="24"/>
          <w:szCs w:val="24"/>
        </w:rPr>
        <w:t xml:space="preserve">Olver, K. and Cockbain, E. (2021) ‘Professionals Views on Responding to County Lines-Related Criminal Exploitation in the West Midlands, UK’, Child Abuse Review, 30, pp.347-362. </w:t>
      </w:r>
    </w:p>
    <w:p w14:paraId="60FE93C4" w14:textId="77777777" w:rsidR="001F70C2" w:rsidRPr="001F70C2" w:rsidRDefault="001F70C2" w:rsidP="001F70C2">
      <w:pPr>
        <w:pStyle w:val="ListParagraph"/>
        <w:numPr>
          <w:ilvl w:val="0"/>
          <w:numId w:val="5"/>
        </w:numPr>
        <w:spacing w:after="160" w:line="259" w:lineRule="auto"/>
        <w:rPr>
          <w:sz w:val="24"/>
          <w:szCs w:val="24"/>
        </w:rPr>
      </w:pPr>
      <w:r w:rsidRPr="001F70C2">
        <w:rPr>
          <w:sz w:val="24"/>
          <w:szCs w:val="24"/>
        </w:rPr>
        <w:t xml:space="preserve">Sharkey, J., Shekhtmeyster, Z., Lopez, L., Norris, E. and Sass, L. (2011) ‘The protective influence of gangs: Can schools compensate?’, Aggression and Violent Behaviour, 16, pp.45-54. </w:t>
      </w:r>
    </w:p>
    <w:p w14:paraId="21779F2F" w14:textId="77777777" w:rsidR="001F70C2" w:rsidRPr="001F70C2" w:rsidRDefault="001F70C2" w:rsidP="001F70C2">
      <w:pPr>
        <w:pStyle w:val="ListParagraph"/>
        <w:numPr>
          <w:ilvl w:val="0"/>
          <w:numId w:val="5"/>
        </w:numPr>
        <w:spacing w:after="160" w:line="259" w:lineRule="auto"/>
        <w:rPr>
          <w:sz w:val="24"/>
          <w:szCs w:val="24"/>
        </w:rPr>
      </w:pPr>
      <w:r w:rsidRPr="001F70C2">
        <w:rPr>
          <w:sz w:val="24"/>
          <w:szCs w:val="24"/>
        </w:rPr>
        <w:t xml:space="preserve">Spicer, J., Moyle, L. and Coomber, R. (2020) ‘The variable and evolving nature of ‘cuckooing’ as a form of criminal exploitation in street level drug markets’, Trends in Organised Crime, 23, pp.301-323. </w:t>
      </w:r>
    </w:p>
    <w:p w14:paraId="0522891F" w14:textId="77777777" w:rsidR="001F70C2" w:rsidRPr="001F70C2" w:rsidRDefault="001F70C2" w:rsidP="001F70C2">
      <w:pPr>
        <w:pStyle w:val="ListParagraph"/>
        <w:numPr>
          <w:ilvl w:val="0"/>
          <w:numId w:val="5"/>
        </w:numPr>
        <w:spacing w:after="160" w:line="259" w:lineRule="auto"/>
        <w:rPr>
          <w:sz w:val="24"/>
          <w:szCs w:val="24"/>
        </w:rPr>
      </w:pPr>
      <w:r w:rsidRPr="001F70C2">
        <w:rPr>
          <w:sz w:val="24"/>
          <w:szCs w:val="24"/>
        </w:rPr>
        <w:t xml:space="preserve">Thompson, N. (2019) ‘’It’s a No-Win Scenario, either the Police or the Gang will Get You’: Young People and Organised Crime – Vulnerable or Criminal?’, Youth Justice, 19(2), pp.102-119. </w:t>
      </w:r>
    </w:p>
    <w:p w14:paraId="18F322D6" w14:textId="77777777" w:rsidR="001F70C2" w:rsidRPr="001F70C2" w:rsidRDefault="001F70C2" w:rsidP="001F70C2">
      <w:pPr>
        <w:pStyle w:val="ListParagraph"/>
        <w:numPr>
          <w:ilvl w:val="0"/>
          <w:numId w:val="5"/>
        </w:numPr>
        <w:spacing w:after="160" w:line="259" w:lineRule="auto"/>
        <w:rPr>
          <w:sz w:val="24"/>
          <w:szCs w:val="24"/>
        </w:rPr>
      </w:pPr>
      <w:r w:rsidRPr="001F70C2">
        <w:rPr>
          <w:sz w:val="24"/>
          <w:szCs w:val="24"/>
        </w:rPr>
        <w:t>Townsend, M. (2019) ‘UK organised crime threat at record level, warns National Crime Agency: Britain risks losing fight against organised crime unless police receive significant new resources, official warns’, The Guardian, 12</w:t>
      </w:r>
      <w:r w:rsidRPr="001F70C2">
        <w:rPr>
          <w:sz w:val="24"/>
          <w:szCs w:val="24"/>
          <w:vertAlign w:val="superscript"/>
        </w:rPr>
        <w:t>th</w:t>
      </w:r>
      <w:r w:rsidRPr="001F70C2">
        <w:rPr>
          <w:sz w:val="24"/>
          <w:szCs w:val="24"/>
        </w:rPr>
        <w:t xml:space="preserve"> May. Available at: </w:t>
      </w:r>
      <w:hyperlink r:id="rId25" w:history="1">
        <w:r w:rsidRPr="001F70C2">
          <w:rPr>
            <w:rStyle w:val="Hyperlink"/>
            <w:sz w:val="24"/>
            <w:szCs w:val="24"/>
          </w:rPr>
          <w:t>https://www.theguardian.com/world/2019/may/11/police-cuts-organised-crime-national-crime-agency</w:t>
        </w:r>
      </w:hyperlink>
      <w:r w:rsidRPr="001F70C2">
        <w:rPr>
          <w:sz w:val="24"/>
          <w:szCs w:val="24"/>
        </w:rPr>
        <w:t xml:space="preserve"> (Accessed: 20 May 2023). </w:t>
      </w:r>
    </w:p>
    <w:p w14:paraId="428C248A" w14:textId="77777777" w:rsidR="001F70C2" w:rsidRPr="001F70C2" w:rsidRDefault="001F70C2" w:rsidP="001F70C2">
      <w:pPr>
        <w:pStyle w:val="ListParagraph"/>
        <w:numPr>
          <w:ilvl w:val="0"/>
          <w:numId w:val="5"/>
        </w:numPr>
        <w:spacing w:after="160" w:line="259" w:lineRule="auto"/>
        <w:rPr>
          <w:sz w:val="24"/>
          <w:szCs w:val="24"/>
        </w:rPr>
      </w:pPr>
      <w:r w:rsidRPr="001F70C2">
        <w:rPr>
          <w:sz w:val="24"/>
          <w:szCs w:val="24"/>
        </w:rPr>
        <w:t xml:space="preserve">Vrubliauskaite, K. (2018) ‘Psychological Factors Increasing the Risk for Adolescent Girls to Become Victims of Human Trafficking: A Systematic Review’, Social Work, 16(1), pp.129-138. </w:t>
      </w:r>
    </w:p>
    <w:p w14:paraId="15628FD6" w14:textId="77777777" w:rsidR="001F70C2" w:rsidRPr="001F70C2" w:rsidRDefault="001F70C2" w:rsidP="001F70C2">
      <w:pPr>
        <w:pStyle w:val="ListParagraph"/>
        <w:numPr>
          <w:ilvl w:val="0"/>
          <w:numId w:val="5"/>
        </w:numPr>
        <w:spacing w:after="160" w:line="259" w:lineRule="auto"/>
        <w:rPr>
          <w:sz w:val="24"/>
          <w:szCs w:val="24"/>
        </w:rPr>
      </w:pPr>
      <w:r w:rsidRPr="001F70C2">
        <w:rPr>
          <w:sz w:val="24"/>
          <w:szCs w:val="24"/>
        </w:rPr>
        <w:t xml:space="preserve">Wai, D. (2023) ‘Why social exclusion harms teens self-worth and how to cope with feeling alone in a cruel crowd’, SCMP Young Post, 14 May. Available at: </w:t>
      </w:r>
      <w:hyperlink r:id="rId26" w:history="1">
        <w:r w:rsidRPr="001F70C2">
          <w:rPr>
            <w:rStyle w:val="Hyperlink"/>
            <w:sz w:val="24"/>
            <w:szCs w:val="24"/>
          </w:rPr>
          <w:t>https://www.scmp.com/yp/discover/advice/personal-development/article/3220168/why-social-exclusion-harms-teens-self-worth-and-how-cope-feeling-alone-cruel-crowd</w:t>
        </w:r>
      </w:hyperlink>
      <w:r w:rsidRPr="001F70C2">
        <w:rPr>
          <w:sz w:val="24"/>
          <w:szCs w:val="24"/>
        </w:rPr>
        <w:t xml:space="preserve"> (Accessed: 22 May 2023). </w:t>
      </w:r>
    </w:p>
    <w:p w14:paraId="0134C615" w14:textId="77777777" w:rsidR="001F70C2" w:rsidRPr="001F70C2" w:rsidRDefault="001F70C2" w:rsidP="001F70C2">
      <w:pPr>
        <w:pStyle w:val="ListParagraph"/>
        <w:numPr>
          <w:ilvl w:val="0"/>
          <w:numId w:val="5"/>
        </w:numPr>
        <w:spacing w:after="160" w:line="259" w:lineRule="auto"/>
        <w:rPr>
          <w:sz w:val="24"/>
          <w:szCs w:val="24"/>
        </w:rPr>
      </w:pPr>
      <w:r w:rsidRPr="001F70C2">
        <w:rPr>
          <w:sz w:val="24"/>
          <w:szCs w:val="24"/>
        </w:rPr>
        <w:t>Whelan, C. (2022) ‘How to Manage Low Self-Esteem’, Healthline, 5</w:t>
      </w:r>
      <w:r w:rsidRPr="001F70C2">
        <w:rPr>
          <w:sz w:val="24"/>
          <w:szCs w:val="24"/>
          <w:vertAlign w:val="superscript"/>
        </w:rPr>
        <w:t>th</w:t>
      </w:r>
      <w:r w:rsidRPr="001F70C2">
        <w:rPr>
          <w:sz w:val="24"/>
          <w:szCs w:val="24"/>
        </w:rPr>
        <w:t xml:space="preserve"> October. Available at: </w:t>
      </w:r>
      <w:hyperlink r:id="rId27" w:history="1">
        <w:r w:rsidRPr="001F70C2">
          <w:rPr>
            <w:rStyle w:val="Hyperlink"/>
            <w:sz w:val="24"/>
            <w:szCs w:val="24"/>
          </w:rPr>
          <w:t>https://www.healthline.com/health/low-self-esteem</w:t>
        </w:r>
      </w:hyperlink>
      <w:r w:rsidRPr="001F70C2">
        <w:rPr>
          <w:sz w:val="24"/>
          <w:szCs w:val="24"/>
        </w:rPr>
        <w:t xml:space="preserve"> (Accessed: 22 May 2023). </w:t>
      </w:r>
    </w:p>
    <w:p w14:paraId="609FD617" w14:textId="77777777" w:rsidR="001F70C2" w:rsidRPr="001F70C2" w:rsidRDefault="001F70C2" w:rsidP="001F70C2">
      <w:pPr>
        <w:pStyle w:val="ListParagraph"/>
        <w:numPr>
          <w:ilvl w:val="0"/>
          <w:numId w:val="5"/>
        </w:numPr>
        <w:spacing w:after="160" w:line="259" w:lineRule="auto"/>
        <w:rPr>
          <w:sz w:val="24"/>
          <w:szCs w:val="24"/>
        </w:rPr>
      </w:pPr>
      <w:r w:rsidRPr="001F70C2">
        <w:rPr>
          <w:sz w:val="24"/>
          <w:szCs w:val="24"/>
        </w:rPr>
        <w:t xml:space="preserve">Williams, A.G. and Finlay, F. (2019) ‘County lines: how gang crime is affecting our young people’, Adolescent Health, 104, pp.730-732. </w:t>
      </w:r>
    </w:p>
    <w:p w14:paraId="6BFB162A" w14:textId="77777777" w:rsidR="00352BEC" w:rsidRDefault="00352BEC"/>
    <w:sectPr w:rsidR="00352BE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346E456" w14:textId="77777777" w:rsidR="00DC29DC" w:rsidRDefault="00DC29DC" w:rsidP="00352BEC">
      <w:pPr>
        <w:spacing w:after="0" w:line="240" w:lineRule="auto"/>
      </w:pPr>
      <w:r>
        <w:separator/>
      </w:r>
    </w:p>
  </w:endnote>
  <w:endnote w:type="continuationSeparator" w:id="0">
    <w:p w14:paraId="78413DA5" w14:textId="77777777" w:rsidR="00DC29DC" w:rsidRDefault="00DC29DC" w:rsidP="00352BE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C2AA4F5" w14:textId="77777777" w:rsidR="00DC29DC" w:rsidRDefault="00DC29DC" w:rsidP="00352BEC">
      <w:pPr>
        <w:spacing w:after="0" w:line="240" w:lineRule="auto"/>
      </w:pPr>
      <w:r>
        <w:separator/>
      </w:r>
    </w:p>
  </w:footnote>
  <w:footnote w:type="continuationSeparator" w:id="0">
    <w:p w14:paraId="47B676D6" w14:textId="77777777" w:rsidR="00DC29DC" w:rsidRDefault="00DC29DC" w:rsidP="00352BE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872365"/>
    <w:multiLevelType w:val="hybridMultilevel"/>
    <w:tmpl w:val="335E2468"/>
    <w:lvl w:ilvl="0" w:tplc="08090001">
      <w:start w:val="1"/>
      <w:numFmt w:val="bullet"/>
      <w:lvlText w:val=""/>
      <w:lvlJc w:val="left"/>
      <w:pPr>
        <w:ind w:left="1287" w:hanging="360"/>
      </w:pPr>
      <w:rPr>
        <w:rFonts w:ascii="Symbol" w:hAnsi="Symbol"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abstractNum w:abstractNumId="1" w15:restartNumberingAfterBreak="0">
    <w:nsid w:val="0D4E21FE"/>
    <w:multiLevelType w:val="hybridMultilevel"/>
    <w:tmpl w:val="8050DE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28D225D"/>
    <w:multiLevelType w:val="hybridMultilevel"/>
    <w:tmpl w:val="0A7EDC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35D3D5D"/>
    <w:multiLevelType w:val="hybridMultilevel"/>
    <w:tmpl w:val="926CB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8584318"/>
    <w:multiLevelType w:val="hybridMultilevel"/>
    <w:tmpl w:val="6A8E69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71475925">
    <w:abstractNumId w:val="0"/>
  </w:num>
  <w:num w:numId="2" w16cid:durableId="360204247">
    <w:abstractNumId w:val="3"/>
  </w:num>
  <w:num w:numId="3" w16cid:durableId="1763380040">
    <w:abstractNumId w:val="2"/>
  </w:num>
  <w:num w:numId="4" w16cid:durableId="1052919759">
    <w:abstractNumId w:val="4"/>
  </w:num>
  <w:num w:numId="5" w16cid:durableId="105932876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52BEC"/>
    <w:rsid w:val="000C46BA"/>
    <w:rsid w:val="001C2A9E"/>
    <w:rsid w:val="001F70C2"/>
    <w:rsid w:val="002E3338"/>
    <w:rsid w:val="00302E52"/>
    <w:rsid w:val="00352BEC"/>
    <w:rsid w:val="0068279E"/>
    <w:rsid w:val="006D6012"/>
    <w:rsid w:val="008C54B6"/>
    <w:rsid w:val="00A27D6B"/>
    <w:rsid w:val="00BA53CE"/>
    <w:rsid w:val="00C66B20"/>
    <w:rsid w:val="00D2711C"/>
    <w:rsid w:val="00D5421C"/>
    <w:rsid w:val="00DC29DC"/>
    <w:rsid w:val="00F83A1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BD40BA5"/>
  <w15:chartTrackingRefBased/>
  <w15:docId w15:val="{E1B5BF7E-A48D-4110-8CF0-E0A0ADA69E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52BEC"/>
    <w:pPr>
      <w:spacing w:after="0" w:line="240" w:lineRule="auto"/>
      <w:ind w:left="720"/>
      <w:contextualSpacing/>
    </w:pPr>
    <w:rPr>
      <w:rFonts w:ascii="Times New Roman" w:eastAsia="Times New Roman" w:hAnsi="Times New Roman" w:cs="Times New Roman"/>
      <w:sz w:val="20"/>
      <w:szCs w:val="20"/>
      <w:lang w:eastAsia="en-GB"/>
    </w:rPr>
  </w:style>
  <w:style w:type="character" w:styleId="Hyperlink">
    <w:name w:val="Hyperlink"/>
    <w:basedOn w:val="DefaultParagraphFont"/>
    <w:uiPriority w:val="99"/>
    <w:unhideWhenUsed/>
    <w:rsid w:val="00352BEC"/>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omputerweekly.com/news/252529367/Fraudsters-and-cyber-criminals-stole-more-than-4bn-in-the-UK-through-2022" TargetMode="External"/><Relationship Id="rId13" Type="http://schemas.openxmlformats.org/officeDocument/2006/relationships/hyperlink" Target="https://www.comparitech.com/blog/information-security/uk-cyber-security-statistics/" TargetMode="External"/><Relationship Id="rId18" Type="http://schemas.openxmlformats.org/officeDocument/2006/relationships/hyperlink" Target="https://www.gloucestershire.gov.uk/media/2104016/unconcious-bias.pdf" TargetMode="External"/><Relationship Id="rId26" Type="http://schemas.openxmlformats.org/officeDocument/2006/relationships/hyperlink" Target="https://www.scmp.com/yp/discover/advice/personal-development/article/3220168/why-social-exclusion-harms-teens-self-worth-and-how-cope-feeling-alone-cruel-crowd" TargetMode="External"/><Relationship Id="rId3" Type="http://schemas.openxmlformats.org/officeDocument/2006/relationships/settings" Target="settings.xml"/><Relationship Id="rId21" Type="http://schemas.openxmlformats.org/officeDocument/2006/relationships/hyperlink" Target="https://www.ojp.gov/pdffiles1/nij/grants/254340.pdf" TargetMode="External"/><Relationship Id="rId7" Type="http://schemas.openxmlformats.org/officeDocument/2006/relationships/hyperlink" Target="https://www.computerweekly.com/news/252461568/Police-local-cyber-crime-units-get-multimillion-pound-boost" TargetMode="External"/><Relationship Id="rId12" Type="http://schemas.openxmlformats.org/officeDocument/2006/relationships/hyperlink" Target="https://pds.police.uk/wp-content/uploads/2020/01/National-Policing-Digital-Strategy-2020-2030.pdf" TargetMode="External"/><Relationship Id="rId17" Type="http://schemas.openxmlformats.org/officeDocument/2006/relationships/hyperlink" Target="https://nationalcrimeagency.gov.uk/what-we-do/how-we-work/intelligence-enhancing-the-picture-of-serious-organised-crime-affecting-the-uk" TargetMode="External"/><Relationship Id="rId25" Type="http://schemas.openxmlformats.org/officeDocument/2006/relationships/hyperlink" Target="https://www.theguardian.com/world/2019/may/11/police-cuts-organised-crime-national-crime-agency" TargetMode="External"/><Relationship Id="rId2" Type="http://schemas.openxmlformats.org/officeDocument/2006/relationships/styles" Target="styles.xml"/><Relationship Id="rId16" Type="http://schemas.openxmlformats.org/officeDocument/2006/relationships/hyperlink" Target="https://www.college.police.uk/app/information-management/management-police-information/collection-and-recording" TargetMode="External"/><Relationship Id="rId20" Type="http://schemas.openxmlformats.org/officeDocument/2006/relationships/hyperlink" Target="https://www.shrm.org/resourcesandtools/hr-topics/behavioral-competencies/ethical-practice/pages/become-aware-of-personal-bias-and-improve-ethical-practice-.aspx" TargetMode="External"/><Relationship Id="rId29"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assets.college.police.uk/s3fs-public/policing_vision_2025.pdf" TargetMode="External"/><Relationship Id="rId24" Type="http://schemas.openxmlformats.org/officeDocument/2006/relationships/hyperlink" Target="https://www.local.gov.uk/sites/default/files/documents/tackling-serious-and-orga-44a.pdf" TargetMode="External"/><Relationship Id="rId5" Type="http://schemas.openxmlformats.org/officeDocument/2006/relationships/footnotes" Target="footnotes.xml"/><Relationship Id="rId15" Type="http://schemas.openxmlformats.org/officeDocument/2006/relationships/hyperlink" Target="https://www.cgi.com/en/case-study/joining-forces-pnd" TargetMode="External"/><Relationship Id="rId23" Type="http://schemas.openxmlformats.org/officeDocument/2006/relationships/hyperlink" Target="https://assets.publishing.service.gov.uk/government/uploads/system/uploads/attachment_data/file/752850/SOC-2018-web.pdf" TargetMode="External"/><Relationship Id="rId28" Type="http://schemas.openxmlformats.org/officeDocument/2006/relationships/fontTable" Target="fontTable.xml"/><Relationship Id="rId10" Type="http://schemas.openxmlformats.org/officeDocument/2006/relationships/hyperlink" Target="https://www.justiceinspectorates.gov.uk/hmicfrs/news/news-feed/police-forces-overwhelmed-and-ineffective-when-it-comes-to-digital-forensics/" TargetMode="External"/><Relationship Id="rId19" Type="http://schemas.openxmlformats.org/officeDocument/2006/relationships/hyperlink" Target="https://www.mckinsey.com/featured-insights/gender-equality/focusing-on-what-works-for-workplace-diversity" TargetMode="External"/><Relationship Id="rId4" Type="http://schemas.openxmlformats.org/officeDocument/2006/relationships/webSettings" Target="webSettings.xml"/><Relationship Id="rId9" Type="http://schemas.openxmlformats.org/officeDocument/2006/relationships/hyperlink" Target="https://www.justiceinspectorates.gov.uk/hmicfrs/news/news-feed/police-response-cyber-dependent-crime-generally-good/" TargetMode="External"/><Relationship Id="rId14" Type="http://schemas.openxmlformats.org/officeDocument/2006/relationships/hyperlink" Target="https://www.ons.gov.uk/peoplepopulationandcommunity/householdcharacteristics/homeinternetandsocialmediausage/bulletins/internetaccesshouseholdsandindividuals/2019" TargetMode="External"/><Relationship Id="rId22" Type="http://schemas.openxmlformats.org/officeDocument/2006/relationships/hyperlink" Target="https://www.police-foundation.org.uk/2017/wp-content/uploads/2017/06/impact_of_oc_on_local_communities.pdf" TargetMode="External"/><Relationship Id="rId27" Type="http://schemas.openxmlformats.org/officeDocument/2006/relationships/hyperlink" Target="https://www.healthline.com/health/low-self-estee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27</TotalTime>
  <Pages>16</Pages>
  <Words>7479</Words>
  <Characters>42632</Characters>
  <Application>Microsoft Office Word</Application>
  <DocSecurity>0</DocSecurity>
  <Lines>355</Lines>
  <Paragraphs>100</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50011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Williams, Joshua</dc:creator>
  <cp:keywords/>
  <dc:description/>
  <cp:lastModifiedBy>Williams, Joshua</cp:lastModifiedBy>
  <cp:revision>12</cp:revision>
  <dcterms:created xsi:type="dcterms:W3CDTF">2023-06-02T12:18:00Z</dcterms:created>
  <dcterms:modified xsi:type="dcterms:W3CDTF">2023-06-02T13:51:00Z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2023-06-02T12:18:29Z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2526d0ea-9634-46da-a3de-f75cc304d11c</vt:lpwstr>
  </property>
  <property fmtid="{D5CDD505-2E9C-101B-9397-08002B2CF9AE}" pid="8" name="MSIP_Label_f2acd28b-79a3-4a0f-b0ff-4b75658b1549_ContentBits">
    <vt:lpwstr>0</vt:lpwstr>
  </property>
</Properties>
</file>