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E92942" w:rsidRDefault="00031CCC">
      <w:r>
        <w:t>Is there a confusion in the idea of a ‘private ostensive definition’? If so, what is the importance of that fact?</w:t>
      </w:r>
    </w:p>
    <w:p w14:paraId="00000002" w14:textId="77777777" w:rsidR="00E92942" w:rsidRDefault="00E92942"/>
    <w:p w14:paraId="00000003" w14:textId="21EDE953" w:rsidR="00E92942" w:rsidRDefault="00031CCC">
      <w:r>
        <w:t xml:space="preserve">In the </w:t>
      </w:r>
      <w:r>
        <w:rPr>
          <w:i/>
        </w:rPr>
        <w:t>Philosophical Investigations</w:t>
      </w:r>
      <w:r>
        <w:rPr>
          <w:i/>
          <w:vertAlign w:val="superscript"/>
        </w:rPr>
        <w:footnoteReference w:id="1"/>
      </w:r>
      <w:r>
        <w:rPr>
          <w:i/>
        </w:rPr>
        <w:t xml:space="preserve"> </w:t>
      </w:r>
      <w:r>
        <w:t xml:space="preserve">Wittgenstein says individuals try to </w:t>
      </w:r>
      <w:r>
        <w:t xml:space="preserve">use private language to, ‘refer to what can only be known by the person speaking: to his immediate private sensations. </w:t>
      </w:r>
      <w:proofErr w:type="gramStart"/>
      <w:r>
        <w:t>So</w:t>
      </w:r>
      <w:proofErr w:type="gramEnd"/>
      <w:r>
        <w:t xml:space="preserve"> another person cannot understand the language’. What Wittgenstein means here is a language which can onl</w:t>
      </w:r>
      <w:r>
        <w:t xml:space="preserve">y be understood by one individual is meaningless. In a sense, this is obvious but we are often unaware of when we are in fact doing it. When we make a private ostensive </w:t>
      </w:r>
      <w:proofErr w:type="gramStart"/>
      <w:r>
        <w:t>definition</w:t>
      </w:r>
      <w:proofErr w:type="gramEnd"/>
      <w:r>
        <w:t xml:space="preserve"> we are defining a sensation or mental state of our own and then trying to de</w:t>
      </w:r>
      <w:r>
        <w:t xml:space="preserve">fine other sensations or mental states in relation to our own. This is in part where the problem begins because an ostensive definition according to Irwin Goldstein in </w:t>
      </w:r>
      <w:r>
        <w:rPr>
          <w:i/>
        </w:rPr>
        <w:t>Ontology, Epistemology, and Private Ostensive Definition</w:t>
      </w:r>
      <w:r>
        <w:rPr>
          <w:i/>
          <w:vertAlign w:val="superscript"/>
        </w:rPr>
        <w:footnoteReference w:id="2"/>
      </w:r>
      <w:r>
        <w:rPr>
          <w:i/>
        </w:rPr>
        <w:t xml:space="preserve"> </w:t>
      </w:r>
      <w:r>
        <w:t>is learned through direct cont</w:t>
      </w:r>
      <w:r>
        <w:t>act with the object with which the speaker is trying to define. For instance, if I were to define an orange to a child who had never seen one before, all I would really have to do is point to an orange. According to Irwin, Wittgenstein simply rejects the n</w:t>
      </w:r>
      <w:r>
        <w:t>otion we can understand a word through isolation and introspection because we cannot have a private ostensive use of a word through isolation and introspection. Unlike the child with the orange, I am unable to point to my own mental states or my own sensat</w:t>
      </w:r>
      <w:r>
        <w:t>ions in order to give an adequate understanding of what they might be. The major philosophical implications of what Wittgenstein is suggesting here, has problems for epistemological viewpoints such as skepticism about other minds, skepticism about the exte</w:t>
      </w:r>
      <w:r>
        <w:t xml:space="preserve">rnal world and foundationalism. Yet Wittgenstein’s argument against private ostensive definitions also proves difficult for ontological philosophies such as dualism and immaterialism. </w:t>
      </w:r>
    </w:p>
    <w:p w14:paraId="00000004" w14:textId="77777777" w:rsidR="00E92942" w:rsidRDefault="00E92942"/>
    <w:p w14:paraId="00000005" w14:textId="77777777" w:rsidR="00E92942" w:rsidRDefault="00031CCC">
      <w:r>
        <w:t>Instead of looking inward with our use of language we should look outw</w:t>
      </w:r>
      <w:r>
        <w:t xml:space="preserve">ard; in a public sense. An ostensive definition used properly has to be used publicly because there will be </w:t>
      </w:r>
      <w:r>
        <w:rPr>
          <w:i/>
        </w:rPr>
        <w:t xml:space="preserve">something </w:t>
      </w:r>
      <w:r>
        <w:t xml:space="preserve">the speaker is referring to and defining when they are speaking of it. Again, the child with the orange. An orange can be defined without </w:t>
      </w:r>
      <w:r>
        <w:t xml:space="preserve">appealing solely to my sensations to show a child what an orange is. </w:t>
      </w:r>
    </w:p>
    <w:p w14:paraId="00000006" w14:textId="77777777" w:rsidR="00E92942" w:rsidRDefault="00E92942"/>
    <w:p w14:paraId="00000007" w14:textId="77777777" w:rsidR="00E92942" w:rsidRDefault="00031CCC">
      <w:r>
        <w:t>There is confusion when I try to do the same about something which is not public. My pains are not public. My sensations are not public and nor are my mental states. Nobody else can kno</w:t>
      </w:r>
      <w:r>
        <w:t>w of them besides myself. Nothing meaningful occurs when I point towards myself and say, ‘this is pain’. All we know on an ostensive level is that there is a body where I am pointing. These all come under the term ostensive private definition. The pain wit</w:t>
      </w:r>
      <w:r>
        <w:t xml:space="preserve">h which I define cannot be mentioned in any public sense. Language itself then, has to be public if there is to be any meaning at all. </w:t>
      </w:r>
    </w:p>
    <w:p w14:paraId="00000008" w14:textId="77777777" w:rsidR="00E92942" w:rsidRDefault="00E92942"/>
    <w:p w14:paraId="00000009" w14:textId="77777777" w:rsidR="00E92942" w:rsidRDefault="00031CCC">
      <w:r>
        <w:t>In a primitive form, the Augustinian view of language can give us a public use of language. Since under such a view, th</w:t>
      </w:r>
      <w:r>
        <w:t xml:space="preserve">e words we use name objects. Wittgenstein gives two examples of how useful the Augustinian approach to language can be. First, imagine two builders. The first builder needs stones, pillars, slabs and beams. Whereas the second builder needs to know in </w:t>
      </w:r>
      <w:r>
        <w:lastRenderedPageBreak/>
        <w:t xml:space="preserve">what </w:t>
      </w:r>
      <w:r>
        <w:t xml:space="preserve">order each of the items is to be given to the first builder. After having given names to the items used, the builders can do such an exercise relatively effectively. </w:t>
      </w:r>
    </w:p>
    <w:p w14:paraId="0000000A" w14:textId="77777777" w:rsidR="00E92942" w:rsidRDefault="00E92942"/>
    <w:p w14:paraId="0000000B" w14:textId="29FD8D15" w:rsidR="00E92942" w:rsidRDefault="00031CCC">
      <w:r>
        <w:t>Second, now imagine going to the shop with a paper with five red apples on it. The shopk</w:t>
      </w:r>
      <w:r>
        <w:t xml:space="preserve">eeper can look for the apples on the shelf, look on a </w:t>
      </w:r>
      <w:proofErr w:type="spellStart"/>
      <w:r>
        <w:t>colour</w:t>
      </w:r>
      <w:proofErr w:type="spellEnd"/>
      <w:r>
        <w:t xml:space="preserve"> chart</w:t>
      </w:r>
      <w:r>
        <w:t xml:space="preserve"> and if said shopkeeper has a basic understanding of </w:t>
      </w:r>
      <w:proofErr w:type="spellStart"/>
      <w:r>
        <w:t>maths</w:t>
      </w:r>
      <w:proofErr w:type="spellEnd"/>
      <w:r>
        <w:t>, hand over five apples. In both, examples language has been used for the bare minimum of what we need to use language for; communica</w:t>
      </w:r>
      <w:r>
        <w:t>tion. The problem is, for the second instance,</w:t>
      </w:r>
      <w:r>
        <w:t xml:space="preserve"> there is no way for the shopkeeper to know what he is supposed to do with the number five. The expression five does not usually translate to, ‘give me five objects’ and even it did, there is no way the shopk</w:t>
      </w:r>
      <w:r>
        <w:t>eeper would be able to know this. As useful as the Augustinian</w:t>
      </w:r>
      <w:r>
        <w:t xml:space="preserve"> approach is on a</w:t>
      </w:r>
      <w:r>
        <w:t xml:space="preserve"> base level,</w:t>
      </w:r>
      <w:r>
        <w:t xml:space="preserve"> </w:t>
      </w:r>
      <w:r>
        <w:t xml:space="preserve">there are practical problems left unsolved and we generally use language on a higher level than what is depicted within either of these examples. </w:t>
      </w:r>
    </w:p>
    <w:p w14:paraId="0000000C" w14:textId="77777777" w:rsidR="00E92942" w:rsidRDefault="00E92942"/>
    <w:p w14:paraId="0000000D" w14:textId="2C150268" w:rsidR="00E92942" w:rsidRDefault="00031CCC">
      <w:r>
        <w:t>One solution i</w:t>
      </w:r>
      <w:r>
        <w:t>s to take both illustrations further. We could introduce an alphabetiz</w:t>
      </w:r>
      <w:r>
        <w:t>ed system to the builders. The number</w:t>
      </w:r>
      <w:r>
        <w:t xml:space="preserve"> of items we need could be dependent upon </w:t>
      </w:r>
      <w:r>
        <w:t>whatever letter we point to within the alphabet and how many letters came before it. D for instance cou</w:t>
      </w:r>
      <w:r>
        <w:t>ld be four pillars. We could also use ostensive definitions by pointing to areas the first builder wants any of the aforementioned items placed</w:t>
      </w:r>
      <w:r>
        <w:t>. Now the communication between both builders is more complex. Yet any set of numbers which goes above ten is going to m</w:t>
      </w:r>
      <w:r>
        <w:t xml:space="preserve">ake this practice rather time consuming. Suppose the first builder wanted eighteen stones? </w:t>
      </w:r>
    </w:p>
    <w:p w14:paraId="0000000E" w14:textId="77777777" w:rsidR="00E92942" w:rsidRDefault="00E92942"/>
    <w:p w14:paraId="0000000F" w14:textId="4A0E08E2" w:rsidR="00E92942" w:rsidRDefault="00031CCC">
      <w:r>
        <w:t xml:space="preserve">At the very least, both the builders and the customer/shopkeeper have the ability to use language communally. Each of the items used, another person can use. </w:t>
      </w:r>
      <w:proofErr w:type="gramStart"/>
      <w:r>
        <w:t>So</w:t>
      </w:r>
      <w:proofErr w:type="gramEnd"/>
      <w:r>
        <w:t xml:space="preserve"> th</w:t>
      </w:r>
      <w:r>
        <w:t xml:space="preserve">ere is not really any confusion there. What becomes important in the </w:t>
      </w:r>
      <w:proofErr w:type="spellStart"/>
      <w:r>
        <w:t>Wittgenstinian</w:t>
      </w:r>
      <w:proofErr w:type="spellEnd"/>
      <w:r>
        <w:t xml:space="preserve"> view is language is used as a tool through customs. In the above examples, everybody involved is having to actually </w:t>
      </w:r>
      <w:r>
        <w:rPr>
          <w:i/>
        </w:rPr>
        <w:t xml:space="preserve">do </w:t>
      </w:r>
      <w:r>
        <w:t>something. Each person is involved in a given action.</w:t>
      </w:r>
      <w:r>
        <w:t xml:space="preserve"> Like with a custom, a person has to undergo a set task in order to engage in the custom. For Wittgenstein, language is understood through our ability to engage in such tasks. This is why Wittgen</w:t>
      </w:r>
      <w:r>
        <w:t xml:space="preserve">stein makes clear that if we are to </w:t>
      </w:r>
      <w:r>
        <w:rPr>
          <w:i/>
        </w:rPr>
        <w:t xml:space="preserve">think </w:t>
      </w:r>
      <w:r>
        <w:t>we understand a rule</w:t>
      </w:r>
      <w:r>
        <w:t xml:space="preserve"> then we clearly do not truly understand it. Other people must be present to agree how language is to be used otherwise no meaning can be conveyed between those who choose to use language. We can learn common behavio</w:t>
      </w:r>
      <w:r>
        <w:t xml:space="preserve">r in others to learn their languages. </w:t>
      </w:r>
    </w:p>
    <w:p w14:paraId="00000010" w14:textId="77777777" w:rsidR="00E92942" w:rsidRDefault="00E92942"/>
    <w:p w14:paraId="00000011" w14:textId="516B6FBF" w:rsidR="00E92942" w:rsidRDefault="00031CCC">
      <w:r>
        <w:t>In light of what has been said so far, when a person uses an ostensive definition we can understand their behavio</w:t>
      </w:r>
      <w:r>
        <w:t>r and what they are</w:t>
      </w:r>
      <w:r>
        <w:t xml:space="preserve"> in the process of doing to understand what</w:t>
      </w:r>
      <w:r>
        <w:t xml:space="preserve"> in fact they mean. For instance, I may not be able to speak another langu</w:t>
      </w:r>
      <w:r>
        <w:t>age but those who do speak a foreign</w:t>
      </w:r>
      <w:r>
        <w:t xml:space="preserve"> language can point to the objects by which they are referring to with the various names they have been given. I can learn in the process of </w:t>
      </w:r>
      <w:r>
        <w:rPr>
          <w:i/>
        </w:rPr>
        <w:t xml:space="preserve">doing </w:t>
      </w:r>
      <w:r>
        <w:t>something. However, none of the people with said language can tell me anything</w:t>
      </w:r>
      <w:r>
        <w:t xml:space="preserve"> meaningful about something they privately define because I will not be able to see them doing it in practice. </w:t>
      </w:r>
    </w:p>
    <w:p w14:paraId="00000012" w14:textId="77777777" w:rsidR="00E92942" w:rsidRDefault="00E92942"/>
    <w:p w14:paraId="00000013" w14:textId="12884FE5" w:rsidR="00E92942" w:rsidRDefault="00031CCC">
      <w:r>
        <w:t xml:space="preserve">It may help if we think of private ostensive definitions in terms of an inner object since ostensive definitions are reliant upon an object in </w:t>
      </w:r>
      <w:r>
        <w:t xml:space="preserve">view to be referred to. For this, Wittgenstein gives us an illustration involving a beetle in a box. Every person has a box with a beetle inside. Nobody can </w:t>
      </w:r>
      <w:r>
        <w:lastRenderedPageBreak/>
        <w:t>look at anybody else’s beetle in anybody else’s box. They can only look into their own box. Other p</w:t>
      </w:r>
      <w:r>
        <w:t xml:space="preserve">eople can see individuals looking into their own </w:t>
      </w:r>
      <w:r>
        <w:t>boxes without having seen the contents. E</w:t>
      </w:r>
      <w:r>
        <w:t>verybody can see everybody else’s reaction to having looked into their private box. People may try and attempt to refer to their beetle in everyday, common use but bec</w:t>
      </w:r>
      <w:r>
        <w:t>ause nobody else knows what anybody else in this situation is referring to, there is no common meaning between the box owners; b</w:t>
      </w:r>
      <w:r>
        <w:t>y not referring to anything at all</w:t>
      </w:r>
      <w:r>
        <w:t xml:space="preserve">. The word beetle in a </w:t>
      </w:r>
      <w:proofErr w:type="spellStart"/>
      <w:r>
        <w:t>wittgenst</w:t>
      </w:r>
      <w:r>
        <w:t>inian</w:t>
      </w:r>
      <w:proofErr w:type="spellEnd"/>
      <w:r>
        <w:t xml:space="preserve"> sense becomes meaningless even if there is something i</w:t>
      </w:r>
      <w:r>
        <w:t xml:space="preserve">n which each person is referring to because there is no way of ratifying what is being referred to with anybody else if they cannot look into each other’s boxes. </w:t>
      </w:r>
    </w:p>
    <w:p w14:paraId="00000014" w14:textId="77777777" w:rsidR="00E92942" w:rsidRDefault="00E92942"/>
    <w:p w14:paraId="00000015" w14:textId="228300A1" w:rsidR="00E92942" w:rsidRDefault="00031CCC">
      <w:r>
        <w:t xml:space="preserve">Wittgenstein draws this illustration to pain. We can certainly see the expressions a person </w:t>
      </w:r>
      <w:r>
        <w:t>has when they are in pain, in a behavio</w:t>
      </w:r>
      <w:r>
        <w:t xml:space="preserve">rist sense, yet we cannot actually point to the </w:t>
      </w:r>
      <w:r>
        <w:rPr>
          <w:i/>
        </w:rPr>
        <w:t xml:space="preserve">pain </w:t>
      </w:r>
      <w:r>
        <w:t>or give an adequate account of what a person’s pain is.</w:t>
      </w:r>
      <w:r>
        <w:t xml:space="preserve"> L</w:t>
      </w:r>
      <w:r>
        <w:t xml:space="preserve">ike in the illustration of the beetle. The pain is private to them like in a private language. We have no </w:t>
      </w:r>
      <w:r>
        <w:t xml:space="preserve">shared communal understanding of what their pain is supposed to feel like. </w:t>
      </w:r>
    </w:p>
    <w:p w14:paraId="00000016" w14:textId="77777777" w:rsidR="00E92942" w:rsidRDefault="00E92942"/>
    <w:p w14:paraId="00000017" w14:textId="49A394CE" w:rsidR="00E92942" w:rsidRDefault="00031CCC">
      <w:r>
        <w:t>We could ask at this point, what if a person were alone on an island? Perhaps a person of a near extinct civilization who is the last remaining survivor. Would such a person be li</w:t>
      </w:r>
      <w:r>
        <w:t>ke those in the beetle and then box analogy? Considering said person would be the only person left speaking a given language. Would such a person not fit the category of a private language? No, because the rules could still be understood by anybody who wan</w:t>
      </w:r>
      <w:r>
        <w:t xml:space="preserve">ted to understand what a person on an island or a person of a </w:t>
      </w:r>
      <w:r>
        <w:t>dead language actually means when they speak</w:t>
      </w:r>
      <w:r>
        <w:t>. A person using a dead language for instance would still be acting out all the various expressions needed for an outsider to understand them. They could still use oste</w:t>
      </w:r>
      <w:r>
        <w:t xml:space="preserve">nsive definitions like with the builders in which they point towards whatever they may be referring to. What is important here is the language is still in fact </w:t>
      </w:r>
      <w:r>
        <w:rPr>
          <w:i/>
        </w:rPr>
        <w:t xml:space="preserve">learnable. </w:t>
      </w:r>
      <w:r>
        <w:t>Similarly, a person alone on an island has a language which they would have to have l</w:t>
      </w:r>
      <w:r>
        <w:t>earned before having become marooned there. In this sense, the language is publ</w:t>
      </w:r>
      <w:r>
        <w:t xml:space="preserve">ic because if another person can learn the language used then such a language would have the potential for a communal use. Private ostensive definitions by contrast, cannot be </w:t>
      </w:r>
      <w:r>
        <w:t xml:space="preserve">translated or understood by others. As we will learn later, not even the person using the private ostensive definition actually knows what the definition really means. </w:t>
      </w:r>
    </w:p>
    <w:p w14:paraId="00000018" w14:textId="77777777" w:rsidR="00E92942" w:rsidRDefault="00E92942"/>
    <w:p w14:paraId="00000019" w14:textId="77777777" w:rsidR="00E92942" w:rsidRDefault="00031CCC">
      <w:r>
        <w:t>However, for the most part what we are doing when we use private ostensive definitions is confusing how we use</w:t>
      </w:r>
      <w:r>
        <w:t xml:space="preserve"> grammar. The rules which follow in order to actually be able to understand a language are in fact grammatical rules. They are the rules which allow for us to make a statement that will make sense. A rule of grammar is used correctly when we have something</w:t>
      </w:r>
      <w:r>
        <w:t xml:space="preserve"> to refer back like in an ordinary ostensive definition. Like with the orange. I can refer back to the orange when I speak of it and I can therefore explain what an orange is to someone else. The issue, like with the beetle in the box is I refer to somethi</w:t>
      </w:r>
      <w:r>
        <w:t>ng which only I am able to see, then nobody can know what I am referring to and therefore I have misused one of the rules of grammar. When I claim to have a pain, I am misusing the rule of grammar because in this sense I am talking of something which has n</w:t>
      </w:r>
      <w:r>
        <w:t xml:space="preserve">o public reference. I am unable to translate what my pain is or what it feels like in any given language because the sensations of pain would be </w:t>
      </w:r>
      <w:r>
        <w:lastRenderedPageBreak/>
        <w:t xml:space="preserve">private. Granted we can know the expressions I may give when I am </w:t>
      </w:r>
      <w:proofErr w:type="spellStart"/>
      <w:r>
        <w:t>ijn</w:t>
      </w:r>
      <w:proofErr w:type="spellEnd"/>
      <w:r>
        <w:t xml:space="preserve"> pain but that simply puts us back in the </w:t>
      </w:r>
      <w:r>
        <w:t xml:space="preserve">same situation we find ourselves in with the beetle and the box. </w:t>
      </w:r>
    </w:p>
    <w:p w14:paraId="0000001A" w14:textId="77777777" w:rsidR="00E92942" w:rsidRDefault="00E92942"/>
    <w:p w14:paraId="0000001B" w14:textId="2A5F1D1A" w:rsidR="00E92942" w:rsidRDefault="00031CCC">
      <w:r>
        <w:t>The reason why the misunderstanding of ostensive definitions is important is because private language arguments sometimes occur within philosophical enquiry. The best example of a private l</w:t>
      </w:r>
      <w:r>
        <w:t>anguage philosophy is with the Cartesian notion of the self. Not only is the use of the self, ‘</w:t>
      </w:r>
      <w:proofErr w:type="spellStart"/>
      <w:r>
        <w:t>self referring</w:t>
      </w:r>
      <w:proofErr w:type="spellEnd"/>
      <w:r>
        <w:t>’ in this case in which Wittgenstein suggests is meaningless but we cannot possibly understand what a person is to mean when they use such an argum</w:t>
      </w:r>
      <w:r>
        <w:t xml:space="preserve">ent. The self in this sense is absolutely private. Nobody else can know what it is like to be somebody else </w:t>
      </w:r>
      <w:r>
        <w:rPr>
          <w:i/>
        </w:rPr>
        <w:t xml:space="preserve">as </w:t>
      </w:r>
      <w:r>
        <w:t xml:space="preserve">that person. When I talk of </w:t>
      </w:r>
      <w:r>
        <w:rPr>
          <w:i/>
        </w:rPr>
        <w:t xml:space="preserve">myself </w:t>
      </w:r>
      <w:r>
        <w:t xml:space="preserve">I do not use any public use of the word. If this is the case then no other person can </w:t>
      </w:r>
      <w:bookmarkStart w:id="0" w:name="_GoBack"/>
      <w:bookmarkEnd w:id="0"/>
      <w:r>
        <w:t>learn the customs I have use</w:t>
      </w:r>
      <w:r>
        <w:t xml:space="preserve">d to make the statement and in turn, cannot meaningfully understand the statement. </w:t>
      </w:r>
    </w:p>
    <w:p w14:paraId="0000001C" w14:textId="77777777" w:rsidR="00E92942" w:rsidRDefault="00E92942"/>
    <w:p w14:paraId="0000001D" w14:textId="359D1CEE" w:rsidR="00E92942" w:rsidRDefault="00031CCC">
      <w:r>
        <w:t>This may lead us to view Wittgenstein’s use of ostensive definitions through a behavio</w:t>
      </w:r>
      <w:r>
        <w:t>rist lens</w:t>
      </w:r>
      <w:r>
        <w:t xml:space="preserve"> since mental states also become hard to define in an ostensive sense. Man</w:t>
      </w:r>
      <w:r>
        <w:t>y mind-body arguments, as the term would suggest, start from the position there are different substances; the mind and the material body. Yet if a person is to talk of pain in a sense which is private to the speaker then the mental state which the pain cam</w:t>
      </w:r>
      <w:r>
        <w:t>e from is just as private as the pain itself. Essentially, the whole idea there could be an individual in which all these mental states even go back to does not work since we have to assume, something private within the individual to actually have them. On</w:t>
      </w:r>
      <w:r>
        <w:t xml:space="preserve"> such a view, the confusion here would be we assumed the existence of something other than the communal aspect of individuals through an incorrect use of ostensive definitions. By making them private, we have gained this idea that there is a separate subst</w:t>
      </w:r>
      <w:r>
        <w:t xml:space="preserve">ance to that of the body; one which cannot be referred back. </w:t>
      </w:r>
    </w:p>
    <w:p w14:paraId="0000001E" w14:textId="77777777" w:rsidR="00E92942" w:rsidRDefault="00E92942"/>
    <w:p w14:paraId="0000001F" w14:textId="77777777" w:rsidR="00E92942" w:rsidRDefault="00031CCC">
      <w:r>
        <w:t>However, the most important part of ostensive definitions and their misuse is the speaker who misuses them, will undoubtedly themselves not be able to find any meaning in what they have said; even if they think they have. Since the grammatical rules of lan</w:t>
      </w:r>
      <w:r>
        <w:t xml:space="preserve">guage and the conventions of language have been misunderstood. By not following the rules, a person will unknowingly make a statement in which the signs they have used to make the statement refer to nothing. If language is supposed to be learned as a form </w:t>
      </w:r>
      <w:r>
        <w:t>of game, signs which the players of the game never actually used in any applied sense cannot make sense to the person using them. If I were to teach someone to play chess, then I can point to wherever the pieces can or cannot go within the game. I can poin</w:t>
      </w:r>
      <w:r>
        <w:t xml:space="preserve">t to what pieces have what names and what those pieces are supposed to do. Yet if I come up with a rule or a convention in chess which cannot be shown on the boards then it becomes inevitably difficult for the person I am teaching to make any sense of the </w:t>
      </w:r>
      <w:r>
        <w:t>rule I have just laid out. When a given speaker claims to be in pain, because such signs have not been used in a practical sense in which we can learn their meaning among others, the person making the claim is using signs which they themselves could not un</w:t>
      </w:r>
      <w:r>
        <w:t xml:space="preserve">derstand. </w:t>
      </w:r>
    </w:p>
    <w:p w14:paraId="00000020" w14:textId="77777777" w:rsidR="00E92942" w:rsidRDefault="00E92942"/>
    <w:p w14:paraId="00000021" w14:textId="77777777" w:rsidR="00E92942" w:rsidRDefault="00031CCC">
      <w:r>
        <w:t xml:space="preserve">In closing, there is a confusion with the idea of private ostensive definitions because not only do they create major philosophical assumptions like in the case of the mind-body problem but they also confuse the very person who has </w:t>
      </w:r>
      <w:proofErr w:type="spellStart"/>
      <w:r>
        <w:t>misused</w:t>
      </w:r>
      <w:proofErr w:type="spellEnd"/>
      <w:r>
        <w:t xml:space="preserve"> them</w:t>
      </w:r>
      <w:r>
        <w:t xml:space="preserve">. When using private ostensive definitions not only are we not referring to something but we forget that a sign ascertains its use in the </w:t>
      </w:r>
      <w:r>
        <w:lastRenderedPageBreak/>
        <w:t>practices of what we do. If we have not learned the sign from others and they have not taught it to us, then nobody ca</w:t>
      </w:r>
      <w:r>
        <w:t xml:space="preserve">n derive any meaning from the statement given. </w:t>
      </w:r>
    </w:p>
    <w:p w14:paraId="00000022" w14:textId="77777777" w:rsidR="00E92942" w:rsidRDefault="00E92942"/>
    <w:p w14:paraId="00000023" w14:textId="77777777" w:rsidR="00E92942" w:rsidRDefault="00031CCC">
      <w:pPr>
        <w:jc w:val="center"/>
      </w:pPr>
      <w:r>
        <w:t>Bibliography:</w:t>
      </w:r>
    </w:p>
    <w:p w14:paraId="00000024" w14:textId="77777777" w:rsidR="00E92942" w:rsidRDefault="00031CCC">
      <w:pPr>
        <w:spacing w:line="240" w:lineRule="auto"/>
        <w:jc w:val="center"/>
        <w:rPr>
          <w:sz w:val="20"/>
          <w:szCs w:val="20"/>
        </w:rPr>
      </w:pPr>
      <w:r>
        <w:rPr>
          <w:sz w:val="20"/>
          <w:szCs w:val="20"/>
        </w:rPr>
        <w:t xml:space="preserve">Goldstein, Irwin, </w:t>
      </w:r>
      <w:r>
        <w:rPr>
          <w:i/>
          <w:sz w:val="20"/>
          <w:szCs w:val="20"/>
        </w:rPr>
        <w:t xml:space="preserve">Ontology, Epistemology, and Private Ostensive Definition, </w:t>
      </w:r>
      <w:r>
        <w:rPr>
          <w:sz w:val="20"/>
          <w:szCs w:val="20"/>
        </w:rPr>
        <w:t>Philosophy and Phenomenological Research, p137, Davidson College</w:t>
      </w:r>
    </w:p>
    <w:p w14:paraId="00000025" w14:textId="77777777" w:rsidR="00E92942" w:rsidRDefault="00031CCC">
      <w:pPr>
        <w:spacing w:line="240" w:lineRule="auto"/>
        <w:jc w:val="center"/>
        <w:rPr>
          <w:sz w:val="20"/>
          <w:szCs w:val="20"/>
        </w:rPr>
      </w:pPr>
      <w:r>
        <w:rPr>
          <w:sz w:val="20"/>
          <w:szCs w:val="20"/>
        </w:rPr>
        <w:t xml:space="preserve">Wittgenstein, Ludwig, </w:t>
      </w:r>
      <w:r>
        <w:rPr>
          <w:i/>
          <w:sz w:val="20"/>
          <w:szCs w:val="20"/>
        </w:rPr>
        <w:t xml:space="preserve">Philosophical Investigations, </w:t>
      </w:r>
      <w:r>
        <w:rPr>
          <w:sz w:val="20"/>
          <w:szCs w:val="20"/>
        </w:rPr>
        <w:t>eds G.E.M, (Oxford: Blackwell, 1968) p 243</w:t>
      </w:r>
    </w:p>
    <w:p w14:paraId="00000026" w14:textId="77777777" w:rsidR="00E92942" w:rsidRDefault="00E92942">
      <w:pPr>
        <w:jc w:val="center"/>
      </w:pPr>
    </w:p>
    <w:p w14:paraId="00000027" w14:textId="77777777" w:rsidR="00E92942" w:rsidRDefault="00E92942">
      <w:pPr>
        <w:jc w:val="center"/>
      </w:pPr>
    </w:p>
    <w:p w14:paraId="00000028" w14:textId="77777777" w:rsidR="00E92942" w:rsidRDefault="00E92942"/>
    <w:p w14:paraId="00000029" w14:textId="77777777" w:rsidR="00E92942" w:rsidRDefault="00E92942"/>
    <w:p w14:paraId="0000002A" w14:textId="77777777" w:rsidR="00E92942" w:rsidRDefault="00E92942"/>
    <w:sectPr w:rsidR="00E9294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3F71C9" w14:textId="77777777" w:rsidR="00000000" w:rsidRDefault="00031CCC">
      <w:pPr>
        <w:spacing w:line="240" w:lineRule="auto"/>
      </w:pPr>
      <w:r>
        <w:separator/>
      </w:r>
    </w:p>
  </w:endnote>
  <w:endnote w:type="continuationSeparator" w:id="0">
    <w:p w14:paraId="2DFF9BAA" w14:textId="77777777" w:rsidR="00000000" w:rsidRDefault="00031C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487686" w14:textId="77777777" w:rsidR="00000000" w:rsidRDefault="00031CCC">
      <w:pPr>
        <w:spacing w:line="240" w:lineRule="auto"/>
      </w:pPr>
      <w:r>
        <w:separator/>
      </w:r>
    </w:p>
  </w:footnote>
  <w:footnote w:type="continuationSeparator" w:id="0">
    <w:p w14:paraId="44A26B28" w14:textId="77777777" w:rsidR="00000000" w:rsidRDefault="00031CCC">
      <w:pPr>
        <w:spacing w:line="240" w:lineRule="auto"/>
      </w:pPr>
      <w:r>
        <w:continuationSeparator/>
      </w:r>
    </w:p>
  </w:footnote>
  <w:footnote w:id="1">
    <w:p w14:paraId="0000002B" w14:textId="77777777" w:rsidR="00E92942" w:rsidRDefault="00031CCC">
      <w:pPr>
        <w:spacing w:line="240" w:lineRule="auto"/>
        <w:rPr>
          <w:sz w:val="20"/>
          <w:szCs w:val="20"/>
        </w:rPr>
      </w:pPr>
      <w:r>
        <w:rPr>
          <w:vertAlign w:val="superscript"/>
        </w:rPr>
        <w:footnoteRef/>
      </w:r>
      <w:r>
        <w:rPr>
          <w:sz w:val="20"/>
          <w:szCs w:val="20"/>
        </w:rPr>
        <w:t xml:space="preserve"> Wittgenstein, Ludwig, </w:t>
      </w:r>
      <w:r>
        <w:rPr>
          <w:i/>
          <w:sz w:val="20"/>
          <w:szCs w:val="20"/>
        </w:rPr>
        <w:t xml:space="preserve">Philosophical Investigations, </w:t>
      </w:r>
      <w:r>
        <w:rPr>
          <w:sz w:val="20"/>
          <w:szCs w:val="20"/>
        </w:rPr>
        <w:t>eds G.E.M, (Oxford: Blackwell, 1968) p 243</w:t>
      </w:r>
    </w:p>
  </w:footnote>
  <w:footnote w:id="2">
    <w:p w14:paraId="0000002C" w14:textId="77777777" w:rsidR="00E92942" w:rsidRDefault="00031CCC">
      <w:pPr>
        <w:spacing w:line="240" w:lineRule="auto"/>
        <w:rPr>
          <w:sz w:val="20"/>
          <w:szCs w:val="20"/>
        </w:rPr>
      </w:pPr>
      <w:r>
        <w:rPr>
          <w:vertAlign w:val="superscript"/>
        </w:rPr>
        <w:footnoteRef/>
      </w:r>
      <w:r>
        <w:rPr>
          <w:sz w:val="20"/>
          <w:szCs w:val="20"/>
        </w:rPr>
        <w:t xml:space="preserve"> Goldstein, Irwin, </w:t>
      </w:r>
      <w:r>
        <w:rPr>
          <w:i/>
          <w:sz w:val="20"/>
          <w:szCs w:val="20"/>
        </w:rPr>
        <w:t xml:space="preserve">Ontology, Epistemology, and Private Ostensive Definition, </w:t>
      </w:r>
      <w:r>
        <w:rPr>
          <w:sz w:val="20"/>
          <w:szCs w:val="20"/>
        </w:rPr>
        <w:t>Philosophy and Phenomenological R</w:t>
      </w:r>
      <w:r>
        <w:rPr>
          <w:sz w:val="20"/>
          <w:szCs w:val="20"/>
        </w:rPr>
        <w:t>esearch, p137, Davidson College</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2942"/>
    <w:rsid w:val="00031CCC"/>
    <w:rsid w:val="00E92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CAC17"/>
  <w15:docId w15:val="{5B6D1779-F3BA-4B62-A5A5-6C8816FE1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4" ma:contentTypeDescription="Create a new document." ma:contentTypeScope="" ma:versionID="eda19315659f5d38db233389aefa00ef">
  <xsd:schema xmlns:xsd="http://www.w3.org/2001/XMLSchema" xmlns:xs="http://www.w3.org/2001/XMLSchema" xmlns:p="http://schemas.microsoft.com/office/2006/metadata/properties" xmlns:ns3="ada16477-4a9e-4f32-8a2f-23c8ffb0c900" targetNamespace="http://schemas.microsoft.com/office/2006/metadata/properties" ma:root="true" ma:fieldsID="726443853636746dd81eff02db59d716" ns3:_="">
    <xsd:import namespace="ada16477-4a9e-4f32-8a2f-23c8ffb0c90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E0A7DA-A484-4C55-B3E1-C6DC06CEFB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EF3340-C569-4983-8696-39826BFD65E1}">
  <ds:schemaRefs>
    <ds:schemaRef ds:uri="http://schemas.microsoft.com/sharepoint/v3/contenttype/forms"/>
  </ds:schemaRefs>
</ds:datastoreItem>
</file>

<file path=customXml/itemProps3.xml><?xml version="1.0" encoding="utf-8"?>
<ds:datastoreItem xmlns:ds="http://schemas.openxmlformats.org/officeDocument/2006/customXml" ds:itemID="{716974BB-A097-469A-A64F-ABBD01C47CE0}">
  <ds:schemaRefs>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ada16477-4a9e-4f32-8a2f-23c8ffb0c900"/>
    <ds:schemaRef ds:uri="http://purl.org/dc/elements/1.1/"/>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5A098087-DABB-414E-B357-9E62AA734F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2147</Words>
  <Characters>12243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Joseph Dyer (1804962)</dc:creator>
  <cp:lastModifiedBy>Joseph Dyer (1804962)</cp:lastModifiedBy>
  <cp:revision>2</cp:revision>
  <dcterms:created xsi:type="dcterms:W3CDTF">2020-03-15T23:43:00Z</dcterms:created>
  <dcterms:modified xsi:type="dcterms:W3CDTF">2020-03-15T23:43:00Z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