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0827" w:rsidRDefault="00F27843">
      <w:pPr>
        <w:spacing w:line="360" w:lineRule="auto"/>
        <w:jc w:val="center"/>
        <w:rPr>
          <w:b/>
          <w:bCs/>
          <w:sz w:val="32"/>
          <w:szCs w:val="32"/>
        </w:rPr>
      </w:pPr>
      <w:r>
        <w:rPr>
          <w:noProof/>
          <w:lang w:val="en-US" w:eastAsia="en-US"/>
        </w:rPr>
        <w:drawing>
          <wp:inline distT="0" distB="0" distL="0" distR="0">
            <wp:extent cx="5124659" cy="2140903"/>
            <wp:effectExtent l="0" t="0" r="0" b="0"/>
            <wp:docPr id="14" name="image2.png"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launches new digital healthcare  course - Digital Health and Care Wales"/>
                    <pic:cNvPicPr preferRelativeResize="0"/>
                  </pic:nvPicPr>
                  <pic:blipFill>
                    <a:blip r:embed="rId8"/>
                    <a:srcRect/>
                    <a:stretch>
                      <a:fillRect/>
                    </a:stretch>
                  </pic:blipFill>
                  <pic:spPr>
                    <a:xfrm>
                      <a:off x="0" y="0"/>
                      <a:ext cx="5124659" cy="2140903"/>
                    </a:xfrm>
                    <a:prstGeom prst="rect">
                      <a:avLst/>
                    </a:prstGeom>
                    <a:ln/>
                  </pic:spPr>
                </pic:pic>
              </a:graphicData>
            </a:graphic>
          </wp:inline>
        </w:drawing>
      </w:r>
    </w:p>
    <w:p w:rsidR="002A0827" w:rsidRDefault="002A0827">
      <w:pPr>
        <w:spacing w:line="360" w:lineRule="auto"/>
        <w:jc w:val="center"/>
        <w:rPr>
          <w:b/>
          <w:bCs/>
          <w:sz w:val="32"/>
          <w:szCs w:val="32"/>
        </w:rPr>
      </w:pPr>
    </w:p>
    <w:p w:rsidR="002A0827" w:rsidRDefault="002A0827">
      <w:pPr>
        <w:spacing w:line="360" w:lineRule="auto"/>
        <w:jc w:val="center"/>
        <w:rPr>
          <w:b/>
          <w:bCs/>
          <w:sz w:val="32"/>
          <w:szCs w:val="32"/>
        </w:rPr>
      </w:pPr>
    </w:p>
    <w:p w:rsidR="002A0827" w:rsidRDefault="002A0827">
      <w:pPr>
        <w:spacing w:line="360" w:lineRule="auto"/>
        <w:rPr>
          <w:b/>
          <w:bCs/>
          <w:sz w:val="32"/>
          <w:szCs w:val="32"/>
        </w:rPr>
      </w:pPr>
    </w:p>
    <w:p w:rsidR="002A0827" w:rsidRDefault="00F27843">
      <w:pPr>
        <w:spacing w:line="360" w:lineRule="auto"/>
        <w:jc w:val="center"/>
        <w:rPr>
          <w:b/>
          <w:bCs/>
          <w:sz w:val="32"/>
          <w:szCs w:val="32"/>
        </w:rPr>
      </w:pPr>
      <w:r>
        <w:rPr>
          <w:b/>
          <w:bCs/>
          <w:sz w:val="32"/>
          <w:szCs w:val="32"/>
        </w:rPr>
        <w:t>PROGRAMME: BA (HONS) LEADERSHIP AND MANAGEMENT SKILLS FOR THE WORKPLACE</w:t>
      </w:r>
    </w:p>
    <w:p w:rsidR="002A0827" w:rsidRDefault="00F27843">
      <w:pPr>
        <w:spacing w:line="360" w:lineRule="auto"/>
        <w:jc w:val="center"/>
        <w:rPr>
          <w:b/>
          <w:bCs/>
          <w:sz w:val="32"/>
          <w:szCs w:val="32"/>
        </w:rPr>
      </w:pPr>
      <w:r>
        <w:rPr>
          <w:b/>
          <w:bCs/>
          <w:sz w:val="32"/>
          <w:szCs w:val="32"/>
        </w:rPr>
        <w:t>MODULE: UNDERSTANDING AND ENGAGING STAKEHOLDERS</w:t>
      </w:r>
    </w:p>
    <w:p w:rsidR="002A0827" w:rsidRDefault="00F27843">
      <w:pPr>
        <w:spacing w:line="360" w:lineRule="auto"/>
        <w:jc w:val="center"/>
        <w:rPr>
          <w:b/>
          <w:bCs/>
          <w:sz w:val="32"/>
          <w:szCs w:val="32"/>
        </w:rPr>
      </w:pPr>
      <w:r>
        <w:rPr>
          <w:b/>
          <w:bCs/>
          <w:sz w:val="32"/>
          <w:szCs w:val="32"/>
        </w:rPr>
        <w:t xml:space="preserve">MODULE CODE: LCLM5001 </w:t>
      </w:r>
    </w:p>
    <w:p w:rsidR="002A0827" w:rsidRDefault="00F27843">
      <w:pPr>
        <w:spacing w:line="360" w:lineRule="auto"/>
        <w:jc w:val="center"/>
        <w:rPr>
          <w:b/>
          <w:bCs/>
          <w:sz w:val="32"/>
          <w:szCs w:val="32"/>
        </w:rPr>
      </w:pPr>
      <w:r>
        <w:rPr>
          <w:b/>
          <w:bCs/>
          <w:sz w:val="32"/>
          <w:szCs w:val="32"/>
        </w:rPr>
        <w:t>ASSIGNMENT TITLE: UNDERSTANDING THE IMPORTANCE OF STAKEHOLDER ENGAGEMENT IN SUCCESSFUL COMMENCEMENT AND COMPLETION OF PROJECT.</w:t>
      </w:r>
      <w:r>
        <w:rPr>
          <w:b/>
          <w:bCs/>
          <w:sz w:val="32"/>
          <w:szCs w:val="32"/>
        </w:rPr>
        <w:br/>
      </w:r>
      <w:r>
        <w:rPr>
          <w:b/>
          <w:bCs/>
          <w:sz w:val="32"/>
          <w:szCs w:val="32"/>
        </w:rPr>
        <w:br/>
      </w:r>
      <w:r>
        <w:rPr>
          <w:b/>
          <w:bCs/>
          <w:sz w:val="32"/>
          <w:szCs w:val="32"/>
        </w:rPr>
        <w:br/>
        <w:t>STUDEN NAME: DAVID DUMITRU</w:t>
      </w:r>
      <w:r>
        <w:rPr>
          <w:b/>
          <w:bCs/>
          <w:sz w:val="32"/>
          <w:szCs w:val="32"/>
        </w:rPr>
        <w:br/>
        <w:t>STUDENT ID: 2324110</w:t>
      </w:r>
    </w:p>
    <w:p w:rsidR="002A0827" w:rsidRDefault="00F27843">
      <w:pPr>
        <w:spacing w:line="360" w:lineRule="auto"/>
        <w:rPr>
          <w:b/>
          <w:bCs/>
        </w:rPr>
      </w:pPr>
      <w:r>
        <w:br w:type="page"/>
      </w:r>
    </w:p>
    <w:p w:rsidR="002A0827" w:rsidRDefault="00F27843">
      <w:pPr>
        <w:spacing w:line="360" w:lineRule="auto"/>
        <w:jc w:val="center"/>
        <w:rPr>
          <w:b/>
          <w:bCs/>
        </w:rPr>
      </w:pPr>
      <w:r>
        <w:rPr>
          <w:b/>
          <w:bCs/>
        </w:rPr>
        <w:lastRenderedPageBreak/>
        <w:t xml:space="preserve">Executive summary </w:t>
      </w:r>
    </w:p>
    <w:p w:rsidR="002A0827" w:rsidRDefault="00F27843">
      <w:pPr>
        <w:pBdr>
          <w:top w:val="nil"/>
          <w:left w:val="nil"/>
          <w:bottom w:val="nil"/>
          <w:right w:val="nil"/>
          <w:between w:val="nil"/>
        </w:pBdr>
        <w:spacing w:line="360" w:lineRule="auto"/>
        <w:rPr>
          <w:color w:val="000000"/>
        </w:rPr>
      </w:pPr>
      <w:r>
        <w:rPr>
          <w:color w:val="000000"/>
        </w:rPr>
        <w:t>This report has focused on the purpose of explaining the responsibility of engaging stakeholders with beneficial measures and keeping them satisfied throughout the new project of “Smith+Nephew”, a leading healthcare device organisation. The key internal and external stakeholders in “Smith+Nephew” comprise employees, management and senior leadership and patients, investors, government and suppliers respectively. As internal stakeholder, Rebecca Hales as the lead in innovation and compliance, while Deepak Nath in-charge of general strategy and approvals. Susie Smith is overseeing regional distribution and client feedback, while Tom Smith approved marketing strategy. As external stakeholders, JPMorgan Chase has limited involvement with financial support, and NHS Trusts’s feedback on the device being aligned with MHRA compliance. The key stakeholders are engaged and conflicts are resolved through the usage of the 4C’s model, proposing actionable steps to be adopted to mitigate such issues.</w:t>
      </w:r>
    </w:p>
    <w:p w:rsidR="002A0827" w:rsidRDefault="002A0827">
      <w:pPr>
        <w:spacing w:line="360" w:lineRule="auto"/>
        <w:rPr>
          <w:b/>
          <w:bCs/>
        </w:rPr>
      </w:pPr>
    </w:p>
    <w:p w:rsidR="002A0827" w:rsidRDefault="00F27843">
      <w:pPr>
        <w:spacing w:line="360" w:lineRule="auto"/>
        <w:rPr>
          <w:b/>
          <w:bCs/>
        </w:rPr>
      </w:pPr>
      <w:r>
        <w:br w:type="page"/>
      </w:r>
    </w:p>
    <w:p w:rsidR="002A0827" w:rsidRDefault="00F27843">
      <w:pPr>
        <w:keepNext/>
        <w:keepLines/>
        <w:pBdr>
          <w:top w:val="nil"/>
          <w:left w:val="nil"/>
          <w:bottom w:val="nil"/>
          <w:right w:val="nil"/>
          <w:between w:val="nil"/>
        </w:pBdr>
        <w:spacing w:before="240" w:line="360" w:lineRule="auto"/>
        <w:jc w:val="center"/>
        <w:rPr>
          <w:color w:val="000000"/>
        </w:rPr>
      </w:pPr>
      <w:r>
        <w:rPr>
          <w:b/>
          <w:bCs/>
          <w:color w:val="000000"/>
        </w:rPr>
        <w:lastRenderedPageBreak/>
        <w:t>Table of Contents</w:t>
      </w:r>
    </w:p>
    <w:sdt>
      <w:sdtPr>
        <w:id w:val="-574194786"/>
        <w:docPartObj>
          <w:docPartGallery w:val="Table of Contents"/>
          <w:docPartUnique/>
        </w:docPartObj>
      </w:sdtPr>
      <w:sdtContent>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r>
            <w:fldChar w:fldCharType="begin"/>
          </w:r>
          <w:r w:rsidR="00F27843">
            <w:instrText xml:space="preserve"> TOC \h \u \z \t "Heading 1,1,Heading 2,2,Heading 3,3,"</w:instrText>
          </w:r>
          <w:r>
            <w:fldChar w:fldCharType="separate"/>
          </w:r>
          <w:hyperlink w:anchor="_heading=h.r9yo3985vscm">
            <w:r w:rsidR="00F27843">
              <w:rPr>
                <w:color w:val="000000"/>
              </w:rPr>
              <w:t>Introduction</w:t>
            </w:r>
            <w:r w:rsidR="00F27843">
              <w:rPr>
                <w:color w:val="000000"/>
              </w:rPr>
              <w:tab/>
              <w:t>3</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ma2qyyk60hwa">
            <w:r w:rsidR="00F27843">
              <w:rPr>
                <w:color w:val="000000"/>
              </w:rPr>
              <w:t>Background introduction of Smith+Nephew</w:t>
            </w:r>
            <w:r w:rsidR="00F27843">
              <w:rPr>
                <w:color w:val="000000"/>
              </w:rPr>
              <w:tab/>
              <w:t>3</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eusl6bys4cly">
            <w:r w:rsidR="00F27843">
              <w:rPr>
                <w:color w:val="000000"/>
              </w:rPr>
              <w:t>An appraisal of the company with the application of a strategic planning tool</w:t>
            </w:r>
            <w:r w:rsidR="00F27843">
              <w:rPr>
                <w:color w:val="000000"/>
              </w:rPr>
              <w:tab/>
              <w:t>4</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fm0od5sumiop">
            <w:r w:rsidR="00F27843">
              <w:rPr>
                <w:color w:val="000000"/>
              </w:rPr>
              <w:t>Organisational appraisal of Smith+Nephew by applying SWOT analysis</w:t>
            </w:r>
            <w:r w:rsidR="00F27843">
              <w:rPr>
                <w:color w:val="000000"/>
              </w:rPr>
              <w:tab/>
              <w:t>4</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3naipfopuonk">
            <w:r w:rsidR="00F27843">
              <w:rPr>
                <w:color w:val="000000"/>
              </w:rPr>
              <w:t>Organisational appraisal of Smith+Nephew by applying PESTLE analysis</w:t>
            </w:r>
            <w:r w:rsidR="00F27843">
              <w:rPr>
                <w:color w:val="000000"/>
              </w:rPr>
              <w:tab/>
              <w:t>5</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pj6gbmrkucr2">
            <w:r w:rsidR="00F27843">
              <w:rPr>
                <w:color w:val="000000"/>
              </w:rPr>
              <w:t>Key internal and external stakeholders in Smith+Nephew</w:t>
            </w:r>
            <w:r w:rsidR="00F27843">
              <w:rPr>
                <w:color w:val="000000"/>
              </w:rPr>
              <w:tab/>
              <w:t>8</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m0qtcmx8aayt">
            <w:r w:rsidR="00F27843">
              <w:rPr>
                <w:color w:val="000000"/>
              </w:rPr>
              <w:t>Roles, responsibilities, challenges and benefits of the key stakeholders</w:t>
            </w:r>
            <w:r w:rsidR="00F27843">
              <w:rPr>
                <w:color w:val="000000"/>
              </w:rPr>
              <w:tab/>
              <w:t>10</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xsi8dv6jdxbn">
            <w:r w:rsidR="00F27843">
              <w:rPr>
                <w:color w:val="000000"/>
              </w:rPr>
              <w:t>Roles and responsibilities of key internal stakeholders</w:t>
            </w:r>
            <w:r w:rsidR="00F27843">
              <w:rPr>
                <w:color w:val="000000"/>
              </w:rPr>
              <w:tab/>
              <w:t>10</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nd32pmgccjsk">
            <w:r w:rsidR="00F27843">
              <w:rPr>
                <w:color w:val="000000"/>
              </w:rPr>
              <w:t>Benefits and Challenges faced by internal stakeholders</w:t>
            </w:r>
            <w:r w:rsidR="00F27843">
              <w:rPr>
                <w:color w:val="000000"/>
              </w:rPr>
              <w:tab/>
              <w:t>11</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xs7u3r28dtdd">
            <w:r w:rsidR="00F27843">
              <w:rPr>
                <w:color w:val="000000"/>
              </w:rPr>
              <w:t>Roles and responsibilities of external stakeholders</w:t>
            </w:r>
            <w:r w:rsidR="00F27843">
              <w:rPr>
                <w:color w:val="000000"/>
              </w:rPr>
              <w:tab/>
              <w:t>11</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rn5c6ecgdc67">
            <w:r w:rsidR="00F27843">
              <w:rPr>
                <w:color w:val="000000"/>
              </w:rPr>
              <w:t>Benefits and Challenges faced by external stakeholders</w:t>
            </w:r>
            <w:r w:rsidR="00F27843">
              <w:rPr>
                <w:color w:val="000000"/>
              </w:rPr>
              <w:tab/>
              <w:t>11</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wtk3h51nja2o">
            <w:r w:rsidR="00F27843">
              <w:rPr>
                <w:color w:val="000000"/>
              </w:rPr>
              <w:t>Application of theories and frameworks on the stakeholders</w:t>
            </w:r>
            <w:r w:rsidR="00F27843">
              <w:rPr>
                <w:color w:val="000000"/>
              </w:rPr>
              <w:tab/>
              <w:t>12</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o597euwiv9wr">
            <w:r w:rsidR="00F27843">
              <w:rPr>
                <w:color w:val="000000"/>
              </w:rPr>
              <w:t>Mendelow’s Stakeholder Matrix</w:t>
            </w:r>
            <w:r w:rsidR="00F27843">
              <w:rPr>
                <w:color w:val="000000"/>
              </w:rPr>
              <w:tab/>
              <w:t>12</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son15obxp4tv">
            <w:r w:rsidR="00F27843">
              <w:rPr>
                <w:color w:val="000000"/>
              </w:rPr>
              <w:t>Strategic Engagement Plan for stakeholders</w:t>
            </w:r>
            <w:r w:rsidR="00F27843">
              <w:rPr>
                <w:color w:val="000000"/>
              </w:rPr>
              <w:tab/>
              <w:t>12</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iwxfji751egu">
            <w:r w:rsidR="00F27843">
              <w:rPr>
                <w:color w:val="000000"/>
              </w:rPr>
              <w:t>Project Timeline</w:t>
            </w:r>
            <w:r w:rsidR="00F27843">
              <w:rPr>
                <w:color w:val="000000"/>
              </w:rPr>
              <w:tab/>
              <w:t>14</w:t>
            </w:r>
          </w:hyperlink>
        </w:p>
        <w:p w:rsidR="002A0827" w:rsidRDefault="00CD77B3">
          <w:pPr>
            <w:pBdr>
              <w:top w:val="nil"/>
              <w:left w:val="nil"/>
              <w:bottom w:val="nil"/>
              <w:right w:val="nil"/>
              <w:between w:val="nil"/>
            </w:pBdr>
            <w:tabs>
              <w:tab w:val="right" w:leader="dot" w:pos="9019"/>
            </w:tabs>
            <w:spacing w:after="100" w:line="360" w:lineRule="auto"/>
            <w:ind w:left="240"/>
            <w:rPr>
              <w:rFonts w:ascii="Cambria" w:eastAsia="Cambria" w:hAnsi="Cambria" w:cs="Cambria"/>
              <w:color w:val="000000"/>
            </w:rPr>
          </w:pPr>
          <w:hyperlink w:anchor="_heading=h.q86wi5a97jg1">
            <w:r w:rsidR="00F27843">
              <w:rPr>
                <w:color w:val="000000"/>
              </w:rPr>
              <w:t>RACI Framework for the key stakeholders of Smith &amp; Nephew</w:t>
            </w:r>
            <w:r w:rsidR="00F27843">
              <w:rPr>
                <w:color w:val="000000"/>
              </w:rPr>
              <w:tab/>
              <w:t>15</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igtr5x7ptlb2">
            <w:r w:rsidR="00F27843">
              <w:rPr>
                <w:color w:val="000000"/>
              </w:rPr>
              <w:t>Engaging the key stakeholders using the 4C’s model</w:t>
            </w:r>
            <w:r w:rsidR="00F27843">
              <w:rPr>
                <w:color w:val="000000"/>
              </w:rPr>
              <w:tab/>
              <w:t>16</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wchopupad3zw">
            <w:r w:rsidR="00F27843">
              <w:rPr>
                <w:color w:val="000000"/>
              </w:rPr>
              <w:t>Evaluate the impact of stakeholders’ engagement on the business performance and provide recommendations for future</w:t>
            </w:r>
            <w:r w:rsidR="00F27843">
              <w:rPr>
                <w:color w:val="000000"/>
              </w:rPr>
              <w:tab/>
              <w:t>20</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g93ioyjfa7ik">
            <w:r w:rsidR="00F27843">
              <w:rPr>
                <w:color w:val="000000"/>
              </w:rPr>
              <w:t>Conclusion</w:t>
            </w:r>
            <w:r w:rsidR="00F27843">
              <w:rPr>
                <w:color w:val="000000"/>
              </w:rPr>
              <w:tab/>
              <w:t>23</w:t>
            </w:r>
          </w:hyperlink>
        </w:p>
        <w:p w:rsidR="002A0827" w:rsidRDefault="00CD77B3">
          <w:pPr>
            <w:pBdr>
              <w:top w:val="nil"/>
              <w:left w:val="nil"/>
              <w:bottom w:val="nil"/>
              <w:right w:val="nil"/>
              <w:between w:val="nil"/>
            </w:pBdr>
            <w:tabs>
              <w:tab w:val="right" w:leader="dot" w:pos="9019"/>
            </w:tabs>
            <w:spacing w:after="100" w:line="360" w:lineRule="auto"/>
            <w:rPr>
              <w:rFonts w:ascii="Cambria" w:eastAsia="Cambria" w:hAnsi="Cambria" w:cs="Cambria"/>
              <w:color w:val="000000"/>
            </w:rPr>
          </w:pPr>
          <w:hyperlink w:anchor="_heading=h.ef32dxsk9fhk">
            <w:r w:rsidR="00F27843">
              <w:rPr>
                <w:color w:val="000000"/>
              </w:rPr>
              <w:t>References</w:t>
            </w:r>
            <w:r w:rsidR="00F27843">
              <w:rPr>
                <w:color w:val="000000"/>
              </w:rPr>
              <w:tab/>
              <w:t>25</w:t>
            </w:r>
          </w:hyperlink>
        </w:p>
        <w:p w:rsidR="002A0827" w:rsidRDefault="00CD77B3">
          <w:pPr>
            <w:widowControl w:val="0"/>
            <w:tabs>
              <w:tab w:val="right" w:pos="12000"/>
            </w:tabs>
            <w:spacing w:before="60" w:line="360" w:lineRule="auto"/>
            <w:jc w:val="left"/>
            <w:rPr>
              <w:color w:val="000000"/>
            </w:rPr>
          </w:pPr>
          <w:r>
            <w:fldChar w:fldCharType="end"/>
          </w:r>
        </w:p>
      </w:sdtContent>
    </w:sdt>
    <w:p w:rsidR="002A0827" w:rsidRDefault="00F27843">
      <w:pPr>
        <w:spacing w:line="360" w:lineRule="auto"/>
      </w:pPr>
      <w:r>
        <w:br w:type="page"/>
      </w:r>
    </w:p>
    <w:p w:rsidR="002A0827" w:rsidRDefault="00F27843">
      <w:pPr>
        <w:pStyle w:val="Heading1"/>
      </w:pPr>
      <w:bookmarkStart w:id="0" w:name="_heading=h.r9yo3985vscm" w:colFirst="0" w:colLast="0"/>
      <w:bookmarkEnd w:id="0"/>
      <w:r>
        <w:lastRenderedPageBreak/>
        <w:t>Introduction</w:t>
      </w:r>
    </w:p>
    <w:p w:rsidR="002A0827" w:rsidRDefault="00F27843">
      <w:pPr>
        <w:spacing w:line="360" w:lineRule="auto"/>
      </w:pPr>
      <w:r>
        <w:t xml:space="preserve">“Understanding and engaging stakeholders” refers to the proactive identification and assessment of key groups or individuals with an evidently vested interest within the organization. This stakeholder engagement plays an important role in an effective commencement and successful completion of organisational projects like a new product launch. In this context, this academic report aims to validate the responsibility of engaging stakeholders with beneficial measures and keeping them satisfied throughout the new project of </w:t>
      </w:r>
      <w:r>
        <w:rPr>
          <w:b/>
          <w:bCs/>
          <w:i/>
          <w:iCs/>
        </w:rPr>
        <w:t>“Smith+Nephew”</w:t>
      </w:r>
      <w:r>
        <w:t xml:space="preserve">, a leading healthcare device organisation. Mainly, the project is about the launch of a new wearable device in 6 months that can track heart rate, oxygen level and sleep cycles. Thus, the report is going to explore the importance of stakeholder engagement within the assumed project paradigm of “Smith+Nephew” by using a range of “stakeholder engagement” mechanisms.       </w:t>
      </w:r>
    </w:p>
    <w:p w:rsidR="002A0827" w:rsidRDefault="00F27843">
      <w:pPr>
        <w:pStyle w:val="Heading1"/>
      </w:pPr>
      <w:bookmarkStart w:id="1" w:name="_heading=h.ma2qyyk60hwa" w:colFirst="0" w:colLast="0"/>
      <w:bookmarkEnd w:id="1"/>
      <w:r>
        <w:t>Background introduction of Smith+Nephew</w:t>
      </w:r>
    </w:p>
    <w:p w:rsidR="002A0827" w:rsidRDefault="00F27843">
      <w:pPr>
        <w:spacing w:line="360" w:lineRule="auto"/>
      </w:pPr>
      <w:r>
        <w:t xml:space="preserve">Smith+Nephew is a renowned and global healthcare device along with medical equipment manufacturing organisation, headquartered in the UK. For instance, “Smith+Nephew” offers a range of healthcare devices and medical equipment within key specified areas like “orthopedics”, “Sports Medicine”, “ENT” and “advanced wound management” (Smith-nephew, 2025). This diversity in the business units constitutes a global organisational landscape and scale for this organisation with notable financial outlook. </w:t>
      </w:r>
    </w:p>
    <w:p w:rsidR="002A0827" w:rsidRDefault="00F27843">
      <w:pPr>
        <w:spacing w:line="360" w:lineRule="auto"/>
        <w:jc w:val="center"/>
      </w:pPr>
      <w:r>
        <w:rPr>
          <w:noProof/>
          <w:lang w:val="en-US" w:eastAsia="en-US"/>
        </w:rPr>
        <w:drawing>
          <wp:inline distT="114300" distB="114300" distL="114300" distR="114300">
            <wp:extent cx="4722856" cy="3014216"/>
            <wp:effectExtent l="12700" t="12700" r="12700" b="127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22856" cy="3014216"/>
                    </a:xfrm>
                    <a:prstGeom prst="rect">
                      <a:avLst/>
                    </a:prstGeom>
                    <a:ln w="12700">
                      <a:solidFill>
                        <a:srgbClr val="000000"/>
                      </a:solidFill>
                      <a:prstDash val="solid"/>
                    </a:ln>
                  </pic:spPr>
                </pic:pic>
              </a:graphicData>
            </a:graphic>
          </wp:inline>
        </w:drawing>
      </w:r>
    </w:p>
    <w:p w:rsidR="002A0827" w:rsidRDefault="00F27843">
      <w:pPr>
        <w:spacing w:line="360" w:lineRule="auto"/>
        <w:jc w:val="center"/>
        <w:rPr>
          <w:b/>
          <w:bCs/>
        </w:rPr>
      </w:pPr>
      <w:r>
        <w:rPr>
          <w:b/>
          <w:bCs/>
        </w:rPr>
        <w:t>Figure 1: Operating profit of Smith+Nephew as of FY2024</w:t>
      </w:r>
    </w:p>
    <w:p w:rsidR="002A0827" w:rsidRDefault="00F27843">
      <w:pPr>
        <w:spacing w:line="360" w:lineRule="auto"/>
        <w:jc w:val="center"/>
      </w:pPr>
      <w:r>
        <w:t>(Source: Statista, 2024)</w:t>
      </w:r>
    </w:p>
    <w:p w:rsidR="002A0827" w:rsidRDefault="00F27843">
      <w:pPr>
        <w:spacing w:line="360" w:lineRule="auto"/>
      </w:pPr>
      <w:r>
        <w:lastRenderedPageBreak/>
        <w:t>The above figure presents the growing dynamics of operating profit of Smith+Nephew. For instance, as of FY2024, “Smith+Nephew” has generated 503 million GBP ($657 million) of operating profit (Statista, 2024). Globally, this organisation has gained extensive stakeholder collaboration by employing a large number of people and scopes for growth. “Smith+Nephew” has employed more than 17,000 employees by supporting healthcare across 100+ countries and it has strong focus within the regions like US, EU, China, Latin America, Africa and Middle East (Weforum, 2025). Collectively, this organisation manages its global operations by leveraging a substantial stakeholder engagement and collaboration. Therefore, “Smith+Nephew” incorporates a strategic formation of stakeholder engagement and shareholder coordination with comprehensive corporate governance.</w:t>
      </w:r>
    </w:p>
    <w:p w:rsidR="002A0827" w:rsidRDefault="00F27843">
      <w:pPr>
        <w:pStyle w:val="Heading1"/>
        <w:spacing w:after="200"/>
      </w:pPr>
      <w:bookmarkStart w:id="2" w:name="_heading=h.eusl6bys4cly" w:colFirst="0" w:colLast="0"/>
      <w:bookmarkEnd w:id="2"/>
      <w:r>
        <w:t>An appraisal of the company with the application of a strategic planning tool</w:t>
      </w:r>
    </w:p>
    <w:p w:rsidR="002A0827" w:rsidRDefault="00F27843">
      <w:pPr>
        <w:pStyle w:val="Heading2"/>
      </w:pPr>
      <w:bookmarkStart w:id="3" w:name="_heading=h.fm0od5sumiop" w:colFirst="0" w:colLast="0"/>
      <w:bookmarkEnd w:id="3"/>
      <w:r>
        <w:t>Organisational appraisal of Smith+Nephew by applying SWOT analysis</w:t>
      </w:r>
    </w:p>
    <w:tbl>
      <w:tblPr>
        <w:tblStyle w:val="a5"/>
        <w:tblW w:w="96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815"/>
        <w:gridCol w:w="4845"/>
      </w:tblGrid>
      <w:tr w:rsidR="002A0827" w:rsidTr="003A0FBD">
        <w:trPr>
          <w:jc w:val="center"/>
        </w:trPr>
        <w:tc>
          <w:tcPr>
            <w:tcW w:w="4815" w:type="dxa"/>
            <w:shd w:val="clear" w:color="auto" w:fill="C2D69B" w:themeFill="accent3" w:themeFillTint="99"/>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rPr>
            </w:pPr>
            <w:r>
              <w:rPr>
                <w:b/>
                <w:bCs/>
              </w:rPr>
              <w:t>Strengths</w:t>
            </w:r>
          </w:p>
          <w:p w:rsidR="002A0827" w:rsidRDefault="00F27843">
            <w:pPr>
              <w:widowControl w:val="0"/>
              <w:numPr>
                <w:ilvl w:val="0"/>
                <w:numId w:val="12"/>
              </w:numPr>
              <w:pBdr>
                <w:top w:val="nil"/>
                <w:left w:val="nil"/>
                <w:bottom w:val="nil"/>
                <w:right w:val="nil"/>
                <w:between w:val="nil"/>
              </w:pBdr>
              <w:spacing w:line="360" w:lineRule="auto"/>
            </w:pPr>
            <w:r>
              <w:t xml:space="preserve">Strong and competitive position of Smith+Nephew across the segments like orthopaedics, sports and wound management is a potential strength. </w:t>
            </w:r>
          </w:p>
          <w:p w:rsidR="002A0827" w:rsidRDefault="00F27843">
            <w:pPr>
              <w:widowControl w:val="0"/>
              <w:numPr>
                <w:ilvl w:val="0"/>
                <w:numId w:val="12"/>
              </w:numPr>
              <w:spacing w:line="360" w:lineRule="auto"/>
            </w:pPr>
            <w:r>
              <w:t xml:space="preserve">Smith+Nephew has also secured 5.3% revenue growth as of FY2024, indicating a consistent financial performance (Smith-nephew, 2025). </w:t>
            </w:r>
          </w:p>
        </w:tc>
        <w:tc>
          <w:tcPr>
            <w:tcW w:w="4845" w:type="dxa"/>
            <w:shd w:val="clear" w:color="auto" w:fill="C2D69B" w:themeFill="accent3" w:themeFillTint="99"/>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rPr>
            </w:pPr>
            <w:r>
              <w:rPr>
                <w:b/>
                <w:bCs/>
              </w:rPr>
              <w:t>Weaknesses</w:t>
            </w:r>
          </w:p>
          <w:p w:rsidR="002A0827" w:rsidRDefault="00F27843">
            <w:pPr>
              <w:widowControl w:val="0"/>
              <w:numPr>
                <w:ilvl w:val="0"/>
                <w:numId w:val="13"/>
              </w:numPr>
              <w:pBdr>
                <w:top w:val="nil"/>
                <w:left w:val="nil"/>
                <w:bottom w:val="nil"/>
                <w:right w:val="nil"/>
                <w:between w:val="nil"/>
              </w:pBdr>
              <w:spacing w:line="360" w:lineRule="auto"/>
            </w:pPr>
            <w:r>
              <w:t>Smith+Nephew has been facing operational difficulties due to the assembling challenges and reprocessing of orthopedic instruments (Wang, 2023).</w:t>
            </w:r>
          </w:p>
          <w:p w:rsidR="002A0827" w:rsidRDefault="00F27843">
            <w:pPr>
              <w:widowControl w:val="0"/>
              <w:numPr>
                <w:ilvl w:val="0"/>
                <w:numId w:val="13"/>
              </w:numPr>
              <w:pBdr>
                <w:top w:val="nil"/>
                <w:left w:val="nil"/>
                <w:bottom w:val="nil"/>
                <w:right w:val="nil"/>
                <w:between w:val="nil"/>
              </w:pBdr>
              <w:spacing w:line="360" w:lineRule="auto"/>
            </w:pPr>
            <w:r>
              <w:t>Smith+Nephew faces challenges in China, where regulatory and market dynamics hinder growth, reflecting vulnerability to regional economic and policy shifts (Reuters, 2025).</w:t>
            </w:r>
          </w:p>
        </w:tc>
      </w:tr>
      <w:tr w:rsidR="002A0827" w:rsidTr="003A0FBD">
        <w:trPr>
          <w:jc w:val="center"/>
        </w:trPr>
        <w:tc>
          <w:tcPr>
            <w:tcW w:w="4815" w:type="dxa"/>
            <w:shd w:val="clear" w:color="auto" w:fill="C2D69B" w:themeFill="accent3" w:themeFillTint="99"/>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rPr>
            </w:pPr>
            <w:r>
              <w:rPr>
                <w:b/>
                <w:bCs/>
              </w:rPr>
              <w:t xml:space="preserve">Opportunities </w:t>
            </w:r>
          </w:p>
          <w:p w:rsidR="002A0827" w:rsidRDefault="00F27843">
            <w:pPr>
              <w:numPr>
                <w:ilvl w:val="0"/>
                <w:numId w:val="17"/>
              </w:numPr>
              <w:spacing w:before="240" w:line="360" w:lineRule="auto"/>
              <w:rPr>
                <w:b/>
                <w:bCs/>
              </w:rPr>
            </w:pPr>
            <w:r>
              <w:t>Aging populations and more surgeries in orthopaedics and sports medicine drive significant growth.</w:t>
            </w:r>
          </w:p>
          <w:p w:rsidR="002A0827" w:rsidRDefault="00F27843">
            <w:pPr>
              <w:numPr>
                <w:ilvl w:val="0"/>
                <w:numId w:val="17"/>
              </w:numPr>
              <w:spacing w:before="240" w:line="360" w:lineRule="auto"/>
              <w:rPr>
                <w:b/>
                <w:bCs/>
              </w:rPr>
            </w:pPr>
            <w:r>
              <w:t>Smith+Nephew's growing healthcare spending and low market penetration in Asia and Latin America offer expansion potential.</w:t>
            </w:r>
          </w:p>
        </w:tc>
        <w:tc>
          <w:tcPr>
            <w:tcW w:w="4845" w:type="dxa"/>
            <w:shd w:val="clear" w:color="auto" w:fill="C2D69B" w:themeFill="accent3" w:themeFillTint="99"/>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rPr>
            </w:pPr>
            <w:r>
              <w:rPr>
                <w:b/>
                <w:bCs/>
              </w:rPr>
              <w:t xml:space="preserve">Threats </w:t>
            </w:r>
          </w:p>
          <w:p w:rsidR="002A0827" w:rsidRDefault="00F27843">
            <w:pPr>
              <w:numPr>
                <w:ilvl w:val="0"/>
                <w:numId w:val="3"/>
              </w:numPr>
              <w:spacing w:before="240" w:line="360" w:lineRule="auto"/>
              <w:rPr>
                <w:b/>
                <w:bCs/>
              </w:rPr>
            </w:pPr>
            <w:r>
              <w:t>Volume-based procurement policies and regulatory changes in China are reducing product margins and growth potential.</w:t>
            </w:r>
          </w:p>
          <w:p w:rsidR="002A0827" w:rsidRDefault="00F27843">
            <w:pPr>
              <w:numPr>
                <w:ilvl w:val="0"/>
                <w:numId w:val="3"/>
              </w:numPr>
              <w:spacing w:before="240" w:line="360" w:lineRule="auto"/>
              <w:rPr>
                <w:b/>
                <w:bCs/>
              </w:rPr>
            </w:pPr>
            <w:r>
              <w:t xml:space="preserve">Economic uncertainties, supply chain disruptions, and U.S.-China trade tensions pose risks to </w:t>
            </w:r>
            <w:r>
              <w:lastRenderedPageBreak/>
              <w:t>Smith+Nephew’sperformance (Reuters, 2025).</w:t>
            </w:r>
          </w:p>
        </w:tc>
      </w:tr>
    </w:tbl>
    <w:p w:rsidR="002A0827" w:rsidRDefault="00F27843">
      <w:pPr>
        <w:spacing w:line="360" w:lineRule="auto"/>
        <w:jc w:val="center"/>
        <w:rPr>
          <w:b/>
          <w:bCs/>
        </w:rPr>
      </w:pPr>
      <w:r>
        <w:rPr>
          <w:b/>
          <w:bCs/>
        </w:rPr>
        <w:lastRenderedPageBreak/>
        <w:t>Table 1: SWOT analysis for the appraisal of Smith+Nephew</w:t>
      </w:r>
    </w:p>
    <w:p w:rsidR="002A0827" w:rsidRDefault="00F27843">
      <w:pPr>
        <w:spacing w:line="360" w:lineRule="auto"/>
        <w:jc w:val="center"/>
      </w:pPr>
      <w:r>
        <w:t>(Source: Developed by author)</w:t>
      </w:r>
    </w:p>
    <w:p w:rsidR="002A0827" w:rsidRDefault="00F27843">
      <w:pPr>
        <w:pStyle w:val="Heading2"/>
      </w:pPr>
      <w:bookmarkStart w:id="4" w:name="_heading=h.3naipfopuonk" w:colFirst="0" w:colLast="0"/>
      <w:bookmarkEnd w:id="4"/>
      <w:r>
        <w:t>Organisational appraisal of Smith+Nephew by applying PESTLE analysis</w:t>
      </w:r>
    </w:p>
    <w:tbl>
      <w:tblPr>
        <w:tblStyle w:val="a6"/>
        <w:tblW w:w="8775" w:type="dxa"/>
        <w:tblBorders>
          <w:top w:val="nil"/>
          <w:left w:val="nil"/>
          <w:bottom w:val="nil"/>
          <w:right w:val="nil"/>
          <w:insideH w:val="nil"/>
          <w:insideV w:val="nil"/>
        </w:tblBorders>
        <w:tblLayout w:type="fixed"/>
        <w:tblLook w:val="0600"/>
      </w:tblPr>
      <w:tblGrid>
        <w:gridCol w:w="1365"/>
        <w:gridCol w:w="4230"/>
        <w:gridCol w:w="3180"/>
      </w:tblGrid>
      <w:tr w:rsidR="002A0827" w:rsidTr="006B4BD0">
        <w:trPr>
          <w:trHeight w:val="500"/>
        </w:trPr>
        <w:tc>
          <w:tcPr>
            <w:tcW w:w="1365" w:type="dxa"/>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tcPr>
          <w:p w:rsidR="002A0827" w:rsidRDefault="00F27843">
            <w:pPr>
              <w:spacing w:line="360" w:lineRule="auto"/>
              <w:jc w:val="center"/>
              <w:rPr>
                <w:b/>
                <w:bCs/>
              </w:rPr>
            </w:pPr>
            <w:r>
              <w:rPr>
                <w:b/>
                <w:bCs/>
              </w:rPr>
              <w:t>Factors</w:t>
            </w:r>
          </w:p>
        </w:tc>
        <w:tc>
          <w:tcPr>
            <w:tcW w:w="4230" w:type="dxa"/>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tcPr>
          <w:p w:rsidR="002A0827" w:rsidRDefault="00F27843">
            <w:pPr>
              <w:spacing w:line="360" w:lineRule="auto"/>
              <w:jc w:val="center"/>
              <w:rPr>
                <w:b/>
                <w:bCs/>
              </w:rPr>
            </w:pPr>
            <w:r>
              <w:rPr>
                <w:b/>
                <w:bCs/>
              </w:rPr>
              <w:t>Description</w:t>
            </w:r>
          </w:p>
        </w:tc>
        <w:tc>
          <w:tcPr>
            <w:tcW w:w="3180" w:type="dxa"/>
            <w:tcBorders>
              <w:top w:val="single" w:sz="8" w:space="0" w:color="000000"/>
              <w:left w:val="single" w:sz="8" w:space="0" w:color="000000"/>
              <w:bottom w:val="single" w:sz="8" w:space="0" w:color="000000"/>
              <w:right w:val="single" w:sz="8" w:space="0" w:color="000000"/>
            </w:tcBorders>
            <w:shd w:val="clear" w:color="auto" w:fill="B2A1C7" w:themeFill="accent4" w:themeFillTint="99"/>
            <w:tcMar>
              <w:top w:w="100" w:type="dxa"/>
              <w:left w:w="100" w:type="dxa"/>
              <w:bottom w:w="100" w:type="dxa"/>
              <w:right w:w="100" w:type="dxa"/>
            </w:tcMar>
          </w:tcPr>
          <w:p w:rsidR="002A0827" w:rsidRDefault="00F27843">
            <w:pPr>
              <w:spacing w:line="360" w:lineRule="auto"/>
              <w:jc w:val="center"/>
              <w:rPr>
                <w:b/>
                <w:bCs/>
              </w:rPr>
            </w:pPr>
            <w:r>
              <w:rPr>
                <w:b/>
                <w:bCs/>
              </w:rPr>
              <w:t>Impact</w:t>
            </w:r>
          </w:p>
        </w:tc>
      </w:tr>
      <w:tr w:rsidR="002A0827" w:rsidTr="006B4BD0">
        <w:trPr>
          <w:trHeight w:val="131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Political</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4"/>
              </w:numPr>
              <w:spacing w:line="360" w:lineRule="auto"/>
            </w:pPr>
            <w:r>
              <w:t>The current UK political stability score was 0.51 in the year 2023 (The Global Economy, 2025).</w:t>
            </w:r>
          </w:p>
        </w:tc>
        <w:tc>
          <w:tcPr>
            <w:tcW w:w="31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rsidR="002A0827" w:rsidRDefault="00F27843">
            <w:pPr>
              <w:spacing w:line="360" w:lineRule="auto"/>
              <w:rPr>
                <w:b/>
                <w:bCs/>
              </w:rPr>
            </w:pPr>
            <w:r>
              <w:rPr>
                <w:b/>
                <w:bCs/>
              </w:rPr>
              <w:t>Moderate</w:t>
            </w:r>
          </w:p>
        </w:tc>
      </w:tr>
      <w:tr w:rsidR="002A0827" w:rsidTr="006B4BD0">
        <w:trPr>
          <w:trHeight w:val="131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Economic</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8"/>
              </w:numPr>
              <w:spacing w:line="360" w:lineRule="auto"/>
            </w:pPr>
            <w:r>
              <w:t>UK GDP growth shows resilience at 1.1%, but inflation is at 3.3%, and unemployment is at 4.1% (World Bank, 2025).</w:t>
            </w:r>
          </w:p>
        </w:tc>
        <w:tc>
          <w:tcPr>
            <w:tcW w:w="31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rsidR="002A0827" w:rsidRDefault="00F27843">
            <w:pPr>
              <w:spacing w:line="360" w:lineRule="auto"/>
              <w:rPr>
                <w:b/>
                <w:bCs/>
              </w:rPr>
            </w:pPr>
            <w:r>
              <w:rPr>
                <w:b/>
                <w:bCs/>
              </w:rPr>
              <w:t>Moderate</w:t>
            </w:r>
          </w:p>
        </w:tc>
      </w:tr>
      <w:tr w:rsidR="002A0827" w:rsidTr="006B4BD0">
        <w:trPr>
          <w:trHeight w:val="156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Social</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9"/>
              </w:numPr>
              <w:spacing w:line="360" w:lineRule="auto"/>
            </w:pPr>
            <w:r>
              <w:t>UK population growth of 1.1%, with a strong Health Care Index score of 0.8 (World Bank, 2025).</w:t>
            </w:r>
          </w:p>
        </w:tc>
        <w:tc>
          <w:tcPr>
            <w:tcW w:w="318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rsidR="002A0827" w:rsidRDefault="00F27843">
            <w:pPr>
              <w:spacing w:line="360" w:lineRule="auto"/>
              <w:rPr>
                <w:b/>
                <w:bCs/>
              </w:rPr>
            </w:pPr>
            <w:r>
              <w:rPr>
                <w:b/>
                <w:bCs/>
              </w:rPr>
              <w:t>High</w:t>
            </w:r>
          </w:p>
        </w:tc>
      </w:tr>
      <w:tr w:rsidR="002A0827" w:rsidTr="006B4BD0">
        <w:trPr>
          <w:trHeight w:val="131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Technological</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7"/>
              </w:numPr>
              <w:spacing w:line="360" w:lineRule="auto"/>
            </w:pPr>
            <w:r>
              <w:t>96% of people use the internet, which promotes smartphone use and technological evolution. (World Bank, 2025).</w:t>
            </w:r>
          </w:p>
        </w:tc>
        <w:tc>
          <w:tcPr>
            <w:tcW w:w="318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rsidR="002A0827" w:rsidRDefault="00F27843">
            <w:pPr>
              <w:spacing w:line="360" w:lineRule="auto"/>
              <w:rPr>
                <w:b/>
                <w:bCs/>
              </w:rPr>
            </w:pPr>
            <w:r>
              <w:rPr>
                <w:b/>
                <w:bCs/>
              </w:rPr>
              <w:t>High</w:t>
            </w:r>
          </w:p>
        </w:tc>
      </w:tr>
      <w:tr w:rsidR="002A0827" w:rsidTr="006B4BD0">
        <w:trPr>
          <w:trHeight w:val="131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Environmental</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5"/>
              </w:numPr>
              <w:spacing w:line="360" w:lineRule="auto"/>
            </w:pPr>
            <w:r>
              <w:t>CO2 emissions per capita are at 4.4 according to 2023, whereas freshwater use decreased by 6% as per the data by 2022(World Bank, 2025).</w:t>
            </w:r>
          </w:p>
        </w:tc>
        <w:tc>
          <w:tcPr>
            <w:tcW w:w="318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rsidR="002A0827" w:rsidRDefault="00F27843">
            <w:pPr>
              <w:spacing w:line="360" w:lineRule="auto"/>
              <w:rPr>
                <w:b/>
                <w:bCs/>
              </w:rPr>
            </w:pPr>
            <w:r>
              <w:rPr>
                <w:b/>
                <w:bCs/>
              </w:rPr>
              <w:t>Low</w:t>
            </w:r>
          </w:p>
        </w:tc>
      </w:tr>
      <w:tr w:rsidR="002A0827" w:rsidTr="006B4BD0">
        <w:trPr>
          <w:trHeight w:val="1040"/>
        </w:trPr>
        <w:tc>
          <w:tcPr>
            <w:tcW w:w="1365"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spacing w:line="360" w:lineRule="auto"/>
              <w:rPr>
                <w:b/>
                <w:bCs/>
              </w:rPr>
            </w:pPr>
            <w:r>
              <w:rPr>
                <w:b/>
                <w:bCs/>
              </w:rPr>
              <w:t>Legal</w:t>
            </w:r>
          </w:p>
        </w:tc>
        <w:tc>
          <w:tcPr>
            <w:tcW w:w="4230" w:type="dxa"/>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tcPr>
          <w:p w:rsidR="002A0827" w:rsidRDefault="00F27843">
            <w:pPr>
              <w:numPr>
                <w:ilvl w:val="0"/>
                <w:numId w:val="6"/>
              </w:numPr>
              <w:spacing w:line="360" w:lineRule="auto"/>
            </w:pPr>
            <w:r>
              <w:t xml:space="preserve">The UK central government debt at 138.6% of GDP can increase </w:t>
            </w:r>
            <w:r>
              <w:lastRenderedPageBreak/>
              <w:t>regulatory pressure (World Bank, 2025).</w:t>
            </w:r>
          </w:p>
        </w:tc>
        <w:tc>
          <w:tcPr>
            <w:tcW w:w="31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rsidR="002A0827" w:rsidRDefault="00F27843">
            <w:pPr>
              <w:spacing w:line="360" w:lineRule="auto"/>
              <w:rPr>
                <w:b/>
                <w:bCs/>
              </w:rPr>
            </w:pPr>
            <w:r>
              <w:rPr>
                <w:b/>
                <w:bCs/>
              </w:rPr>
              <w:lastRenderedPageBreak/>
              <w:t>Moderate</w:t>
            </w:r>
          </w:p>
        </w:tc>
      </w:tr>
    </w:tbl>
    <w:p w:rsidR="002A0827" w:rsidRDefault="00F27843">
      <w:pPr>
        <w:spacing w:before="200" w:line="360" w:lineRule="auto"/>
        <w:jc w:val="center"/>
        <w:rPr>
          <w:b/>
          <w:bCs/>
        </w:rPr>
      </w:pPr>
      <w:r>
        <w:rPr>
          <w:b/>
          <w:bCs/>
        </w:rPr>
        <w:lastRenderedPageBreak/>
        <w:t>Table 2: PESTLE analysis for the appraisal of Smith+Nephew</w:t>
      </w:r>
    </w:p>
    <w:p w:rsidR="002A0827" w:rsidRDefault="00F27843">
      <w:pPr>
        <w:spacing w:line="360" w:lineRule="auto"/>
        <w:jc w:val="center"/>
      </w:pPr>
      <w:r>
        <w:t>(Source: Developed by author)</w:t>
      </w:r>
    </w:p>
    <w:p w:rsidR="002A0827" w:rsidRDefault="00F27843">
      <w:pPr>
        <w:spacing w:line="360" w:lineRule="auto"/>
      </w:pPr>
      <w:r>
        <w:rPr>
          <w:b/>
          <w:bCs/>
          <w:i/>
          <w:iCs/>
        </w:rPr>
        <w:t>SMART OBJECTIVES</w:t>
      </w:r>
    </w:p>
    <w:tbl>
      <w:tblPr>
        <w:tblStyle w:val="a7"/>
        <w:tblW w:w="9330" w:type="dxa"/>
        <w:tblBorders>
          <w:top w:val="nil"/>
          <w:left w:val="nil"/>
          <w:bottom w:val="nil"/>
          <w:right w:val="nil"/>
          <w:insideH w:val="nil"/>
          <w:insideV w:val="nil"/>
        </w:tblBorders>
        <w:tblLayout w:type="fixed"/>
        <w:tblLook w:val="0600"/>
      </w:tblPr>
      <w:tblGrid>
        <w:gridCol w:w="1695"/>
        <w:gridCol w:w="1620"/>
        <w:gridCol w:w="1605"/>
        <w:gridCol w:w="1515"/>
        <w:gridCol w:w="1470"/>
        <w:gridCol w:w="1425"/>
      </w:tblGrid>
      <w:tr w:rsidR="002A0827" w:rsidTr="00033267">
        <w:trPr>
          <w:trHeight w:val="77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Objective</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Specific</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Measurable</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Achievable</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Relevant</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jc w:val="center"/>
              <w:rPr>
                <w:color w:val="FF0000"/>
              </w:rPr>
            </w:pPr>
            <w:r>
              <w:rPr>
                <w:b/>
                <w:bCs/>
                <w:color w:val="FF0000"/>
              </w:rPr>
              <w:t>Time-bound</w:t>
            </w:r>
          </w:p>
        </w:tc>
      </w:tr>
      <w:tr w:rsidR="002A0827" w:rsidTr="00033267">
        <w:trPr>
          <w:trHeight w:val="158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To finalise the product design and development</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Complete prototype testing and design adjustments</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100% completion of design</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Utilise existing R&amp;D and design teams</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Crucial for meeting launch deadlines</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3 months</w:t>
            </w:r>
          </w:p>
        </w:tc>
      </w:tr>
      <w:tr w:rsidR="002A0827" w:rsidTr="00033267">
        <w:trPr>
          <w:trHeight w:val="131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To ensure regulatory approval for the wearable device</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Submit product for MHRA approval</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Obtain full regulatory clearance</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Align design with regulatory standards</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Necessary for market access</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6 months</w:t>
            </w:r>
          </w:p>
        </w:tc>
      </w:tr>
      <w:tr w:rsidR="002A0827" w:rsidTr="00033267">
        <w:trPr>
          <w:trHeight w:val="158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To launch a marketing campaign for the wearable device</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Develop a targeted marketing strategy</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Reach 50,000 app downloads</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Leverage existing marketing resources</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Drive product adoption</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2 months</w:t>
            </w:r>
          </w:p>
        </w:tc>
      </w:tr>
      <w:tr w:rsidR="002A0827" w:rsidTr="00033267">
        <w:trPr>
          <w:trHeight w:val="131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To establish distribution channels in key markets</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Set up logistics and retail partnerships</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Secure at least 3 major retail partners</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Use existing regional business networks</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Necessary for broad product availability</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6 months</w:t>
            </w:r>
          </w:p>
        </w:tc>
      </w:tr>
      <w:tr w:rsidR="002A0827" w:rsidTr="00033267">
        <w:trPr>
          <w:trHeight w:val="1310"/>
        </w:trPr>
        <w:tc>
          <w:tcPr>
            <w:tcW w:w="169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lastRenderedPageBreak/>
              <w:t>To achieve the initial sales target for the wearable device</w:t>
            </w:r>
          </w:p>
        </w:tc>
        <w:tc>
          <w:tcPr>
            <w:tcW w:w="162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Generate initial revenue from sales</w:t>
            </w:r>
          </w:p>
        </w:tc>
        <w:tc>
          <w:tcPr>
            <w:tcW w:w="160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Achieve $1 million in sales</w:t>
            </w:r>
          </w:p>
        </w:tc>
        <w:tc>
          <w:tcPr>
            <w:tcW w:w="151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Use effective distribution and marketing</w:t>
            </w:r>
          </w:p>
        </w:tc>
        <w:tc>
          <w:tcPr>
            <w:tcW w:w="1470"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Essential for product viability</w:t>
            </w:r>
          </w:p>
        </w:tc>
        <w:tc>
          <w:tcPr>
            <w:tcW w:w="1425" w:type="dxa"/>
            <w:tcBorders>
              <w:top w:val="single" w:sz="8" w:space="0" w:color="000000"/>
              <w:left w:val="single" w:sz="8" w:space="0" w:color="000000"/>
              <w:bottom w:val="single" w:sz="8" w:space="0" w:color="000000"/>
              <w:right w:val="single" w:sz="8" w:space="0" w:color="000000"/>
            </w:tcBorders>
            <w:shd w:val="clear" w:color="auto" w:fill="B6DDE8" w:themeFill="accent5" w:themeFillTint="66"/>
            <w:tcMar>
              <w:top w:w="100" w:type="dxa"/>
              <w:left w:w="100" w:type="dxa"/>
              <w:bottom w:w="100" w:type="dxa"/>
              <w:right w:w="100" w:type="dxa"/>
            </w:tcMar>
          </w:tcPr>
          <w:p w:rsidR="002A0827" w:rsidRDefault="00F27843">
            <w:pPr>
              <w:spacing w:line="360" w:lineRule="auto"/>
              <w:rPr>
                <w:color w:val="FF0000"/>
              </w:rPr>
            </w:pPr>
            <w:r>
              <w:rPr>
                <w:color w:val="FF0000"/>
              </w:rPr>
              <w:t>12 months</w:t>
            </w:r>
          </w:p>
        </w:tc>
      </w:tr>
    </w:tbl>
    <w:p w:rsidR="002A0827" w:rsidRDefault="00F27843">
      <w:pPr>
        <w:spacing w:before="200" w:line="360" w:lineRule="auto"/>
        <w:jc w:val="center"/>
        <w:rPr>
          <w:b/>
          <w:bCs/>
          <w:color w:val="FF0000"/>
        </w:rPr>
      </w:pPr>
      <w:r>
        <w:rPr>
          <w:b/>
          <w:bCs/>
          <w:color w:val="FF0000"/>
        </w:rPr>
        <w:t>Table 3: SMART Objectives</w:t>
      </w:r>
    </w:p>
    <w:p w:rsidR="002A0827" w:rsidRDefault="00F27843">
      <w:pPr>
        <w:spacing w:line="360" w:lineRule="auto"/>
        <w:jc w:val="center"/>
        <w:rPr>
          <w:b/>
          <w:bCs/>
          <w:color w:val="FF0000"/>
        </w:rPr>
      </w:pPr>
      <w:r>
        <w:t>(Source: Developed by author)</w:t>
      </w:r>
    </w:p>
    <w:p w:rsidR="002A0827" w:rsidRDefault="00F27843">
      <w:pPr>
        <w:pStyle w:val="Heading1"/>
      </w:pPr>
      <w:bookmarkStart w:id="5" w:name="_heading=h.pj6gbmrkucr2" w:colFirst="0" w:colLast="0"/>
      <w:bookmarkEnd w:id="5"/>
      <w:r>
        <w:t>Key internal and external stakeholders in Smith+Nephew</w:t>
      </w:r>
    </w:p>
    <w:p w:rsidR="002A0827" w:rsidRDefault="00F27843">
      <w:pPr>
        <w:pBdr>
          <w:top w:val="nil"/>
          <w:left w:val="nil"/>
          <w:bottom w:val="nil"/>
          <w:right w:val="nil"/>
          <w:between w:val="nil"/>
        </w:pBdr>
        <w:spacing w:line="360" w:lineRule="auto"/>
        <w:jc w:val="center"/>
        <w:rPr>
          <w:b/>
          <w:bCs/>
          <w:color w:val="000000"/>
        </w:rPr>
      </w:pPr>
      <w:r>
        <w:rPr>
          <w:b/>
          <w:bCs/>
          <w:noProof/>
          <w:color w:val="000000"/>
          <w:lang w:val="en-US" w:eastAsia="en-US"/>
        </w:rPr>
        <w:drawing>
          <wp:inline distT="114300" distB="114300" distL="114300" distR="114300">
            <wp:extent cx="5731200" cy="3492500"/>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492500"/>
                    </a:xfrm>
                    <a:prstGeom prst="rect">
                      <a:avLst/>
                    </a:prstGeom>
                    <a:ln/>
                  </pic:spPr>
                </pic:pic>
              </a:graphicData>
            </a:graphic>
          </wp:inline>
        </w:drawing>
      </w:r>
    </w:p>
    <w:p w:rsidR="002A0827" w:rsidRDefault="00F27843">
      <w:pPr>
        <w:pBdr>
          <w:top w:val="nil"/>
          <w:left w:val="nil"/>
          <w:bottom w:val="nil"/>
          <w:right w:val="nil"/>
          <w:between w:val="nil"/>
        </w:pBdr>
        <w:spacing w:line="360" w:lineRule="auto"/>
        <w:jc w:val="center"/>
        <w:rPr>
          <w:b/>
          <w:bCs/>
          <w:color w:val="000000"/>
        </w:rPr>
      </w:pPr>
      <w:r>
        <w:rPr>
          <w:b/>
          <w:bCs/>
          <w:color w:val="000000"/>
        </w:rPr>
        <w:t>Figure 2: Stakeholder Map for Smith+Nephew</w:t>
      </w:r>
    </w:p>
    <w:p w:rsidR="002A0827" w:rsidRDefault="00F27843">
      <w:pPr>
        <w:pBdr>
          <w:top w:val="nil"/>
          <w:left w:val="nil"/>
          <w:bottom w:val="nil"/>
          <w:right w:val="nil"/>
          <w:between w:val="nil"/>
        </w:pBdr>
        <w:spacing w:line="360" w:lineRule="auto"/>
        <w:jc w:val="center"/>
        <w:rPr>
          <w:color w:val="000000"/>
        </w:rPr>
      </w:pPr>
      <w:r>
        <w:rPr>
          <w:color w:val="000000"/>
        </w:rPr>
        <w:t xml:space="preserve">(Source: Self-created) </w:t>
      </w:r>
    </w:p>
    <w:p w:rsidR="002A0827" w:rsidRDefault="00F27843">
      <w:pPr>
        <w:pBdr>
          <w:top w:val="nil"/>
          <w:left w:val="nil"/>
          <w:bottom w:val="nil"/>
          <w:right w:val="nil"/>
          <w:between w:val="nil"/>
        </w:pBdr>
        <w:spacing w:line="360" w:lineRule="auto"/>
        <w:rPr>
          <w:b/>
          <w:bCs/>
          <w:i/>
          <w:iCs/>
          <w:color w:val="000000"/>
        </w:rPr>
      </w:pPr>
      <w:r>
        <w:rPr>
          <w:b/>
          <w:bCs/>
          <w:i/>
          <w:iCs/>
          <w:color w:val="000000"/>
        </w:rPr>
        <w:t xml:space="preserve">Key Internal stakeholders </w:t>
      </w:r>
    </w:p>
    <w:p w:rsidR="002A0827" w:rsidRDefault="00F27843">
      <w:pPr>
        <w:pBdr>
          <w:top w:val="nil"/>
          <w:left w:val="nil"/>
          <w:bottom w:val="nil"/>
          <w:right w:val="nil"/>
          <w:between w:val="nil"/>
        </w:pBdr>
        <w:spacing w:line="360" w:lineRule="auto"/>
      </w:pPr>
      <w:r>
        <w:rPr>
          <w:color w:val="000000"/>
        </w:rPr>
        <w:t xml:space="preserve">Internal stakeholders are the individuals within the organisation with a direct relationship, such as the employees, managers and the owners. The internal stakeholders comprise the employees, owners, the management teams and the executive committee or the senior leadership (CEO, CFO). </w:t>
      </w:r>
      <w:r>
        <w:rPr>
          <w:color w:val="FF0000"/>
        </w:rPr>
        <w:t xml:space="preserve">Smith+Nephew’s internal stakeholders for the new wearable device project possess high influence and high expectations for the project’s success, personal career growth and profitability. </w:t>
      </w:r>
      <w:r>
        <w:rPr>
          <w:color w:val="000000"/>
        </w:rPr>
        <w:t xml:space="preserve">According to Bellen (2025), internal stakeholders are the individuals directly aligned with the day-to-day operation of the organisation and their performance is </w:t>
      </w:r>
      <w:r>
        <w:rPr>
          <w:color w:val="000000"/>
        </w:rPr>
        <w:lastRenderedPageBreak/>
        <w:t xml:space="preserve">affected by the organisation’s results and decisions. The employees are the individuals who are working for the corporation and have a vested interest in its success for their jobs, salaries and career growth. </w:t>
      </w:r>
      <w:r>
        <w:rPr>
          <w:color w:val="FF0000"/>
        </w:rPr>
        <w:t xml:space="preserve">The employees in this project are inclined towards the safety of their job and financial benefits which are tied with the success of the project. </w:t>
      </w:r>
      <w:r>
        <w:rPr>
          <w:color w:val="000000"/>
        </w:rPr>
        <w:t xml:space="preserve">The owners and the shareholders are the commanders of the company such as the CEO whose interests are aligned with the profitability and the value of the company. Singh </w:t>
      </w:r>
      <w:r>
        <w:rPr>
          <w:i/>
          <w:iCs/>
          <w:color w:val="000000"/>
        </w:rPr>
        <w:t>et al.</w:t>
      </w:r>
      <w:r>
        <w:rPr>
          <w:color w:val="000000"/>
        </w:rPr>
        <w:t xml:space="preserve"> (2023) inferred that the management teams are the executive, project managers and the executives responsible for making strategic decisions, overlooking the operations and guiding the organisation towards its aim. </w:t>
      </w:r>
      <w:r>
        <w:rPr>
          <w:color w:val="FF0000"/>
          <w:highlight w:val="white"/>
        </w:rPr>
        <w:t xml:space="preserve">Alongside, the management teams, such as the Senior </w:t>
      </w:r>
      <w:r>
        <w:rPr>
          <w:color w:val="FF0000"/>
        </w:rPr>
        <w:t xml:space="preserve">Product Development Manager, are aligned towards the success of the project for their operational efficiency and career growth. </w:t>
      </w:r>
      <w:r>
        <w:rPr>
          <w:color w:val="000000"/>
        </w:rPr>
        <w:t>The internal stakeholders of ‘Smith+Nephew’ also comprise the CEO, Senior Product Development Manager, Senior Marketing Manager and the Regional Business Manager in London which aligns with the figure above (Smith+Nephew, 2025). Alongside, the internal stakeholders of an organisation comprise the Board of Directors (BOD) who is elected to govern an organisation representing the interests of the shareholders and fostering higher-level decisions.</w:t>
      </w:r>
      <w:r>
        <w:rPr>
          <w:color w:val="FF0000"/>
        </w:rPr>
        <w:t xml:space="preserve"> The stakeholders value is directly aligning with the revenue of Smith+Nephew in 2024, which is standing at </w:t>
      </w:r>
      <w:r>
        <w:rPr>
          <w:color w:val="FF0000"/>
          <w:highlight w:val="white"/>
        </w:rPr>
        <w:t xml:space="preserve">$5.8 billion (Smith+Nephew, 2024). </w:t>
      </w:r>
      <w:r>
        <w:rPr>
          <w:color w:val="FF0000"/>
        </w:rPr>
        <w:t>Significant authority over the strategic decisions and resource allocation are held over by the BOD and the CEO where they are expecting a successful market entry for driving the stakeholders value.</w:t>
      </w:r>
    </w:p>
    <w:p w:rsidR="002A0827" w:rsidRDefault="00F27843">
      <w:pPr>
        <w:pBdr>
          <w:top w:val="nil"/>
          <w:left w:val="nil"/>
          <w:bottom w:val="nil"/>
          <w:right w:val="nil"/>
          <w:between w:val="nil"/>
        </w:pBdr>
        <w:spacing w:line="360" w:lineRule="auto"/>
        <w:rPr>
          <w:b/>
          <w:bCs/>
          <w:i/>
          <w:iCs/>
          <w:color w:val="000000"/>
        </w:rPr>
      </w:pPr>
      <w:r>
        <w:rPr>
          <w:b/>
          <w:bCs/>
          <w:i/>
          <w:iCs/>
          <w:color w:val="000000"/>
        </w:rPr>
        <w:t xml:space="preserve">Key External stakeholders </w:t>
      </w:r>
    </w:p>
    <w:p w:rsidR="002A0827" w:rsidRDefault="00F27843">
      <w:pPr>
        <w:pBdr>
          <w:top w:val="nil"/>
          <w:left w:val="nil"/>
          <w:bottom w:val="nil"/>
          <w:right w:val="nil"/>
          <w:between w:val="nil"/>
        </w:pBdr>
        <w:spacing w:line="360" w:lineRule="auto"/>
        <w:rPr>
          <w:color w:val="FF0000"/>
        </w:rPr>
      </w:pPr>
      <w:r>
        <w:rPr>
          <w:color w:val="000000"/>
        </w:rPr>
        <w:t>According to Latip</w:t>
      </w:r>
      <w:r>
        <w:rPr>
          <w:i/>
          <w:iCs/>
          <w:color w:val="000000"/>
        </w:rPr>
        <w:t xml:space="preserve"> et al. </w:t>
      </w:r>
      <w:r>
        <w:rPr>
          <w:color w:val="000000"/>
        </w:rPr>
        <w:t xml:space="preserve">(2022), external stakeholders are the outside parties of an organisation being affected by the actions of the organisation. These stakeholders however are not directly involved such as suppliers, customers, and the government. These groups have an interest in the success or failure of the company in this case ‘Smith+Nephew’ and have the ability to influence the actions of the organisation. The customers such as the hospital authorities and patients are the affected individuals affected by the quality and price of the product or the services of the organisation (Nguyen, Tran and Nguyen, 2021). </w:t>
      </w:r>
      <w:r>
        <w:rPr>
          <w:color w:val="FF0000"/>
        </w:rPr>
        <w:t xml:space="preserve">The customers being the external stakeholders are substantially influential for the market adoption of the new device and market success. As the customers affect the market through their purchasing decisions and high expectations for the quality of the product. </w:t>
      </w:r>
      <w:r>
        <w:rPr>
          <w:color w:val="000000"/>
        </w:rPr>
        <w:t xml:space="preserve">Suppliers such as Medicines and Healthcare products being the external stakeholders rely on the company for business and are affected by the purchasing and payment factors. </w:t>
      </w:r>
      <w:r>
        <w:rPr>
          <w:color w:val="FF0000"/>
        </w:rPr>
        <w:t xml:space="preserve">A lower direct influence is inflicted by the suppliers but however have high expectations of business from the </w:t>
      </w:r>
      <w:r>
        <w:rPr>
          <w:color w:val="FF0000"/>
        </w:rPr>
        <w:lastRenderedPageBreak/>
        <w:t xml:space="preserve">organisation.  </w:t>
      </w:r>
      <w:r>
        <w:rPr>
          <w:color w:val="000000"/>
        </w:rPr>
        <w:t xml:space="preserve">Ellis </w:t>
      </w:r>
      <w:r>
        <w:rPr>
          <w:i/>
          <w:iCs/>
          <w:color w:val="000000"/>
        </w:rPr>
        <w:t xml:space="preserve">et al. </w:t>
      </w:r>
      <w:r>
        <w:rPr>
          <w:color w:val="000000"/>
        </w:rPr>
        <w:t xml:space="preserve">(1991) stated that communication based on online mode is essential for maintaining positive relations. Alongside, the lenders such as banks (JPMorgan Chase Bank) are being affected by the ability of Smith+Nephew’s debt repayment. </w:t>
      </w:r>
      <w:r>
        <w:rPr>
          <w:color w:val="FF0000"/>
        </w:rPr>
        <w:t xml:space="preserve">The banks, which are the lenders, have a significantly high influence on the new wearable device. JPMorgan Chase Bank holds financing agreements and expects consistent repayments of the debt, whether the profitability of the project is directly affecting their assessment risk. </w:t>
      </w:r>
      <w:r>
        <w:rPr>
          <w:color w:val="000000"/>
        </w:rPr>
        <w:t>Government Agencies such as the Regulatory Agency (MHRA) along with NHS trusts influence Smith+Nephew by making them follow the rules and regulations in the UK.</w:t>
      </w:r>
      <w:r>
        <w:rPr>
          <w:color w:val="FF0000"/>
        </w:rPr>
        <w:t xml:space="preserve"> These agencies control the regulations and procurement policies, which gives them immense influence on the launch of the new wearable device. </w:t>
      </w:r>
    </w:p>
    <w:p w:rsidR="002A0827" w:rsidRDefault="00F27843">
      <w:pPr>
        <w:pStyle w:val="Heading1"/>
        <w:keepNext/>
        <w:keepLines/>
        <w:spacing w:before="200" w:after="200"/>
      </w:pPr>
      <w:bookmarkStart w:id="6" w:name="_heading=h.m0qtcmx8aayt" w:colFirst="0" w:colLast="0"/>
      <w:bookmarkEnd w:id="6"/>
      <w:r>
        <w:t>Roles, responsibilities, challenges and benefits of the key stakeholders</w:t>
      </w:r>
    </w:p>
    <w:p w:rsidR="002A0827" w:rsidRDefault="00F27843">
      <w:pPr>
        <w:pStyle w:val="Heading2"/>
        <w:spacing w:before="0" w:after="200"/>
      </w:pPr>
      <w:bookmarkStart w:id="7" w:name="_heading=h.xsi8dv6jdxbn" w:colFirst="0" w:colLast="0"/>
      <w:bookmarkEnd w:id="7"/>
      <w:r>
        <w:t>Roles and responsibilities of key internal stakeholders</w:t>
      </w:r>
    </w:p>
    <w:p w:rsidR="002A0827" w:rsidRDefault="00F27843">
      <w:pPr>
        <w:spacing w:line="360" w:lineRule="auto"/>
        <w:rPr>
          <w:color w:val="FF0000"/>
        </w:rPr>
      </w:pPr>
      <w:r>
        <w:rPr>
          <w:b/>
          <w:bCs/>
          <w:i/>
          <w:iCs/>
          <w:color w:val="FF0000"/>
        </w:rPr>
        <w:t>Deepak Nath, CEO</w:t>
      </w:r>
    </w:p>
    <w:p w:rsidR="002A0827" w:rsidRDefault="00F27843">
      <w:pPr>
        <w:numPr>
          <w:ilvl w:val="0"/>
          <w:numId w:val="1"/>
        </w:numPr>
        <w:spacing w:line="360" w:lineRule="auto"/>
        <w:rPr>
          <w:color w:val="FF0000"/>
        </w:rPr>
      </w:pPr>
      <w:r>
        <w:rPr>
          <w:b/>
          <w:bCs/>
          <w:color w:val="FF0000"/>
        </w:rPr>
        <w:t>Roles</w:t>
      </w:r>
      <w:r>
        <w:rPr>
          <w:color w:val="FF0000"/>
        </w:rPr>
        <w:t xml:space="preserve">- Decision-making and guidance </w:t>
      </w:r>
    </w:p>
    <w:p w:rsidR="002A0827" w:rsidRDefault="00F27843">
      <w:pPr>
        <w:numPr>
          <w:ilvl w:val="0"/>
          <w:numId w:val="1"/>
        </w:numPr>
        <w:spacing w:line="360" w:lineRule="auto"/>
        <w:rPr>
          <w:color w:val="FF0000"/>
        </w:rPr>
      </w:pPr>
      <w:r>
        <w:rPr>
          <w:b/>
          <w:bCs/>
          <w:color w:val="FF0000"/>
        </w:rPr>
        <w:t>Responsibilities</w:t>
      </w:r>
      <w:r>
        <w:rPr>
          <w:color w:val="FF0000"/>
        </w:rPr>
        <w:t>- Final approval for the medical device</w:t>
      </w:r>
    </w:p>
    <w:p w:rsidR="002A0827" w:rsidRDefault="00F27843">
      <w:pPr>
        <w:numPr>
          <w:ilvl w:val="0"/>
          <w:numId w:val="1"/>
        </w:numPr>
        <w:spacing w:line="360" w:lineRule="auto"/>
        <w:rPr>
          <w:color w:val="FF0000"/>
        </w:rPr>
      </w:pPr>
      <w:r>
        <w:rPr>
          <w:b/>
          <w:bCs/>
          <w:color w:val="FF0000"/>
        </w:rPr>
        <w:t>Benefits</w:t>
      </w:r>
      <w:r>
        <w:rPr>
          <w:color w:val="FF0000"/>
        </w:rPr>
        <w:t>- CEO Nath offers strategic guidance as leader to align operations with company’s innovation, financial gain and global vision goals (Smith-nephew, 2025)</w:t>
      </w:r>
    </w:p>
    <w:p w:rsidR="002A0827" w:rsidRDefault="00F27843">
      <w:pPr>
        <w:numPr>
          <w:ilvl w:val="0"/>
          <w:numId w:val="1"/>
        </w:numPr>
        <w:spacing w:line="360" w:lineRule="auto"/>
        <w:rPr>
          <w:color w:val="FF0000"/>
        </w:rPr>
      </w:pPr>
      <w:r>
        <w:rPr>
          <w:b/>
          <w:bCs/>
          <w:color w:val="FF0000"/>
        </w:rPr>
        <w:t>Challenges</w:t>
      </w:r>
      <w:r>
        <w:rPr>
          <w:color w:val="FF0000"/>
        </w:rPr>
        <w:t>- Balancing stakeholder expectation and project team needs</w:t>
      </w:r>
    </w:p>
    <w:p w:rsidR="002A0827" w:rsidRDefault="00F27843">
      <w:pPr>
        <w:spacing w:line="360" w:lineRule="auto"/>
        <w:rPr>
          <w:color w:val="FF0000"/>
        </w:rPr>
      </w:pPr>
      <w:r>
        <w:rPr>
          <w:b/>
          <w:bCs/>
          <w:i/>
          <w:iCs/>
          <w:color w:val="FF0000"/>
        </w:rPr>
        <w:t>Rebecca Hales, Senior R&amp;D Manager</w:t>
      </w:r>
    </w:p>
    <w:p w:rsidR="002A0827" w:rsidRDefault="00F27843">
      <w:pPr>
        <w:numPr>
          <w:ilvl w:val="0"/>
          <w:numId w:val="10"/>
        </w:numPr>
        <w:spacing w:line="360" w:lineRule="auto"/>
        <w:rPr>
          <w:color w:val="FF0000"/>
        </w:rPr>
      </w:pPr>
      <w:r>
        <w:rPr>
          <w:b/>
          <w:bCs/>
          <w:color w:val="FF0000"/>
        </w:rPr>
        <w:t>Roles</w:t>
      </w:r>
      <w:r>
        <w:rPr>
          <w:color w:val="FF0000"/>
        </w:rPr>
        <w:t>- Overview innovation of the wearable medical device</w:t>
      </w:r>
    </w:p>
    <w:p w:rsidR="002A0827" w:rsidRDefault="00F27843">
      <w:pPr>
        <w:numPr>
          <w:ilvl w:val="0"/>
          <w:numId w:val="10"/>
        </w:numPr>
        <w:spacing w:line="360" w:lineRule="auto"/>
        <w:rPr>
          <w:color w:val="FF0000"/>
        </w:rPr>
      </w:pPr>
      <w:r>
        <w:rPr>
          <w:b/>
          <w:bCs/>
          <w:color w:val="FF0000"/>
        </w:rPr>
        <w:t>Responsibilities</w:t>
      </w:r>
      <w:r>
        <w:rPr>
          <w:color w:val="FF0000"/>
        </w:rPr>
        <w:t xml:space="preserve">- Ensure adhering to MHRA quality standard for medical wearable devices </w:t>
      </w:r>
    </w:p>
    <w:p w:rsidR="002A0827" w:rsidRDefault="00F27843">
      <w:pPr>
        <w:numPr>
          <w:ilvl w:val="0"/>
          <w:numId w:val="10"/>
        </w:numPr>
        <w:spacing w:line="360" w:lineRule="auto"/>
        <w:rPr>
          <w:color w:val="FF0000"/>
        </w:rPr>
      </w:pPr>
      <w:r>
        <w:rPr>
          <w:b/>
          <w:bCs/>
          <w:color w:val="FF0000"/>
        </w:rPr>
        <w:t>Benefits</w:t>
      </w:r>
      <w:r>
        <w:rPr>
          <w:color w:val="FF0000"/>
        </w:rPr>
        <w:t>- As a senior product development manager, Rebecca Hales is responsible for evaluating design and testing risks of the products to meet MHRA regulation (Linkedin, 2025).</w:t>
      </w:r>
    </w:p>
    <w:p w:rsidR="002A0827" w:rsidRDefault="00F27843">
      <w:pPr>
        <w:numPr>
          <w:ilvl w:val="0"/>
          <w:numId w:val="10"/>
        </w:numPr>
        <w:spacing w:line="360" w:lineRule="auto"/>
        <w:rPr>
          <w:color w:val="FF0000"/>
        </w:rPr>
      </w:pPr>
      <w:r>
        <w:rPr>
          <w:b/>
          <w:bCs/>
          <w:color w:val="FF0000"/>
        </w:rPr>
        <w:t>Challenges</w:t>
      </w:r>
      <w:r>
        <w:rPr>
          <w:color w:val="FF0000"/>
        </w:rPr>
        <w:t>- Balancing cost management with innovation, causing operational pressure and workplace stress</w:t>
      </w:r>
    </w:p>
    <w:p w:rsidR="002A0827" w:rsidRDefault="00F27843">
      <w:pPr>
        <w:spacing w:line="360" w:lineRule="auto"/>
        <w:rPr>
          <w:b/>
          <w:bCs/>
          <w:i/>
          <w:iCs/>
          <w:color w:val="FF0000"/>
        </w:rPr>
      </w:pPr>
      <w:r>
        <w:rPr>
          <w:b/>
          <w:bCs/>
          <w:i/>
          <w:iCs/>
          <w:color w:val="FF0000"/>
        </w:rPr>
        <w:t>Tom Smith, Senior Marketing Manager</w:t>
      </w:r>
    </w:p>
    <w:p w:rsidR="002A0827" w:rsidRDefault="00F27843">
      <w:pPr>
        <w:numPr>
          <w:ilvl w:val="0"/>
          <w:numId w:val="1"/>
        </w:numPr>
        <w:spacing w:line="360" w:lineRule="auto"/>
        <w:rPr>
          <w:color w:val="FF0000"/>
        </w:rPr>
      </w:pPr>
      <w:r>
        <w:rPr>
          <w:b/>
          <w:bCs/>
          <w:color w:val="FF0000"/>
        </w:rPr>
        <w:t>Roles</w:t>
      </w:r>
      <w:r>
        <w:rPr>
          <w:color w:val="FF0000"/>
        </w:rPr>
        <w:t xml:space="preserve">- Plan marketing strategy for the proposed product </w:t>
      </w:r>
    </w:p>
    <w:p w:rsidR="002A0827" w:rsidRDefault="00F27843">
      <w:pPr>
        <w:numPr>
          <w:ilvl w:val="0"/>
          <w:numId w:val="1"/>
        </w:numPr>
        <w:spacing w:line="360" w:lineRule="auto"/>
        <w:rPr>
          <w:color w:val="FF0000"/>
        </w:rPr>
      </w:pPr>
      <w:r>
        <w:rPr>
          <w:b/>
          <w:bCs/>
          <w:color w:val="FF0000"/>
        </w:rPr>
        <w:t>Responsibilities</w:t>
      </w:r>
      <w:r>
        <w:rPr>
          <w:color w:val="FF0000"/>
        </w:rPr>
        <w:t xml:space="preserve">- Tom Smith is the senior marketing manager, responsible for assessing volume based procurement policy changes in China for modifying brand positioning and product promotion (Linkedin, 2025). </w:t>
      </w:r>
    </w:p>
    <w:p w:rsidR="002A0827" w:rsidRDefault="00F27843">
      <w:pPr>
        <w:numPr>
          <w:ilvl w:val="0"/>
          <w:numId w:val="1"/>
        </w:numPr>
        <w:spacing w:line="360" w:lineRule="auto"/>
        <w:rPr>
          <w:color w:val="FF0000"/>
        </w:rPr>
      </w:pPr>
      <w:r>
        <w:rPr>
          <w:b/>
          <w:bCs/>
          <w:color w:val="FF0000"/>
        </w:rPr>
        <w:lastRenderedPageBreak/>
        <w:t>Benefits</w:t>
      </w:r>
      <w:r>
        <w:rPr>
          <w:color w:val="FF0000"/>
        </w:rPr>
        <w:t>- Robust control over marketing plan based on current situation in target market</w:t>
      </w:r>
    </w:p>
    <w:p w:rsidR="002A0827" w:rsidRDefault="00F27843">
      <w:pPr>
        <w:numPr>
          <w:ilvl w:val="0"/>
          <w:numId w:val="1"/>
        </w:numPr>
        <w:spacing w:line="360" w:lineRule="auto"/>
        <w:rPr>
          <w:color w:val="FF0000"/>
        </w:rPr>
      </w:pPr>
      <w:r>
        <w:rPr>
          <w:b/>
          <w:bCs/>
          <w:color w:val="FF0000"/>
        </w:rPr>
        <w:t>Challenges</w:t>
      </w:r>
      <w:r>
        <w:rPr>
          <w:color w:val="FF0000"/>
        </w:rPr>
        <w:t>- Unpredictable market volatility lowering marketing strategy effectiveness</w:t>
      </w:r>
    </w:p>
    <w:p w:rsidR="002A0827" w:rsidRDefault="00F27843">
      <w:pPr>
        <w:spacing w:line="360" w:lineRule="auto"/>
        <w:rPr>
          <w:color w:val="FF0000"/>
        </w:rPr>
      </w:pPr>
      <w:r>
        <w:rPr>
          <w:b/>
          <w:bCs/>
          <w:i/>
          <w:iCs/>
          <w:color w:val="FF0000"/>
        </w:rPr>
        <w:t>Susie Smith, Regional Business Manager, London</w:t>
      </w:r>
    </w:p>
    <w:p w:rsidR="002A0827" w:rsidRDefault="00F27843">
      <w:pPr>
        <w:numPr>
          <w:ilvl w:val="0"/>
          <w:numId w:val="1"/>
        </w:numPr>
        <w:spacing w:line="360" w:lineRule="auto"/>
        <w:rPr>
          <w:color w:val="FF0000"/>
        </w:rPr>
      </w:pPr>
      <w:r>
        <w:rPr>
          <w:b/>
          <w:bCs/>
          <w:color w:val="FF0000"/>
        </w:rPr>
        <w:t>Roles</w:t>
      </w:r>
      <w:r>
        <w:rPr>
          <w:color w:val="FF0000"/>
        </w:rPr>
        <w:t>- Susie Smith is the regional business manager for Smith+Nephew’s London operation (Linkedin, 2024).</w:t>
      </w:r>
    </w:p>
    <w:p w:rsidR="002A0827" w:rsidRDefault="00F27843">
      <w:pPr>
        <w:numPr>
          <w:ilvl w:val="0"/>
          <w:numId w:val="1"/>
        </w:numPr>
        <w:spacing w:line="360" w:lineRule="auto"/>
        <w:rPr>
          <w:color w:val="FF0000"/>
        </w:rPr>
      </w:pPr>
      <w:r>
        <w:rPr>
          <w:b/>
          <w:bCs/>
          <w:color w:val="FF0000"/>
        </w:rPr>
        <w:t>Responsibilities</w:t>
      </w:r>
      <w:r>
        <w:rPr>
          <w:color w:val="FF0000"/>
        </w:rPr>
        <w:t>- Help establish a distribution network for the product sales</w:t>
      </w:r>
    </w:p>
    <w:p w:rsidR="002A0827" w:rsidRDefault="00F27843">
      <w:pPr>
        <w:numPr>
          <w:ilvl w:val="0"/>
          <w:numId w:val="1"/>
        </w:numPr>
        <w:spacing w:line="360" w:lineRule="auto"/>
        <w:rPr>
          <w:color w:val="FF0000"/>
        </w:rPr>
      </w:pPr>
      <w:r>
        <w:rPr>
          <w:b/>
          <w:bCs/>
          <w:color w:val="FF0000"/>
        </w:rPr>
        <w:t>Benefits</w:t>
      </w:r>
      <w:r>
        <w:rPr>
          <w:color w:val="FF0000"/>
        </w:rPr>
        <w:t>- The targeted business innovation can be started in London due to its diverse customer base, and expand based on market response.</w:t>
      </w:r>
    </w:p>
    <w:p w:rsidR="002A0827" w:rsidRDefault="00F27843">
      <w:pPr>
        <w:numPr>
          <w:ilvl w:val="0"/>
          <w:numId w:val="1"/>
        </w:numPr>
        <w:spacing w:line="360" w:lineRule="auto"/>
        <w:rPr>
          <w:color w:val="FF0000"/>
        </w:rPr>
      </w:pPr>
      <w:r>
        <w:rPr>
          <w:b/>
          <w:bCs/>
          <w:color w:val="FF0000"/>
        </w:rPr>
        <w:t>Challenges</w:t>
      </w:r>
      <w:r>
        <w:rPr>
          <w:color w:val="FF0000"/>
        </w:rPr>
        <w:t>- Building feasible distribution channel in market amidst inflation is at 3.3% (</w:t>
      </w:r>
      <w:r>
        <w:rPr>
          <w:i/>
          <w:iCs/>
          <w:color w:val="FF0000"/>
        </w:rPr>
        <w:t>Table 2</w:t>
      </w:r>
      <w:r>
        <w:rPr>
          <w:color w:val="FF0000"/>
        </w:rPr>
        <w:t>)</w:t>
      </w:r>
    </w:p>
    <w:p w:rsidR="002A0827" w:rsidRDefault="00F27843">
      <w:pPr>
        <w:pStyle w:val="Heading2"/>
        <w:spacing w:before="0" w:after="200"/>
        <w:rPr>
          <w:color w:val="FF0000"/>
        </w:rPr>
      </w:pPr>
      <w:bookmarkStart w:id="8" w:name="_heading=h.xs7u3r28dtdd" w:colFirst="0" w:colLast="0"/>
      <w:bookmarkEnd w:id="8"/>
      <w:r>
        <w:rPr>
          <w:color w:val="FF0000"/>
        </w:rPr>
        <w:t>Roles and responsibilities of external stakeholders</w:t>
      </w:r>
    </w:p>
    <w:p w:rsidR="002A0827" w:rsidRDefault="00F27843">
      <w:pPr>
        <w:spacing w:line="360" w:lineRule="auto"/>
        <w:rPr>
          <w:color w:val="FF0000"/>
        </w:rPr>
      </w:pPr>
      <w:r>
        <w:rPr>
          <w:b/>
          <w:bCs/>
          <w:i/>
          <w:iCs/>
          <w:color w:val="FF0000"/>
        </w:rPr>
        <w:t>JPMorgan Chase Bank</w:t>
      </w:r>
    </w:p>
    <w:p w:rsidR="002A0827" w:rsidRDefault="00F27843">
      <w:pPr>
        <w:numPr>
          <w:ilvl w:val="0"/>
          <w:numId w:val="2"/>
        </w:numPr>
        <w:spacing w:line="360" w:lineRule="auto"/>
        <w:rPr>
          <w:color w:val="FF0000"/>
        </w:rPr>
      </w:pPr>
      <w:r>
        <w:rPr>
          <w:b/>
          <w:bCs/>
          <w:color w:val="FF0000"/>
        </w:rPr>
        <w:t>Role</w:t>
      </w:r>
      <w:r>
        <w:rPr>
          <w:color w:val="FF0000"/>
        </w:rPr>
        <w:t>- JPMorgan Chase is one of the largest investors at Smith &amp; Nephew that has supported Smith+Nephew’s “$500 million share buyback program” (Investing.com, 2025)</w:t>
      </w:r>
    </w:p>
    <w:p w:rsidR="002A0827" w:rsidRDefault="00F27843">
      <w:pPr>
        <w:numPr>
          <w:ilvl w:val="0"/>
          <w:numId w:val="2"/>
        </w:numPr>
        <w:spacing w:line="360" w:lineRule="auto"/>
        <w:rPr>
          <w:color w:val="FF0000"/>
        </w:rPr>
      </w:pPr>
      <w:r>
        <w:rPr>
          <w:b/>
          <w:bCs/>
          <w:color w:val="FF0000"/>
        </w:rPr>
        <w:t>Responsibility</w:t>
      </w:r>
      <w:r>
        <w:rPr>
          <w:color w:val="FF0000"/>
        </w:rPr>
        <w:t>- JPMorgan Chase Bank is the financial partner of Smith+Nephew also known as Smith&amp; Nephew that can benefit from investments, as monetary returns with interest.</w:t>
      </w:r>
    </w:p>
    <w:p w:rsidR="002A0827" w:rsidRDefault="00F27843">
      <w:pPr>
        <w:numPr>
          <w:ilvl w:val="0"/>
          <w:numId w:val="2"/>
        </w:numPr>
        <w:spacing w:line="360" w:lineRule="auto"/>
        <w:rPr>
          <w:color w:val="FF0000"/>
        </w:rPr>
      </w:pPr>
      <w:r>
        <w:rPr>
          <w:b/>
          <w:bCs/>
          <w:color w:val="FF0000"/>
        </w:rPr>
        <w:t>Benefit</w:t>
      </w:r>
      <w:r>
        <w:rPr>
          <w:color w:val="FF0000"/>
        </w:rPr>
        <w:t>- Financial support for the business plan expansion and expert guidance</w:t>
      </w:r>
    </w:p>
    <w:p w:rsidR="002A0827" w:rsidRDefault="00F27843">
      <w:pPr>
        <w:numPr>
          <w:ilvl w:val="0"/>
          <w:numId w:val="2"/>
        </w:numPr>
        <w:spacing w:line="360" w:lineRule="auto"/>
        <w:rPr>
          <w:color w:val="FF0000"/>
        </w:rPr>
      </w:pPr>
      <w:r>
        <w:rPr>
          <w:b/>
          <w:bCs/>
          <w:color w:val="FF0000"/>
        </w:rPr>
        <w:t>Challenges</w:t>
      </w:r>
      <w:r>
        <w:rPr>
          <w:color w:val="FF0000"/>
        </w:rPr>
        <w:t xml:space="preserve">- A key challenge for financial investors is the impact of economic volatility affecting their monetary return (Qi </w:t>
      </w:r>
      <w:r>
        <w:rPr>
          <w:i/>
          <w:iCs/>
          <w:color w:val="FF0000"/>
        </w:rPr>
        <w:t xml:space="preserve">et al. </w:t>
      </w:r>
      <w:r>
        <w:rPr>
          <w:color w:val="FF0000"/>
        </w:rPr>
        <w:t>2022)</w:t>
      </w:r>
    </w:p>
    <w:p w:rsidR="002A0827" w:rsidRDefault="00F27843">
      <w:pPr>
        <w:spacing w:line="360" w:lineRule="auto"/>
        <w:rPr>
          <w:color w:val="FF0000"/>
        </w:rPr>
      </w:pPr>
      <w:r>
        <w:rPr>
          <w:b/>
          <w:bCs/>
          <w:i/>
          <w:iCs/>
          <w:color w:val="FF0000"/>
        </w:rPr>
        <w:t>Medicines and Healthcare products Regulatory Agency (MHRA)</w:t>
      </w:r>
    </w:p>
    <w:p w:rsidR="002A0827" w:rsidRDefault="00F27843">
      <w:pPr>
        <w:numPr>
          <w:ilvl w:val="0"/>
          <w:numId w:val="2"/>
        </w:numPr>
        <w:spacing w:line="360" w:lineRule="auto"/>
        <w:rPr>
          <w:color w:val="FF0000"/>
        </w:rPr>
      </w:pPr>
      <w:r>
        <w:rPr>
          <w:b/>
          <w:bCs/>
          <w:color w:val="FF0000"/>
        </w:rPr>
        <w:t>Role</w:t>
      </w:r>
      <w:r>
        <w:rPr>
          <w:color w:val="FF0000"/>
        </w:rPr>
        <w:t>- Implement and overview the quality of health monitoring devices by Smith+Nephew, ensuring safe medical grade devices, maintaining market credibility and legal compliances.</w:t>
      </w:r>
    </w:p>
    <w:p w:rsidR="002A0827" w:rsidRDefault="00F27843">
      <w:pPr>
        <w:numPr>
          <w:ilvl w:val="0"/>
          <w:numId w:val="2"/>
        </w:numPr>
        <w:spacing w:line="360" w:lineRule="auto"/>
        <w:rPr>
          <w:color w:val="FF0000"/>
        </w:rPr>
      </w:pPr>
      <w:r>
        <w:rPr>
          <w:b/>
          <w:bCs/>
          <w:color w:val="FF0000"/>
        </w:rPr>
        <w:t>Responsibility</w:t>
      </w:r>
      <w:r>
        <w:rPr>
          <w:color w:val="FF0000"/>
        </w:rPr>
        <w:t xml:space="preserve">- Medicine and Healthcare products regulatory Agency is responsible for assessing quality of medical devices used in the UK (Quigley </w:t>
      </w:r>
      <w:r>
        <w:rPr>
          <w:i/>
          <w:iCs/>
          <w:color w:val="FF0000"/>
        </w:rPr>
        <w:t xml:space="preserve">et al. </w:t>
      </w:r>
      <w:r>
        <w:rPr>
          <w:color w:val="FF0000"/>
        </w:rPr>
        <w:t>2023).</w:t>
      </w:r>
    </w:p>
    <w:p w:rsidR="002A0827" w:rsidRDefault="00F27843">
      <w:pPr>
        <w:numPr>
          <w:ilvl w:val="0"/>
          <w:numId w:val="2"/>
        </w:numPr>
        <w:spacing w:line="360" w:lineRule="auto"/>
        <w:rPr>
          <w:color w:val="FF0000"/>
        </w:rPr>
      </w:pPr>
      <w:r>
        <w:rPr>
          <w:b/>
          <w:bCs/>
          <w:color w:val="FF0000"/>
        </w:rPr>
        <w:t>Benefit</w:t>
      </w:r>
      <w:r>
        <w:rPr>
          <w:color w:val="FF0000"/>
        </w:rPr>
        <w:t xml:space="preserve">- Han </w:t>
      </w:r>
      <w:r>
        <w:rPr>
          <w:i/>
          <w:iCs/>
          <w:color w:val="FF0000"/>
        </w:rPr>
        <w:t xml:space="preserve">et al. </w:t>
      </w:r>
      <w:r>
        <w:rPr>
          <w:color w:val="FF0000"/>
        </w:rPr>
        <w:t>(2022) stated that opportunities in regulatory independence and risk identification for innovation and investments.</w:t>
      </w:r>
    </w:p>
    <w:p w:rsidR="002A0827" w:rsidRDefault="00F27843">
      <w:pPr>
        <w:numPr>
          <w:ilvl w:val="0"/>
          <w:numId w:val="2"/>
        </w:numPr>
        <w:spacing w:line="360" w:lineRule="auto"/>
        <w:rPr>
          <w:color w:val="FF0000"/>
        </w:rPr>
      </w:pPr>
      <w:r>
        <w:rPr>
          <w:b/>
          <w:bCs/>
          <w:color w:val="FF0000"/>
        </w:rPr>
        <w:t>Challenges</w:t>
      </w:r>
      <w:r>
        <w:rPr>
          <w:color w:val="FF0000"/>
        </w:rPr>
        <w:t>- Lack of alliance with the changing policies by MHRA can lead to product ban in UK market</w:t>
      </w:r>
    </w:p>
    <w:p w:rsidR="002A0827" w:rsidRDefault="00F27843">
      <w:pPr>
        <w:spacing w:line="360" w:lineRule="auto"/>
        <w:rPr>
          <w:color w:val="FF0000"/>
        </w:rPr>
      </w:pPr>
      <w:r>
        <w:rPr>
          <w:b/>
          <w:bCs/>
          <w:i/>
          <w:iCs/>
          <w:color w:val="FF0000"/>
        </w:rPr>
        <w:lastRenderedPageBreak/>
        <w:t>NHS trusts and hospitals</w:t>
      </w:r>
    </w:p>
    <w:p w:rsidR="002A0827" w:rsidRDefault="00F27843">
      <w:pPr>
        <w:numPr>
          <w:ilvl w:val="0"/>
          <w:numId w:val="2"/>
        </w:numPr>
        <w:spacing w:line="360" w:lineRule="auto"/>
        <w:rPr>
          <w:color w:val="FF0000"/>
        </w:rPr>
      </w:pPr>
      <w:r>
        <w:rPr>
          <w:b/>
          <w:bCs/>
          <w:color w:val="FF0000"/>
        </w:rPr>
        <w:t>Role</w:t>
      </w:r>
      <w:r>
        <w:rPr>
          <w:color w:val="FF0000"/>
        </w:rPr>
        <w:t>- NHS Trust and Hospitals are the major customers of Smith &amp; Nephew and its surgical products (Smith-nephew, 2025)</w:t>
      </w:r>
    </w:p>
    <w:p w:rsidR="002A0827" w:rsidRDefault="00F27843">
      <w:pPr>
        <w:numPr>
          <w:ilvl w:val="0"/>
          <w:numId w:val="2"/>
        </w:numPr>
        <w:spacing w:line="360" w:lineRule="auto"/>
        <w:rPr>
          <w:color w:val="FF0000"/>
        </w:rPr>
      </w:pPr>
      <w:r>
        <w:rPr>
          <w:b/>
          <w:bCs/>
          <w:color w:val="FF0000"/>
        </w:rPr>
        <w:t>Responsibility</w:t>
      </w:r>
      <w:r>
        <w:rPr>
          <w:color w:val="FF0000"/>
        </w:rPr>
        <w:t>- NHS trusts and hospitals are responsible for observing the effectiveness of the health device among customers, assessing its performance to provide feedback on improvement.</w:t>
      </w:r>
    </w:p>
    <w:p w:rsidR="002A0827" w:rsidRDefault="00F27843">
      <w:pPr>
        <w:numPr>
          <w:ilvl w:val="0"/>
          <w:numId w:val="2"/>
        </w:numPr>
        <w:spacing w:line="360" w:lineRule="auto"/>
        <w:rPr>
          <w:color w:val="FF0000"/>
        </w:rPr>
      </w:pPr>
      <w:r>
        <w:rPr>
          <w:b/>
          <w:bCs/>
          <w:color w:val="FF0000"/>
        </w:rPr>
        <w:t>Benefit</w:t>
      </w:r>
      <w:r>
        <w:rPr>
          <w:color w:val="FF0000"/>
        </w:rPr>
        <w:t>- NHS Trust and Hospitals benefits from the development of medical device innovation for offering better healthcare access.</w:t>
      </w:r>
    </w:p>
    <w:p w:rsidR="002A0827" w:rsidRDefault="00F27843">
      <w:pPr>
        <w:numPr>
          <w:ilvl w:val="0"/>
          <w:numId w:val="2"/>
        </w:numPr>
        <w:spacing w:line="360" w:lineRule="auto"/>
        <w:rPr>
          <w:color w:val="FF0000"/>
        </w:rPr>
      </w:pPr>
      <w:r>
        <w:rPr>
          <w:b/>
          <w:bCs/>
          <w:color w:val="FF0000"/>
        </w:rPr>
        <w:t>Challenges</w:t>
      </w:r>
      <w:r>
        <w:rPr>
          <w:color w:val="FF0000"/>
        </w:rPr>
        <w:t>- Faces operational, financial and governance pressure.</w:t>
      </w:r>
    </w:p>
    <w:p w:rsidR="002A0827" w:rsidRDefault="00F27843">
      <w:pPr>
        <w:pStyle w:val="Heading2"/>
        <w:spacing w:before="0" w:after="200"/>
        <w:rPr>
          <w:color w:val="FF0000"/>
        </w:rPr>
      </w:pPr>
      <w:bookmarkStart w:id="9" w:name="_heading=h.rn5c6ecgdc67" w:colFirst="0" w:colLast="0"/>
      <w:bookmarkEnd w:id="9"/>
      <w:r>
        <w:rPr>
          <w:color w:val="FF0000"/>
        </w:rPr>
        <w:t>Critical comparison of internal and external stakeholder</w:t>
      </w:r>
    </w:p>
    <w:p w:rsidR="002A0827" w:rsidRDefault="00F27843">
      <w:pPr>
        <w:spacing w:line="360" w:lineRule="auto"/>
        <w:rPr>
          <w:color w:val="FF0000"/>
        </w:rPr>
      </w:pPr>
      <w:r>
        <w:rPr>
          <w:color w:val="FF0000"/>
        </w:rPr>
        <w:t xml:space="preserve">The key responsibilities of the internal stakeholders at Smith+Nephew are to develop a strong teamwork, innovative work culture, and focus on staff development to increase job satisfaction and productivity. For example, as per Ahmed </w:t>
      </w:r>
      <w:r>
        <w:rPr>
          <w:i/>
          <w:iCs/>
          <w:color w:val="FF0000"/>
        </w:rPr>
        <w:t xml:space="preserve">et al. </w:t>
      </w:r>
      <w:r>
        <w:rPr>
          <w:color w:val="FF0000"/>
        </w:rPr>
        <w:t>(2023), main benefits of internal stakeholder engagement are to ensure effective problem-solving, support ongoing product design and quality improvement with cross-functional cooperation. The internal stakeholder for the medical devie involves decision-making capabilities from CEO, R&amp;D from Rebecca Hales, while marketing and distribution will be managed by resoetive department heads. On the other hand, external stakeholders that include regulatory bodies and clients determine the brand's perceived image and reputation among customers. Additionally, authentic insight on product performance is offered by the external stakeholders for improvement, while investors like JP Morgan funds continued innovation with Smith+Nephew devices. However, major challenges faced by product clients are lack of responsiveness and aligning personality traits with positions (Unterhitzenberger</w:t>
      </w:r>
      <w:r>
        <w:rPr>
          <w:i/>
          <w:iCs/>
          <w:color w:val="FF0000"/>
        </w:rPr>
        <w:t xml:space="preserve">et al. </w:t>
      </w:r>
      <w:r>
        <w:rPr>
          <w:color w:val="FF0000"/>
        </w:rPr>
        <w:t xml:space="preserve">2021). Contrarily, key issues among external stakeholders involving limited numbers of regulatory bodies that approve medical grade quality is a major barrier for UK based medical device development (Beddoe-Rosendo </w:t>
      </w:r>
      <w:r>
        <w:rPr>
          <w:i/>
          <w:iCs/>
          <w:color w:val="FF0000"/>
        </w:rPr>
        <w:t xml:space="preserve">et al. </w:t>
      </w:r>
      <w:r>
        <w:rPr>
          <w:color w:val="FF0000"/>
        </w:rPr>
        <w:t>2023). Therefore, internal stakeholders are responsible for improving the product and deciding its market positioning, while external stakeholders support the development, provide real-time feedback on product performance.</w:t>
      </w:r>
    </w:p>
    <w:p w:rsidR="002A0827" w:rsidRDefault="00F27843">
      <w:pPr>
        <w:pStyle w:val="Heading1"/>
        <w:keepNext/>
        <w:keepLines/>
        <w:spacing w:before="200" w:after="200"/>
      </w:pPr>
      <w:bookmarkStart w:id="10" w:name="_heading=h.wtk3h51nja2o" w:colFirst="0" w:colLast="0"/>
      <w:bookmarkEnd w:id="10"/>
      <w:r>
        <w:t>Application of theories and frameworks on the stakeholders</w:t>
      </w:r>
    </w:p>
    <w:p w:rsidR="002A0827" w:rsidRDefault="00F27843">
      <w:pPr>
        <w:pStyle w:val="Heading2"/>
        <w:spacing w:before="0" w:after="200"/>
      </w:pPr>
      <w:bookmarkStart w:id="11" w:name="_heading=h.o597euwiv9wr" w:colFirst="0" w:colLast="0"/>
      <w:bookmarkEnd w:id="11"/>
      <w:r>
        <w:t>Mendelow’s Stakeholder Matrix</w:t>
      </w: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055"/>
        <w:gridCol w:w="3540"/>
        <w:gridCol w:w="3765"/>
      </w:tblGrid>
      <w:tr w:rsidR="002A0827" w:rsidTr="00D8096B">
        <w:tc>
          <w:tcPr>
            <w:tcW w:w="2055" w:type="dxa"/>
            <w:shd w:val="clear" w:color="auto" w:fill="EAF1DD" w:themeFill="accent3" w:themeFillTint="33"/>
            <w:tcMar>
              <w:top w:w="100" w:type="dxa"/>
              <w:left w:w="100" w:type="dxa"/>
              <w:bottom w:w="100" w:type="dxa"/>
              <w:right w:w="100" w:type="dxa"/>
            </w:tcMar>
          </w:tcPr>
          <w:p w:rsidR="002A0827" w:rsidRDefault="002A0827">
            <w:pPr>
              <w:widowControl w:val="0"/>
              <w:spacing w:line="360" w:lineRule="auto"/>
            </w:pPr>
          </w:p>
        </w:tc>
        <w:tc>
          <w:tcPr>
            <w:tcW w:w="3540"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jc w:val="center"/>
              <w:rPr>
                <w:b/>
                <w:bCs/>
                <w:i/>
                <w:iCs/>
              </w:rPr>
            </w:pPr>
            <w:r>
              <w:rPr>
                <w:b/>
                <w:bCs/>
                <w:i/>
                <w:iCs/>
              </w:rPr>
              <w:t>Low Interest</w:t>
            </w:r>
          </w:p>
        </w:tc>
        <w:tc>
          <w:tcPr>
            <w:tcW w:w="3765"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jc w:val="center"/>
              <w:rPr>
                <w:b/>
                <w:bCs/>
                <w:i/>
                <w:iCs/>
              </w:rPr>
            </w:pPr>
            <w:r>
              <w:rPr>
                <w:b/>
                <w:bCs/>
                <w:i/>
                <w:iCs/>
              </w:rPr>
              <w:t>High Interest</w:t>
            </w:r>
          </w:p>
        </w:tc>
      </w:tr>
      <w:tr w:rsidR="002A0827" w:rsidTr="00D8096B">
        <w:tc>
          <w:tcPr>
            <w:tcW w:w="2055"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jc w:val="center"/>
              <w:rPr>
                <w:b/>
                <w:bCs/>
                <w:i/>
                <w:iCs/>
              </w:rPr>
            </w:pPr>
            <w:r>
              <w:rPr>
                <w:b/>
                <w:bCs/>
                <w:i/>
                <w:iCs/>
              </w:rPr>
              <w:lastRenderedPageBreak/>
              <w:t>Low Power</w:t>
            </w:r>
          </w:p>
        </w:tc>
        <w:tc>
          <w:tcPr>
            <w:tcW w:w="3540"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rPr>
                <w:i/>
                <w:iCs/>
              </w:rPr>
            </w:pPr>
            <w:r>
              <w:rPr>
                <w:i/>
                <w:iCs/>
              </w:rPr>
              <w:t>Minimal Effort</w:t>
            </w:r>
          </w:p>
          <w:p w:rsidR="002A0827" w:rsidRDefault="00F27843">
            <w:pPr>
              <w:widowControl w:val="0"/>
              <w:numPr>
                <w:ilvl w:val="0"/>
                <w:numId w:val="11"/>
              </w:numPr>
              <w:spacing w:line="360" w:lineRule="auto"/>
            </w:pPr>
            <w:r>
              <w:t>UK healthcare customers</w:t>
            </w:r>
          </w:p>
          <w:p w:rsidR="002A0827" w:rsidRDefault="00F27843">
            <w:pPr>
              <w:widowControl w:val="0"/>
              <w:numPr>
                <w:ilvl w:val="0"/>
                <w:numId w:val="11"/>
              </w:numPr>
              <w:spacing w:line="360" w:lineRule="auto"/>
            </w:pPr>
            <w:r>
              <w:t>Media and general public</w:t>
            </w:r>
          </w:p>
        </w:tc>
        <w:tc>
          <w:tcPr>
            <w:tcW w:w="3765"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pPr>
            <w:r>
              <w:rPr>
                <w:i/>
                <w:iCs/>
              </w:rPr>
              <w:t>Keep Informed</w:t>
            </w:r>
          </w:p>
          <w:p w:rsidR="002A0827" w:rsidRDefault="00F27843">
            <w:pPr>
              <w:widowControl w:val="0"/>
              <w:numPr>
                <w:ilvl w:val="0"/>
                <w:numId w:val="15"/>
              </w:numPr>
              <w:spacing w:line="360" w:lineRule="auto"/>
            </w:pPr>
            <w:r>
              <w:t>Tom Smith, Senior Marketing Manager</w:t>
            </w:r>
          </w:p>
          <w:p w:rsidR="002A0827" w:rsidRDefault="00F27843">
            <w:pPr>
              <w:widowControl w:val="0"/>
              <w:numPr>
                <w:ilvl w:val="0"/>
                <w:numId w:val="15"/>
              </w:numPr>
              <w:spacing w:line="360" w:lineRule="auto"/>
            </w:pPr>
            <w:r>
              <w:t>Susie Smith, Regional Business Manager</w:t>
            </w:r>
          </w:p>
          <w:p w:rsidR="002A0827" w:rsidRDefault="00F27843">
            <w:pPr>
              <w:widowControl w:val="0"/>
              <w:numPr>
                <w:ilvl w:val="0"/>
                <w:numId w:val="15"/>
              </w:numPr>
              <w:spacing w:line="360" w:lineRule="auto"/>
            </w:pPr>
            <w:r>
              <w:t>JPMorgan Chase</w:t>
            </w:r>
          </w:p>
        </w:tc>
      </w:tr>
      <w:tr w:rsidR="002A0827" w:rsidTr="00D8096B">
        <w:tc>
          <w:tcPr>
            <w:tcW w:w="2055"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jc w:val="center"/>
              <w:rPr>
                <w:b/>
                <w:bCs/>
                <w:i/>
                <w:iCs/>
              </w:rPr>
            </w:pPr>
            <w:r>
              <w:rPr>
                <w:b/>
                <w:bCs/>
                <w:i/>
                <w:iCs/>
              </w:rPr>
              <w:t>High Power</w:t>
            </w:r>
          </w:p>
        </w:tc>
        <w:tc>
          <w:tcPr>
            <w:tcW w:w="3540"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rPr>
                <w:i/>
                <w:iCs/>
              </w:rPr>
            </w:pPr>
            <w:r>
              <w:rPr>
                <w:i/>
                <w:iCs/>
              </w:rPr>
              <w:t>Keep Satisfied</w:t>
            </w:r>
          </w:p>
          <w:p w:rsidR="002A0827" w:rsidRDefault="00F27843">
            <w:pPr>
              <w:widowControl w:val="0"/>
              <w:numPr>
                <w:ilvl w:val="0"/>
                <w:numId w:val="14"/>
              </w:numPr>
              <w:spacing w:line="360" w:lineRule="auto"/>
            </w:pPr>
            <w:r>
              <w:t>NHS Trusts and Hospitals</w:t>
            </w:r>
          </w:p>
          <w:p w:rsidR="002A0827" w:rsidRDefault="00F27843">
            <w:pPr>
              <w:widowControl w:val="0"/>
              <w:numPr>
                <w:ilvl w:val="0"/>
                <w:numId w:val="14"/>
              </w:numPr>
              <w:spacing w:line="360" w:lineRule="auto"/>
            </w:pPr>
            <w:r>
              <w:t>MHRA</w:t>
            </w:r>
          </w:p>
        </w:tc>
        <w:tc>
          <w:tcPr>
            <w:tcW w:w="3765" w:type="dxa"/>
            <w:shd w:val="clear" w:color="auto" w:fill="EAF1DD" w:themeFill="accent3" w:themeFillTint="33"/>
            <w:tcMar>
              <w:top w:w="100" w:type="dxa"/>
              <w:left w:w="100" w:type="dxa"/>
              <w:bottom w:w="100" w:type="dxa"/>
              <w:right w:w="100" w:type="dxa"/>
            </w:tcMar>
          </w:tcPr>
          <w:p w:rsidR="002A0827" w:rsidRDefault="00F27843">
            <w:pPr>
              <w:widowControl w:val="0"/>
              <w:spacing w:line="360" w:lineRule="auto"/>
            </w:pPr>
            <w:r>
              <w:rPr>
                <w:i/>
                <w:iCs/>
              </w:rPr>
              <w:t>Key Players</w:t>
            </w:r>
          </w:p>
          <w:p w:rsidR="002A0827" w:rsidRDefault="00F27843">
            <w:pPr>
              <w:widowControl w:val="0"/>
              <w:numPr>
                <w:ilvl w:val="0"/>
                <w:numId w:val="16"/>
              </w:numPr>
              <w:spacing w:line="360" w:lineRule="auto"/>
            </w:pPr>
            <w:r>
              <w:t>Rebecca Hales, Senior R&amp;D Manager</w:t>
            </w:r>
          </w:p>
          <w:p w:rsidR="002A0827" w:rsidRDefault="00F27843">
            <w:pPr>
              <w:widowControl w:val="0"/>
              <w:numPr>
                <w:ilvl w:val="0"/>
                <w:numId w:val="16"/>
              </w:numPr>
              <w:spacing w:line="360" w:lineRule="auto"/>
            </w:pPr>
            <w:r>
              <w:t>Deepak Nath, CEO</w:t>
            </w:r>
          </w:p>
        </w:tc>
      </w:tr>
    </w:tbl>
    <w:p w:rsidR="002A0827" w:rsidRDefault="00F27843">
      <w:pPr>
        <w:spacing w:line="360" w:lineRule="auto"/>
        <w:jc w:val="center"/>
        <w:rPr>
          <w:b/>
          <w:bCs/>
        </w:rPr>
      </w:pPr>
      <w:r>
        <w:rPr>
          <w:b/>
          <w:bCs/>
        </w:rPr>
        <w:t xml:space="preserve">Table 4: Mendelow’s Stakeholder Matrix </w:t>
      </w:r>
    </w:p>
    <w:p w:rsidR="002A0827" w:rsidRDefault="00F27843">
      <w:pPr>
        <w:spacing w:line="360" w:lineRule="auto"/>
        <w:jc w:val="center"/>
      </w:pPr>
      <w:r>
        <w:t>(Source: Self Developed)</w:t>
      </w:r>
    </w:p>
    <w:p w:rsidR="002A0827" w:rsidRDefault="00F27843">
      <w:pPr>
        <w:spacing w:line="360" w:lineRule="auto"/>
        <w:rPr>
          <w:b/>
          <w:bCs/>
          <w:i/>
          <w:iCs/>
          <w:color w:val="FF0000"/>
        </w:rPr>
      </w:pPr>
      <w:r>
        <w:rPr>
          <w:b/>
          <w:bCs/>
          <w:i/>
          <w:iCs/>
          <w:color w:val="FF0000"/>
        </w:rPr>
        <w:t>HPLI</w:t>
      </w:r>
    </w:p>
    <w:p w:rsidR="002A0827" w:rsidRDefault="00F27843">
      <w:pPr>
        <w:spacing w:line="360" w:lineRule="auto"/>
        <w:rPr>
          <w:color w:val="FF0000"/>
        </w:rPr>
      </w:pPr>
      <w:r>
        <w:rPr>
          <w:color w:val="FF0000"/>
        </w:rPr>
        <w:t>High power low interest identifies stakeholder with more control over the project, yet less stake involves. MHRA and NHS lacks direct involvement with the device development, yet has high influence on its successful market distribution and demands.</w:t>
      </w:r>
    </w:p>
    <w:p w:rsidR="002A0827" w:rsidRDefault="00F27843">
      <w:pPr>
        <w:spacing w:line="360" w:lineRule="auto"/>
        <w:rPr>
          <w:b/>
          <w:bCs/>
          <w:i/>
          <w:iCs/>
          <w:color w:val="FF0000"/>
        </w:rPr>
      </w:pPr>
      <w:r>
        <w:rPr>
          <w:b/>
          <w:bCs/>
          <w:i/>
          <w:iCs/>
          <w:color w:val="FF0000"/>
        </w:rPr>
        <w:t>HPHI</w:t>
      </w:r>
    </w:p>
    <w:p w:rsidR="002A0827" w:rsidRDefault="00F27843">
      <w:pPr>
        <w:spacing w:line="360" w:lineRule="auto"/>
        <w:rPr>
          <w:color w:val="FF0000"/>
        </w:rPr>
      </w:pPr>
      <w:r>
        <w:rPr>
          <w:color w:val="FF0000"/>
        </w:rPr>
        <w:t>High power low interest refers to stakeholder with high stakes, as well as influence over the project, such as the CEO and R&amp;D manager.</w:t>
      </w:r>
    </w:p>
    <w:p w:rsidR="002A0827" w:rsidRDefault="00F27843">
      <w:pPr>
        <w:spacing w:line="360" w:lineRule="auto"/>
        <w:rPr>
          <w:b/>
          <w:bCs/>
          <w:i/>
          <w:iCs/>
          <w:color w:val="FF0000"/>
        </w:rPr>
      </w:pPr>
      <w:r>
        <w:rPr>
          <w:b/>
          <w:bCs/>
          <w:i/>
          <w:iCs/>
          <w:color w:val="FF0000"/>
        </w:rPr>
        <w:t>LPLI</w:t>
      </w:r>
    </w:p>
    <w:p w:rsidR="002A0827" w:rsidRDefault="00F27843">
      <w:pPr>
        <w:spacing w:line="360" w:lineRule="auto"/>
        <w:rPr>
          <w:color w:val="FF0000"/>
        </w:rPr>
      </w:pPr>
      <w:r>
        <w:rPr>
          <w:color w:val="FF0000"/>
        </w:rPr>
        <w:t>Stakeholders with low power and interest on the project are the general public and media.</w:t>
      </w:r>
    </w:p>
    <w:p w:rsidR="002A0827" w:rsidRDefault="00F27843">
      <w:pPr>
        <w:spacing w:line="360" w:lineRule="auto"/>
        <w:rPr>
          <w:b/>
          <w:bCs/>
          <w:i/>
          <w:iCs/>
          <w:color w:val="FF0000"/>
        </w:rPr>
      </w:pPr>
      <w:r>
        <w:rPr>
          <w:b/>
          <w:bCs/>
          <w:i/>
          <w:iCs/>
          <w:color w:val="FF0000"/>
        </w:rPr>
        <w:t>LPHI</w:t>
      </w:r>
    </w:p>
    <w:p w:rsidR="002A0827" w:rsidRDefault="00F27843">
      <w:pPr>
        <w:spacing w:line="360" w:lineRule="auto"/>
        <w:rPr>
          <w:color w:val="FF0000"/>
        </w:rPr>
      </w:pPr>
      <w:r>
        <w:rPr>
          <w:color w:val="FF0000"/>
        </w:rPr>
        <w:t xml:space="preserve">Low power with high interest in the project involves the departmental managers responsible for successful marketing and distribution. </w:t>
      </w:r>
    </w:p>
    <w:p w:rsidR="002A0827" w:rsidRDefault="00F27843">
      <w:pPr>
        <w:spacing w:line="360" w:lineRule="auto"/>
        <w:rPr>
          <w:b/>
          <w:bCs/>
          <w:i/>
          <w:iCs/>
          <w:color w:val="FF0000"/>
        </w:rPr>
      </w:pPr>
      <w:r>
        <w:rPr>
          <w:b/>
          <w:bCs/>
          <w:i/>
          <w:iCs/>
          <w:color w:val="FF0000"/>
        </w:rPr>
        <w:t>Guidance for engagement</w:t>
      </w:r>
    </w:p>
    <w:p w:rsidR="002A0827" w:rsidRDefault="00F27843">
      <w:pPr>
        <w:spacing w:line="360" w:lineRule="auto"/>
        <w:rPr>
          <w:color w:val="FF0000"/>
        </w:rPr>
      </w:pPr>
      <w:r>
        <w:rPr>
          <w:color w:val="FF0000"/>
        </w:rPr>
        <w:t>Stakeholder matrix table highlights that strategic meetings and compliance reviews help leaders closely monitor the sessions and its impact on the team productivity. Thus, identifying the interest and power over the project will help evaluate individual commitment level to the plan for developing engagement in the next section.</w:t>
      </w:r>
    </w:p>
    <w:p w:rsidR="002A0827" w:rsidRDefault="00F27843">
      <w:pPr>
        <w:pStyle w:val="Heading2"/>
        <w:spacing w:before="0" w:after="200"/>
      </w:pPr>
      <w:bookmarkStart w:id="12" w:name="_heading=h.son15obxp4tv" w:colFirst="0" w:colLast="0"/>
      <w:bookmarkEnd w:id="12"/>
      <w:r>
        <w:t>Strategic Engagement Plan for stakeholders</w:t>
      </w:r>
    </w:p>
    <w:p w:rsidR="002A0827" w:rsidRDefault="00F27843">
      <w:pPr>
        <w:spacing w:line="360" w:lineRule="auto"/>
        <w:rPr>
          <w:color w:val="FF0000"/>
        </w:rPr>
      </w:pPr>
      <w:r>
        <w:rPr>
          <w:color w:val="FF0000"/>
        </w:rPr>
        <w:t xml:space="preserve">Based on the stakeholder analysis for the proposed medical device, there are various people and institutions involved in the product development. However, it is important to assess the </w:t>
      </w:r>
      <w:r>
        <w:rPr>
          <w:color w:val="FF0000"/>
        </w:rPr>
        <w:lastRenderedPageBreak/>
        <w:t xml:space="preserve">commitment level of the individual stakeholders for identifying stakeholder interests involved with the project more specifically. Therefore, an engagement plan identifies the commitment level of each stakeholder based on type, interest and power to schedule communication frequency throughout the project </w:t>
      </w:r>
      <w:r>
        <w:rPr>
          <w:i/>
          <w:iCs/>
          <w:color w:val="FF0000"/>
        </w:rPr>
        <w:t>(Table 5</w:t>
      </w:r>
      <w:r>
        <w:rPr>
          <w:color w:val="FF0000"/>
        </w:rPr>
        <w:t xml:space="preserve">). </w:t>
      </w:r>
    </w:p>
    <w:tbl>
      <w:tblPr>
        <w:tblStyle w:val="a9"/>
        <w:tblW w:w="93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1185"/>
        <w:gridCol w:w="885"/>
        <w:gridCol w:w="870"/>
        <w:gridCol w:w="1065"/>
        <w:gridCol w:w="765"/>
        <w:gridCol w:w="870"/>
        <w:gridCol w:w="840"/>
        <w:gridCol w:w="915"/>
        <w:gridCol w:w="870"/>
        <w:gridCol w:w="1050"/>
      </w:tblGrid>
      <w:tr w:rsidR="002A0827">
        <w:trPr>
          <w:trHeight w:val="540"/>
        </w:trPr>
        <w:tc>
          <w:tcPr>
            <w:tcW w:w="1185" w:type="dxa"/>
            <w:shd w:val="clear" w:color="auto" w:fill="FFFFFF"/>
            <w:tcMar>
              <w:top w:w="0" w:type="dxa"/>
              <w:left w:w="100" w:type="dxa"/>
              <w:bottom w:w="0" w:type="dxa"/>
              <w:right w:w="100" w:type="dxa"/>
            </w:tcMar>
          </w:tcPr>
          <w:p w:rsidR="002A0827" w:rsidRDefault="002A0827">
            <w:pPr>
              <w:spacing w:before="240" w:after="240" w:line="360" w:lineRule="auto"/>
              <w:ind w:firstLine="200"/>
              <w:rPr>
                <w:sz w:val="20"/>
                <w:szCs w:val="20"/>
              </w:rPr>
            </w:pPr>
          </w:p>
        </w:tc>
        <w:tc>
          <w:tcPr>
            <w:tcW w:w="885" w:type="dxa"/>
            <w:shd w:val="clear" w:color="auto" w:fill="FFFFFF"/>
            <w:tcMar>
              <w:top w:w="0" w:type="dxa"/>
              <w:left w:w="100" w:type="dxa"/>
              <w:bottom w:w="0" w:type="dxa"/>
              <w:right w:w="100" w:type="dxa"/>
            </w:tcMar>
          </w:tcPr>
          <w:p w:rsidR="002A0827" w:rsidRDefault="002A0827">
            <w:pPr>
              <w:spacing w:before="240" w:after="240" w:line="360" w:lineRule="auto"/>
              <w:ind w:firstLine="200"/>
              <w:rPr>
                <w:sz w:val="20"/>
                <w:szCs w:val="20"/>
              </w:rPr>
            </w:pPr>
          </w:p>
        </w:tc>
        <w:tc>
          <w:tcPr>
            <w:tcW w:w="870" w:type="dxa"/>
            <w:shd w:val="clear" w:color="auto" w:fill="FFFFFF"/>
            <w:tcMar>
              <w:top w:w="0" w:type="dxa"/>
              <w:left w:w="100" w:type="dxa"/>
              <w:bottom w:w="0" w:type="dxa"/>
              <w:right w:w="100" w:type="dxa"/>
            </w:tcMar>
          </w:tcPr>
          <w:p w:rsidR="002A0827" w:rsidRDefault="002A0827">
            <w:pPr>
              <w:spacing w:before="240" w:after="240" w:line="360" w:lineRule="auto"/>
              <w:ind w:firstLine="200"/>
              <w:rPr>
                <w:sz w:val="20"/>
                <w:szCs w:val="20"/>
              </w:rPr>
            </w:pPr>
          </w:p>
        </w:tc>
        <w:tc>
          <w:tcPr>
            <w:tcW w:w="1065" w:type="dxa"/>
            <w:shd w:val="clear" w:color="auto" w:fill="FFFFFF"/>
            <w:tcMar>
              <w:top w:w="0" w:type="dxa"/>
              <w:left w:w="100" w:type="dxa"/>
              <w:bottom w:w="0" w:type="dxa"/>
              <w:right w:w="100" w:type="dxa"/>
            </w:tcMar>
          </w:tcPr>
          <w:p w:rsidR="002A0827" w:rsidRDefault="002A0827">
            <w:pPr>
              <w:spacing w:before="240" w:after="240" w:line="360" w:lineRule="auto"/>
              <w:ind w:firstLine="200"/>
              <w:rPr>
                <w:sz w:val="20"/>
                <w:szCs w:val="20"/>
              </w:rPr>
            </w:pPr>
          </w:p>
        </w:tc>
        <w:tc>
          <w:tcPr>
            <w:tcW w:w="765" w:type="dxa"/>
            <w:shd w:val="clear" w:color="auto" w:fill="DBDBDB"/>
            <w:tcMar>
              <w:top w:w="0" w:type="dxa"/>
              <w:left w:w="100" w:type="dxa"/>
              <w:bottom w:w="0" w:type="dxa"/>
              <w:right w:w="100" w:type="dxa"/>
            </w:tcMar>
          </w:tcPr>
          <w:p w:rsidR="002A0827" w:rsidRDefault="00F27843">
            <w:pPr>
              <w:spacing w:before="240" w:after="240" w:line="360" w:lineRule="auto"/>
              <w:jc w:val="center"/>
            </w:pPr>
            <w:r>
              <w:t>COMMUNICATION</w:t>
            </w:r>
          </w:p>
        </w:tc>
        <w:tc>
          <w:tcPr>
            <w:tcW w:w="4545" w:type="dxa"/>
            <w:gridSpan w:val="5"/>
            <w:shd w:val="clear" w:color="auto" w:fill="FFD966"/>
            <w:tcMar>
              <w:top w:w="0" w:type="dxa"/>
              <w:left w:w="100" w:type="dxa"/>
              <w:bottom w:w="0" w:type="dxa"/>
              <w:right w:w="100" w:type="dxa"/>
            </w:tcMar>
          </w:tcPr>
          <w:p w:rsidR="002A0827" w:rsidRDefault="00F27843">
            <w:pPr>
              <w:spacing w:before="240" w:after="240" w:line="360" w:lineRule="auto"/>
              <w:jc w:val="center"/>
            </w:pPr>
            <w:r>
              <w:t>COMMITMENT LEVEL</w:t>
            </w:r>
          </w:p>
        </w:tc>
      </w:tr>
      <w:tr w:rsidR="002A0827">
        <w:trPr>
          <w:trHeight w:val="720"/>
        </w:trPr>
        <w:tc>
          <w:tcPr>
            <w:tcW w:w="1185" w:type="dxa"/>
            <w:shd w:val="clear" w:color="auto" w:fill="EAEEF3"/>
            <w:tcMar>
              <w:top w:w="0" w:type="dxa"/>
              <w:left w:w="100" w:type="dxa"/>
              <w:bottom w:w="0" w:type="dxa"/>
              <w:right w:w="100" w:type="dxa"/>
            </w:tcMar>
          </w:tcPr>
          <w:p w:rsidR="002A0827" w:rsidRDefault="00F27843">
            <w:pPr>
              <w:spacing w:before="240" w:after="240" w:line="360" w:lineRule="auto"/>
              <w:rPr>
                <w:sz w:val="20"/>
                <w:szCs w:val="20"/>
              </w:rPr>
            </w:pPr>
            <w:r>
              <w:rPr>
                <w:sz w:val="20"/>
                <w:szCs w:val="20"/>
              </w:rPr>
              <w:t>STAKEHOLDER</w:t>
            </w:r>
          </w:p>
        </w:tc>
        <w:tc>
          <w:tcPr>
            <w:tcW w:w="885" w:type="dxa"/>
            <w:shd w:val="clear" w:color="auto" w:fill="EAEEF3"/>
            <w:tcMar>
              <w:top w:w="0" w:type="dxa"/>
              <w:left w:w="100" w:type="dxa"/>
              <w:bottom w:w="0" w:type="dxa"/>
              <w:right w:w="100" w:type="dxa"/>
            </w:tcMar>
          </w:tcPr>
          <w:p w:rsidR="002A0827" w:rsidRDefault="00F27843">
            <w:pPr>
              <w:spacing w:before="240" w:after="240" w:line="360" w:lineRule="auto"/>
              <w:rPr>
                <w:sz w:val="20"/>
                <w:szCs w:val="20"/>
              </w:rPr>
            </w:pPr>
            <w:r>
              <w:rPr>
                <w:sz w:val="20"/>
                <w:szCs w:val="20"/>
              </w:rPr>
              <w:t>TYPE</w:t>
            </w:r>
          </w:p>
        </w:tc>
        <w:tc>
          <w:tcPr>
            <w:tcW w:w="870" w:type="dxa"/>
            <w:shd w:val="clear" w:color="auto" w:fill="D6DCE4"/>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INTEREST</w:t>
            </w:r>
          </w:p>
        </w:tc>
        <w:tc>
          <w:tcPr>
            <w:tcW w:w="1065" w:type="dxa"/>
            <w:shd w:val="clear" w:color="auto" w:fill="D6DCE4"/>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POWER</w:t>
            </w:r>
          </w:p>
        </w:tc>
        <w:tc>
          <w:tcPr>
            <w:tcW w:w="765" w:type="dxa"/>
            <w:shd w:val="clear" w:color="auto" w:fill="EDEDED"/>
            <w:tcMar>
              <w:top w:w="0" w:type="dxa"/>
              <w:left w:w="100" w:type="dxa"/>
              <w:bottom w:w="0" w:type="dxa"/>
              <w:right w:w="100" w:type="dxa"/>
            </w:tcMar>
          </w:tcPr>
          <w:p w:rsidR="002A0827" w:rsidRDefault="00F27843">
            <w:pPr>
              <w:spacing w:before="240" w:after="240" w:line="360" w:lineRule="auto"/>
              <w:rPr>
                <w:sz w:val="20"/>
                <w:szCs w:val="20"/>
              </w:rPr>
            </w:pPr>
            <w:r>
              <w:rPr>
                <w:sz w:val="20"/>
                <w:szCs w:val="20"/>
              </w:rPr>
              <w:t>Frequency</w:t>
            </w:r>
          </w:p>
        </w:tc>
        <w:tc>
          <w:tcPr>
            <w:tcW w:w="870" w:type="dxa"/>
            <w:shd w:val="clear" w:color="auto" w:fill="FFE699"/>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Unaware</w:t>
            </w:r>
          </w:p>
        </w:tc>
        <w:tc>
          <w:tcPr>
            <w:tcW w:w="840" w:type="dxa"/>
            <w:shd w:val="clear" w:color="auto" w:fill="FFE699"/>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Against</w:t>
            </w:r>
          </w:p>
        </w:tc>
        <w:tc>
          <w:tcPr>
            <w:tcW w:w="915" w:type="dxa"/>
            <w:shd w:val="clear" w:color="auto" w:fill="FFE699"/>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Neutral</w:t>
            </w:r>
          </w:p>
        </w:tc>
        <w:tc>
          <w:tcPr>
            <w:tcW w:w="870" w:type="dxa"/>
            <w:shd w:val="clear" w:color="auto" w:fill="FFE699"/>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Supportive</w:t>
            </w:r>
          </w:p>
        </w:tc>
        <w:tc>
          <w:tcPr>
            <w:tcW w:w="1050" w:type="dxa"/>
            <w:shd w:val="clear" w:color="auto" w:fill="FFE699"/>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Leading</w:t>
            </w: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Deepak Nath</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Internal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High </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High</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bi-weekly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0"/>
                <w:id w:val="1174842316"/>
              </w:sdtPr>
              <w:sdtContent>
                <w:r w:rsidR="00F27843">
                  <w:rPr>
                    <w:rFonts w:ascii="Arial Unicode MS" w:eastAsia="Arial Unicode MS" w:hAnsi="Arial Unicode MS" w:cs="Arial Unicode MS"/>
                    <w:b/>
                    <w:bCs/>
                    <w:sz w:val="40"/>
                    <w:szCs w:val="40"/>
                  </w:rPr>
                  <w:t>✓</w:t>
                </w:r>
              </w:sdtContent>
            </w:sdt>
          </w:p>
        </w:tc>
      </w:tr>
      <w:tr w:rsidR="002A0827">
        <w:trPr>
          <w:trHeight w:val="115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Rebecca Hales</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Internal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High</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High</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Weekly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1"/>
                <w:id w:val="1051352661"/>
              </w:sdtPr>
              <w:sdtContent>
                <w:r w:rsidR="00F27843">
                  <w:rPr>
                    <w:rFonts w:ascii="Arial Unicode MS" w:eastAsia="Arial Unicode MS" w:hAnsi="Arial Unicode MS" w:cs="Arial Unicode MS"/>
                    <w:b/>
                    <w:bCs/>
                    <w:sz w:val="40"/>
                    <w:szCs w:val="40"/>
                  </w:rPr>
                  <w:t xml:space="preserve"> ✓</w:t>
                </w:r>
              </w:sdtContent>
            </w:sdt>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Tom Smith</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Internal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High </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Low</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Weekly </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2"/>
                <w:id w:val="-1007455926"/>
              </w:sdtPr>
              <w:sdtContent>
                <w:r w:rsidR="00F27843">
                  <w:rPr>
                    <w:rFonts w:ascii="Arial Unicode MS" w:eastAsia="Arial Unicode MS" w:hAnsi="Arial Unicode MS" w:cs="Arial Unicode MS"/>
                    <w:b/>
                    <w:bCs/>
                    <w:sz w:val="40"/>
                    <w:szCs w:val="40"/>
                  </w:rPr>
                  <w:t>✓</w:t>
                </w:r>
              </w:sdtContent>
            </w:sdt>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Susie Smith</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Internal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High</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Low </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Monthly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3"/>
                <w:id w:val="1514971452"/>
              </w:sdtPr>
              <w:sdtContent>
                <w:r w:rsidR="00F27843">
                  <w:rPr>
                    <w:rFonts w:ascii="Arial Unicode MS" w:eastAsia="Arial Unicode MS" w:hAnsi="Arial Unicode MS" w:cs="Arial Unicode MS"/>
                    <w:b/>
                    <w:bCs/>
                    <w:sz w:val="40"/>
                    <w:szCs w:val="40"/>
                  </w:rPr>
                  <w:t xml:space="preserve"> ✓</w:t>
                </w:r>
              </w:sdtContent>
            </w:sdt>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 xml:space="preserve"> JPMorgan Chase</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External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 xml:space="preserve"> High</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 xml:space="preserve"> Quarterly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4"/>
                <w:id w:val="639452277"/>
              </w:sdtPr>
              <w:sdtContent>
                <w:r w:rsidR="00F27843">
                  <w:rPr>
                    <w:rFonts w:ascii="Arial Unicode MS" w:eastAsia="Arial Unicode MS" w:hAnsi="Arial Unicode MS" w:cs="Arial Unicode MS"/>
                    <w:b/>
                    <w:bCs/>
                    <w:sz w:val="40"/>
                    <w:szCs w:val="40"/>
                  </w:rPr>
                  <w:t>✓</w:t>
                </w:r>
              </w:sdtContent>
            </w:sdt>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lastRenderedPageBreak/>
              <w:t>MHRA</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External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High</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Annually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5"/>
                <w:id w:val="338566430"/>
              </w:sdtPr>
              <w:sdtContent>
                <w:r w:rsidR="00F27843">
                  <w:rPr>
                    <w:rFonts w:ascii="Arial Unicode MS" w:eastAsia="Arial Unicode MS" w:hAnsi="Arial Unicode MS" w:cs="Arial Unicode MS"/>
                    <w:b/>
                    <w:bCs/>
                    <w:sz w:val="40"/>
                    <w:szCs w:val="40"/>
                  </w:rPr>
                  <w:t>✓</w:t>
                </w:r>
              </w:sdtContent>
            </w:sdt>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NHS Trust</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External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High</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Annually</w:t>
            </w:r>
          </w:p>
        </w:tc>
        <w:tc>
          <w:tcPr>
            <w:tcW w:w="870" w:type="dxa"/>
            <w:shd w:val="clear" w:color="auto" w:fill="FFFAF3"/>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6"/>
                <w:id w:val="-1329219954"/>
              </w:sdtPr>
              <w:sdtContent>
                <w:r w:rsidR="00F27843">
                  <w:rPr>
                    <w:rFonts w:ascii="Arial Unicode MS" w:eastAsia="Arial Unicode MS" w:hAnsi="Arial Unicode MS" w:cs="Arial Unicode MS"/>
                    <w:b/>
                    <w:bCs/>
                    <w:sz w:val="40"/>
                    <w:szCs w:val="40"/>
                  </w:rPr>
                  <w:t>✓</w:t>
                </w:r>
              </w:sdtContent>
            </w:sdt>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UK healthcare customers</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External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Annually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r w:rsidR="002A0827">
        <w:trPr>
          <w:trHeight w:val="1005"/>
        </w:trPr>
        <w:tc>
          <w:tcPr>
            <w:tcW w:w="1185" w:type="dxa"/>
            <w:shd w:val="clear" w:color="auto" w:fill="F7F9FB"/>
            <w:tcMar>
              <w:top w:w="0" w:type="dxa"/>
              <w:left w:w="100" w:type="dxa"/>
              <w:bottom w:w="0" w:type="dxa"/>
              <w:right w:w="100" w:type="dxa"/>
            </w:tcMar>
          </w:tcPr>
          <w:p w:rsidR="002A0827" w:rsidRDefault="00F27843">
            <w:pPr>
              <w:spacing w:before="240" w:after="240" w:line="360" w:lineRule="auto"/>
            </w:pPr>
            <w:r>
              <w:t>Media and general public</w:t>
            </w:r>
          </w:p>
        </w:tc>
        <w:tc>
          <w:tcPr>
            <w:tcW w:w="885" w:type="dxa"/>
            <w:tcMar>
              <w:top w:w="0" w:type="dxa"/>
              <w:left w:w="100" w:type="dxa"/>
              <w:bottom w:w="0" w:type="dxa"/>
              <w:right w:w="100" w:type="dxa"/>
            </w:tcMar>
          </w:tcPr>
          <w:p w:rsidR="002A0827" w:rsidRDefault="00F27843">
            <w:pPr>
              <w:spacing w:before="240" w:after="240" w:line="360" w:lineRule="auto"/>
              <w:rPr>
                <w:sz w:val="20"/>
                <w:szCs w:val="20"/>
              </w:rPr>
            </w:pPr>
            <w:r>
              <w:rPr>
                <w:sz w:val="20"/>
                <w:szCs w:val="20"/>
              </w:rPr>
              <w:t>External</w:t>
            </w:r>
          </w:p>
        </w:tc>
        <w:tc>
          <w:tcPr>
            <w:tcW w:w="870"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1065" w:type="dxa"/>
            <w:shd w:val="clear" w:color="auto" w:fill="EAEEF3"/>
            <w:tcMar>
              <w:top w:w="0" w:type="dxa"/>
              <w:left w:w="100" w:type="dxa"/>
              <w:bottom w:w="0" w:type="dxa"/>
              <w:right w:w="100" w:type="dxa"/>
            </w:tcMar>
          </w:tcPr>
          <w:p w:rsidR="002A0827" w:rsidRDefault="00F27843">
            <w:pPr>
              <w:spacing w:before="240" w:after="240" w:line="360" w:lineRule="auto"/>
              <w:jc w:val="center"/>
              <w:rPr>
                <w:sz w:val="20"/>
                <w:szCs w:val="20"/>
              </w:rPr>
            </w:pPr>
            <w:r>
              <w:rPr>
                <w:sz w:val="20"/>
                <w:szCs w:val="20"/>
              </w:rPr>
              <w:t>Low</w:t>
            </w:r>
          </w:p>
        </w:tc>
        <w:tc>
          <w:tcPr>
            <w:tcW w:w="765" w:type="dxa"/>
            <w:shd w:val="clear" w:color="auto" w:fill="F8F8F8"/>
            <w:tcMar>
              <w:top w:w="0" w:type="dxa"/>
              <w:left w:w="100" w:type="dxa"/>
              <w:bottom w:w="0" w:type="dxa"/>
              <w:right w:w="100" w:type="dxa"/>
            </w:tcMar>
          </w:tcPr>
          <w:p w:rsidR="002A0827" w:rsidRDefault="00F27843">
            <w:pPr>
              <w:spacing w:before="240" w:after="240" w:line="360" w:lineRule="auto"/>
              <w:rPr>
                <w:sz w:val="20"/>
                <w:szCs w:val="20"/>
              </w:rPr>
            </w:pPr>
            <w:r>
              <w:rPr>
                <w:sz w:val="20"/>
                <w:szCs w:val="20"/>
              </w:rPr>
              <w:t>Monthly</w:t>
            </w:r>
          </w:p>
        </w:tc>
        <w:tc>
          <w:tcPr>
            <w:tcW w:w="870" w:type="dxa"/>
            <w:shd w:val="clear" w:color="auto" w:fill="FFFAF3"/>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840" w:type="dxa"/>
            <w:shd w:val="clear" w:color="auto" w:fill="FFF6E7"/>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915" w:type="dxa"/>
            <w:shd w:val="clear" w:color="auto" w:fill="FFF1D5"/>
            <w:tcMar>
              <w:top w:w="0" w:type="dxa"/>
              <w:left w:w="100" w:type="dxa"/>
              <w:bottom w:w="0" w:type="dxa"/>
              <w:right w:w="100" w:type="dxa"/>
            </w:tcMar>
          </w:tcPr>
          <w:p w:rsidR="002A0827" w:rsidRDefault="00CD77B3">
            <w:pPr>
              <w:spacing w:before="240" w:after="240" w:line="360" w:lineRule="auto"/>
              <w:jc w:val="center"/>
              <w:rPr>
                <w:b/>
                <w:bCs/>
                <w:sz w:val="40"/>
                <w:szCs w:val="40"/>
              </w:rPr>
            </w:pPr>
            <w:sdt>
              <w:sdtPr>
                <w:tag w:val="goog_rdk_7"/>
                <w:id w:val="-1291702071"/>
              </w:sdtPr>
              <w:sdtContent>
                <w:r w:rsidR="00F27843">
                  <w:rPr>
                    <w:rFonts w:ascii="Arial Unicode MS" w:eastAsia="Arial Unicode MS" w:hAnsi="Arial Unicode MS" w:cs="Arial Unicode MS"/>
                    <w:b/>
                    <w:bCs/>
                    <w:sz w:val="40"/>
                    <w:szCs w:val="40"/>
                  </w:rPr>
                  <w:t>✓</w:t>
                </w:r>
              </w:sdtContent>
            </w:sdt>
          </w:p>
        </w:tc>
        <w:tc>
          <w:tcPr>
            <w:tcW w:w="870" w:type="dxa"/>
            <w:shd w:val="clear" w:color="auto" w:fill="FFEBC6"/>
            <w:tcMar>
              <w:top w:w="0" w:type="dxa"/>
              <w:left w:w="100" w:type="dxa"/>
              <w:bottom w:w="0" w:type="dxa"/>
              <w:right w:w="100" w:type="dxa"/>
            </w:tcMar>
          </w:tcPr>
          <w:p w:rsidR="002A0827" w:rsidRDefault="002A0827">
            <w:pPr>
              <w:spacing w:before="240" w:after="240" w:line="360" w:lineRule="auto"/>
              <w:jc w:val="center"/>
              <w:rPr>
                <w:b/>
                <w:bCs/>
                <w:sz w:val="40"/>
                <w:szCs w:val="40"/>
              </w:rPr>
            </w:pPr>
          </w:p>
        </w:tc>
        <w:tc>
          <w:tcPr>
            <w:tcW w:w="1050" w:type="dxa"/>
            <w:shd w:val="clear" w:color="auto" w:fill="FFEBB8"/>
            <w:tcMar>
              <w:top w:w="0" w:type="dxa"/>
              <w:left w:w="100" w:type="dxa"/>
              <w:bottom w:w="0" w:type="dxa"/>
              <w:right w:w="100" w:type="dxa"/>
            </w:tcMar>
          </w:tcPr>
          <w:p w:rsidR="002A0827" w:rsidRDefault="002A0827">
            <w:pPr>
              <w:spacing w:before="240" w:after="240" w:line="360" w:lineRule="auto"/>
              <w:jc w:val="center"/>
              <w:rPr>
                <w:b/>
                <w:bCs/>
                <w:sz w:val="40"/>
                <w:szCs w:val="40"/>
              </w:rPr>
            </w:pPr>
          </w:p>
        </w:tc>
      </w:tr>
    </w:tbl>
    <w:p w:rsidR="002A0827" w:rsidRDefault="00F27843">
      <w:pPr>
        <w:spacing w:line="360" w:lineRule="auto"/>
        <w:jc w:val="center"/>
        <w:rPr>
          <w:b/>
          <w:bCs/>
        </w:rPr>
      </w:pPr>
      <w:r>
        <w:rPr>
          <w:b/>
          <w:bCs/>
        </w:rPr>
        <w:t>Table 3: Strategic Engagement Plan for stakeholders</w:t>
      </w:r>
    </w:p>
    <w:p w:rsidR="002A0827" w:rsidRDefault="00F27843">
      <w:pPr>
        <w:spacing w:line="360" w:lineRule="auto"/>
        <w:jc w:val="center"/>
      </w:pPr>
      <w:r>
        <w:t>(Source: Self-developed)</w:t>
      </w:r>
    </w:p>
    <w:p w:rsidR="002A0827" w:rsidRDefault="00F27843">
      <w:pPr>
        <w:spacing w:line="360" w:lineRule="auto"/>
        <w:rPr>
          <w:color w:val="FF0000"/>
        </w:rPr>
      </w:pPr>
      <w:r>
        <w:rPr>
          <w:color w:val="FF0000"/>
        </w:rPr>
        <w:t xml:space="preserve">Based on Freeman’s stakeholder theory, organisations are expected to create value for each stakeholder, rather than focusing on one (Freeman </w:t>
      </w:r>
      <w:r>
        <w:rPr>
          <w:i/>
          <w:iCs/>
          <w:color w:val="FF0000"/>
        </w:rPr>
        <w:t xml:space="preserve">et al. </w:t>
      </w:r>
      <w:r>
        <w:rPr>
          <w:color w:val="FF0000"/>
        </w:rPr>
        <w:t xml:space="preserve">2021). As a result, the above table analyses the interest and power of each stakeholder to determine its commitment level to the project, identifying all internal components, as well as JPMorgan with high stakes. </w:t>
      </w:r>
    </w:p>
    <w:p w:rsidR="002A0827" w:rsidRDefault="00F27843">
      <w:pPr>
        <w:pStyle w:val="Heading2"/>
        <w:spacing w:before="0" w:after="200"/>
      </w:pPr>
      <w:bookmarkStart w:id="13" w:name="_heading=h.iwxfji751egu" w:colFirst="0" w:colLast="0"/>
      <w:bookmarkEnd w:id="13"/>
      <w:r>
        <w:t>Project Timeline</w:t>
      </w:r>
    </w:p>
    <w:tbl>
      <w:tblPr>
        <w:tblStyle w:val="aa"/>
        <w:tblW w:w="9810" w:type="dxa"/>
        <w:tblInd w:w="-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485"/>
        <w:gridCol w:w="1155"/>
        <w:gridCol w:w="1155"/>
        <w:gridCol w:w="1155"/>
        <w:gridCol w:w="1155"/>
        <w:gridCol w:w="1155"/>
        <w:gridCol w:w="1155"/>
        <w:gridCol w:w="1395"/>
      </w:tblGrid>
      <w:tr w:rsidR="002A0827">
        <w:tc>
          <w:tcPr>
            <w:tcW w:w="1485" w:type="dxa"/>
            <w:tcMar>
              <w:top w:w="100" w:type="dxa"/>
              <w:left w:w="100" w:type="dxa"/>
              <w:bottom w:w="100" w:type="dxa"/>
              <w:right w:w="100" w:type="dxa"/>
            </w:tcMar>
          </w:tcPr>
          <w:p w:rsidR="002A0827" w:rsidRDefault="00F27843">
            <w:pPr>
              <w:widowControl w:val="0"/>
              <w:rPr>
                <w:b/>
                <w:bCs/>
              </w:rPr>
            </w:pPr>
            <w:r>
              <w:rPr>
                <w:b/>
                <w:bCs/>
              </w:rPr>
              <w:t>Project phase</w:t>
            </w:r>
          </w:p>
        </w:tc>
        <w:tc>
          <w:tcPr>
            <w:tcW w:w="1155" w:type="dxa"/>
            <w:tcMar>
              <w:top w:w="100" w:type="dxa"/>
              <w:left w:w="100" w:type="dxa"/>
              <w:bottom w:w="100" w:type="dxa"/>
              <w:right w:w="100" w:type="dxa"/>
            </w:tcMar>
          </w:tcPr>
          <w:p w:rsidR="002A0827" w:rsidRDefault="00F27843">
            <w:pPr>
              <w:widowControl w:val="0"/>
              <w:rPr>
                <w:b/>
                <w:bCs/>
              </w:rPr>
            </w:pPr>
            <w:r>
              <w:rPr>
                <w:b/>
                <w:bCs/>
              </w:rPr>
              <w:t>Month1</w:t>
            </w:r>
          </w:p>
        </w:tc>
        <w:tc>
          <w:tcPr>
            <w:tcW w:w="1155" w:type="dxa"/>
            <w:tcMar>
              <w:top w:w="100" w:type="dxa"/>
              <w:left w:w="100" w:type="dxa"/>
              <w:bottom w:w="100" w:type="dxa"/>
              <w:right w:w="100" w:type="dxa"/>
            </w:tcMar>
          </w:tcPr>
          <w:p w:rsidR="002A0827" w:rsidRDefault="00F27843">
            <w:pPr>
              <w:widowControl w:val="0"/>
              <w:rPr>
                <w:b/>
                <w:bCs/>
              </w:rPr>
            </w:pPr>
            <w:r>
              <w:rPr>
                <w:b/>
                <w:bCs/>
              </w:rPr>
              <w:t>Month 3</w:t>
            </w:r>
          </w:p>
        </w:tc>
        <w:tc>
          <w:tcPr>
            <w:tcW w:w="1155" w:type="dxa"/>
            <w:tcMar>
              <w:top w:w="100" w:type="dxa"/>
              <w:left w:w="100" w:type="dxa"/>
              <w:bottom w:w="100" w:type="dxa"/>
              <w:right w:w="100" w:type="dxa"/>
            </w:tcMar>
          </w:tcPr>
          <w:p w:rsidR="002A0827" w:rsidRDefault="00F27843">
            <w:pPr>
              <w:widowControl w:val="0"/>
              <w:rPr>
                <w:b/>
                <w:bCs/>
              </w:rPr>
            </w:pPr>
            <w:r>
              <w:rPr>
                <w:b/>
                <w:bCs/>
              </w:rPr>
              <w:t>Month 5</w:t>
            </w:r>
          </w:p>
        </w:tc>
        <w:tc>
          <w:tcPr>
            <w:tcW w:w="1155" w:type="dxa"/>
            <w:tcMar>
              <w:top w:w="100" w:type="dxa"/>
              <w:left w:w="100" w:type="dxa"/>
              <w:bottom w:w="100" w:type="dxa"/>
              <w:right w:w="100" w:type="dxa"/>
            </w:tcMar>
          </w:tcPr>
          <w:p w:rsidR="002A0827" w:rsidRDefault="00F27843">
            <w:pPr>
              <w:widowControl w:val="0"/>
              <w:rPr>
                <w:b/>
                <w:bCs/>
              </w:rPr>
            </w:pPr>
            <w:r>
              <w:rPr>
                <w:b/>
                <w:bCs/>
              </w:rPr>
              <w:t>Month 7</w:t>
            </w:r>
          </w:p>
        </w:tc>
        <w:tc>
          <w:tcPr>
            <w:tcW w:w="1155" w:type="dxa"/>
            <w:tcMar>
              <w:top w:w="100" w:type="dxa"/>
              <w:left w:w="100" w:type="dxa"/>
              <w:bottom w:w="100" w:type="dxa"/>
              <w:right w:w="100" w:type="dxa"/>
            </w:tcMar>
          </w:tcPr>
          <w:p w:rsidR="002A0827" w:rsidRDefault="00F27843">
            <w:pPr>
              <w:widowControl w:val="0"/>
              <w:rPr>
                <w:b/>
                <w:bCs/>
              </w:rPr>
            </w:pPr>
            <w:r>
              <w:rPr>
                <w:b/>
                <w:bCs/>
              </w:rPr>
              <w:t>Month 9</w:t>
            </w:r>
          </w:p>
        </w:tc>
        <w:tc>
          <w:tcPr>
            <w:tcW w:w="1155" w:type="dxa"/>
            <w:tcMar>
              <w:top w:w="100" w:type="dxa"/>
              <w:left w:w="100" w:type="dxa"/>
              <w:bottom w:w="100" w:type="dxa"/>
              <w:right w:w="100" w:type="dxa"/>
            </w:tcMar>
          </w:tcPr>
          <w:p w:rsidR="002A0827" w:rsidRDefault="00F27843">
            <w:pPr>
              <w:widowControl w:val="0"/>
              <w:rPr>
                <w:b/>
                <w:bCs/>
              </w:rPr>
            </w:pPr>
            <w:r>
              <w:rPr>
                <w:b/>
                <w:bCs/>
              </w:rPr>
              <w:t>Month 11</w:t>
            </w:r>
          </w:p>
        </w:tc>
        <w:tc>
          <w:tcPr>
            <w:tcW w:w="1395" w:type="dxa"/>
            <w:tcMar>
              <w:top w:w="100" w:type="dxa"/>
              <w:left w:w="100" w:type="dxa"/>
              <w:bottom w:w="100" w:type="dxa"/>
              <w:right w:w="100" w:type="dxa"/>
            </w:tcMar>
          </w:tcPr>
          <w:p w:rsidR="002A0827" w:rsidRDefault="00F27843">
            <w:pPr>
              <w:widowControl w:val="0"/>
              <w:rPr>
                <w:b/>
                <w:bCs/>
              </w:rPr>
            </w:pPr>
            <w:r>
              <w:rPr>
                <w:b/>
                <w:bCs/>
              </w:rPr>
              <w:t>Month 12</w:t>
            </w: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Strategic planning</w:t>
            </w:r>
          </w:p>
        </w:tc>
        <w:tc>
          <w:tcPr>
            <w:tcW w:w="1155" w:type="dxa"/>
            <w:shd w:val="clear" w:color="auto" w:fill="FF9900"/>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395" w:type="dxa"/>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Product R&amp;D</w:t>
            </w:r>
          </w:p>
        </w:tc>
        <w:tc>
          <w:tcPr>
            <w:tcW w:w="1155" w:type="dxa"/>
            <w:tcMar>
              <w:top w:w="100" w:type="dxa"/>
              <w:left w:w="100" w:type="dxa"/>
              <w:bottom w:w="100" w:type="dxa"/>
              <w:right w:w="100" w:type="dxa"/>
            </w:tcMar>
          </w:tcPr>
          <w:p w:rsidR="002A0827" w:rsidRDefault="002A0827">
            <w:pPr>
              <w:widowControl w:val="0"/>
            </w:pPr>
          </w:p>
        </w:tc>
        <w:tc>
          <w:tcPr>
            <w:tcW w:w="1155" w:type="dxa"/>
            <w:shd w:val="clear" w:color="auto" w:fill="FFFF00"/>
            <w:tcMar>
              <w:top w:w="100" w:type="dxa"/>
              <w:left w:w="100" w:type="dxa"/>
              <w:bottom w:w="100" w:type="dxa"/>
              <w:right w:w="100" w:type="dxa"/>
            </w:tcMar>
          </w:tcPr>
          <w:p w:rsidR="002A0827" w:rsidRDefault="002A0827">
            <w:pPr>
              <w:widowControl w:val="0"/>
            </w:pPr>
          </w:p>
        </w:tc>
        <w:tc>
          <w:tcPr>
            <w:tcW w:w="1155" w:type="dxa"/>
            <w:shd w:val="clear" w:color="auto" w:fill="FFFF00"/>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395" w:type="dxa"/>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Compliance &amp; testing</w:t>
            </w: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shd w:val="clear" w:color="auto" w:fill="00FF00"/>
            <w:tcMar>
              <w:top w:w="100" w:type="dxa"/>
              <w:left w:w="100" w:type="dxa"/>
              <w:bottom w:w="100" w:type="dxa"/>
              <w:right w:w="100" w:type="dxa"/>
            </w:tcMar>
          </w:tcPr>
          <w:p w:rsidR="002A0827" w:rsidRDefault="002A0827">
            <w:pPr>
              <w:widowControl w:val="0"/>
            </w:pPr>
          </w:p>
        </w:tc>
        <w:tc>
          <w:tcPr>
            <w:tcW w:w="1155" w:type="dxa"/>
            <w:shd w:val="clear" w:color="auto" w:fill="00FF00"/>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395" w:type="dxa"/>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lastRenderedPageBreak/>
              <w:t>Marketing and launch</w:t>
            </w: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shd w:val="clear" w:color="auto" w:fill="00FFFF"/>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395" w:type="dxa"/>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Sales and Implementation</w:t>
            </w: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shd w:val="clear" w:color="auto" w:fill="0000FF"/>
            <w:tcMar>
              <w:top w:w="100" w:type="dxa"/>
              <w:left w:w="100" w:type="dxa"/>
              <w:bottom w:w="100" w:type="dxa"/>
              <w:right w:w="100" w:type="dxa"/>
            </w:tcMar>
          </w:tcPr>
          <w:p w:rsidR="002A0827" w:rsidRDefault="002A0827">
            <w:pPr>
              <w:widowControl w:val="0"/>
            </w:pPr>
          </w:p>
        </w:tc>
        <w:tc>
          <w:tcPr>
            <w:tcW w:w="1395" w:type="dxa"/>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Financial reporting</w:t>
            </w: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shd w:val="clear" w:color="auto" w:fill="9900FF"/>
            <w:tcMar>
              <w:top w:w="100" w:type="dxa"/>
              <w:left w:w="100" w:type="dxa"/>
              <w:bottom w:w="100" w:type="dxa"/>
              <w:right w:w="100" w:type="dxa"/>
            </w:tcMar>
          </w:tcPr>
          <w:p w:rsidR="002A0827" w:rsidRDefault="002A0827">
            <w:pPr>
              <w:widowControl w:val="0"/>
            </w:pPr>
          </w:p>
        </w:tc>
        <w:tc>
          <w:tcPr>
            <w:tcW w:w="1395" w:type="dxa"/>
            <w:shd w:val="clear" w:color="auto" w:fill="9900FF"/>
            <w:tcMar>
              <w:top w:w="100" w:type="dxa"/>
              <w:left w:w="100" w:type="dxa"/>
              <w:bottom w:w="100" w:type="dxa"/>
              <w:right w:w="100" w:type="dxa"/>
            </w:tcMar>
          </w:tcPr>
          <w:p w:rsidR="002A0827" w:rsidRDefault="002A0827">
            <w:pPr>
              <w:widowControl w:val="0"/>
            </w:pPr>
          </w:p>
        </w:tc>
      </w:tr>
      <w:tr w:rsidR="002A0827">
        <w:tc>
          <w:tcPr>
            <w:tcW w:w="1485" w:type="dxa"/>
            <w:tcMar>
              <w:top w:w="100" w:type="dxa"/>
              <w:left w:w="100" w:type="dxa"/>
              <w:bottom w:w="100" w:type="dxa"/>
              <w:right w:w="100" w:type="dxa"/>
            </w:tcMar>
          </w:tcPr>
          <w:p w:rsidR="002A0827" w:rsidRDefault="00F27843">
            <w:pPr>
              <w:widowControl w:val="0"/>
              <w:rPr>
                <w:b/>
                <w:bCs/>
                <w:i/>
                <w:iCs/>
              </w:rPr>
            </w:pPr>
            <w:r>
              <w:rPr>
                <w:b/>
                <w:bCs/>
                <w:i/>
                <w:iCs/>
              </w:rPr>
              <w:t>Stakeholder feedback</w:t>
            </w: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155" w:type="dxa"/>
            <w:tcMar>
              <w:top w:w="100" w:type="dxa"/>
              <w:left w:w="100" w:type="dxa"/>
              <w:bottom w:w="100" w:type="dxa"/>
              <w:right w:w="100" w:type="dxa"/>
            </w:tcMar>
          </w:tcPr>
          <w:p w:rsidR="002A0827" w:rsidRDefault="002A0827">
            <w:pPr>
              <w:widowControl w:val="0"/>
            </w:pPr>
          </w:p>
        </w:tc>
        <w:tc>
          <w:tcPr>
            <w:tcW w:w="1395" w:type="dxa"/>
            <w:shd w:val="clear" w:color="auto" w:fill="FF00FF"/>
            <w:tcMar>
              <w:top w:w="100" w:type="dxa"/>
              <w:left w:w="100" w:type="dxa"/>
              <w:bottom w:w="100" w:type="dxa"/>
              <w:right w:w="100" w:type="dxa"/>
            </w:tcMar>
          </w:tcPr>
          <w:p w:rsidR="002A0827" w:rsidRDefault="002A0827">
            <w:pPr>
              <w:widowControl w:val="0"/>
            </w:pPr>
          </w:p>
        </w:tc>
      </w:tr>
    </w:tbl>
    <w:p w:rsidR="002A0827" w:rsidRDefault="00F27843">
      <w:pPr>
        <w:spacing w:line="360" w:lineRule="auto"/>
        <w:jc w:val="center"/>
        <w:rPr>
          <w:b/>
          <w:bCs/>
        </w:rPr>
      </w:pPr>
      <w:r>
        <w:rPr>
          <w:b/>
          <w:bCs/>
        </w:rPr>
        <w:t>Table 4: Project timeline for Smith &amp; Nephew</w:t>
      </w:r>
    </w:p>
    <w:p w:rsidR="002A0827" w:rsidRDefault="00F27843">
      <w:pPr>
        <w:spacing w:line="360" w:lineRule="auto"/>
        <w:jc w:val="center"/>
      </w:pPr>
      <w:r>
        <w:t>(Source: Self-developed)</w:t>
      </w:r>
    </w:p>
    <w:p w:rsidR="002A0827" w:rsidRDefault="00F27843">
      <w:pPr>
        <w:spacing w:line="360" w:lineRule="auto"/>
      </w:pPr>
      <w:r>
        <w:t xml:space="preserve">The above table proposes an estimate of 12 months for Smith &amp; Nephew to innovate and launch its new wearable device in the UK market. Based on the above table, the Research and development process is going to be most time consuming (2-3 months), as well as financial reporting to observe market response. </w:t>
      </w:r>
    </w:p>
    <w:p w:rsidR="002A0827" w:rsidRDefault="00F27843">
      <w:pPr>
        <w:pStyle w:val="Heading2"/>
        <w:spacing w:before="0" w:after="200"/>
      </w:pPr>
      <w:bookmarkStart w:id="14" w:name="_heading=h.q86wi5a97jg1" w:colFirst="0" w:colLast="0"/>
      <w:bookmarkEnd w:id="14"/>
      <w:r>
        <w:t>RACI Framework for the key stakeholders of Smith &amp; Nephew</w:t>
      </w:r>
    </w:p>
    <w:tbl>
      <w:tblPr>
        <w:tblStyle w:val="ab"/>
        <w:tblW w:w="9810" w:type="dxa"/>
        <w:tblInd w:w="-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485"/>
        <w:gridCol w:w="1155"/>
        <w:gridCol w:w="1155"/>
        <w:gridCol w:w="1155"/>
        <w:gridCol w:w="1155"/>
        <w:gridCol w:w="1155"/>
        <w:gridCol w:w="1155"/>
        <w:gridCol w:w="1395"/>
      </w:tblGrid>
      <w:tr w:rsidR="002A0827">
        <w:tc>
          <w:tcPr>
            <w:tcW w:w="1485" w:type="dxa"/>
            <w:shd w:val="clear" w:color="auto" w:fill="FFFF00"/>
            <w:tcMar>
              <w:top w:w="100" w:type="dxa"/>
              <w:left w:w="100" w:type="dxa"/>
              <w:bottom w:w="100" w:type="dxa"/>
              <w:right w:w="100" w:type="dxa"/>
            </w:tcMar>
          </w:tcPr>
          <w:p w:rsidR="002A0827" w:rsidRDefault="00F27843">
            <w:pPr>
              <w:widowControl w:val="0"/>
              <w:rPr>
                <w:b/>
                <w:bCs/>
              </w:rPr>
            </w:pPr>
            <w:r>
              <w:rPr>
                <w:b/>
                <w:bCs/>
              </w:rPr>
              <w:t>Project phase</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CEO Nath</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R&amp;D Manager Hales</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Marketing manager Smith</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Regional manager Smith</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MHRA</w:t>
            </w:r>
          </w:p>
        </w:tc>
        <w:tc>
          <w:tcPr>
            <w:tcW w:w="1155" w:type="dxa"/>
            <w:shd w:val="clear" w:color="auto" w:fill="FFFF00"/>
            <w:tcMar>
              <w:top w:w="100" w:type="dxa"/>
              <w:left w:w="100" w:type="dxa"/>
              <w:bottom w:w="100" w:type="dxa"/>
              <w:right w:w="100" w:type="dxa"/>
            </w:tcMar>
          </w:tcPr>
          <w:p w:rsidR="002A0827" w:rsidRDefault="00F27843">
            <w:pPr>
              <w:widowControl w:val="0"/>
              <w:rPr>
                <w:b/>
                <w:bCs/>
              </w:rPr>
            </w:pPr>
            <w:r>
              <w:rPr>
                <w:b/>
                <w:bCs/>
              </w:rPr>
              <w:t>NHS Trusts and Hospitals</w:t>
            </w:r>
          </w:p>
        </w:tc>
        <w:tc>
          <w:tcPr>
            <w:tcW w:w="1395" w:type="dxa"/>
            <w:shd w:val="clear" w:color="auto" w:fill="FFFF00"/>
            <w:tcMar>
              <w:top w:w="100" w:type="dxa"/>
              <w:left w:w="100" w:type="dxa"/>
              <w:bottom w:w="100" w:type="dxa"/>
              <w:right w:w="100" w:type="dxa"/>
            </w:tcMar>
          </w:tcPr>
          <w:p w:rsidR="002A0827" w:rsidRDefault="00F27843">
            <w:pPr>
              <w:widowControl w:val="0"/>
              <w:rPr>
                <w:b/>
                <w:bCs/>
              </w:rPr>
            </w:pPr>
            <w:r>
              <w:rPr>
                <w:b/>
                <w:bCs/>
              </w:rPr>
              <w:t>JPMorgan Chase Bank</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Strategic planning</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395" w:type="dxa"/>
            <w:tcMar>
              <w:top w:w="100" w:type="dxa"/>
              <w:left w:w="100" w:type="dxa"/>
              <w:bottom w:w="100" w:type="dxa"/>
              <w:right w:w="100" w:type="dxa"/>
            </w:tcMar>
          </w:tcPr>
          <w:p w:rsidR="002A0827" w:rsidRDefault="00F27843">
            <w:pPr>
              <w:widowControl w:val="0"/>
            </w:pPr>
            <w:r>
              <w:t>C</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Product R&amp;D</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C</w:t>
            </w:r>
          </w:p>
        </w:tc>
        <w:tc>
          <w:tcPr>
            <w:tcW w:w="1395" w:type="dxa"/>
            <w:tcMar>
              <w:top w:w="100" w:type="dxa"/>
              <w:left w:w="100" w:type="dxa"/>
              <w:bottom w:w="100" w:type="dxa"/>
              <w:right w:w="100" w:type="dxa"/>
            </w:tcMar>
          </w:tcPr>
          <w:p w:rsidR="002A0827" w:rsidRDefault="00F27843">
            <w:pPr>
              <w:widowControl w:val="0"/>
            </w:pPr>
            <w:r>
              <w:t>I</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Compliance &amp; testing</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C</w:t>
            </w:r>
          </w:p>
        </w:tc>
        <w:tc>
          <w:tcPr>
            <w:tcW w:w="1395" w:type="dxa"/>
            <w:tcMar>
              <w:top w:w="100" w:type="dxa"/>
              <w:left w:w="100" w:type="dxa"/>
              <w:bottom w:w="100" w:type="dxa"/>
              <w:right w:w="100" w:type="dxa"/>
            </w:tcMar>
          </w:tcPr>
          <w:p w:rsidR="002A0827" w:rsidRDefault="00F27843">
            <w:pPr>
              <w:widowControl w:val="0"/>
            </w:pPr>
            <w:r>
              <w:t>I</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Marketing and launch</w:t>
            </w:r>
          </w:p>
        </w:tc>
        <w:tc>
          <w:tcPr>
            <w:tcW w:w="1155" w:type="dxa"/>
            <w:tcMar>
              <w:top w:w="100" w:type="dxa"/>
              <w:left w:w="100" w:type="dxa"/>
              <w:bottom w:w="100" w:type="dxa"/>
              <w:right w:w="100" w:type="dxa"/>
            </w:tcMar>
          </w:tcPr>
          <w:p w:rsidR="002A0827" w:rsidRDefault="00F27843">
            <w:pPr>
              <w:widowControl w:val="0"/>
            </w:pPr>
            <w:r>
              <w:t>A</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C</w:t>
            </w:r>
          </w:p>
        </w:tc>
        <w:tc>
          <w:tcPr>
            <w:tcW w:w="1395" w:type="dxa"/>
            <w:tcMar>
              <w:top w:w="100" w:type="dxa"/>
              <w:left w:w="100" w:type="dxa"/>
              <w:bottom w:w="100" w:type="dxa"/>
              <w:right w:w="100" w:type="dxa"/>
            </w:tcMar>
          </w:tcPr>
          <w:p w:rsidR="002A0827" w:rsidRDefault="00F27843">
            <w:pPr>
              <w:widowControl w:val="0"/>
            </w:pPr>
            <w:r>
              <w:t>I</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Sales and Implementation</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C</w:t>
            </w:r>
          </w:p>
        </w:tc>
        <w:tc>
          <w:tcPr>
            <w:tcW w:w="1395" w:type="dxa"/>
            <w:tcMar>
              <w:top w:w="100" w:type="dxa"/>
              <w:left w:w="100" w:type="dxa"/>
              <w:bottom w:w="100" w:type="dxa"/>
              <w:right w:w="100" w:type="dxa"/>
            </w:tcMar>
          </w:tcPr>
          <w:p w:rsidR="002A0827" w:rsidRDefault="00F27843">
            <w:pPr>
              <w:widowControl w:val="0"/>
            </w:pPr>
            <w:r>
              <w:t>I</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t xml:space="preserve">Financial </w:t>
            </w:r>
            <w:r>
              <w:rPr>
                <w:b/>
                <w:bCs/>
                <w:i/>
                <w:iCs/>
              </w:rPr>
              <w:lastRenderedPageBreak/>
              <w:t>reporting</w:t>
            </w:r>
          </w:p>
        </w:tc>
        <w:tc>
          <w:tcPr>
            <w:tcW w:w="1155" w:type="dxa"/>
            <w:tcMar>
              <w:top w:w="100" w:type="dxa"/>
              <w:left w:w="100" w:type="dxa"/>
              <w:bottom w:w="100" w:type="dxa"/>
              <w:right w:w="100" w:type="dxa"/>
            </w:tcMar>
          </w:tcPr>
          <w:p w:rsidR="002A0827" w:rsidRDefault="00F27843">
            <w:pPr>
              <w:widowControl w:val="0"/>
            </w:pPr>
            <w:r>
              <w:lastRenderedPageBreak/>
              <w:t>A</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155" w:type="dxa"/>
            <w:tcMar>
              <w:top w:w="100" w:type="dxa"/>
              <w:left w:w="100" w:type="dxa"/>
              <w:bottom w:w="100" w:type="dxa"/>
              <w:right w:w="100" w:type="dxa"/>
            </w:tcMar>
          </w:tcPr>
          <w:p w:rsidR="002A0827" w:rsidRDefault="00F27843">
            <w:pPr>
              <w:widowControl w:val="0"/>
            </w:pPr>
            <w:r>
              <w:t>I</w:t>
            </w:r>
          </w:p>
        </w:tc>
        <w:tc>
          <w:tcPr>
            <w:tcW w:w="1395" w:type="dxa"/>
            <w:tcMar>
              <w:top w:w="100" w:type="dxa"/>
              <w:left w:w="100" w:type="dxa"/>
              <w:bottom w:w="100" w:type="dxa"/>
              <w:right w:w="100" w:type="dxa"/>
            </w:tcMar>
          </w:tcPr>
          <w:p w:rsidR="002A0827" w:rsidRDefault="00F27843">
            <w:pPr>
              <w:widowControl w:val="0"/>
            </w:pPr>
            <w:r>
              <w:t>C</w:t>
            </w:r>
          </w:p>
        </w:tc>
      </w:tr>
      <w:tr w:rsidR="002A0827">
        <w:tc>
          <w:tcPr>
            <w:tcW w:w="1485" w:type="dxa"/>
            <w:shd w:val="clear" w:color="auto" w:fill="00FFFF"/>
            <w:tcMar>
              <w:top w:w="100" w:type="dxa"/>
              <w:left w:w="100" w:type="dxa"/>
              <w:bottom w:w="100" w:type="dxa"/>
              <w:right w:w="100" w:type="dxa"/>
            </w:tcMar>
          </w:tcPr>
          <w:p w:rsidR="002A0827" w:rsidRDefault="00F27843">
            <w:pPr>
              <w:widowControl w:val="0"/>
              <w:rPr>
                <w:b/>
                <w:bCs/>
                <w:i/>
                <w:iCs/>
              </w:rPr>
            </w:pPr>
            <w:r>
              <w:rPr>
                <w:b/>
                <w:bCs/>
                <w:i/>
                <w:iCs/>
              </w:rPr>
              <w:lastRenderedPageBreak/>
              <w:t>Stakeholder feedback</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R</w:t>
            </w:r>
          </w:p>
        </w:tc>
        <w:tc>
          <w:tcPr>
            <w:tcW w:w="1155" w:type="dxa"/>
            <w:tcMar>
              <w:top w:w="100" w:type="dxa"/>
              <w:left w:w="100" w:type="dxa"/>
              <w:bottom w:w="100" w:type="dxa"/>
              <w:right w:w="100" w:type="dxa"/>
            </w:tcMar>
          </w:tcPr>
          <w:p w:rsidR="002A0827" w:rsidRDefault="00F27843">
            <w:pPr>
              <w:widowControl w:val="0"/>
            </w:pPr>
            <w:r>
              <w:t>C</w:t>
            </w:r>
          </w:p>
        </w:tc>
        <w:tc>
          <w:tcPr>
            <w:tcW w:w="1155" w:type="dxa"/>
            <w:tcMar>
              <w:top w:w="100" w:type="dxa"/>
              <w:left w:w="100" w:type="dxa"/>
              <w:bottom w:w="100" w:type="dxa"/>
              <w:right w:w="100" w:type="dxa"/>
            </w:tcMar>
          </w:tcPr>
          <w:p w:rsidR="002A0827" w:rsidRDefault="00F27843">
            <w:pPr>
              <w:widowControl w:val="0"/>
            </w:pPr>
            <w:r>
              <w:t>C</w:t>
            </w:r>
          </w:p>
        </w:tc>
        <w:tc>
          <w:tcPr>
            <w:tcW w:w="1395" w:type="dxa"/>
            <w:tcMar>
              <w:top w:w="100" w:type="dxa"/>
              <w:left w:w="100" w:type="dxa"/>
              <w:bottom w:w="100" w:type="dxa"/>
              <w:right w:w="100" w:type="dxa"/>
            </w:tcMar>
          </w:tcPr>
          <w:p w:rsidR="002A0827" w:rsidRDefault="00F27843">
            <w:pPr>
              <w:widowControl w:val="0"/>
            </w:pPr>
            <w:r>
              <w:t>I</w:t>
            </w:r>
          </w:p>
        </w:tc>
      </w:tr>
    </w:tbl>
    <w:p w:rsidR="002A0827" w:rsidRDefault="00F27843">
      <w:pPr>
        <w:spacing w:line="360" w:lineRule="auto"/>
        <w:jc w:val="center"/>
        <w:rPr>
          <w:b/>
          <w:bCs/>
        </w:rPr>
      </w:pPr>
      <w:r>
        <w:rPr>
          <w:b/>
          <w:bCs/>
        </w:rPr>
        <w:t>Table 5: RACI Framework for the project</w:t>
      </w:r>
    </w:p>
    <w:p w:rsidR="002A0827" w:rsidRDefault="00F27843">
      <w:pPr>
        <w:spacing w:line="360" w:lineRule="auto"/>
        <w:jc w:val="center"/>
      </w:pPr>
      <w:r>
        <w:t>(Source: Self-developed)</w:t>
      </w:r>
    </w:p>
    <w:p w:rsidR="002A0827" w:rsidRDefault="00F27843">
      <w:pPr>
        <w:spacing w:line="360" w:lineRule="auto"/>
      </w:pPr>
      <w:r>
        <w:t xml:space="preserve">The RACI framework helps outline the stakeholder responsibilities at each stage of a project, improving engagement and involvement (Lee </w:t>
      </w:r>
      <w:r>
        <w:rPr>
          <w:i/>
          <w:iCs/>
        </w:rPr>
        <w:t xml:space="preserve">et al. </w:t>
      </w:r>
      <w:r>
        <w:t xml:space="preserve">2021). Using RACI Framework fosters a clear communication channel between project manager, internal and external stakeholders for promptly meeting deadlines. </w:t>
      </w:r>
    </w:p>
    <w:p w:rsidR="002A0827" w:rsidRDefault="00F27843">
      <w:pPr>
        <w:pStyle w:val="Heading1"/>
        <w:keepNext/>
        <w:keepLines/>
        <w:spacing w:before="200" w:after="200"/>
      </w:pPr>
      <w:bookmarkStart w:id="15" w:name="_heading=h.igtr5x7ptlb2" w:colFirst="0" w:colLast="0"/>
      <w:bookmarkEnd w:id="15"/>
      <w:r>
        <w:t>Engaging the key stakeholders using the 4C’s model</w:t>
      </w:r>
    </w:p>
    <w:p w:rsidR="002A0827" w:rsidRDefault="00F27843">
      <w:pPr>
        <w:pBdr>
          <w:top w:val="nil"/>
          <w:left w:val="nil"/>
          <w:bottom w:val="nil"/>
          <w:right w:val="nil"/>
          <w:between w:val="nil"/>
        </w:pBdr>
        <w:spacing w:line="360" w:lineRule="auto"/>
        <w:jc w:val="center"/>
        <w:rPr>
          <w:color w:val="000000"/>
        </w:rPr>
      </w:pPr>
      <w:r>
        <w:rPr>
          <w:noProof/>
          <w:color w:val="000000"/>
          <w:lang w:val="en-US" w:eastAsia="en-US"/>
        </w:rPr>
        <w:drawing>
          <wp:inline distT="114300" distB="114300" distL="114300" distR="114300">
            <wp:extent cx="3878835" cy="3927854"/>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878835" cy="3927854"/>
                    </a:xfrm>
                    <a:prstGeom prst="rect">
                      <a:avLst/>
                    </a:prstGeom>
                    <a:ln/>
                  </pic:spPr>
                </pic:pic>
              </a:graphicData>
            </a:graphic>
          </wp:inline>
        </w:drawing>
      </w:r>
    </w:p>
    <w:p w:rsidR="002A0827" w:rsidRDefault="00F27843">
      <w:pPr>
        <w:pBdr>
          <w:top w:val="nil"/>
          <w:left w:val="nil"/>
          <w:bottom w:val="nil"/>
          <w:right w:val="nil"/>
          <w:between w:val="nil"/>
        </w:pBdr>
        <w:spacing w:line="360" w:lineRule="auto"/>
        <w:jc w:val="center"/>
        <w:rPr>
          <w:b/>
          <w:bCs/>
          <w:color w:val="000000"/>
        </w:rPr>
      </w:pPr>
      <w:r>
        <w:rPr>
          <w:b/>
          <w:bCs/>
          <w:color w:val="000000"/>
        </w:rPr>
        <w:t>Figure 4: Smith+Nephew’s performance cycle</w:t>
      </w:r>
    </w:p>
    <w:p w:rsidR="002A0827" w:rsidRDefault="00F27843">
      <w:pPr>
        <w:pBdr>
          <w:top w:val="nil"/>
          <w:left w:val="nil"/>
          <w:bottom w:val="nil"/>
          <w:right w:val="nil"/>
          <w:between w:val="nil"/>
        </w:pBdr>
        <w:spacing w:line="360" w:lineRule="auto"/>
        <w:jc w:val="center"/>
        <w:rPr>
          <w:color w:val="000000"/>
        </w:rPr>
      </w:pPr>
      <w:r>
        <w:rPr>
          <w:color w:val="000000"/>
        </w:rPr>
        <w:t>(Source: Smith+Nephew, 2025)</w:t>
      </w:r>
    </w:p>
    <w:p w:rsidR="002A0827" w:rsidRDefault="00F27843">
      <w:pPr>
        <w:pBdr>
          <w:top w:val="nil"/>
          <w:left w:val="nil"/>
          <w:bottom w:val="nil"/>
          <w:right w:val="nil"/>
          <w:between w:val="nil"/>
        </w:pBdr>
        <w:spacing w:line="360" w:lineRule="auto"/>
        <w:rPr>
          <w:color w:val="000000"/>
        </w:rPr>
      </w:pPr>
      <w:r>
        <w:rPr>
          <w:color w:val="000000"/>
        </w:rPr>
        <w:t>As a Project Manager at Smith+Nephew, the process of engaging the key stakeholders and managing conflict would be the prime concern</w:t>
      </w:r>
      <w:r>
        <w:rPr>
          <w:color w:val="FF0000"/>
        </w:rPr>
        <w:t>in the case of the new wearable clinical device</w:t>
      </w:r>
      <w:r>
        <w:rPr>
          <w:color w:val="000000"/>
        </w:rPr>
        <w:t xml:space="preserve">. The process through which the engagement and conflict would be resolved is a structured approach rooted in the principles and the performance cycle of the organisation (as per the figure above). This is also in line with the project management and the company’s culture of </w:t>
      </w:r>
      <w:r>
        <w:rPr>
          <w:color w:val="000000"/>
        </w:rPr>
        <w:lastRenderedPageBreak/>
        <w:t xml:space="preserve">Care, Collaborate and Courage (Smith+Nephew, 2025). In this aspect, the 4C’s of communication model would be ideal for analysis. </w:t>
      </w:r>
    </w:p>
    <w:p w:rsidR="002A0827" w:rsidRDefault="00F27843">
      <w:pPr>
        <w:pBdr>
          <w:top w:val="nil"/>
          <w:left w:val="nil"/>
          <w:bottom w:val="nil"/>
          <w:right w:val="nil"/>
          <w:between w:val="nil"/>
        </w:pBdr>
        <w:spacing w:line="360" w:lineRule="auto"/>
        <w:jc w:val="center"/>
        <w:rPr>
          <w:color w:val="000000"/>
        </w:rPr>
      </w:pPr>
      <w:r>
        <w:rPr>
          <w:noProof/>
          <w:color w:val="000000"/>
          <w:lang w:val="en-US" w:eastAsia="en-US"/>
        </w:rPr>
        <w:drawing>
          <wp:inline distT="114300" distB="114300" distL="114300" distR="114300">
            <wp:extent cx="4391025" cy="3819525"/>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391025" cy="3819525"/>
                    </a:xfrm>
                    <a:prstGeom prst="rect">
                      <a:avLst/>
                    </a:prstGeom>
                    <a:ln/>
                  </pic:spPr>
                </pic:pic>
              </a:graphicData>
            </a:graphic>
          </wp:inline>
        </w:drawing>
      </w:r>
    </w:p>
    <w:p w:rsidR="002A0827" w:rsidRDefault="00F27843">
      <w:pPr>
        <w:pBdr>
          <w:top w:val="nil"/>
          <w:left w:val="nil"/>
          <w:bottom w:val="nil"/>
          <w:right w:val="nil"/>
          <w:between w:val="nil"/>
        </w:pBdr>
        <w:spacing w:line="360" w:lineRule="auto"/>
        <w:jc w:val="center"/>
        <w:rPr>
          <w:b/>
          <w:bCs/>
          <w:color w:val="000000"/>
        </w:rPr>
      </w:pPr>
      <w:r>
        <w:rPr>
          <w:b/>
          <w:bCs/>
          <w:color w:val="000000"/>
        </w:rPr>
        <w:t>Figure 5: 4C’s Model</w:t>
      </w:r>
    </w:p>
    <w:p w:rsidR="002A0827" w:rsidRDefault="00F27843">
      <w:pPr>
        <w:pBdr>
          <w:top w:val="nil"/>
          <w:left w:val="nil"/>
          <w:bottom w:val="nil"/>
          <w:right w:val="nil"/>
          <w:between w:val="nil"/>
        </w:pBdr>
        <w:spacing w:line="360" w:lineRule="auto"/>
        <w:jc w:val="center"/>
        <w:rPr>
          <w:color w:val="000000"/>
        </w:rPr>
      </w:pPr>
      <w:r>
        <w:rPr>
          <w:color w:val="000000"/>
        </w:rPr>
        <w:t>(Source: Self-created)</w:t>
      </w:r>
    </w:p>
    <w:p w:rsidR="002A0827" w:rsidRDefault="00F27843">
      <w:pPr>
        <w:pBdr>
          <w:top w:val="nil"/>
          <w:left w:val="nil"/>
          <w:bottom w:val="nil"/>
          <w:right w:val="nil"/>
          <w:between w:val="nil"/>
        </w:pBdr>
        <w:spacing w:line="360" w:lineRule="auto"/>
        <w:rPr>
          <w:color w:val="000000"/>
        </w:rPr>
      </w:pPr>
      <w:r>
        <w:rPr>
          <w:color w:val="000000"/>
        </w:rPr>
        <w:t>The 4C’s model comprises Communication, Coordination, Cooperation and Collaboration, which will be used for ensuring proactive engagement and efficient conflict resolution. The 4C’s model provides distinct and related concepts where communication is the interchange of information, coordination is the activities and roles of the organisation (Silver, 2022). Alongside, cooperation is working together towards a shared goal, and collaboration is the joint effort where individuals contribute their unified skills and perspectives to a common mission. This approach is in line with the focus of Smith+Nephew on innovation and cross-functional work, inculcating a culture of trust and shared responsibility.</w:t>
      </w:r>
    </w:p>
    <w:p w:rsidR="002A0827" w:rsidRDefault="00F27843">
      <w:pPr>
        <w:pBdr>
          <w:top w:val="nil"/>
          <w:left w:val="nil"/>
          <w:bottom w:val="nil"/>
          <w:right w:val="nil"/>
          <w:between w:val="nil"/>
        </w:pBdr>
        <w:spacing w:line="360" w:lineRule="auto"/>
        <w:rPr>
          <w:color w:val="000000"/>
        </w:rPr>
      </w:pPr>
      <w:r>
        <w:rPr>
          <w:b/>
          <w:bCs/>
          <w:i/>
          <w:iCs/>
          <w:color w:val="000000"/>
        </w:rPr>
        <w:t>Stakeholder Engagement Process</w:t>
      </w:r>
    </w:p>
    <w:p w:rsidR="002A0827" w:rsidRDefault="00F27843">
      <w:pPr>
        <w:pBdr>
          <w:top w:val="nil"/>
          <w:left w:val="nil"/>
          <w:bottom w:val="nil"/>
          <w:right w:val="nil"/>
          <w:between w:val="nil"/>
        </w:pBdr>
        <w:spacing w:line="360" w:lineRule="auto"/>
        <w:rPr>
          <w:color w:val="000000"/>
        </w:rPr>
      </w:pPr>
      <w:r>
        <w:rPr>
          <w:color w:val="000000"/>
        </w:rPr>
        <w:t>The engagement process of the stakeholders follows a life cycle of identification, planning, implementation and monitoring with the integration of the 4C’s model into the core strategy for high-priority stakeholders.</w:t>
      </w:r>
    </w:p>
    <w:tbl>
      <w:tblPr>
        <w:tblStyle w:val="ac"/>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DDD9C3" w:themeFill="background2" w:themeFillShade="E6"/>
        <w:tblLayout w:type="fixed"/>
        <w:tblLook w:val="0600"/>
      </w:tblPr>
      <w:tblGrid>
        <w:gridCol w:w="2040"/>
        <w:gridCol w:w="3390"/>
        <w:gridCol w:w="3570"/>
      </w:tblGrid>
      <w:tr w:rsidR="002A0827" w:rsidTr="00D8096B">
        <w:trPr>
          <w:cantSplit/>
          <w:tblHeader/>
        </w:trPr>
        <w:tc>
          <w:tcPr>
            <w:tcW w:w="204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4C’s</w:t>
            </w:r>
          </w:p>
        </w:tc>
        <w:tc>
          <w:tcPr>
            <w:tcW w:w="339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In context to Smith+Nephew</w:t>
            </w:r>
          </w:p>
        </w:tc>
        <w:tc>
          <w:tcPr>
            <w:tcW w:w="357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Actionable steps</w:t>
            </w:r>
          </w:p>
        </w:tc>
      </w:tr>
      <w:tr w:rsidR="002A0827" w:rsidTr="00D8096B">
        <w:trPr>
          <w:cantSplit/>
          <w:tblHeader/>
        </w:trPr>
        <w:tc>
          <w:tcPr>
            <w:tcW w:w="2040" w:type="dxa"/>
            <w:shd w:val="clear" w:color="auto" w:fill="DDD9C3" w:themeFill="background2" w:themeFillShade="E6"/>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lastRenderedPageBreak/>
              <w:t>Communication</w:t>
            </w:r>
          </w:p>
        </w:tc>
        <w:tc>
          <w:tcPr>
            <w:tcW w:w="3390" w:type="dxa"/>
            <w:shd w:val="clear" w:color="auto" w:fill="DDD9C3" w:themeFill="background2" w:themeFillShade="E6"/>
            <w:tcMar>
              <w:top w:w="100" w:type="dxa"/>
              <w:left w:w="100" w:type="dxa"/>
              <w:bottom w:w="100" w:type="dxa"/>
              <w:right w:w="100" w:type="dxa"/>
            </w:tcMar>
          </w:tcPr>
          <w:p w:rsidR="002A0827" w:rsidRDefault="00F27843">
            <w:pPr>
              <w:pBdr>
                <w:top w:val="nil"/>
                <w:left w:val="nil"/>
                <w:bottom w:val="nil"/>
                <w:right w:val="nil"/>
                <w:between w:val="nil"/>
              </w:pBdr>
              <w:spacing w:line="360" w:lineRule="auto"/>
              <w:rPr>
                <w:color w:val="000000"/>
              </w:rPr>
            </w:pPr>
            <w:r>
              <w:rPr>
                <w:color w:val="000000"/>
              </w:rPr>
              <w:t xml:space="preserve">Attah </w:t>
            </w:r>
            <w:r>
              <w:rPr>
                <w:i/>
                <w:iCs/>
                <w:color w:val="000000"/>
              </w:rPr>
              <w:t xml:space="preserve">et al., </w:t>
            </w:r>
            <w:r>
              <w:rPr>
                <w:color w:val="000000"/>
              </w:rPr>
              <w:t xml:space="preserve">(2024) stated that tailoring information flow to meet the specified requirements and preferences across R&amp;D, Commercial franchises and Global Operations for avoiding misconceptions. Furthermore, ensuring transparency for building trust and managing expectations from the outset is vital.   </w:t>
            </w:r>
          </w:p>
        </w:tc>
        <w:tc>
          <w:tcPr>
            <w:tcW w:w="357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 xml:space="preserve">It is important for the development of a detailed communication plan outlining the key messages, channels such as formal reports, team meetings, project management tools like Teams and frequency for each stakeholder group. This would allow seamless communication among every stakeholder and avoid confusions. </w:t>
            </w:r>
          </w:p>
        </w:tc>
      </w:tr>
      <w:tr w:rsidR="002A0827" w:rsidTr="00D8096B">
        <w:trPr>
          <w:cantSplit/>
          <w:tblHeader/>
        </w:trPr>
        <w:tc>
          <w:tcPr>
            <w:tcW w:w="2040" w:type="dxa"/>
            <w:shd w:val="clear" w:color="auto" w:fill="DDD9C3" w:themeFill="background2" w:themeFillShade="E6"/>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t>Coordination</w:t>
            </w:r>
          </w:p>
        </w:tc>
        <w:tc>
          <w:tcPr>
            <w:tcW w:w="339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Aligning with project resources, activities and timeline across varied business units such as Sports Medicine &amp; ENT, Orthopedics and Advanced Wound Management to make a seamless execution. This would help in preventing conflicts among the resources.</w:t>
            </w:r>
          </w:p>
        </w:tc>
        <w:tc>
          <w:tcPr>
            <w:tcW w:w="357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Utilisation of frameworks such as the RACI matrix can define roles and responsibilities clearly (Matthews, 2024). Implementation of comprehensive project plans, frequently updating and reviewing them to reflect the progress and priorities would be ideal in the case of Smith+Nephew.</w:t>
            </w:r>
          </w:p>
        </w:tc>
      </w:tr>
      <w:tr w:rsidR="002A0827" w:rsidTr="00D8096B">
        <w:trPr>
          <w:cantSplit/>
          <w:tblHeader/>
        </w:trPr>
        <w:tc>
          <w:tcPr>
            <w:tcW w:w="2040" w:type="dxa"/>
            <w:shd w:val="clear" w:color="auto" w:fill="DDD9C3" w:themeFill="background2" w:themeFillShade="E6"/>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t xml:space="preserve">Cooperation </w:t>
            </w:r>
          </w:p>
        </w:tc>
        <w:tc>
          <w:tcPr>
            <w:tcW w:w="339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 xml:space="preserve">Encouraging all the parties to work in parity effectively by understanding their perspectives and motivation would be ideal for the stakeholders (Kaya, 2024). This would be vital in a matrixed structure organisation such as Smith+Nephew for sustaining the balance competing priorities and limitations of the resource. </w:t>
            </w:r>
          </w:p>
        </w:tc>
        <w:tc>
          <w:tcPr>
            <w:tcW w:w="357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 xml:space="preserve">Identification of the motivational factors for the stakeholders and link the goals of the project to their interests to gain buy-in hence encouraging the stakeholders to cooperate. </w:t>
            </w:r>
          </w:p>
        </w:tc>
      </w:tr>
      <w:tr w:rsidR="002A0827" w:rsidTr="00D8096B">
        <w:trPr>
          <w:cantSplit/>
          <w:tblHeader/>
        </w:trPr>
        <w:tc>
          <w:tcPr>
            <w:tcW w:w="2040" w:type="dxa"/>
            <w:shd w:val="clear" w:color="auto" w:fill="DDD9C3" w:themeFill="background2" w:themeFillShade="E6"/>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lastRenderedPageBreak/>
              <w:t xml:space="preserve">Collaboration </w:t>
            </w:r>
          </w:p>
        </w:tc>
        <w:tc>
          <w:tcPr>
            <w:tcW w:w="339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 xml:space="preserve">For the key stakeholders, it is important to allow them active cooperation in the decision-making process (MacDonald, Clarke and Huang, 2022). This is vital for the complicated R&amp;D projects where a varied array of expertise is required. </w:t>
            </w:r>
          </w:p>
        </w:tc>
        <w:tc>
          <w:tcPr>
            <w:tcW w:w="3570" w:type="dxa"/>
            <w:shd w:val="clear" w:color="auto" w:fill="DDD9C3" w:themeFill="background2" w:themeFillShade="E6"/>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000000"/>
              </w:rPr>
              <w:t xml:space="preserve">Involving the key stakeholders </w:t>
            </w:r>
            <w:r>
              <w:rPr>
                <w:color w:val="FF0000"/>
              </w:rPr>
              <w:t>(Senior Marketing Manager, Regional Business Manager, Senior R&amp;D Manager and CEO)</w:t>
            </w:r>
            <w:r>
              <w:rPr>
                <w:color w:val="000000"/>
              </w:rPr>
              <w:t xml:space="preserve">in workshops and review sessions to shape the solutionsprovide input. This would empower them to take ownership of major projects and combining the diverse perspectives would benefit the projects. </w:t>
            </w:r>
          </w:p>
        </w:tc>
      </w:tr>
    </w:tbl>
    <w:p w:rsidR="002A0827" w:rsidRDefault="00F27843">
      <w:pPr>
        <w:pBdr>
          <w:top w:val="nil"/>
          <w:left w:val="nil"/>
          <w:bottom w:val="nil"/>
          <w:right w:val="nil"/>
          <w:between w:val="nil"/>
        </w:pBdr>
        <w:spacing w:line="360" w:lineRule="auto"/>
        <w:jc w:val="center"/>
        <w:rPr>
          <w:b/>
          <w:bCs/>
          <w:color w:val="000000"/>
        </w:rPr>
      </w:pPr>
      <w:r>
        <w:rPr>
          <w:b/>
          <w:bCs/>
          <w:color w:val="000000"/>
        </w:rPr>
        <w:t>Table 6: Engaging the Stakeholders</w:t>
      </w:r>
    </w:p>
    <w:p w:rsidR="002A0827" w:rsidRDefault="00F27843">
      <w:pPr>
        <w:pBdr>
          <w:top w:val="nil"/>
          <w:left w:val="nil"/>
          <w:bottom w:val="nil"/>
          <w:right w:val="nil"/>
          <w:between w:val="nil"/>
        </w:pBdr>
        <w:spacing w:line="360" w:lineRule="auto"/>
        <w:jc w:val="center"/>
        <w:rPr>
          <w:color w:val="000000"/>
        </w:rPr>
      </w:pPr>
      <w:r>
        <w:rPr>
          <w:color w:val="000000"/>
        </w:rPr>
        <w:t>(Source: Self-created)</w:t>
      </w:r>
    </w:p>
    <w:p w:rsidR="002A0827" w:rsidRDefault="00F27843">
      <w:pPr>
        <w:pBdr>
          <w:top w:val="nil"/>
          <w:left w:val="nil"/>
          <w:bottom w:val="nil"/>
          <w:right w:val="nil"/>
          <w:between w:val="nil"/>
        </w:pBdr>
        <w:spacing w:line="360" w:lineRule="auto"/>
        <w:rPr>
          <w:b/>
          <w:bCs/>
          <w:i/>
          <w:iCs/>
          <w:color w:val="000000"/>
        </w:rPr>
      </w:pPr>
      <w:r>
        <w:rPr>
          <w:b/>
          <w:bCs/>
          <w:i/>
          <w:iCs/>
          <w:color w:val="000000"/>
        </w:rPr>
        <w:t>Managing Conflicts</w:t>
      </w:r>
    </w:p>
    <w:p w:rsidR="002A0827" w:rsidRDefault="00F27843">
      <w:pPr>
        <w:pBdr>
          <w:top w:val="nil"/>
          <w:left w:val="nil"/>
          <w:bottom w:val="nil"/>
          <w:right w:val="nil"/>
          <w:between w:val="nil"/>
        </w:pBdr>
        <w:spacing w:line="360" w:lineRule="auto"/>
      </w:pPr>
      <w:r>
        <w:rPr>
          <w:color w:val="000000"/>
        </w:rPr>
        <w:t xml:space="preserve">Zhou </w:t>
      </w:r>
      <w:r>
        <w:rPr>
          <w:i/>
          <w:iCs/>
          <w:color w:val="000000"/>
        </w:rPr>
        <w:t>et al.</w:t>
      </w:r>
      <w:r>
        <w:rPr>
          <w:color w:val="000000"/>
        </w:rPr>
        <w:t xml:space="preserve"> (2022) denoted that the conflicts are inevitable in light of a varied stakeholder interest in a project. In this regard, the specified methods would be adopted for conflict management </w:t>
      </w:r>
      <w:r>
        <w:rPr>
          <w:color w:val="FF0000"/>
        </w:rPr>
        <w:t xml:space="preserve">of external conflict such as R&amp;D v/s marketing and external conflict regarding MHRA delay </w:t>
      </w:r>
      <w:r>
        <w:rPr>
          <w:color w:val="000000"/>
        </w:rPr>
        <w:t xml:space="preserve">utilising the 4C’s model. </w:t>
      </w:r>
    </w:p>
    <w:tbl>
      <w:tblPr>
        <w:tblStyle w:val="ad"/>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5DFEC" w:themeFill="accent4" w:themeFillTint="33"/>
        <w:tblLayout w:type="fixed"/>
        <w:tblLook w:val="0600"/>
      </w:tblPr>
      <w:tblGrid>
        <w:gridCol w:w="1965"/>
        <w:gridCol w:w="3570"/>
        <w:gridCol w:w="3465"/>
      </w:tblGrid>
      <w:tr w:rsidR="002A0827" w:rsidTr="00D8096B">
        <w:trPr>
          <w:cantSplit/>
          <w:tblHeader/>
        </w:trPr>
        <w:tc>
          <w:tcPr>
            <w:tcW w:w="1965" w:type="dxa"/>
            <w:shd w:val="clear" w:color="auto" w:fill="E5DFEC" w:themeFill="accent4" w:themeFillTint="33"/>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4C’s</w:t>
            </w:r>
          </w:p>
        </w:tc>
        <w:tc>
          <w:tcPr>
            <w:tcW w:w="3570" w:type="dxa"/>
            <w:shd w:val="clear" w:color="auto" w:fill="E5DFEC" w:themeFill="accent4" w:themeFillTint="33"/>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In context to Smith+Nephew</w:t>
            </w:r>
          </w:p>
        </w:tc>
        <w:tc>
          <w:tcPr>
            <w:tcW w:w="3465" w:type="dxa"/>
            <w:shd w:val="clear" w:color="auto" w:fill="E5DFEC" w:themeFill="accent4" w:themeFillTint="33"/>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jc w:val="center"/>
              <w:rPr>
                <w:b/>
                <w:bCs/>
                <w:color w:val="000000"/>
              </w:rPr>
            </w:pPr>
            <w:r>
              <w:rPr>
                <w:b/>
                <w:bCs/>
                <w:color w:val="000000"/>
              </w:rPr>
              <w:t>Actionable steps</w:t>
            </w:r>
          </w:p>
        </w:tc>
      </w:tr>
      <w:tr w:rsidR="002A0827" w:rsidTr="00D8096B">
        <w:trPr>
          <w:cantSplit/>
          <w:tblHeader/>
        </w:trPr>
        <w:tc>
          <w:tcPr>
            <w:tcW w:w="1965" w:type="dxa"/>
            <w:shd w:val="clear" w:color="auto" w:fill="E5DFEC" w:themeFill="accent4" w:themeFillTint="33"/>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t>Communication</w:t>
            </w:r>
          </w:p>
        </w:tc>
        <w:tc>
          <w:tcPr>
            <w:tcW w:w="3570" w:type="dxa"/>
            <w:shd w:val="clear" w:color="auto" w:fill="E5DFEC" w:themeFill="accent4" w:themeFillTint="33"/>
            <w:tcMar>
              <w:top w:w="100" w:type="dxa"/>
              <w:left w:w="100" w:type="dxa"/>
              <w:bottom w:w="100" w:type="dxa"/>
              <w:right w:w="100" w:type="dxa"/>
            </w:tcMar>
          </w:tcPr>
          <w:p w:rsidR="002A0827" w:rsidRDefault="00F27843">
            <w:pPr>
              <w:widowControl w:val="0"/>
              <w:spacing w:line="360" w:lineRule="auto"/>
              <w:rPr>
                <w:color w:val="FF0000"/>
              </w:rPr>
            </w:pPr>
            <w:r>
              <w:rPr>
                <w:color w:val="FF0000"/>
              </w:rPr>
              <w:t>Making sure of clear communication among the stakeholders relating to R&amp;D, Marketing, MAHRA and the patients regarding the progress of the device and the requirements.</w:t>
            </w:r>
          </w:p>
        </w:tc>
        <w:tc>
          <w:tcPr>
            <w:tcW w:w="3465" w:type="dxa"/>
            <w:shd w:val="clear" w:color="auto" w:fill="E5DFEC" w:themeFill="accent4" w:themeFillTint="33"/>
            <w:tcMar>
              <w:top w:w="100" w:type="dxa"/>
              <w:left w:w="100" w:type="dxa"/>
              <w:bottom w:w="100" w:type="dxa"/>
              <w:right w:w="100" w:type="dxa"/>
            </w:tcMar>
          </w:tcPr>
          <w:p w:rsidR="002A0827" w:rsidRDefault="00F27843">
            <w:pPr>
              <w:widowControl w:val="0"/>
              <w:pBdr>
                <w:top w:val="nil"/>
                <w:left w:val="nil"/>
                <w:bottom w:val="nil"/>
                <w:right w:val="nil"/>
                <w:between w:val="nil"/>
              </w:pBdr>
              <w:spacing w:line="360" w:lineRule="auto"/>
              <w:rPr>
                <w:color w:val="000000"/>
              </w:rPr>
            </w:pPr>
            <w:r>
              <w:rPr>
                <w:color w:val="FF0000"/>
              </w:rPr>
              <w:t>This could be done by establishing a regular reporting schedule and a clear feedback loop for the management of the expectations. As a project manager it would require utilising simple language where appropriate for ensuring understanding.</w:t>
            </w:r>
            <w:r>
              <w:rPr>
                <w:color w:val="000000"/>
              </w:rPr>
              <w:t xml:space="preserve"> Being the neutral facilitator would help in the clarification of several issues and be de-escalated (Zaiser, Staller and Koerner, 2023). </w:t>
            </w:r>
          </w:p>
        </w:tc>
      </w:tr>
      <w:tr w:rsidR="002A0827" w:rsidTr="00D8096B">
        <w:trPr>
          <w:cantSplit/>
          <w:tblHeader/>
        </w:trPr>
        <w:tc>
          <w:tcPr>
            <w:tcW w:w="1965" w:type="dxa"/>
            <w:shd w:val="clear" w:color="auto" w:fill="E5DFEC" w:themeFill="accent4" w:themeFillTint="33"/>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lastRenderedPageBreak/>
              <w:t>Coordination</w:t>
            </w:r>
          </w:p>
        </w:tc>
        <w:tc>
          <w:tcPr>
            <w:tcW w:w="3570" w:type="dxa"/>
            <w:shd w:val="clear" w:color="auto" w:fill="E5DFEC" w:themeFill="accent4" w:themeFillTint="33"/>
            <w:tcMar>
              <w:top w:w="100" w:type="dxa"/>
              <w:left w:w="100" w:type="dxa"/>
              <w:bottom w:w="100" w:type="dxa"/>
              <w:right w:w="100" w:type="dxa"/>
            </w:tcMar>
          </w:tcPr>
          <w:p w:rsidR="002A0827" w:rsidRDefault="00F27843">
            <w:pPr>
              <w:spacing w:line="360" w:lineRule="auto"/>
              <w:rPr>
                <w:color w:val="FF0000"/>
              </w:rPr>
            </w:pPr>
            <w:r>
              <w:rPr>
                <w:color w:val="FF0000"/>
              </w:rPr>
              <w:t>Integration of the tasks, timelines and resources among the departments for the prevention of any overlaps.</w:t>
            </w:r>
          </w:p>
        </w:tc>
        <w:tc>
          <w:tcPr>
            <w:tcW w:w="3465" w:type="dxa"/>
            <w:shd w:val="clear" w:color="auto" w:fill="E5DFEC" w:themeFill="accent4" w:themeFillTint="33"/>
            <w:tcMar>
              <w:top w:w="100" w:type="dxa"/>
              <w:left w:w="100" w:type="dxa"/>
              <w:bottom w:w="100" w:type="dxa"/>
              <w:right w:w="100" w:type="dxa"/>
            </w:tcMar>
          </w:tcPr>
          <w:p w:rsidR="002A0827" w:rsidRDefault="00F27843">
            <w:pPr>
              <w:pBdr>
                <w:top w:val="nil"/>
                <w:left w:val="nil"/>
                <w:bottom w:val="nil"/>
                <w:right w:val="nil"/>
                <w:between w:val="nil"/>
              </w:pBdr>
              <w:spacing w:line="360" w:lineRule="auto"/>
              <w:rPr>
                <w:color w:val="000000"/>
              </w:rPr>
            </w:pPr>
            <w:r>
              <w:rPr>
                <w:color w:val="FF0000"/>
              </w:rPr>
              <w:t>Using a shared project management platform for tracking the progress and dependencies. In case of any internal conflict such as R&amp;D v/s marketing it would be ideal in enforcing a joint objective-setting process for aligning on the core features of the project and launch timing.</w:t>
            </w:r>
          </w:p>
          <w:p w:rsidR="002A0827" w:rsidRDefault="002A0827">
            <w:pPr>
              <w:pBdr>
                <w:top w:val="nil"/>
                <w:left w:val="nil"/>
                <w:bottom w:val="nil"/>
                <w:right w:val="nil"/>
                <w:between w:val="nil"/>
              </w:pBdr>
              <w:spacing w:before="240" w:line="360" w:lineRule="auto"/>
              <w:rPr>
                <w:b/>
                <w:bCs/>
                <w:i/>
                <w:iCs/>
                <w:color w:val="000000"/>
              </w:rPr>
            </w:pPr>
          </w:p>
        </w:tc>
      </w:tr>
      <w:tr w:rsidR="002A0827" w:rsidTr="00D8096B">
        <w:trPr>
          <w:cantSplit/>
          <w:tblHeader/>
        </w:trPr>
        <w:tc>
          <w:tcPr>
            <w:tcW w:w="1965" w:type="dxa"/>
            <w:shd w:val="clear" w:color="auto" w:fill="E5DFEC" w:themeFill="accent4" w:themeFillTint="33"/>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t xml:space="preserve">Cooperation </w:t>
            </w:r>
          </w:p>
        </w:tc>
        <w:tc>
          <w:tcPr>
            <w:tcW w:w="3570" w:type="dxa"/>
            <w:shd w:val="clear" w:color="auto" w:fill="E5DFEC" w:themeFill="accent4" w:themeFillTint="33"/>
            <w:tcMar>
              <w:top w:w="100" w:type="dxa"/>
              <w:left w:w="100" w:type="dxa"/>
              <w:bottom w:w="100" w:type="dxa"/>
              <w:right w:w="100" w:type="dxa"/>
            </w:tcMar>
          </w:tcPr>
          <w:p w:rsidR="002A0827" w:rsidRDefault="00F27843">
            <w:pPr>
              <w:spacing w:line="360" w:lineRule="auto"/>
              <w:rPr>
                <w:color w:val="FF0000"/>
              </w:rPr>
            </w:pPr>
            <w:r>
              <w:rPr>
                <w:color w:val="FF0000"/>
              </w:rPr>
              <w:t>The stakeholder’s willingness to share information and work together can be fostered in this stage through a positive environment incorporation. In this regard the stakeholders would work together towards a common goal even though their departmental goals are different.</w:t>
            </w:r>
          </w:p>
        </w:tc>
        <w:tc>
          <w:tcPr>
            <w:tcW w:w="3465" w:type="dxa"/>
            <w:shd w:val="clear" w:color="auto" w:fill="E5DFEC" w:themeFill="accent4" w:themeFillTint="33"/>
            <w:tcMar>
              <w:top w:w="100" w:type="dxa"/>
              <w:left w:w="100" w:type="dxa"/>
              <w:bottom w:w="100" w:type="dxa"/>
              <w:right w:w="100" w:type="dxa"/>
            </w:tcMar>
          </w:tcPr>
          <w:p w:rsidR="002A0827" w:rsidRDefault="00F27843">
            <w:pPr>
              <w:spacing w:line="360" w:lineRule="auto"/>
              <w:rPr>
                <w:color w:val="FF0000"/>
              </w:rPr>
            </w:pPr>
            <w:r>
              <w:rPr>
                <w:color w:val="FF0000"/>
              </w:rPr>
              <w:t>The project manager in this regard would mediate any disagreement and emphasis on any overarching goal of market success.</w:t>
            </w:r>
          </w:p>
        </w:tc>
      </w:tr>
      <w:tr w:rsidR="002A0827" w:rsidTr="00D8096B">
        <w:trPr>
          <w:cantSplit/>
          <w:tblHeader/>
        </w:trPr>
        <w:tc>
          <w:tcPr>
            <w:tcW w:w="1965" w:type="dxa"/>
            <w:shd w:val="clear" w:color="auto" w:fill="E5DFEC" w:themeFill="accent4" w:themeFillTint="33"/>
            <w:tcMar>
              <w:top w:w="100" w:type="dxa"/>
              <w:left w:w="100" w:type="dxa"/>
              <w:bottom w:w="100" w:type="dxa"/>
              <w:right w:w="100" w:type="dxa"/>
            </w:tcMar>
          </w:tcPr>
          <w:p w:rsidR="002A0827" w:rsidRDefault="00F27843">
            <w:pPr>
              <w:pBdr>
                <w:top w:val="nil"/>
                <w:left w:val="nil"/>
                <w:bottom w:val="nil"/>
                <w:right w:val="nil"/>
                <w:between w:val="nil"/>
              </w:pBdr>
              <w:spacing w:line="360" w:lineRule="auto"/>
              <w:jc w:val="center"/>
              <w:rPr>
                <w:b/>
                <w:bCs/>
                <w:color w:val="000000"/>
              </w:rPr>
            </w:pPr>
            <w:r>
              <w:rPr>
                <w:b/>
                <w:bCs/>
                <w:color w:val="000000"/>
              </w:rPr>
              <w:t xml:space="preserve">Collaboration </w:t>
            </w:r>
          </w:p>
        </w:tc>
        <w:tc>
          <w:tcPr>
            <w:tcW w:w="3570" w:type="dxa"/>
            <w:shd w:val="clear" w:color="auto" w:fill="E5DFEC" w:themeFill="accent4" w:themeFillTint="33"/>
            <w:tcMar>
              <w:top w:w="100" w:type="dxa"/>
              <w:left w:w="100" w:type="dxa"/>
              <w:bottom w:w="100" w:type="dxa"/>
              <w:right w:w="100" w:type="dxa"/>
            </w:tcMar>
          </w:tcPr>
          <w:p w:rsidR="002A0827" w:rsidRDefault="00F27843">
            <w:pPr>
              <w:spacing w:line="360" w:lineRule="auto"/>
              <w:rPr>
                <w:color w:val="000000"/>
              </w:rPr>
            </w:pPr>
            <w:r>
              <w:rPr>
                <w:color w:val="FF0000"/>
                <w:highlight w:val="white"/>
              </w:rPr>
              <w:t>For the navigation of complex regulatory pathways and co-creation of solutions, joint working status with the stakeholders such as MHRA would be helpful.</w:t>
            </w:r>
          </w:p>
        </w:tc>
        <w:tc>
          <w:tcPr>
            <w:tcW w:w="3465" w:type="dxa"/>
            <w:shd w:val="clear" w:color="auto" w:fill="E5DFEC" w:themeFill="accent4" w:themeFillTint="33"/>
            <w:tcMar>
              <w:top w:w="100" w:type="dxa"/>
              <w:left w:w="100" w:type="dxa"/>
              <w:bottom w:w="100" w:type="dxa"/>
              <w:right w:w="100" w:type="dxa"/>
            </w:tcMar>
          </w:tcPr>
          <w:p w:rsidR="002A0827" w:rsidRDefault="00F27843">
            <w:pPr>
              <w:spacing w:line="360" w:lineRule="auto"/>
              <w:rPr>
                <w:color w:val="000000"/>
              </w:rPr>
            </w:pPr>
            <w:r>
              <w:rPr>
                <w:color w:val="FF0000"/>
                <w:highlight w:val="white"/>
              </w:rPr>
              <w:t>External conflicts such as MHRA delays, dedicated task force for regulatory affairs would be engaged and share data proactively while incorporating their expertise in the product development for minimising any delays.</w:t>
            </w:r>
          </w:p>
        </w:tc>
      </w:tr>
    </w:tbl>
    <w:p w:rsidR="002A0827" w:rsidRDefault="00F27843">
      <w:pPr>
        <w:pBdr>
          <w:top w:val="nil"/>
          <w:left w:val="nil"/>
          <w:bottom w:val="nil"/>
          <w:right w:val="nil"/>
          <w:between w:val="nil"/>
        </w:pBdr>
        <w:spacing w:line="360" w:lineRule="auto"/>
        <w:jc w:val="center"/>
        <w:rPr>
          <w:b/>
          <w:bCs/>
          <w:color w:val="000000"/>
        </w:rPr>
      </w:pPr>
      <w:r>
        <w:rPr>
          <w:b/>
          <w:bCs/>
          <w:color w:val="000000"/>
        </w:rPr>
        <w:t>Table 7: Managing Conflicts</w:t>
      </w:r>
    </w:p>
    <w:p w:rsidR="002A0827" w:rsidRDefault="00F27843">
      <w:pPr>
        <w:pBdr>
          <w:top w:val="nil"/>
          <w:left w:val="nil"/>
          <w:bottom w:val="nil"/>
          <w:right w:val="nil"/>
          <w:between w:val="nil"/>
        </w:pBdr>
        <w:spacing w:line="360" w:lineRule="auto"/>
        <w:jc w:val="center"/>
        <w:rPr>
          <w:color w:val="000000"/>
        </w:rPr>
      </w:pPr>
      <w:r>
        <w:rPr>
          <w:color w:val="000000"/>
        </w:rPr>
        <w:t>(Source: Self-created)</w:t>
      </w:r>
    </w:p>
    <w:p w:rsidR="002A0827" w:rsidRDefault="00F27843">
      <w:pPr>
        <w:pStyle w:val="Heading1"/>
      </w:pPr>
      <w:bookmarkStart w:id="16" w:name="_heading=h.wchopupad3zw" w:colFirst="0" w:colLast="0"/>
      <w:bookmarkEnd w:id="16"/>
      <w:r>
        <w:lastRenderedPageBreak/>
        <w:t>Evaluate the impact of stakeholders’ engagement on the business performance and provide recommendations for future</w:t>
      </w:r>
    </w:p>
    <w:p w:rsidR="002A0827" w:rsidRDefault="00F27843">
      <w:pPr>
        <w:pBdr>
          <w:top w:val="nil"/>
          <w:left w:val="nil"/>
          <w:bottom w:val="nil"/>
          <w:right w:val="nil"/>
          <w:between w:val="nil"/>
        </w:pBdr>
        <w:spacing w:line="480" w:lineRule="auto"/>
        <w:rPr>
          <w:b/>
          <w:bCs/>
          <w:i/>
          <w:iCs/>
          <w:color w:val="000000"/>
        </w:rPr>
      </w:pPr>
      <w:r>
        <w:rPr>
          <w:b/>
          <w:bCs/>
          <w:i/>
          <w:iCs/>
          <w:color w:val="000000"/>
        </w:rPr>
        <w:t>Impact on Internal Stakeholders</w:t>
      </w:r>
    </w:p>
    <w:p w:rsidR="002A0827" w:rsidRDefault="00F27843">
      <w:pPr>
        <w:pBdr>
          <w:top w:val="nil"/>
          <w:left w:val="nil"/>
          <w:bottom w:val="nil"/>
          <w:right w:val="nil"/>
          <w:between w:val="nil"/>
        </w:pBdr>
        <w:spacing w:line="480" w:lineRule="auto"/>
        <w:rPr>
          <w:color w:val="000000"/>
        </w:rPr>
      </w:pPr>
      <w:r>
        <w:rPr>
          <w:color w:val="000000"/>
        </w:rPr>
        <w:t>The ability to engage internal stakeholders well can enhance productivity, have innovation, and all work toward shared objectives.</w:t>
      </w:r>
    </w:p>
    <w:p w:rsidR="002A0827" w:rsidRDefault="00F27843">
      <w:pPr>
        <w:pBdr>
          <w:top w:val="nil"/>
          <w:left w:val="nil"/>
          <w:bottom w:val="nil"/>
          <w:right w:val="nil"/>
          <w:between w:val="nil"/>
        </w:pBdr>
        <w:spacing w:line="480" w:lineRule="auto"/>
        <w:rPr>
          <w:color w:val="FF0000"/>
        </w:rPr>
      </w:pPr>
      <w:r>
        <w:rPr>
          <w:color w:val="FF0000"/>
        </w:rPr>
        <w:t>KPIs:</w:t>
      </w:r>
    </w:p>
    <w:p w:rsidR="002A0827" w:rsidRDefault="00F27843">
      <w:pPr>
        <w:pBdr>
          <w:top w:val="nil"/>
          <w:left w:val="nil"/>
          <w:bottom w:val="nil"/>
          <w:right w:val="nil"/>
          <w:between w:val="nil"/>
        </w:pBdr>
        <w:spacing w:line="480" w:lineRule="auto"/>
        <w:rPr>
          <w:color w:val="FF0000"/>
        </w:rPr>
      </w:pPr>
      <w:r>
        <w:rPr>
          <w:b/>
          <w:bCs/>
          <w:i/>
          <w:iCs/>
          <w:color w:val="FF0000"/>
        </w:rPr>
        <w:t>Employee Retention Rate</w:t>
      </w:r>
      <w:r>
        <w:rPr>
          <w:color w:val="FF0000"/>
        </w:rPr>
        <w:t>: Track the percentage of employees retained after one year, 90% retention.</w:t>
      </w:r>
    </w:p>
    <w:p w:rsidR="002A0827" w:rsidRDefault="00F27843">
      <w:pPr>
        <w:pBdr>
          <w:top w:val="nil"/>
          <w:left w:val="nil"/>
          <w:bottom w:val="nil"/>
          <w:right w:val="nil"/>
          <w:between w:val="nil"/>
        </w:pBdr>
        <w:spacing w:line="480" w:lineRule="auto"/>
        <w:rPr>
          <w:color w:val="FF0000"/>
        </w:rPr>
      </w:pPr>
      <w:r>
        <w:rPr>
          <w:b/>
          <w:bCs/>
          <w:i/>
          <w:iCs/>
          <w:color w:val="FF0000"/>
        </w:rPr>
        <w:t>Employee Satisfaction</w:t>
      </w:r>
      <w:r>
        <w:rPr>
          <w:color w:val="FF0000"/>
        </w:rPr>
        <w:t>: Measure via surveys, 85% satisfaction.</w:t>
      </w:r>
    </w:p>
    <w:p w:rsidR="002A0827" w:rsidRDefault="00F27843">
      <w:pPr>
        <w:pBdr>
          <w:top w:val="nil"/>
          <w:left w:val="nil"/>
          <w:bottom w:val="nil"/>
          <w:right w:val="nil"/>
          <w:between w:val="nil"/>
        </w:pBdr>
        <w:spacing w:line="480" w:lineRule="auto"/>
        <w:rPr>
          <w:color w:val="FF0000"/>
        </w:rPr>
      </w:pPr>
      <w:r>
        <w:rPr>
          <w:b/>
          <w:bCs/>
          <w:i/>
          <w:iCs/>
          <w:color w:val="FF0000"/>
        </w:rPr>
        <w:t>Time-to-Productivity</w:t>
      </w:r>
      <w:r>
        <w:rPr>
          <w:color w:val="FF0000"/>
        </w:rPr>
        <w:t>: Measure how quickly new employees reach full productivity reduce it by 10%.</w:t>
      </w:r>
    </w:p>
    <w:p w:rsidR="002A0827" w:rsidRDefault="00F27843">
      <w:pPr>
        <w:pBdr>
          <w:top w:val="nil"/>
          <w:left w:val="nil"/>
          <w:bottom w:val="nil"/>
          <w:right w:val="nil"/>
          <w:between w:val="nil"/>
        </w:pBdr>
        <w:spacing w:line="480" w:lineRule="auto"/>
        <w:rPr>
          <w:b/>
          <w:bCs/>
          <w:color w:val="000000"/>
        </w:rPr>
      </w:pPr>
      <w:r>
        <w:rPr>
          <w:b/>
          <w:bCs/>
          <w:color w:val="000000"/>
        </w:rPr>
        <w:t>Employee Engagement and Performance</w:t>
      </w:r>
    </w:p>
    <w:p w:rsidR="002A0827" w:rsidRDefault="00F27843">
      <w:pPr>
        <w:pBdr>
          <w:top w:val="nil"/>
          <w:left w:val="nil"/>
          <w:bottom w:val="nil"/>
          <w:right w:val="nil"/>
          <w:between w:val="nil"/>
        </w:pBdr>
        <w:spacing w:line="480" w:lineRule="auto"/>
        <w:rPr>
          <w:color w:val="000000"/>
        </w:rPr>
      </w:pPr>
      <w:r>
        <w:rPr>
          <w:color w:val="000000"/>
        </w:rPr>
        <w:t xml:space="preserve">Interested employees are more efficient and willing to make their contribution towards the success of the firm. Smith+Nephew can enhance performance through transparent communication, provision of career development prospects and rewarding the contributions of employees. This causes a higher level of job satisfaction, reduced staff turnover, and a more innovative workforce. </w:t>
      </w:r>
    </w:p>
    <w:p w:rsidR="002A0827" w:rsidRDefault="00F27843">
      <w:pPr>
        <w:pBdr>
          <w:top w:val="nil"/>
          <w:left w:val="nil"/>
          <w:bottom w:val="nil"/>
          <w:right w:val="nil"/>
          <w:between w:val="nil"/>
        </w:pBdr>
        <w:spacing w:line="480" w:lineRule="auto"/>
        <w:rPr>
          <w:b/>
          <w:bCs/>
          <w:color w:val="000000"/>
        </w:rPr>
      </w:pPr>
      <w:r>
        <w:rPr>
          <w:b/>
          <w:bCs/>
          <w:color w:val="000000"/>
        </w:rPr>
        <w:t>Strategic and Management Decision-Making</w:t>
      </w:r>
    </w:p>
    <w:p w:rsidR="002A0827" w:rsidRDefault="00F27843">
      <w:pPr>
        <w:pBdr>
          <w:top w:val="nil"/>
          <w:left w:val="nil"/>
          <w:bottom w:val="nil"/>
          <w:right w:val="nil"/>
          <w:between w:val="nil"/>
        </w:pBdr>
        <w:spacing w:line="480" w:lineRule="auto"/>
        <w:rPr>
          <w:color w:val="000000"/>
        </w:rPr>
      </w:pPr>
      <w:r>
        <w:rPr>
          <w:color w:val="000000"/>
        </w:rPr>
        <w:t>Strategic alignment of actions of the organisation with its strategic goals and effective management engagement is the key factor. Free flow of information between senior management and employees enables making sure that the strategic decision made is understood and followed throughout the organisation (Sinnaiah</w:t>
      </w:r>
      <w:r>
        <w:rPr>
          <w:i/>
          <w:iCs/>
          <w:color w:val="000000"/>
        </w:rPr>
        <w:t>et al</w:t>
      </w:r>
      <w:r>
        <w:rPr>
          <w:color w:val="000000"/>
        </w:rPr>
        <w:t xml:space="preserve">. 2023). This direction enables Smith+Nephew to overcome the obstacles in the market better and faster, as well as sustain its competitive advantage. </w:t>
      </w:r>
    </w:p>
    <w:p w:rsidR="002A0827" w:rsidRDefault="00F27843">
      <w:pPr>
        <w:pBdr>
          <w:top w:val="nil"/>
          <w:left w:val="nil"/>
          <w:bottom w:val="nil"/>
          <w:right w:val="nil"/>
          <w:between w:val="nil"/>
        </w:pBdr>
        <w:spacing w:line="480" w:lineRule="auto"/>
        <w:rPr>
          <w:b/>
          <w:bCs/>
          <w:i/>
          <w:iCs/>
          <w:color w:val="000000"/>
        </w:rPr>
      </w:pPr>
      <w:r>
        <w:rPr>
          <w:b/>
          <w:bCs/>
          <w:i/>
          <w:iCs/>
          <w:color w:val="000000"/>
        </w:rPr>
        <w:t>Impact on External Stakeholders</w:t>
      </w:r>
    </w:p>
    <w:p w:rsidR="002A0827" w:rsidRDefault="00F27843">
      <w:pPr>
        <w:pBdr>
          <w:top w:val="nil"/>
          <w:left w:val="nil"/>
          <w:bottom w:val="nil"/>
          <w:right w:val="nil"/>
          <w:between w:val="nil"/>
        </w:pBdr>
        <w:spacing w:line="480" w:lineRule="auto"/>
        <w:rPr>
          <w:color w:val="000000"/>
        </w:rPr>
      </w:pPr>
      <w:r>
        <w:rPr>
          <w:color w:val="000000"/>
        </w:rPr>
        <w:lastRenderedPageBreak/>
        <w:t xml:space="preserve">The market can be largely impacted by external stakeholders, including customers, suppliers, regulators and investors, who are major stakeholders in the performance of places like Smith+Nephew in terms of profitability. </w:t>
      </w:r>
    </w:p>
    <w:p w:rsidR="002A0827" w:rsidRDefault="00F27843">
      <w:pPr>
        <w:pBdr>
          <w:top w:val="nil"/>
          <w:left w:val="nil"/>
          <w:bottom w:val="nil"/>
          <w:right w:val="nil"/>
          <w:between w:val="nil"/>
        </w:pBdr>
        <w:spacing w:line="480" w:lineRule="auto"/>
        <w:rPr>
          <w:color w:val="FF0000"/>
        </w:rPr>
      </w:pPr>
      <w:r>
        <w:rPr>
          <w:color w:val="FF0000"/>
        </w:rPr>
        <w:t>KPIs:</w:t>
      </w:r>
    </w:p>
    <w:p w:rsidR="002A0827" w:rsidRDefault="00F27843">
      <w:pPr>
        <w:pBdr>
          <w:top w:val="nil"/>
          <w:left w:val="nil"/>
          <w:bottom w:val="nil"/>
          <w:right w:val="nil"/>
          <w:between w:val="nil"/>
        </w:pBdr>
        <w:spacing w:line="480" w:lineRule="auto"/>
        <w:rPr>
          <w:color w:val="FF0000"/>
        </w:rPr>
      </w:pPr>
      <w:r>
        <w:rPr>
          <w:color w:val="FF0000"/>
        </w:rPr>
        <w:t>Customer Satisfaction: Measure through feedback (target: 90% satisfaction).</w:t>
      </w:r>
    </w:p>
    <w:p w:rsidR="002A0827" w:rsidRDefault="00F27843">
      <w:pPr>
        <w:pBdr>
          <w:top w:val="nil"/>
          <w:left w:val="nil"/>
          <w:bottom w:val="nil"/>
          <w:right w:val="nil"/>
          <w:between w:val="nil"/>
        </w:pBdr>
        <w:spacing w:line="480" w:lineRule="auto"/>
        <w:rPr>
          <w:color w:val="FF0000"/>
        </w:rPr>
      </w:pPr>
      <w:r>
        <w:rPr>
          <w:color w:val="FF0000"/>
        </w:rPr>
        <w:t>Compliance Success Rate: Percentage of products approved by regulatory bodies 100%.</w:t>
      </w:r>
    </w:p>
    <w:p w:rsidR="002A0827" w:rsidRDefault="00F27843">
      <w:pPr>
        <w:pBdr>
          <w:top w:val="nil"/>
          <w:left w:val="nil"/>
          <w:bottom w:val="nil"/>
          <w:right w:val="nil"/>
          <w:between w:val="nil"/>
        </w:pBdr>
        <w:spacing w:line="480" w:lineRule="auto"/>
        <w:rPr>
          <w:color w:val="FF0000"/>
        </w:rPr>
      </w:pPr>
      <w:r>
        <w:rPr>
          <w:color w:val="FF0000"/>
        </w:rPr>
        <w:t>Regulatory Approval Time: Time to gain approval reduce by 15%.</w:t>
      </w:r>
    </w:p>
    <w:p w:rsidR="002A0827" w:rsidRDefault="00F27843">
      <w:pPr>
        <w:pBdr>
          <w:top w:val="nil"/>
          <w:left w:val="nil"/>
          <w:bottom w:val="nil"/>
          <w:right w:val="nil"/>
          <w:between w:val="nil"/>
        </w:pBdr>
        <w:spacing w:line="480" w:lineRule="auto"/>
        <w:rPr>
          <w:b/>
          <w:bCs/>
          <w:color w:val="000000"/>
        </w:rPr>
      </w:pPr>
      <w:r>
        <w:rPr>
          <w:b/>
          <w:bCs/>
          <w:color w:val="000000"/>
        </w:rPr>
        <w:t>Customer Engagement</w:t>
      </w:r>
    </w:p>
    <w:p w:rsidR="002A0827" w:rsidRDefault="00F27843">
      <w:pPr>
        <w:pBdr>
          <w:top w:val="nil"/>
          <w:left w:val="nil"/>
          <w:bottom w:val="nil"/>
          <w:right w:val="nil"/>
          <w:between w:val="nil"/>
        </w:pBdr>
        <w:spacing w:line="480" w:lineRule="auto"/>
        <w:rPr>
          <w:color w:val="000000"/>
        </w:rPr>
      </w:pPr>
      <w:r>
        <w:rPr>
          <w:color w:val="000000"/>
        </w:rPr>
        <w:t xml:space="preserve">The end-users of the products of Smith+Nephew are customers, such as hospitals, healthcare providers, and patients. To keep the customers expectant, it should maintain high customer engagement levels through feedback, customer support, and product innovations to ensure that Smith+Nephew can meet the expectations of the customers. The knowledge of customer needs and preferences can enable the company to enhance its products, enable customers to become more satisfied with the company, and promotion of repeat business to the customers. </w:t>
      </w:r>
    </w:p>
    <w:p w:rsidR="002A0827" w:rsidRDefault="00F27843">
      <w:pPr>
        <w:pBdr>
          <w:top w:val="nil"/>
          <w:left w:val="nil"/>
          <w:bottom w:val="nil"/>
          <w:right w:val="nil"/>
          <w:between w:val="nil"/>
        </w:pBdr>
        <w:spacing w:line="480" w:lineRule="auto"/>
        <w:rPr>
          <w:b/>
          <w:bCs/>
          <w:i/>
          <w:iCs/>
          <w:color w:val="000000"/>
        </w:rPr>
      </w:pPr>
      <w:r>
        <w:rPr>
          <w:b/>
          <w:bCs/>
          <w:i/>
          <w:iCs/>
          <w:color w:val="000000"/>
        </w:rPr>
        <w:t>Government and Regulatory Interaction</w:t>
      </w:r>
    </w:p>
    <w:p w:rsidR="002A0827" w:rsidRDefault="00F27843">
      <w:pPr>
        <w:pBdr>
          <w:top w:val="nil"/>
          <w:left w:val="nil"/>
          <w:bottom w:val="nil"/>
          <w:right w:val="nil"/>
          <w:between w:val="nil"/>
        </w:pBdr>
        <w:spacing w:line="480" w:lineRule="auto"/>
        <w:rPr>
          <w:color w:val="000000"/>
        </w:rPr>
      </w:pPr>
      <w:r>
        <w:rPr>
          <w:color w:val="000000"/>
        </w:rPr>
        <w:t>Smith+Nephew is entering an industry with a high level of regulation, where the governmental bodies, such as the “Medicines and Healthcare products Regulatory Agency”, are in charge of the safety of products and their entry to the market. Active participation in authorities can ensure that Smith+Nephew meets the industry standards without being fined in product approval. In addition, establishing rapport with government agencies can enable the firm to remain ahead of regulatory changes, which is necessary in reducing risks and guaranteeing an equivalent market entry.</w:t>
      </w:r>
    </w:p>
    <w:p w:rsidR="002A0827" w:rsidRDefault="00F27843">
      <w:pPr>
        <w:pBdr>
          <w:top w:val="nil"/>
          <w:left w:val="nil"/>
          <w:bottom w:val="nil"/>
          <w:right w:val="nil"/>
          <w:between w:val="nil"/>
        </w:pBdr>
        <w:spacing w:line="480" w:lineRule="auto"/>
        <w:rPr>
          <w:b/>
          <w:bCs/>
          <w:i/>
          <w:iCs/>
          <w:color w:val="000000"/>
        </w:rPr>
      </w:pPr>
      <w:r>
        <w:rPr>
          <w:b/>
          <w:bCs/>
          <w:i/>
          <w:iCs/>
          <w:color w:val="000000"/>
        </w:rPr>
        <w:t>Impact on Financial Performance</w:t>
      </w:r>
    </w:p>
    <w:p w:rsidR="002A0827" w:rsidRDefault="00F27843">
      <w:pPr>
        <w:pBdr>
          <w:top w:val="nil"/>
          <w:left w:val="nil"/>
          <w:bottom w:val="nil"/>
          <w:right w:val="nil"/>
          <w:between w:val="nil"/>
        </w:pBdr>
        <w:spacing w:line="480" w:lineRule="auto"/>
        <w:rPr>
          <w:color w:val="000000"/>
        </w:rPr>
      </w:pPr>
      <w:r>
        <w:rPr>
          <w:color w:val="000000"/>
        </w:rPr>
        <w:lastRenderedPageBreak/>
        <w:t>The financial performance of Smith +Nephew is directly affected by stakeholder engagement. Good interaction with both the internal and the external stakeholders may result in increased revenue, cost reduction and profitability.</w:t>
      </w:r>
    </w:p>
    <w:p w:rsidR="002A0827" w:rsidRDefault="00F27843">
      <w:pPr>
        <w:pBdr>
          <w:top w:val="nil"/>
          <w:left w:val="nil"/>
          <w:bottom w:val="nil"/>
          <w:right w:val="nil"/>
          <w:between w:val="nil"/>
        </w:pBdr>
        <w:spacing w:line="480" w:lineRule="auto"/>
        <w:rPr>
          <w:b/>
          <w:bCs/>
          <w:color w:val="000000"/>
        </w:rPr>
      </w:pPr>
      <w:r>
        <w:rPr>
          <w:b/>
          <w:bCs/>
          <w:color w:val="000000"/>
        </w:rPr>
        <w:t>Revenue Growth</w:t>
      </w:r>
    </w:p>
    <w:p w:rsidR="002A0827" w:rsidRDefault="00F27843">
      <w:pPr>
        <w:pBdr>
          <w:top w:val="nil"/>
          <w:left w:val="nil"/>
          <w:bottom w:val="nil"/>
          <w:right w:val="nil"/>
          <w:between w:val="nil"/>
        </w:pBdr>
        <w:spacing w:line="480" w:lineRule="auto"/>
        <w:rPr>
          <w:color w:val="000000"/>
        </w:rPr>
      </w:pPr>
      <w:r>
        <w:rPr>
          <w:color w:val="000000"/>
        </w:rPr>
        <w:t>The interaction with the customers, suppliers, and investors can assist Smith+Nephew in making sales and market share gains. This customer satisfaction through quality products and good relationships can result in repeat business and brand loyalty. The activity of suppliers guarantees the effectiveness of production and saves money, and promotes competition of price competition, which improves the profit (Farazi, 2024). Besides, clear communication with investors promotes confidence, resulting in further financial aid for growth and innovation.</w:t>
      </w:r>
    </w:p>
    <w:p w:rsidR="002A0827" w:rsidRDefault="00F27843">
      <w:pPr>
        <w:pBdr>
          <w:top w:val="nil"/>
          <w:left w:val="nil"/>
          <w:bottom w:val="nil"/>
          <w:right w:val="nil"/>
          <w:between w:val="nil"/>
        </w:pBdr>
        <w:spacing w:line="480" w:lineRule="auto"/>
        <w:rPr>
          <w:b/>
          <w:bCs/>
          <w:color w:val="000000"/>
        </w:rPr>
      </w:pPr>
      <w:r>
        <w:rPr>
          <w:b/>
          <w:bCs/>
          <w:color w:val="000000"/>
        </w:rPr>
        <w:t>Cost Efficiency</w:t>
      </w:r>
    </w:p>
    <w:p w:rsidR="002A0827" w:rsidRDefault="00F27843">
      <w:pPr>
        <w:pBdr>
          <w:top w:val="nil"/>
          <w:left w:val="nil"/>
          <w:bottom w:val="nil"/>
          <w:right w:val="nil"/>
          <w:between w:val="nil"/>
        </w:pBdr>
        <w:spacing w:line="480" w:lineRule="auto"/>
        <w:rPr>
          <w:color w:val="000000"/>
        </w:rPr>
      </w:pPr>
      <w:r>
        <w:rPr>
          <w:color w:val="000000"/>
        </w:rPr>
        <w:t>The need to engage internal stakeholders can result in operational efficiencies and cost reductions. The engaged employees tend to find more opportunities to give ways to better processes, waste reduction, and resource optimisation. The successful connectivity of the management with the internal teams ensures that funds are properly distributed in a strategic manner, further aiding the cost-saving practices.</w:t>
      </w:r>
    </w:p>
    <w:p w:rsidR="002A0827" w:rsidRDefault="00F27843">
      <w:pPr>
        <w:pBdr>
          <w:top w:val="nil"/>
          <w:left w:val="nil"/>
          <w:bottom w:val="nil"/>
          <w:right w:val="nil"/>
          <w:between w:val="nil"/>
        </w:pBdr>
        <w:spacing w:line="480" w:lineRule="auto"/>
        <w:rPr>
          <w:b/>
          <w:bCs/>
          <w:i/>
          <w:iCs/>
          <w:color w:val="FF0000"/>
        </w:rPr>
      </w:pPr>
      <w:r>
        <w:rPr>
          <w:b/>
          <w:bCs/>
          <w:i/>
          <w:iCs/>
          <w:color w:val="FF0000"/>
        </w:rPr>
        <w:t>KPIs:</w:t>
      </w:r>
    </w:p>
    <w:p w:rsidR="002A0827" w:rsidRDefault="00F27843">
      <w:pPr>
        <w:pBdr>
          <w:top w:val="nil"/>
          <w:left w:val="nil"/>
          <w:bottom w:val="nil"/>
          <w:right w:val="nil"/>
          <w:between w:val="nil"/>
        </w:pBdr>
        <w:spacing w:line="480" w:lineRule="auto"/>
        <w:rPr>
          <w:color w:val="FF0000"/>
        </w:rPr>
      </w:pPr>
      <w:r>
        <w:rPr>
          <w:color w:val="FF0000"/>
        </w:rPr>
        <w:t>Revenue Growth: Year-over-year sales increase target 5-10%.</w:t>
      </w:r>
    </w:p>
    <w:p w:rsidR="002A0827" w:rsidRDefault="00F27843">
      <w:pPr>
        <w:pBdr>
          <w:top w:val="nil"/>
          <w:left w:val="nil"/>
          <w:bottom w:val="nil"/>
          <w:right w:val="nil"/>
          <w:between w:val="nil"/>
        </w:pBdr>
        <w:spacing w:line="480" w:lineRule="auto"/>
        <w:rPr>
          <w:color w:val="FF0000"/>
        </w:rPr>
      </w:pPr>
      <w:r>
        <w:rPr>
          <w:color w:val="FF0000"/>
        </w:rPr>
        <w:t>Cost Savings: Reduction in operational costs, target to save 10% annually.</w:t>
      </w:r>
    </w:p>
    <w:p w:rsidR="002A0827" w:rsidRDefault="00F27843">
      <w:pPr>
        <w:pBdr>
          <w:top w:val="nil"/>
          <w:left w:val="nil"/>
          <w:bottom w:val="nil"/>
          <w:right w:val="nil"/>
          <w:between w:val="nil"/>
        </w:pBdr>
        <w:spacing w:line="480" w:lineRule="auto"/>
        <w:rPr>
          <w:b/>
          <w:bCs/>
          <w:color w:val="000000"/>
        </w:rPr>
      </w:pPr>
      <w:r>
        <w:rPr>
          <w:b/>
          <w:bCs/>
          <w:i/>
          <w:iCs/>
          <w:color w:val="000000"/>
        </w:rPr>
        <w:t xml:space="preserve">Recommendations </w:t>
      </w:r>
    </w:p>
    <w:p w:rsidR="002A0827" w:rsidRDefault="00F27843">
      <w:pPr>
        <w:pBdr>
          <w:top w:val="nil"/>
          <w:left w:val="nil"/>
          <w:bottom w:val="nil"/>
          <w:right w:val="nil"/>
          <w:between w:val="nil"/>
        </w:pBdr>
        <w:spacing w:line="480" w:lineRule="auto"/>
        <w:rPr>
          <w:b/>
          <w:bCs/>
          <w:color w:val="000000"/>
        </w:rPr>
      </w:pPr>
      <w:r>
        <w:rPr>
          <w:b/>
          <w:bCs/>
          <w:color w:val="000000"/>
        </w:rPr>
        <w:t>Online mediums to communicate</w:t>
      </w:r>
    </w:p>
    <w:p w:rsidR="002A0827" w:rsidRDefault="00F27843">
      <w:pPr>
        <w:pBdr>
          <w:top w:val="nil"/>
          <w:left w:val="nil"/>
          <w:bottom w:val="nil"/>
          <w:right w:val="nil"/>
          <w:between w:val="nil"/>
        </w:pBdr>
        <w:spacing w:line="480" w:lineRule="auto"/>
        <w:rPr>
          <w:color w:val="000000"/>
        </w:rPr>
      </w:pPr>
      <w:r>
        <w:rPr>
          <w:color w:val="000000"/>
        </w:rPr>
        <w:t xml:space="preserve">Tools like customer portals, the collaboration platform, and project manager software can be effective and useful to ensure that the process of communication organisation is efficient, reducing the risk of misinterpretations, and </w:t>
      </w:r>
      <w:r>
        <w:t>encouraging</w:t>
      </w:r>
      <w:r>
        <w:rPr>
          <w:color w:val="000000"/>
        </w:rPr>
        <w:t xml:space="preserve"> the teammates (Pingulkar</w:t>
      </w:r>
      <w:r>
        <w:rPr>
          <w:i/>
          <w:iCs/>
          <w:color w:val="000000"/>
        </w:rPr>
        <w:t>et al</w:t>
      </w:r>
      <w:r>
        <w:rPr>
          <w:color w:val="000000"/>
        </w:rPr>
        <w:t xml:space="preserve">. </w:t>
      </w:r>
      <w:r>
        <w:rPr>
          <w:color w:val="000000"/>
        </w:rPr>
        <w:lastRenderedPageBreak/>
        <w:t>2021). Smith+Nephew need to upgrade the digital communication channels in order to create an effective and timely interaction with all stakeholders within the company.</w:t>
      </w:r>
    </w:p>
    <w:p w:rsidR="002A0827" w:rsidRDefault="00F27843">
      <w:pPr>
        <w:pBdr>
          <w:top w:val="nil"/>
          <w:left w:val="nil"/>
          <w:bottom w:val="nil"/>
          <w:right w:val="nil"/>
          <w:between w:val="nil"/>
        </w:pBdr>
        <w:spacing w:line="480" w:lineRule="auto"/>
        <w:rPr>
          <w:b/>
          <w:bCs/>
          <w:color w:val="000000"/>
        </w:rPr>
      </w:pPr>
      <w:r>
        <w:rPr>
          <w:b/>
          <w:bCs/>
        </w:rPr>
        <w:t xml:space="preserve">Dynamic </w:t>
      </w:r>
      <w:r>
        <w:rPr>
          <w:b/>
          <w:bCs/>
          <w:color w:val="000000"/>
        </w:rPr>
        <w:t>Stakeholder Mapping</w:t>
      </w:r>
    </w:p>
    <w:p w:rsidR="002A0827" w:rsidRDefault="00F27843">
      <w:pPr>
        <w:pBdr>
          <w:top w:val="nil"/>
          <w:left w:val="nil"/>
          <w:bottom w:val="nil"/>
          <w:right w:val="nil"/>
          <w:between w:val="nil"/>
        </w:pBdr>
        <w:spacing w:line="480" w:lineRule="auto"/>
        <w:rPr>
          <w:color w:val="000000"/>
        </w:rPr>
      </w:pPr>
      <w:r>
        <w:rPr>
          <w:color w:val="FF0000"/>
        </w:rPr>
        <w:t xml:space="preserve">Stakeholder mapping classifies various stakeholders according to their ability to have power and impact within a phenomenon (Balci and Surucu-Balci, 2021). </w:t>
      </w:r>
      <w:r>
        <w:rPr>
          <w:color w:val="000000"/>
        </w:rPr>
        <w:t xml:space="preserve">Having a dynamic stakeholder map can allow Smith+Nephew to regard the stakeholders </w:t>
      </w:r>
      <w:r>
        <w:t>as</w:t>
      </w:r>
      <w:r>
        <w:rPr>
          <w:color w:val="000000"/>
        </w:rPr>
        <w:t xml:space="preserve"> the top priority and assess their needs. This can facilitate the company to concentrate on engagement activities and on the stakeholder issues in a more planned way.</w:t>
      </w:r>
    </w:p>
    <w:p w:rsidR="002A0827" w:rsidRDefault="00F27843">
      <w:pPr>
        <w:pBdr>
          <w:top w:val="nil"/>
          <w:left w:val="nil"/>
          <w:bottom w:val="nil"/>
          <w:right w:val="nil"/>
          <w:between w:val="nil"/>
        </w:pBdr>
        <w:spacing w:line="480" w:lineRule="auto"/>
        <w:rPr>
          <w:b/>
          <w:bCs/>
          <w:color w:val="000000"/>
        </w:rPr>
      </w:pPr>
      <w:r>
        <w:rPr>
          <w:b/>
          <w:bCs/>
          <w:color w:val="000000"/>
        </w:rPr>
        <w:t>Environmental Quality and CSR Programs</w:t>
      </w:r>
    </w:p>
    <w:p w:rsidR="002A0827" w:rsidRDefault="00F27843">
      <w:pPr>
        <w:pBdr>
          <w:top w:val="nil"/>
          <w:left w:val="nil"/>
          <w:bottom w:val="nil"/>
          <w:right w:val="nil"/>
          <w:between w:val="nil"/>
        </w:pBdr>
        <w:spacing w:line="360" w:lineRule="auto"/>
        <w:rPr>
          <w:color w:val="980000"/>
        </w:rPr>
      </w:pPr>
      <w:r>
        <w:rPr>
          <w:color w:val="000000"/>
        </w:rPr>
        <w:t xml:space="preserve">Sustainability has recently been growing in importance among consumers and investors. </w:t>
      </w:r>
      <w:r>
        <w:rPr>
          <w:color w:val="980000"/>
        </w:rPr>
        <w:t>Engagement of stakeholders in the area of sustainability objectives can enhance the image of the company, appeal to environmentally friendly clients, and with regulatory demands (Lyulyov</w:t>
      </w:r>
      <w:r>
        <w:rPr>
          <w:i/>
          <w:iCs/>
          <w:color w:val="980000"/>
        </w:rPr>
        <w:t>et al</w:t>
      </w:r>
      <w:r>
        <w:rPr>
          <w:color w:val="980000"/>
        </w:rPr>
        <w:t xml:space="preserve">. 2023). Smith+Nephew need to intensify its emphasis on corporate social responsibility efforts. </w:t>
      </w:r>
    </w:p>
    <w:p w:rsidR="002A0827" w:rsidRDefault="00F27843">
      <w:pPr>
        <w:pStyle w:val="Heading1"/>
        <w:keepNext/>
        <w:keepLines/>
        <w:spacing w:before="200" w:after="200"/>
      </w:pPr>
      <w:bookmarkStart w:id="17" w:name="_heading=h.g93ioyjfa7ik" w:colFirst="0" w:colLast="0"/>
      <w:bookmarkEnd w:id="17"/>
      <w:r>
        <w:t>Conclusion</w:t>
      </w:r>
    </w:p>
    <w:p w:rsidR="002A0827" w:rsidRDefault="00F27843">
      <w:pPr>
        <w:spacing w:line="360" w:lineRule="auto"/>
        <w:rPr>
          <w:b/>
          <w:bCs/>
          <w:i/>
          <w:iCs/>
        </w:rPr>
      </w:pPr>
      <w:r>
        <w:rPr>
          <w:b/>
          <w:bCs/>
          <w:i/>
          <w:iCs/>
        </w:rPr>
        <w:t>Summary of main points</w:t>
      </w:r>
    </w:p>
    <w:p w:rsidR="002A0827" w:rsidRDefault="00F27843">
      <w:pPr>
        <w:spacing w:line="360" w:lineRule="auto"/>
      </w:pPr>
      <w:r>
        <w:t>In conclusion, the project for the launch of Smith &amp; Nephew's new wearable medical device needs stakeholder support to sustain innovation, compliance, and market expansion. As per stakeholder analysis, transparency, accountability, and sustainable success can be fostered in the project by open communication, accountability and monitoring engagement of external partners like MHRA, NHS Trusts, and JPMorgan Chase Bank with CEO and product teams based on RACI framework. Furthermore, use of Strategic Engagement Plan for stakeholders can allow Smith &amp; Nephew to enhance communication, foster teamwork, and inspire internal teams for common objectives.</w:t>
      </w:r>
    </w:p>
    <w:p w:rsidR="002A0827" w:rsidRDefault="00F27843">
      <w:pPr>
        <w:spacing w:line="360" w:lineRule="auto"/>
        <w:rPr>
          <w:b/>
          <w:bCs/>
          <w:i/>
          <w:iCs/>
        </w:rPr>
      </w:pPr>
      <w:r>
        <w:rPr>
          <w:b/>
          <w:bCs/>
          <w:i/>
          <w:iCs/>
        </w:rPr>
        <w:t>Critical reflection</w:t>
      </w:r>
    </w:p>
    <w:p w:rsidR="002A0827" w:rsidRDefault="00F27843">
      <w:pPr>
        <w:spacing w:line="360" w:lineRule="auto"/>
        <w:rPr>
          <w:color w:val="FF0000"/>
        </w:rPr>
      </w:pPr>
      <w:r>
        <w:rPr>
          <w:color w:val="FF0000"/>
        </w:rPr>
        <w:t xml:space="preserve">In action, I have analysed stakeholder communication in Smith+Nephew by modifying communication styles as per needs. This agility with communication between multiple stakeholders helped me balance conflicting priorities between the company's market growth, investor’s profit and MHRA &amp; NHS’s quality criteria. On action, I have realised that my </w:t>
      </w:r>
      <w:r>
        <w:rPr>
          <w:color w:val="FF0000"/>
        </w:rPr>
        <w:lastRenderedPageBreak/>
        <w:t xml:space="preserve">analysis lacked depth and tailored specification to the proposed health monitoring wearable device that reduces sustainability market. </w:t>
      </w:r>
    </w:p>
    <w:p w:rsidR="002A0827" w:rsidRDefault="00F27843">
      <w:pPr>
        <w:spacing w:line="360" w:lineRule="auto"/>
        <w:rPr>
          <w:b/>
          <w:bCs/>
          <w:i/>
          <w:iCs/>
        </w:rPr>
      </w:pPr>
      <w:r>
        <w:rPr>
          <w:b/>
          <w:bCs/>
          <w:i/>
          <w:iCs/>
        </w:rPr>
        <w:t>Linking to project aim</w:t>
      </w:r>
    </w:p>
    <w:p w:rsidR="002A0827" w:rsidRDefault="00F27843">
      <w:pPr>
        <w:spacing w:line="360" w:lineRule="auto"/>
      </w:pPr>
      <w:r>
        <w:t xml:space="preserve">The report was able to meet its aim of examining the responsibility of engaging stakeholders with beneficial measures and keeping them satisfied throughout the new project of “Smith+Nephew” with multiple frameworks. </w:t>
      </w:r>
      <w:r>
        <w:rPr>
          <w:color w:val="FF0000"/>
        </w:rPr>
        <w:t xml:space="preserve">Using Freeman’s stakeholder theory and engagement plan, the report identified high stakes for the product team in Smith+nephew, as well as JPMorgan Chase as external stakeholder for its financial stakes. The report addressed the crucial role of keeping MHRA and NHS trust satisfied since these two are regulatory and healthcare practice bodies of the UK, capable of shaping the product's perceivable use among the general public. Therefore, stakeholder cooperation plays a significant role in developing the proposed wearable medical device soon to be launched by Smith &amp; Nephew.  </w:t>
      </w:r>
      <w:r>
        <w:br w:type="page"/>
      </w:r>
    </w:p>
    <w:p w:rsidR="002A0827" w:rsidRDefault="00F27843">
      <w:pPr>
        <w:pStyle w:val="Heading1"/>
      </w:pPr>
      <w:bookmarkStart w:id="18" w:name="_heading=h.ef32dxsk9fhk" w:colFirst="0" w:colLast="0"/>
      <w:bookmarkEnd w:id="18"/>
      <w:r>
        <w:lastRenderedPageBreak/>
        <w:t>References</w:t>
      </w:r>
    </w:p>
    <w:p w:rsidR="00010EBF" w:rsidRDefault="00010EBF">
      <w:pPr>
        <w:spacing w:after="240" w:line="360" w:lineRule="auto"/>
        <w:rPr>
          <w:highlight w:val="white"/>
        </w:rPr>
      </w:pPr>
      <w:r>
        <w:rPr>
          <w:highlight w:val="white"/>
        </w:rPr>
        <w:t xml:space="preserve">Ahmad, T., Boit, J. and Aakula, A., (2023). The role of cross-functional collaboration in digital transformation. </w:t>
      </w:r>
      <w:r>
        <w:rPr>
          <w:i/>
          <w:iCs/>
          <w:highlight w:val="white"/>
        </w:rPr>
        <w:t>Journal of Computational Intelligence and Robotics</w:t>
      </w:r>
      <w:r>
        <w:rPr>
          <w:highlight w:val="white"/>
        </w:rPr>
        <w:t xml:space="preserve">, </w:t>
      </w:r>
      <w:r>
        <w:rPr>
          <w:i/>
          <w:iCs/>
          <w:highlight w:val="white"/>
        </w:rPr>
        <w:t>3</w:t>
      </w:r>
      <w:r>
        <w:rPr>
          <w:highlight w:val="white"/>
        </w:rPr>
        <w:t xml:space="preserve">(1), pp.205-42. </w:t>
      </w:r>
    </w:p>
    <w:p w:rsidR="00010EBF" w:rsidRDefault="00010EBF">
      <w:pPr>
        <w:spacing w:after="240" w:line="360" w:lineRule="auto"/>
      </w:pPr>
      <w:r>
        <w:t xml:space="preserve">Attah, R.U., Garba, B.M.P., Gil-Ozoudeh, I. and Iwuanyanwu, O., (2024). Best Practices in Project Management for Technology-Driven Initiatives: A Systematic Review of Market Expansion and Product Development Technique. Int J Eng Res Dev, 20(11), pp.1350-61 </w:t>
      </w:r>
    </w:p>
    <w:p w:rsidR="00010EBF" w:rsidRDefault="00010EBF">
      <w:pPr>
        <w:spacing w:after="240" w:line="360" w:lineRule="auto"/>
        <w:rPr>
          <w:color w:val="FF0000"/>
          <w:sz w:val="28"/>
          <w:szCs w:val="28"/>
        </w:rPr>
      </w:pPr>
      <w:r>
        <w:rPr>
          <w:color w:val="FF0000"/>
          <w:highlight w:val="white"/>
        </w:rPr>
        <w:t xml:space="preserve">Balci, G. and Surucu-Balci, E., (2021). Blockchain adoption in the maritime supply chain: Examining barriers and salient stakeholders in containerized international trade. </w:t>
      </w:r>
      <w:r>
        <w:rPr>
          <w:i/>
          <w:iCs/>
          <w:color w:val="FF0000"/>
          <w:highlight w:val="white"/>
        </w:rPr>
        <w:t>Transportation Research Part E: Logistics and Transportation Review</w:t>
      </w:r>
      <w:r>
        <w:rPr>
          <w:color w:val="FF0000"/>
          <w:highlight w:val="white"/>
        </w:rPr>
        <w:t xml:space="preserve">, </w:t>
      </w:r>
      <w:r>
        <w:rPr>
          <w:i/>
          <w:iCs/>
          <w:color w:val="FF0000"/>
          <w:highlight w:val="white"/>
        </w:rPr>
        <w:t>156</w:t>
      </w:r>
      <w:r>
        <w:rPr>
          <w:color w:val="FF0000"/>
          <w:highlight w:val="white"/>
        </w:rPr>
        <w:t xml:space="preserve">, p.102539. Available at: </w:t>
      </w:r>
      <w:hyperlink r:id="rId13">
        <w:r>
          <w:rPr>
            <w:color w:val="FF0000"/>
            <w:highlight w:val="white"/>
            <w:u w:val="single"/>
          </w:rPr>
          <w:t>https://doi.org/10.1016/j.tre.2021.102539</w:t>
        </w:r>
      </w:hyperlink>
      <w:r>
        <w:rPr>
          <w:color w:val="FF0000"/>
          <w:highlight w:val="white"/>
        </w:rPr>
        <w:t xml:space="preserve"> (Accessed: 6 November 2025). </w:t>
      </w:r>
    </w:p>
    <w:p w:rsidR="00010EBF" w:rsidRDefault="00010EBF">
      <w:pPr>
        <w:spacing w:after="240" w:line="360" w:lineRule="auto"/>
        <w:rPr>
          <w:highlight w:val="white"/>
        </w:rPr>
      </w:pPr>
      <w:r>
        <w:rPr>
          <w:highlight w:val="white"/>
        </w:rPr>
        <w:t xml:space="preserve">Beddoe-Rosendo, J., Heaysman, C.L., Hajnal, J.V., Ourselin, S. and Vanhoestenberghe, A. (2023). Medical device regulatory challenges in the UK are affecting innovation and its potential benefits. </w:t>
      </w:r>
      <w:r>
        <w:rPr>
          <w:i/>
          <w:iCs/>
          <w:highlight w:val="white"/>
        </w:rPr>
        <w:t>Proceedings of the Institution of Mechanical Engineers, Part H: Journal of Engineering in Medicine</w:t>
      </w:r>
      <w:r>
        <w:rPr>
          <w:highlight w:val="white"/>
        </w:rPr>
        <w:t xml:space="preserve">, </w:t>
      </w:r>
      <w:r>
        <w:rPr>
          <w:i/>
          <w:iCs/>
          <w:highlight w:val="white"/>
        </w:rPr>
        <w:t>237</w:t>
      </w:r>
      <w:r>
        <w:rPr>
          <w:highlight w:val="white"/>
        </w:rPr>
        <w:t xml:space="preserve">(11), pp.1243-1247. </w:t>
      </w:r>
    </w:p>
    <w:p w:rsidR="00010EBF" w:rsidRDefault="00010EBF">
      <w:pPr>
        <w:spacing w:after="240" w:line="360" w:lineRule="auto"/>
      </w:pPr>
      <w:r>
        <w:t xml:space="preserve">Bellen, K. (2025) </w:t>
      </w:r>
      <w:r>
        <w:rPr>
          <w:i/>
          <w:iCs/>
        </w:rPr>
        <w:t>Key Types of Stakeholders &amp; Their Roles</w:t>
      </w:r>
      <w:r>
        <w:t xml:space="preserve">, </w:t>
      </w:r>
      <w:r>
        <w:rPr>
          <w:i/>
          <w:iCs/>
        </w:rPr>
        <w:t>Project-Management.com</w:t>
      </w:r>
      <w:r>
        <w:t xml:space="preserve">. Available at: </w:t>
      </w:r>
      <w:hyperlink r:id="rId14">
        <w:r>
          <w:rPr>
            <w:color w:val="000000"/>
            <w:u w:val="single"/>
          </w:rPr>
          <w:t>https://project-management.com/types-of-stakeholders/</w:t>
        </w:r>
      </w:hyperlink>
      <w:r>
        <w:t xml:space="preserve"> (Accessed: 4 November 2025).</w:t>
      </w:r>
    </w:p>
    <w:p w:rsidR="00010EBF" w:rsidRDefault="00010EBF">
      <w:pPr>
        <w:spacing w:after="240" w:line="360" w:lineRule="auto"/>
      </w:pPr>
      <w:r>
        <w:rPr>
          <w:highlight w:val="white"/>
        </w:rPr>
        <w:t>Ellis, C.A., Gibbs, S.J. and Rein, G., (1991). Groupware: some issues and experiences. </w:t>
      </w:r>
      <w:r>
        <w:rPr>
          <w:i/>
          <w:iCs/>
          <w:highlight w:val="white"/>
        </w:rPr>
        <w:t>Communications of the ACM</w:t>
      </w:r>
      <w:r>
        <w:rPr>
          <w:highlight w:val="white"/>
        </w:rPr>
        <w:t>, </w:t>
      </w:r>
      <w:r>
        <w:rPr>
          <w:i/>
          <w:iCs/>
          <w:highlight w:val="white"/>
        </w:rPr>
        <w:t>34</w:t>
      </w:r>
      <w:r>
        <w:rPr>
          <w:highlight w:val="white"/>
        </w:rPr>
        <w:t>(1), pp.39-58.</w:t>
      </w:r>
      <w:r>
        <w:t xml:space="preserve"> Available at: </w:t>
      </w:r>
      <w:hyperlink r:id="rId15">
        <w:r>
          <w:rPr>
            <w:color w:val="000000"/>
            <w:highlight w:val="white"/>
            <w:u w:val="single"/>
          </w:rPr>
          <w:t>https://dl.acm.org/doi/pdf/10.1145/99977.99987</w:t>
        </w:r>
      </w:hyperlink>
    </w:p>
    <w:p w:rsidR="00010EBF" w:rsidRDefault="00010EBF">
      <w:pPr>
        <w:spacing w:after="240" w:line="360" w:lineRule="auto"/>
        <w:rPr>
          <w:highlight w:val="white"/>
        </w:rPr>
      </w:pPr>
      <w:r>
        <w:rPr>
          <w:highlight w:val="white"/>
        </w:rPr>
        <w:t xml:space="preserve">Farazi, M.Z.R., (2024). Designing circular supply chains with digital technologies for competitive sustainability: An operation management perspective. </w:t>
      </w:r>
      <w:r>
        <w:rPr>
          <w:i/>
          <w:iCs/>
          <w:highlight w:val="white"/>
        </w:rPr>
        <w:t>International Journal of Science and Research Archive</w:t>
      </w:r>
      <w:r>
        <w:rPr>
          <w:highlight w:val="white"/>
        </w:rPr>
        <w:t xml:space="preserve">, </w:t>
      </w:r>
      <w:r>
        <w:rPr>
          <w:i/>
          <w:iCs/>
          <w:highlight w:val="white"/>
        </w:rPr>
        <w:t>13</w:t>
      </w:r>
      <w:r>
        <w:rPr>
          <w:highlight w:val="white"/>
        </w:rPr>
        <w:t>(1), pp.2346-2359.</w:t>
      </w:r>
    </w:p>
    <w:p w:rsidR="00010EBF" w:rsidRDefault="00010EBF">
      <w:pPr>
        <w:spacing w:after="240" w:line="360" w:lineRule="auto"/>
        <w:rPr>
          <w:color w:val="FF0000"/>
        </w:rPr>
      </w:pPr>
      <w:r>
        <w:rPr>
          <w:color w:val="FF0000"/>
        </w:rPr>
        <w:t xml:space="preserve">Freeman, R.E., Dmytriyev, S.D. and Phillips, R.A. (2021). Stakeholder theory and the resource-based view of the firm. </w:t>
      </w:r>
      <w:r>
        <w:rPr>
          <w:i/>
          <w:iCs/>
          <w:color w:val="FF0000"/>
        </w:rPr>
        <w:t>Journal of management, 47</w:t>
      </w:r>
      <w:r>
        <w:rPr>
          <w:color w:val="FF0000"/>
        </w:rPr>
        <w:t xml:space="preserve">(7), pp.1757-1770. </w:t>
      </w:r>
      <w:r>
        <w:t xml:space="preserve">Available at: </w:t>
      </w:r>
      <w:hyperlink r:id="rId16">
        <w:r>
          <w:rPr>
            <w:color w:val="1155CC"/>
            <w:u w:val="single"/>
          </w:rPr>
          <w:t>https://journals.sagepub.com/doi/abs/10.1177/0149206321993576</w:t>
        </w:r>
      </w:hyperlink>
      <w:r>
        <w:rPr>
          <w:color w:val="FF0000"/>
        </w:rPr>
        <w:t xml:space="preserve"> (Accessed: 15 November 2025).</w:t>
      </w:r>
    </w:p>
    <w:p w:rsidR="00010EBF" w:rsidRDefault="00010EBF">
      <w:pPr>
        <w:spacing w:after="240" w:line="360" w:lineRule="auto"/>
        <w:rPr>
          <w:highlight w:val="white"/>
        </w:rPr>
      </w:pPr>
      <w:r>
        <w:rPr>
          <w:highlight w:val="white"/>
        </w:rPr>
        <w:lastRenderedPageBreak/>
        <w:t xml:space="preserve">Han, J.E.D., Ibrahim, H., Aiyegbusi, O.L., Liu, X., Marston, E., Denniston, A.K. and Calvert, M.J. (2022). Opportunities and risks of UK medical device reform. </w:t>
      </w:r>
      <w:r>
        <w:rPr>
          <w:i/>
          <w:iCs/>
          <w:highlight w:val="white"/>
        </w:rPr>
        <w:t>Therapeutic innovation &amp; regulatory science</w:t>
      </w:r>
      <w:r>
        <w:rPr>
          <w:highlight w:val="white"/>
        </w:rPr>
        <w:t xml:space="preserve">, </w:t>
      </w:r>
      <w:r>
        <w:rPr>
          <w:i/>
          <w:iCs/>
          <w:highlight w:val="white"/>
        </w:rPr>
        <w:t>56</w:t>
      </w:r>
      <w:r>
        <w:rPr>
          <w:highlight w:val="white"/>
        </w:rPr>
        <w:t xml:space="preserve">(4), pp.596-606. </w:t>
      </w:r>
    </w:p>
    <w:p w:rsidR="00010EBF" w:rsidRDefault="00010EBF">
      <w:pPr>
        <w:spacing w:after="240" w:line="360" w:lineRule="auto"/>
      </w:pPr>
      <w:r>
        <w:t xml:space="preserve">Investing.com (2025). </w:t>
      </w:r>
      <w:r>
        <w:rPr>
          <w:i/>
          <w:iCs/>
        </w:rPr>
        <w:t xml:space="preserve">Smith &amp; Nephew to buy back $500 million in shares in second half 2025. </w:t>
      </w:r>
      <w:r>
        <w:t xml:space="preserve">Available at: </w:t>
      </w:r>
      <w:hyperlink r:id="rId17">
        <w:r>
          <w:rPr>
            <w:u w:val="single"/>
          </w:rPr>
          <w:t>https://in.investing.com/news/company-news/smith--nephew-to-buy-back-500-million-in-shares-in-second-half-2025-93CH-4943078</w:t>
        </w:r>
      </w:hyperlink>
      <w:r>
        <w:t xml:space="preserve"> (Accessed: 07 November 2025).</w:t>
      </w:r>
    </w:p>
    <w:p w:rsidR="00010EBF" w:rsidRDefault="00010EBF">
      <w:pPr>
        <w:spacing w:after="240" w:line="360" w:lineRule="auto"/>
      </w:pPr>
      <w:r>
        <w:t xml:space="preserve">Kaya, O. (2024) </w:t>
      </w:r>
      <w:r>
        <w:rPr>
          <w:i/>
          <w:iCs/>
        </w:rPr>
        <w:t>Collective Action as a Precursor to Social Change: Causes, Risks, and Consequences - International Journal of Research and Innovation in Social Science</w:t>
      </w:r>
      <w:r>
        <w:t xml:space="preserve">, </w:t>
      </w:r>
      <w:r>
        <w:rPr>
          <w:i/>
          <w:iCs/>
        </w:rPr>
        <w:t>International Journal of Research and Innovation in Social Science</w:t>
      </w:r>
      <w:r>
        <w:t xml:space="preserve">. Available at: </w:t>
      </w:r>
      <w:hyperlink r:id="rId18">
        <w:r>
          <w:rPr>
            <w:color w:val="000000"/>
            <w:u w:val="single"/>
          </w:rPr>
          <w:t>https://rsisinternational.org/journals/ijriss/articles/collective-action-as-a-precursor-to-social-change-causes-risks-and-consequences/</w:t>
        </w:r>
      </w:hyperlink>
      <w:r>
        <w:t xml:space="preserve"> (Accessed: 6 November 2025).</w:t>
      </w:r>
    </w:p>
    <w:p w:rsidR="00010EBF" w:rsidRDefault="00010EBF">
      <w:pPr>
        <w:spacing w:after="240" w:line="360" w:lineRule="auto"/>
      </w:pPr>
      <w:r>
        <w:t xml:space="preserve">Latip, M., Sharkawi, I., Mohamed, Z. and Kasron, N. (2022) ‘The Impact of External Stakeholders’ Pressures on the Intention to Adopt Environmental Management Practices and the Moderating Effects of Firm Size’, </w:t>
      </w:r>
      <w:r>
        <w:rPr>
          <w:i/>
          <w:iCs/>
        </w:rPr>
        <w:t>Journal of Small Business Strategy</w:t>
      </w:r>
      <w:r>
        <w:t xml:space="preserve">, 32(3), pp. 45–66. Available at: </w:t>
      </w:r>
      <w:hyperlink r:id="rId19">
        <w:r>
          <w:rPr>
            <w:color w:val="000000"/>
            <w:u w:val="single"/>
          </w:rPr>
          <w:t>https://doi.org/10.53703/001c.35342</w:t>
        </w:r>
      </w:hyperlink>
      <w:r>
        <w:t xml:space="preserve">  (Accessed: 5 November 2025).</w:t>
      </w:r>
    </w:p>
    <w:p w:rsidR="00010EBF" w:rsidRDefault="00010EBF">
      <w:pPr>
        <w:spacing w:after="240" w:line="360" w:lineRule="auto"/>
      </w:pPr>
      <w:r>
        <w:rPr>
          <w:highlight w:val="white"/>
        </w:rPr>
        <w:t xml:space="preserve">Lee, W.Y., Lee, S.H., Jin, C. and Hyun, C.T. (2021). Development of the RACI model for processes of the closure phase in construction programs. </w:t>
      </w:r>
      <w:r>
        <w:rPr>
          <w:i/>
          <w:iCs/>
          <w:highlight w:val="white"/>
        </w:rPr>
        <w:t>Sustainability</w:t>
      </w:r>
      <w:r>
        <w:rPr>
          <w:highlight w:val="white"/>
        </w:rPr>
        <w:t xml:space="preserve">, </w:t>
      </w:r>
      <w:r>
        <w:rPr>
          <w:i/>
          <w:iCs/>
          <w:highlight w:val="white"/>
        </w:rPr>
        <w:t>13</w:t>
      </w:r>
      <w:r>
        <w:rPr>
          <w:highlight w:val="white"/>
        </w:rPr>
        <w:t>(4), p.1806.</w:t>
      </w:r>
    </w:p>
    <w:p w:rsidR="00010EBF" w:rsidRDefault="00010EBF">
      <w:pPr>
        <w:spacing w:after="240" w:line="360" w:lineRule="auto"/>
        <w:rPr>
          <w:color w:val="FF0000"/>
        </w:rPr>
      </w:pPr>
      <w:r>
        <w:rPr>
          <w:color w:val="FF0000"/>
        </w:rPr>
        <w:t xml:space="preserve">Linkedin (2024). </w:t>
      </w:r>
      <w:r>
        <w:rPr>
          <w:i/>
          <w:iCs/>
          <w:color w:val="FF0000"/>
        </w:rPr>
        <w:t xml:space="preserve">susie smith. </w:t>
      </w:r>
      <w:r>
        <w:rPr>
          <w:color w:val="FF0000"/>
        </w:rPr>
        <w:t xml:space="preserve">Available at: </w:t>
      </w:r>
      <w:hyperlink r:id="rId20">
        <w:r>
          <w:rPr>
            <w:color w:val="FF0000"/>
            <w:u w:val="single"/>
          </w:rPr>
          <w:t>https://www.linkedin.com/in/susie-smith-b39294205/?originalSubdomain=uk</w:t>
        </w:r>
      </w:hyperlink>
      <w:r>
        <w:rPr>
          <w:color w:val="FF0000"/>
        </w:rPr>
        <w:t xml:space="preserve"> (Accessed: 07 November 2025).</w:t>
      </w:r>
    </w:p>
    <w:p w:rsidR="00010EBF" w:rsidRDefault="00010EBF">
      <w:pPr>
        <w:spacing w:after="240" w:line="360" w:lineRule="auto"/>
        <w:rPr>
          <w:color w:val="FF0000"/>
        </w:rPr>
      </w:pPr>
      <w:r>
        <w:rPr>
          <w:color w:val="FF0000"/>
        </w:rPr>
        <w:t xml:space="preserve">Linkedin (2025). </w:t>
      </w:r>
      <w:r>
        <w:rPr>
          <w:i/>
          <w:iCs/>
          <w:color w:val="FF0000"/>
        </w:rPr>
        <w:t xml:space="preserve">Rebecca Hales. </w:t>
      </w:r>
      <w:r>
        <w:rPr>
          <w:color w:val="FF0000"/>
        </w:rPr>
        <w:t xml:space="preserve">Available at: </w:t>
      </w:r>
      <w:hyperlink r:id="rId21">
        <w:r>
          <w:rPr>
            <w:color w:val="FF0000"/>
            <w:u w:val="single"/>
          </w:rPr>
          <w:t>https://www.linkedin.com/in/rebecca-hales-aa277489/?originalSubdomain=uk</w:t>
        </w:r>
      </w:hyperlink>
      <w:r>
        <w:rPr>
          <w:color w:val="FF0000"/>
        </w:rPr>
        <w:t xml:space="preserve"> (Accessed: 07 November 2025).</w:t>
      </w:r>
    </w:p>
    <w:p w:rsidR="00010EBF" w:rsidRDefault="00010EBF">
      <w:pPr>
        <w:spacing w:after="240" w:line="360" w:lineRule="auto"/>
        <w:rPr>
          <w:color w:val="FF0000"/>
        </w:rPr>
      </w:pPr>
      <w:r>
        <w:rPr>
          <w:color w:val="FF0000"/>
        </w:rPr>
        <w:t xml:space="preserve">Linkedin (2025). </w:t>
      </w:r>
      <w:r>
        <w:rPr>
          <w:i/>
          <w:iCs/>
          <w:color w:val="FF0000"/>
        </w:rPr>
        <w:t xml:space="preserve">Tom Smith. </w:t>
      </w:r>
      <w:r>
        <w:rPr>
          <w:color w:val="FF0000"/>
        </w:rPr>
        <w:t xml:space="preserve">Available at: </w:t>
      </w:r>
      <w:hyperlink r:id="rId22">
        <w:r>
          <w:rPr>
            <w:color w:val="FF0000"/>
            <w:u w:val="single"/>
          </w:rPr>
          <w:t>https://www.linkedin.com/in/tom-smith-18247840/?originalSubdomain=uk</w:t>
        </w:r>
      </w:hyperlink>
      <w:r>
        <w:rPr>
          <w:color w:val="FF0000"/>
        </w:rPr>
        <w:t xml:space="preserve"> (Accessed: 07 November 2025).</w:t>
      </w:r>
    </w:p>
    <w:p w:rsidR="00010EBF" w:rsidRDefault="00010EBF">
      <w:pPr>
        <w:spacing w:after="240" w:line="360" w:lineRule="auto"/>
        <w:rPr>
          <w:color w:val="FF0000"/>
          <w:sz w:val="28"/>
          <w:szCs w:val="28"/>
        </w:rPr>
      </w:pPr>
      <w:r>
        <w:rPr>
          <w:color w:val="FF0000"/>
          <w:highlight w:val="white"/>
        </w:rPr>
        <w:t xml:space="preserve">Lyulyov, O., Chygryn, O., Pimonenko, T. and Kwilinski, A., (2023). Stakeholders’ engagement in the company’s management as a driver of green competitiveness within sustainable development. </w:t>
      </w:r>
      <w:r>
        <w:rPr>
          <w:i/>
          <w:iCs/>
          <w:color w:val="FF0000"/>
          <w:highlight w:val="white"/>
        </w:rPr>
        <w:t>Sustainability</w:t>
      </w:r>
      <w:r>
        <w:rPr>
          <w:color w:val="FF0000"/>
          <w:highlight w:val="white"/>
        </w:rPr>
        <w:t xml:space="preserve">, </w:t>
      </w:r>
      <w:r>
        <w:rPr>
          <w:i/>
          <w:iCs/>
          <w:color w:val="FF0000"/>
          <w:highlight w:val="white"/>
        </w:rPr>
        <w:t>15</w:t>
      </w:r>
      <w:r>
        <w:rPr>
          <w:color w:val="FF0000"/>
          <w:highlight w:val="white"/>
        </w:rPr>
        <w:t xml:space="preserve">(9), p.7249. </w:t>
      </w:r>
      <w:r>
        <w:rPr>
          <w:color w:val="FF0000"/>
        </w:rPr>
        <w:t xml:space="preserve">Available at: </w:t>
      </w:r>
      <w:hyperlink r:id="rId23">
        <w:r>
          <w:rPr>
            <w:color w:val="FF0000"/>
            <w:u w:val="single"/>
          </w:rPr>
          <w:t>https://doi.org/10.3390/su15097249</w:t>
        </w:r>
      </w:hyperlink>
      <w:r>
        <w:rPr>
          <w:color w:val="FF0000"/>
        </w:rPr>
        <w:t xml:space="preserve">  (Accessed: 6 November 2025).</w:t>
      </w:r>
    </w:p>
    <w:p w:rsidR="00010EBF" w:rsidRDefault="00010EBF">
      <w:pPr>
        <w:spacing w:after="240" w:line="360" w:lineRule="auto"/>
      </w:pPr>
      <w:r>
        <w:lastRenderedPageBreak/>
        <w:t xml:space="preserve">MacDonald, A., Clarke, A. and Huang, L. (2022) ‘Multi-stakeholder Partnerships for Sustainability: Designing Decision-Making Processes for Partnership Capacity’, </w:t>
      </w:r>
      <w:r>
        <w:rPr>
          <w:i/>
          <w:iCs/>
        </w:rPr>
        <w:t>Business and the Ethical Implications of Technology</w:t>
      </w:r>
      <w:r>
        <w:t xml:space="preserve">, 1(1), pp. 103–120. Available at: </w:t>
      </w:r>
      <w:hyperlink r:id="rId24">
        <w:r>
          <w:rPr>
            <w:color w:val="000000"/>
            <w:u w:val="single"/>
          </w:rPr>
          <w:t>https://doi.org/10.1007/978-3-031-18794-0_7</w:t>
        </w:r>
      </w:hyperlink>
      <w:r>
        <w:t xml:space="preserve">  (Accessed: 6 November 2025).</w:t>
      </w:r>
    </w:p>
    <w:p w:rsidR="00010EBF" w:rsidRDefault="00010EBF">
      <w:pPr>
        <w:spacing w:after="240" w:line="360" w:lineRule="auto"/>
      </w:pPr>
      <w:r>
        <w:t xml:space="preserve">Matthews, B. (2024) </w:t>
      </w:r>
      <w:r>
        <w:rPr>
          <w:i/>
          <w:iCs/>
        </w:rPr>
        <w:t>Understanding responsibility assignment matrix (RACI matrix)</w:t>
      </w:r>
      <w:r>
        <w:t xml:space="preserve">, </w:t>
      </w:r>
      <w:r>
        <w:rPr>
          <w:i/>
          <w:iCs/>
        </w:rPr>
        <w:t>Project Management</w:t>
      </w:r>
      <w:r>
        <w:t xml:space="preserve">. Available at: </w:t>
      </w:r>
      <w:hyperlink r:id="rId25">
        <w:r>
          <w:rPr>
            <w:color w:val="000000"/>
            <w:u w:val="single"/>
          </w:rPr>
          <w:t>https://project-management.com/understanding-responsibility-assignment-matrix-raci-matrix/</w:t>
        </w:r>
      </w:hyperlink>
      <w:r>
        <w:t xml:space="preserve"> (Accessed: 6 November 2025).</w:t>
      </w:r>
    </w:p>
    <w:p w:rsidR="00010EBF" w:rsidRDefault="00010EBF">
      <w:pPr>
        <w:spacing w:after="240" w:line="360" w:lineRule="auto"/>
      </w:pPr>
      <w:r>
        <w:t xml:space="preserve">Nguyen, N.X., Tran, K. and Nguyen, T.A. (2021) ‘Impact of Service Quality on In-Patients’ Satisfaction, Perceived Value, and Customer Loyalty: A Mixed-Methods Study from a Developing Country’, </w:t>
      </w:r>
      <w:r>
        <w:rPr>
          <w:i/>
          <w:iCs/>
        </w:rPr>
        <w:t>Patient Preference and Adherence</w:t>
      </w:r>
      <w:r>
        <w:t xml:space="preserve">, 15(1), pp. 2523–2538. Available at: </w:t>
      </w:r>
      <w:hyperlink r:id="rId26">
        <w:r>
          <w:rPr>
            <w:color w:val="000000"/>
            <w:u w:val="single"/>
          </w:rPr>
          <w:t>https://doi.org/10.2147/ppa.s333586</w:t>
        </w:r>
      </w:hyperlink>
      <w:r>
        <w:t xml:space="preserve"> (Accessed: 5 November 2025).</w:t>
      </w:r>
    </w:p>
    <w:p w:rsidR="00010EBF" w:rsidRDefault="00010EBF">
      <w:pPr>
        <w:spacing w:after="240" w:line="360" w:lineRule="auto"/>
        <w:rPr>
          <w:b/>
          <w:bCs/>
          <w:highlight w:val="white"/>
        </w:rPr>
      </w:pPr>
      <w:r>
        <w:rPr>
          <w:highlight w:val="white"/>
        </w:rPr>
        <w:t xml:space="preserve">Pingulkar, C., Tirupati, K.K., Ganipaneni, S., Shrivastav, A., Vashishtha, S. and Jain, S., (2021). Developing Effective Communication Strategies for Multi-Team Solar Project Management. </w:t>
      </w:r>
      <w:r>
        <w:rPr>
          <w:i/>
          <w:iCs/>
          <w:highlight w:val="white"/>
        </w:rPr>
        <w:t>International Journal of General Engineering and Technology (IJGET)</w:t>
      </w:r>
      <w:r>
        <w:rPr>
          <w:highlight w:val="white"/>
        </w:rPr>
        <w:t xml:space="preserve">, </w:t>
      </w:r>
      <w:r>
        <w:rPr>
          <w:i/>
          <w:iCs/>
          <w:highlight w:val="white"/>
        </w:rPr>
        <w:t>10</w:t>
      </w:r>
      <w:r>
        <w:rPr>
          <w:highlight w:val="white"/>
        </w:rPr>
        <w:t>(1), pp.307-326.</w:t>
      </w:r>
    </w:p>
    <w:p w:rsidR="00010EBF" w:rsidRDefault="00010EBF">
      <w:pPr>
        <w:spacing w:after="240" w:line="360" w:lineRule="auto"/>
        <w:rPr>
          <w:highlight w:val="white"/>
        </w:rPr>
      </w:pPr>
      <w:r>
        <w:rPr>
          <w:highlight w:val="white"/>
        </w:rPr>
        <w:t xml:space="preserve">Qi, X.Z., Ning, Z. and Qin, M. (2022). Economic policy uncertainty, investor sentiment and financial stability—an empirical study based on the time varying parameter-vector autoregression model. </w:t>
      </w:r>
      <w:r>
        <w:rPr>
          <w:i/>
          <w:iCs/>
          <w:highlight w:val="white"/>
        </w:rPr>
        <w:t>Journal of Economic Interaction and Coordination</w:t>
      </w:r>
      <w:r>
        <w:rPr>
          <w:highlight w:val="white"/>
        </w:rPr>
        <w:t xml:space="preserve">, </w:t>
      </w:r>
      <w:r>
        <w:rPr>
          <w:i/>
          <w:iCs/>
          <w:highlight w:val="white"/>
        </w:rPr>
        <w:t>17</w:t>
      </w:r>
      <w:r>
        <w:rPr>
          <w:highlight w:val="white"/>
        </w:rPr>
        <w:t>(3), pp.779-799.</w:t>
      </w:r>
    </w:p>
    <w:p w:rsidR="00010EBF" w:rsidRDefault="00010EBF">
      <w:pPr>
        <w:spacing w:after="240" w:line="360" w:lineRule="auto"/>
        <w:rPr>
          <w:highlight w:val="white"/>
        </w:rPr>
      </w:pPr>
      <w:r>
        <w:rPr>
          <w:highlight w:val="white"/>
        </w:rPr>
        <w:t xml:space="preserve">Quigley, M., Downey, L., Mahmoud, Z. and McHale, J. (2023). The Shape of Medical Devices Regulation in the United Kingdom? Brexit and Beyond. </w:t>
      </w:r>
      <w:r>
        <w:rPr>
          <w:i/>
          <w:iCs/>
          <w:highlight w:val="white"/>
        </w:rPr>
        <w:t>Law, Tech. &amp; Hum.</w:t>
      </w:r>
      <w:r>
        <w:rPr>
          <w:highlight w:val="white"/>
        </w:rPr>
        <w:t xml:space="preserve">, </w:t>
      </w:r>
      <w:r>
        <w:rPr>
          <w:i/>
          <w:iCs/>
          <w:highlight w:val="white"/>
        </w:rPr>
        <w:t>5</w:t>
      </w:r>
      <w:r>
        <w:rPr>
          <w:highlight w:val="white"/>
        </w:rPr>
        <w:t>, p.21.</w:t>
      </w:r>
    </w:p>
    <w:p w:rsidR="00010EBF" w:rsidRDefault="00010EBF">
      <w:pPr>
        <w:spacing w:after="240" w:line="360" w:lineRule="auto"/>
        <w:rPr>
          <w:b/>
          <w:bCs/>
        </w:rPr>
      </w:pPr>
      <w:r>
        <w:t xml:space="preserve">Reuters, (2025) </w:t>
      </w:r>
      <w:r>
        <w:rPr>
          <w:i/>
          <w:iCs/>
        </w:rPr>
        <w:t>Medical products maker Smith+Nephew soars as turnaround plan boosts profit.</w:t>
      </w:r>
      <w:r>
        <w:t xml:space="preserve"> Available at: </w:t>
      </w:r>
      <w:hyperlink r:id="rId27">
        <w:r>
          <w:rPr>
            <w:u w:val="single"/>
          </w:rPr>
          <w:t>https://www.reuters.com/business/healthcare-pharmaceuticals/medical-products-maker-smithnephew-soars-turnaround-plan-boosts-profit-2025-08-05/</w:t>
        </w:r>
      </w:hyperlink>
      <w:r>
        <w:t xml:space="preserve"> (Accessed: 07 November 2025).</w:t>
      </w:r>
    </w:p>
    <w:p w:rsidR="00010EBF" w:rsidRDefault="00010EBF">
      <w:pPr>
        <w:spacing w:after="240" w:line="360" w:lineRule="auto"/>
        <w:rPr>
          <w:b/>
          <w:bCs/>
        </w:rPr>
      </w:pPr>
      <w:r>
        <w:t xml:space="preserve">Reuters, (2025) </w:t>
      </w:r>
      <w:r>
        <w:rPr>
          <w:i/>
          <w:iCs/>
        </w:rPr>
        <w:t>Smith + Nephew shares drop 10% as weak China prompts revenue downgrade.</w:t>
      </w:r>
      <w:r>
        <w:t xml:space="preserve"> Available at: </w:t>
      </w:r>
      <w:hyperlink r:id="rId28">
        <w:r>
          <w:rPr>
            <w:u w:val="single"/>
          </w:rPr>
          <w:t>https://www.reuters.com/business/healthcare-pharmaceuticals/smith-nephew-slashes-annual-revenue-forecast-weak-china-2024-10-31/</w:t>
        </w:r>
      </w:hyperlink>
      <w:r>
        <w:t xml:space="preserve"> (Accessed: 07 November 2025).</w:t>
      </w:r>
    </w:p>
    <w:p w:rsidR="00010EBF" w:rsidRDefault="00010EBF">
      <w:pPr>
        <w:spacing w:after="240" w:line="360" w:lineRule="auto"/>
      </w:pPr>
      <w:r>
        <w:lastRenderedPageBreak/>
        <w:t xml:space="preserve">Silver, A.C. (2022) </w:t>
      </w:r>
      <w:r>
        <w:rPr>
          <w:i/>
          <w:iCs/>
        </w:rPr>
        <w:t>Sailing the 7 C’s — Charting a Path for Communication and Collaboration</w:t>
      </w:r>
      <w:r>
        <w:t xml:space="preserve">, </w:t>
      </w:r>
      <w:r>
        <w:rPr>
          <w:i/>
          <w:iCs/>
        </w:rPr>
        <w:t>Medium</w:t>
      </w:r>
      <w:r>
        <w:t xml:space="preserve">. Available at: </w:t>
      </w:r>
      <w:hyperlink r:id="rId29">
        <w:r>
          <w:rPr>
            <w:color w:val="000000"/>
            <w:u w:val="single"/>
          </w:rPr>
          <w:t>https://medium.com/@adret/sailing-the-7-cs-charting-a-path-for-communication-and-collaboration-fe80e63febce</w:t>
        </w:r>
      </w:hyperlink>
      <w:r>
        <w:t xml:space="preserve"> (Accessed: 5 November 2025).</w:t>
      </w:r>
    </w:p>
    <w:p w:rsidR="00010EBF" w:rsidRDefault="00010EBF">
      <w:pPr>
        <w:spacing w:after="240" w:line="360" w:lineRule="auto"/>
      </w:pPr>
      <w:r>
        <w:t xml:space="preserve">Singh, A., Lim, W.M., Jha, S., Kumar, S. and Ciasullo, M.V. (2023) ‘The State of the Art of Strategic Leadership’, </w:t>
      </w:r>
      <w:r>
        <w:rPr>
          <w:i/>
          <w:iCs/>
        </w:rPr>
        <w:t>Journal of Business Research</w:t>
      </w:r>
      <w:r>
        <w:t xml:space="preserve">, 158(1), p. 113676. Available at: </w:t>
      </w:r>
      <w:hyperlink r:id="rId30">
        <w:r>
          <w:rPr>
            <w:color w:val="000000"/>
            <w:u w:val="single"/>
          </w:rPr>
          <w:t>https://doi.org/10.1016/j.jbusres.2023.113676</w:t>
        </w:r>
      </w:hyperlink>
      <w:r>
        <w:t xml:space="preserve"> (Accessed: 5 November 2025).</w:t>
      </w:r>
    </w:p>
    <w:p w:rsidR="00010EBF" w:rsidRDefault="00010EBF">
      <w:pPr>
        <w:spacing w:after="240" w:line="360" w:lineRule="auto"/>
        <w:rPr>
          <w:b/>
          <w:bCs/>
        </w:rPr>
      </w:pPr>
      <w:r>
        <w:rPr>
          <w:highlight w:val="white"/>
        </w:rPr>
        <w:t xml:space="preserve">Sinnaiah, T., Adam, S. and Mahadi, B., (2023). A strategic management process: the role of decision-making style and organisational performance. </w:t>
      </w:r>
      <w:r>
        <w:rPr>
          <w:i/>
          <w:iCs/>
          <w:highlight w:val="white"/>
        </w:rPr>
        <w:t>Journal of Work-Applied Management</w:t>
      </w:r>
      <w:r>
        <w:rPr>
          <w:highlight w:val="white"/>
        </w:rPr>
        <w:t xml:space="preserve">, </w:t>
      </w:r>
      <w:r>
        <w:rPr>
          <w:i/>
          <w:iCs/>
          <w:highlight w:val="white"/>
        </w:rPr>
        <w:t>15</w:t>
      </w:r>
      <w:r>
        <w:rPr>
          <w:highlight w:val="white"/>
        </w:rPr>
        <w:t xml:space="preserve">(1), pp.37-50. </w:t>
      </w:r>
    </w:p>
    <w:p w:rsidR="00010EBF" w:rsidRDefault="00010EBF">
      <w:pPr>
        <w:spacing w:after="240" w:line="360" w:lineRule="auto"/>
        <w:rPr>
          <w:color w:val="FF0000"/>
        </w:rPr>
      </w:pPr>
      <w:r>
        <w:rPr>
          <w:color w:val="FF0000"/>
        </w:rPr>
        <w:t xml:space="preserve">Smith+Nephew (2024) </w:t>
      </w:r>
      <w:r>
        <w:rPr>
          <w:i/>
          <w:iCs/>
          <w:color w:val="FF0000"/>
        </w:rPr>
        <w:t>Smith+Nephew Fourth Quarter and Full Year 2024 Results</w:t>
      </w:r>
      <w:r>
        <w:rPr>
          <w:color w:val="FF0000"/>
        </w:rPr>
        <w:t xml:space="preserve">, </w:t>
      </w:r>
      <w:r>
        <w:rPr>
          <w:i/>
          <w:iCs/>
          <w:color w:val="FF0000"/>
        </w:rPr>
        <w:t>Smith-nephew.com</w:t>
      </w:r>
      <w:r>
        <w:rPr>
          <w:color w:val="FF0000"/>
        </w:rPr>
        <w:t xml:space="preserve">. Available at: </w:t>
      </w:r>
      <w:hyperlink r:id="rId31">
        <w:r>
          <w:rPr>
            <w:color w:val="FF0000"/>
            <w:u w:val="single"/>
          </w:rPr>
          <w:t>https://www.smith-nephew.com/en/news/2025/02/25/20250225-smithnephew-full-year-results-2024</w:t>
        </w:r>
      </w:hyperlink>
      <w:r>
        <w:rPr>
          <w:color w:val="FF0000"/>
        </w:rPr>
        <w:t xml:space="preserve"> (Accessed: 15 November 2025).</w:t>
      </w:r>
    </w:p>
    <w:p w:rsidR="00010EBF" w:rsidRDefault="00010EBF">
      <w:pPr>
        <w:spacing w:after="240" w:line="360" w:lineRule="auto"/>
      </w:pPr>
      <w:r>
        <w:t xml:space="preserve">Smith+Nephew (2025) </w:t>
      </w:r>
      <w:r>
        <w:rPr>
          <w:i/>
          <w:iCs/>
        </w:rPr>
        <w:t>Board Of Directors</w:t>
      </w:r>
      <w:r>
        <w:t xml:space="preserve">, </w:t>
      </w:r>
      <w:r>
        <w:rPr>
          <w:i/>
          <w:iCs/>
        </w:rPr>
        <w:t>Smith-nephew.com</w:t>
      </w:r>
      <w:r>
        <w:t xml:space="preserve">. Available at: </w:t>
      </w:r>
      <w:hyperlink r:id="rId32">
        <w:r>
          <w:rPr>
            <w:color w:val="000000"/>
            <w:u w:val="single"/>
          </w:rPr>
          <w:t>https://www.smith-nephew.com/en/staff/board-of-directors</w:t>
        </w:r>
      </w:hyperlink>
      <w:r>
        <w:t xml:space="preserve"> (Accessed: 4 November 2025).</w:t>
      </w:r>
    </w:p>
    <w:p w:rsidR="00010EBF" w:rsidRDefault="00010EBF">
      <w:pPr>
        <w:spacing w:after="240" w:line="360" w:lineRule="auto"/>
        <w:rPr>
          <w:color w:val="FF0000"/>
        </w:rPr>
      </w:pPr>
      <w:r>
        <w:rPr>
          <w:color w:val="FF0000"/>
        </w:rPr>
        <w:t xml:space="preserve">Smith+Nephew (2025) </w:t>
      </w:r>
      <w:r>
        <w:rPr>
          <w:i/>
          <w:iCs/>
          <w:color w:val="FF0000"/>
        </w:rPr>
        <w:t>Life at Smith+Nephew</w:t>
      </w:r>
      <w:r>
        <w:rPr>
          <w:color w:val="FF0000"/>
        </w:rPr>
        <w:t xml:space="preserve">, </w:t>
      </w:r>
      <w:r>
        <w:rPr>
          <w:i/>
          <w:iCs/>
          <w:color w:val="FF0000"/>
        </w:rPr>
        <w:t>Smith-nephew.com</w:t>
      </w:r>
      <w:r>
        <w:rPr>
          <w:color w:val="FF0000"/>
        </w:rPr>
        <w:t xml:space="preserve">. Available at: </w:t>
      </w:r>
      <w:hyperlink r:id="rId33" w:anchor="setting-you-up-for-success">
        <w:r>
          <w:rPr>
            <w:color w:val="FF0000"/>
            <w:u w:val="single"/>
          </w:rPr>
          <w:t>https://www.smith-nephew.com/en/careers/life-at-smith-nephew#setting-you-up-for-success</w:t>
        </w:r>
      </w:hyperlink>
      <w:r>
        <w:rPr>
          <w:color w:val="FF0000"/>
        </w:rPr>
        <w:t xml:space="preserve"> (Accessed: 5 November 2025).</w:t>
      </w:r>
    </w:p>
    <w:p w:rsidR="00010EBF" w:rsidRDefault="00010EBF">
      <w:pPr>
        <w:spacing w:after="240" w:line="360" w:lineRule="auto"/>
        <w:rPr>
          <w:color w:val="FF0000"/>
        </w:rPr>
      </w:pPr>
      <w:r>
        <w:rPr>
          <w:color w:val="FF0000"/>
        </w:rPr>
        <w:t xml:space="preserve">Smith-nephew (2025). </w:t>
      </w:r>
      <w:r>
        <w:rPr>
          <w:i/>
          <w:iCs/>
          <w:color w:val="FF0000"/>
        </w:rPr>
        <w:t xml:space="preserve">Board Of Directors. </w:t>
      </w:r>
      <w:r>
        <w:rPr>
          <w:color w:val="FF0000"/>
        </w:rPr>
        <w:t xml:space="preserve">Available at: </w:t>
      </w:r>
      <w:hyperlink r:id="rId34">
        <w:r>
          <w:rPr>
            <w:color w:val="FF0000"/>
            <w:u w:val="single"/>
          </w:rPr>
          <w:t>https://www.smith-nephew.com/en/staff/board-of-directors</w:t>
        </w:r>
      </w:hyperlink>
      <w:r>
        <w:rPr>
          <w:color w:val="FF0000"/>
        </w:rPr>
        <w:t xml:space="preserve"> (Accessed: 08 November 2025).</w:t>
      </w:r>
    </w:p>
    <w:p w:rsidR="00010EBF" w:rsidRDefault="00010EBF">
      <w:pPr>
        <w:spacing w:after="240" w:line="360" w:lineRule="auto"/>
        <w:rPr>
          <w:color w:val="FF0000"/>
          <w:highlight w:val="white"/>
        </w:rPr>
      </w:pPr>
      <w:r>
        <w:rPr>
          <w:color w:val="FF0000"/>
          <w:highlight w:val="white"/>
        </w:rPr>
        <w:t xml:space="preserve">Smith-nephew (2025). </w:t>
      </w:r>
      <w:r>
        <w:rPr>
          <w:i/>
          <w:iCs/>
          <w:color w:val="FF0000"/>
          <w:highlight w:val="white"/>
        </w:rPr>
        <w:t xml:space="preserve">Smith+Nephew and Standard Health partner on first Orthopaedic Ambulatory Surgery Centre in the UK. </w:t>
      </w:r>
      <w:r>
        <w:rPr>
          <w:color w:val="FF0000"/>
          <w:highlight w:val="white"/>
        </w:rPr>
        <w:t xml:space="preserve">Available at: </w:t>
      </w:r>
      <w:hyperlink r:id="rId35">
        <w:r>
          <w:rPr>
            <w:color w:val="FF0000"/>
            <w:highlight w:val="white"/>
            <w:u w:val="single"/>
          </w:rPr>
          <w:t>https://www.smith-nephew.com/en/news/2025/06/18/180625-smith-nephew-and-standard-health-partner-on-first</w:t>
        </w:r>
      </w:hyperlink>
      <w:r>
        <w:rPr>
          <w:color w:val="FF0000"/>
          <w:highlight w:val="white"/>
        </w:rPr>
        <w:t xml:space="preserve"> (Accessed: 07 November 2025).</w:t>
      </w:r>
    </w:p>
    <w:p w:rsidR="00010EBF" w:rsidRDefault="00010EBF">
      <w:pPr>
        <w:spacing w:after="240" w:line="360" w:lineRule="auto"/>
      </w:pPr>
      <w:r>
        <w:t xml:space="preserve">Smith-nephew, (2025). </w:t>
      </w:r>
      <w:r>
        <w:rPr>
          <w:i/>
          <w:iCs/>
        </w:rPr>
        <w:t>Smith+Nephew Fourth Quarter and Full Year 2024 Results.</w:t>
      </w:r>
      <w:r>
        <w:t xml:space="preserve"> Available at: </w:t>
      </w:r>
      <w:hyperlink r:id="rId36">
        <w:r>
          <w:rPr>
            <w:u w:val="single"/>
          </w:rPr>
          <w:t>https://www.smith-nephew.com/en/news/2025/02/25/20250225-smithnephew-full-year-results-2024</w:t>
        </w:r>
      </w:hyperlink>
      <w:r>
        <w:t xml:space="preserve"> (Accessed: 04 November 2025).</w:t>
      </w:r>
    </w:p>
    <w:p w:rsidR="00010EBF" w:rsidRDefault="00010EBF">
      <w:pPr>
        <w:spacing w:after="240" w:line="360" w:lineRule="auto"/>
      </w:pPr>
      <w:r>
        <w:t xml:space="preserve">Smith-nephew, (2025). </w:t>
      </w:r>
      <w:r>
        <w:rPr>
          <w:i/>
          <w:iCs/>
        </w:rPr>
        <w:t>Who we are.</w:t>
      </w:r>
      <w:r>
        <w:t xml:space="preserve"> Available at: </w:t>
      </w:r>
      <w:hyperlink r:id="rId37" w:anchor="our-purpose">
        <w:r>
          <w:rPr>
            <w:u w:val="single"/>
          </w:rPr>
          <w:t>https://www.smith-nephew.com/en/who-we-are#our-purpose</w:t>
        </w:r>
      </w:hyperlink>
      <w:r>
        <w:t xml:space="preserve"> (Accessed: 04 November 2025).</w:t>
      </w:r>
    </w:p>
    <w:p w:rsidR="00010EBF" w:rsidRDefault="00010EBF">
      <w:pPr>
        <w:spacing w:after="240" w:line="360" w:lineRule="auto"/>
      </w:pPr>
      <w:r>
        <w:lastRenderedPageBreak/>
        <w:t xml:space="preserve">Statista, (2024). </w:t>
      </w:r>
      <w:r>
        <w:rPr>
          <w:i/>
          <w:iCs/>
        </w:rPr>
        <w:t>Smith &amp; Nephew operating profit worldwide from 2010 to 2024.</w:t>
      </w:r>
      <w:r>
        <w:t xml:space="preserve"> Available at: </w:t>
      </w:r>
      <w:hyperlink r:id="rId38">
        <w:r>
          <w:rPr>
            <w:u w:val="single"/>
          </w:rPr>
          <w:t>https://www.statista.com/statistics/451832/operating-profits-of-smith-and-nephew/?srsltid=AfmBOoqWKrNS6bic4zwuMiNXx4T6h-zrCB_pv2d67XK6vUYlsi2N0f61</w:t>
        </w:r>
      </w:hyperlink>
      <w:r>
        <w:t xml:space="preserve"> (Accessed: 04 November 2025).</w:t>
      </w:r>
    </w:p>
    <w:p w:rsidR="00010EBF" w:rsidRDefault="00010EBF">
      <w:pPr>
        <w:spacing w:after="240" w:line="360" w:lineRule="auto"/>
        <w:rPr>
          <w:b/>
          <w:bCs/>
        </w:rPr>
      </w:pPr>
      <w:r>
        <w:t xml:space="preserve">The Global Economy, (2025) </w:t>
      </w:r>
      <w:r>
        <w:rPr>
          <w:i/>
          <w:iCs/>
        </w:rPr>
        <w:t xml:space="preserve">United Kingdom: Political stability. </w:t>
      </w:r>
      <w:r>
        <w:t xml:space="preserve">Available at: </w:t>
      </w:r>
      <w:hyperlink r:id="rId39">
        <w:r>
          <w:rPr>
            <w:u w:val="single"/>
          </w:rPr>
          <w:t>https://www.theglobaleconomy.com/United-Kingdom/wb_political_stability/</w:t>
        </w:r>
      </w:hyperlink>
      <w:r>
        <w:t xml:space="preserve"> (Accessed: 07 November 2025).</w:t>
      </w:r>
    </w:p>
    <w:p w:rsidR="00010EBF" w:rsidRDefault="00010EBF">
      <w:pPr>
        <w:spacing w:after="240" w:line="360" w:lineRule="auto"/>
      </w:pPr>
      <w:r>
        <w:rPr>
          <w:highlight w:val="white"/>
        </w:rPr>
        <w:t xml:space="preserve">Unterhitzenberger, C., Wilson, H., James Bryde, D., Rost, M. and Joby, R. (2021). The stakeholder challenge: dealing with challenging situations involving stakeholders. </w:t>
      </w:r>
      <w:r>
        <w:rPr>
          <w:i/>
          <w:iCs/>
          <w:highlight w:val="white"/>
        </w:rPr>
        <w:t>Production planning &amp; control</w:t>
      </w:r>
      <w:r>
        <w:rPr>
          <w:highlight w:val="white"/>
        </w:rPr>
        <w:t xml:space="preserve">, </w:t>
      </w:r>
      <w:r>
        <w:rPr>
          <w:i/>
          <w:iCs/>
          <w:highlight w:val="white"/>
        </w:rPr>
        <w:t>32</w:t>
      </w:r>
      <w:r>
        <w:rPr>
          <w:highlight w:val="white"/>
        </w:rPr>
        <w:t xml:space="preserve">(11), pp.926-941. </w:t>
      </w:r>
    </w:p>
    <w:p w:rsidR="00010EBF" w:rsidRDefault="00010EBF">
      <w:pPr>
        <w:spacing w:after="240" w:line="360" w:lineRule="auto"/>
      </w:pPr>
      <w:r>
        <w:t xml:space="preserve">Wang, S, D. (2023). </w:t>
      </w:r>
      <w:r>
        <w:rPr>
          <w:i/>
          <w:iCs/>
        </w:rPr>
        <w:t>Smith &amp; Nephew: Operational Challenges Below the Surface Are Likely To Linger.</w:t>
      </w:r>
      <w:r>
        <w:t xml:space="preserve"> Available at: </w:t>
      </w:r>
      <w:hyperlink r:id="rId40">
        <w:r>
          <w:rPr>
            <w:u w:val="single"/>
          </w:rPr>
          <w:t>https://www.morningstar.com/stocks/smith-nephew-operational-challenges-below-surface-are-likely-linger</w:t>
        </w:r>
      </w:hyperlink>
      <w:r>
        <w:t xml:space="preserve"> (Accessed: 04 November 2025).</w:t>
      </w:r>
    </w:p>
    <w:p w:rsidR="00010EBF" w:rsidRDefault="00010EBF">
      <w:pPr>
        <w:spacing w:after="240" w:line="360" w:lineRule="auto"/>
      </w:pPr>
      <w:r>
        <w:t xml:space="preserve">Weforum, (2025). </w:t>
      </w:r>
      <w:r>
        <w:rPr>
          <w:i/>
          <w:iCs/>
        </w:rPr>
        <w:t>Smith+Nephew.</w:t>
      </w:r>
      <w:r>
        <w:t xml:space="preserve"> Available at: </w:t>
      </w:r>
      <w:hyperlink r:id="rId41">
        <w:r>
          <w:rPr>
            <w:u w:val="single"/>
          </w:rPr>
          <w:t>https://www.weforum.org/organizations/smith-nephew/</w:t>
        </w:r>
      </w:hyperlink>
      <w:r>
        <w:t xml:space="preserve"> (Accessed: 04 November 2025).</w:t>
      </w:r>
    </w:p>
    <w:p w:rsidR="00010EBF" w:rsidRDefault="00010EBF">
      <w:pPr>
        <w:spacing w:after="240" w:line="360" w:lineRule="auto"/>
        <w:rPr>
          <w:b/>
          <w:bCs/>
        </w:rPr>
      </w:pPr>
      <w:r>
        <w:t xml:space="preserve">World Bank, (2025) </w:t>
      </w:r>
      <w:r>
        <w:rPr>
          <w:i/>
          <w:iCs/>
        </w:rPr>
        <w:t>Central government debt, total (% of GDP) - United Kingdom.</w:t>
      </w:r>
      <w:r>
        <w:t xml:space="preserve"> Available at: </w:t>
      </w:r>
      <w:hyperlink r:id="rId42">
        <w:r>
          <w:rPr>
            <w:u w:val="single"/>
          </w:rPr>
          <w:t>https://data.worldbank.org/indicator/GC.DOD.TOTL.GD.ZS?locations=GB</w:t>
        </w:r>
      </w:hyperlink>
      <w:r>
        <w:t xml:space="preserve"> (Accessed: 07 November 2025).</w:t>
      </w:r>
    </w:p>
    <w:p w:rsidR="00010EBF" w:rsidRDefault="00010EBF">
      <w:pPr>
        <w:spacing w:after="240" w:line="360" w:lineRule="auto"/>
        <w:rPr>
          <w:b/>
          <w:bCs/>
        </w:rPr>
      </w:pPr>
      <w:r>
        <w:t xml:space="preserve">World Bank, (2025) </w:t>
      </w:r>
      <w:r>
        <w:rPr>
          <w:i/>
          <w:iCs/>
        </w:rPr>
        <w:t>United Kingdom.</w:t>
      </w:r>
      <w:r>
        <w:t xml:space="preserve"> Available at: </w:t>
      </w:r>
      <w:hyperlink r:id="rId43">
        <w:r>
          <w:rPr>
            <w:u w:val="single"/>
          </w:rPr>
          <w:t>https://data.worldbank.org/country/united-kingdom</w:t>
        </w:r>
      </w:hyperlink>
      <w:r>
        <w:t xml:space="preserve"> (Accessed: 07 November 2025).</w:t>
      </w:r>
    </w:p>
    <w:p w:rsidR="00010EBF" w:rsidRDefault="00010EBF">
      <w:pPr>
        <w:spacing w:after="240" w:line="360" w:lineRule="auto"/>
      </w:pPr>
      <w:r>
        <w:t xml:space="preserve">Zaiser, B., Staller, M.S. and Koerner, S. (2023) ‘De-escalation Fundamentals’, </w:t>
      </w:r>
      <w:r>
        <w:rPr>
          <w:i/>
          <w:iCs/>
        </w:rPr>
        <w:t>Springer eBooks</w:t>
      </w:r>
      <w:r>
        <w:t xml:space="preserve">, 2, pp. 263–291. Available at: </w:t>
      </w:r>
      <w:hyperlink r:id="rId44">
        <w:r>
          <w:rPr>
            <w:color w:val="000000"/>
            <w:u w:val="single"/>
          </w:rPr>
          <w:t>https://doi.org/10.1007/978-3-031-41100-7_12</w:t>
        </w:r>
      </w:hyperlink>
      <w:r>
        <w:t xml:space="preserve"> (Accessed: 7 November 2025).</w:t>
      </w:r>
    </w:p>
    <w:p w:rsidR="00010EBF" w:rsidRDefault="00010EBF">
      <w:pPr>
        <w:spacing w:after="240" w:line="360" w:lineRule="auto"/>
      </w:pPr>
      <w:r>
        <w:t xml:space="preserve">Zhou, J.-H., Zhu, Y.-M., He, L. and Mu, B.-X. (2022) ‘Recognizing and coordinating multidimensional dynamic stakeholder value conflicts for sustainability-oriented Construction Land Reduction projects in Shanghai, China: An integrated SA-SNA-TRIZ approach’, </w:t>
      </w:r>
      <w:r>
        <w:rPr>
          <w:i/>
          <w:iCs/>
        </w:rPr>
        <w:t>Journal of Cleaner Production</w:t>
      </w:r>
      <w:r>
        <w:t xml:space="preserve">, 348, p. 131343. Available at: </w:t>
      </w:r>
      <w:hyperlink r:id="rId45">
        <w:r>
          <w:rPr>
            <w:color w:val="000000"/>
            <w:u w:val="single"/>
          </w:rPr>
          <w:t>https://doi.org/10.1016/j.jclepro.2022.131343</w:t>
        </w:r>
      </w:hyperlink>
      <w:r>
        <w:t xml:space="preserve"> (Accessed: 7 November 2025).</w:t>
      </w:r>
    </w:p>
    <w:sectPr w:rsidR="00010EBF" w:rsidSect="00CD77B3">
      <w:footerReference w:type="default" r:id="rId46"/>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31C9" w:rsidRDefault="004131C9">
      <w:pPr>
        <w:spacing w:line="240" w:lineRule="auto"/>
      </w:pPr>
      <w:r>
        <w:separator/>
      </w:r>
    </w:p>
  </w:endnote>
  <w:endnote w:type="continuationSeparator" w:id="1">
    <w:p w:rsidR="004131C9" w:rsidRDefault="004131C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92D4DB6-CD09-49DB-A8D3-FDAFB717A0EF}"/>
  </w:font>
  <w:font w:name="Tahoma">
    <w:panose1 w:val="020B0604030504040204"/>
    <w:charset w:val="00"/>
    <w:family w:val="swiss"/>
    <w:pitch w:val="variable"/>
    <w:sig w:usb0="E1002EFF" w:usb1="C000605B" w:usb2="00000029" w:usb3="00000000" w:csb0="000101FF" w:csb1="00000000"/>
    <w:embedRegular r:id="rId2" w:fontKey="{F4FC7686-162D-4D5D-A5DD-04B12B0BE93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BBA3ACF5-28F1-4FE0-9B23-BBA0A4B09F7A}"/>
  </w:font>
  <w:font w:name="Arial Unicode MS">
    <w:panose1 w:val="020B0604020202020204"/>
    <w:charset w:val="80"/>
    <w:family w:val="swiss"/>
    <w:pitch w:val="variable"/>
    <w:sig w:usb0="F7FFAFFF" w:usb1="E9DFFFFF" w:usb2="0000003F" w:usb3="00000000" w:csb0="003F01FF" w:csb1="00000000"/>
    <w:embedBold r:id="rId4" w:subsetted="1" w:fontKey="{84848FAA-D512-46A2-BC58-7597B677F9F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0827" w:rsidRDefault="00CD77B3">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sidR="00F27843">
      <w:rPr>
        <w:color w:val="000000"/>
        <w:sz w:val="20"/>
        <w:szCs w:val="20"/>
      </w:rPr>
      <w:instrText>PAGE</w:instrText>
    </w:r>
    <w:r>
      <w:rPr>
        <w:color w:val="000000"/>
        <w:sz w:val="20"/>
        <w:szCs w:val="20"/>
      </w:rPr>
      <w:fldChar w:fldCharType="separate"/>
    </w:r>
    <w:r w:rsidR="00042AB0">
      <w:rPr>
        <w:noProof/>
        <w:color w:val="000000"/>
        <w:sz w:val="20"/>
        <w:szCs w:val="20"/>
      </w:rPr>
      <w:t>15</w:t>
    </w:r>
    <w:r>
      <w:rPr>
        <w:color w:val="000000"/>
        <w:sz w:val="20"/>
        <w:szCs w:val="20"/>
      </w:rPr>
      <w:fldChar w:fldCharType="end"/>
    </w:r>
  </w:p>
  <w:p w:rsidR="002A0827" w:rsidRDefault="002A082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31C9" w:rsidRDefault="004131C9">
      <w:pPr>
        <w:spacing w:line="240" w:lineRule="auto"/>
      </w:pPr>
      <w:r>
        <w:separator/>
      </w:r>
    </w:p>
  </w:footnote>
  <w:footnote w:type="continuationSeparator" w:id="1">
    <w:p w:rsidR="004131C9" w:rsidRDefault="004131C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F93483"/>
    <w:multiLevelType w:val="multilevel"/>
    <w:tmpl w:val="82544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483760D"/>
    <w:multiLevelType w:val="multilevel"/>
    <w:tmpl w:val="44307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5AE32A8"/>
    <w:multiLevelType w:val="multilevel"/>
    <w:tmpl w:val="264C75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DD210AA"/>
    <w:multiLevelType w:val="multilevel"/>
    <w:tmpl w:val="FA622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FBF6717"/>
    <w:multiLevelType w:val="multilevel"/>
    <w:tmpl w:val="5742F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5467639"/>
    <w:multiLevelType w:val="multilevel"/>
    <w:tmpl w:val="56685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CC92305"/>
    <w:multiLevelType w:val="multilevel"/>
    <w:tmpl w:val="5C884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D1332AA"/>
    <w:multiLevelType w:val="multilevel"/>
    <w:tmpl w:val="AB600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27826EA"/>
    <w:multiLevelType w:val="multilevel"/>
    <w:tmpl w:val="45E61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4967356"/>
    <w:multiLevelType w:val="multilevel"/>
    <w:tmpl w:val="D3DE7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9673EA6"/>
    <w:multiLevelType w:val="multilevel"/>
    <w:tmpl w:val="3F32D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5F25ABF"/>
    <w:multiLevelType w:val="multilevel"/>
    <w:tmpl w:val="30D48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59F318B4"/>
    <w:multiLevelType w:val="multilevel"/>
    <w:tmpl w:val="C8F03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5B314076"/>
    <w:multiLevelType w:val="multilevel"/>
    <w:tmpl w:val="45042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65437ACF"/>
    <w:multiLevelType w:val="multilevel"/>
    <w:tmpl w:val="3A52A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6AE65288"/>
    <w:multiLevelType w:val="multilevel"/>
    <w:tmpl w:val="FC92F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F30356C"/>
    <w:multiLevelType w:val="multilevel"/>
    <w:tmpl w:val="437EB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13"/>
  </w:num>
  <w:num w:numId="3">
    <w:abstractNumId w:val="10"/>
  </w:num>
  <w:num w:numId="4">
    <w:abstractNumId w:val="12"/>
  </w:num>
  <w:num w:numId="5">
    <w:abstractNumId w:val="3"/>
  </w:num>
  <w:num w:numId="6">
    <w:abstractNumId w:val="1"/>
  </w:num>
  <w:num w:numId="7">
    <w:abstractNumId w:val="8"/>
  </w:num>
  <w:num w:numId="8">
    <w:abstractNumId w:val="16"/>
  </w:num>
  <w:num w:numId="9">
    <w:abstractNumId w:val="2"/>
  </w:num>
  <w:num w:numId="10">
    <w:abstractNumId w:val="15"/>
  </w:num>
  <w:num w:numId="11">
    <w:abstractNumId w:val="5"/>
  </w:num>
  <w:num w:numId="12">
    <w:abstractNumId w:val="4"/>
  </w:num>
  <w:num w:numId="13">
    <w:abstractNumId w:val="0"/>
  </w:num>
  <w:num w:numId="14">
    <w:abstractNumId w:val="6"/>
  </w:num>
  <w:num w:numId="15">
    <w:abstractNumId w:val="7"/>
  </w:num>
  <w:num w:numId="16">
    <w:abstractNumId w:val="14"/>
  </w:num>
  <w:num w:numId="17">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2A0827"/>
    <w:rsid w:val="00010EBF"/>
    <w:rsid w:val="00033267"/>
    <w:rsid w:val="00042AB0"/>
    <w:rsid w:val="001563ED"/>
    <w:rsid w:val="002A0827"/>
    <w:rsid w:val="003A0FBD"/>
    <w:rsid w:val="004131C9"/>
    <w:rsid w:val="006B4BD0"/>
    <w:rsid w:val="00917834"/>
    <w:rsid w:val="00CD77B3"/>
    <w:rsid w:val="00D11818"/>
    <w:rsid w:val="00D8096B"/>
    <w:rsid w:val="00F278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77B3"/>
  </w:style>
  <w:style w:type="paragraph" w:styleId="Heading1">
    <w:name w:val="heading 1"/>
    <w:basedOn w:val="Normal"/>
    <w:next w:val="Normal"/>
    <w:uiPriority w:val="9"/>
    <w:qFormat/>
    <w:rsid w:val="00CD77B3"/>
    <w:pPr>
      <w:spacing w:before="120" w:after="120" w:line="360" w:lineRule="auto"/>
      <w:outlineLvl w:val="0"/>
    </w:pPr>
    <w:rPr>
      <w:b/>
      <w:bCs/>
    </w:rPr>
  </w:style>
  <w:style w:type="paragraph" w:styleId="Heading2">
    <w:name w:val="heading 2"/>
    <w:basedOn w:val="Normal"/>
    <w:next w:val="Normal"/>
    <w:uiPriority w:val="9"/>
    <w:unhideWhenUsed/>
    <w:qFormat/>
    <w:rsid w:val="00CD77B3"/>
    <w:pPr>
      <w:keepNext/>
      <w:keepLines/>
      <w:spacing w:before="120" w:after="120" w:line="360" w:lineRule="auto"/>
      <w:outlineLvl w:val="1"/>
    </w:pPr>
    <w:rPr>
      <w:b/>
      <w:bCs/>
    </w:rPr>
  </w:style>
  <w:style w:type="paragraph" w:styleId="Heading3">
    <w:name w:val="heading 3"/>
    <w:basedOn w:val="Normal"/>
    <w:next w:val="Normal"/>
    <w:uiPriority w:val="9"/>
    <w:semiHidden/>
    <w:unhideWhenUsed/>
    <w:qFormat/>
    <w:rsid w:val="00CD77B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D77B3"/>
    <w:pPr>
      <w:keepNext/>
      <w:keepLines/>
      <w:spacing w:before="280" w:after="80"/>
      <w:outlineLvl w:val="3"/>
    </w:pPr>
    <w:rPr>
      <w:color w:val="666666"/>
    </w:rPr>
  </w:style>
  <w:style w:type="paragraph" w:styleId="Heading5">
    <w:name w:val="heading 5"/>
    <w:basedOn w:val="Normal"/>
    <w:next w:val="Normal"/>
    <w:uiPriority w:val="9"/>
    <w:semiHidden/>
    <w:unhideWhenUsed/>
    <w:qFormat/>
    <w:rsid w:val="00CD77B3"/>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D77B3"/>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D77B3"/>
    <w:tblPr>
      <w:tblCellMar>
        <w:top w:w="100" w:type="dxa"/>
        <w:left w:w="100" w:type="dxa"/>
        <w:bottom w:w="100" w:type="dxa"/>
        <w:right w:w="100" w:type="dxa"/>
      </w:tblCellMar>
    </w:tblPr>
  </w:style>
  <w:style w:type="paragraph" w:styleId="Title">
    <w:name w:val="Title"/>
    <w:basedOn w:val="Normal"/>
    <w:next w:val="Normal"/>
    <w:uiPriority w:val="10"/>
    <w:qFormat/>
    <w:rsid w:val="00CD77B3"/>
    <w:pPr>
      <w:keepNext/>
      <w:keepLines/>
      <w:spacing w:after="60"/>
    </w:pPr>
    <w:rPr>
      <w:sz w:val="52"/>
      <w:szCs w:val="52"/>
    </w:rPr>
  </w:style>
  <w:style w:type="table" w:customStyle="1" w:styleId="TableNormal1">
    <w:name w:val="TableNormal"/>
    <w:rsid w:val="003F0B18"/>
    <w:tblPr>
      <w:tblCellMar>
        <w:top w:w="100" w:type="dxa"/>
        <w:left w:w="100" w:type="dxa"/>
        <w:bottom w:w="100" w:type="dxa"/>
        <w:right w:w="100" w:type="dxa"/>
      </w:tblCellMar>
    </w:tblPr>
  </w:style>
  <w:style w:type="table" w:customStyle="1" w:styleId="TableNormal2">
    <w:name w:val="TableNormal"/>
    <w:rsid w:val="003F0B18"/>
    <w:tblPr>
      <w:tblCellMar>
        <w:top w:w="100" w:type="dxa"/>
        <w:left w:w="100" w:type="dxa"/>
        <w:bottom w:w="100" w:type="dxa"/>
        <w:right w:w="100" w:type="dxa"/>
      </w:tblCellMar>
    </w:tblPr>
  </w:style>
  <w:style w:type="table" w:customStyle="1" w:styleId="a">
    <w:basedOn w:val="TableNormal2"/>
    <w:rsid w:val="003F0B1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3571A"/>
    <w:pPr>
      <w:tabs>
        <w:tab w:val="center" w:pos="4513"/>
        <w:tab w:val="right" w:pos="9026"/>
      </w:tabs>
      <w:spacing w:line="240" w:lineRule="auto"/>
    </w:pPr>
  </w:style>
  <w:style w:type="character" w:customStyle="1" w:styleId="HeaderChar">
    <w:name w:val="Header Char"/>
    <w:basedOn w:val="DefaultParagraphFont"/>
    <w:link w:val="Header"/>
    <w:uiPriority w:val="99"/>
    <w:rsid w:val="00B3571A"/>
  </w:style>
  <w:style w:type="paragraph" w:styleId="Footer">
    <w:name w:val="footer"/>
    <w:basedOn w:val="Normal"/>
    <w:link w:val="FooterChar"/>
    <w:uiPriority w:val="99"/>
    <w:unhideWhenUsed/>
    <w:rsid w:val="00B3571A"/>
    <w:pPr>
      <w:tabs>
        <w:tab w:val="center" w:pos="4513"/>
        <w:tab w:val="right" w:pos="9026"/>
      </w:tabs>
      <w:spacing w:line="240" w:lineRule="auto"/>
    </w:pPr>
  </w:style>
  <w:style w:type="character" w:customStyle="1" w:styleId="FooterChar">
    <w:name w:val="Footer Char"/>
    <w:basedOn w:val="DefaultParagraphFont"/>
    <w:link w:val="Footer"/>
    <w:uiPriority w:val="99"/>
    <w:rsid w:val="00B3571A"/>
  </w:style>
  <w:style w:type="paragraph" w:styleId="TOCHeading">
    <w:name w:val="TOC Heading"/>
    <w:basedOn w:val="Heading1"/>
    <w:next w:val="Normal"/>
    <w:uiPriority w:val="39"/>
    <w:unhideWhenUsed/>
    <w:qFormat/>
    <w:rsid w:val="001410E6"/>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10E6"/>
    <w:pPr>
      <w:spacing w:after="100"/>
    </w:pPr>
  </w:style>
  <w:style w:type="character" w:styleId="Hyperlink">
    <w:name w:val="Hyperlink"/>
    <w:basedOn w:val="DefaultParagraphFont"/>
    <w:uiPriority w:val="99"/>
    <w:unhideWhenUsed/>
    <w:rsid w:val="001410E6"/>
    <w:rPr>
      <w:color w:val="0000FF" w:themeColor="hyperlink"/>
      <w:u w:val="single"/>
    </w:rPr>
  </w:style>
  <w:style w:type="table" w:customStyle="1" w:styleId="a0">
    <w:basedOn w:val="TableNormal"/>
    <w:rsid w:val="003F0B18"/>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3F0B18"/>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3F0B18"/>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3F0B18"/>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3F0B18"/>
    <w:tblPr>
      <w:tblStyleRowBandSize w:val="1"/>
      <w:tblStyleColBandSize w:val="1"/>
      <w:tblInd w:w="0" w:type="dxa"/>
      <w:tblCellMar>
        <w:top w:w="0" w:type="dxa"/>
        <w:left w:w="108" w:type="dxa"/>
        <w:bottom w:w="0" w:type="dxa"/>
        <w:right w:w="108" w:type="dxa"/>
      </w:tblCellMar>
    </w:tblPr>
  </w:style>
  <w:style w:type="paragraph" w:styleId="TOC2">
    <w:name w:val="toc 2"/>
    <w:basedOn w:val="Normal"/>
    <w:next w:val="Normal"/>
    <w:autoRedefine/>
    <w:uiPriority w:val="39"/>
    <w:unhideWhenUsed/>
    <w:rsid w:val="00141B0E"/>
    <w:pPr>
      <w:spacing w:after="100"/>
      <w:ind w:left="240"/>
    </w:pPr>
  </w:style>
  <w:style w:type="paragraph" w:styleId="BalloonText">
    <w:name w:val="Balloon Text"/>
    <w:basedOn w:val="Normal"/>
    <w:link w:val="BalloonTextChar"/>
    <w:uiPriority w:val="99"/>
    <w:semiHidden/>
    <w:unhideWhenUsed/>
    <w:rsid w:val="000D18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18DD"/>
    <w:rPr>
      <w:rFonts w:ascii="Tahoma" w:hAnsi="Tahoma" w:cs="Tahoma"/>
      <w:sz w:val="16"/>
      <w:szCs w:val="16"/>
    </w:rPr>
  </w:style>
  <w:style w:type="paragraph" w:customStyle="1" w:styleId="Normal1">
    <w:name w:val="Normal1"/>
    <w:rsid w:val="000D18DD"/>
    <w:pPr>
      <w:spacing w:line="480" w:lineRule="auto"/>
    </w:pPr>
    <w:rPr>
      <w:lang w:val="en-US" w:eastAsia="en-US"/>
    </w:rPr>
  </w:style>
  <w:style w:type="character" w:customStyle="1" w:styleId="UnresolvedMention1">
    <w:name w:val="Unresolved Mention1"/>
    <w:basedOn w:val="DefaultParagraphFont"/>
    <w:uiPriority w:val="99"/>
    <w:semiHidden/>
    <w:unhideWhenUsed/>
    <w:rsid w:val="00C164F9"/>
    <w:rPr>
      <w:color w:val="605E5C"/>
      <w:shd w:val="clear" w:color="auto" w:fill="E1DFDD"/>
    </w:rPr>
  </w:style>
  <w:style w:type="paragraph" w:styleId="Subtitle">
    <w:name w:val="Subtitle"/>
    <w:basedOn w:val="Normal"/>
    <w:next w:val="Normal"/>
    <w:uiPriority w:val="11"/>
    <w:qFormat/>
    <w:rsid w:val="00CD77B3"/>
    <w:pPr>
      <w:keepNext/>
      <w:keepLines/>
      <w:spacing w:after="320"/>
    </w:pPr>
    <w:rPr>
      <w:rFonts w:ascii="Arial" w:eastAsia="Arial" w:hAnsi="Arial" w:cs="Arial"/>
      <w:color w:val="666666"/>
      <w:sz w:val="30"/>
      <w:szCs w:val="30"/>
    </w:rPr>
  </w:style>
  <w:style w:type="table" w:customStyle="1" w:styleId="a5">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CD77B3"/>
    <w:tblPr>
      <w:tblStyleRowBandSize w:val="1"/>
      <w:tblStyleColBandSize w:val="1"/>
      <w:tblInd w:w="0" w:type="dxa"/>
      <w:tblCellMar>
        <w:top w:w="0" w:type="dxa"/>
        <w:left w:w="115" w:type="dxa"/>
        <w:bottom w:w="0" w:type="dxa"/>
        <w:right w:w="115" w:type="dxa"/>
      </w:tblCellMar>
    </w:tblPr>
  </w:style>
  <w:style w:type="table" w:customStyle="1" w:styleId="a7">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CD77B3"/>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CD77B3"/>
    <w:tblPr>
      <w:tblStyleRowBandSize w:val="1"/>
      <w:tblStyleColBandSize w:val="1"/>
      <w:tblInd w:w="0" w:type="dxa"/>
      <w:tblCellMar>
        <w:top w:w="0" w:type="dxa"/>
        <w:left w:w="115" w:type="dxa"/>
        <w:bottom w:w="0" w:type="dxa"/>
        <w:right w:w="115" w:type="dxa"/>
      </w:tblCellMar>
    </w:tblPr>
  </w:style>
  <w:style w:type="table" w:customStyle="1" w:styleId="ad">
    <w:basedOn w:val="TableNormal"/>
    <w:rsid w:val="00CD77B3"/>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tre.2021.102539" TargetMode="External"/><Relationship Id="rId18" Type="http://schemas.openxmlformats.org/officeDocument/2006/relationships/hyperlink" Target="https://rsisinternational.org/journals/ijriss/articles/collective-action-as-a-precursor-to-social-change-causes-risks-and-consequences/" TargetMode="External"/><Relationship Id="rId26" Type="http://schemas.openxmlformats.org/officeDocument/2006/relationships/hyperlink" Target="https://doi.org/10.2147/ppa.s333586" TargetMode="External"/><Relationship Id="rId39" Type="http://schemas.openxmlformats.org/officeDocument/2006/relationships/hyperlink" Target="https://www.theglobaleconomy.com/United-Kingdom/wb_political_stability/" TargetMode="External"/><Relationship Id="rId3" Type="http://schemas.openxmlformats.org/officeDocument/2006/relationships/styles" Target="styles.xml"/><Relationship Id="rId21" Type="http://schemas.openxmlformats.org/officeDocument/2006/relationships/hyperlink" Target="https://www.linkedin.com/in/rebecca-hales-aa277489/?originalSubdomain=uk" TargetMode="External"/><Relationship Id="rId34" Type="http://schemas.openxmlformats.org/officeDocument/2006/relationships/hyperlink" Target="https://www.smith-nephew.com/en/staff/board-of-directors" TargetMode="External"/><Relationship Id="rId42" Type="http://schemas.openxmlformats.org/officeDocument/2006/relationships/hyperlink" Target="https://data.worldbank.org/indicator/GC.DOD.TOTL.GD.ZS?locations=GB"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n.investing.com/news/company-news/smith--nephew-to-buy-back-500-million-in-shares-in-second-half-2025-93CH-4943078" TargetMode="External"/><Relationship Id="rId25" Type="http://schemas.openxmlformats.org/officeDocument/2006/relationships/hyperlink" Target="https://project-management.com/understanding-responsibility-assignment-matrix-raci-matrix/" TargetMode="External"/><Relationship Id="rId33" Type="http://schemas.openxmlformats.org/officeDocument/2006/relationships/hyperlink" Target="https://www.smith-nephew.com/en/careers/life-at-smith-nephew" TargetMode="External"/><Relationship Id="rId38" Type="http://schemas.openxmlformats.org/officeDocument/2006/relationships/hyperlink" Target="https://www.statista.com/statistics/451832/operating-profits-of-smith-and-nephew/?srsltid=AfmBOoqWKrNS6bic4zwuMiNXx4T6h-zrCB_pv2d67XK6vUYlsi2N0f61"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abs/10.1177/0149206321993576" TargetMode="External"/><Relationship Id="rId20" Type="http://schemas.openxmlformats.org/officeDocument/2006/relationships/hyperlink" Target="https://www.linkedin.com/in/susie-smith-b39294205/?originalSubdomain=uk" TargetMode="External"/><Relationship Id="rId29" Type="http://schemas.openxmlformats.org/officeDocument/2006/relationships/hyperlink" Target="https://medium.com/@adret/sailing-the-7-cs-charting-a-path-for-communication-and-collaboration-fe80e63febce" TargetMode="External"/><Relationship Id="rId41" Type="http://schemas.openxmlformats.org/officeDocument/2006/relationships/hyperlink" Target="https://www.weforum.org/organizations/smith-neph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978-3-031-18794-0_7" TargetMode="External"/><Relationship Id="rId32" Type="http://schemas.openxmlformats.org/officeDocument/2006/relationships/hyperlink" Target="https://www.smith-nephew.com/en/staff/board-of-directors" TargetMode="External"/><Relationship Id="rId37" Type="http://schemas.openxmlformats.org/officeDocument/2006/relationships/hyperlink" Target="https://www.smith-nephew.com/en/who-we-are" TargetMode="External"/><Relationship Id="rId40" Type="http://schemas.openxmlformats.org/officeDocument/2006/relationships/hyperlink" Target="https://www.morningstar.com/stocks/smith-nephew-operational-challenges-below-surface-are-likely-linger" TargetMode="External"/><Relationship Id="rId45" Type="http://schemas.openxmlformats.org/officeDocument/2006/relationships/hyperlink" Target="https://doi.org/10.1016/j.jclepro.2022.131343" TargetMode="External"/><Relationship Id="rId5" Type="http://schemas.openxmlformats.org/officeDocument/2006/relationships/webSettings" Target="webSettings.xml"/><Relationship Id="rId15" Type="http://schemas.openxmlformats.org/officeDocument/2006/relationships/hyperlink" Target="https://dl.acm.org/doi/pdf/10.1145/99977.99987" TargetMode="External"/><Relationship Id="rId23" Type="http://schemas.openxmlformats.org/officeDocument/2006/relationships/hyperlink" Target="https://doi.org/10.3390/su15097249" TargetMode="External"/><Relationship Id="rId28" Type="http://schemas.openxmlformats.org/officeDocument/2006/relationships/hyperlink" Target="https://www.reuters.com/business/healthcare-pharmaceuticals/smith-nephew-slashes-annual-revenue-forecast-weak-china-2024-10-31/" TargetMode="External"/><Relationship Id="rId36" Type="http://schemas.openxmlformats.org/officeDocument/2006/relationships/hyperlink" Target="https://www.smith-nephew.com/en/news/2025/02/25/20250225-smithnephew-full-year-results-2024" TargetMode="External"/><Relationship Id="rId10" Type="http://schemas.openxmlformats.org/officeDocument/2006/relationships/image" Target="media/image3.png"/><Relationship Id="rId19" Type="http://schemas.openxmlformats.org/officeDocument/2006/relationships/hyperlink" Target="https://doi.org/10.53703/001c.35342" TargetMode="External"/><Relationship Id="rId31" Type="http://schemas.openxmlformats.org/officeDocument/2006/relationships/hyperlink" Target="https://www.smith-nephew.com/en/news/2025/02/25/20250225-smithnephew-full-year-results-2024" TargetMode="External"/><Relationship Id="rId44" Type="http://schemas.openxmlformats.org/officeDocument/2006/relationships/hyperlink" Target="https://doi.org/10.1007/978-3-031-41100-7_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oject-management.com/types-of-stakeholders/" TargetMode="External"/><Relationship Id="rId22" Type="http://schemas.openxmlformats.org/officeDocument/2006/relationships/hyperlink" Target="https://www.linkedin.com/in/tom-smith-18247840/?originalSubdomain=uk" TargetMode="External"/><Relationship Id="rId27" Type="http://schemas.openxmlformats.org/officeDocument/2006/relationships/hyperlink" Target="https://www.reuters.com/business/healthcare-pharmaceuticals/medical-products-maker-smithnephew-soars-turnaround-plan-boosts-profit-2025-08-05/" TargetMode="External"/><Relationship Id="rId30" Type="http://schemas.openxmlformats.org/officeDocument/2006/relationships/hyperlink" Target="https://doi.org/10.1016/j.jbusres.2023.113676" TargetMode="External"/><Relationship Id="rId35" Type="http://schemas.openxmlformats.org/officeDocument/2006/relationships/hyperlink" Target="https://www.smith-nephew.com/en/news/2025/06/18/180625-smith-nephew-and-standard-health-partner-on-first" TargetMode="External"/><Relationship Id="rId43" Type="http://schemas.openxmlformats.org/officeDocument/2006/relationships/hyperlink" Target="https://data.worldbank.org/country/united-kingdom" TargetMode="External"/><Relationship Id="rId48"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aGmVM4jnDp+Dt91x7nX4zJgAiA==">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zIOaC5yOXlvMzk4NXZzY20yDmgubWEycXl5azYwaHdhMg5oLmV1c2w2YnlzNGNseTIOaC5mbTBvZDVzdW1pb3AyDmguM25haXBmb3B1b25rMg5oLnBqNmdibXJrdWNyMjIOaC5tMHF0Y214OGFheXQyDmgueHNpOGR2NmpkeGJuMg5oLnhzN3UzcjI4ZHRkZDIOaC5ybjVjNmVjZ2RjNjcyDmgud3RrM2g1MW5qYTJvMg5oLm81OTdldXdpdjl3cjIOaC5zb24xNW9ieHA0dHYyDmguaXd4ZmppNzUxZWd1Mg5oLnE4NndpNWE5N2pnMTIOaC5pZ3RyNXg3cHRsYjIyDmgud2Nob3B1cGFkM3p3Mg5oLmc5M2lveWpmYTdpazIOaC5lZjMyZHhzazlmaGs4AHIhMXZvUXJ5MXNiZXJGejNKWTY1ZHhKX082eFNPbWs1cF9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7615</Words>
  <Characters>43409</Characters>
  <DocSecurity>0</DocSecurity>
  <Lines>361</Lines>
  <Paragraphs>101</Paragraphs>
  <ScaleCrop>false</ScaleCrop>
  <Company/>
  <LinksUpToDate>false</LinksUpToDate>
  <CharactersWithSpaces>50923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2025-11-14T13:10:00Z</dcterms:created>
  <dcterms:modified xsi:type="dcterms:W3CDTF">2025-11-15T10:53:00Z</dcterms:modified>
</cp:coreProperties>
</file>