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1F3C2B9" w14:textId="42EE3250" w:rsidR="001558C3" w:rsidRPr="001558C3" w:rsidRDefault="001558C3" w:rsidP="001558C3">
      <w:pPr>
        <w:pStyle w:val="NormalIndent"/>
        <w:rPr>
          <w:b/>
          <w:bCs/>
        </w:rPr>
      </w:pPr>
      <w:r w:rsidRPr="001558C3">
        <w:rPr>
          <w:b/>
          <w:bCs/>
        </w:rPr>
        <w:t>Notes on Renan</w:t>
      </w:r>
      <w:r w:rsidR="003D2900">
        <w:rPr>
          <w:b/>
          <w:bCs/>
        </w:rPr>
        <w:t xml:space="preserve"> and the idea of the Celtic</w:t>
      </w:r>
    </w:p>
    <w:p w14:paraId="29E63EEC" w14:textId="77777777" w:rsidR="001558C3" w:rsidRPr="001558C3" w:rsidRDefault="001558C3" w:rsidP="001558C3">
      <w:pPr>
        <w:pStyle w:val="NormalIndent"/>
        <w:rPr>
          <w:b/>
          <w:bCs/>
        </w:rPr>
      </w:pPr>
    </w:p>
    <w:p w14:paraId="60469802" w14:textId="5FDC67EF" w:rsidR="001558C3" w:rsidRDefault="001558C3" w:rsidP="001558C3">
      <w:pPr>
        <w:pStyle w:val="NormalIndent"/>
      </w:pPr>
      <w:r>
        <w:t xml:space="preserve">Renan is often referred to as the point of departure in any investigation of the dominant images of Brittany, indeed of Celticness, that we have today. Along with Arnold, whose </w:t>
      </w:r>
      <w:r>
        <w:rPr>
          <w:i/>
          <w:iCs/>
        </w:rPr>
        <w:t>On Celtic Literature</w:t>
      </w:r>
      <w:r>
        <w:t xml:space="preserve"> is doubtless indebted to Renan’s ‘La Poésie des races celtiques’, he is sometimes referred to as the origin of modern Celtic Studies. </w:t>
      </w:r>
      <w:r w:rsidRPr="0082625F">
        <w:rPr>
          <w:lang w:val="fr-FR"/>
        </w:rPr>
        <w:t xml:space="preserve">Renan’s autobiography </w:t>
      </w:r>
      <w:r w:rsidRPr="0082625F">
        <w:rPr>
          <w:i/>
          <w:iCs/>
          <w:lang w:val="fr-FR"/>
        </w:rPr>
        <w:t>Souvenirs d’enfance et de jeunesse</w:t>
      </w:r>
      <w:r w:rsidRPr="0082625F">
        <w:rPr>
          <w:lang w:val="fr-FR"/>
        </w:rPr>
        <w:t>, of 1883, emphasizes Brittany’s isolation and difference: ‘Une ville tout ecclésiastique, étrangère au commerce, à l’industrie, un vaste monastère où nul bruit du dehors ne pénétrait’</w:t>
      </w:r>
      <w:r w:rsidR="0047042B">
        <w:rPr>
          <w:lang w:val="fr-FR"/>
        </w:rPr>
        <w:t xml:space="preserve"> [a totally ecclesiastic town, </w:t>
      </w:r>
      <w:r w:rsidR="00B218E5">
        <w:rPr>
          <w:lang w:val="fr-FR"/>
        </w:rPr>
        <w:t xml:space="preserve">unknown to commerce or industry, a vaste monastery where no sound from the outside penetrated] </w:t>
      </w:r>
      <w:r w:rsidRPr="0082625F">
        <w:rPr>
          <w:lang w:val="fr-FR"/>
        </w:rPr>
        <w:t>.</w:t>
      </w:r>
      <w:r>
        <w:rPr>
          <w:rStyle w:val="FootnoteReference"/>
        </w:rPr>
        <w:footnoteReference w:id="1"/>
      </w:r>
      <w:r w:rsidRPr="0082625F">
        <w:rPr>
          <w:lang w:val="fr-FR"/>
        </w:rPr>
        <w:t xml:space="preserve"> </w:t>
      </w:r>
      <w:r>
        <w:t xml:space="preserve">Just as for Chateaubriand in his </w:t>
      </w:r>
      <w:r>
        <w:rPr>
          <w:i/>
          <w:iCs/>
        </w:rPr>
        <w:t>Mémoires</w:t>
      </w:r>
      <w:r>
        <w:t>, Brittany is a retreat, both protected and a provider of protection. And as it was for the Académie celtique, Brittany for Renan is a useful case study that can teach us about the past, as time had stood still there:</w:t>
      </w:r>
    </w:p>
    <w:p w14:paraId="0F42640A" w14:textId="0CD6C39A" w:rsidR="001558C3" w:rsidRDefault="001558C3" w:rsidP="001558C3">
      <w:pPr>
        <w:pStyle w:val="DisplayQuote"/>
        <w:rPr>
          <w:lang w:val="fr-FR"/>
        </w:rPr>
      </w:pPr>
      <w:r w:rsidRPr="0082625F">
        <w:rPr>
          <w:lang w:val="fr-FR"/>
        </w:rPr>
        <w:t>En Bretagne, avant 1830, le passé le plus reculé vivait encore. Le XIVe, le XVe siècle étaient le monde qu’on avait journellement sous les yeux dans les villes. L’époque de l’émigration galloise (Ve et Vie siècles) était visible dans les campagnes pour un œil exercé.</w:t>
      </w:r>
      <w:r>
        <w:rPr>
          <w:rStyle w:val="FootnoteReference"/>
        </w:rPr>
        <w:footnoteReference w:id="2"/>
      </w:r>
      <w:r w:rsidRPr="0082625F">
        <w:rPr>
          <w:lang w:val="fr-FR"/>
        </w:rPr>
        <w:t xml:space="preserve"> </w:t>
      </w:r>
    </w:p>
    <w:p w14:paraId="261A9B6D" w14:textId="3F9EA66A" w:rsidR="000008D9" w:rsidRPr="000008D9" w:rsidRDefault="000008D9" w:rsidP="003C3571">
      <w:pPr>
        <w:pStyle w:val="BodyText"/>
        <w:ind w:left="454"/>
      </w:pPr>
      <w:r w:rsidRPr="000008D9">
        <w:t>In Brittany, before 1830, the m</w:t>
      </w:r>
      <w:r>
        <w:t xml:space="preserve">ost distant past lived still. The fourteenth and fifteenth centuries were </w:t>
      </w:r>
      <w:r w:rsidR="00485D6A">
        <w:t xml:space="preserve">the world that we had before our eyes every day in the towns. </w:t>
      </w:r>
      <w:r w:rsidR="003C3571">
        <w:t>In the countryside t</w:t>
      </w:r>
      <w:r w:rsidR="00485D6A">
        <w:t xml:space="preserve">he time of </w:t>
      </w:r>
      <w:r w:rsidR="003C3571">
        <w:t xml:space="preserve">the </w:t>
      </w:r>
      <w:r w:rsidR="00485D6A">
        <w:t xml:space="preserve">Welsh emigration (Fifth and Sixth centuries) was </w:t>
      </w:r>
      <w:r w:rsidR="003C3571">
        <w:t>discernible</w:t>
      </w:r>
      <w:r w:rsidR="00485D6A">
        <w:t xml:space="preserve"> to the trained eye</w:t>
      </w:r>
      <w:r w:rsidR="003C3571">
        <w:t>.</w:t>
      </w:r>
      <w:r w:rsidR="00485D6A">
        <w:t xml:space="preserve"> </w:t>
      </w:r>
    </w:p>
    <w:p w14:paraId="010488E9" w14:textId="1A848751" w:rsidR="001558C3" w:rsidRDefault="001558C3" w:rsidP="001558C3">
      <w:r w:rsidRPr="00DD0035">
        <w:t xml:space="preserve">The fusion of nature and psychology is one of the most striking features of the Brittany eulogized in Renan’s ‘La poésie des races celtiques’: ‘Chez les Kymris, au contraire, le principe de la </w:t>
      </w:r>
      <w:r w:rsidRPr="00DD0035">
        <w:rPr>
          <w:i/>
        </w:rPr>
        <w:t>merveille</w:t>
      </w:r>
      <w:r w:rsidRPr="00DD0035">
        <w:t xml:space="preserve"> est dans la nature elle-même, dans ses forces cachées, dans son inépuisable fécondité’</w:t>
      </w:r>
      <w:r w:rsidR="002944ED" w:rsidRPr="00DD0035">
        <w:t>[</w:t>
      </w:r>
      <w:r w:rsidR="00DD0035" w:rsidRPr="00DD0035">
        <w:t>For the Kymris, on the contrary, the principle of the marv</w:t>
      </w:r>
      <w:r w:rsidR="00DD0035">
        <w:t xml:space="preserve">ellous was in nature herself, in her hidden forces, </w:t>
      </w:r>
      <w:r w:rsidR="003D2900">
        <w:t>in her endless fertility]</w:t>
      </w:r>
      <w:r w:rsidRPr="00DD0035">
        <w:t>.</w:t>
      </w:r>
      <w:r>
        <w:rPr>
          <w:rStyle w:val="FootnoteReference"/>
        </w:rPr>
        <w:footnoteReference w:id="3"/>
      </w:r>
      <w:r w:rsidRPr="00DD0035">
        <w:t xml:space="preserve"> </w:t>
      </w:r>
      <w:r>
        <w:t xml:space="preserve">He implies that the Celts are poetic peoples because of this privileged relationship with nature. None of this was new, and the crystallization of these ideas can be seen already in the crucial decade of the 1830s. It was during that decade that </w:t>
      </w:r>
      <w:r>
        <w:rPr>
          <w:bCs/>
          <w:color w:val="000000"/>
        </w:rPr>
        <w:t>the old, negative representation of barbarity and ‘chouannerie’ was replaced by images of innocence and serenity most poignantly represented in the person of a loving young peasant girl such as Marie, also seen a little later in a figure such as Balzac’s Pierrette. Brizeux’s Marie had struck a chord, and her descendants are many, including Balzac’s characters and even Renan’s Celt.</w:t>
      </w:r>
      <w:r>
        <w:t xml:space="preserve"> </w:t>
      </w:r>
    </w:p>
    <w:p w14:paraId="6947F77B" w14:textId="2B0C6C7A" w:rsidR="003E2D41" w:rsidRDefault="003E2D41" w:rsidP="001558C3"/>
    <w:p w14:paraId="1D051A14" w14:textId="143F62A5" w:rsidR="00210BE3" w:rsidRDefault="0067682F">
      <w:r>
        <w:t xml:space="preserve">Renan’s essay </w:t>
      </w:r>
      <w:r w:rsidR="003E1DBB">
        <w:t>is considered</w:t>
      </w:r>
      <w:r>
        <w:t xml:space="preserve"> an important influence</w:t>
      </w:r>
      <w:r w:rsidR="003E1DBB">
        <w:t xml:space="preserve"> on attitudes towards all things Celtic. </w:t>
      </w:r>
    </w:p>
    <w:p w14:paraId="48DCF4B4" w14:textId="2C9C4BBB" w:rsidR="003E2D41" w:rsidRPr="006624AC" w:rsidRDefault="003E2D41" w:rsidP="003E2D41">
      <w:pPr>
        <w:spacing w:line="240" w:lineRule="auto"/>
        <w:rPr>
          <w:sz w:val="24"/>
        </w:rPr>
      </w:pPr>
      <w:r w:rsidRPr="006624AC">
        <w:rPr>
          <w:sz w:val="24"/>
        </w:rPr>
        <w:t>‘Celt’ and its cognates ‘Celtic’ and ‘Celticness’ had become ‘a battleground’ in the 1990s.</w:t>
      </w:r>
      <w:r w:rsidRPr="006624AC">
        <w:rPr>
          <w:rStyle w:val="FootnoteReference"/>
          <w:sz w:val="24"/>
        </w:rPr>
        <w:footnoteReference w:id="4"/>
      </w:r>
      <w:r w:rsidRPr="006624AC">
        <w:rPr>
          <w:sz w:val="24"/>
        </w:rPr>
        <w:t xml:space="preserve"> Malcolm Chapman’s </w:t>
      </w:r>
      <w:r w:rsidRPr="006624AC">
        <w:rPr>
          <w:i/>
          <w:sz w:val="24"/>
        </w:rPr>
        <w:t>The Celts: The Construction of a Myth</w:t>
      </w:r>
      <w:r w:rsidRPr="006624AC">
        <w:rPr>
          <w:sz w:val="24"/>
        </w:rPr>
        <w:t xml:space="preserve"> (1992) was one of first critiques of the idea of ‘The Celts’; going beyond a helpful de-mythologizing of the Celts as a category ‘constructed to serve the interests of a discourse external to them’, Chapman also speaks of an ‘unreliable side to Celtic Studies’, of ‘selective reading and quotation’, and complains of partisan or even militant work in the field.</w:t>
      </w:r>
      <w:r w:rsidRPr="006624AC">
        <w:rPr>
          <w:rStyle w:val="FootnoteReference"/>
          <w:sz w:val="24"/>
        </w:rPr>
        <w:footnoteReference w:id="5"/>
      </w:r>
      <w:r w:rsidRPr="006624AC">
        <w:rPr>
          <w:sz w:val="24"/>
        </w:rPr>
        <w:t xml:space="preserve"> Simon James brought these same doubts to a wider audience in 1999 with his </w:t>
      </w:r>
      <w:r w:rsidRPr="006624AC">
        <w:rPr>
          <w:i/>
          <w:sz w:val="24"/>
        </w:rPr>
        <w:t>The Atlantic Celts: Ancient People or Modern Invention?</w:t>
      </w:r>
      <w:r w:rsidRPr="006624AC">
        <w:rPr>
          <w:sz w:val="24"/>
        </w:rPr>
        <w:t xml:space="preserve"> For him the Ancient Celts ‘appear to have spurious historical roots’, though he accepts that modern Celts are a legitimate category, and traceable to early modern Europe.</w:t>
      </w:r>
      <w:r w:rsidRPr="006624AC">
        <w:rPr>
          <w:rStyle w:val="FootnoteReference"/>
          <w:sz w:val="24"/>
        </w:rPr>
        <w:footnoteReference w:id="6"/>
      </w:r>
      <w:r w:rsidRPr="006624AC">
        <w:rPr>
          <w:sz w:val="24"/>
        </w:rPr>
        <w:t xml:space="preserve"> However, a robust response had already begun from within the discipline of Celtic Studies, in the form of book </w:t>
      </w:r>
      <w:r w:rsidRPr="006624AC">
        <w:rPr>
          <w:sz w:val="24"/>
        </w:rPr>
        <w:lastRenderedPageBreak/>
        <w:t xml:space="preserve">reviews, articles and a key collection of essays </w:t>
      </w:r>
      <w:r w:rsidRPr="006624AC">
        <w:rPr>
          <w:i/>
          <w:sz w:val="24"/>
        </w:rPr>
        <w:t>Celticism</w:t>
      </w:r>
      <w:r w:rsidRPr="006624AC">
        <w:rPr>
          <w:sz w:val="24"/>
        </w:rPr>
        <w:t>.</w:t>
      </w:r>
      <w:r w:rsidRPr="006624AC">
        <w:rPr>
          <w:rStyle w:val="FootnoteReference"/>
          <w:sz w:val="24"/>
        </w:rPr>
        <w:footnoteReference w:id="7"/>
      </w:r>
      <w:r w:rsidRPr="006624AC">
        <w:rPr>
          <w:sz w:val="24"/>
        </w:rPr>
        <w:t xml:space="preserve"> This latter volume developed the idea of a discourse about the Celts that might be considered as a parallel to Orientalism, and contained a key contribution by Sims-Williams that contributed to the deconstruction of the discipline’s roots, but with characteristic erudition and patience, exposing exaggerations and half-truths in the seminal texts of, among others, Ernest Renan and Matthew Arnold.</w:t>
      </w:r>
      <w:r w:rsidRPr="006624AC">
        <w:rPr>
          <w:rStyle w:val="FootnoteReference"/>
          <w:sz w:val="24"/>
        </w:rPr>
        <w:footnoteReference w:id="8"/>
      </w:r>
      <w:r w:rsidRPr="006624AC">
        <w:rPr>
          <w:sz w:val="24"/>
        </w:rPr>
        <w:t xml:space="preserve"> </w:t>
      </w:r>
    </w:p>
    <w:p w14:paraId="5FA4834B" w14:textId="77777777" w:rsidR="003E2D41" w:rsidRPr="006624AC" w:rsidRDefault="003E2D41" w:rsidP="003E2D41">
      <w:pPr>
        <w:spacing w:line="240" w:lineRule="auto"/>
        <w:rPr>
          <w:sz w:val="24"/>
        </w:rPr>
      </w:pPr>
      <w:r w:rsidRPr="006624AC">
        <w:rPr>
          <w:sz w:val="24"/>
        </w:rPr>
        <w:t>Renan’s ‘Celt’ has been summed up by Malcolm Chapman as:</w:t>
      </w:r>
    </w:p>
    <w:p w14:paraId="454DAF49" w14:textId="77777777" w:rsidR="003E2D41" w:rsidRPr="006624AC" w:rsidRDefault="003E2D41" w:rsidP="003E2D41">
      <w:pPr>
        <w:spacing w:line="240" w:lineRule="auto"/>
        <w:ind w:left="720"/>
        <w:rPr>
          <w:sz w:val="24"/>
        </w:rPr>
      </w:pPr>
      <w:r w:rsidRPr="006624AC">
        <w:rPr>
          <w:sz w:val="24"/>
        </w:rPr>
        <w:t xml:space="preserve">A conflation of the domesticity and femininity of Renan’s childhood; of the emotionality that he felt his intellectuality had lost him; all the supposed characteristics of primitive literature, </w:t>
      </w:r>
      <w:r w:rsidRPr="006624AC">
        <w:rPr>
          <w:i/>
          <w:sz w:val="24"/>
        </w:rPr>
        <w:t>naïveté</w:t>
      </w:r>
      <w:r w:rsidRPr="006624AC">
        <w:rPr>
          <w:sz w:val="24"/>
        </w:rPr>
        <w:t>, spontaneity, and simple unaffected truth.</w:t>
      </w:r>
      <w:r w:rsidRPr="006624AC">
        <w:rPr>
          <w:rStyle w:val="FootnoteReference"/>
          <w:sz w:val="24"/>
        </w:rPr>
        <w:footnoteReference w:id="9"/>
      </w:r>
    </w:p>
    <w:p w14:paraId="504A5198" w14:textId="77777777" w:rsidR="003E2D41" w:rsidRPr="006624AC" w:rsidRDefault="003E2D41" w:rsidP="003E2D41">
      <w:pPr>
        <w:pStyle w:val="NormalIndent"/>
        <w:spacing w:line="240" w:lineRule="auto"/>
        <w:ind w:firstLine="0"/>
      </w:pPr>
      <w:r w:rsidRPr="006624AC">
        <w:t>Arnold’s work in embellishing and interpreting Renan has in turn been described as ‘arguably the most influential piece ever written in the field of Celtic studies’.</w:t>
      </w:r>
      <w:r w:rsidRPr="006624AC">
        <w:rPr>
          <w:rStyle w:val="FootnoteReference"/>
        </w:rPr>
        <w:footnoteReference w:id="10"/>
      </w:r>
      <w:r w:rsidRPr="006624AC">
        <w:t xml:space="preserve"> Together these are considered founding texts in the discipline of Celtic Studies, and also to have inaugurated a discourse known as ‘Celticism’, formed by analogy with ‘Orientalism’.</w:t>
      </w:r>
      <w:r w:rsidRPr="006624AC">
        <w:rPr>
          <w:rStyle w:val="FootnoteReference"/>
        </w:rPr>
        <w:footnoteReference w:id="11"/>
      </w:r>
      <w:r w:rsidRPr="006624AC">
        <w:t xml:space="preserve"> Just as ‘Orientalism’ describes a discourse composed of blanket statements about other cultures classed as ‘Oriental’, so ‘Celticism’ is composed of blanket statements made from a particular point of view, about Celts. Of course Renan’s essay did not come out of the blue; rather it is a crystallisation of themes that had been developing since Romanticism, and can be seen as very much the product of its time, representing, as Chapman notes, a </w:t>
      </w:r>
    </w:p>
    <w:p w14:paraId="4E291866" w14:textId="77777777" w:rsidR="003E2D41" w:rsidRPr="006624AC" w:rsidRDefault="003E2D41" w:rsidP="003E2D41">
      <w:pPr>
        <w:spacing w:line="240" w:lineRule="auto"/>
        <w:ind w:left="720"/>
        <w:rPr>
          <w:sz w:val="24"/>
        </w:rPr>
      </w:pPr>
      <w:r w:rsidRPr="006624AC">
        <w:rPr>
          <w:sz w:val="24"/>
        </w:rPr>
        <w:t>meeting point between the high sophistication of comparative philology as developed in Germany, France, and Britain from the initiative of Herder, and the popular perception of a Celtic fringe as an aesthetic survival in the industrial age.</w:t>
      </w:r>
      <w:r w:rsidRPr="006624AC">
        <w:rPr>
          <w:rStyle w:val="FootnoteReference"/>
          <w:sz w:val="24"/>
        </w:rPr>
        <w:footnoteReference w:id="12"/>
      </w:r>
    </w:p>
    <w:p w14:paraId="1999D547" w14:textId="77777777" w:rsidR="003E2D41" w:rsidRPr="006624AC" w:rsidRDefault="003E2D41" w:rsidP="003E2D41">
      <w:pPr>
        <w:spacing w:line="240" w:lineRule="auto"/>
        <w:rPr>
          <w:sz w:val="24"/>
        </w:rPr>
      </w:pPr>
    </w:p>
    <w:p w14:paraId="3D97BE90" w14:textId="77777777" w:rsidR="003E2D41" w:rsidRPr="006624AC" w:rsidRDefault="003E2D41" w:rsidP="003E2D41">
      <w:pPr>
        <w:spacing w:line="240" w:lineRule="auto"/>
        <w:rPr>
          <w:sz w:val="24"/>
        </w:rPr>
      </w:pPr>
      <w:r w:rsidRPr="006624AC">
        <w:rPr>
          <w:sz w:val="24"/>
        </w:rPr>
        <w:t xml:space="preserve">The overwhelming sentiment expressed is one of sadness and melancholia proposed as a context for the Celtic predilection for the spiritual or the otherworldly, or what Arnold famously described as the Celts’ resistance to ‘the despotism of fact’. This was an ostensibly pro-Celtic reaction to the positivist view that the Celtic languages, though noble, were not compatible with modern life and would eventually die. </w:t>
      </w:r>
    </w:p>
    <w:p w14:paraId="017675E1" w14:textId="77777777" w:rsidR="003E2D41" w:rsidRPr="006624AC" w:rsidRDefault="003E2D41" w:rsidP="003E2D41">
      <w:pPr>
        <w:spacing w:line="240" w:lineRule="auto"/>
        <w:rPr>
          <w:sz w:val="24"/>
        </w:rPr>
      </w:pPr>
    </w:p>
    <w:p w14:paraId="56944B84" w14:textId="77777777" w:rsidR="0029116A" w:rsidRDefault="0029116A"/>
    <w:sectPr w:rsidR="0029116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BE3535B" w14:textId="77777777" w:rsidR="001558C3" w:rsidRDefault="001558C3" w:rsidP="001558C3">
      <w:pPr>
        <w:spacing w:line="240" w:lineRule="auto"/>
      </w:pPr>
      <w:r>
        <w:separator/>
      </w:r>
    </w:p>
  </w:endnote>
  <w:endnote w:type="continuationSeparator" w:id="0">
    <w:p w14:paraId="2E0A680D" w14:textId="77777777" w:rsidR="001558C3" w:rsidRDefault="001558C3" w:rsidP="001558C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8EE3574" w14:textId="77777777" w:rsidR="001558C3" w:rsidRDefault="001558C3" w:rsidP="001558C3">
      <w:pPr>
        <w:spacing w:line="240" w:lineRule="auto"/>
      </w:pPr>
      <w:r>
        <w:separator/>
      </w:r>
    </w:p>
  </w:footnote>
  <w:footnote w:type="continuationSeparator" w:id="0">
    <w:p w14:paraId="53150E06" w14:textId="77777777" w:rsidR="001558C3" w:rsidRDefault="001558C3" w:rsidP="001558C3">
      <w:pPr>
        <w:spacing w:line="240" w:lineRule="auto"/>
      </w:pPr>
      <w:r>
        <w:continuationSeparator/>
      </w:r>
    </w:p>
  </w:footnote>
  <w:footnote w:id="1">
    <w:p w14:paraId="2AA03B3D" w14:textId="77777777" w:rsidR="001558C3" w:rsidRPr="0082625F" w:rsidRDefault="001558C3" w:rsidP="001558C3">
      <w:pPr>
        <w:pStyle w:val="FootnoteText"/>
        <w:rPr>
          <w:lang w:val="fr-FR"/>
        </w:rPr>
      </w:pPr>
      <w:r>
        <w:rPr>
          <w:rStyle w:val="FootnoteReference"/>
        </w:rPr>
        <w:footnoteRef/>
      </w:r>
      <w:r w:rsidRPr="0082625F">
        <w:rPr>
          <w:lang w:val="fr-FR"/>
        </w:rPr>
        <w:t xml:space="preserve"> </w:t>
      </w:r>
      <w:r w:rsidRPr="0082625F">
        <w:rPr>
          <w:lang w:val="fr-FR"/>
        </w:rPr>
        <w:tab/>
        <w:t xml:space="preserve">Renan, </w:t>
      </w:r>
      <w:r w:rsidRPr="0082625F">
        <w:rPr>
          <w:i/>
          <w:iCs/>
          <w:lang w:val="fr-FR"/>
        </w:rPr>
        <w:t>Souvenirs d’enfance et de jeunesse</w:t>
      </w:r>
      <w:r w:rsidRPr="0082625F">
        <w:rPr>
          <w:lang w:val="fr-FR"/>
        </w:rPr>
        <w:t>, ed. by Jean Balcou (Paris: Presses Pocket, 1992), p.50.</w:t>
      </w:r>
    </w:p>
  </w:footnote>
  <w:footnote w:id="2">
    <w:p w14:paraId="600D4F83" w14:textId="77777777" w:rsidR="001558C3" w:rsidRPr="0082625F" w:rsidRDefault="001558C3" w:rsidP="001558C3">
      <w:pPr>
        <w:pStyle w:val="FootnoteText"/>
        <w:rPr>
          <w:lang w:val="fr-FR"/>
        </w:rPr>
      </w:pPr>
      <w:r>
        <w:rPr>
          <w:rStyle w:val="FootnoteReference"/>
        </w:rPr>
        <w:footnoteRef/>
      </w:r>
      <w:r w:rsidRPr="0082625F">
        <w:rPr>
          <w:lang w:val="fr-FR"/>
        </w:rPr>
        <w:t xml:space="preserve"> </w:t>
      </w:r>
      <w:r w:rsidRPr="0082625F">
        <w:rPr>
          <w:lang w:val="fr-FR"/>
        </w:rPr>
        <w:tab/>
        <w:t>Ibid., pp.89–90.</w:t>
      </w:r>
    </w:p>
  </w:footnote>
  <w:footnote w:id="3">
    <w:p w14:paraId="79B04D8F" w14:textId="77777777" w:rsidR="001558C3" w:rsidRPr="0082625F" w:rsidRDefault="001558C3" w:rsidP="001558C3">
      <w:pPr>
        <w:pStyle w:val="FootnoteText"/>
        <w:rPr>
          <w:lang w:val="fr-FR"/>
        </w:rPr>
      </w:pPr>
      <w:r>
        <w:rPr>
          <w:rStyle w:val="FootnoteReference"/>
        </w:rPr>
        <w:footnoteRef/>
      </w:r>
      <w:r w:rsidRPr="0082625F">
        <w:rPr>
          <w:lang w:val="fr-FR"/>
        </w:rPr>
        <w:t xml:space="preserve"> </w:t>
      </w:r>
      <w:r w:rsidRPr="0082625F">
        <w:rPr>
          <w:lang w:val="fr-FR"/>
        </w:rPr>
        <w:tab/>
        <w:t xml:space="preserve">Renan, ‘La Poésie des races celtiques’, in </w:t>
      </w:r>
      <w:r w:rsidRPr="0082625F">
        <w:rPr>
          <w:i/>
          <w:iCs/>
          <w:lang w:val="fr-FR"/>
        </w:rPr>
        <w:t>Essais de morale et de critique</w:t>
      </w:r>
      <w:r w:rsidRPr="0082625F">
        <w:rPr>
          <w:lang w:val="fr-FR"/>
        </w:rPr>
        <w:t xml:space="preserve"> (Paris: Calmann-Lévy, 1928), pp.375–456 (415).</w:t>
      </w:r>
    </w:p>
  </w:footnote>
  <w:footnote w:id="4">
    <w:p w14:paraId="3894EADE" w14:textId="77777777" w:rsidR="003E2D41" w:rsidRPr="006624AC" w:rsidRDefault="003E2D41" w:rsidP="003E2D41">
      <w:pPr>
        <w:pStyle w:val="FootnoteText"/>
      </w:pPr>
      <w:r w:rsidRPr="006624AC">
        <w:rPr>
          <w:rStyle w:val="FootnoteReference"/>
        </w:rPr>
        <w:footnoteRef/>
      </w:r>
      <w:r w:rsidRPr="006624AC">
        <w:t xml:space="preserve"> This is the opening claim of Patrick Sims-Williams’s inaugural lecture as Professor of Celtic at Aberystwyth, published as Patrick Sims-Williams, ‘Celtomania and Celtoscepticism’, </w:t>
      </w:r>
      <w:r w:rsidRPr="006624AC">
        <w:rPr>
          <w:i/>
        </w:rPr>
        <w:t>Cambrian Medieval Celtic Studies</w:t>
      </w:r>
      <w:r w:rsidRPr="006624AC">
        <w:t xml:space="preserve">, 36 (1998), 1-34 (1).  </w:t>
      </w:r>
    </w:p>
  </w:footnote>
  <w:footnote w:id="5">
    <w:p w14:paraId="44030DFB" w14:textId="77777777" w:rsidR="003E2D41" w:rsidRPr="006624AC" w:rsidRDefault="003E2D41" w:rsidP="003E2D41">
      <w:pPr>
        <w:pStyle w:val="FootnoteText"/>
      </w:pPr>
      <w:r w:rsidRPr="006624AC">
        <w:rPr>
          <w:rStyle w:val="FootnoteReference"/>
        </w:rPr>
        <w:footnoteRef/>
      </w:r>
      <w:r w:rsidRPr="006624AC">
        <w:t xml:space="preserve"> (London: Macmillan, 1992), pp. 260, 235.</w:t>
      </w:r>
    </w:p>
  </w:footnote>
  <w:footnote w:id="6">
    <w:p w14:paraId="443C387D" w14:textId="77777777" w:rsidR="003E2D41" w:rsidRPr="006624AC" w:rsidRDefault="003E2D41" w:rsidP="003E2D41">
      <w:pPr>
        <w:pStyle w:val="FootnoteText"/>
      </w:pPr>
      <w:r w:rsidRPr="006624AC">
        <w:rPr>
          <w:rStyle w:val="FootnoteReference"/>
        </w:rPr>
        <w:footnoteRef/>
      </w:r>
      <w:r w:rsidRPr="006624AC">
        <w:t xml:space="preserve"> </w:t>
      </w:r>
      <w:r w:rsidRPr="006624AC">
        <w:rPr>
          <w:i/>
        </w:rPr>
        <w:t>The Atlantic Celts</w:t>
      </w:r>
      <w:r w:rsidRPr="006624AC">
        <w:t xml:space="preserve">, p. 137.  </w:t>
      </w:r>
    </w:p>
  </w:footnote>
  <w:footnote w:id="7">
    <w:p w14:paraId="554FF93D" w14:textId="77777777" w:rsidR="003E2D41" w:rsidRPr="006624AC" w:rsidRDefault="003E2D41" w:rsidP="003E2D41">
      <w:pPr>
        <w:pStyle w:val="FootnoteText"/>
      </w:pPr>
      <w:r w:rsidRPr="006624AC">
        <w:rPr>
          <w:rStyle w:val="FootnoteReference"/>
        </w:rPr>
        <w:footnoteRef/>
      </w:r>
      <w:r w:rsidRPr="006624AC">
        <w:t xml:space="preserve"> For instance D. Ellis Evans, answering the recent wave of criticism of the discipline describes Chapman’s work as ‘limited and unsatisfactory’, if ‘ambitious’ and ‘stimulating’, in ‘Celticity, Celtic awareness and Celtic Studies’, </w:t>
      </w:r>
      <w:r w:rsidRPr="006624AC">
        <w:rPr>
          <w:i/>
        </w:rPr>
        <w:t>Zeitschrift für celtische Philologie</w:t>
      </w:r>
      <w:r w:rsidRPr="006624AC">
        <w:t xml:space="preserve"> 49-50 (1997), 1-27 (4). And Patrick Sims-Williams reviewed Simon James in ‘How are you finding it here?’, </w:t>
      </w:r>
      <w:r w:rsidRPr="006624AC">
        <w:rPr>
          <w:i/>
        </w:rPr>
        <w:t>London Review of Books</w:t>
      </w:r>
      <w:r w:rsidRPr="006624AC">
        <w:t xml:space="preserve">, 28 October, 1999, pp. 30-31. An overview of the debate is available in Amy Hale and Philip Payton, ‘Introduction’, </w:t>
      </w:r>
      <w:r w:rsidRPr="006624AC">
        <w:rPr>
          <w:i/>
        </w:rPr>
        <w:t>New Directions in Celtic Studies</w:t>
      </w:r>
      <w:r w:rsidRPr="006624AC">
        <w:t>, ed. Amy Hale and Philip Paynton (Exeter: University of Exeter Press, 2000), pp. 1-14.</w:t>
      </w:r>
    </w:p>
  </w:footnote>
  <w:footnote w:id="8">
    <w:p w14:paraId="78196D3A" w14:textId="77777777" w:rsidR="003E2D41" w:rsidRPr="006624AC" w:rsidRDefault="003E2D41" w:rsidP="003E2D41">
      <w:pPr>
        <w:pStyle w:val="FootnoteText"/>
      </w:pPr>
      <w:r w:rsidRPr="006624AC">
        <w:rPr>
          <w:rStyle w:val="FootnoteReference"/>
        </w:rPr>
        <w:footnoteRef/>
      </w:r>
      <w:r w:rsidRPr="006624AC">
        <w:t xml:space="preserve"> Patrick Sims-Williams, ‘The invention of Celtic nature poetry’, in </w:t>
      </w:r>
      <w:r w:rsidRPr="006624AC">
        <w:rPr>
          <w:i/>
        </w:rPr>
        <w:t>Celticism</w:t>
      </w:r>
      <w:r w:rsidRPr="006624AC">
        <w:t xml:space="preserve">, ed. Terence Brown (Amsterdam: Rodopi, 1996), pp. 97-124. See also his ‘The Visonary Celt: The construction of an ethnic preconception’, </w:t>
      </w:r>
      <w:r w:rsidRPr="006624AC">
        <w:rPr>
          <w:i/>
        </w:rPr>
        <w:t>Cambrian Medieval Celtic Studies</w:t>
      </w:r>
      <w:r w:rsidRPr="006624AC">
        <w:t xml:space="preserve"> 11 (1986), 71-96.</w:t>
      </w:r>
    </w:p>
  </w:footnote>
  <w:footnote w:id="9">
    <w:p w14:paraId="028042A2" w14:textId="77777777" w:rsidR="003E2D41" w:rsidRPr="006624AC" w:rsidRDefault="003E2D41" w:rsidP="003E2D41">
      <w:pPr>
        <w:pStyle w:val="FootnoteText"/>
      </w:pPr>
      <w:r w:rsidRPr="006624AC">
        <w:rPr>
          <w:rStyle w:val="FootnoteReference"/>
        </w:rPr>
        <w:footnoteRef/>
      </w:r>
      <w:r w:rsidRPr="006624AC">
        <w:t xml:space="preserve"> Malcolm Chapman, </w:t>
      </w:r>
      <w:r w:rsidRPr="006624AC">
        <w:rPr>
          <w:i/>
          <w:iCs/>
        </w:rPr>
        <w:t>The Gaelic Vision in Scottish Culture</w:t>
      </w:r>
      <w:r w:rsidRPr="006624AC">
        <w:t xml:space="preserve"> (London: Croom Helm, 1978), p. 84.</w:t>
      </w:r>
    </w:p>
  </w:footnote>
  <w:footnote w:id="10">
    <w:p w14:paraId="0D88FE5F" w14:textId="77777777" w:rsidR="003E2D41" w:rsidRPr="006624AC" w:rsidRDefault="003E2D41" w:rsidP="003E2D41">
      <w:pPr>
        <w:pStyle w:val="FootnoteText"/>
      </w:pPr>
      <w:r w:rsidRPr="006624AC">
        <w:rPr>
          <w:rStyle w:val="FootnoteReference"/>
        </w:rPr>
        <w:footnoteRef/>
      </w:r>
      <w:r w:rsidRPr="006624AC">
        <w:rPr>
          <w:i/>
        </w:rPr>
        <w:t xml:space="preserve"> The Celts: The Construction of a Myth</w:t>
      </w:r>
      <w:r w:rsidRPr="006624AC">
        <w:t xml:space="preserve"> (London: Macmillan, 1992), p. 215. For a recent discussion of Arnold’s text see Daniel Williams, </w:t>
      </w:r>
      <w:r w:rsidRPr="006624AC">
        <w:rPr>
          <w:i/>
        </w:rPr>
        <w:t>Wales Unchained: Literature, Politics and Identity in the American Century</w:t>
      </w:r>
      <w:r w:rsidRPr="006624AC">
        <w:t xml:space="preserve"> (Cardiff: University of Wales Press, 2015), esp. p. 53; as well as his earlier ‘Pan-Celticism and the limits of post-colonialism: W. B. Yeats, Ernest Rhys and Williams Sharp in the 1890s’, in </w:t>
      </w:r>
      <w:r w:rsidRPr="006624AC">
        <w:rPr>
          <w:i/>
        </w:rPr>
        <w:t>Nations and Relations: Writing Across the British Isles</w:t>
      </w:r>
      <w:r w:rsidRPr="006624AC">
        <w:t>, ed. Tony Brown and Russell Stephens (Cardiff: New Welsh Review, 2000), pp. 1-29.</w:t>
      </w:r>
    </w:p>
  </w:footnote>
  <w:footnote w:id="11">
    <w:p w14:paraId="5B933ADC" w14:textId="77777777" w:rsidR="003E2D41" w:rsidRPr="006624AC" w:rsidRDefault="003E2D41" w:rsidP="003E2D41">
      <w:pPr>
        <w:pStyle w:val="FootnoteText"/>
      </w:pPr>
      <w:r w:rsidRPr="006624AC">
        <w:rPr>
          <w:rStyle w:val="FootnoteReference"/>
        </w:rPr>
        <w:footnoteRef/>
      </w:r>
      <w:r w:rsidRPr="006624AC">
        <w:t xml:space="preserve"> Edward W., </w:t>
      </w:r>
      <w:r w:rsidRPr="006624AC">
        <w:rPr>
          <w:i/>
        </w:rPr>
        <w:t>Orientalism</w:t>
      </w:r>
      <w:r w:rsidRPr="006624AC">
        <w:t xml:space="preserve"> (London: Penguin, 1995), first publ. 1978. W.J. Mc Cormack was the first to del</w:t>
      </w:r>
      <w:r w:rsidRPr="006624AC">
        <w:softHyphen/>
        <w:t xml:space="preserve">iberately model ‘Celticism’ on ‘Orientalism’ in order to describe the discourse inaugurated by Renan and Arnold in his </w:t>
      </w:r>
      <w:r w:rsidRPr="006624AC">
        <w:rPr>
          <w:i/>
          <w:iCs/>
        </w:rPr>
        <w:t>Ascendancy and Tradition in Anglo-Irish Literary History from 1789–1939</w:t>
      </w:r>
      <w:r w:rsidRPr="006624AC">
        <w:t xml:space="preserve"> (Oxford: Clarendon Press, 1985); see especially p. 220. For a sustained discussion of the term see Terence Brown (ed.), </w:t>
      </w:r>
      <w:r w:rsidRPr="006624AC">
        <w:rPr>
          <w:i/>
        </w:rPr>
        <w:t>Celticism</w:t>
      </w:r>
      <w:r w:rsidRPr="006624AC">
        <w:t xml:space="preserve"> (Amsterdam: Rodopi, 1996) and the chapter ‘Oriental Brittany’ in Sharif Gemie, </w:t>
      </w:r>
      <w:r w:rsidRPr="006624AC">
        <w:rPr>
          <w:i/>
        </w:rPr>
        <w:t>Brittany: The Invisible Nation: 1750-1950</w:t>
      </w:r>
      <w:r w:rsidRPr="006624AC">
        <w:t xml:space="preserve"> (Cardiff: University of Wales Press, 2007).</w:t>
      </w:r>
    </w:p>
  </w:footnote>
  <w:footnote w:id="12">
    <w:p w14:paraId="3A45EB2E" w14:textId="77777777" w:rsidR="003E2D41" w:rsidRPr="006624AC" w:rsidRDefault="003E2D41" w:rsidP="003E2D41">
      <w:pPr>
        <w:pStyle w:val="FootnoteText"/>
      </w:pPr>
      <w:r w:rsidRPr="006624AC">
        <w:rPr>
          <w:rStyle w:val="FootnoteReference"/>
        </w:rPr>
        <w:footnoteRef/>
      </w:r>
      <w:r w:rsidRPr="006624AC">
        <w:t xml:space="preserve"> Malcolm Chapman, </w:t>
      </w:r>
      <w:r w:rsidRPr="006624AC">
        <w:rPr>
          <w:i/>
          <w:iCs/>
        </w:rPr>
        <w:t>The Gaelic Vision</w:t>
      </w:r>
      <w:r w:rsidRPr="006624AC">
        <w:t>, p. 224.</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558C3"/>
    <w:rsid w:val="000008D9"/>
    <w:rsid w:val="001558C3"/>
    <w:rsid w:val="00210BE3"/>
    <w:rsid w:val="0029116A"/>
    <w:rsid w:val="002944ED"/>
    <w:rsid w:val="003C3571"/>
    <w:rsid w:val="003D2900"/>
    <w:rsid w:val="003E1DBB"/>
    <w:rsid w:val="003E2D41"/>
    <w:rsid w:val="0047042B"/>
    <w:rsid w:val="00485D6A"/>
    <w:rsid w:val="0067682F"/>
    <w:rsid w:val="00B218E5"/>
    <w:rsid w:val="00DD003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3C47FE"/>
  <w15:chartTrackingRefBased/>
  <w15:docId w15:val="{152BA160-6F5D-4FE3-B044-4060A2F413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iPriority="0"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558C3"/>
    <w:pPr>
      <w:spacing w:after="0" w:line="260" w:lineRule="exact"/>
      <w:jc w:val="both"/>
    </w:pPr>
    <w:rPr>
      <w:rFonts w:ascii="Times New Roman" w:eastAsia="Times New Roman" w:hAnsi="Times New Roman" w:cs="Times New Roman"/>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FootnoteReference">
    <w:name w:val="footnote reference"/>
    <w:basedOn w:val="DefaultParagraphFont"/>
    <w:uiPriority w:val="99"/>
    <w:semiHidden/>
    <w:rsid w:val="001558C3"/>
    <w:rPr>
      <w:vertAlign w:val="superscript"/>
    </w:rPr>
  </w:style>
  <w:style w:type="paragraph" w:styleId="FootnoteText">
    <w:name w:val="footnote text"/>
    <w:basedOn w:val="Normal"/>
    <w:link w:val="FootnoteTextChar"/>
    <w:uiPriority w:val="99"/>
    <w:rsid w:val="001558C3"/>
    <w:pPr>
      <w:tabs>
        <w:tab w:val="left" w:pos="454"/>
      </w:tabs>
      <w:overflowPunct w:val="0"/>
      <w:autoSpaceDE w:val="0"/>
      <w:autoSpaceDN w:val="0"/>
      <w:adjustRightInd w:val="0"/>
      <w:spacing w:line="220" w:lineRule="exact"/>
      <w:ind w:left="454" w:hanging="454"/>
      <w:textAlignment w:val="baseline"/>
    </w:pPr>
    <w:rPr>
      <w:sz w:val="18"/>
      <w:szCs w:val="20"/>
    </w:rPr>
  </w:style>
  <w:style w:type="character" w:customStyle="1" w:styleId="FootnoteTextChar">
    <w:name w:val="Footnote Text Char"/>
    <w:basedOn w:val="DefaultParagraphFont"/>
    <w:link w:val="FootnoteText"/>
    <w:uiPriority w:val="99"/>
    <w:rsid w:val="001558C3"/>
    <w:rPr>
      <w:rFonts w:ascii="Times New Roman" w:eastAsia="Times New Roman" w:hAnsi="Times New Roman" w:cs="Times New Roman"/>
      <w:sz w:val="18"/>
      <w:szCs w:val="20"/>
    </w:rPr>
  </w:style>
  <w:style w:type="paragraph" w:styleId="NormalIndent">
    <w:name w:val="Normal Indent"/>
    <w:basedOn w:val="Normal"/>
    <w:rsid w:val="001558C3"/>
    <w:pPr>
      <w:ind w:firstLine="454"/>
    </w:pPr>
  </w:style>
  <w:style w:type="paragraph" w:customStyle="1" w:styleId="DisplayQuote">
    <w:name w:val="Display Quote"/>
    <w:basedOn w:val="BodyTextIndent"/>
    <w:next w:val="BodyText"/>
    <w:rsid w:val="001558C3"/>
    <w:pPr>
      <w:spacing w:before="220" w:after="220" w:line="220" w:lineRule="exact"/>
      <w:ind w:left="454"/>
    </w:pPr>
    <w:rPr>
      <w:sz w:val="18"/>
    </w:rPr>
  </w:style>
  <w:style w:type="paragraph" w:styleId="BodyTextIndent">
    <w:name w:val="Body Text Indent"/>
    <w:basedOn w:val="Normal"/>
    <w:link w:val="BodyTextIndentChar"/>
    <w:uiPriority w:val="99"/>
    <w:semiHidden/>
    <w:unhideWhenUsed/>
    <w:rsid w:val="001558C3"/>
    <w:pPr>
      <w:spacing w:after="120"/>
      <w:ind w:left="283"/>
    </w:pPr>
  </w:style>
  <w:style w:type="character" w:customStyle="1" w:styleId="BodyTextIndentChar">
    <w:name w:val="Body Text Indent Char"/>
    <w:basedOn w:val="DefaultParagraphFont"/>
    <w:link w:val="BodyTextIndent"/>
    <w:uiPriority w:val="99"/>
    <w:semiHidden/>
    <w:rsid w:val="001558C3"/>
    <w:rPr>
      <w:rFonts w:ascii="Times New Roman" w:eastAsia="Times New Roman" w:hAnsi="Times New Roman" w:cs="Times New Roman"/>
      <w:szCs w:val="24"/>
    </w:rPr>
  </w:style>
  <w:style w:type="paragraph" w:styleId="BodyText">
    <w:name w:val="Body Text"/>
    <w:basedOn w:val="Normal"/>
    <w:link w:val="BodyTextChar"/>
    <w:uiPriority w:val="99"/>
    <w:semiHidden/>
    <w:unhideWhenUsed/>
    <w:rsid w:val="001558C3"/>
    <w:pPr>
      <w:spacing w:after="120"/>
    </w:pPr>
  </w:style>
  <w:style w:type="character" w:customStyle="1" w:styleId="BodyTextChar">
    <w:name w:val="Body Text Char"/>
    <w:basedOn w:val="DefaultParagraphFont"/>
    <w:link w:val="BodyText"/>
    <w:uiPriority w:val="99"/>
    <w:semiHidden/>
    <w:rsid w:val="001558C3"/>
    <w:rPr>
      <w:rFonts w:ascii="Times New Roman" w:eastAsia="Times New Roman" w:hAnsi="Times New Roman" w:cs="Times New Roman"/>
      <w:szCs w:val="24"/>
    </w:rPr>
  </w:style>
  <w:style w:type="paragraph" w:styleId="BalloonText">
    <w:name w:val="Balloon Text"/>
    <w:basedOn w:val="Normal"/>
    <w:link w:val="BalloonTextChar"/>
    <w:uiPriority w:val="99"/>
    <w:semiHidden/>
    <w:unhideWhenUsed/>
    <w:rsid w:val="003E2D41"/>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E2D41"/>
    <w:rPr>
      <w:rFonts w:ascii="Segoe UI" w:eastAsia="Times New Roman"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TotalTime>
  <Pages>2</Pages>
  <Words>874</Words>
  <Characters>4988</Characters>
  <Application>Microsoft Office Word</Application>
  <DocSecurity>0</DocSecurity>
  <Lines>41</Lines>
  <Paragraphs>11</Paragraphs>
  <ScaleCrop>false</ScaleCrop>
  <Company/>
  <LinksUpToDate>false</LinksUpToDate>
  <CharactersWithSpaces>5851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Nicholas Shilton</dc:creator>
  <cp:keywords/>
  <dc:description/>
  <cp:lastModifiedBy>Nicholas Shilton</cp:lastModifiedBy>
  <cp:revision>13</cp:revision>
  <dcterms:created xsi:type="dcterms:W3CDTF">2020-09-25T13:56:00Z</dcterms:created>
  <dcterms:modified xsi:type="dcterms:W3CDTF">2020-09-25T14:10:00Z</dcterms:modified>
</cp:coreProperties>
</file>