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ED95E" w14:textId="577F27F7" w:rsidR="006D48E8" w:rsidRPr="00F61D60" w:rsidRDefault="006D48E8" w:rsidP="00CA67C5">
      <w:pPr>
        <w:pStyle w:val="Header"/>
        <w:spacing w:line="360" w:lineRule="auto"/>
        <w:jc w:val="center"/>
        <w:rPr>
          <w:rFonts w:ascii="Arial" w:hAnsi="Arial" w:cs="Arial"/>
          <w:sz w:val="24"/>
          <w:szCs w:val="24"/>
        </w:rPr>
      </w:pPr>
      <w:r w:rsidRPr="00F61D60">
        <w:rPr>
          <w:rFonts w:ascii="Arial" w:hAnsi="Arial" w:cs="Arial"/>
          <w:sz w:val="24"/>
          <w:szCs w:val="24"/>
          <w:u w:val="single"/>
        </w:rPr>
        <w:t>Catalytic Leadership – Rights, Resilience and Social Change</w:t>
      </w:r>
    </w:p>
    <w:p w14:paraId="37623C68" w14:textId="442D160F" w:rsidR="00171FD9" w:rsidRPr="00F61D60" w:rsidRDefault="00171FD9" w:rsidP="00CA67C5">
      <w:pPr>
        <w:spacing w:line="360" w:lineRule="auto"/>
        <w:jc w:val="both"/>
        <w:rPr>
          <w:rFonts w:ascii="Arial" w:hAnsi="Arial" w:cs="Arial"/>
          <w:sz w:val="24"/>
          <w:szCs w:val="24"/>
        </w:rPr>
      </w:pPr>
    </w:p>
    <w:p w14:paraId="37E10496" w14:textId="7D15E221" w:rsidR="00CA67C5" w:rsidRPr="00382BF5" w:rsidRDefault="00CA67C5" w:rsidP="00CA67C5">
      <w:pPr>
        <w:pStyle w:val="paragraph"/>
        <w:spacing w:before="0" w:beforeAutospacing="0" w:after="0" w:afterAutospacing="0" w:line="360" w:lineRule="auto"/>
        <w:jc w:val="both"/>
        <w:textAlignment w:val="baseline"/>
        <w:rPr>
          <w:rFonts w:ascii="Arial" w:hAnsi="Arial" w:cs="Arial"/>
          <w:b/>
          <w:bCs/>
        </w:rPr>
      </w:pPr>
      <w:r w:rsidRPr="00382BF5">
        <w:rPr>
          <w:rStyle w:val="normaltextrun"/>
          <w:rFonts w:ascii="Arial" w:hAnsi="Arial" w:cs="Arial"/>
          <w:b/>
          <w:bCs/>
          <w:color w:val="000000"/>
          <w:u w:val="single"/>
        </w:rPr>
        <w:t>Section</w:t>
      </w:r>
      <w:r w:rsidRPr="00382BF5">
        <w:rPr>
          <w:rStyle w:val="normaltextrun"/>
          <w:rFonts w:ascii="Arial" w:hAnsi="Arial" w:cs="Arial"/>
          <w:b/>
          <w:bCs/>
          <w:color w:val="000000"/>
          <w:u w:val="single"/>
        </w:rPr>
        <w:t xml:space="preserve"> 1</w:t>
      </w:r>
      <w:r w:rsidRPr="00382BF5">
        <w:rPr>
          <w:rStyle w:val="eop"/>
          <w:rFonts w:ascii="Arial" w:hAnsi="Arial" w:cs="Arial"/>
          <w:b/>
          <w:bCs/>
          <w:color w:val="000000"/>
        </w:rPr>
        <w:t> </w:t>
      </w:r>
    </w:p>
    <w:p w14:paraId="0B0DBDEB" w14:textId="6E54629E"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r w:rsidRPr="00F61D60">
        <w:rPr>
          <w:rStyle w:val="eop"/>
          <w:rFonts w:ascii="Arial" w:hAnsi="Arial" w:cs="Arial"/>
          <w:color w:val="000000"/>
        </w:rPr>
        <w:t> </w:t>
      </w:r>
    </w:p>
    <w:p w14:paraId="293B96EC" w14:textId="7C21683A"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There is no doubt that young children attending early years settings are subject to several sociological issues. As a result, it is vital that practitioners are equipped to meet the demands caused by these issues, and leadership plays a huge part in this. There are several different leadership styles, and all have advantages and disadvantages. For example, authoritative leadership is when the leader adopts a come-with-me approach, maximising commitment whilst setting a vision (Hunt and Fitzgerald, 2018, p.88).  This approach has an incredibly strong and positive approach on an organisations climate. Another leadership style is the pacesetting approach, in which the leader sets extremely high-performance standards which works well for some staff but leaves others overwhelmed, exploited, and stressed (Hunt and Fitzgerald, 2018, p.88)</w:t>
      </w:r>
      <w:r w:rsidRPr="00F61D60">
        <w:rPr>
          <w:rStyle w:val="eop"/>
          <w:rFonts w:ascii="Arial" w:hAnsi="Arial" w:cs="Arial"/>
        </w:rPr>
        <w:t>.</w:t>
      </w:r>
    </w:p>
    <w:p w14:paraId="28A863EB"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6E199833" w14:textId="5F0E091C"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On the other hand, catalytic leadership is different from these examples as it heavily involves facilitation, and is directed with the aim of groups setting, revising, and implementing their own plans. According to Weber and Thomas (2010, pp. 107), fundamental to the catalytic leadership model is the view that the value of leadership comes from the people that the catalytic leader empowers with the right opportunities for interaction with each other. This means catalytic leaders must maintain the inclusion of others in decision making processes thus creating a positive cycle making team members feel valued and motivated. In contrast to the styles mentioned above, catalytic leadership does not come from above, but comes from everywhere (Reed and Canning, 2012).</w:t>
      </w:r>
      <w:r w:rsidRPr="00F61D60">
        <w:rPr>
          <w:rStyle w:val="eop"/>
          <w:rFonts w:ascii="Arial" w:hAnsi="Arial" w:cs="Arial"/>
        </w:rPr>
        <w:t> </w:t>
      </w:r>
    </w:p>
    <w:p w14:paraId="38804FBD"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66F0CCC5" w14:textId="2D7FD3F6"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According to Toomer et al (2018, p. 4) the word catalyst has roots in two sciences, physical and social. In physical science a catalyst is something that causes a chemical transformation to occur quicker, whilst socially it is used to mean something that accelerates action towards a goal. The author goes on to state that by blending these definitions, you get the crux of catalytic leadership and teamwork, meaning that it acts as an acceleration towards something better. </w:t>
      </w:r>
      <w:r w:rsidRPr="00F61D60">
        <w:rPr>
          <w:rStyle w:val="eop"/>
          <w:rFonts w:ascii="Arial" w:hAnsi="Arial" w:cs="Arial"/>
        </w:rPr>
        <w:t> </w:t>
      </w:r>
    </w:p>
    <w:p w14:paraId="1BF35717"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3EEC7F4D" w14:textId="6BE4B75F"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Therefore, it can be concluded that catalytic leadership is leadership that is inclusive of team members, and the effect it has can be seen quickly. In addition to this, Joiner (2018) states that catalytic leadership has many traits, describing it as leadership that empowers individuals, contains continuous reflection and a desire to learn from diverse viewpoints alongside proactive engagement that increases the quality of decisions. This shared style of leadership is suited for many fields, but literature suggests that catalytic leadership is incredibly suited for early years practice due to it being leadership that stems from working in teams, something vital for the effectiveness of early years settings (Sims </w:t>
      </w:r>
      <w:r w:rsidRPr="00F61D60">
        <w:rPr>
          <w:rStyle w:val="normaltextrun"/>
          <w:rFonts w:ascii="Arial" w:hAnsi="Arial" w:cs="Arial"/>
          <w:i/>
          <w:iCs/>
        </w:rPr>
        <w:t>et al</w:t>
      </w:r>
      <w:r w:rsidRPr="00F61D60">
        <w:rPr>
          <w:rStyle w:val="normaltextrun"/>
          <w:rFonts w:ascii="Arial" w:hAnsi="Arial" w:cs="Arial"/>
        </w:rPr>
        <w:t>, 2015, p. 153)</w:t>
      </w:r>
      <w:r w:rsidRPr="00F61D60">
        <w:rPr>
          <w:rStyle w:val="eop"/>
          <w:rFonts w:ascii="Arial" w:hAnsi="Arial" w:cs="Arial"/>
        </w:rPr>
        <w:t>.</w:t>
      </w:r>
    </w:p>
    <w:p w14:paraId="405B9EEA"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11DC8FBB" w14:textId="15EC43F6"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Leadership in the early years is a subject often under-theorised and under-conceptualised, not least because many teachers and other sector workers hesitate to view themselves as leaders (Cooper, 2014, p. 85). According to Cooper (2014, p. 8), as images of leadership in the community are often business dominated, it poses a challenge to leaders of early years setting. This is due to business leadership models used in education leading to tight regulations, highly prescriptive curriculums and an overall school coherence that relies on control over people than commitment from problem. However, as stated by Cooper (2014, p. 8), the nature in early years education tend to be collaborative and community based. This shows the need for a more catalytic style of leadership in early years settings that uses the collaborative nature to help produce the best results. </w:t>
      </w:r>
      <w:r w:rsidRPr="00F61D60">
        <w:rPr>
          <w:rStyle w:val="eop"/>
          <w:rFonts w:ascii="Arial" w:hAnsi="Arial" w:cs="Arial"/>
        </w:rPr>
        <w:t> </w:t>
      </w:r>
    </w:p>
    <w:p w14:paraId="23F7FCC0"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5582BBD8" w14:textId="7BA8170E"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To support the argument that leadership in the early years is vital, it is important to consider that due to an increasing amount of evidence on the benefits of early childhood education more scholars are asking critical questions on whether the leadership exists to maximise the potential benefits (Nicholson </w:t>
      </w:r>
      <w:r w:rsidRPr="00F61D60">
        <w:rPr>
          <w:rStyle w:val="normaltextrun"/>
          <w:rFonts w:ascii="Arial" w:hAnsi="Arial" w:cs="Arial"/>
          <w:i/>
          <w:iCs/>
        </w:rPr>
        <w:t>et al</w:t>
      </w:r>
      <w:r w:rsidRPr="00F61D60">
        <w:rPr>
          <w:rStyle w:val="normaltextrun"/>
          <w:rFonts w:ascii="Arial" w:hAnsi="Arial" w:cs="Arial"/>
        </w:rPr>
        <w:t xml:space="preserve">, 2018, p. 92). This is due to challenges facing early years leadership such as low compensation not attracting enough workforce, the absence of a professional career ladder and early years professionals’ feelings of ambivalence about authority, not name a few (Nicholson </w:t>
      </w:r>
      <w:r w:rsidRPr="00F61D60">
        <w:rPr>
          <w:rStyle w:val="normaltextrun"/>
          <w:rFonts w:ascii="Arial" w:hAnsi="Arial" w:cs="Arial"/>
          <w:i/>
          <w:iCs/>
        </w:rPr>
        <w:t xml:space="preserve">et al, </w:t>
      </w:r>
      <w:r w:rsidRPr="00F61D60">
        <w:rPr>
          <w:rStyle w:val="normaltextrun"/>
          <w:rFonts w:ascii="Arial" w:hAnsi="Arial" w:cs="Arial"/>
        </w:rPr>
        <w:t xml:space="preserve">2018, p. 92). </w:t>
      </w:r>
      <w:r w:rsidRPr="00F61D60">
        <w:rPr>
          <w:rStyle w:val="eop"/>
          <w:rFonts w:ascii="Arial" w:hAnsi="Arial" w:cs="Arial"/>
        </w:rPr>
        <w:t> </w:t>
      </w:r>
    </w:p>
    <w:p w14:paraId="7A8974F6"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136D2F2E" w14:textId="0658EB65"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As a result of these barriers, the desire to find a leadership style that addresses the problems mentioned above have led to many academics and early years professionals </w:t>
      </w:r>
      <w:r w:rsidRPr="00F61D60">
        <w:rPr>
          <w:rStyle w:val="normaltextrun"/>
          <w:rFonts w:ascii="Arial" w:hAnsi="Arial" w:cs="Arial"/>
        </w:rPr>
        <w:lastRenderedPageBreak/>
        <w:t xml:space="preserve">encouraging the adoption of catalytic leadership. One advantage of catalytic leadership is the obvious use of collaboration, which naturally appeals to how early years settings work. This ensures that the voices of the team are heard, not only the typical leader of the setting meaning an increase in motivation and creativity. Joiner (2018, p. 2) describes how catalytic leaders can enhance teamwork and promote by creating initiatives designed to enhance togetherness and promote and that this style of leadership absolutely leads to an increase in the quality of decisions made. This proves that catalytic leadership is incredibly useful in building a team of workers that are united and driven, but then also maintaining a cooperative motivated team. </w:t>
      </w:r>
      <w:r w:rsidRPr="00F61D60">
        <w:rPr>
          <w:rStyle w:val="eop"/>
          <w:rFonts w:ascii="Arial" w:hAnsi="Arial" w:cs="Arial"/>
        </w:rPr>
        <w:t> </w:t>
      </w:r>
    </w:p>
    <w:p w14:paraId="1C4B3612"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5EB7A5CA" w14:textId="1A906255"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Another critical component of catalytic leadership is reflection. Ensuring that members of the team engage with reflection is essential, and Sims </w:t>
      </w:r>
      <w:r w:rsidRPr="00F61D60">
        <w:rPr>
          <w:rStyle w:val="normaltextrun"/>
          <w:rFonts w:ascii="Arial" w:hAnsi="Arial" w:cs="Arial"/>
          <w:i/>
          <w:iCs/>
        </w:rPr>
        <w:t xml:space="preserve">et al </w:t>
      </w:r>
      <w:r w:rsidRPr="00F61D60">
        <w:rPr>
          <w:rStyle w:val="normaltextrun"/>
          <w:rFonts w:ascii="Arial" w:hAnsi="Arial" w:cs="Arial"/>
        </w:rPr>
        <w:t xml:space="preserve">(2015, p. 161) reinforces that one of roles of catalytic leaders is to support other professionals to reflect upon their work and develop their own performance of high-quality practice as a result. Reflection is a critical skill for practitioners, used to ensure quality improvement but also used for engaging in dialogue with co-workers (Canning and Callan, 2010, p. 72). According to </w:t>
      </w:r>
      <w:proofErr w:type="spellStart"/>
      <w:r w:rsidRPr="00F61D60">
        <w:rPr>
          <w:rStyle w:val="normaltextrun"/>
          <w:rFonts w:ascii="Arial" w:hAnsi="Arial" w:cs="Arial"/>
        </w:rPr>
        <w:t>Çimer</w:t>
      </w:r>
      <w:proofErr w:type="spellEnd"/>
      <w:r w:rsidRPr="00F61D60">
        <w:rPr>
          <w:rStyle w:val="normaltextrun"/>
          <w:rFonts w:ascii="Arial" w:hAnsi="Arial" w:cs="Arial"/>
        </w:rPr>
        <w:t xml:space="preserve"> </w:t>
      </w:r>
      <w:r w:rsidRPr="00F61D60">
        <w:rPr>
          <w:rStyle w:val="normaltextrun"/>
          <w:rFonts w:ascii="Arial" w:hAnsi="Arial" w:cs="Arial"/>
          <w:i/>
          <w:iCs/>
        </w:rPr>
        <w:t xml:space="preserve">et </w:t>
      </w:r>
      <w:r w:rsidRPr="00F61D60">
        <w:rPr>
          <w:rStyle w:val="normaltextrun"/>
          <w:rFonts w:ascii="Arial" w:hAnsi="Arial" w:cs="Arial"/>
        </w:rPr>
        <w:t>al (2013, p. 144), effective teaching requires continuous engagement with reflection and goes on to state that a crucial determinant of effective teaching is the quality of reflection meaning high quality teaching is not possible without the use of reflection.  </w:t>
      </w:r>
      <w:proofErr w:type="spellStart"/>
      <w:r w:rsidRPr="00F61D60">
        <w:rPr>
          <w:rStyle w:val="normaltextrun"/>
          <w:rFonts w:ascii="Arial" w:hAnsi="Arial" w:cs="Arial"/>
          <w:color w:val="000000"/>
        </w:rPr>
        <w:t>Cigala</w:t>
      </w:r>
      <w:proofErr w:type="spellEnd"/>
      <w:r w:rsidRPr="00F61D60">
        <w:rPr>
          <w:rStyle w:val="normaltextrun"/>
          <w:rFonts w:ascii="Arial" w:hAnsi="Arial" w:cs="Arial"/>
          <w:color w:val="000000"/>
        </w:rPr>
        <w:t xml:space="preserve">, </w:t>
      </w:r>
      <w:proofErr w:type="spellStart"/>
      <w:r w:rsidRPr="00F61D60">
        <w:rPr>
          <w:rStyle w:val="normaltextrun"/>
          <w:rFonts w:ascii="Arial" w:hAnsi="Arial" w:cs="Arial"/>
          <w:color w:val="000000"/>
        </w:rPr>
        <w:t>Venturelli</w:t>
      </w:r>
      <w:proofErr w:type="spellEnd"/>
      <w:r w:rsidRPr="00F61D60">
        <w:rPr>
          <w:rStyle w:val="normaltextrun"/>
          <w:rFonts w:ascii="Arial" w:hAnsi="Arial" w:cs="Arial"/>
          <w:color w:val="000000"/>
        </w:rPr>
        <w:t xml:space="preserve"> and </w:t>
      </w:r>
      <w:proofErr w:type="spellStart"/>
      <w:r w:rsidRPr="00F61D60">
        <w:rPr>
          <w:rStyle w:val="normaltextrun"/>
          <w:rFonts w:ascii="Arial" w:hAnsi="Arial" w:cs="Arial"/>
          <w:color w:val="000000"/>
        </w:rPr>
        <w:t>Bassetti</w:t>
      </w:r>
      <w:proofErr w:type="spellEnd"/>
      <w:r w:rsidRPr="00F61D60">
        <w:rPr>
          <w:rStyle w:val="normaltextrun"/>
          <w:rFonts w:ascii="Arial" w:hAnsi="Arial" w:cs="Arial"/>
          <w:color w:val="000000"/>
        </w:rPr>
        <w:t xml:space="preserve"> (2010) </w:t>
      </w:r>
      <w:r w:rsidRPr="00F61D60">
        <w:rPr>
          <w:rStyle w:val="normaltextrun"/>
          <w:rFonts w:ascii="Arial" w:hAnsi="Arial" w:cs="Arial"/>
        </w:rPr>
        <w:t xml:space="preserve">also found that reflective practice also has a positive effect on practitioners’ well-being as it encourages dialogue within teams, further highlighting the need for reflective practice in early years settings. Looking at the evidence above, reflection has many benefits for early years practitioners and workers within education, however it can be argued that some in early years settings do not practice critical self-reflection enough. The use of catalytic leadership ensures that all team members participate in critical reflection, and all enjoy the benefits that using reflection ensures. </w:t>
      </w:r>
      <w:r w:rsidRPr="00F61D60">
        <w:rPr>
          <w:rStyle w:val="eop"/>
          <w:rFonts w:ascii="Arial" w:hAnsi="Arial" w:cs="Arial"/>
        </w:rPr>
        <w:t> </w:t>
      </w:r>
    </w:p>
    <w:p w14:paraId="40840153"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46602B6C" w14:textId="23339FE0"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As mentioned previously, many early years practitioners have trouble viewing themselves as leaders, and one article by Clark (2012) coined the term catalytic leadership as leadership that helps practitioners understand that although they might not view themselves as leaders, in that leadership model they all have influence to contribute as leaders. The author first used questionnaires to help practitioners identify experiences and concerns with leadership and then followed up with focus groups </w:t>
      </w:r>
      <w:r w:rsidRPr="00F61D60">
        <w:rPr>
          <w:rStyle w:val="normaltextrun"/>
          <w:rFonts w:ascii="Arial" w:hAnsi="Arial" w:cs="Arial"/>
        </w:rPr>
        <w:lastRenderedPageBreak/>
        <w:t xml:space="preserve">used to encourage participants to share ideas (Clark, 2012, p. 395). The author found that the most notable feature of the results was the fact that the practitioners had a lack of confidence in their own ability as leaders as a misconception that leadership was supposed to be about being in charge and directing others. However, some participants did realise that their own interpretation of leadership and the fact it did not match their practice was a huge issue, and according to the author this means that there is a necessity for opportunities for practitioners to explore their own role in leading practice (Clark, 2012, p. 396). </w:t>
      </w:r>
      <w:r w:rsidRPr="00F61D60">
        <w:rPr>
          <w:rStyle w:val="eop"/>
          <w:rFonts w:ascii="Arial" w:hAnsi="Arial" w:cs="Arial"/>
        </w:rPr>
        <w:t> </w:t>
      </w:r>
    </w:p>
    <w:p w14:paraId="0E891C3C"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726E9D6E" w14:textId="3D0CE4B1"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Drawing on the conclusions of Clarks research, it is important that early years professionals are viewed as catalysts for this new type of leadership as it is incredibly beneficial for them and subsequently the setting they work in. However, some barriers exist to catalytic leadership, and it is vital that these are considered to ensure they are overcome. For example, as mentioned earlier with regards to reflection, some early years settings are guilty of not continuing with CPD (Continuous Professional Development). CPD has been proven to have many positive outcomes with education, with benefits not only for practitioners such as a greater commitment to trying new things, but also to the pupils such as improvements in performance in reading fluency (</w:t>
      </w:r>
      <w:proofErr w:type="spellStart"/>
      <w:r w:rsidRPr="00F61D60">
        <w:rPr>
          <w:rStyle w:val="normaltextrun"/>
          <w:rFonts w:ascii="Arial" w:hAnsi="Arial" w:cs="Arial"/>
        </w:rPr>
        <w:t>Cordingley</w:t>
      </w:r>
      <w:proofErr w:type="spellEnd"/>
      <w:r w:rsidRPr="00F61D60">
        <w:rPr>
          <w:rStyle w:val="normaltextrun"/>
          <w:rFonts w:ascii="Arial" w:hAnsi="Arial" w:cs="Arial"/>
        </w:rPr>
        <w:t xml:space="preserve"> </w:t>
      </w:r>
      <w:r w:rsidRPr="00F61D60">
        <w:rPr>
          <w:rStyle w:val="normaltextrun"/>
          <w:rFonts w:ascii="Arial" w:hAnsi="Arial" w:cs="Arial"/>
          <w:i/>
          <w:iCs/>
        </w:rPr>
        <w:t xml:space="preserve">et al, </w:t>
      </w:r>
      <w:r w:rsidRPr="00F61D60">
        <w:rPr>
          <w:rStyle w:val="normaltextrun"/>
          <w:rFonts w:ascii="Arial" w:hAnsi="Arial" w:cs="Arial"/>
        </w:rPr>
        <w:t xml:space="preserve">2005). </w:t>
      </w:r>
      <w:r w:rsidRPr="00F61D60">
        <w:rPr>
          <w:rStyle w:val="eop"/>
          <w:rFonts w:ascii="Arial" w:hAnsi="Arial" w:cs="Arial"/>
        </w:rPr>
        <w:t> </w:t>
      </w:r>
    </w:p>
    <w:p w14:paraId="32AE2B4D"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189A84F1"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r w:rsidRPr="00F61D60">
        <w:rPr>
          <w:rStyle w:val="normaltextrun"/>
          <w:rFonts w:ascii="Arial" w:hAnsi="Arial" w:cs="Arial"/>
        </w:rPr>
        <w:t xml:space="preserve">Another barrier identified to catalytic leadership is conflict in the workplace. As can be expected from a leadership model that so heavily leans on togetherness and teamwork, conflict between team members can have an enormous impact on the efficiency of leadership. According to Shallcross, </w:t>
      </w:r>
      <w:proofErr w:type="spellStart"/>
      <w:r w:rsidRPr="00F61D60">
        <w:rPr>
          <w:rStyle w:val="normaltextrun"/>
          <w:rFonts w:ascii="Arial" w:hAnsi="Arial" w:cs="Arial"/>
        </w:rPr>
        <w:t>Ramay</w:t>
      </w:r>
      <w:proofErr w:type="spellEnd"/>
      <w:r w:rsidRPr="00F61D60">
        <w:rPr>
          <w:rStyle w:val="normaltextrun"/>
          <w:rFonts w:ascii="Arial" w:hAnsi="Arial" w:cs="Arial"/>
        </w:rPr>
        <w:t xml:space="preserve"> and Barker (2913, p. 193) conflict in the workplace has the potential for significant negative health impacts and detrimental effects on productivity and engagement. This shows that workplace conflict has the potential to completely disrupt the collaborative process, making it difficult for catalytic leadership to take place.</w:t>
      </w:r>
      <w:r w:rsidRPr="00F61D60">
        <w:rPr>
          <w:rStyle w:val="eop"/>
          <w:rFonts w:ascii="Arial" w:hAnsi="Arial" w:cs="Arial"/>
        </w:rPr>
        <w:t> </w:t>
      </w:r>
    </w:p>
    <w:p w14:paraId="20A96EC0" w14:textId="77777777" w:rsidR="00F61D60" w:rsidRDefault="00F61D60" w:rsidP="00CA67C5">
      <w:pPr>
        <w:pStyle w:val="paragraph"/>
        <w:spacing w:before="0" w:beforeAutospacing="0" w:after="0" w:afterAutospacing="0" w:line="360" w:lineRule="auto"/>
        <w:jc w:val="both"/>
        <w:textAlignment w:val="baseline"/>
        <w:rPr>
          <w:rStyle w:val="normaltextrun"/>
          <w:rFonts w:ascii="Arial" w:hAnsi="Arial" w:cs="Arial"/>
        </w:rPr>
      </w:pPr>
    </w:p>
    <w:p w14:paraId="7AEACE50" w14:textId="4CF9A7DC"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However, </w:t>
      </w:r>
      <w:proofErr w:type="spellStart"/>
      <w:r w:rsidRPr="00F61D60">
        <w:rPr>
          <w:rStyle w:val="normaltextrun"/>
          <w:rFonts w:ascii="Arial" w:hAnsi="Arial" w:cs="Arial"/>
        </w:rPr>
        <w:t>Herrman</w:t>
      </w:r>
      <w:proofErr w:type="spellEnd"/>
      <w:r w:rsidRPr="00F61D60">
        <w:rPr>
          <w:rStyle w:val="normaltextrun"/>
          <w:rFonts w:ascii="Arial" w:hAnsi="Arial" w:cs="Arial"/>
        </w:rPr>
        <w:t xml:space="preserve"> (2005, p. 326) states that conflict is simply a natural by-product of human interaction and leaders who do not practice what the author calls constructive conflict resolution can escalate conflict to the point where avoidance or inflammatory responses happen. To enable this process, all individuals in the workplace must receive training on how to deal with conflict and to not assume conflict is an only </w:t>
      </w:r>
      <w:r w:rsidRPr="00F61D60">
        <w:rPr>
          <w:rStyle w:val="normaltextrun"/>
          <w:rFonts w:ascii="Arial" w:hAnsi="Arial" w:cs="Arial"/>
        </w:rPr>
        <w:lastRenderedPageBreak/>
        <w:t>negative aspect, as it has the potential to flame creativity and reignite ambitions (</w:t>
      </w:r>
      <w:proofErr w:type="spellStart"/>
      <w:r w:rsidRPr="00F61D60">
        <w:rPr>
          <w:rStyle w:val="normaltextrun"/>
          <w:rFonts w:ascii="Arial" w:hAnsi="Arial" w:cs="Arial"/>
        </w:rPr>
        <w:t>Herrman</w:t>
      </w:r>
      <w:proofErr w:type="spellEnd"/>
      <w:r w:rsidRPr="00F61D60">
        <w:rPr>
          <w:rStyle w:val="normaltextrun"/>
          <w:rFonts w:ascii="Arial" w:hAnsi="Arial" w:cs="Arial"/>
        </w:rPr>
        <w:t xml:space="preserve">, 2005, p. 338). It can be seen from this that although workplace conflict certainly has the potential to be a barrier to catalytic leadership, by using features of catalytic leadership such as constant communication and training for all staff, this barrier can be properly overcome. </w:t>
      </w:r>
      <w:r w:rsidRPr="00F61D60">
        <w:rPr>
          <w:rStyle w:val="eop"/>
          <w:rFonts w:ascii="Arial" w:hAnsi="Arial" w:cs="Arial"/>
        </w:rPr>
        <w:t> </w:t>
      </w:r>
    </w:p>
    <w:p w14:paraId="0381420C"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1CF9DF2E" w14:textId="10CF6861"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Although barriers to catalytic leadership certainly exist, including others such as lack of funding or lack of opportunities for development, it is certainly possible for these barriers to be overcome and for the benefits of catalytic leadership to be enjoyed. </w:t>
      </w:r>
      <w:r w:rsidRPr="00F61D60">
        <w:rPr>
          <w:rStyle w:val="eop"/>
          <w:rFonts w:ascii="Arial" w:hAnsi="Arial" w:cs="Arial"/>
        </w:rPr>
        <w:t> </w:t>
      </w:r>
    </w:p>
    <w:p w14:paraId="7FE4168B"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38F3B4F6"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r w:rsidRPr="00F61D60">
        <w:rPr>
          <w:rStyle w:val="normaltextrun"/>
          <w:rFonts w:ascii="Arial" w:hAnsi="Arial" w:cs="Arial"/>
        </w:rPr>
        <w:t>In conclusion, there can be no doubt that early years leadership is difficult at times due to the fast-paced nature of the work and difficulties found by many in seeing themselves as being leaders. However, based on the evidence above, catalytic leadership is a tremendous vehicle in instilling confidence in individuals and helping practitioners feel valued. Of course, some barriers exist, but this must be discussed openly within organisations as open dialogue and collaboration are essential to the success of catalytic leadership. Catalytic leaders are change agents, able to identity, implement and sustain change in early years settings that enhance the quality of provision given to children in the early years. (Siraj-</w:t>
      </w:r>
      <w:proofErr w:type="spellStart"/>
      <w:r w:rsidRPr="00F61D60">
        <w:rPr>
          <w:rStyle w:val="normaltextrun"/>
          <w:rFonts w:ascii="Arial" w:hAnsi="Arial" w:cs="Arial"/>
        </w:rPr>
        <w:t>Blatchfort</w:t>
      </w:r>
      <w:proofErr w:type="spellEnd"/>
      <w:r w:rsidRPr="00F61D60">
        <w:rPr>
          <w:rStyle w:val="normaltextrun"/>
          <w:rFonts w:ascii="Arial" w:hAnsi="Arial" w:cs="Arial"/>
        </w:rPr>
        <w:t xml:space="preserve"> and </w:t>
      </w:r>
      <w:proofErr w:type="spellStart"/>
      <w:r w:rsidRPr="00F61D60">
        <w:rPr>
          <w:rStyle w:val="normaltextrun"/>
          <w:rFonts w:ascii="Arial" w:hAnsi="Arial" w:cs="Arial"/>
        </w:rPr>
        <w:t>Hallet</w:t>
      </w:r>
      <w:proofErr w:type="spellEnd"/>
      <w:r w:rsidRPr="00F61D60">
        <w:rPr>
          <w:rStyle w:val="normaltextrun"/>
          <w:rFonts w:ascii="Arial" w:hAnsi="Arial" w:cs="Arial"/>
        </w:rPr>
        <w:t>, 2014). In a line of work in which children attending early years settings face a vast number of sociological issues, especially with the aftermath of the Covid-19 pandemic, catalytic leadership is necessary to ensure all team members are equipped to deal with the demands these bring.</w:t>
      </w:r>
      <w:r w:rsidRPr="00F61D60">
        <w:rPr>
          <w:rStyle w:val="eop"/>
          <w:rFonts w:ascii="Arial" w:hAnsi="Arial" w:cs="Arial"/>
        </w:rPr>
        <w:t> </w:t>
      </w:r>
    </w:p>
    <w:p w14:paraId="7872259E" w14:textId="6C41D35F"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eop"/>
          <w:rFonts w:ascii="Arial" w:hAnsi="Arial" w:cs="Arial"/>
        </w:rPr>
        <w:t> </w:t>
      </w:r>
    </w:p>
    <w:p w14:paraId="15887E6C" w14:textId="72EF6D7D" w:rsidR="00CA67C5" w:rsidRPr="00F61D60" w:rsidRDefault="00F61D60" w:rsidP="00F61D60">
      <w:pPr>
        <w:rPr>
          <w:rFonts w:ascii="Arial" w:eastAsia="Times New Roman" w:hAnsi="Arial" w:cs="Arial"/>
          <w:sz w:val="24"/>
          <w:szCs w:val="24"/>
          <w:lang w:eastAsia="en-GB"/>
        </w:rPr>
      </w:pPr>
      <w:r>
        <w:rPr>
          <w:rStyle w:val="eop"/>
          <w:rFonts w:ascii="Arial" w:hAnsi="Arial" w:cs="Arial"/>
        </w:rPr>
        <w:br w:type="page"/>
      </w:r>
    </w:p>
    <w:p w14:paraId="5F2A3226" w14:textId="34C30E71" w:rsidR="00CA67C5" w:rsidRPr="00382BF5" w:rsidRDefault="00CA67C5" w:rsidP="00CA67C5">
      <w:pPr>
        <w:pStyle w:val="paragraph"/>
        <w:spacing w:before="0" w:beforeAutospacing="0" w:after="0" w:afterAutospacing="0" w:line="360" w:lineRule="auto"/>
        <w:jc w:val="both"/>
        <w:textAlignment w:val="baseline"/>
        <w:rPr>
          <w:rFonts w:ascii="Arial" w:hAnsi="Arial" w:cs="Arial"/>
          <w:b/>
          <w:bCs/>
        </w:rPr>
      </w:pPr>
      <w:r w:rsidRPr="00382BF5">
        <w:rPr>
          <w:rStyle w:val="normaltextrun"/>
          <w:rFonts w:ascii="Arial" w:hAnsi="Arial" w:cs="Arial"/>
          <w:b/>
          <w:bCs/>
          <w:u w:val="single"/>
        </w:rPr>
        <w:lastRenderedPageBreak/>
        <w:t>Section</w:t>
      </w:r>
      <w:r w:rsidRPr="00382BF5">
        <w:rPr>
          <w:rStyle w:val="normaltextrun"/>
          <w:rFonts w:ascii="Arial" w:hAnsi="Arial" w:cs="Arial"/>
          <w:b/>
          <w:bCs/>
          <w:u w:val="single"/>
        </w:rPr>
        <w:t xml:space="preserve"> 2</w:t>
      </w:r>
      <w:r w:rsidRPr="00382BF5">
        <w:rPr>
          <w:rStyle w:val="eop"/>
          <w:rFonts w:ascii="Arial" w:hAnsi="Arial" w:cs="Arial"/>
          <w:b/>
          <w:bCs/>
        </w:rPr>
        <w:t> </w:t>
      </w:r>
    </w:p>
    <w:p w14:paraId="3A0DC544" w14:textId="77777777" w:rsidR="00F61D60" w:rsidRPr="00F61D60" w:rsidRDefault="00F61D60" w:rsidP="00CA67C5">
      <w:pPr>
        <w:pStyle w:val="paragraph"/>
        <w:spacing w:before="0" w:beforeAutospacing="0" w:after="0" w:afterAutospacing="0" w:line="360" w:lineRule="auto"/>
        <w:jc w:val="both"/>
        <w:textAlignment w:val="baseline"/>
        <w:rPr>
          <w:rFonts w:ascii="Arial" w:hAnsi="Arial" w:cs="Arial"/>
        </w:rPr>
      </w:pPr>
    </w:p>
    <w:p w14:paraId="70D2B544" w14:textId="01DB265A"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color w:val="000000"/>
        </w:rPr>
      </w:pPr>
      <w:r w:rsidRPr="00F61D60">
        <w:rPr>
          <w:rStyle w:val="normaltextrun"/>
          <w:rFonts w:ascii="Arial" w:hAnsi="Arial" w:cs="Arial"/>
          <w:color w:val="000000"/>
        </w:rPr>
        <w:t>Children have long been thought to have assisted parents in finding shelter, gathering food, and ensuring the safety of communities. This has given rise to the belief that child work has existed since the beginning of history. However, it is first noted as becoming a contentious or problematic issue in Wales and the rest of the UK since the advent of the industrial revolution as that is when it started to be questioned and criticised (Ferreira, 2017, p. 381). Early legislative initiatives throughout the nineteenth century designed to protect children were met with anger and resistance from factory owners, manufacturers, and politicians alike.</w:t>
      </w:r>
      <w:r w:rsidRPr="00F61D60">
        <w:rPr>
          <w:rStyle w:val="eop"/>
          <w:rFonts w:ascii="Arial" w:hAnsi="Arial" w:cs="Arial"/>
          <w:color w:val="000000"/>
        </w:rPr>
        <w:t> </w:t>
      </w:r>
    </w:p>
    <w:p w14:paraId="4F5B0477"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5E80ED42" w14:textId="71C724CB"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r w:rsidRPr="00F61D60">
        <w:rPr>
          <w:rStyle w:val="normaltextrun"/>
          <w:rFonts w:ascii="Arial" w:hAnsi="Arial" w:cs="Arial"/>
          <w:color w:val="000000"/>
        </w:rPr>
        <w:t>However, a series of factory acts were passed and thus began the gradual process of regulating child work and eliminating the worst-case scenarios of child exploitation throughout the nineteenth century, leading children into the next century with some basic rights and many influential figures pushing for more (Ferreira, 2017, p. 382).</w:t>
      </w:r>
      <w:r w:rsidRPr="00F61D60">
        <w:rPr>
          <w:rStyle w:val="eop"/>
          <w:rFonts w:ascii="Arial" w:hAnsi="Arial" w:cs="Arial"/>
          <w:color w:val="000000"/>
        </w:rPr>
        <w:t> </w:t>
      </w:r>
    </w:p>
    <w:p w14:paraId="131AEB0D" w14:textId="7FDB6F3C"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color w:val="000000"/>
        </w:rPr>
      </w:pPr>
      <w:r w:rsidRPr="00F61D60">
        <w:rPr>
          <w:rStyle w:val="normaltextrun"/>
          <w:rFonts w:ascii="Arial" w:hAnsi="Arial" w:cs="Arial"/>
          <w:color w:val="000000"/>
        </w:rPr>
        <w:t xml:space="preserve">The twentieth century was full of enormous historical events that all impacted on the introduction of rights for children. For example, the first and second world wars brought chaos and devastation for children across the world, as they struggled to deal with the effects brought by war. According to Barbara (2006, p. 891), the impacts of war on children are many. These range from primary impacts such as death and illness to secondary impacts such as the loss of opportunity for education and being marginalised in society due to the results of war. In fact, Ferreira (2017, p. 382) states that during the world wars in the UK, children were once again called upon to contribute to work at young ages, undoing the years of campaigning for protection during the nineteenth century, however at the time this was considered an exception for the war effort. </w:t>
      </w:r>
      <w:r w:rsidRPr="00F61D60">
        <w:rPr>
          <w:rStyle w:val="eop"/>
          <w:rFonts w:ascii="Arial" w:hAnsi="Arial" w:cs="Arial"/>
          <w:color w:val="000000"/>
        </w:rPr>
        <w:t> </w:t>
      </w:r>
    </w:p>
    <w:p w14:paraId="20475BCB"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0AB7FEAF" w14:textId="6C992C1F"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color w:val="000000"/>
        </w:rPr>
      </w:pPr>
      <w:r w:rsidRPr="00F61D60">
        <w:rPr>
          <w:rStyle w:val="normaltextrun"/>
          <w:rFonts w:ascii="Arial" w:hAnsi="Arial" w:cs="Arial"/>
          <w:color w:val="000000"/>
        </w:rPr>
        <w:t>However, as bad as some events during the twentieth century were for children and their rights, the worldwide movement for universal rights for children began early in the century, and in most countries today the impacts of this movement can be seen. In 1919, The League of Nations (an early precursor to the United Nations) set up the child welfare committee (CWC) which compared to other initiatives founded by the League of Nations has attracted little scholarly attention (</w:t>
      </w:r>
      <w:proofErr w:type="spellStart"/>
      <w:r w:rsidRPr="00F61D60">
        <w:rPr>
          <w:rStyle w:val="normaltextrun"/>
          <w:rFonts w:ascii="Arial" w:hAnsi="Arial" w:cs="Arial"/>
          <w:color w:val="000000"/>
        </w:rPr>
        <w:t>Droux</w:t>
      </w:r>
      <w:proofErr w:type="spellEnd"/>
      <w:r w:rsidRPr="00F61D60">
        <w:rPr>
          <w:rStyle w:val="normaltextrun"/>
          <w:rFonts w:ascii="Arial" w:hAnsi="Arial" w:cs="Arial"/>
          <w:color w:val="000000"/>
        </w:rPr>
        <w:t xml:space="preserve">, 2016, p. 90). As a result, the overall impact the CWC had on children's rights needs more analysis to be </w:t>
      </w:r>
      <w:r w:rsidRPr="00F61D60">
        <w:rPr>
          <w:rStyle w:val="normaltextrun"/>
          <w:rFonts w:ascii="Arial" w:hAnsi="Arial" w:cs="Arial"/>
          <w:color w:val="000000"/>
        </w:rPr>
        <w:lastRenderedPageBreak/>
        <w:t xml:space="preserve">covered completely, however </w:t>
      </w:r>
      <w:proofErr w:type="spellStart"/>
      <w:r w:rsidRPr="00F61D60">
        <w:rPr>
          <w:rStyle w:val="normaltextrun"/>
          <w:rFonts w:ascii="Arial" w:hAnsi="Arial" w:cs="Arial"/>
          <w:color w:val="000000"/>
        </w:rPr>
        <w:t>Droux</w:t>
      </w:r>
      <w:proofErr w:type="spellEnd"/>
      <w:r w:rsidRPr="00F61D60">
        <w:rPr>
          <w:rStyle w:val="normaltextrun"/>
          <w:rFonts w:ascii="Arial" w:hAnsi="Arial" w:cs="Arial"/>
          <w:color w:val="000000"/>
        </w:rPr>
        <w:t xml:space="preserve"> (2016, p. 90) does state that its impact was certainly not negligible, especially with regards to protecting the rights previously established and ensuring that children were a category entitled to state protection in the first place. </w:t>
      </w:r>
      <w:r w:rsidRPr="00F61D60">
        <w:rPr>
          <w:rStyle w:val="eop"/>
          <w:rFonts w:ascii="Arial" w:hAnsi="Arial" w:cs="Arial"/>
          <w:color w:val="000000"/>
        </w:rPr>
        <w:t> </w:t>
      </w:r>
    </w:p>
    <w:p w14:paraId="4B3E9600"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4FB23273" w14:textId="3B0D57D7"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color w:val="000000"/>
        </w:rPr>
      </w:pPr>
      <w:r w:rsidRPr="00F61D60">
        <w:rPr>
          <w:rStyle w:val="normaltextrun"/>
          <w:rFonts w:ascii="Arial" w:hAnsi="Arial" w:cs="Arial"/>
          <w:color w:val="000000"/>
        </w:rPr>
        <w:t xml:space="preserve">Across western countries around this time, more campaigns and groups were founded to help fight for the rights of children, and in 1919 </w:t>
      </w:r>
      <w:proofErr w:type="spellStart"/>
      <w:r w:rsidRPr="00F61D60">
        <w:rPr>
          <w:rStyle w:val="normaltextrun"/>
          <w:rFonts w:ascii="Arial" w:hAnsi="Arial" w:cs="Arial"/>
          <w:color w:val="000000"/>
        </w:rPr>
        <w:t>Eglantyne</w:t>
      </w:r>
      <w:proofErr w:type="spellEnd"/>
      <w:r w:rsidRPr="00F61D60">
        <w:rPr>
          <w:rStyle w:val="normaltextrun"/>
          <w:rFonts w:ascii="Arial" w:hAnsi="Arial" w:cs="Arial"/>
          <w:color w:val="000000"/>
        </w:rPr>
        <w:t xml:space="preserve"> </w:t>
      </w:r>
      <w:proofErr w:type="spellStart"/>
      <w:r w:rsidRPr="00F61D60">
        <w:rPr>
          <w:rStyle w:val="normaltextrun"/>
          <w:rFonts w:ascii="Arial" w:hAnsi="Arial" w:cs="Arial"/>
          <w:color w:val="000000"/>
        </w:rPr>
        <w:t>Jebb</w:t>
      </w:r>
      <w:proofErr w:type="spellEnd"/>
      <w:r w:rsidRPr="00F61D60">
        <w:rPr>
          <w:rStyle w:val="normaltextrun"/>
          <w:rFonts w:ascii="Arial" w:hAnsi="Arial" w:cs="Arial"/>
          <w:color w:val="000000"/>
        </w:rPr>
        <w:t xml:space="preserve"> and her sister founded ‘Save the Children’ which was founded as an emergency relief fund for the children of Europe still reeling from the effects of war and has since become the world's largest organisation for children (Mulley, 2009, p. 3). The 1920’s also saw the drafting and ratification of the most influential charter of children's rights seen yet, the declaration of the rights of the child. This was drafted by the aforementioned </w:t>
      </w:r>
      <w:proofErr w:type="spellStart"/>
      <w:r w:rsidRPr="00F61D60">
        <w:rPr>
          <w:rStyle w:val="normaltextrun"/>
          <w:rFonts w:ascii="Arial" w:hAnsi="Arial" w:cs="Arial"/>
          <w:color w:val="000000"/>
        </w:rPr>
        <w:t>Eglantyne</w:t>
      </w:r>
      <w:proofErr w:type="spellEnd"/>
      <w:r w:rsidRPr="00F61D60">
        <w:rPr>
          <w:rStyle w:val="normaltextrun"/>
          <w:rFonts w:ascii="Arial" w:hAnsi="Arial" w:cs="Arial"/>
          <w:color w:val="000000"/>
        </w:rPr>
        <w:t xml:space="preserve"> </w:t>
      </w:r>
      <w:proofErr w:type="spellStart"/>
      <w:r w:rsidRPr="00F61D60">
        <w:rPr>
          <w:rStyle w:val="normaltextrun"/>
          <w:rFonts w:ascii="Arial" w:hAnsi="Arial" w:cs="Arial"/>
          <w:color w:val="000000"/>
        </w:rPr>
        <w:t>Jebb</w:t>
      </w:r>
      <w:proofErr w:type="spellEnd"/>
      <w:r w:rsidRPr="00F61D60">
        <w:rPr>
          <w:rStyle w:val="normaltextrun"/>
          <w:rFonts w:ascii="Arial" w:hAnsi="Arial" w:cs="Arial"/>
          <w:color w:val="000000"/>
        </w:rPr>
        <w:t xml:space="preserve">, solidifying her place as the champion for children and children's rights throughout the twentieth century. </w:t>
      </w:r>
      <w:r w:rsidRPr="00F61D60">
        <w:rPr>
          <w:rStyle w:val="eop"/>
          <w:rFonts w:ascii="Arial" w:hAnsi="Arial" w:cs="Arial"/>
          <w:color w:val="000000"/>
        </w:rPr>
        <w:t> </w:t>
      </w:r>
    </w:p>
    <w:p w14:paraId="09EFA4C8"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02464C6F" w14:textId="49913FAF"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color w:val="000000"/>
        </w:rPr>
      </w:pPr>
      <w:r w:rsidRPr="00F61D60">
        <w:rPr>
          <w:rStyle w:val="normaltextrun"/>
          <w:rFonts w:ascii="Arial" w:hAnsi="Arial" w:cs="Arial"/>
          <w:color w:val="000000"/>
        </w:rPr>
        <w:t>The 1923 draft included 5 principles with the fundament being that humanity is responsible for children and must offer them the best possible. The principles tried to ensure all children had the right to food, medicine, and education regardless of ability among others (Child Rights International Network, 2001). The draft was adopted by the League of Nations in 1924 and finally children had a worldwide document guaranteeing them rights for the first time. Throughout the century, more statute laws in the UK were passed to further promote and protect the welfare of children such as free school meals, vaccinations for babies and family allowance/child benefit.</w:t>
      </w:r>
      <w:r w:rsidRPr="00F61D60">
        <w:rPr>
          <w:rStyle w:val="eop"/>
          <w:rFonts w:ascii="Arial" w:hAnsi="Arial" w:cs="Arial"/>
          <w:color w:val="000000"/>
        </w:rPr>
        <w:t> </w:t>
      </w:r>
    </w:p>
    <w:p w14:paraId="6444EACC"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5DEEEBF4" w14:textId="42F0863A"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color w:val="000000"/>
        </w:rPr>
        <w:t xml:space="preserve">Then, finally in 1989 the United Nations adopted the ‘United Nations Convention on the Rights of the Child’ or UNCRC. The five principles written by </w:t>
      </w:r>
      <w:proofErr w:type="spellStart"/>
      <w:r w:rsidRPr="00F61D60">
        <w:rPr>
          <w:rStyle w:val="normaltextrun"/>
          <w:rFonts w:ascii="Arial" w:hAnsi="Arial" w:cs="Arial"/>
          <w:color w:val="000000"/>
        </w:rPr>
        <w:t>Eglantyne</w:t>
      </w:r>
      <w:proofErr w:type="spellEnd"/>
      <w:r w:rsidRPr="00F61D60">
        <w:rPr>
          <w:rStyle w:val="normaltextrun"/>
          <w:rFonts w:ascii="Arial" w:hAnsi="Arial" w:cs="Arial"/>
          <w:color w:val="000000"/>
        </w:rPr>
        <w:t xml:space="preserve"> </w:t>
      </w:r>
      <w:proofErr w:type="spellStart"/>
      <w:r w:rsidRPr="00F61D60">
        <w:rPr>
          <w:rStyle w:val="normaltextrun"/>
          <w:rFonts w:ascii="Arial" w:hAnsi="Arial" w:cs="Arial"/>
          <w:color w:val="000000"/>
        </w:rPr>
        <w:t>Jebb</w:t>
      </w:r>
      <w:proofErr w:type="spellEnd"/>
      <w:r w:rsidRPr="00F61D60">
        <w:rPr>
          <w:rStyle w:val="normaltextrun"/>
          <w:rFonts w:ascii="Arial" w:hAnsi="Arial" w:cs="Arial"/>
          <w:color w:val="000000"/>
        </w:rPr>
        <w:t xml:space="preserve"> were included as articles in the convention and the convention itself contains 54 articles desig</w:t>
      </w:r>
      <w:r w:rsidRPr="00F61D60">
        <w:rPr>
          <w:rStyle w:val="normaltextrun"/>
          <w:rFonts w:ascii="Arial" w:hAnsi="Arial" w:cs="Arial"/>
        </w:rPr>
        <w:t xml:space="preserve">ned to cover all aspects of a child’s life and set out the civil, political, economic, social, and cultural rights that all children everywhere are entitled to. The convention also explains how adults and governments must work together to make sure all children can enjoy all their rights (UNICEF, 2022). The UNCRC was ratified as part of British law in 1991, and in 2011 Wales became the first home country in the UK to include it as part of domestic law with the passing of ‘Rights of Children and Young Persons (Wales) Measure’. This shows how in over 150 years children have gone from </w:t>
      </w:r>
      <w:r w:rsidRPr="00F61D60">
        <w:rPr>
          <w:rStyle w:val="normaltextrun"/>
          <w:rFonts w:ascii="Arial" w:hAnsi="Arial" w:cs="Arial"/>
        </w:rPr>
        <w:lastRenderedPageBreak/>
        <w:t>having little to no rights at all to a convention guaranteeing their rights, ratified by over 190 states as part of the UN (</w:t>
      </w:r>
      <w:proofErr w:type="spellStart"/>
      <w:r w:rsidRPr="00F61D60">
        <w:rPr>
          <w:rStyle w:val="normaltextrun"/>
          <w:rFonts w:ascii="Arial" w:hAnsi="Arial" w:cs="Arial"/>
        </w:rPr>
        <w:t>Quennerstedt</w:t>
      </w:r>
      <w:proofErr w:type="spellEnd"/>
      <w:r w:rsidRPr="00F61D60">
        <w:rPr>
          <w:rStyle w:val="normaltextrun"/>
          <w:rFonts w:ascii="Arial" w:hAnsi="Arial" w:cs="Arial"/>
        </w:rPr>
        <w:t xml:space="preserve">, Robinson and </w:t>
      </w:r>
      <w:proofErr w:type="spellStart"/>
      <w:r w:rsidRPr="00F61D60">
        <w:rPr>
          <w:rStyle w:val="normaltextrun"/>
          <w:rFonts w:ascii="Arial" w:hAnsi="Arial" w:cs="Arial"/>
        </w:rPr>
        <w:t>I’Anson</w:t>
      </w:r>
      <w:proofErr w:type="spellEnd"/>
      <w:r w:rsidRPr="00F61D60">
        <w:rPr>
          <w:rStyle w:val="normaltextrun"/>
          <w:rFonts w:ascii="Arial" w:hAnsi="Arial" w:cs="Arial"/>
        </w:rPr>
        <w:t>, 2018, p. 40).</w:t>
      </w:r>
      <w:r w:rsidRPr="00F61D60">
        <w:rPr>
          <w:rStyle w:val="eop"/>
          <w:rFonts w:ascii="Arial" w:hAnsi="Arial" w:cs="Arial"/>
        </w:rPr>
        <w:t> </w:t>
      </w:r>
    </w:p>
    <w:p w14:paraId="205A2B0D"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31DEE13C" w14:textId="3E324C3E"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However, with all the advancements made in guaranteeing children rights, it is important to consider how much of an impact this has had on children's lives. Articles of the UNCRC are often taught in schools to ensure children are aware of the rights that they have, and this is essential as if children are not aware of the articles and of their rights, then it is not likely they will have had much of an impact on their childhood. In fact, research by Munro </w:t>
      </w:r>
      <w:r w:rsidRPr="00F61D60">
        <w:rPr>
          <w:rStyle w:val="normaltextrun"/>
          <w:rFonts w:ascii="Arial" w:hAnsi="Arial" w:cs="Arial"/>
          <w:i/>
          <w:iCs/>
        </w:rPr>
        <w:t xml:space="preserve">et al </w:t>
      </w:r>
      <w:r w:rsidRPr="00F61D60">
        <w:rPr>
          <w:rStyle w:val="normaltextrun"/>
          <w:rFonts w:ascii="Arial" w:hAnsi="Arial" w:cs="Arial"/>
        </w:rPr>
        <w:t xml:space="preserve">(2011, p. 2421) found that with regards to those most vulnerable in society, such as those in state care, there was very limited engagement with the UNCRC and understanding and promoting the interests of young people. This is disappointing as these are the children that would need their rights to be protected more than others, and as such is something that must be improved. However, this does not apply to every country that has ratified the UNCRC, and Munro </w:t>
      </w:r>
      <w:r w:rsidRPr="00F61D60">
        <w:rPr>
          <w:rStyle w:val="normaltextrun"/>
          <w:rFonts w:ascii="Arial" w:hAnsi="Arial" w:cs="Arial"/>
          <w:i/>
          <w:iCs/>
        </w:rPr>
        <w:t xml:space="preserve">et al </w:t>
      </w:r>
      <w:r w:rsidRPr="00F61D60">
        <w:rPr>
          <w:rStyle w:val="normaltextrun"/>
          <w:rFonts w:ascii="Arial" w:hAnsi="Arial" w:cs="Arial"/>
        </w:rPr>
        <w:t xml:space="preserve">(2011, p. 2422) are optimistic that that the UNCRC does have the potential to give a boost to those leaving care. </w:t>
      </w:r>
      <w:r w:rsidRPr="00F61D60">
        <w:rPr>
          <w:rStyle w:val="eop"/>
          <w:rFonts w:ascii="Arial" w:hAnsi="Arial" w:cs="Arial"/>
        </w:rPr>
        <w:t> </w:t>
      </w:r>
    </w:p>
    <w:p w14:paraId="2AA3BB0B"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4E73935D" w14:textId="664B6AA3"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It is easier to recognize the impact the UNCRC has had on early childhood by looking at specific articles and examining their impact. For example, </w:t>
      </w:r>
      <w:proofErr w:type="spellStart"/>
      <w:r w:rsidRPr="00F61D60">
        <w:rPr>
          <w:rStyle w:val="normaltextrun"/>
          <w:rFonts w:ascii="Arial" w:hAnsi="Arial" w:cs="Arial"/>
        </w:rPr>
        <w:t>Invernizzi</w:t>
      </w:r>
      <w:proofErr w:type="spellEnd"/>
      <w:r w:rsidRPr="00F61D60">
        <w:rPr>
          <w:rStyle w:val="normaltextrun"/>
          <w:rFonts w:ascii="Arial" w:hAnsi="Arial" w:cs="Arial"/>
        </w:rPr>
        <w:t xml:space="preserve"> and Williams (2008, p. 6) examined how article seven, which states that every child as a right to name and nationality, has impacted on children around the world. The authors found that that article seven has had a positive impact on children, stating that the right had reduced the impact of children being seen as human ‘</w:t>
      </w:r>
      <w:proofErr w:type="spellStart"/>
      <w:r w:rsidRPr="00F61D60">
        <w:rPr>
          <w:rStyle w:val="normaltextrun"/>
          <w:rFonts w:ascii="Arial" w:hAnsi="Arial" w:cs="Arial"/>
        </w:rPr>
        <w:t>becomings</w:t>
      </w:r>
      <w:proofErr w:type="spellEnd"/>
      <w:r w:rsidRPr="00F61D60">
        <w:rPr>
          <w:rStyle w:val="normaltextrun"/>
          <w:rFonts w:ascii="Arial" w:hAnsi="Arial" w:cs="Arial"/>
        </w:rPr>
        <w:t>’ rather than human ‘beings’ by giving children status as legal subjects and rights holders in their present lives (</w:t>
      </w:r>
      <w:proofErr w:type="spellStart"/>
      <w:r w:rsidRPr="00F61D60">
        <w:rPr>
          <w:rStyle w:val="normaltextrun"/>
          <w:rFonts w:ascii="Arial" w:hAnsi="Arial" w:cs="Arial"/>
        </w:rPr>
        <w:t>Invernizzi</w:t>
      </w:r>
      <w:proofErr w:type="spellEnd"/>
      <w:r w:rsidRPr="00F61D60">
        <w:rPr>
          <w:rStyle w:val="normaltextrun"/>
          <w:rFonts w:ascii="Arial" w:hAnsi="Arial" w:cs="Arial"/>
        </w:rPr>
        <w:t xml:space="preserve"> and Williams, 2008, p. 6). </w:t>
      </w:r>
      <w:r w:rsidRPr="00F61D60">
        <w:rPr>
          <w:rStyle w:val="eop"/>
          <w:rFonts w:ascii="Arial" w:hAnsi="Arial" w:cs="Arial"/>
        </w:rPr>
        <w:t> </w:t>
      </w:r>
    </w:p>
    <w:p w14:paraId="7646E0A7"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42E92516" w14:textId="6015A89D"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Another article that is closely monitored by the UN committee is number 31, the right to play. This states that all children, regardless of age, race or mobility have the access to play. A report by Davey and Lundy (2011, p. 12) found that this article was often neglected by countries and singled out the UK Government stating that they needed to strengthen its efforts to implement the article, with particular focus on ensuring the rights of children with disabilities to adequate and accessible play/leisure activities. This shows us that although the articles are enshrined in law, more needs to be done by governments worldwide in ensuring they have the biggest impact possible. </w:t>
      </w:r>
      <w:r w:rsidRPr="00F61D60">
        <w:rPr>
          <w:rStyle w:val="eop"/>
          <w:rFonts w:ascii="Arial" w:hAnsi="Arial" w:cs="Arial"/>
        </w:rPr>
        <w:t> </w:t>
      </w:r>
    </w:p>
    <w:p w14:paraId="39F28041"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05408FB8" w14:textId="272F02B3"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With more of a focus on the UK and Wales, the 1989 </w:t>
      </w:r>
      <w:proofErr w:type="spellStart"/>
      <w:r w:rsidRPr="00F61D60">
        <w:rPr>
          <w:rStyle w:val="normaltextrun"/>
          <w:rFonts w:ascii="Arial" w:hAnsi="Arial" w:cs="Arial"/>
        </w:rPr>
        <w:t>Childrens</w:t>
      </w:r>
      <w:proofErr w:type="spellEnd"/>
      <w:r w:rsidRPr="00F61D60">
        <w:rPr>
          <w:rStyle w:val="normaltextrun"/>
          <w:rFonts w:ascii="Arial" w:hAnsi="Arial" w:cs="Arial"/>
        </w:rPr>
        <w:t xml:space="preserve"> Act was passed to act as extra protection for children after notable cases of abuse and neglect made the news, however as stated by Speight and Wynne (2000) the act was not without criticism. For example, they found the act was biased to keep children suffering from abuse and neglect within their natural families. The authors also stated they believed the act raised the threshold of proof of abuse, further endangering children who were not exposed to the absolute highest risk of abuse or neglect. Following criticisms, the UK Government passed the updated children's act in 2004, with a focus on a child focused approach, multi-agency approaches and well-being following recommendations by an inquiry by Lord Laming after the murder of eight-year-old Victoria Climbié (</w:t>
      </w:r>
      <w:proofErr w:type="spellStart"/>
      <w:r w:rsidRPr="00F61D60">
        <w:rPr>
          <w:rStyle w:val="normaltextrun"/>
          <w:rFonts w:ascii="Arial" w:hAnsi="Arial" w:cs="Arial"/>
        </w:rPr>
        <w:t>Fertleman</w:t>
      </w:r>
      <w:proofErr w:type="spellEnd"/>
      <w:r w:rsidRPr="00F61D60">
        <w:rPr>
          <w:rStyle w:val="normaltextrun"/>
          <w:rFonts w:ascii="Arial" w:hAnsi="Arial" w:cs="Arial"/>
        </w:rPr>
        <w:t xml:space="preserve"> and Hann, 2016, p.6). </w:t>
      </w:r>
      <w:r w:rsidRPr="00F61D60">
        <w:rPr>
          <w:rStyle w:val="eop"/>
          <w:rFonts w:ascii="Arial" w:hAnsi="Arial" w:cs="Arial"/>
        </w:rPr>
        <w:t> </w:t>
      </w:r>
    </w:p>
    <w:p w14:paraId="518752A3"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18D62757" w14:textId="4F7A073D"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Alongside the recommendations for the new children's act, the inquiry report by Lord Laming also recommended the creation of a new role in England, independent from government and politics, tasked with promoting and protecting the rights of children, especially the most vulnerable and standing up for their views. However, this had already been done in 2001 in Wales, and Peter Clarke became the first children's commissioner for Wales with the role of protecting the rights of children set out in the UNCRC. According to Thomas </w:t>
      </w:r>
      <w:r w:rsidRPr="00F61D60">
        <w:rPr>
          <w:rStyle w:val="normaltextrun"/>
          <w:rFonts w:ascii="Arial" w:hAnsi="Arial" w:cs="Arial"/>
          <w:i/>
          <w:iCs/>
        </w:rPr>
        <w:t xml:space="preserve">et al </w:t>
      </w:r>
      <w:r w:rsidRPr="00F61D60">
        <w:rPr>
          <w:rStyle w:val="normaltextrun"/>
          <w:rFonts w:ascii="Arial" w:hAnsi="Arial" w:cs="Arial"/>
        </w:rPr>
        <w:t xml:space="preserve">(2010) the children's commissioner act gave the commissioner the powers extended from the Care Standards Act to include a wide range of agencies providing education or health care for children and the power to consider and make representations to the Assembly about matters affecting the rights of children in Wales. </w:t>
      </w:r>
      <w:r w:rsidRPr="00F61D60">
        <w:rPr>
          <w:rStyle w:val="eop"/>
          <w:rFonts w:ascii="Arial" w:hAnsi="Arial" w:cs="Arial"/>
        </w:rPr>
        <w:t> </w:t>
      </w:r>
    </w:p>
    <w:p w14:paraId="177488B4"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6AAFEF7F" w14:textId="6DE14177"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Thomas </w:t>
      </w:r>
      <w:r w:rsidRPr="00F61D60">
        <w:rPr>
          <w:rStyle w:val="normaltextrun"/>
          <w:rFonts w:ascii="Arial" w:hAnsi="Arial" w:cs="Arial"/>
          <w:i/>
          <w:iCs/>
        </w:rPr>
        <w:t>et al (</w:t>
      </w:r>
      <w:r w:rsidRPr="00F61D60">
        <w:rPr>
          <w:rStyle w:val="normaltextrun"/>
          <w:rFonts w:ascii="Arial" w:hAnsi="Arial" w:cs="Arial"/>
        </w:rPr>
        <w:t xml:space="preserve">2010) produced an evaluation of the role of the children’s commissioner in Wales and found that due to the death of Peter Clarke and the undertaking of a major inquiry early on it was difficult to fully answer if the role had been a success so far. However, the evaluation did state that it has become an indispensable part of the landscape in Wales, and time would enhance the awareness of the commissioner's office in young people (Thomas </w:t>
      </w:r>
      <w:r w:rsidRPr="00F61D60">
        <w:rPr>
          <w:rStyle w:val="normaltextrun"/>
          <w:rFonts w:ascii="Arial" w:hAnsi="Arial" w:cs="Arial"/>
          <w:i/>
          <w:iCs/>
        </w:rPr>
        <w:t xml:space="preserve">et </w:t>
      </w:r>
      <w:r w:rsidRPr="00F61D60">
        <w:rPr>
          <w:rStyle w:val="normaltextrun"/>
          <w:rFonts w:ascii="Arial" w:hAnsi="Arial" w:cs="Arial"/>
        </w:rPr>
        <w:t>al, 2010, p. 7)</w:t>
      </w:r>
      <w:r w:rsidR="00382BF5">
        <w:rPr>
          <w:rStyle w:val="normaltextrun"/>
          <w:rFonts w:ascii="Arial" w:hAnsi="Arial" w:cs="Arial"/>
        </w:rPr>
        <w:t xml:space="preserve">. </w:t>
      </w:r>
      <w:r w:rsidRPr="00F61D60">
        <w:rPr>
          <w:rStyle w:val="normaltextrun"/>
          <w:rFonts w:ascii="Arial" w:hAnsi="Arial" w:cs="Arial"/>
        </w:rPr>
        <w:t xml:space="preserve">Furthermore, the evaluation concluded that the office had done much to raise the profile and status of children and young people in Wales and so it can be drawn from this that the first 9 years of the </w:t>
      </w:r>
      <w:r w:rsidRPr="00F61D60">
        <w:rPr>
          <w:rStyle w:val="normaltextrun"/>
          <w:rFonts w:ascii="Arial" w:hAnsi="Arial" w:cs="Arial"/>
        </w:rPr>
        <w:lastRenderedPageBreak/>
        <w:t xml:space="preserve">children's commissioner's office had an enormous impact on the awareness of rights for children in Wales. </w:t>
      </w:r>
      <w:r w:rsidRPr="00F61D60">
        <w:rPr>
          <w:rStyle w:val="eop"/>
          <w:rFonts w:ascii="Arial" w:hAnsi="Arial" w:cs="Arial"/>
        </w:rPr>
        <w:t> </w:t>
      </w:r>
    </w:p>
    <w:p w14:paraId="475F7650"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7A83D27F" w14:textId="12B62668"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In addition to this, Croke </w:t>
      </w:r>
      <w:r w:rsidRPr="00F61D60">
        <w:rPr>
          <w:rStyle w:val="normaltextrun"/>
          <w:rFonts w:ascii="Arial" w:hAnsi="Arial" w:cs="Arial"/>
          <w:i/>
          <w:iCs/>
        </w:rPr>
        <w:t xml:space="preserve">et al </w:t>
      </w:r>
      <w:r w:rsidRPr="00F61D60">
        <w:rPr>
          <w:rStyle w:val="normaltextrun"/>
          <w:rFonts w:ascii="Arial" w:hAnsi="Arial" w:cs="Arial"/>
        </w:rPr>
        <w:t xml:space="preserve">(2021) conducted research into how the children's rights had been integrated with children’s rights since the creation of the children's commissioner post. They found that the creation of the children's commissioner role had had a significant impact on children’s lives, especially with regards to raising awareness of rights and supporting the most vulnerable children (Croke </w:t>
      </w:r>
      <w:r w:rsidRPr="00F61D60">
        <w:rPr>
          <w:rStyle w:val="normaltextrun"/>
          <w:rFonts w:ascii="Arial" w:hAnsi="Arial" w:cs="Arial"/>
          <w:i/>
          <w:iCs/>
        </w:rPr>
        <w:t xml:space="preserve">et al, </w:t>
      </w:r>
      <w:r w:rsidRPr="00F61D60">
        <w:rPr>
          <w:rStyle w:val="normaltextrun"/>
          <w:rFonts w:ascii="Arial" w:hAnsi="Arial" w:cs="Arial"/>
        </w:rPr>
        <w:t>2021, p.17)</w:t>
      </w:r>
      <w:r w:rsidR="00382BF5">
        <w:rPr>
          <w:rStyle w:val="normaltextrun"/>
          <w:rFonts w:ascii="Arial" w:hAnsi="Arial" w:cs="Arial"/>
          <w:i/>
          <w:iCs/>
        </w:rPr>
        <w:t xml:space="preserve">. </w:t>
      </w:r>
      <w:r w:rsidRPr="00F61D60">
        <w:rPr>
          <w:rStyle w:val="normaltextrun"/>
          <w:rFonts w:ascii="Arial" w:hAnsi="Arial" w:cs="Arial"/>
        </w:rPr>
        <w:t xml:space="preserve">However, they did argue that the impact could be improved by extending the due regard duty to more public bodies across Wales. They also studied the impact the office had on involving children in decision making, and found that overall there was room for improvement, stating further work was required to embed children's participation in routine decision making in public bodies (Croke </w:t>
      </w:r>
      <w:r w:rsidRPr="00F61D60">
        <w:rPr>
          <w:rStyle w:val="normaltextrun"/>
          <w:rFonts w:ascii="Arial" w:hAnsi="Arial" w:cs="Arial"/>
          <w:i/>
          <w:iCs/>
        </w:rPr>
        <w:t>et al</w:t>
      </w:r>
      <w:r w:rsidRPr="00F61D60">
        <w:rPr>
          <w:rStyle w:val="normaltextrun"/>
          <w:rFonts w:ascii="Arial" w:hAnsi="Arial" w:cs="Arial"/>
        </w:rPr>
        <w:t>, 2021, p. 17)</w:t>
      </w:r>
      <w:r w:rsidRPr="00F61D60">
        <w:rPr>
          <w:rStyle w:val="eop"/>
          <w:rFonts w:ascii="Arial" w:hAnsi="Arial" w:cs="Arial"/>
        </w:rPr>
        <w:t>.</w:t>
      </w:r>
    </w:p>
    <w:p w14:paraId="697DB8D4"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2E2F398A" w14:textId="17288E16"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In conclusion, the creation of the role of children’s commissioner has certainly had a positive impact in Wales on early childhood. With regards to historical political context, improvements due to the work of </w:t>
      </w:r>
      <w:proofErr w:type="spellStart"/>
      <w:r w:rsidRPr="00F61D60">
        <w:rPr>
          <w:rStyle w:val="normaltextrun"/>
          <w:rFonts w:ascii="Arial" w:hAnsi="Arial" w:cs="Arial"/>
        </w:rPr>
        <w:t>Elganyte</w:t>
      </w:r>
      <w:proofErr w:type="spellEnd"/>
      <w:r w:rsidRPr="00F61D60">
        <w:rPr>
          <w:rStyle w:val="normaltextrun"/>
          <w:rFonts w:ascii="Arial" w:hAnsi="Arial" w:cs="Arial"/>
        </w:rPr>
        <w:t xml:space="preserve"> </w:t>
      </w:r>
      <w:proofErr w:type="spellStart"/>
      <w:r w:rsidRPr="00F61D60">
        <w:rPr>
          <w:rStyle w:val="normaltextrun"/>
          <w:rFonts w:ascii="Arial" w:hAnsi="Arial" w:cs="Arial"/>
        </w:rPr>
        <w:t>Jebb</w:t>
      </w:r>
      <w:proofErr w:type="spellEnd"/>
      <w:r w:rsidRPr="00F61D60">
        <w:rPr>
          <w:rStyle w:val="normaltextrun"/>
          <w:rFonts w:ascii="Arial" w:hAnsi="Arial" w:cs="Arial"/>
        </w:rPr>
        <w:t xml:space="preserve"> and others laid the foundation for the creation of the UNCRC, and it has undisputedly had a massive impact on early childhood across the world. Since the development of statute laws in the UK with regards to children’s rights over the last 40 years, it can be argued nothing has had more of an impact on early childhood than the creation of the role of children’s commissioner. The role has certainly led to an increase in young children knowing the rights they are entitled too, and it has become a well-respected independent office (Thomas </w:t>
      </w:r>
      <w:r w:rsidRPr="00F61D60">
        <w:rPr>
          <w:rStyle w:val="normaltextrun"/>
          <w:rFonts w:ascii="Arial" w:hAnsi="Arial" w:cs="Arial"/>
          <w:i/>
          <w:iCs/>
        </w:rPr>
        <w:t xml:space="preserve">et al, </w:t>
      </w:r>
      <w:r w:rsidRPr="00F61D60">
        <w:rPr>
          <w:rStyle w:val="normaltextrun"/>
          <w:rFonts w:ascii="Arial" w:hAnsi="Arial" w:cs="Arial"/>
        </w:rPr>
        <w:t xml:space="preserve">2010). It can be argued that the ratification of the UNCRC into UK law helped start make young children aware of their rights, but research agrees that before the creation of children's commissioners, childhood knowledge of the articles was lower. Literature argues more can be done by children’s commissioners to have more of an impact, and that is something must be enacted upon, but in Wales it must be said the role has certainly had a positive impact so far. </w:t>
      </w:r>
      <w:r w:rsidRPr="00F61D60">
        <w:rPr>
          <w:rStyle w:val="eop"/>
          <w:rFonts w:ascii="Arial" w:hAnsi="Arial" w:cs="Arial"/>
        </w:rPr>
        <w:t> </w:t>
      </w:r>
    </w:p>
    <w:p w14:paraId="09DF9925"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64BF3015"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r w:rsidRPr="00F61D60">
        <w:rPr>
          <w:rStyle w:val="eop"/>
          <w:rFonts w:ascii="Arial" w:hAnsi="Arial" w:cs="Arial"/>
        </w:rPr>
        <w:t> </w:t>
      </w:r>
    </w:p>
    <w:p w14:paraId="7B9AC2E9" w14:textId="77777777" w:rsidR="00F61D60" w:rsidRDefault="00F61D60" w:rsidP="00CA67C5">
      <w:pPr>
        <w:pStyle w:val="paragraph"/>
        <w:spacing w:before="0" w:beforeAutospacing="0" w:after="0" w:afterAutospacing="0" w:line="360" w:lineRule="auto"/>
        <w:jc w:val="both"/>
        <w:textAlignment w:val="baseline"/>
        <w:rPr>
          <w:rStyle w:val="normaltextrun"/>
          <w:rFonts w:ascii="Arial" w:hAnsi="Arial" w:cs="Arial"/>
          <w:u w:val="single"/>
        </w:rPr>
      </w:pPr>
    </w:p>
    <w:p w14:paraId="2330549D" w14:textId="77777777" w:rsidR="00F61D60" w:rsidRDefault="00F61D60" w:rsidP="00CA67C5">
      <w:pPr>
        <w:pStyle w:val="paragraph"/>
        <w:spacing w:before="0" w:beforeAutospacing="0" w:after="0" w:afterAutospacing="0" w:line="360" w:lineRule="auto"/>
        <w:jc w:val="both"/>
        <w:textAlignment w:val="baseline"/>
        <w:rPr>
          <w:rStyle w:val="normaltextrun"/>
          <w:rFonts w:ascii="Arial" w:hAnsi="Arial" w:cs="Arial"/>
          <w:u w:val="single"/>
        </w:rPr>
      </w:pPr>
    </w:p>
    <w:p w14:paraId="78B42A57" w14:textId="77777777" w:rsidR="00F61D60" w:rsidRDefault="00F61D60" w:rsidP="00CA67C5">
      <w:pPr>
        <w:pStyle w:val="paragraph"/>
        <w:spacing w:before="0" w:beforeAutospacing="0" w:after="0" w:afterAutospacing="0" w:line="360" w:lineRule="auto"/>
        <w:jc w:val="both"/>
        <w:textAlignment w:val="baseline"/>
        <w:rPr>
          <w:rStyle w:val="normaltextrun"/>
          <w:rFonts w:ascii="Arial" w:hAnsi="Arial" w:cs="Arial"/>
          <w:u w:val="single"/>
        </w:rPr>
      </w:pPr>
    </w:p>
    <w:p w14:paraId="15A48460" w14:textId="28CDC2BA" w:rsidR="00CA67C5" w:rsidRPr="00382BF5" w:rsidRDefault="00CA67C5" w:rsidP="00CA67C5">
      <w:pPr>
        <w:pStyle w:val="paragraph"/>
        <w:spacing w:before="0" w:beforeAutospacing="0" w:after="0" w:afterAutospacing="0" w:line="360" w:lineRule="auto"/>
        <w:jc w:val="both"/>
        <w:textAlignment w:val="baseline"/>
        <w:rPr>
          <w:rFonts w:ascii="Arial" w:hAnsi="Arial" w:cs="Arial"/>
          <w:b/>
          <w:bCs/>
        </w:rPr>
      </w:pPr>
      <w:r w:rsidRPr="00382BF5">
        <w:rPr>
          <w:rStyle w:val="normaltextrun"/>
          <w:rFonts w:ascii="Arial" w:hAnsi="Arial" w:cs="Arial"/>
          <w:b/>
          <w:bCs/>
          <w:u w:val="single"/>
        </w:rPr>
        <w:lastRenderedPageBreak/>
        <w:t xml:space="preserve">Section </w:t>
      </w:r>
      <w:r w:rsidRPr="00382BF5">
        <w:rPr>
          <w:rStyle w:val="normaltextrun"/>
          <w:rFonts w:ascii="Arial" w:hAnsi="Arial" w:cs="Arial"/>
          <w:b/>
          <w:bCs/>
          <w:u w:val="single"/>
        </w:rPr>
        <w:t>3</w:t>
      </w:r>
      <w:r w:rsidRPr="00382BF5">
        <w:rPr>
          <w:rStyle w:val="eop"/>
          <w:rFonts w:ascii="Arial" w:hAnsi="Arial" w:cs="Arial"/>
          <w:b/>
          <w:bCs/>
        </w:rPr>
        <w:t> </w:t>
      </w:r>
    </w:p>
    <w:p w14:paraId="518C9184" w14:textId="45D9DCC0"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r w:rsidRPr="00F61D60">
        <w:rPr>
          <w:rStyle w:val="eop"/>
          <w:rFonts w:ascii="Arial" w:hAnsi="Arial" w:cs="Arial"/>
        </w:rPr>
        <w:t>  </w:t>
      </w:r>
    </w:p>
    <w:p w14:paraId="18B74FB2" w14:textId="48B19155"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The original study on the impact of adverse childhood experiences, or ACE’s, began in the 1980’s at Kaiser Permanente clinics as Dr Vincent </w:t>
      </w:r>
      <w:proofErr w:type="spellStart"/>
      <w:r w:rsidRPr="00F61D60">
        <w:rPr>
          <w:rStyle w:val="normaltextrun"/>
          <w:rFonts w:ascii="Arial" w:hAnsi="Arial" w:cs="Arial"/>
        </w:rPr>
        <w:t>Felliti</w:t>
      </w:r>
      <w:proofErr w:type="spellEnd"/>
      <w:r w:rsidRPr="00F61D60">
        <w:rPr>
          <w:rStyle w:val="normaltextrun"/>
          <w:rFonts w:ascii="Arial" w:hAnsi="Arial" w:cs="Arial"/>
        </w:rPr>
        <w:t xml:space="preserve"> wondered why people dropped out of his weight loss clinic despite evidence of weight loss (</w:t>
      </w:r>
      <w:proofErr w:type="spellStart"/>
      <w:r w:rsidRPr="00F61D60">
        <w:rPr>
          <w:rStyle w:val="normaltextrun"/>
          <w:rFonts w:ascii="Arial" w:hAnsi="Arial" w:cs="Arial"/>
        </w:rPr>
        <w:t>Grandall</w:t>
      </w:r>
      <w:proofErr w:type="spellEnd"/>
      <w:r w:rsidRPr="00F61D60">
        <w:rPr>
          <w:rStyle w:val="normaltextrun"/>
          <w:rFonts w:ascii="Arial" w:hAnsi="Arial" w:cs="Arial"/>
        </w:rPr>
        <w:t xml:space="preserve"> </w:t>
      </w:r>
      <w:r w:rsidRPr="00F61D60">
        <w:rPr>
          <w:rStyle w:val="normaltextrun"/>
          <w:rFonts w:ascii="Arial" w:hAnsi="Arial" w:cs="Arial"/>
          <w:i/>
          <w:iCs/>
        </w:rPr>
        <w:t>et al</w:t>
      </w:r>
      <w:r w:rsidRPr="00F61D60">
        <w:rPr>
          <w:rStyle w:val="normaltextrun"/>
          <w:rFonts w:ascii="Arial" w:hAnsi="Arial" w:cs="Arial"/>
        </w:rPr>
        <w:t xml:space="preserve">, 2019, p. 1-2). </w:t>
      </w:r>
      <w:r w:rsidRPr="00F61D60">
        <w:rPr>
          <w:rStyle w:val="eop"/>
          <w:rFonts w:ascii="Arial" w:hAnsi="Arial" w:cs="Arial"/>
        </w:rPr>
        <w:t> </w:t>
      </w:r>
    </w:p>
    <w:p w14:paraId="5F21479D"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4B7911DE" w14:textId="1AC534CB"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The studies found a strong correlation between experiencing multiple ACE’s as children (abuse, imprisonment, substance abuse etc.) and adult negative health indicators such as obesity, depression, and addiction among others (</w:t>
      </w:r>
      <w:proofErr w:type="spellStart"/>
      <w:r w:rsidRPr="00F61D60">
        <w:rPr>
          <w:rStyle w:val="normaltextrun"/>
          <w:rFonts w:ascii="Arial" w:hAnsi="Arial" w:cs="Arial"/>
        </w:rPr>
        <w:t>Grandall</w:t>
      </w:r>
      <w:proofErr w:type="spellEnd"/>
      <w:r w:rsidRPr="00F61D60">
        <w:rPr>
          <w:rStyle w:val="normaltextrun"/>
          <w:rFonts w:ascii="Arial" w:hAnsi="Arial" w:cs="Arial"/>
        </w:rPr>
        <w:t xml:space="preserve"> </w:t>
      </w:r>
      <w:r w:rsidRPr="00F61D60">
        <w:rPr>
          <w:rStyle w:val="normaltextrun"/>
          <w:rFonts w:ascii="Arial" w:hAnsi="Arial" w:cs="Arial"/>
          <w:i/>
          <w:iCs/>
        </w:rPr>
        <w:t>et al</w:t>
      </w:r>
      <w:r w:rsidRPr="00F61D60">
        <w:rPr>
          <w:rStyle w:val="normaltextrun"/>
          <w:rFonts w:ascii="Arial" w:hAnsi="Arial" w:cs="Arial"/>
        </w:rPr>
        <w:t xml:space="preserve">, 2019, p. 1-2). Following the original studies, many scholars have published research confirming the existence of ACE’s in childhood has negative impacts in adult life such as </w:t>
      </w:r>
      <w:proofErr w:type="spellStart"/>
      <w:r w:rsidRPr="00F61D60">
        <w:rPr>
          <w:rStyle w:val="normaltextrun"/>
          <w:rFonts w:ascii="Arial" w:hAnsi="Arial" w:cs="Arial"/>
        </w:rPr>
        <w:t>Naryan</w:t>
      </w:r>
      <w:proofErr w:type="spellEnd"/>
      <w:r w:rsidRPr="00F61D60">
        <w:rPr>
          <w:rStyle w:val="normaltextrun"/>
          <w:rFonts w:ascii="Arial" w:hAnsi="Arial" w:cs="Arial"/>
        </w:rPr>
        <w:t xml:space="preserve">, Lieberman and </w:t>
      </w:r>
      <w:proofErr w:type="spellStart"/>
      <w:r w:rsidRPr="00F61D60">
        <w:rPr>
          <w:rStyle w:val="normaltextrun"/>
          <w:rFonts w:ascii="Arial" w:hAnsi="Arial" w:cs="Arial"/>
        </w:rPr>
        <w:t>Masten</w:t>
      </w:r>
      <w:proofErr w:type="spellEnd"/>
      <w:r w:rsidRPr="00F61D60">
        <w:rPr>
          <w:rStyle w:val="normaltextrun"/>
          <w:rFonts w:ascii="Arial" w:hAnsi="Arial" w:cs="Arial"/>
        </w:rPr>
        <w:t xml:space="preserve"> (2021) and Schilling, </w:t>
      </w:r>
      <w:proofErr w:type="spellStart"/>
      <w:r w:rsidRPr="00F61D60">
        <w:rPr>
          <w:rStyle w:val="normaltextrun"/>
          <w:rFonts w:ascii="Arial" w:hAnsi="Arial" w:cs="Arial"/>
        </w:rPr>
        <w:t>Aseltine</w:t>
      </w:r>
      <w:proofErr w:type="spellEnd"/>
      <w:r w:rsidRPr="00F61D60">
        <w:rPr>
          <w:rStyle w:val="normaltextrun"/>
          <w:rFonts w:ascii="Arial" w:hAnsi="Arial" w:cs="Arial"/>
        </w:rPr>
        <w:t xml:space="preserve"> Jr and Gore (2007) to name a few. Some authors have suggested that negative adult behaviours were influenced throughout the twentieth century due to several factors, however research by Dube </w:t>
      </w:r>
      <w:r w:rsidRPr="00F61D60">
        <w:rPr>
          <w:rStyle w:val="normaltextrun"/>
          <w:rFonts w:ascii="Arial" w:hAnsi="Arial" w:cs="Arial"/>
          <w:i/>
          <w:iCs/>
        </w:rPr>
        <w:t>et al (</w:t>
      </w:r>
      <w:r w:rsidRPr="00F61D60">
        <w:rPr>
          <w:rStyle w:val="normaltextrun"/>
          <w:rFonts w:ascii="Arial" w:hAnsi="Arial" w:cs="Arial"/>
        </w:rPr>
        <w:t xml:space="preserve">2003, p. 275) found that their evidence offered compelling evidence that behaviours known to increase the risk of chronic diseases have had their origins in childhood, regardless of other influences. This confirms that ACE’s are one of the primary causes of negative adult health problems in later life. </w:t>
      </w:r>
      <w:r w:rsidRPr="00F61D60">
        <w:rPr>
          <w:rStyle w:val="eop"/>
          <w:rFonts w:ascii="Arial" w:hAnsi="Arial" w:cs="Arial"/>
        </w:rPr>
        <w:t> </w:t>
      </w:r>
    </w:p>
    <w:p w14:paraId="1A8712A9"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7EAF3FF2" w14:textId="4AE398BD"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Research by Schilling, </w:t>
      </w:r>
      <w:proofErr w:type="spellStart"/>
      <w:r w:rsidRPr="00F61D60">
        <w:rPr>
          <w:rStyle w:val="normaltextrun"/>
          <w:rFonts w:ascii="Arial" w:hAnsi="Arial" w:cs="Arial"/>
        </w:rPr>
        <w:t>Aseltine</w:t>
      </w:r>
      <w:proofErr w:type="spellEnd"/>
      <w:r w:rsidRPr="00F61D60">
        <w:rPr>
          <w:rStyle w:val="normaltextrun"/>
          <w:rFonts w:ascii="Arial" w:hAnsi="Arial" w:cs="Arial"/>
        </w:rPr>
        <w:t xml:space="preserve"> Jr and Gore (2007, pp. 9) studied socially and economically deprived young adults in an urban environment that reported multiple instances of ACE’s. They reported a strong association between childhood adversity and depressive symptoms, antisocial behaviour, and drug use during the early transition to adulthood. Following the findings, they recommended a critical need for prevention and intervention strategies targeting ACE’s and their mental impacts. </w:t>
      </w:r>
      <w:r w:rsidRPr="00F61D60">
        <w:rPr>
          <w:rStyle w:val="eop"/>
          <w:rFonts w:ascii="Arial" w:hAnsi="Arial" w:cs="Arial"/>
        </w:rPr>
        <w:t> </w:t>
      </w:r>
    </w:p>
    <w:p w14:paraId="18675F1B"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24352000" w14:textId="50B85D7C"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proofErr w:type="spellStart"/>
      <w:r w:rsidRPr="00F61D60">
        <w:rPr>
          <w:rStyle w:val="normaltextrun"/>
          <w:rFonts w:ascii="Arial" w:hAnsi="Arial" w:cs="Arial"/>
        </w:rPr>
        <w:t>Naryan</w:t>
      </w:r>
      <w:proofErr w:type="spellEnd"/>
      <w:r w:rsidRPr="00F61D60">
        <w:rPr>
          <w:rStyle w:val="normaltextrun"/>
          <w:rFonts w:ascii="Arial" w:hAnsi="Arial" w:cs="Arial"/>
        </w:rPr>
        <w:t xml:space="preserve">, Lieberman and </w:t>
      </w:r>
      <w:proofErr w:type="spellStart"/>
      <w:r w:rsidRPr="00F61D60">
        <w:rPr>
          <w:rStyle w:val="normaltextrun"/>
          <w:rFonts w:ascii="Arial" w:hAnsi="Arial" w:cs="Arial"/>
        </w:rPr>
        <w:t>Masten</w:t>
      </w:r>
      <w:proofErr w:type="spellEnd"/>
      <w:r w:rsidRPr="00F61D60">
        <w:rPr>
          <w:rStyle w:val="normaltextrun"/>
          <w:rFonts w:ascii="Arial" w:hAnsi="Arial" w:cs="Arial"/>
        </w:rPr>
        <w:t xml:space="preserve"> (2012, p. 8) studied the transmission of ACE’s between generations and acknowledged a clear link between ACE’s and negative effects in later life. They again placed a huge importance on early intervention and screening to negate the possible impact of ACE’s in later life, also discussing how adults suffering from ACE’s were more likely to repeat the cycle on their own children. Taking that into consideration, it makes early intervention and support services to tackle ACE’s even more important as the cycle is particularly difficult to break. </w:t>
      </w:r>
      <w:r w:rsidRPr="00F61D60">
        <w:rPr>
          <w:rStyle w:val="eop"/>
          <w:rFonts w:ascii="Arial" w:hAnsi="Arial" w:cs="Arial"/>
        </w:rPr>
        <w:t> </w:t>
      </w:r>
    </w:p>
    <w:p w14:paraId="4BE72D3F"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251967DC" w14:textId="7EBFA37F"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With a plethora of research and evidence to support the claim that ACE’s have an incredibly negative effect on later life, as early years practitioners it is vital that the correct intervention and services are in place to help children at risk of suffering from ACE’s and to help those already exposed. </w:t>
      </w:r>
      <w:r w:rsidRPr="00F61D60">
        <w:rPr>
          <w:rStyle w:val="eop"/>
          <w:rFonts w:ascii="Arial" w:hAnsi="Arial" w:cs="Arial"/>
        </w:rPr>
        <w:t> </w:t>
      </w:r>
    </w:p>
    <w:p w14:paraId="18F048A2"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5AB21DD0" w14:textId="551F2E51"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Early intervention has become widely used in many countries as a strategy to help vulnerable children and families due to it being proven to prevent or minimise the physical, cognitive, emotional and resource limitations of biologically or environmentally disadvantaged children (Blackman, 2002, p. 11). Therefore, it is commonly used in the early years to help reduce the risk of sociological issues facing children, such as ACE’s. According to the Early Intervention Foundation website (2022) it can take many forms such as home visiting programmes, to school-based programmes and mentoring schemes for young people vulnerable to involvement in crime. </w:t>
      </w:r>
      <w:r w:rsidRPr="00F61D60">
        <w:rPr>
          <w:rStyle w:val="eop"/>
          <w:rFonts w:ascii="Arial" w:hAnsi="Arial" w:cs="Arial"/>
        </w:rPr>
        <w:t> </w:t>
      </w:r>
    </w:p>
    <w:p w14:paraId="2840AD7F"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7E2EABEB" w14:textId="70EC11C9" w:rsidR="00CA67C5"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According to </w:t>
      </w:r>
      <w:proofErr w:type="spellStart"/>
      <w:r w:rsidRPr="00F61D60">
        <w:rPr>
          <w:rStyle w:val="normaltextrun"/>
          <w:rFonts w:ascii="Arial" w:hAnsi="Arial" w:cs="Arial"/>
        </w:rPr>
        <w:t>Asmussen</w:t>
      </w:r>
      <w:proofErr w:type="spellEnd"/>
      <w:r w:rsidRPr="00F61D60">
        <w:rPr>
          <w:rStyle w:val="normaltextrun"/>
          <w:rFonts w:ascii="Arial" w:hAnsi="Arial" w:cs="Arial"/>
        </w:rPr>
        <w:t xml:space="preserve">, </w:t>
      </w:r>
      <w:proofErr w:type="spellStart"/>
      <w:r w:rsidRPr="00F61D60">
        <w:rPr>
          <w:rStyle w:val="normaltextrun"/>
          <w:rFonts w:ascii="Arial" w:hAnsi="Arial" w:cs="Arial"/>
        </w:rPr>
        <w:t>Mcbride</w:t>
      </w:r>
      <w:proofErr w:type="spellEnd"/>
      <w:r w:rsidRPr="00F61D60">
        <w:rPr>
          <w:rStyle w:val="normaltextrun"/>
          <w:rFonts w:ascii="Arial" w:hAnsi="Arial" w:cs="Arial"/>
        </w:rPr>
        <w:t xml:space="preserve"> and Waddell (2019, p. 428) the complex nature of ACE’s mean that there is no single or simple solution to the problem, and system wide strategies involving multiple interventions would be best suited to prevent and/or reduce the impact of ACE’s. They recommend universal interventions as an inexpensive way through health visiting or schools. These include perinatal mental health screenings and Social-Emotional health interventions which are supported by consistent casual evidence of improving children's well-being and reducing substance misuse (</w:t>
      </w:r>
      <w:proofErr w:type="spellStart"/>
      <w:r w:rsidRPr="00F61D60">
        <w:rPr>
          <w:rStyle w:val="normaltextrun"/>
          <w:rFonts w:ascii="Arial" w:hAnsi="Arial" w:cs="Arial"/>
        </w:rPr>
        <w:t>Asmussen</w:t>
      </w:r>
      <w:proofErr w:type="spellEnd"/>
      <w:r w:rsidRPr="00F61D60">
        <w:rPr>
          <w:rStyle w:val="normaltextrun"/>
          <w:rFonts w:ascii="Arial" w:hAnsi="Arial" w:cs="Arial"/>
        </w:rPr>
        <w:t xml:space="preserve">, </w:t>
      </w:r>
      <w:proofErr w:type="spellStart"/>
      <w:r w:rsidRPr="00F61D60">
        <w:rPr>
          <w:rStyle w:val="normaltextrun"/>
          <w:rFonts w:ascii="Arial" w:hAnsi="Arial" w:cs="Arial"/>
        </w:rPr>
        <w:t>Mcbride</w:t>
      </w:r>
      <w:proofErr w:type="spellEnd"/>
      <w:r w:rsidRPr="00F61D60">
        <w:rPr>
          <w:rStyle w:val="normaltextrun"/>
          <w:rFonts w:ascii="Arial" w:hAnsi="Arial" w:cs="Arial"/>
        </w:rPr>
        <w:t xml:space="preserve"> and Waddell, 2019, p.428). Although the article recommends many suitable interventions, the authors are keen to point out that they cannot fully address all causes of ACE’s or the wider problems that contribute to them. Therefore, efforts to reduce ACE’s should not come at the expense of other endeavours including those aimed at reducing poverty, inequality, or other social problems. </w:t>
      </w:r>
      <w:r w:rsidRPr="00F61D60">
        <w:rPr>
          <w:rStyle w:val="eop"/>
          <w:rFonts w:ascii="Arial" w:hAnsi="Arial" w:cs="Arial"/>
        </w:rPr>
        <w:t> </w:t>
      </w:r>
    </w:p>
    <w:p w14:paraId="2B733A17" w14:textId="77777777" w:rsidR="00382BF5" w:rsidRPr="00F61D60" w:rsidRDefault="00382BF5" w:rsidP="00CA67C5">
      <w:pPr>
        <w:pStyle w:val="paragraph"/>
        <w:spacing w:before="0" w:beforeAutospacing="0" w:after="0" w:afterAutospacing="0" w:line="360" w:lineRule="auto"/>
        <w:jc w:val="both"/>
        <w:textAlignment w:val="baseline"/>
        <w:rPr>
          <w:rFonts w:ascii="Arial" w:hAnsi="Arial" w:cs="Arial"/>
        </w:rPr>
      </w:pPr>
    </w:p>
    <w:p w14:paraId="5F866422" w14:textId="1E95BC51"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One intervention program used by many settings in Wales is the flying start program. This was started to give support to pre-school children and parents living in many disadvantaged parts of Wales and Flying Start areas were chosen based on the levels of deprivation in the area (Hutchings </w:t>
      </w:r>
      <w:r w:rsidRPr="00F61D60">
        <w:rPr>
          <w:rStyle w:val="normaltextrun"/>
          <w:rFonts w:ascii="Arial" w:hAnsi="Arial" w:cs="Arial"/>
          <w:i/>
          <w:iCs/>
        </w:rPr>
        <w:t xml:space="preserve">et al, </w:t>
      </w:r>
      <w:r w:rsidRPr="00F61D60">
        <w:rPr>
          <w:rStyle w:val="normaltextrun"/>
          <w:rFonts w:ascii="Arial" w:hAnsi="Arial" w:cs="Arial"/>
        </w:rPr>
        <w:t xml:space="preserve">2016, p. 4). Research has shown that the </w:t>
      </w:r>
      <w:r w:rsidRPr="00F61D60">
        <w:rPr>
          <w:rStyle w:val="normaltextrun"/>
          <w:rFonts w:ascii="Arial" w:hAnsi="Arial" w:cs="Arial"/>
        </w:rPr>
        <w:lastRenderedPageBreak/>
        <w:t xml:space="preserve">effect of ACE’s are typically more profound in those that come from disadvantaged backgrounds (Schilling, </w:t>
      </w:r>
      <w:proofErr w:type="spellStart"/>
      <w:r w:rsidRPr="00F61D60">
        <w:rPr>
          <w:rStyle w:val="normaltextrun"/>
          <w:rFonts w:ascii="Arial" w:hAnsi="Arial" w:cs="Arial"/>
        </w:rPr>
        <w:t>Aseltine</w:t>
      </w:r>
      <w:proofErr w:type="spellEnd"/>
      <w:r w:rsidRPr="00F61D60">
        <w:rPr>
          <w:rStyle w:val="normaltextrun"/>
          <w:rFonts w:ascii="Arial" w:hAnsi="Arial" w:cs="Arial"/>
        </w:rPr>
        <w:t xml:space="preserve"> Jr and Gore, 2007). Research by Hutchings </w:t>
      </w:r>
      <w:r w:rsidRPr="00F61D60">
        <w:rPr>
          <w:rStyle w:val="normaltextrun"/>
          <w:rFonts w:ascii="Arial" w:hAnsi="Arial" w:cs="Arial"/>
          <w:i/>
          <w:iCs/>
        </w:rPr>
        <w:t xml:space="preserve">et al </w:t>
      </w:r>
      <w:r w:rsidRPr="00F61D60">
        <w:rPr>
          <w:rStyle w:val="normaltextrun"/>
          <w:rFonts w:ascii="Arial" w:hAnsi="Arial" w:cs="Arial"/>
        </w:rPr>
        <w:t xml:space="preserve">(2016) assessed whether attendance in the program was found to have positive effect on observed parenting practices and measured the impact of the programme on child behaviour, development, and home environment. </w:t>
      </w:r>
      <w:r w:rsidRPr="00F61D60">
        <w:rPr>
          <w:rStyle w:val="eop"/>
          <w:rFonts w:ascii="Arial" w:hAnsi="Arial" w:cs="Arial"/>
        </w:rPr>
        <w:t> </w:t>
      </w:r>
    </w:p>
    <w:p w14:paraId="71663DCC"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41BC5FAB" w14:textId="7A5DBB29" w:rsidR="00CA67C5" w:rsidRPr="00F61D60" w:rsidRDefault="00CA67C5" w:rsidP="00CA67C5">
      <w:pPr>
        <w:pStyle w:val="paragraph"/>
        <w:spacing w:before="0" w:beforeAutospacing="0" w:after="0" w:afterAutospacing="0" w:line="360" w:lineRule="auto"/>
        <w:jc w:val="both"/>
        <w:textAlignment w:val="baseline"/>
        <w:rPr>
          <w:rStyle w:val="eop"/>
          <w:rFonts w:ascii="Arial" w:hAnsi="Arial" w:cs="Arial"/>
        </w:rPr>
      </w:pPr>
      <w:r w:rsidRPr="00F61D60">
        <w:rPr>
          <w:rStyle w:val="normaltextrun"/>
          <w:rFonts w:ascii="Arial" w:hAnsi="Arial" w:cs="Arial"/>
        </w:rPr>
        <w:t xml:space="preserve">The short-term findings of the research included significant increases in observed parental praise and parental metal wellbeing, and long term it demonstrated significant improvements for child development, quality of home environment, and parental depression. The results from this show that Flying Start is certainly an effective intervention programme with significant impact on parent child relationships. The fact the research showed an increase in parental praise and parental well-being means the intervention directly leads to reducing the risk of ACE’s in children. The Flying Start programme is one of a few offered in Wales to help reduce impact of coming from disadvantaged background but is as a result is evidenced to help reduce the risk of children suffering ACE’s. </w:t>
      </w:r>
      <w:r w:rsidRPr="00F61D60">
        <w:rPr>
          <w:rStyle w:val="eop"/>
          <w:rFonts w:ascii="Arial" w:hAnsi="Arial" w:cs="Arial"/>
        </w:rPr>
        <w:t> </w:t>
      </w:r>
    </w:p>
    <w:p w14:paraId="78E1FE11"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p>
    <w:p w14:paraId="72AEEB80" w14:textId="77777777" w:rsidR="00CA67C5" w:rsidRPr="00F61D60" w:rsidRDefault="00CA67C5" w:rsidP="00CA67C5">
      <w:pPr>
        <w:pStyle w:val="paragraph"/>
        <w:spacing w:before="0" w:beforeAutospacing="0" w:after="0" w:afterAutospacing="0" w:line="360" w:lineRule="auto"/>
        <w:jc w:val="both"/>
        <w:textAlignment w:val="baseline"/>
        <w:rPr>
          <w:rFonts w:ascii="Arial" w:hAnsi="Arial" w:cs="Arial"/>
        </w:rPr>
      </w:pPr>
      <w:r w:rsidRPr="00F61D60">
        <w:rPr>
          <w:rStyle w:val="normaltextrun"/>
          <w:rFonts w:ascii="Arial" w:hAnsi="Arial" w:cs="Arial"/>
        </w:rPr>
        <w:t xml:space="preserve">In conclusion, ACE’s are an extremely complex and complicated issue as they can happen instantly at home and in schools. Research show they play a significant impact in negative adult behaviours such as depression, obesity, or drug addiction and as a result they must be taken very seriously. However, as </w:t>
      </w:r>
      <w:proofErr w:type="spellStart"/>
      <w:r w:rsidRPr="00F61D60">
        <w:rPr>
          <w:rStyle w:val="normaltextrun"/>
          <w:rFonts w:ascii="Arial" w:hAnsi="Arial" w:cs="Arial"/>
        </w:rPr>
        <w:t>Asmussen</w:t>
      </w:r>
      <w:proofErr w:type="spellEnd"/>
      <w:r w:rsidRPr="00F61D60">
        <w:rPr>
          <w:rStyle w:val="normaltextrun"/>
          <w:rFonts w:ascii="Arial" w:hAnsi="Arial" w:cs="Arial"/>
        </w:rPr>
        <w:t xml:space="preserve">, </w:t>
      </w:r>
      <w:proofErr w:type="spellStart"/>
      <w:r w:rsidRPr="00F61D60">
        <w:rPr>
          <w:rStyle w:val="normaltextrun"/>
          <w:rFonts w:ascii="Arial" w:hAnsi="Arial" w:cs="Arial"/>
        </w:rPr>
        <w:t>Mcbride</w:t>
      </w:r>
      <w:proofErr w:type="spellEnd"/>
      <w:r w:rsidRPr="00F61D60">
        <w:rPr>
          <w:rStyle w:val="normaltextrun"/>
          <w:rFonts w:ascii="Arial" w:hAnsi="Arial" w:cs="Arial"/>
        </w:rPr>
        <w:t xml:space="preserve"> and Waddell (2019) are keen to point out, practitioners cannot focus on reducing the impact of ACE’s at the expense of not focusing on factors that cause them such as poverty. It is clear early intervention is essential for reducing the risk and impacts of ACE’s, and in Wales several programmes such as Families First and Flying start exist that are proven to help reduce the risk of children being exposed to ACE’s at an early age. </w:t>
      </w:r>
      <w:r w:rsidRPr="00F61D60">
        <w:rPr>
          <w:rStyle w:val="eop"/>
          <w:rFonts w:ascii="Arial" w:hAnsi="Arial" w:cs="Arial"/>
        </w:rPr>
        <w:t> </w:t>
      </w:r>
    </w:p>
    <w:p w14:paraId="1DC391B8" w14:textId="72B9FDCF" w:rsidR="006D48E8" w:rsidRPr="00F61D60" w:rsidRDefault="006D48E8" w:rsidP="00CA67C5">
      <w:pPr>
        <w:spacing w:line="360" w:lineRule="auto"/>
        <w:jc w:val="both"/>
        <w:rPr>
          <w:rFonts w:ascii="Arial" w:hAnsi="Arial" w:cs="Arial"/>
          <w:sz w:val="24"/>
          <w:szCs w:val="24"/>
        </w:rPr>
      </w:pPr>
    </w:p>
    <w:p w14:paraId="20C6F9C9" w14:textId="1AA0354B" w:rsidR="00382BF5" w:rsidRDefault="00382BF5" w:rsidP="00CA67C5">
      <w:pPr>
        <w:spacing w:line="360" w:lineRule="auto"/>
        <w:jc w:val="both"/>
        <w:rPr>
          <w:rFonts w:ascii="Arial" w:hAnsi="Arial" w:cs="Arial"/>
          <w:sz w:val="24"/>
          <w:szCs w:val="24"/>
        </w:rPr>
      </w:pPr>
    </w:p>
    <w:p w14:paraId="0F295025" w14:textId="3EF4635F" w:rsidR="00382BF5" w:rsidRDefault="00382BF5" w:rsidP="00CA67C5">
      <w:pPr>
        <w:spacing w:line="360" w:lineRule="auto"/>
        <w:jc w:val="both"/>
        <w:rPr>
          <w:rFonts w:ascii="Arial" w:hAnsi="Arial" w:cs="Arial"/>
          <w:sz w:val="24"/>
          <w:szCs w:val="24"/>
        </w:rPr>
      </w:pPr>
    </w:p>
    <w:p w14:paraId="40951BBD" w14:textId="3355EE8A" w:rsidR="00382BF5" w:rsidRDefault="00382BF5" w:rsidP="00CA67C5">
      <w:pPr>
        <w:spacing w:line="360" w:lineRule="auto"/>
        <w:jc w:val="both"/>
        <w:rPr>
          <w:rFonts w:ascii="Arial" w:hAnsi="Arial" w:cs="Arial"/>
          <w:sz w:val="24"/>
          <w:szCs w:val="24"/>
        </w:rPr>
      </w:pPr>
    </w:p>
    <w:p w14:paraId="0FFF0BFE" w14:textId="2EECEB2F" w:rsidR="00382BF5" w:rsidRPr="00382BF5" w:rsidRDefault="00382BF5" w:rsidP="00CA67C5">
      <w:pPr>
        <w:spacing w:line="360" w:lineRule="auto"/>
        <w:jc w:val="both"/>
        <w:rPr>
          <w:rFonts w:ascii="Arial" w:hAnsi="Arial" w:cs="Arial"/>
          <w:sz w:val="24"/>
          <w:szCs w:val="24"/>
          <w:u w:val="single"/>
        </w:rPr>
      </w:pPr>
    </w:p>
    <w:p w14:paraId="52073035" w14:textId="1640E48D" w:rsidR="00382BF5" w:rsidRDefault="00382BF5" w:rsidP="00CA67C5">
      <w:pPr>
        <w:spacing w:line="360" w:lineRule="auto"/>
        <w:jc w:val="both"/>
        <w:rPr>
          <w:rFonts w:ascii="Arial" w:hAnsi="Arial" w:cs="Arial"/>
          <w:sz w:val="24"/>
          <w:szCs w:val="24"/>
          <w:u w:val="single"/>
        </w:rPr>
      </w:pPr>
      <w:r w:rsidRPr="00382BF5">
        <w:rPr>
          <w:rFonts w:ascii="Arial" w:hAnsi="Arial" w:cs="Arial"/>
          <w:b/>
          <w:bCs/>
          <w:sz w:val="24"/>
          <w:szCs w:val="24"/>
          <w:u w:val="single"/>
        </w:rPr>
        <w:lastRenderedPageBreak/>
        <w:t>Reference List</w:t>
      </w:r>
    </w:p>
    <w:p w14:paraId="71D003F7" w14:textId="43D62FE5" w:rsidR="00D71C9B" w:rsidRDefault="00D71C9B" w:rsidP="00D71C9B">
      <w:pPr>
        <w:pStyle w:val="paragraph"/>
        <w:spacing w:before="0" w:beforeAutospacing="0" w:after="0" w:afterAutospacing="0"/>
        <w:textAlignment w:val="baseline"/>
        <w:rPr>
          <w:rStyle w:val="eop"/>
          <w:rFonts w:ascii="Arial" w:hAnsi="Arial" w:cs="Arial"/>
        </w:rPr>
      </w:pPr>
      <w:proofErr w:type="spellStart"/>
      <w:r>
        <w:rPr>
          <w:rStyle w:val="normaltextrun"/>
          <w:rFonts w:ascii="Arial" w:hAnsi="Arial" w:cs="Arial"/>
          <w:lang w:val="en-US"/>
        </w:rPr>
        <w:t>Asmussen</w:t>
      </w:r>
      <w:proofErr w:type="spellEnd"/>
      <w:r>
        <w:rPr>
          <w:rStyle w:val="normaltextrun"/>
          <w:rFonts w:ascii="Arial" w:hAnsi="Arial" w:cs="Arial"/>
          <w:lang w:val="en-US"/>
        </w:rPr>
        <w:t xml:space="preserve">, K, </w:t>
      </w:r>
      <w:proofErr w:type="spellStart"/>
      <w:r>
        <w:rPr>
          <w:rStyle w:val="normaltextrun"/>
          <w:rFonts w:ascii="Arial" w:hAnsi="Arial" w:cs="Arial"/>
          <w:lang w:val="en-US"/>
        </w:rPr>
        <w:t>Mcbride</w:t>
      </w:r>
      <w:proofErr w:type="spellEnd"/>
      <w:r>
        <w:rPr>
          <w:rStyle w:val="normaltextrun"/>
          <w:rFonts w:ascii="Arial" w:hAnsi="Arial" w:cs="Arial"/>
          <w:lang w:val="en-US"/>
        </w:rPr>
        <w:t xml:space="preserve">, T and Waddell, S. (2019) ‘The Potential of Early Intervention for Preventing and Reducing ACE-Related Trauma’, </w:t>
      </w:r>
      <w:r>
        <w:rPr>
          <w:rStyle w:val="normaltextrun"/>
          <w:rFonts w:ascii="Arial" w:hAnsi="Arial" w:cs="Arial"/>
          <w:i/>
          <w:iCs/>
          <w:lang w:val="en-US"/>
        </w:rPr>
        <w:t xml:space="preserve">Social Policy and Society, </w:t>
      </w:r>
      <w:r>
        <w:rPr>
          <w:rStyle w:val="normaltextrun"/>
          <w:rFonts w:ascii="Arial" w:hAnsi="Arial" w:cs="Arial"/>
          <w:lang w:val="en-US"/>
        </w:rPr>
        <w:t>18(3), pp. 425-434. DOI: 10.1017/S147474641900007</w:t>
      </w:r>
      <w:r>
        <w:rPr>
          <w:rStyle w:val="eop"/>
          <w:rFonts w:ascii="Arial" w:hAnsi="Arial" w:cs="Arial"/>
        </w:rPr>
        <w:t> </w:t>
      </w:r>
    </w:p>
    <w:p w14:paraId="0AF84155"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54350A99" w14:textId="6F2C0672"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Barbara, J. (2006) ‘Impact of War on Children and Imperative to End War’, </w:t>
      </w:r>
      <w:r>
        <w:rPr>
          <w:rStyle w:val="normaltextrun"/>
          <w:rFonts w:ascii="Arial" w:hAnsi="Arial" w:cs="Arial"/>
          <w:i/>
          <w:iCs/>
          <w:lang w:val="en-US"/>
        </w:rPr>
        <w:t xml:space="preserve">Croatian Medical Journal, </w:t>
      </w:r>
      <w:r>
        <w:rPr>
          <w:rStyle w:val="normaltextrun"/>
          <w:rFonts w:ascii="Arial" w:hAnsi="Arial" w:cs="Arial"/>
          <w:lang w:val="en-US"/>
        </w:rPr>
        <w:t xml:space="preserve">47(6), pp. 891-894. Available at: </w:t>
      </w:r>
      <w:r w:rsidRPr="00D71C9B">
        <w:rPr>
          <w:rStyle w:val="normaltextrun"/>
          <w:rFonts w:ascii="Arial" w:hAnsi="Arial" w:cs="Arial"/>
          <w:lang w:val="en-US"/>
        </w:rPr>
        <w:t>https://www.ncbi.nlm.nih.gov/pmc/articles/PMC2080482/</w:t>
      </w:r>
      <w:r>
        <w:rPr>
          <w:rStyle w:val="eop"/>
          <w:rFonts w:ascii="Arial" w:hAnsi="Arial" w:cs="Arial"/>
        </w:rPr>
        <w:t> </w:t>
      </w:r>
    </w:p>
    <w:p w14:paraId="1C9B5C59"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11E470C4" w14:textId="6C234DD1"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Blackman, J. ‘Early Intervention: A Global Perspective’, </w:t>
      </w:r>
      <w:r>
        <w:rPr>
          <w:rStyle w:val="normaltextrun"/>
          <w:rFonts w:ascii="Arial" w:hAnsi="Arial" w:cs="Arial"/>
          <w:i/>
          <w:iCs/>
        </w:rPr>
        <w:t>Infants and Young Children</w:t>
      </w:r>
      <w:r>
        <w:rPr>
          <w:rStyle w:val="normaltextrun"/>
          <w:rFonts w:ascii="Arial" w:hAnsi="Arial" w:cs="Arial"/>
        </w:rPr>
        <w:t>, 15(2), pp. 11-19.</w:t>
      </w:r>
      <w:r>
        <w:rPr>
          <w:rStyle w:val="eop"/>
          <w:rFonts w:ascii="Arial" w:hAnsi="Arial" w:cs="Arial"/>
        </w:rPr>
        <w:t> </w:t>
      </w:r>
    </w:p>
    <w:p w14:paraId="216D2A76"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03C6D93C" w14:textId="7402BB1E"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Canning, N and Callan, S. (2010) ‘Heutagogy: spirals of reflection to empower learners in higher education’, </w:t>
      </w:r>
      <w:r>
        <w:rPr>
          <w:rStyle w:val="normaltextrun"/>
          <w:rFonts w:ascii="Arial" w:hAnsi="Arial" w:cs="Arial"/>
          <w:i/>
          <w:iCs/>
          <w:lang w:val="en-US"/>
        </w:rPr>
        <w:t xml:space="preserve">Reflective Practice, </w:t>
      </w:r>
      <w:r>
        <w:rPr>
          <w:rStyle w:val="normaltextrun"/>
          <w:rFonts w:ascii="Arial" w:hAnsi="Arial" w:cs="Arial"/>
          <w:lang w:val="en-US"/>
        </w:rPr>
        <w:t>11(1), pp. 71-82. DOI: 10.1080/14623940903500069</w:t>
      </w:r>
      <w:r>
        <w:rPr>
          <w:rStyle w:val="eop"/>
          <w:rFonts w:ascii="Arial" w:hAnsi="Arial" w:cs="Arial"/>
        </w:rPr>
        <w:t> </w:t>
      </w:r>
    </w:p>
    <w:p w14:paraId="27D16E54"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7E8897F4" w14:textId="28824CE1"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Child Rights International Network (2001) </w:t>
      </w:r>
      <w:r>
        <w:rPr>
          <w:rStyle w:val="normaltextrun"/>
          <w:rFonts w:ascii="Arial" w:hAnsi="Arial" w:cs="Arial"/>
          <w:i/>
          <w:iCs/>
          <w:lang w:val="en-US"/>
        </w:rPr>
        <w:t xml:space="preserve">Declaration of the rights of the child – 1923. </w:t>
      </w:r>
      <w:r>
        <w:rPr>
          <w:rStyle w:val="normaltextrun"/>
          <w:rFonts w:ascii="Arial" w:hAnsi="Arial" w:cs="Arial"/>
          <w:lang w:val="en-US"/>
        </w:rPr>
        <w:t>Available at: https://archive.crin.org/en/library/un-regional-documentation/declaration-rights-child-1923.html (Accessed 25 March 2022)</w:t>
      </w:r>
      <w:r>
        <w:rPr>
          <w:rStyle w:val="eop"/>
          <w:rFonts w:ascii="Arial" w:hAnsi="Arial" w:cs="Arial"/>
        </w:rPr>
        <w:t> </w:t>
      </w:r>
    </w:p>
    <w:p w14:paraId="29CC2EB4"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593A5E94" w14:textId="19287680" w:rsidR="00D71C9B" w:rsidRDefault="00D71C9B" w:rsidP="00D71C9B">
      <w:pPr>
        <w:pStyle w:val="paragraph"/>
        <w:spacing w:before="0" w:beforeAutospacing="0" w:after="0" w:afterAutospacing="0"/>
        <w:textAlignment w:val="baseline"/>
        <w:rPr>
          <w:rStyle w:val="eop"/>
          <w:rFonts w:ascii="Arial" w:hAnsi="Arial" w:cs="Arial"/>
        </w:rPr>
      </w:pPr>
      <w:proofErr w:type="spellStart"/>
      <w:r>
        <w:rPr>
          <w:rStyle w:val="normaltextrun"/>
          <w:rFonts w:ascii="Arial" w:hAnsi="Arial" w:cs="Arial"/>
          <w:lang w:val="en-US"/>
        </w:rPr>
        <w:t>Cigala</w:t>
      </w:r>
      <w:proofErr w:type="spellEnd"/>
      <w:r>
        <w:rPr>
          <w:rStyle w:val="normaltextrun"/>
          <w:rFonts w:ascii="Arial" w:hAnsi="Arial" w:cs="Arial"/>
          <w:lang w:val="en-US"/>
        </w:rPr>
        <w:t xml:space="preserve">, A, </w:t>
      </w:r>
      <w:proofErr w:type="spellStart"/>
      <w:r>
        <w:rPr>
          <w:rStyle w:val="normaltextrun"/>
          <w:rFonts w:ascii="Arial" w:hAnsi="Arial" w:cs="Arial"/>
          <w:lang w:val="en-US"/>
        </w:rPr>
        <w:t>Venturelli</w:t>
      </w:r>
      <w:proofErr w:type="spellEnd"/>
      <w:r>
        <w:rPr>
          <w:rStyle w:val="normaltextrun"/>
          <w:rFonts w:ascii="Arial" w:hAnsi="Arial" w:cs="Arial"/>
          <w:lang w:val="en-US"/>
        </w:rPr>
        <w:t xml:space="preserve">, E and </w:t>
      </w:r>
      <w:proofErr w:type="spellStart"/>
      <w:r>
        <w:rPr>
          <w:rStyle w:val="normaltextrun"/>
          <w:rFonts w:ascii="Arial" w:hAnsi="Arial" w:cs="Arial"/>
          <w:lang w:val="en-US"/>
        </w:rPr>
        <w:t>Bassetti</w:t>
      </w:r>
      <w:proofErr w:type="spellEnd"/>
      <w:r>
        <w:rPr>
          <w:rStyle w:val="normaltextrun"/>
          <w:rFonts w:ascii="Arial" w:hAnsi="Arial" w:cs="Arial"/>
          <w:lang w:val="en-US"/>
        </w:rPr>
        <w:t>, M. (2019) ‘Reflective Practice: A method to improve teachers’ well-being. A longitudinal training in early childhood education and care centers’, Frontiers</w:t>
      </w:r>
      <w:r>
        <w:rPr>
          <w:rStyle w:val="normaltextrun"/>
          <w:rFonts w:ascii="Arial" w:hAnsi="Arial" w:cs="Arial"/>
          <w:i/>
          <w:iCs/>
          <w:lang w:val="en-US"/>
        </w:rPr>
        <w:t xml:space="preserve"> in Psychology, </w:t>
      </w:r>
      <w:r>
        <w:rPr>
          <w:rStyle w:val="normaltextrun"/>
          <w:rFonts w:ascii="Arial" w:hAnsi="Arial" w:cs="Arial"/>
          <w:lang w:val="en-US"/>
        </w:rPr>
        <w:t>10, pp. 1-12.</w:t>
      </w:r>
      <w:r>
        <w:rPr>
          <w:rStyle w:val="normaltextrun"/>
          <w:rFonts w:ascii="Arial" w:hAnsi="Arial" w:cs="Arial"/>
          <w:i/>
          <w:iCs/>
          <w:lang w:val="en-US"/>
        </w:rPr>
        <w:t xml:space="preserve"> </w:t>
      </w:r>
      <w:r>
        <w:rPr>
          <w:rStyle w:val="normaltextrun"/>
          <w:rFonts w:ascii="Arial" w:hAnsi="Arial" w:cs="Arial"/>
          <w:lang w:val="en-US"/>
        </w:rPr>
        <w:t>DOI: 10.3389/fpsyg.2019.02574   </w:t>
      </w:r>
      <w:r>
        <w:rPr>
          <w:rStyle w:val="eop"/>
          <w:rFonts w:ascii="Arial" w:hAnsi="Arial" w:cs="Arial"/>
        </w:rPr>
        <w:t> </w:t>
      </w:r>
    </w:p>
    <w:p w14:paraId="4056CE70"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2F4B462F" w14:textId="5D3A7288" w:rsidR="00D71C9B" w:rsidRDefault="00D71C9B" w:rsidP="00D71C9B">
      <w:pPr>
        <w:pStyle w:val="paragraph"/>
        <w:spacing w:before="0" w:beforeAutospacing="0" w:after="0" w:afterAutospacing="0"/>
        <w:textAlignment w:val="baseline"/>
        <w:rPr>
          <w:rStyle w:val="eop"/>
          <w:rFonts w:ascii="Arial" w:hAnsi="Arial" w:cs="Arial"/>
        </w:rPr>
      </w:pPr>
      <w:proofErr w:type="spellStart"/>
      <w:r>
        <w:rPr>
          <w:rStyle w:val="normaltextrun"/>
          <w:rFonts w:ascii="Arial" w:hAnsi="Arial" w:cs="Arial"/>
          <w:lang w:val="en-US"/>
        </w:rPr>
        <w:t>Çimer</w:t>
      </w:r>
      <w:proofErr w:type="spellEnd"/>
      <w:r>
        <w:rPr>
          <w:rStyle w:val="normaltextrun"/>
          <w:rFonts w:ascii="Arial" w:hAnsi="Arial" w:cs="Arial"/>
          <w:lang w:val="en-US"/>
        </w:rPr>
        <w:t xml:space="preserve">, A. </w:t>
      </w:r>
      <w:r>
        <w:rPr>
          <w:rStyle w:val="normaltextrun"/>
          <w:rFonts w:ascii="Arial" w:hAnsi="Arial" w:cs="Arial"/>
          <w:i/>
          <w:iCs/>
          <w:lang w:val="en-US"/>
        </w:rPr>
        <w:t xml:space="preserve">et al. </w:t>
      </w:r>
      <w:r>
        <w:rPr>
          <w:rStyle w:val="normaltextrun"/>
          <w:rFonts w:ascii="Arial" w:hAnsi="Arial" w:cs="Arial"/>
          <w:lang w:val="en-US"/>
        </w:rPr>
        <w:t>(2013) ‘How does reflection help teachers to become effective teachers?’ Available at: https://www.researchgate.net/publication/337992327_How_does_Reflection_Help_Teachers_to_Become_Effective_Teachers. </w:t>
      </w:r>
      <w:r>
        <w:rPr>
          <w:rStyle w:val="eop"/>
          <w:rFonts w:ascii="Arial" w:hAnsi="Arial" w:cs="Arial"/>
        </w:rPr>
        <w:t> </w:t>
      </w:r>
    </w:p>
    <w:p w14:paraId="2648AF10"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75D03A8F" w14:textId="4D70C29E"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Clark, R. (2012) ‘I’ve never thought of myself as a leader but...’: the Early Years Professional and catalytic leadership’, </w:t>
      </w:r>
      <w:r>
        <w:rPr>
          <w:rStyle w:val="normaltextrun"/>
          <w:rFonts w:ascii="Arial" w:hAnsi="Arial" w:cs="Arial"/>
          <w:i/>
          <w:iCs/>
          <w:lang w:val="en-US"/>
        </w:rPr>
        <w:t xml:space="preserve">European Early Childhood Education Research Journal, </w:t>
      </w:r>
      <w:r>
        <w:rPr>
          <w:rStyle w:val="normaltextrun"/>
          <w:rFonts w:ascii="Arial" w:hAnsi="Arial" w:cs="Arial"/>
          <w:lang w:val="en-US"/>
        </w:rPr>
        <w:t>20(3), pp. 391-401. DOI: 10.1080/1350293X.2012.704762</w:t>
      </w:r>
      <w:r>
        <w:rPr>
          <w:rStyle w:val="eop"/>
          <w:rFonts w:ascii="Arial" w:hAnsi="Arial" w:cs="Arial"/>
        </w:rPr>
        <w:t> </w:t>
      </w:r>
    </w:p>
    <w:p w14:paraId="79E6FE03"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506376B6" w14:textId="2DABB865"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Cooper, M. (2014) ‘Everyday teaching leadership: a </w:t>
      </w:r>
      <w:proofErr w:type="spellStart"/>
      <w:r>
        <w:rPr>
          <w:rStyle w:val="normaltextrun"/>
          <w:rFonts w:ascii="Arial" w:hAnsi="Arial" w:cs="Arial"/>
          <w:lang w:val="en-US"/>
        </w:rPr>
        <w:t>reconceptualisation</w:t>
      </w:r>
      <w:proofErr w:type="spellEnd"/>
      <w:r>
        <w:rPr>
          <w:rStyle w:val="normaltextrun"/>
          <w:rFonts w:ascii="Arial" w:hAnsi="Arial" w:cs="Arial"/>
          <w:lang w:val="en-US"/>
        </w:rPr>
        <w:t xml:space="preserve"> for early childhood education’, </w:t>
      </w:r>
      <w:r>
        <w:rPr>
          <w:rStyle w:val="normaltextrun"/>
          <w:rFonts w:ascii="Arial" w:hAnsi="Arial" w:cs="Arial"/>
          <w:i/>
          <w:iCs/>
          <w:lang w:val="en-US"/>
        </w:rPr>
        <w:t xml:space="preserve">Journal of Educational Leadership, Policy and Practice, </w:t>
      </w:r>
      <w:r>
        <w:rPr>
          <w:rStyle w:val="normaltextrun"/>
          <w:rFonts w:ascii="Arial" w:hAnsi="Arial" w:cs="Arial"/>
          <w:lang w:val="en-US"/>
        </w:rPr>
        <w:t>29(2), pp. 84-96. DOI: 10.3316/informit.967638646549788</w:t>
      </w:r>
      <w:r>
        <w:rPr>
          <w:rStyle w:val="eop"/>
          <w:rFonts w:ascii="Arial" w:hAnsi="Arial" w:cs="Arial"/>
        </w:rPr>
        <w:t> </w:t>
      </w:r>
    </w:p>
    <w:p w14:paraId="2FCDC58C"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12CDFA36" w14:textId="2E7FA98C" w:rsidR="00D71C9B" w:rsidRDefault="00D71C9B" w:rsidP="00D71C9B">
      <w:pPr>
        <w:pStyle w:val="paragraph"/>
        <w:spacing w:before="0" w:beforeAutospacing="0" w:after="0" w:afterAutospacing="0"/>
        <w:textAlignment w:val="baseline"/>
        <w:rPr>
          <w:rStyle w:val="eop"/>
          <w:rFonts w:ascii="Arial" w:hAnsi="Arial" w:cs="Arial"/>
        </w:rPr>
      </w:pPr>
      <w:proofErr w:type="spellStart"/>
      <w:r>
        <w:rPr>
          <w:rStyle w:val="normaltextrun"/>
          <w:rFonts w:ascii="Arial" w:hAnsi="Arial" w:cs="Arial"/>
          <w:lang w:val="en-US"/>
        </w:rPr>
        <w:t>Cordingley</w:t>
      </w:r>
      <w:proofErr w:type="spellEnd"/>
      <w:r>
        <w:rPr>
          <w:rStyle w:val="normaltextrun"/>
          <w:rFonts w:ascii="Arial" w:hAnsi="Arial" w:cs="Arial"/>
          <w:lang w:val="en-US"/>
        </w:rPr>
        <w:t xml:space="preserve">, P. </w:t>
      </w:r>
      <w:r>
        <w:rPr>
          <w:rStyle w:val="normaltextrun"/>
          <w:rFonts w:ascii="Arial" w:hAnsi="Arial" w:cs="Arial"/>
          <w:i/>
          <w:iCs/>
          <w:lang w:val="en-US"/>
        </w:rPr>
        <w:t>et al. (</w:t>
      </w:r>
      <w:r>
        <w:rPr>
          <w:rStyle w:val="normaltextrun"/>
          <w:rFonts w:ascii="Arial" w:hAnsi="Arial" w:cs="Arial"/>
          <w:lang w:val="en-US"/>
        </w:rPr>
        <w:t xml:space="preserve">2005) ‘The impact of collaborative Continuing Professional Development (CPD) on classroom teaching and learning’, Available at: </w:t>
      </w:r>
      <w:r w:rsidRPr="00D71C9B">
        <w:rPr>
          <w:rStyle w:val="normaltextrun"/>
          <w:rFonts w:ascii="Arial" w:hAnsi="Arial" w:cs="Arial"/>
          <w:lang w:val="en-US"/>
        </w:rPr>
        <w:t>http://wsassets.s3.amazonaws.com/ws/nso/pdf/09598003e49523abff794962e2752c81.pdf</w:t>
      </w:r>
      <w:r>
        <w:rPr>
          <w:rStyle w:val="eop"/>
          <w:rFonts w:ascii="Arial" w:hAnsi="Arial" w:cs="Arial"/>
        </w:rPr>
        <w:t> </w:t>
      </w:r>
    </w:p>
    <w:p w14:paraId="66CE1985"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0304B825" w14:textId="1A4032E1"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Croke, R. </w:t>
      </w:r>
      <w:r>
        <w:rPr>
          <w:rStyle w:val="normaltextrun"/>
          <w:rFonts w:ascii="Arial" w:hAnsi="Arial" w:cs="Arial"/>
          <w:i/>
          <w:iCs/>
          <w:lang w:val="en-US"/>
        </w:rPr>
        <w:t>et al</w:t>
      </w:r>
      <w:r>
        <w:rPr>
          <w:rStyle w:val="normaltextrun"/>
          <w:rFonts w:ascii="Arial" w:hAnsi="Arial" w:cs="Arial"/>
          <w:lang w:val="en-US"/>
        </w:rPr>
        <w:t xml:space="preserve"> (2021) ‘Integrating Sustainable Development and Children’s Rights: A Case Study on Wales’, </w:t>
      </w:r>
      <w:r>
        <w:rPr>
          <w:rStyle w:val="normaltextrun"/>
          <w:rFonts w:ascii="Arial" w:hAnsi="Arial" w:cs="Arial"/>
          <w:i/>
          <w:iCs/>
          <w:lang w:val="en-US"/>
        </w:rPr>
        <w:t>Social Sciences</w:t>
      </w:r>
      <w:r>
        <w:rPr>
          <w:rStyle w:val="normaltextrun"/>
          <w:rFonts w:ascii="Arial" w:hAnsi="Arial" w:cs="Arial"/>
          <w:lang w:val="en-US"/>
        </w:rPr>
        <w:t>, 10(3), pp. 1-22. DOI: 10.3390/socsci10030100</w:t>
      </w:r>
      <w:r>
        <w:rPr>
          <w:rStyle w:val="eop"/>
          <w:rFonts w:ascii="Arial" w:hAnsi="Arial" w:cs="Arial"/>
        </w:rPr>
        <w:t> </w:t>
      </w:r>
    </w:p>
    <w:p w14:paraId="2BECA6F9"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671924B4" w14:textId="30CE7201"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Davey, C and Lundy, L. (2011) ‘Towards Greater Recognition of the Right to Play: An Analysis of Article 31 of the UNCRC’, </w:t>
      </w:r>
      <w:r>
        <w:rPr>
          <w:rStyle w:val="normaltextrun"/>
          <w:rFonts w:ascii="Arial" w:hAnsi="Arial" w:cs="Arial"/>
          <w:i/>
          <w:iCs/>
          <w:lang w:val="en-US"/>
        </w:rPr>
        <w:t xml:space="preserve">Children and Society, </w:t>
      </w:r>
      <w:r>
        <w:rPr>
          <w:rStyle w:val="normaltextrun"/>
          <w:rFonts w:ascii="Arial" w:hAnsi="Arial" w:cs="Arial"/>
          <w:lang w:val="en-US"/>
        </w:rPr>
        <w:t>25, pp. 3-14. DOI: 10.1111/j.1099-0860.2009.00256.xO2009.</w:t>
      </w:r>
      <w:r>
        <w:rPr>
          <w:rStyle w:val="eop"/>
          <w:rFonts w:ascii="Arial" w:hAnsi="Arial" w:cs="Arial"/>
        </w:rPr>
        <w:t> </w:t>
      </w:r>
    </w:p>
    <w:p w14:paraId="7AF85824"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4AA1EF40" w14:textId="245A5DBB" w:rsidR="00D71C9B" w:rsidRDefault="00D71C9B" w:rsidP="00D71C9B">
      <w:pPr>
        <w:pStyle w:val="paragraph"/>
        <w:spacing w:before="0" w:beforeAutospacing="0" w:after="0" w:afterAutospacing="0"/>
        <w:textAlignment w:val="baseline"/>
        <w:rPr>
          <w:rStyle w:val="eop"/>
          <w:rFonts w:ascii="Arial" w:hAnsi="Arial" w:cs="Arial"/>
        </w:rPr>
      </w:pPr>
      <w:proofErr w:type="spellStart"/>
      <w:r>
        <w:rPr>
          <w:rStyle w:val="normaltextrun"/>
          <w:rFonts w:ascii="Arial" w:hAnsi="Arial" w:cs="Arial"/>
          <w:lang w:val="en-US"/>
        </w:rPr>
        <w:lastRenderedPageBreak/>
        <w:t>Droux</w:t>
      </w:r>
      <w:proofErr w:type="spellEnd"/>
      <w:r>
        <w:rPr>
          <w:rStyle w:val="normaltextrun"/>
          <w:rFonts w:ascii="Arial" w:hAnsi="Arial" w:cs="Arial"/>
          <w:lang w:val="en-US"/>
        </w:rPr>
        <w:t xml:space="preserve">, J. (2016) ‘A league of its own? The league of nations’ child welfare committee (1919-1936) and international monitoring of child welfare policies’, </w:t>
      </w:r>
      <w:r>
        <w:rPr>
          <w:rStyle w:val="normaltextrun"/>
          <w:rFonts w:ascii="Arial" w:hAnsi="Arial" w:cs="Arial"/>
          <w:i/>
          <w:iCs/>
          <w:lang w:val="en-US"/>
        </w:rPr>
        <w:t>The League of Nations' Work on Social Issues</w:t>
      </w:r>
      <w:r>
        <w:rPr>
          <w:rStyle w:val="normaltextrun"/>
          <w:rFonts w:ascii="Arial" w:hAnsi="Arial" w:cs="Arial"/>
          <w:lang w:val="en-US"/>
        </w:rPr>
        <w:t>, pp.89-103. DOI: 10.18356/4b9f2d0b-en</w:t>
      </w:r>
      <w:r>
        <w:rPr>
          <w:rStyle w:val="eop"/>
          <w:rFonts w:ascii="Arial" w:hAnsi="Arial" w:cs="Arial"/>
        </w:rPr>
        <w:t> </w:t>
      </w:r>
    </w:p>
    <w:p w14:paraId="39CAA421"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41643D45" w14:textId="2E074D9F"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rPr>
        <w:t>Early Intervention Foundation (2022) ‘</w:t>
      </w:r>
      <w:r>
        <w:rPr>
          <w:rStyle w:val="normaltextrun"/>
          <w:rFonts w:ascii="Arial" w:hAnsi="Arial" w:cs="Arial"/>
          <w:i/>
          <w:iCs/>
        </w:rPr>
        <w:t xml:space="preserve">What is Early Intervention’. </w:t>
      </w:r>
      <w:r>
        <w:rPr>
          <w:rStyle w:val="normaltextrun"/>
          <w:rFonts w:ascii="Arial" w:hAnsi="Arial" w:cs="Arial"/>
        </w:rPr>
        <w:t>Available at:  https://www.eif.org.uk/why-it-matters/what-is-early-intervention (Accessed 26 March 2022).</w:t>
      </w:r>
      <w:r>
        <w:rPr>
          <w:rStyle w:val="eop"/>
          <w:rFonts w:ascii="Arial" w:hAnsi="Arial" w:cs="Arial"/>
        </w:rPr>
        <w:t> </w:t>
      </w:r>
    </w:p>
    <w:p w14:paraId="6939991D"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3D8F63CC" w14:textId="61B3CAE5"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Ferreira, N. (2017) ‘Working children in England and Wales: waking up from inertia’, </w:t>
      </w:r>
      <w:r>
        <w:rPr>
          <w:rStyle w:val="normaltextrun"/>
          <w:rFonts w:ascii="Arial" w:hAnsi="Arial" w:cs="Arial"/>
          <w:i/>
          <w:iCs/>
          <w:lang w:val="en-US"/>
        </w:rPr>
        <w:t>King’s Law Journal,</w:t>
      </w:r>
      <w:r>
        <w:rPr>
          <w:rStyle w:val="normaltextrun"/>
          <w:rFonts w:ascii="Arial" w:hAnsi="Arial" w:cs="Arial"/>
          <w:lang w:val="en-US"/>
        </w:rPr>
        <w:t xml:space="preserve"> 28(3), pp. 381-402. DOI: 10.1080/09615768.2017.1386926</w:t>
      </w:r>
      <w:r>
        <w:rPr>
          <w:rStyle w:val="eop"/>
          <w:rFonts w:ascii="Arial" w:hAnsi="Arial" w:cs="Arial"/>
        </w:rPr>
        <w:t> </w:t>
      </w:r>
    </w:p>
    <w:p w14:paraId="497B9978"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40F459E2" w14:textId="25BB681D" w:rsidR="00D71C9B" w:rsidRDefault="00D71C9B" w:rsidP="00D71C9B">
      <w:pPr>
        <w:pStyle w:val="paragraph"/>
        <w:spacing w:before="0" w:beforeAutospacing="0" w:after="0" w:afterAutospacing="0"/>
        <w:textAlignment w:val="baseline"/>
        <w:rPr>
          <w:rStyle w:val="eop"/>
          <w:rFonts w:ascii="Arial" w:hAnsi="Arial" w:cs="Arial"/>
        </w:rPr>
      </w:pPr>
      <w:proofErr w:type="spellStart"/>
      <w:r>
        <w:rPr>
          <w:rStyle w:val="normaltextrun"/>
          <w:rFonts w:ascii="Arial" w:hAnsi="Arial" w:cs="Arial"/>
          <w:lang w:val="en-US"/>
        </w:rPr>
        <w:t>Fertleman</w:t>
      </w:r>
      <w:proofErr w:type="spellEnd"/>
      <w:r>
        <w:rPr>
          <w:rStyle w:val="normaltextrun"/>
          <w:rFonts w:ascii="Arial" w:hAnsi="Arial" w:cs="Arial"/>
          <w:lang w:val="en-US"/>
        </w:rPr>
        <w:t xml:space="preserve">, C and Hann, G. (2016) </w:t>
      </w:r>
      <w:r>
        <w:rPr>
          <w:rStyle w:val="normaltextrun"/>
          <w:rFonts w:ascii="Arial" w:hAnsi="Arial" w:cs="Arial"/>
          <w:i/>
          <w:iCs/>
          <w:lang w:val="en-US"/>
        </w:rPr>
        <w:t xml:space="preserve">The Child Protection Practice Manual: Training Practitioners how to Safeguard Children. </w:t>
      </w:r>
      <w:r>
        <w:rPr>
          <w:rStyle w:val="normaltextrun"/>
          <w:rFonts w:ascii="Arial" w:hAnsi="Arial" w:cs="Arial"/>
          <w:lang w:val="en-US"/>
        </w:rPr>
        <w:t>Oxford: Oxford University Press</w:t>
      </w:r>
      <w:r>
        <w:rPr>
          <w:rStyle w:val="eop"/>
          <w:rFonts w:ascii="Arial" w:hAnsi="Arial" w:cs="Arial"/>
        </w:rPr>
        <w:t> </w:t>
      </w:r>
    </w:p>
    <w:p w14:paraId="2195DA02"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79290598" w14:textId="0CD93E6B" w:rsidR="00D71C9B" w:rsidRDefault="00D71C9B" w:rsidP="00D71C9B">
      <w:pPr>
        <w:pStyle w:val="paragraph"/>
        <w:spacing w:before="0" w:beforeAutospacing="0" w:after="0" w:afterAutospacing="0"/>
        <w:textAlignment w:val="baseline"/>
        <w:rPr>
          <w:rStyle w:val="eop"/>
          <w:rFonts w:ascii="Arial" w:hAnsi="Arial" w:cs="Arial"/>
        </w:rPr>
      </w:pPr>
      <w:proofErr w:type="spellStart"/>
      <w:r>
        <w:rPr>
          <w:rStyle w:val="normaltextrun"/>
          <w:rFonts w:ascii="Arial" w:hAnsi="Arial" w:cs="Arial"/>
          <w:lang w:val="en-US"/>
        </w:rPr>
        <w:t>Grandall</w:t>
      </w:r>
      <w:proofErr w:type="spellEnd"/>
      <w:r>
        <w:rPr>
          <w:rStyle w:val="normaltextrun"/>
          <w:rFonts w:ascii="Arial" w:hAnsi="Arial" w:cs="Arial"/>
          <w:lang w:val="en-US"/>
        </w:rPr>
        <w:t xml:space="preserve">, A. </w:t>
      </w:r>
      <w:r>
        <w:rPr>
          <w:rStyle w:val="normaltextrun"/>
          <w:rFonts w:ascii="Arial" w:hAnsi="Arial" w:cs="Arial"/>
          <w:i/>
          <w:iCs/>
          <w:lang w:val="en-US"/>
        </w:rPr>
        <w:t xml:space="preserve">et al </w:t>
      </w:r>
      <w:r>
        <w:rPr>
          <w:rStyle w:val="normaltextrun"/>
          <w:rFonts w:ascii="Arial" w:hAnsi="Arial" w:cs="Arial"/>
          <w:lang w:val="en-US"/>
        </w:rPr>
        <w:t xml:space="preserve">(2019) ‘ACEs and counter-ACEs: How positive and negative childhood experiences influence adult health’, </w:t>
      </w:r>
      <w:r>
        <w:rPr>
          <w:rStyle w:val="normaltextrun"/>
          <w:rFonts w:ascii="Arial" w:hAnsi="Arial" w:cs="Arial"/>
          <w:i/>
          <w:iCs/>
          <w:lang w:val="en-US"/>
        </w:rPr>
        <w:t>Child Abuse and Neglect</w:t>
      </w:r>
      <w:r>
        <w:rPr>
          <w:rStyle w:val="normaltextrun"/>
          <w:rFonts w:ascii="Arial" w:hAnsi="Arial" w:cs="Arial"/>
          <w:lang w:val="en-US"/>
        </w:rPr>
        <w:t>, 96, pp. 1-9 DOI: 10.1016/j.chiabu.2019.104089</w:t>
      </w:r>
      <w:r>
        <w:rPr>
          <w:rStyle w:val="eop"/>
          <w:rFonts w:ascii="Arial" w:hAnsi="Arial" w:cs="Arial"/>
        </w:rPr>
        <w:t> </w:t>
      </w:r>
    </w:p>
    <w:p w14:paraId="053C517C"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35C897E6" w14:textId="760EC7E1" w:rsidR="00D71C9B" w:rsidRDefault="00D71C9B" w:rsidP="00D71C9B">
      <w:pPr>
        <w:pStyle w:val="paragraph"/>
        <w:spacing w:before="0" w:beforeAutospacing="0" w:after="0" w:afterAutospacing="0"/>
        <w:textAlignment w:val="baseline"/>
        <w:rPr>
          <w:rStyle w:val="eop"/>
          <w:rFonts w:ascii="Arial" w:hAnsi="Arial" w:cs="Arial"/>
        </w:rPr>
      </w:pPr>
      <w:proofErr w:type="spellStart"/>
      <w:r>
        <w:rPr>
          <w:rStyle w:val="normaltextrun"/>
          <w:rFonts w:ascii="Arial" w:hAnsi="Arial" w:cs="Arial"/>
        </w:rPr>
        <w:t>Herrman</w:t>
      </w:r>
      <w:proofErr w:type="spellEnd"/>
      <w:r>
        <w:rPr>
          <w:rStyle w:val="normaltextrun"/>
          <w:rFonts w:ascii="Arial" w:hAnsi="Arial" w:cs="Arial"/>
        </w:rPr>
        <w:t xml:space="preserve">, M. (2005) ‘Understanding and using conflict in the workplace’, in </w:t>
      </w:r>
      <w:proofErr w:type="spellStart"/>
      <w:r>
        <w:rPr>
          <w:rStyle w:val="normaltextrun"/>
          <w:rFonts w:ascii="Arial" w:hAnsi="Arial" w:cs="Arial"/>
        </w:rPr>
        <w:t>Condrey</w:t>
      </w:r>
      <w:proofErr w:type="spellEnd"/>
      <w:r>
        <w:rPr>
          <w:rStyle w:val="normaltextrun"/>
          <w:rFonts w:ascii="Arial" w:hAnsi="Arial" w:cs="Arial"/>
        </w:rPr>
        <w:t xml:space="preserve">, S. </w:t>
      </w:r>
      <w:r>
        <w:rPr>
          <w:rStyle w:val="normaltextrun"/>
          <w:rFonts w:ascii="Arial" w:hAnsi="Arial" w:cs="Arial"/>
          <w:i/>
          <w:iCs/>
        </w:rPr>
        <w:t xml:space="preserve">Handbook of Human Resource Management in Government. </w:t>
      </w:r>
      <w:r>
        <w:rPr>
          <w:rStyle w:val="normaltextrun"/>
          <w:rFonts w:ascii="Arial" w:hAnsi="Arial" w:cs="Arial"/>
        </w:rPr>
        <w:t>(2</w:t>
      </w:r>
      <w:r>
        <w:rPr>
          <w:rStyle w:val="normaltextrun"/>
          <w:rFonts w:ascii="Arial" w:hAnsi="Arial" w:cs="Arial"/>
          <w:sz w:val="19"/>
          <w:szCs w:val="19"/>
          <w:vertAlign w:val="superscript"/>
        </w:rPr>
        <w:t>nd</w:t>
      </w:r>
      <w:r>
        <w:rPr>
          <w:rStyle w:val="normaltextrun"/>
          <w:rFonts w:ascii="Arial" w:hAnsi="Arial" w:cs="Arial"/>
        </w:rPr>
        <w:t xml:space="preserve"> ed.) San </w:t>
      </w:r>
      <w:proofErr w:type="spellStart"/>
      <w:r>
        <w:rPr>
          <w:rStyle w:val="normaltextrun"/>
          <w:rFonts w:ascii="Arial" w:hAnsi="Arial" w:cs="Arial"/>
        </w:rPr>
        <w:t>Fransisco</w:t>
      </w:r>
      <w:proofErr w:type="spellEnd"/>
      <w:r>
        <w:rPr>
          <w:rStyle w:val="normaltextrun"/>
          <w:rFonts w:ascii="Arial" w:hAnsi="Arial" w:cs="Arial"/>
        </w:rPr>
        <w:t>: Jossey-Bass. </w:t>
      </w:r>
      <w:r>
        <w:rPr>
          <w:rStyle w:val="eop"/>
          <w:rFonts w:ascii="Arial" w:hAnsi="Arial" w:cs="Arial"/>
        </w:rPr>
        <w:t> </w:t>
      </w:r>
    </w:p>
    <w:p w14:paraId="3016E7AB"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6B7819CF" w14:textId="79C2585E"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Hunt, J and Fitzgerald, M. (2018) ‘Leadership in context’, in </w:t>
      </w:r>
      <w:proofErr w:type="spellStart"/>
      <w:r>
        <w:rPr>
          <w:rStyle w:val="normaltextrun"/>
          <w:rFonts w:ascii="Arial" w:hAnsi="Arial" w:cs="Arial"/>
        </w:rPr>
        <w:t>Muenjohn</w:t>
      </w:r>
      <w:proofErr w:type="spellEnd"/>
      <w:r>
        <w:rPr>
          <w:rStyle w:val="normaltextrun"/>
          <w:rFonts w:ascii="Arial" w:hAnsi="Arial" w:cs="Arial"/>
        </w:rPr>
        <w:t xml:space="preserve">, N. </w:t>
      </w:r>
      <w:r>
        <w:rPr>
          <w:rStyle w:val="normaltextrun"/>
          <w:rFonts w:ascii="Arial" w:hAnsi="Arial" w:cs="Arial"/>
          <w:i/>
          <w:iCs/>
        </w:rPr>
        <w:t xml:space="preserve">Leadership: Regional and global perspectives. </w:t>
      </w:r>
      <w:r>
        <w:rPr>
          <w:rStyle w:val="normaltextrun"/>
          <w:rFonts w:ascii="Arial" w:hAnsi="Arial" w:cs="Arial"/>
        </w:rPr>
        <w:t>Cambridge: Cambridge University Press. </w:t>
      </w:r>
      <w:r>
        <w:rPr>
          <w:rStyle w:val="eop"/>
          <w:rFonts w:ascii="Arial" w:hAnsi="Arial" w:cs="Arial"/>
        </w:rPr>
        <w:t> </w:t>
      </w:r>
    </w:p>
    <w:p w14:paraId="2FC518C4"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7983106F" w14:textId="3753F28B"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Hutchings, J. </w:t>
      </w:r>
      <w:r>
        <w:rPr>
          <w:rStyle w:val="normaltextrun"/>
          <w:rFonts w:ascii="Arial" w:hAnsi="Arial" w:cs="Arial"/>
          <w:i/>
          <w:iCs/>
          <w:lang w:val="en-US"/>
        </w:rPr>
        <w:t>et al</w:t>
      </w:r>
      <w:r>
        <w:rPr>
          <w:rStyle w:val="normaltextrun"/>
          <w:rFonts w:ascii="Arial" w:hAnsi="Arial" w:cs="Arial"/>
          <w:lang w:val="en-US"/>
        </w:rPr>
        <w:t xml:space="preserve"> (2016) ‘Evaluating the Incredible Years Toddler Parenting </w:t>
      </w:r>
      <w:proofErr w:type="spellStart"/>
      <w:r>
        <w:rPr>
          <w:rStyle w:val="normaltextrun"/>
          <w:rFonts w:ascii="Arial" w:hAnsi="Arial" w:cs="Arial"/>
          <w:lang w:val="en-US"/>
        </w:rPr>
        <w:t>Programme</w:t>
      </w:r>
      <w:proofErr w:type="spellEnd"/>
      <w:r>
        <w:rPr>
          <w:rStyle w:val="normaltextrun"/>
          <w:rFonts w:ascii="Arial" w:hAnsi="Arial" w:cs="Arial"/>
          <w:lang w:val="en-US"/>
        </w:rPr>
        <w:t xml:space="preserve"> with parents of toddlers in disadvantaged (Flying Start) areas of Wales’, </w:t>
      </w:r>
      <w:r>
        <w:rPr>
          <w:rStyle w:val="normaltextrun"/>
          <w:rFonts w:ascii="Arial" w:hAnsi="Arial" w:cs="Arial"/>
          <w:i/>
          <w:iCs/>
          <w:lang w:val="en-US"/>
        </w:rPr>
        <w:t xml:space="preserve">Child: care, Health and Development, </w:t>
      </w:r>
      <w:r>
        <w:rPr>
          <w:rStyle w:val="normaltextrun"/>
          <w:rFonts w:ascii="Arial" w:hAnsi="Arial" w:cs="Arial"/>
          <w:lang w:val="en-US"/>
        </w:rPr>
        <w:t>DOI: 10.1111/cch.12415</w:t>
      </w:r>
      <w:r>
        <w:rPr>
          <w:rStyle w:val="eop"/>
          <w:rFonts w:ascii="Arial" w:hAnsi="Arial" w:cs="Arial"/>
        </w:rPr>
        <w:t> </w:t>
      </w:r>
    </w:p>
    <w:p w14:paraId="2A8C8215"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341A6471" w14:textId="6B673352" w:rsidR="00D71C9B" w:rsidRDefault="00D71C9B" w:rsidP="00D71C9B">
      <w:pPr>
        <w:pStyle w:val="paragraph"/>
        <w:spacing w:before="0" w:beforeAutospacing="0" w:after="0" w:afterAutospacing="0"/>
        <w:textAlignment w:val="baseline"/>
        <w:rPr>
          <w:rStyle w:val="eop"/>
          <w:rFonts w:ascii="Arial" w:hAnsi="Arial" w:cs="Arial"/>
        </w:rPr>
      </w:pPr>
      <w:proofErr w:type="spellStart"/>
      <w:r>
        <w:rPr>
          <w:rStyle w:val="normaltextrun"/>
          <w:rFonts w:ascii="Arial" w:hAnsi="Arial" w:cs="Arial"/>
          <w:lang w:val="en-US"/>
        </w:rPr>
        <w:t>Invernizzi</w:t>
      </w:r>
      <w:proofErr w:type="spellEnd"/>
      <w:r>
        <w:rPr>
          <w:rStyle w:val="normaltextrun"/>
          <w:rFonts w:ascii="Arial" w:hAnsi="Arial" w:cs="Arial"/>
          <w:lang w:val="en-US"/>
        </w:rPr>
        <w:t xml:space="preserve">, A and Williams, J. (2008) </w:t>
      </w:r>
      <w:r>
        <w:rPr>
          <w:rStyle w:val="normaltextrun"/>
          <w:rFonts w:ascii="Arial" w:hAnsi="Arial" w:cs="Arial"/>
          <w:i/>
          <w:iCs/>
          <w:lang w:val="en-US"/>
        </w:rPr>
        <w:t xml:space="preserve">Children and Citizenship. </w:t>
      </w:r>
      <w:r>
        <w:rPr>
          <w:rStyle w:val="normaltextrun"/>
          <w:rFonts w:ascii="Arial" w:hAnsi="Arial" w:cs="Arial"/>
          <w:lang w:val="en-US"/>
        </w:rPr>
        <w:t>London: SAGE Publications</w:t>
      </w:r>
      <w:r>
        <w:rPr>
          <w:rStyle w:val="eop"/>
          <w:rFonts w:ascii="Arial" w:hAnsi="Arial" w:cs="Arial"/>
        </w:rPr>
        <w:t> </w:t>
      </w:r>
    </w:p>
    <w:p w14:paraId="7128CCDE"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738C0F1A" w14:textId="4548590F"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Joiner, B. (2018) </w:t>
      </w:r>
      <w:r>
        <w:rPr>
          <w:rStyle w:val="normaltextrun"/>
          <w:rFonts w:ascii="Arial" w:hAnsi="Arial" w:cs="Arial"/>
          <w:i/>
          <w:iCs/>
          <w:lang w:val="en-US"/>
        </w:rPr>
        <w:t xml:space="preserve">Leadership Agility: From Expert to Catalyst. </w:t>
      </w:r>
      <w:r>
        <w:rPr>
          <w:rStyle w:val="normaltextrun"/>
          <w:rFonts w:ascii="Arial" w:hAnsi="Arial" w:cs="Arial"/>
          <w:lang w:val="en-US"/>
        </w:rPr>
        <w:t>Available at: https://cdn.ymaws.com/www.agilebusiness.org/resource/resmgr/documents/whitepaper/la_white_paper_08.30.17.pdf (Accessed: 23 March 2022). </w:t>
      </w:r>
      <w:r>
        <w:rPr>
          <w:rStyle w:val="eop"/>
          <w:rFonts w:ascii="Arial" w:hAnsi="Arial" w:cs="Arial"/>
        </w:rPr>
        <w:t> </w:t>
      </w:r>
    </w:p>
    <w:p w14:paraId="038D6A65"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5F2C404B" w14:textId="63376547"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Mulley, C. (2009) </w:t>
      </w:r>
      <w:r>
        <w:rPr>
          <w:rStyle w:val="normaltextrun"/>
          <w:rFonts w:ascii="Arial" w:hAnsi="Arial" w:cs="Arial"/>
          <w:i/>
          <w:iCs/>
          <w:lang w:val="en-US"/>
        </w:rPr>
        <w:t xml:space="preserve">The woman who saved the children: A biography of </w:t>
      </w:r>
      <w:proofErr w:type="spellStart"/>
      <w:r>
        <w:rPr>
          <w:rStyle w:val="normaltextrun"/>
          <w:rFonts w:ascii="Arial" w:hAnsi="Arial" w:cs="Arial"/>
          <w:i/>
          <w:iCs/>
          <w:lang w:val="en-US"/>
        </w:rPr>
        <w:t>Eglantyne</w:t>
      </w:r>
      <w:proofErr w:type="spellEnd"/>
      <w:r>
        <w:rPr>
          <w:rStyle w:val="normaltextrun"/>
          <w:rFonts w:ascii="Arial" w:hAnsi="Arial" w:cs="Arial"/>
          <w:i/>
          <w:iCs/>
          <w:lang w:val="en-US"/>
        </w:rPr>
        <w:t xml:space="preserve"> </w:t>
      </w:r>
      <w:proofErr w:type="spellStart"/>
      <w:r>
        <w:rPr>
          <w:rStyle w:val="normaltextrun"/>
          <w:rFonts w:ascii="Arial" w:hAnsi="Arial" w:cs="Arial"/>
          <w:i/>
          <w:iCs/>
          <w:lang w:val="en-US"/>
        </w:rPr>
        <w:t>Jebb</w:t>
      </w:r>
      <w:proofErr w:type="spellEnd"/>
      <w:r>
        <w:rPr>
          <w:rStyle w:val="normaltextrun"/>
          <w:rFonts w:ascii="Arial" w:hAnsi="Arial" w:cs="Arial"/>
          <w:i/>
          <w:iCs/>
          <w:lang w:val="en-US"/>
        </w:rPr>
        <w:t xml:space="preserve">: Founder of save the children. </w:t>
      </w:r>
      <w:r>
        <w:rPr>
          <w:rStyle w:val="normaltextrun"/>
          <w:rFonts w:ascii="Arial" w:hAnsi="Arial" w:cs="Arial"/>
          <w:lang w:val="en-US"/>
        </w:rPr>
        <w:t xml:space="preserve">Oxford: </w:t>
      </w:r>
      <w:proofErr w:type="spellStart"/>
      <w:r>
        <w:rPr>
          <w:rStyle w:val="normaltextrun"/>
          <w:rFonts w:ascii="Arial" w:hAnsi="Arial" w:cs="Arial"/>
          <w:lang w:val="en-US"/>
        </w:rPr>
        <w:t>Oneworld</w:t>
      </w:r>
      <w:proofErr w:type="spellEnd"/>
      <w:r>
        <w:rPr>
          <w:rStyle w:val="normaltextrun"/>
          <w:rFonts w:ascii="Arial" w:hAnsi="Arial" w:cs="Arial"/>
          <w:lang w:val="en-US"/>
        </w:rPr>
        <w:t xml:space="preserve"> Publications.</w:t>
      </w:r>
      <w:r>
        <w:rPr>
          <w:rStyle w:val="eop"/>
          <w:rFonts w:ascii="Arial" w:hAnsi="Arial" w:cs="Arial"/>
        </w:rPr>
        <w:t> </w:t>
      </w:r>
    </w:p>
    <w:p w14:paraId="5F3544A9"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3FAB7428" w14:textId="1997E881"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Munro, E. </w:t>
      </w:r>
      <w:r>
        <w:rPr>
          <w:rStyle w:val="normaltextrun"/>
          <w:rFonts w:ascii="Arial" w:hAnsi="Arial" w:cs="Arial"/>
          <w:i/>
          <w:iCs/>
          <w:lang w:val="en-US"/>
        </w:rPr>
        <w:t>et al (2011) ‘</w:t>
      </w:r>
      <w:r>
        <w:rPr>
          <w:rStyle w:val="normaltextrun"/>
          <w:rFonts w:ascii="Arial" w:hAnsi="Arial" w:cs="Arial"/>
          <w:lang w:val="en-US"/>
        </w:rPr>
        <w:t xml:space="preserve">The contribution of the United Nations Convention on the Rights of the Child to understanding and promoting the interests of young people making the transition from care to adulthood’, </w:t>
      </w:r>
      <w:r>
        <w:rPr>
          <w:rStyle w:val="normaltextrun"/>
          <w:rFonts w:ascii="Arial" w:hAnsi="Arial" w:cs="Arial"/>
          <w:i/>
          <w:iCs/>
          <w:lang w:val="en-US"/>
        </w:rPr>
        <w:t xml:space="preserve">Children and Youth Services Review, </w:t>
      </w:r>
      <w:r>
        <w:rPr>
          <w:rStyle w:val="normaltextrun"/>
          <w:rFonts w:ascii="Arial" w:hAnsi="Arial" w:cs="Arial"/>
          <w:lang w:val="en-US"/>
        </w:rPr>
        <w:t>33(12), pp. 2417-2423. DOI: 10.1016/j.childyouth.2011.08.025</w:t>
      </w:r>
      <w:r>
        <w:rPr>
          <w:rStyle w:val="eop"/>
          <w:rFonts w:ascii="Arial" w:hAnsi="Arial" w:cs="Arial"/>
        </w:rPr>
        <w:t> </w:t>
      </w:r>
    </w:p>
    <w:p w14:paraId="73BF5FEC"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2F94067D" w14:textId="77777777" w:rsidR="00D71C9B" w:rsidRDefault="00D71C9B" w:rsidP="00D71C9B">
      <w:pPr>
        <w:pStyle w:val="paragraph"/>
        <w:spacing w:before="0" w:beforeAutospacing="0" w:after="0" w:afterAutospacing="0"/>
        <w:textAlignment w:val="baseline"/>
        <w:rPr>
          <w:rFonts w:ascii="Segoe UI" w:hAnsi="Segoe UI" w:cs="Segoe UI"/>
          <w:color w:val="2F5496"/>
          <w:sz w:val="18"/>
          <w:szCs w:val="18"/>
        </w:rPr>
      </w:pPr>
      <w:proofErr w:type="spellStart"/>
      <w:r>
        <w:rPr>
          <w:rStyle w:val="normaltextrun"/>
          <w:rFonts w:ascii="Arial" w:hAnsi="Arial" w:cs="Arial"/>
          <w:color w:val="000000"/>
        </w:rPr>
        <w:t>Naryan</w:t>
      </w:r>
      <w:proofErr w:type="spellEnd"/>
      <w:r>
        <w:rPr>
          <w:rStyle w:val="normaltextrun"/>
          <w:rFonts w:ascii="Arial" w:hAnsi="Arial" w:cs="Arial"/>
          <w:color w:val="000000"/>
        </w:rPr>
        <w:t xml:space="preserve">, A, Lieberman, A and </w:t>
      </w:r>
      <w:proofErr w:type="spellStart"/>
      <w:r>
        <w:rPr>
          <w:rStyle w:val="normaltextrun"/>
          <w:rFonts w:ascii="Arial" w:hAnsi="Arial" w:cs="Arial"/>
          <w:color w:val="000000"/>
        </w:rPr>
        <w:t>Masten</w:t>
      </w:r>
      <w:proofErr w:type="spellEnd"/>
      <w:r>
        <w:rPr>
          <w:rStyle w:val="normaltextrun"/>
          <w:rFonts w:ascii="Arial" w:hAnsi="Arial" w:cs="Arial"/>
          <w:color w:val="000000"/>
        </w:rPr>
        <w:t xml:space="preserve">, A. (2021) </w:t>
      </w:r>
      <w:r>
        <w:rPr>
          <w:rStyle w:val="normaltextrun"/>
          <w:rFonts w:ascii="Arial" w:hAnsi="Arial" w:cs="Arial"/>
        </w:rPr>
        <w:t xml:space="preserve">‘Intergenerational transmission and prevention of adverse childhood experiences (ACEs)’, </w:t>
      </w:r>
      <w:r>
        <w:rPr>
          <w:rStyle w:val="normaltextrun"/>
          <w:rFonts w:ascii="Arial" w:hAnsi="Arial" w:cs="Arial"/>
          <w:i/>
          <w:iCs/>
        </w:rPr>
        <w:t>Clinical Psychology Review</w:t>
      </w:r>
      <w:r>
        <w:rPr>
          <w:rStyle w:val="normaltextrun"/>
          <w:rFonts w:ascii="Arial" w:hAnsi="Arial" w:cs="Arial"/>
        </w:rPr>
        <w:t>, 85, pp. 1-11. DOI: 10.1016/j.cpr2021.101997</w:t>
      </w:r>
      <w:r>
        <w:rPr>
          <w:rStyle w:val="eop"/>
          <w:rFonts w:ascii="Arial" w:hAnsi="Arial" w:cs="Arial"/>
        </w:rPr>
        <w:t> </w:t>
      </w:r>
    </w:p>
    <w:p w14:paraId="5CC9A8B9"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F5AADB4" w14:textId="0FCFD061"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Nicholson, J. </w:t>
      </w:r>
      <w:r>
        <w:rPr>
          <w:rStyle w:val="normaltextrun"/>
          <w:rFonts w:ascii="Arial" w:hAnsi="Arial" w:cs="Arial"/>
          <w:i/>
          <w:iCs/>
          <w:lang w:val="en-US"/>
        </w:rPr>
        <w:t xml:space="preserve">et al. </w:t>
      </w:r>
      <w:r>
        <w:rPr>
          <w:rStyle w:val="normaltextrun"/>
          <w:rFonts w:ascii="Arial" w:hAnsi="Arial" w:cs="Arial"/>
          <w:lang w:val="en-US"/>
        </w:rPr>
        <w:t xml:space="preserve">(2018) ‘A review of the literature on leadership in early childhood: examining epistemological foundations and considerations of social justice’, </w:t>
      </w:r>
      <w:r>
        <w:rPr>
          <w:rStyle w:val="normaltextrun"/>
          <w:rFonts w:ascii="Arial" w:hAnsi="Arial" w:cs="Arial"/>
          <w:i/>
          <w:iCs/>
          <w:lang w:val="en-US"/>
        </w:rPr>
        <w:t xml:space="preserve">Early </w:t>
      </w:r>
      <w:r>
        <w:rPr>
          <w:rStyle w:val="normaltextrun"/>
          <w:rFonts w:ascii="Arial" w:hAnsi="Arial" w:cs="Arial"/>
          <w:i/>
          <w:iCs/>
          <w:lang w:val="en-US"/>
        </w:rPr>
        <w:lastRenderedPageBreak/>
        <w:t xml:space="preserve">Child Development and Care, </w:t>
      </w:r>
      <w:r>
        <w:rPr>
          <w:rStyle w:val="normaltextrun"/>
          <w:rFonts w:ascii="Arial" w:hAnsi="Arial" w:cs="Arial"/>
          <w:lang w:val="en-US"/>
        </w:rPr>
        <w:t>190(2), pp. 91-122. DOI: 10.1080/03004430.2018.1455036</w:t>
      </w:r>
      <w:r>
        <w:rPr>
          <w:rStyle w:val="eop"/>
          <w:rFonts w:ascii="Arial" w:hAnsi="Arial" w:cs="Arial"/>
        </w:rPr>
        <w:t> </w:t>
      </w:r>
    </w:p>
    <w:p w14:paraId="3279E597"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14C6ACD5" w14:textId="0969AF38" w:rsidR="00D71C9B" w:rsidRDefault="00D71C9B" w:rsidP="00D71C9B">
      <w:pPr>
        <w:pStyle w:val="paragraph"/>
        <w:spacing w:before="0" w:beforeAutospacing="0" w:after="0" w:afterAutospacing="0"/>
        <w:textAlignment w:val="baseline"/>
        <w:rPr>
          <w:rStyle w:val="eop"/>
          <w:rFonts w:ascii="Arial" w:hAnsi="Arial" w:cs="Arial"/>
        </w:rPr>
      </w:pPr>
      <w:proofErr w:type="spellStart"/>
      <w:r>
        <w:rPr>
          <w:rStyle w:val="normaltextrun"/>
          <w:rFonts w:ascii="Arial" w:hAnsi="Arial" w:cs="Arial"/>
          <w:color w:val="000000"/>
          <w:lang w:val="en-US"/>
        </w:rPr>
        <w:t>Quennerstedt</w:t>
      </w:r>
      <w:proofErr w:type="spellEnd"/>
      <w:r>
        <w:rPr>
          <w:rStyle w:val="normaltextrun"/>
          <w:rFonts w:ascii="Arial" w:hAnsi="Arial" w:cs="Arial"/>
          <w:color w:val="000000"/>
          <w:lang w:val="en-US"/>
        </w:rPr>
        <w:t xml:space="preserve">, A, Robinson, C and </w:t>
      </w:r>
      <w:proofErr w:type="spellStart"/>
      <w:r>
        <w:rPr>
          <w:rStyle w:val="normaltextrun"/>
          <w:rFonts w:ascii="Arial" w:hAnsi="Arial" w:cs="Arial"/>
          <w:color w:val="000000"/>
          <w:lang w:val="en-US"/>
        </w:rPr>
        <w:t>I’Anson</w:t>
      </w:r>
      <w:proofErr w:type="spellEnd"/>
      <w:r>
        <w:rPr>
          <w:rStyle w:val="normaltextrun"/>
          <w:rFonts w:ascii="Arial" w:hAnsi="Arial" w:cs="Arial"/>
          <w:color w:val="000000"/>
          <w:lang w:val="en-US"/>
        </w:rPr>
        <w:t xml:space="preserve">, J. (2018) ‘The UNCRC: The Voice of Global Consensus on Children’s Rights?’, </w:t>
      </w:r>
      <w:r>
        <w:rPr>
          <w:rStyle w:val="normaltextrun"/>
          <w:rFonts w:ascii="Arial" w:hAnsi="Arial" w:cs="Arial"/>
          <w:i/>
          <w:iCs/>
          <w:color w:val="000000"/>
          <w:lang w:val="en-US"/>
        </w:rPr>
        <w:t xml:space="preserve">Nordic Journal of Human Rights, </w:t>
      </w:r>
      <w:r>
        <w:rPr>
          <w:rStyle w:val="normaltextrun"/>
          <w:rFonts w:ascii="Arial" w:hAnsi="Arial" w:cs="Arial"/>
          <w:color w:val="000000"/>
          <w:lang w:val="en-US"/>
        </w:rPr>
        <w:t>36(1), pp. 38-54. DOI:</w:t>
      </w:r>
      <w:r>
        <w:rPr>
          <w:rStyle w:val="normaltextrun"/>
          <w:rFonts w:ascii="Arial" w:hAnsi="Arial" w:cs="Arial"/>
          <w:lang w:val="en-US"/>
        </w:rPr>
        <w:t>10.1080/18918131.2018.1453589</w:t>
      </w:r>
      <w:r>
        <w:rPr>
          <w:rStyle w:val="eop"/>
          <w:rFonts w:ascii="Arial" w:hAnsi="Arial" w:cs="Arial"/>
        </w:rPr>
        <w:t> </w:t>
      </w:r>
    </w:p>
    <w:p w14:paraId="3673B742"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24E12413" w14:textId="104A367F"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Reed, M and Canning, N. (2012) </w:t>
      </w:r>
      <w:r>
        <w:rPr>
          <w:rStyle w:val="normaltextrun"/>
          <w:rFonts w:ascii="Arial" w:hAnsi="Arial" w:cs="Arial"/>
          <w:i/>
          <w:iCs/>
          <w:lang w:val="en-US"/>
        </w:rPr>
        <w:t xml:space="preserve">Implementing Quality Improvement and Change in the Early Years. </w:t>
      </w:r>
      <w:r>
        <w:rPr>
          <w:rStyle w:val="normaltextrun"/>
          <w:rFonts w:ascii="Arial" w:hAnsi="Arial" w:cs="Arial"/>
          <w:lang w:val="en-US"/>
        </w:rPr>
        <w:t>London: SAGE. </w:t>
      </w:r>
      <w:r>
        <w:rPr>
          <w:rStyle w:val="eop"/>
          <w:rFonts w:ascii="Arial" w:hAnsi="Arial" w:cs="Arial"/>
        </w:rPr>
        <w:t> </w:t>
      </w:r>
    </w:p>
    <w:p w14:paraId="0A195F9C"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6C31A552" w14:textId="0A75A35D"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Rube, S. </w:t>
      </w:r>
      <w:r>
        <w:rPr>
          <w:rStyle w:val="normaltextrun"/>
          <w:rFonts w:ascii="Arial" w:hAnsi="Arial" w:cs="Arial"/>
          <w:i/>
          <w:iCs/>
        </w:rPr>
        <w:t>et al</w:t>
      </w:r>
      <w:r>
        <w:rPr>
          <w:rStyle w:val="normaltextrun"/>
          <w:rFonts w:ascii="Arial" w:hAnsi="Arial" w:cs="Arial"/>
        </w:rPr>
        <w:t xml:space="preserve"> (2003) ‘The impact of adverse childhood experiences on health problems: evidence from four birth cohorts dating back to 1900’, </w:t>
      </w:r>
      <w:r>
        <w:rPr>
          <w:rStyle w:val="normaltextrun"/>
          <w:rFonts w:ascii="Arial" w:hAnsi="Arial" w:cs="Arial"/>
          <w:i/>
          <w:iCs/>
        </w:rPr>
        <w:t xml:space="preserve">Preventive Medicine, </w:t>
      </w:r>
      <w:r>
        <w:rPr>
          <w:rStyle w:val="normaltextrun"/>
          <w:rFonts w:ascii="Arial" w:hAnsi="Arial" w:cs="Arial"/>
        </w:rPr>
        <w:t>37, pp. 268-277. DOI: 10.1016/S0091-7453(03)00123-3</w:t>
      </w:r>
      <w:r>
        <w:rPr>
          <w:rStyle w:val="eop"/>
          <w:rFonts w:ascii="Arial" w:hAnsi="Arial" w:cs="Arial"/>
        </w:rPr>
        <w:t> </w:t>
      </w:r>
    </w:p>
    <w:p w14:paraId="5E08E965"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47A03260" w14:textId="16EEB3E4"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color w:val="000000"/>
        </w:rPr>
        <w:t xml:space="preserve">Schilling, E, </w:t>
      </w:r>
      <w:proofErr w:type="spellStart"/>
      <w:r>
        <w:rPr>
          <w:rStyle w:val="normaltextrun"/>
          <w:rFonts w:ascii="Arial" w:hAnsi="Arial" w:cs="Arial"/>
          <w:color w:val="000000"/>
        </w:rPr>
        <w:t>Aseltine</w:t>
      </w:r>
      <w:proofErr w:type="spellEnd"/>
      <w:r>
        <w:rPr>
          <w:rStyle w:val="normaltextrun"/>
          <w:rFonts w:ascii="Arial" w:hAnsi="Arial" w:cs="Arial"/>
          <w:color w:val="000000"/>
        </w:rPr>
        <w:t xml:space="preserve"> Jr, R and Gore, S. (2007) ‘</w:t>
      </w:r>
      <w:r>
        <w:rPr>
          <w:rStyle w:val="normaltextrun"/>
          <w:rFonts w:ascii="Arial" w:hAnsi="Arial" w:cs="Arial"/>
        </w:rPr>
        <w:t xml:space="preserve">Adverse childhood experiences and mental health in young adults: a longitudinal survey’, </w:t>
      </w:r>
      <w:r>
        <w:rPr>
          <w:rStyle w:val="normaltextrun"/>
          <w:rFonts w:ascii="Arial" w:hAnsi="Arial" w:cs="Arial"/>
          <w:i/>
          <w:iCs/>
        </w:rPr>
        <w:t xml:space="preserve">BMC Public Health, </w:t>
      </w:r>
      <w:r>
        <w:rPr>
          <w:rStyle w:val="normaltextrun"/>
          <w:rFonts w:ascii="Arial" w:hAnsi="Arial" w:cs="Arial"/>
        </w:rPr>
        <w:t>7(30), pp. 1-10. DOI: 10.1186/1471-2458-7-30</w:t>
      </w:r>
      <w:r>
        <w:rPr>
          <w:rStyle w:val="eop"/>
          <w:rFonts w:ascii="Arial" w:hAnsi="Arial" w:cs="Arial"/>
        </w:rPr>
        <w:t> </w:t>
      </w:r>
    </w:p>
    <w:p w14:paraId="5E77F064"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67B962D1" w14:textId="3A4E1FDE"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Shallcross, L, </w:t>
      </w:r>
      <w:proofErr w:type="spellStart"/>
      <w:r>
        <w:rPr>
          <w:rStyle w:val="normaltextrun"/>
          <w:rFonts w:ascii="Arial" w:hAnsi="Arial" w:cs="Arial"/>
          <w:lang w:val="en-US"/>
        </w:rPr>
        <w:t>Ramay</w:t>
      </w:r>
      <w:proofErr w:type="spellEnd"/>
      <w:r>
        <w:rPr>
          <w:rStyle w:val="normaltextrun"/>
          <w:rFonts w:ascii="Arial" w:hAnsi="Arial" w:cs="Arial"/>
          <w:lang w:val="en-US"/>
        </w:rPr>
        <w:t xml:space="preserve">, S and Barker, M. (2013) ‘Severe workplace conflict: The experience of mobbing’, </w:t>
      </w:r>
      <w:r>
        <w:rPr>
          <w:rStyle w:val="normaltextrun"/>
          <w:rFonts w:ascii="Arial" w:hAnsi="Arial" w:cs="Arial"/>
          <w:i/>
          <w:iCs/>
          <w:lang w:val="en-US"/>
        </w:rPr>
        <w:t>Negotiation and Conflict Management Research</w:t>
      </w:r>
      <w:r>
        <w:rPr>
          <w:rStyle w:val="normaltextrun"/>
          <w:rFonts w:ascii="Arial" w:hAnsi="Arial" w:cs="Arial"/>
          <w:lang w:val="en-US"/>
        </w:rPr>
        <w:t>, 6(3), pp. 191–213. DOI: 10.1111/ncmr.12011</w:t>
      </w:r>
      <w:r>
        <w:rPr>
          <w:rStyle w:val="eop"/>
          <w:rFonts w:ascii="Arial" w:hAnsi="Arial" w:cs="Arial"/>
        </w:rPr>
        <w:t> </w:t>
      </w:r>
    </w:p>
    <w:p w14:paraId="622964EF"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4E10D2E0" w14:textId="69120421"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Sims, M </w:t>
      </w:r>
      <w:r>
        <w:rPr>
          <w:rStyle w:val="normaltextrun"/>
          <w:rFonts w:ascii="Arial" w:hAnsi="Arial" w:cs="Arial"/>
          <w:i/>
          <w:iCs/>
          <w:lang w:val="en-US"/>
        </w:rPr>
        <w:t>et al. (2015) ‘</w:t>
      </w:r>
      <w:r>
        <w:rPr>
          <w:rStyle w:val="normaltextrun"/>
          <w:rFonts w:ascii="Arial" w:hAnsi="Arial" w:cs="Arial"/>
          <w:lang w:val="en-US"/>
        </w:rPr>
        <w:t xml:space="preserve">Conceptions of early childhood leadership: driving new professionalism?’, </w:t>
      </w:r>
      <w:r>
        <w:rPr>
          <w:rStyle w:val="normaltextrun"/>
          <w:rFonts w:ascii="Arial" w:hAnsi="Arial" w:cs="Arial"/>
          <w:i/>
          <w:iCs/>
          <w:lang w:val="en-US"/>
        </w:rPr>
        <w:t xml:space="preserve">International Journal of Leadership in Education, </w:t>
      </w:r>
      <w:r>
        <w:rPr>
          <w:rStyle w:val="normaltextrun"/>
          <w:rFonts w:ascii="Arial" w:hAnsi="Arial" w:cs="Arial"/>
          <w:lang w:val="en-US"/>
        </w:rPr>
        <w:t>18(2), pp. 149-166. DOI:10.1080/13603124.2014.962101</w:t>
      </w:r>
      <w:r>
        <w:rPr>
          <w:rStyle w:val="eop"/>
          <w:rFonts w:ascii="Arial" w:hAnsi="Arial" w:cs="Arial"/>
        </w:rPr>
        <w:t> </w:t>
      </w:r>
    </w:p>
    <w:p w14:paraId="733567FC"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7676CB3D" w14:textId="62E3345E"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Speight, N and Wynne, J. (2000) ‘Is the children act failing severely abused and neglected children?’ </w:t>
      </w:r>
      <w:r>
        <w:rPr>
          <w:rStyle w:val="normaltextrun"/>
          <w:rFonts w:ascii="Arial" w:hAnsi="Arial" w:cs="Arial"/>
          <w:i/>
          <w:iCs/>
          <w:lang w:val="en-US"/>
        </w:rPr>
        <w:t xml:space="preserve">Disease in Childhood, </w:t>
      </w:r>
      <w:r>
        <w:rPr>
          <w:rStyle w:val="normaltextrun"/>
          <w:rFonts w:ascii="Arial" w:hAnsi="Arial" w:cs="Arial"/>
          <w:lang w:val="en-US"/>
        </w:rPr>
        <w:t>82(3), pp. 192-196. DOI: 10.1136/adc.82.3.192</w:t>
      </w:r>
      <w:r>
        <w:rPr>
          <w:rStyle w:val="eop"/>
          <w:rFonts w:ascii="Arial" w:hAnsi="Arial" w:cs="Arial"/>
        </w:rPr>
        <w:t> </w:t>
      </w:r>
    </w:p>
    <w:p w14:paraId="415CE3DF"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465FEAA1" w14:textId="239EC72B"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Toomer, J. </w:t>
      </w:r>
      <w:r>
        <w:rPr>
          <w:rStyle w:val="normaltextrun"/>
          <w:rFonts w:ascii="Arial" w:hAnsi="Arial" w:cs="Arial"/>
          <w:i/>
          <w:iCs/>
          <w:lang w:val="en-US"/>
        </w:rPr>
        <w:t>et al</w:t>
      </w:r>
      <w:r>
        <w:rPr>
          <w:rStyle w:val="normaltextrun"/>
          <w:rFonts w:ascii="Arial" w:hAnsi="Arial" w:cs="Arial"/>
          <w:lang w:val="en-US"/>
        </w:rPr>
        <w:t xml:space="preserve">. (2018) </w:t>
      </w:r>
      <w:r>
        <w:rPr>
          <w:rStyle w:val="normaltextrun"/>
          <w:rFonts w:ascii="Arial" w:hAnsi="Arial" w:cs="Arial"/>
          <w:i/>
          <w:iCs/>
          <w:lang w:val="en-US"/>
        </w:rPr>
        <w:t xml:space="preserve">The Catalyst Effect: 12 skills and </w:t>
      </w:r>
      <w:proofErr w:type="spellStart"/>
      <w:r>
        <w:rPr>
          <w:rStyle w:val="normaltextrun"/>
          <w:rFonts w:ascii="Arial" w:hAnsi="Arial" w:cs="Arial"/>
          <w:i/>
          <w:iCs/>
          <w:lang w:val="en-US"/>
        </w:rPr>
        <w:t>Behaviours</w:t>
      </w:r>
      <w:proofErr w:type="spellEnd"/>
      <w:r>
        <w:rPr>
          <w:rStyle w:val="normaltextrun"/>
          <w:rFonts w:ascii="Arial" w:hAnsi="Arial" w:cs="Arial"/>
          <w:i/>
          <w:iCs/>
          <w:lang w:val="en-US"/>
        </w:rPr>
        <w:t xml:space="preserve"> to Boost your Impact and Elevate Team Performance</w:t>
      </w:r>
      <w:r>
        <w:rPr>
          <w:rStyle w:val="normaltextrun"/>
          <w:rFonts w:ascii="Arial" w:hAnsi="Arial" w:cs="Arial"/>
          <w:lang w:val="en-US"/>
        </w:rPr>
        <w:t>. Bingley: Emerald Publishing</w:t>
      </w:r>
      <w:r>
        <w:rPr>
          <w:rStyle w:val="eop"/>
          <w:rFonts w:ascii="Arial" w:hAnsi="Arial" w:cs="Arial"/>
        </w:rPr>
        <w:t> </w:t>
      </w:r>
    </w:p>
    <w:p w14:paraId="1D4B7857"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68B90BE9" w14:textId="73547286" w:rsidR="00D71C9B" w:rsidRDefault="00D71C9B" w:rsidP="00D71C9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UNICEF (2022) ‘</w:t>
      </w:r>
      <w:r>
        <w:rPr>
          <w:rStyle w:val="normaltextrun"/>
          <w:rFonts w:ascii="Arial" w:hAnsi="Arial" w:cs="Arial"/>
          <w:i/>
          <w:iCs/>
          <w:lang w:val="en-US"/>
        </w:rPr>
        <w:t xml:space="preserve">How to we protect children’s rights with the UN convention on the rights of the child’. </w:t>
      </w:r>
      <w:r>
        <w:rPr>
          <w:rStyle w:val="normaltextrun"/>
          <w:rFonts w:ascii="Arial" w:hAnsi="Arial" w:cs="Arial"/>
          <w:lang w:val="en-US"/>
        </w:rPr>
        <w:t>Available at: https://www.unicef.org.uk/what-we-do/un-convention-child-rights/ (Accessed 25 March 2022)</w:t>
      </w:r>
      <w:r>
        <w:rPr>
          <w:rStyle w:val="eop"/>
          <w:rFonts w:ascii="Arial" w:hAnsi="Arial" w:cs="Arial"/>
        </w:rPr>
        <w:t> </w:t>
      </w:r>
    </w:p>
    <w:p w14:paraId="09BA857B"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p>
    <w:p w14:paraId="1E0AD94A" w14:textId="77777777" w:rsidR="00D71C9B" w:rsidRDefault="00D71C9B" w:rsidP="00D71C9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Weber, E and Thomas, E. (2010) ‘Democratic Political Leadership’, in Couto, R. </w:t>
      </w:r>
      <w:r>
        <w:rPr>
          <w:rStyle w:val="normaltextrun"/>
          <w:rFonts w:ascii="Arial" w:hAnsi="Arial" w:cs="Arial"/>
          <w:i/>
          <w:iCs/>
        </w:rPr>
        <w:t xml:space="preserve">Political and Civic Leadership: A Reference Handbook. </w:t>
      </w:r>
      <w:r>
        <w:rPr>
          <w:rStyle w:val="normaltextrun"/>
          <w:rFonts w:ascii="Arial" w:hAnsi="Arial" w:cs="Arial"/>
        </w:rPr>
        <w:t>Washington DC: Sage Press. </w:t>
      </w:r>
      <w:r>
        <w:rPr>
          <w:rStyle w:val="eop"/>
          <w:rFonts w:ascii="Arial" w:hAnsi="Arial" w:cs="Arial"/>
        </w:rPr>
        <w:t> </w:t>
      </w:r>
    </w:p>
    <w:p w14:paraId="77398EAC" w14:textId="77777777" w:rsidR="00D71C9B" w:rsidRPr="00D71C9B" w:rsidRDefault="00D71C9B" w:rsidP="00CA67C5">
      <w:pPr>
        <w:spacing w:line="360" w:lineRule="auto"/>
        <w:jc w:val="both"/>
        <w:rPr>
          <w:rFonts w:ascii="Arial" w:hAnsi="Arial" w:cs="Arial"/>
          <w:sz w:val="24"/>
          <w:szCs w:val="24"/>
          <w:u w:val="single"/>
        </w:rPr>
      </w:pPr>
    </w:p>
    <w:sectPr w:rsidR="00D71C9B" w:rsidRPr="00D71C9B" w:rsidSect="00D71C9B">
      <w:headerReference w:type="default" r:id="rId6"/>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8B8CF" w14:textId="77777777" w:rsidR="00AB305A" w:rsidRDefault="00AB305A" w:rsidP="00AB305A">
      <w:pPr>
        <w:spacing w:after="0" w:line="240" w:lineRule="auto"/>
      </w:pPr>
      <w:r>
        <w:separator/>
      </w:r>
    </w:p>
  </w:endnote>
  <w:endnote w:type="continuationSeparator" w:id="0">
    <w:p w14:paraId="701C7BA9" w14:textId="77777777" w:rsidR="00AB305A" w:rsidRDefault="00AB305A" w:rsidP="00AB3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1671133517"/>
      <w:docPartObj>
        <w:docPartGallery w:val="Page Numbers (Bottom of Page)"/>
        <w:docPartUnique/>
      </w:docPartObj>
    </w:sdtPr>
    <w:sdtEndPr>
      <w:rPr>
        <w:noProof/>
      </w:rPr>
    </w:sdtEndPr>
    <w:sdtContent>
      <w:p w14:paraId="02E4D488" w14:textId="03F0D672" w:rsidR="00887F80" w:rsidRPr="006D48E8" w:rsidRDefault="00887F80" w:rsidP="006D48E8">
        <w:pPr>
          <w:pStyle w:val="Footer"/>
          <w:jc w:val="center"/>
          <w:rPr>
            <w:rFonts w:ascii="Arial" w:hAnsi="Arial" w:cs="Arial"/>
            <w:sz w:val="24"/>
            <w:szCs w:val="24"/>
          </w:rPr>
        </w:pPr>
        <w:r w:rsidRPr="006D48E8">
          <w:rPr>
            <w:rFonts w:ascii="Arial" w:hAnsi="Arial" w:cs="Arial"/>
            <w:sz w:val="24"/>
            <w:szCs w:val="24"/>
          </w:rPr>
          <w:fldChar w:fldCharType="begin"/>
        </w:r>
        <w:r w:rsidRPr="006D48E8">
          <w:rPr>
            <w:rFonts w:ascii="Arial" w:hAnsi="Arial" w:cs="Arial"/>
            <w:sz w:val="24"/>
            <w:szCs w:val="24"/>
          </w:rPr>
          <w:instrText xml:space="preserve"> PAGE   \* MERGEFORMAT </w:instrText>
        </w:r>
        <w:r w:rsidRPr="006D48E8">
          <w:rPr>
            <w:rFonts w:ascii="Arial" w:hAnsi="Arial" w:cs="Arial"/>
            <w:sz w:val="24"/>
            <w:szCs w:val="24"/>
          </w:rPr>
          <w:fldChar w:fldCharType="separate"/>
        </w:r>
        <w:r w:rsidRPr="006D48E8">
          <w:rPr>
            <w:rFonts w:ascii="Arial" w:hAnsi="Arial" w:cs="Arial"/>
            <w:noProof/>
            <w:sz w:val="24"/>
            <w:szCs w:val="24"/>
          </w:rPr>
          <w:t>2</w:t>
        </w:r>
        <w:r w:rsidRPr="006D48E8">
          <w:rPr>
            <w:rFonts w:ascii="Arial" w:hAnsi="Arial" w:cs="Arial"/>
            <w:noProof/>
            <w:sz w:val="24"/>
            <w:szCs w:val="24"/>
          </w:rPr>
          <w:fldChar w:fldCharType="end"/>
        </w:r>
      </w:p>
    </w:sdtContent>
  </w:sdt>
  <w:p w14:paraId="4ED7F01D" w14:textId="77777777" w:rsidR="00AB305A" w:rsidRPr="006D48E8" w:rsidRDefault="00AB305A">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E2B67" w14:textId="77777777" w:rsidR="00AB305A" w:rsidRDefault="00AB305A" w:rsidP="00AB305A">
      <w:pPr>
        <w:spacing w:after="0" w:line="240" w:lineRule="auto"/>
      </w:pPr>
      <w:r>
        <w:separator/>
      </w:r>
    </w:p>
  </w:footnote>
  <w:footnote w:type="continuationSeparator" w:id="0">
    <w:p w14:paraId="69D84328" w14:textId="77777777" w:rsidR="00AB305A" w:rsidRDefault="00AB305A" w:rsidP="00AB30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540827" w14:textId="1731535A" w:rsidR="00AB305A" w:rsidRPr="006D48E8" w:rsidRDefault="00AB305A" w:rsidP="006D48E8">
    <w:pPr>
      <w:pStyle w:val="Header"/>
      <w:spacing w:line="360" w:lineRule="auto"/>
      <w:rPr>
        <w:rFonts w:ascii="Arial" w:hAnsi="Arial" w:cs="Arial"/>
        <w:sz w:val="24"/>
        <w:szCs w:val="24"/>
        <w:lang w:val="en-US"/>
      </w:rPr>
    </w:pPr>
    <w:r w:rsidRPr="006D48E8">
      <w:rPr>
        <w:rFonts w:ascii="Arial" w:hAnsi="Arial" w:cs="Arial"/>
        <w:sz w:val="24"/>
        <w:szCs w:val="24"/>
        <w:lang w:val="en-US"/>
      </w:rPr>
      <w:t>ECEY6003/C</w:t>
    </w:r>
    <w:r w:rsidRPr="006D48E8">
      <w:rPr>
        <w:rFonts w:ascii="Arial" w:hAnsi="Arial" w:cs="Arial"/>
        <w:sz w:val="24"/>
        <w:szCs w:val="24"/>
        <w:lang w:val="en-US"/>
      </w:rPr>
      <w:tab/>
      <w:t>1902252</w:t>
    </w:r>
    <w:r w:rsidR="006D48E8" w:rsidRPr="006D48E8">
      <w:rPr>
        <w:rFonts w:ascii="Arial" w:hAnsi="Arial" w:cs="Arial"/>
        <w:sz w:val="24"/>
        <w:szCs w:val="24"/>
        <w:lang w:val="en-US"/>
      </w:rPr>
      <w:tab/>
      <w:t>Word Count</w:t>
    </w:r>
    <w:r w:rsidR="00D71C9B">
      <w:rPr>
        <w:rFonts w:ascii="Arial" w:hAnsi="Arial" w:cs="Arial"/>
        <w:sz w:val="24"/>
        <w:szCs w:val="24"/>
        <w:lang w:val="en-US"/>
      </w:rPr>
      <w:t xml:space="preserve"> – 4,780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05A"/>
    <w:rsid w:val="00171FD9"/>
    <w:rsid w:val="00382BF5"/>
    <w:rsid w:val="006D48E8"/>
    <w:rsid w:val="00887F80"/>
    <w:rsid w:val="00AB305A"/>
    <w:rsid w:val="00CA67C5"/>
    <w:rsid w:val="00D71C9B"/>
    <w:rsid w:val="00F61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ABC43"/>
  <w15:chartTrackingRefBased/>
  <w15:docId w15:val="{F1140D4C-9AE5-4A36-AF8B-8127ED5F7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30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05A"/>
  </w:style>
  <w:style w:type="paragraph" w:styleId="Footer">
    <w:name w:val="footer"/>
    <w:basedOn w:val="Normal"/>
    <w:link w:val="FooterChar"/>
    <w:uiPriority w:val="99"/>
    <w:unhideWhenUsed/>
    <w:rsid w:val="00AB30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05A"/>
  </w:style>
  <w:style w:type="paragraph" w:customStyle="1" w:styleId="paragraph">
    <w:name w:val="paragraph"/>
    <w:basedOn w:val="Normal"/>
    <w:rsid w:val="00CA67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A67C5"/>
  </w:style>
  <w:style w:type="character" w:customStyle="1" w:styleId="eop">
    <w:name w:val="eop"/>
    <w:basedOn w:val="DefaultParagraphFont"/>
    <w:rsid w:val="00CA67C5"/>
  </w:style>
  <w:style w:type="character" w:styleId="Hyperlink">
    <w:name w:val="Hyperlink"/>
    <w:basedOn w:val="DefaultParagraphFont"/>
    <w:uiPriority w:val="99"/>
    <w:unhideWhenUsed/>
    <w:rsid w:val="00D71C9B"/>
    <w:rPr>
      <w:color w:val="0563C1" w:themeColor="hyperlink"/>
      <w:u w:val="single"/>
    </w:rPr>
  </w:style>
  <w:style w:type="character" w:styleId="UnresolvedMention">
    <w:name w:val="Unresolved Mention"/>
    <w:basedOn w:val="DefaultParagraphFont"/>
    <w:uiPriority w:val="99"/>
    <w:semiHidden/>
    <w:unhideWhenUsed/>
    <w:rsid w:val="00D71C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751451">
      <w:bodyDiv w:val="1"/>
      <w:marLeft w:val="0"/>
      <w:marRight w:val="0"/>
      <w:marTop w:val="0"/>
      <w:marBottom w:val="0"/>
      <w:divBdr>
        <w:top w:val="none" w:sz="0" w:space="0" w:color="auto"/>
        <w:left w:val="none" w:sz="0" w:space="0" w:color="auto"/>
        <w:bottom w:val="none" w:sz="0" w:space="0" w:color="auto"/>
        <w:right w:val="none" w:sz="0" w:space="0" w:color="auto"/>
      </w:divBdr>
      <w:divsChild>
        <w:div w:id="1465809042">
          <w:marLeft w:val="0"/>
          <w:marRight w:val="0"/>
          <w:marTop w:val="0"/>
          <w:marBottom w:val="0"/>
          <w:divBdr>
            <w:top w:val="none" w:sz="0" w:space="0" w:color="auto"/>
            <w:left w:val="none" w:sz="0" w:space="0" w:color="auto"/>
            <w:bottom w:val="none" w:sz="0" w:space="0" w:color="auto"/>
            <w:right w:val="none" w:sz="0" w:space="0" w:color="auto"/>
          </w:divBdr>
        </w:div>
        <w:div w:id="301693053">
          <w:marLeft w:val="0"/>
          <w:marRight w:val="0"/>
          <w:marTop w:val="0"/>
          <w:marBottom w:val="0"/>
          <w:divBdr>
            <w:top w:val="none" w:sz="0" w:space="0" w:color="auto"/>
            <w:left w:val="none" w:sz="0" w:space="0" w:color="auto"/>
            <w:bottom w:val="none" w:sz="0" w:space="0" w:color="auto"/>
            <w:right w:val="none" w:sz="0" w:space="0" w:color="auto"/>
          </w:divBdr>
        </w:div>
        <w:div w:id="2036154551">
          <w:marLeft w:val="0"/>
          <w:marRight w:val="0"/>
          <w:marTop w:val="0"/>
          <w:marBottom w:val="0"/>
          <w:divBdr>
            <w:top w:val="none" w:sz="0" w:space="0" w:color="auto"/>
            <w:left w:val="none" w:sz="0" w:space="0" w:color="auto"/>
            <w:bottom w:val="none" w:sz="0" w:space="0" w:color="auto"/>
            <w:right w:val="none" w:sz="0" w:space="0" w:color="auto"/>
          </w:divBdr>
        </w:div>
        <w:div w:id="1242908370">
          <w:marLeft w:val="0"/>
          <w:marRight w:val="0"/>
          <w:marTop w:val="0"/>
          <w:marBottom w:val="0"/>
          <w:divBdr>
            <w:top w:val="none" w:sz="0" w:space="0" w:color="auto"/>
            <w:left w:val="none" w:sz="0" w:space="0" w:color="auto"/>
            <w:bottom w:val="none" w:sz="0" w:space="0" w:color="auto"/>
            <w:right w:val="none" w:sz="0" w:space="0" w:color="auto"/>
          </w:divBdr>
        </w:div>
        <w:div w:id="2113237984">
          <w:marLeft w:val="0"/>
          <w:marRight w:val="0"/>
          <w:marTop w:val="0"/>
          <w:marBottom w:val="0"/>
          <w:divBdr>
            <w:top w:val="none" w:sz="0" w:space="0" w:color="auto"/>
            <w:left w:val="none" w:sz="0" w:space="0" w:color="auto"/>
            <w:bottom w:val="none" w:sz="0" w:space="0" w:color="auto"/>
            <w:right w:val="none" w:sz="0" w:space="0" w:color="auto"/>
          </w:divBdr>
        </w:div>
        <w:div w:id="122624541">
          <w:marLeft w:val="0"/>
          <w:marRight w:val="0"/>
          <w:marTop w:val="0"/>
          <w:marBottom w:val="0"/>
          <w:divBdr>
            <w:top w:val="none" w:sz="0" w:space="0" w:color="auto"/>
            <w:left w:val="none" w:sz="0" w:space="0" w:color="auto"/>
            <w:bottom w:val="none" w:sz="0" w:space="0" w:color="auto"/>
            <w:right w:val="none" w:sz="0" w:space="0" w:color="auto"/>
          </w:divBdr>
        </w:div>
        <w:div w:id="1367024940">
          <w:marLeft w:val="0"/>
          <w:marRight w:val="0"/>
          <w:marTop w:val="0"/>
          <w:marBottom w:val="0"/>
          <w:divBdr>
            <w:top w:val="none" w:sz="0" w:space="0" w:color="auto"/>
            <w:left w:val="none" w:sz="0" w:space="0" w:color="auto"/>
            <w:bottom w:val="none" w:sz="0" w:space="0" w:color="auto"/>
            <w:right w:val="none" w:sz="0" w:space="0" w:color="auto"/>
          </w:divBdr>
        </w:div>
        <w:div w:id="505754286">
          <w:marLeft w:val="0"/>
          <w:marRight w:val="0"/>
          <w:marTop w:val="0"/>
          <w:marBottom w:val="0"/>
          <w:divBdr>
            <w:top w:val="none" w:sz="0" w:space="0" w:color="auto"/>
            <w:left w:val="none" w:sz="0" w:space="0" w:color="auto"/>
            <w:bottom w:val="none" w:sz="0" w:space="0" w:color="auto"/>
            <w:right w:val="none" w:sz="0" w:space="0" w:color="auto"/>
          </w:divBdr>
        </w:div>
        <w:div w:id="1526216410">
          <w:marLeft w:val="0"/>
          <w:marRight w:val="0"/>
          <w:marTop w:val="0"/>
          <w:marBottom w:val="0"/>
          <w:divBdr>
            <w:top w:val="none" w:sz="0" w:space="0" w:color="auto"/>
            <w:left w:val="none" w:sz="0" w:space="0" w:color="auto"/>
            <w:bottom w:val="none" w:sz="0" w:space="0" w:color="auto"/>
            <w:right w:val="none" w:sz="0" w:space="0" w:color="auto"/>
          </w:divBdr>
        </w:div>
        <w:div w:id="1525361597">
          <w:marLeft w:val="0"/>
          <w:marRight w:val="0"/>
          <w:marTop w:val="0"/>
          <w:marBottom w:val="0"/>
          <w:divBdr>
            <w:top w:val="none" w:sz="0" w:space="0" w:color="auto"/>
            <w:left w:val="none" w:sz="0" w:space="0" w:color="auto"/>
            <w:bottom w:val="none" w:sz="0" w:space="0" w:color="auto"/>
            <w:right w:val="none" w:sz="0" w:space="0" w:color="auto"/>
          </w:divBdr>
        </w:div>
        <w:div w:id="1971861373">
          <w:marLeft w:val="0"/>
          <w:marRight w:val="0"/>
          <w:marTop w:val="0"/>
          <w:marBottom w:val="0"/>
          <w:divBdr>
            <w:top w:val="none" w:sz="0" w:space="0" w:color="auto"/>
            <w:left w:val="none" w:sz="0" w:space="0" w:color="auto"/>
            <w:bottom w:val="none" w:sz="0" w:space="0" w:color="auto"/>
            <w:right w:val="none" w:sz="0" w:space="0" w:color="auto"/>
          </w:divBdr>
        </w:div>
        <w:div w:id="1162745557">
          <w:marLeft w:val="0"/>
          <w:marRight w:val="0"/>
          <w:marTop w:val="0"/>
          <w:marBottom w:val="0"/>
          <w:divBdr>
            <w:top w:val="none" w:sz="0" w:space="0" w:color="auto"/>
            <w:left w:val="none" w:sz="0" w:space="0" w:color="auto"/>
            <w:bottom w:val="none" w:sz="0" w:space="0" w:color="auto"/>
            <w:right w:val="none" w:sz="0" w:space="0" w:color="auto"/>
          </w:divBdr>
        </w:div>
        <w:div w:id="1919821229">
          <w:marLeft w:val="0"/>
          <w:marRight w:val="0"/>
          <w:marTop w:val="0"/>
          <w:marBottom w:val="0"/>
          <w:divBdr>
            <w:top w:val="none" w:sz="0" w:space="0" w:color="auto"/>
            <w:left w:val="none" w:sz="0" w:space="0" w:color="auto"/>
            <w:bottom w:val="none" w:sz="0" w:space="0" w:color="auto"/>
            <w:right w:val="none" w:sz="0" w:space="0" w:color="auto"/>
          </w:divBdr>
        </w:div>
        <w:div w:id="1609849733">
          <w:marLeft w:val="0"/>
          <w:marRight w:val="0"/>
          <w:marTop w:val="0"/>
          <w:marBottom w:val="0"/>
          <w:divBdr>
            <w:top w:val="none" w:sz="0" w:space="0" w:color="auto"/>
            <w:left w:val="none" w:sz="0" w:space="0" w:color="auto"/>
            <w:bottom w:val="none" w:sz="0" w:space="0" w:color="auto"/>
            <w:right w:val="none" w:sz="0" w:space="0" w:color="auto"/>
          </w:divBdr>
        </w:div>
        <w:div w:id="603225427">
          <w:marLeft w:val="0"/>
          <w:marRight w:val="0"/>
          <w:marTop w:val="0"/>
          <w:marBottom w:val="0"/>
          <w:divBdr>
            <w:top w:val="none" w:sz="0" w:space="0" w:color="auto"/>
            <w:left w:val="none" w:sz="0" w:space="0" w:color="auto"/>
            <w:bottom w:val="none" w:sz="0" w:space="0" w:color="auto"/>
            <w:right w:val="none" w:sz="0" w:space="0" w:color="auto"/>
          </w:divBdr>
        </w:div>
        <w:div w:id="35391546">
          <w:marLeft w:val="0"/>
          <w:marRight w:val="0"/>
          <w:marTop w:val="0"/>
          <w:marBottom w:val="0"/>
          <w:divBdr>
            <w:top w:val="none" w:sz="0" w:space="0" w:color="auto"/>
            <w:left w:val="none" w:sz="0" w:space="0" w:color="auto"/>
            <w:bottom w:val="none" w:sz="0" w:space="0" w:color="auto"/>
            <w:right w:val="none" w:sz="0" w:space="0" w:color="auto"/>
          </w:divBdr>
        </w:div>
        <w:div w:id="890338049">
          <w:marLeft w:val="0"/>
          <w:marRight w:val="0"/>
          <w:marTop w:val="0"/>
          <w:marBottom w:val="0"/>
          <w:divBdr>
            <w:top w:val="none" w:sz="0" w:space="0" w:color="auto"/>
            <w:left w:val="none" w:sz="0" w:space="0" w:color="auto"/>
            <w:bottom w:val="none" w:sz="0" w:space="0" w:color="auto"/>
            <w:right w:val="none" w:sz="0" w:space="0" w:color="auto"/>
          </w:divBdr>
        </w:div>
        <w:div w:id="2073849455">
          <w:marLeft w:val="0"/>
          <w:marRight w:val="0"/>
          <w:marTop w:val="0"/>
          <w:marBottom w:val="0"/>
          <w:divBdr>
            <w:top w:val="none" w:sz="0" w:space="0" w:color="auto"/>
            <w:left w:val="none" w:sz="0" w:space="0" w:color="auto"/>
            <w:bottom w:val="none" w:sz="0" w:space="0" w:color="auto"/>
            <w:right w:val="none" w:sz="0" w:space="0" w:color="auto"/>
          </w:divBdr>
        </w:div>
        <w:div w:id="1377701189">
          <w:marLeft w:val="0"/>
          <w:marRight w:val="0"/>
          <w:marTop w:val="0"/>
          <w:marBottom w:val="0"/>
          <w:divBdr>
            <w:top w:val="none" w:sz="0" w:space="0" w:color="auto"/>
            <w:left w:val="none" w:sz="0" w:space="0" w:color="auto"/>
            <w:bottom w:val="none" w:sz="0" w:space="0" w:color="auto"/>
            <w:right w:val="none" w:sz="0" w:space="0" w:color="auto"/>
          </w:divBdr>
        </w:div>
        <w:div w:id="672562991">
          <w:marLeft w:val="0"/>
          <w:marRight w:val="0"/>
          <w:marTop w:val="0"/>
          <w:marBottom w:val="0"/>
          <w:divBdr>
            <w:top w:val="none" w:sz="0" w:space="0" w:color="auto"/>
            <w:left w:val="none" w:sz="0" w:space="0" w:color="auto"/>
            <w:bottom w:val="none" w:sz="0" w:space="0" w:color="auto"/>
            <w:right w:val="none" w:sz="0" w:space="0" w:color="auto"/>
          </w:divBdr>
        </w:div>
        <w:div w:id="1313027988">
          <w:marLeft w:val="0"/>
          <w:marRight w:val="0"/>
          <w:marTop w:val="0"/>
          <w:marBottom w:val="0"/>
          <w:divBdr>
            <w:top w:val="none" w:sz="0" w:space="0" w:color="auto"/>
            <w:left w:val="none" w:sz="0" w:space="0" w:color="auto"/>
            <w:bottom w:val="none" w:sz="0" w:space="0" w:color="auto"/>
            <w:right w:val="none" w:sz="0" w:space="0" w:color="auto"/>
          </w:divBdr>
        </w:div>
        <w:div w:id="1039090817">
          <w:marLeft w:val="0"/>
          <w:marRight w:val="0"/>
          <w:marTop w:val="0"/>
          <w:marBottom w:val="0"/>
          <w:divBdr>
            <w:top w:val="none" w:sz="0" w:space="0" w:color="auto"/>
            <w:left w:val="none" w:sz="0" w:space="0" w:color="auto"/>
            <w:bottom w:val="none" w:sz="0" w:space="0" w:color="auto"/>
            <w:right w:val="none" w:sz="0" w:space="0" w:color="auto"/>
          </w:divBdr>
        </w:div>
        <w:div w:id="566457182">
          <w:marLeft w:val="0"/>
          <w:marRight w:val="0"/>
          <w:marTop w:val="0"/>
          <w:marBottom w:val="0"/>
          <w:divBdr>
            <w:top w:val="none" w:sz="0" w:space="0" w:color="auto"/>
            <w:left w:val="none" w:sz="0" w:space="0" w:color="auto"/>
            <w:bottom w:val="none" w:sz="0" w:space="0" w:color="auto"/>
            <w:right w:val="none" w:sz="0" w:space="0" w:color="auto"/>
          </w:divBdr>
        </w:div>
        <w:div w:id="1990934870">
          <w:marLeft w:val="0"/>
          <w:marRight w:val="0"/>
          <w:marTop w:val="0"/>
          <w:marBottom w:val="0"/>
          <w:divBdr>
            <w:top w:val="none" w:sz="0" w:space="0" w:color="auto"/>
            <w:left w:val="none" w:sz="0" w:space="0" w:color="auto"/>
            <w:bottom w:val="none" w:sz="0" w:space="0" w:color="auto"/>
            <w:right w:val="none" w:sz="0" w:space="0" w:color="auto"/>
          </w:divBdr>
        </w:div>
        <w:div w:id="471825242">
          <w:marLeft w:val="0"/>
          <w:marRight w:val="0"/>
          <w:marTop w:val="0"/>
          <w:marBottom w:val="0"/>
          <w:divBdr>
            <w:top w:val="none" w:sz="0" w:space="0" w:color="auto"/>
            <w:left w:val="none" w:sz="0" w:space="0" w:color="auto"/>
            <w:bottom w:val="none" w:sz="0" w:space="0" w:color="auto"/>
            <w:right w:val="none" w:sz="0" w:space="0" w:color="auto"/>
          </w:divBdr>
        </w:div>
        <w:div w:id="1203132119">
          <w:marLeft w:val="0"/>
          <w:marRight w:val="0"/>
          <w:marTop w:val="0"/>
          <w:marBottom w:val="0"/>
          <w:divBdr>
            <w:top w:val="none" w:sz="0" w:space="0" w:color="auto"/>
            <w:left w:val="none" w:sz="0" w:space="0" w:color="auto"/>
            <w:bottom w:val="none" w:sz="0" w:space="0" w:color="auto"/>
            <w:right w:val="none" w:sz="0" w:space="0" w:color="auto"/>
          </w:divBdr>
        </w:div>
        <w:div w:id="366610677">
          <w:marLeft w:val="0"/>
          <w:marRight w:val="0"/>
          <w:marTop w:val="0"/>
          <w:marBottom w:val="0"/>
          <w:divBdr>
            <w:top w:val="none" w:sz="0" w:space="0" w:color="auto"/>
            <w:left w:val="none" w:sz="0" w:space="0" w:color="auto"/>
            <w:bottom w:val="none" w:sz="0" w:space="0" w:color="auto"/>
            <w:right w:val="none" w:sz="0" w:space="0" w:color="auto"/>
          </w:divBdr>
        </w:div>
        <w:div w:id="539511399">
          <w:marLeft w:val="0"/>
          <w:marRight w:val="0"/>
          <w:marTop w:val="0"/>
          <w:marBottom w:val="0"/>
          <w:divBdr>
            <w:top w:val="none" w:sz="0" w:space="0" w:color="auto"/>
            <w:left w:val="none" w:sz="0" w:space="0" w:color="auto"/>
            <w:bottom w:val="none" w:sz="0" w:space="0" w:color="auto"/>
            <w:right w:val="none" w:sz="0" w:space="0" w:color="auto"/>
          </w:divBdr>
        </w:div>
        <w:div w:id="1710377546">
          <w:marLeft w:val="0"/>
          <w:marRight w:val="0"/>
          <w:marTop w:val="0"/>
          <w:marBottom w:val="0"/>
          <w:divBdr>
            <w:top w:val="none" w:sz="0" w:space="0" w:color="auto"/>
            <w:left w:val="none" w:sz="0" w:space="0" w:color="auto"/>
            <w:bottom w:val="none" w:sz="0" w:space="0" w:color="auto"/>
            <w:right w:val="none" w:sz="0" w:space="0" w:color="auto"/>
          </w:divBdr>
        </w:div>
        <w:div w:id="190266651">
          <w:marLeft w:val="0"/>
          <w:marRight w:val="0"/>
          <w:marTop w:val="0"/>
          <w:marBottom w:val="0"/>
          <w:divBdr>
            <w:top w:val="none" w:sz="0" w:space="0" w:color="auto"/>
            <w:left w:val="none" w:sz="0" w:space="0" w:color="auto"/>
            <w:bottom w:val="none" w:sz="0" w:space="0" w:color="auto"/>
            <w:right w:val="none" w:sz="0" w:space="0" w:color="auto"/>
          </w:divBdr>
        </w:div>
        <w:div w:id="1199858404">
          <w:marLeft w:val="0"/>
          <w:marRight w:val="0"/>
          <w:marTop w:val="0"/>
          <w:marBottom w:val="0"/>
          <w:divBdr>
            <w:top w:val="none" w:sz="0" w:space="0" w:color="auto"/>
            <w:left w:val="none" w:sz="0" w:space="0" w:color="auto"/>
            <w:bottom w:val="none" w:sz="0" w:space="0" w:color="auto"/>
            <w:right w:val="none" w:sz="0" w:space="0" w:color="auto"/>
          </w:divBdr>
        </w:div>
        <w:div w:id="1501971444">
          <w:marLeft w:val="0"/>
          <w:marRight w:val="0"/>
          <w:marTop w:val="0"/>
          <w:marBottom w:val="0"/>
          <w:divBdr>
            <w:top w:val="none" w:sz="0" w:space="0" w:color="auto"/>
            <w:left w:val="none" w:sz="0" w:space="0" w:color="auto"/>
            <w:bottom w:val="none" w:sz="0" w:space="0" w:color="auto"/>
            <w:right w:val="none" w:sz="0" w:space="0" w:color="auto"/>
          </w:divBdr>
        </w:div>
        <w:div w:id="1927306499">
          <w:marLeft w:val="0"/>
          <w:marRight w:val="0"/>
          <w:marTop w:val="0"/>
          <w:marBottom w:val="0"/>
          <w:divBdr>
            <w:top w:val="none" w:sz="0" w:space="0" w:color="auto"/>
            <w:left w:val="none" w:sz="0" w:space="0" w:color="auto"/>
            <w:bottom w:val="none" w:sz="0" w:space="0" w:color="auto"/>
            <w:right w:val="none" w:sz="0" w:space="0" w:color="auto"/>
          </w:divBdr>
        </w:div>
        <w:div w:id="1698198350">
          <w:marLeft w:val="0"/>
          <w:marRight w:val="0"/>
          <w:marTop w:val="0"/>
          <w:marBottom w:val="0"/>
          <w:divBdr>
            <w:top w:val="none" w:sz="0" w:space="0" w:color="auto"/>
            <w:left w:val="none" w:sz="0" w:space="0" w:color="auto"/>
            <w:bottom w:val="none" w:sz="0" w:space="0" w:color="auto"/>
            <w:right w:val="none" w:sz="0" w:space="0" w:color="auto"/>
          </w:divBdr>
        </w:div>
        <w:div w:id="382752371">
          <w:marLeft w:val="0"/>
          <w:marRight w:val="0"/>
          <w:marTop w:val="0"/>
          <w:marBottom w:val="0"/>
          <w:divBdr>
            <w:top w:val="none" w:sz="0" w:space="0" w:color="auto"/>
            <w:left w:val="none" w:sz="0" w:space="0" w:color="auto"/>
            <w:bottom w:val="none" w:sz="0" w:space="0" w:color="auto"/>
            <w:right w:val="none" w:sz="0" w:space="0" w:color="auto"/>
          </w:divBdr>
        </w:div>
        <w:div w:id="354580740">
          <w:marLeft w:val="0"/>
          <w:marRight w:val="0"/>
          <w:marTop w:val="0"/>
          <w:marBottom w:val="0"/>
          <w:divBdr>
            <w:top w:val="none" w:sz="0" w:space="0" w:color="auto"/>
            <w:left w:val="none" w:sz="0" w:space="0" w:color="auto"/>
            <w:bottom w:val="none" w:sz="0" w:space="0" w:color="auto"/>
            <w:right w:val="none" w:sz="0" w:space="0" w:color="auto"/>
          </w:divBdr>
        </w:div>
        <w:div w:id="833372513">
          <w:marLeft w:val="0"/>
          <w:marRight w:val="0"/>
          <w:marTop w:val="0"/>
          <w:marBottom w:val="0"/>
          <w:divBdr>
            <w:top w:val="none" w:sz="0" w:space="0" w:color="auto"/>
            <w:left w:val="none" w:sz="0" w:space="0" w:color="auto"/>
            <w:bottom w:val="none" w:sz="0" w:space="0" w:color="auto"/>
            <w:right w:val="none" w:sz="0" w:space="0" w:color="auto"/>
          </w:divBdr>
        </w:div>
        <w:div w:id="1310555334">
          <w:marLeft w:val="0"/>
          <w:marRight w:val="0"/>
          <w:marTop w:val="0"/>
          <w:marBottom w:val="0"/>
          <w:divBdr>
            <w:top w:val="none" w:sz="0" w:space="0" w:color="auto"/>
            <w:left w:val="none" w:sz="0" w:space="0" w:color="auto"/>
            <w:bottom w:val="none" w:sz="0" w:space="0" w:color="auto"/>
            <w:right w:val="none" w:sz="0" w:space="0" w:color="auto"/>
          </w:divBdr>
        </w:div>
        <w:div w:id="1387147074">
          <w:marLeft w:val="0"/>
          <w:marRight w:val="0"/>
          <w:marTop w:val="0"/>
          <w:marBottom w:val="0"/>
          <w:divBdr>
            <w:top w:val="none" w:sz="0" w:space="0" w:color="auto"/>
            <w:left w:val="none" w:sz="0" w:space="0" w:color="auto"/>
            <w:bottom w:val="none" w:sz="0" w:space="0" w:color="auto"/>
            <w:right w:val="none" w:sz="0" w:space="0" w:color="auto"/>
          </w:divBdr>
        </w:div>
        <w:div w:id="247885582">
          <w:marLeft w:val="0"/>
          <w:marRight w:val="0"/>
          <w:marTop w:val="0"/>
          <w:marBottom w:val="0"/>
          <w:divBdr>
            <w:top w:val="none" w:sz="0" w:space="0" w:color="auto"/>
            <w:left w:val="none" w:sz="0" w:space="0" w:color="auto"/>
            <w:bottom w:val="none" w:sz="0" w:space="0" w:color="auto"/>
            <w:right w:val="none" w:sz="0" w:space="0" w:color="auto"/>
          </w:divBdr>
        </w:div>
      </w:divsChild>
    </w:div>
    <w:div w:id="1541821079">
      <w:bodyDiv w:val="1"/>
      <w:marLeft w:val="0"/>
      <w:marRight w:val="0"/>
      <w:marTop w:val="0"/>
      <w:marBottom w:val="0"/>
      <w:divBdr>
        <w:top w:val="none" w:sz="0" w:space="0" w:color="auto"/>
        <w:left w:val="none" w:sz="0" w:space="0" w:color="auto"/>
        <w:bottom w:val="none" w:sz="0" w:space="0" w:color="auto"/>
        <w:right w:val="none" w:sz="0" w:space="0" w:color="auto"/>
      </w:divBdr>
      <w:divsChild>
        <w:div w:id="1104686992">
          <w:marLeft w:val="0"/>
          <w:marRight w:val="0"/>
          <w:marTop w:val="0"/>
          <w:marBottom w:val="0"/>
          <w:divBdr>
            <w:top w:val="none" w:sz="0" w:space="0" w:color="auto"/>
            <w:left w:val="none" w:sz="0" w:space="0" w:color="auto"/>
            <w:bottom w:val="none" w:sz="0" w:space="0" w:color="auto"/>
            <w:right w:val="none" w:sz="0" w:space="0" w:color="auto"/>
          </w:divBdr>
        </w:div>
        <w:div w:id="803044073">
          <w:marLeft w:val="0"/>
          <w:marRight w:val="0"/>
          <w:marTop w:val="0"/>
          <w:marBottom w:val="0"/>
          <w:divBdr>
            <w:top w:val="none" w:sz="0" w:space="0" w:color="auto"/>
            <w:left w:val="none" w:sz="0" w:space="0" w:color="auto"/>
            <w:bottom w:val="none" w:sz="0" w:space="0" w:color="auto"/>
            <w:right w:val="none" w:sz="0" w:space="0" w:color="auto"/>
          </w:divBdr>
        </w:div>
        <w:div w:id="1523516501">
          <w:marLeft w:val="0"/>
          <w:marRight w:val="0"/>
          <w:marTop w:val="0"/>
          <w:marBottom w:val="0"/>
          <w:divBdr>
            <w:top w:val="none" w:sz="0" w:space="0" w:color="auto"/>
            <w:left w:val="none" w:sz="0" w:space="0" w:color="auto"/>
            <w:bottom w:val="none" w:sz="0" w:space="0" w:color="auto"/>
            <w:right w:val="none" w:sz="0" w:space="0" w:color="auto"/>
          </w:divBdr>
        </w:div>
        <w:div w:id="1107651286">
          <w:marLeft w:val="0"/>
          <w:marRight w:val="0"/>
          <w:marTop w:val="0"/>
          <w:marBottom w:val="0"/>
          <w:divBdr>
            <w:top w:val="none" w:sz="0" w:space="0" w:color="auto"/>
            <w:left w:val="none" w:sz="0" w:space="0" w:color="auto"/>
            <w:bottom w:val="none" w:sz="0" w:space="0" w:color="auto"/>
            <w:right w:val="none" w:sz="0" w:space="0" w:color="auto"/>
          </w:divBdr>
        </w:div>
        <w:div w:id="1170870603">
          <w:marLeft w:val="0"/>
          <w:marRight w:val="0"/>
          <w:marTop w:val="0"/>
          <w:marBottom w:val="0"/>
          <w:divBdr>
            <w:top w:val="none" w:sz="0" w:space="0" w:color="auto"/>
            <w:left w:val="none" w:sz="0" w:space="0" w:color="auto"/>
            <w:bottom w:val="none" w:sz="0" w:space="0" w:color="auto"/>
            <w:right w:val="none" w:sz="0" w:space="0" w:color="auto"/>
          </w:divBdr>
        </w:div>
        <w:div w:id="166135085">
          <w:marLeft w:val="0"/>
          <w:marRight w:val="0"/>
          <w:marTop w:val="0"/>
          <w:marBottom w:val="0"/>
          <w:divBdr>
            <w:top w:val="none" w:sz="0" w:space="0" w:color="auto"/>
            <w:left w:val="none" w:sz="0" w:space="0" w:color="auto"/>
            <w:bottom w:val="none" w:sz="0" w:space="0" w:color="auto"/>
            <w:right w:val="none" w:sz="0" w:space="0" w:color="auto"/>
          </w:divBdr>
        </w:div>
        <w:div w:id="688874596">
          <w:marLeft w:val="0"/>
          <w:marRight w:val="0"/>
          <w:marTop w:val="0"/>
          <w:marBottom w:val="0"/>
          <w:divBdr>
            <w:top w:val="none" w:sz="0" w:space="0" w:color="auto"/>
            <w:left w:val="none" w:sz="0" w:space="0" w:color="auto"/>
            <w:bottom w:val="none" w:sz="0" w:space="0" w:color="auto"/>
            <w:right w:val="none" w:sz="0" w:space="0" w:color="auto"/>
          </w:divBdr>
        </w:div>
        <w:div w:id="2023162536">
          <w:marLeft w:val="0"/>
          <w:marRight w:val="0"/>
          <w:marTop w:val="0"/>
          <w:marBottom w:val="0"/>
          <w:divBdr>
            <w:top w:val="none" w:sz="0" w:space="0" w:color="auto"/>
            <w:left w:val="none" w:sz="0" w:space="0" w:color="auto"/>
            <w:bottom w:val="none" w:sz="0" w:space="0" w:color="auto"/>
            <w:right w:val="none" w:sz="0" w:space="0" w:color="auto"/>
          </w:divBdr>
        </w:div>
        <w:div w:id="1743718861">
          <w:marLeft w:val="0"/>
          <w:marRight w:val="0"/>
          <w:marTop w:val="0"/>
          <w:marBottom w:val="0"/>
          <w:divBdr>
            <w:top w:val="none" w:sz="0" w:space="0" w:color="auto"/>
            <w:left w:val="none" w:sz="0" w:space="0" w:color="auto"/>
            <w:bottom w:val="none" w:sz="0" w:space="0" w:color="auto"/>
            <w:right w:val="none" w:sz="0" w:space="0" w:color="auto"/>
          </w:divBdr>
        </w:div>
        <w:div w:id="337001810">
          <w:marLeft w:val="0"/>
          <w:marRight w:val="0"/>
          <w:marTop w:val="0"/>
          <w:marBottom w:val="0"/>
          <w:divBdr>
            <w:top w:val="none" w:sz="0" w:space="0" w:color="auto"/>
            <w:left w:val="none" w:sz="0" w:space="0" w:color="auto"/>
            <w:bottom w:val="none" w:sz="0" w:space="0" w:color="auto"/>
            <w:right w:val="none" w:sz="0" w:space="0" w:color="auto"/>
          </w:divBdr>
        </w:div>
        <w:div w:id="4523746">
          <w:marLeft w:val="0"/>
          <w:marRight w:val="0"/>
          <w:marTop w:val="0"/>
          <w:marBottom w:val="0"/>
          <w:divBdr>
            <w:top w:val="none" w:sz="0" w:space="0" w:color="auto"/>
            <w:left w:val="none" w:sz="0" w:space="0" w:color="auto"/>
            <w:bottom w:val="none" w:sz="0" w:space="0" w:color="auto"/>
            <w:right w:val="none" w:sz="0" w:space="0" w:color="auto"/>
          </w:divBdr>
        </w:div>
        <w:div w:id="438915295">
          <w:marLeft w:val="0"/>
          <w:marRight w:val="0"/>
          <w:marTop w:val="0"/>
          <w:marBottom w:val="0"/>
          <w:divBdr>
            <w:top w:val="none" w:sz="0" w:space="0" w:color="auto"/>
            <w:left w:val="none" w:sz="0" w:space="0" w:color="auto"/>
            <w:bottom w:val="none" w:sz="0" w:space="0" w:color="auto"/>
            <w:right w:val="none" w:sz="0" w:space="0" w:color="auto"/>
          </w:divBdr>
        </w:div>
        <w:div w:id="732436989">
          <w:marLeft w:val="0"/>
          <w:marRight w:val="0"/>
          <w:marTop w:val="0"/>
          <w:marBottom w:val="0"/>
          <w:divBdr>
            <w:top w:val="none" w:sz="0" w:space="0" w:color="auto"/>
            <w:left w:val="none" w:sz="0" w:space="0" w:color="auto"/>
            <w:bottom w:val="none" w:sz="0" w:space="0" w:color="auto"/>
            <w:right w:val="none" w:sz="0" w:space="0" w:color="auto"/>
          </w:divBdr>
        </w:div>
        <w:div w:id="6373331">
          <w:marLeft w:val="0"/>
          <w:marRight w:val="0"/>
          <w:marTop w:val="0"/>
          <w:marBottom w:val="0"/>
          <w:divBdr>
            <w:top w:val="none" w:sz="0" w:space="0" w:color="auto"/>
            <w:left w:val="none" w:sz="0" w:space="0" w:color="auto"/>
            <w:bottom w:val="none" w:sz="0" w:space="0" w:color="auto"/>
            <w:right w:val="none" w:sz="0" w:space="0" w:color="auto"/>
          </w:divBdr>
        </w:div>
        <w:div w:id="589238415">
          <w:marLeft w:val="0"/>
          <w:marRight w:val="0"/>
          <w:marTop w:val="0"/>
          <w:marBottom w:val="0"/>
          <w:divBdr>
            <w:top w:val="none" w:sz="0" w:space="0" w:color="auto"/>
            <w:left w:val="none" w:sz="0" w:space="0" w:color="auto"/>
            <w:bottom w:val="none" w:sz="0" w:space="0" w:color="auto"/>
            <w:right w:val="none" w:sz="0" w:space="0" w:color="auto"/>
          </w:divBdr>
        </w:div>
        <w:div w:id="1314800870">
          <w:marLeft w:val="0"/>
          <w:marRight w:val="0"/>
          <w:marTop w:val="0"/>
          <w:marBottom w:val="0"/>
          <w:divBdr>
            <w:top w:val="none" w:sz="0" w:space="0" w:color="auto"/>
            <w:left w:val="none" w:sz="0" w:space="0" w:color="auto"/>
            <w:bottom w:val="none" w:sz="0" w:space="0" w:color="auto"/>
            <w:right w:val="none" w:sz="0" w:space="0" w:color="auto"/>
          </w:divBdr>
        </w:div>
        <w:div w:id="1021206198">
          <w:marLeft w:val="0"/>
          <w:marRight w:val="0"/>
          <w:marTop w:val="0"/>
          <w:marBottom w:val="0"/>
          <w:divBdr>
            <w:top w:val="none" w:sz="0" w:space="0" w:color="auto"/>
            <w:left w:val="none" w:sz="0" w:space="0" w:color="auto"/>
            <w:bottom w:val="none" w:sz="0" w:space="0" w:color="auto"/>
            <w:right w:val="none" w:sz="0" w:space="0" w:color="auto"/>
          </w:divBdr>
        </w:div>
        <w:div w:id="586231308">
          <w:marLeft w:val="0"/>
          <w:marRight w:val="0"/>
          <w:marTop w:val="0"/>
          <w:marBottom w:val="0"/>
          <w:divBdr>
            <w:top w:val="none" w:sz="0" w:space="0" w:color="auto"/>
            <w:left w:val="none" w:sz="0" w:space="0" w:color="auto"/>
            <w:bottom w:val="none" w:sz="0" w:space="0" w:color="auto"/>
            <w:right w:val="none" w:sz="0" w:space="0" w:color="auto"/>
          </w:divBdr>
        </w:div>
        <w:div w:id="365569874">
          <w:marLeft w:val="0"/>
          <w:marRight w:val="0"/>
          <w:marTop w:val="0"/>
          <w:marBottom w:val="0"/>
          <w:divBdr>
            <w:top w:val="none" w:sz="0" w:space="0" w:color="auto"/>
            <w:left w:val="none" w:sz="0" w:space="0" w:color="auto"/>
            <w:bottom w:val="none" w:sz="0" w:space="0" w:color="auto"/>
            <w:right w:val="none" w:sz="0" w:space="0" w:color="auto"/>
          </w:divBdr>
        </w:div>
        <w:div w:id="1978946061">
          <w:marLeft w:val="0"/>
          <w:marRight w:val="0"/>
          <w:marTop w:val="0"/>
          <w:marBottom w:val="0"/>
          <w:divBdr>
            <w:top w:val="none" w:sz="0" w:space="0" w:color="auto"/>
            <w:left w:val="none" w:sz="0" w:space="0" w:color="auto"/>
            <w:bottom w:val="none" w:sz="0" w:space="0" w:color="auto"/>
            <w:right w:val="none" w:sz="0" w:space="0" w:color="auto"/>
          </w:divBdr>
        </w:div>
        <w:div w:id="1377967347">
          <w:marLeft w:val="0"/>
          <w:marRight w:val="0"/>
          <w:marTop w:val="0"/>
          <w:marBottom w:val="0"/>
          <w:divBdr>
            <w:top w:val="none" w:sz="0" w:space="0" w:color="auto"/>
            <w:left w:val="none" w:sz="0" w:space="0" w:color="auto"/>
            <w:bottom w:val="none" w:sz="0" w:space="0" w:color="auto"/>
            <w:right w:val="none" w:sz="0" w:space="0" w:color="auto"/>
          </w:divBdr>
        </w:div>
        <w:div w:id="847402303">
          <w:marLeft w:val="0"/>
          <w:marRight w:val="0"/>
          <w:marTop w:val="0"/>
          <w:marBottom w:val="0"/>
          <w:divBdr>
            <w:top w:val="none" w:sz="0" w:space="0" w:color="auto"/>
            <w:left w:val="none" w:sz="0" w:space="0" w:color="auto"/>
            <w:bottom w:val="none" w:sz="0" w:space="0" w:color="auto"/>
            <w:right w:val="none" w:sz="0" w:space="0" w:color="auto"/>
          </w:divBdr>
        </w:div>
        <w:div w:id="1614552065">
          <w:marLeft w:val="0"/>
          <w:marRight w:val="0"/>
          <w:marTop w:val="0"/>
          <w:marBottom w:val="0"/>
          <w:divBdr>
            <w:top w:val="none" w:sz="0" w:space="0" w:color="auto"/>
            <w:left w:val="none" w:sz="0" w:space="0" w:color="auto"/>
            <w:bottom w:val="none" w:sz="0" w:space="0" w:color="auto"/>
            <w:right w:val="none" w:sz="0" w:space="0" w:color="auto"/>
          </w:divBdr>
        </w:div>
        <w:div w:id="1814982397">
          <w:marLeft w:val="0"/>
          <w:marRight w:val="0"/>
          <w:marTop w:val="0"/>
          <w:marBottom w:val="0"/>
          <w:divBdr>
            <w:top w:val="none" w:sz="0" w:space="0" w:color="auto"/>
            <w:left w:val="none" w:sz="0" w:space="0" w:color="auto"/>
            <w:bottom w:val="none" w:sz="0" w:space="0" w:color="auto"/>
            <w:right w:val="none" w:sz="0" w:space="0" w:color="auto"/>
          </w:divBdr>
        </w:div>
        <w:div w:id="219633772">
          <w:marLeft w:val="0"/>
          <w:marRight w:val="0"/>
          <w:marTop w:val="0"/>
          <w:marBottom w:val="0"/>
          <w:divBdr>
            <w:top w:val="none" w:sz="0" w:space="0" w:color="auto"/>
            <w:left w:val="none" w:sz="0" w:space="0" w:color="auto"/>
            <w:bottom w:val="none" w:sz="0" w:space="0" w:color="auto"/>
            <w:right w:val="none" w:sz="0" w:space="0" w:color="auto"/>
          </w:divBdr>
        </w:div>
        <w:div w:id="1085229597">
          <w:marLeft w:val="0"/>
          <w:marRight w:val="0"/>
          <w:marTop w:val="0"/>
          <w:marBottom w:val="0"/>
          <w:divBdr>
            <w:top w:val="none" w:sz="0" w:space="0" w:color="auto"/>
            <w:left w:val="none" w:sz="0" w:space="0" w:color="auto"/>
            <w:bottom w:val="none" w:sz="0" w:space="0" w:color="auto"/>
            <w:right w:val="none" w:sz="0" w:space="0" w:color="auto"/>
          </w:divBdr>
        </w:div>
        <w:div w:id="1750810185">
          <w:marLeft w:val="0"/>
          <w:marRight w:val="0"/>
          <w:marTop w:val="0"/>
          <w:marBottom w:val="0"/>
          <w:divBdr>
            <w:top w:val="none" w:sz="0" w:space="0" w:color="auto"/>
            <w:left w:val="none" w:sz="0" w:space="0" w:color="auto"/>
            <w:bottom w:val="none" w:sz="0" w:space="0" w:color="auto"/>
            <w:right w:val="none" w:sz="0" w:space="0" w:color="auto"/>
          </w:divBdr>
        </w:div>
        <w:div w:id="328870021">
          <w:marLeft w:val="0"/>
          <w:marRight w:val="0"/>
          <w:marTop w:val="0"/>
          <w:marBottom w:val="0"/>
          <w:divBdr>
            <w:top w:val="none" w:sz="0" w:space="0" w:color="auto"/>
            <w:left w:val="none" w:sz="0" w:space="0" w:color="auto"/>
            <w:bottom w:val="none" w:sz="0" w:space="0" w:color="auto"/>
            <w:right w:val="none" w:sz="0" w:space="0" w:color="auto"/>
          </w:divBdr>
        </w:div>
        <w:div w:id="2044282081">
          <w:marLeft w:val="0"/>
          <w:marRight w:val="0"/>
          <w:marTop w:val="0"/>
          <w:marBottom w:val="0"/>
          <w:divBdr>
            <w:top w:val="none" w:sz="0" w:space="0" w:color="auto"/>
            <w:left w:val="none" w:sz="0" w:space="0" w:color="auto"/>
            <w:bottom w:val="none" w:sz="0" w:space="0" w:color="auto"/>
            <w:right w:val="none" w:sz="0" w:space="0" w:color="auto"/>
          </w:divBdr>
        </w:div>
        <w:div w:id="1969386888">
          <w:marLeft w:val="0"/>
          <w:marRight w:val="0"/>
          <w:marTop w:val="0"/>
          <w:marBottom w:val="0"/>
          <w:divBdr>
            <w:top w:val="none" w:sz="0" w:space="0" w:color="auto"/>
            <w:left w:val="none" w:sz="0" w:space="0" w:color="auto"/>
            <w:bottom w:val="none" w:sz="0" w:space="0" w:color="auto"/>
            <w:right w:val="none" w:sz="0" w:space="0" w:color="auto"/>
          </w:divBdr>
        </w:div>
        <w:div w:id="127094655">
          <w:marLeft w:val="0"/>
          <w:marRight w:val="0"/>
          <w:marTop w:val="0"/>
          <w:marBottom w:val="0"/>
          <w:divBdr>
            <w:top w:val="none" w:sz="0" w:space="0" w:color="auto"/>
            <w:left w:val="none" w:sz="0" w:space="0" w:color="auto"/>
            <w:bottom w:val="none" w:sz="0" w:space="0" w:color="auto"/>
            <w:right w:val="none" w:sz="0" w:space="0" w:color="auto"/>
          </w:divBdr>
        </w:div>
        <w:div w:id="1287396470">
          <w:marLeft w:val="0"/>
          <w:marRight w:val="0"/>
          <w:marTop w:val="0"/>
          <w:marBottom w:val="0"/>
          <w:divBdr>
            <w:top w:val="none" w:sz="0" w:space="0" w:color="auto"/>
            <w:left w:val="none" w:sz="0" w:space="0" w:color="auto"/>
            <w:bottom w:val="none" w:sz="0" w:space="0" w:color="auto"/>
            <w:right w:val="none" w:sz="0" w:space="0" w:color="auto"/>
          </w:divBdr>
        </w:div>
        <w:div w:id="2027822142">
          <w:marLeft w:val="0"/>
          <w:marRight w:val="0"/>
          <w:marTop w:val="0"/>
          <w:marBottom w:val="0"/>
          <w:divBdr>
            <w:top w:val="none" w:sz="0" w:space="0" w:color="auto"/>
            <w:left w:val="none" w:sz="0" w:space="0" w:color="auto"/>
            <w:bottom w:val="none" w:sz="0" w:space="0" w:color="auto"/>
            <w:right w:val="none" w:sz="0" w:space="0" w:color="auto"/>
          </w:divBdr>
        </w:div>
        <w:div w:id="112942822">
          <w:marLeft w:val="0"/>
          <w:marRight w:val="0"/>
          <w:marTop w:val="0"/>
          <w:marBottom w:val="0"/>
          <w:divBdr>
            <w:top w:val="none" w:sz="0" w:space="0" w:color="auto"/>
            <w:left w:val="none" w:sz="0" w:space="0" w:color="auto"/>
            <w:bottom w:val="none" w:sz="0" w:space="0" w:color="auto"/>
            <w:right w:val="none" w:sz="0" w:space="0" w:color="auto"/>
          </w:divBdr>
        </w:div>
        <w:div w:id="795173351">
          <w:marLeft w:val="0"/>
          <w:marRight w:val="0"/>
          <w:marTop w:val="0"/>
          <w:marBottom w:val="0"/>
          <w:divBdr>
            <w:top w:val="none" w:sz="0" w:space="0" w:color="auto"/>
            <w:left w:val="none" w:sz="0" w:space="0" w:color="auto"/>
            <w:bottom w:val="none" w:sz="0" w:space="0" w:color="auto"/>
            <w:right w:val="none" w:sz="0" w:space="0" w:color="auto"/>
          </w:divBdr>
        </w:div>
        <w:div w:id="1971278506">
          <w:marLeft w:val="0"/>
          <w:marRight w:val="0"/>
          <w:marTop w:val="0"/>
          <w:marBottom w:val="0"/>
          <w:divBdr>
            <w:top w:val="none" w:sz="0" w:space="0" w:color="auto"/>
            <w:left w:val="none" w:sz="0" w:space="0" w:color="auto"/>
            <w:bottom w:val="none" w:sz="0" w:space="0" w:color="auto"/>
            <w:right w:val="none" w:sz="0" w:space="0" w:color="auto"/>
          </w:divBdr>
        </w:div>
        <w:div w:id="1826898834">
          <w:marLeft w:val="0"/>
          <w:marRight w:val="0"/>
          <w:marTop w:val="0"/>
          <w:marBottom w:val="0"/>
          <w:divBdr>
            <w:top w:val="none" w:sz="0" w:space="0" w:color="auto"/>
            <w:left w:val="none" w:sz="0" w:space="0" w:color="auto"/>
            <w:bottom w:val="none" w:sz="0" w:space="0" w:color="auto"/>
            <w:right w:val="none" w:sz="0" w:space="0" w:color="auto"/>
          </w:divBdr>
        </w:div>
        <w:div w:id="1358115564">
          <w:marLeft w:val="0"/>
          <w:marRight w:val="0"/>
          <w:marTop w:val="0"/>
          <w:marBottom w:val="0"/>
          <w:divBdr>
            <w:top w:val="none" w:sz="0" w:space="0" w:color="auto"/>
            <w:left w:val="none" w:sz="0" w:space="0" w:color="auto"/>
            <w:bottom w:val="none" w:sz="0" w:space="0" w:color="auto"/>
            <w:right w:val="none" w:sz="0" w:space="0" w:color="auto"/>
          </w:divBdr>
        </w:div>
        <w:div w:id="665208846">
          <w:marLeft w:val="0"/>
          <w:marRight w:val="0"/>
          <w:marTop w:val="0"/>
          <w:marBottom w:val="0"/>
          <w:divBdr>
            <w:top w:val="none" w:sz="0" w:space="0" w:color="auto"/>
            <w:left w:val="none" w:sz="0" w:space="0" w:color="auto"/>
            <w:bottom w:val="none" w:sz="0" w:space="0" w:color="auto"/>
            <w:right w:val="none" w:sz="0" w:space="0" w:color="auto"/>
          </w:divBdr>
        </w:div>
        <w:div w:id="1534533667">
          <w:marLeft w:val="0"/>
          <w:marRight w:val="0"/>
          <w:marTop w:val="0"/>
          <w:marBottom w:val="0"/>
          <w:divBdr>
            <w:top w:val="none" w:sz="0" w:space="0" w:color="auto"/>
            <w:left w:val="none" w:sz="0" w:space="0" w:color="auto"/>
            <w:bottom w:val="none" w:sz="0" w:space="0" w:color="auto"/>
            <w:right w:val="none" w:sz="0" w:space="0" w:color="auto"/>
          </w:divBdr>
        </w:div>
        <w:div w:id="1724866041">
          <w:marLeft w:val="0"/>
          <w:marRight w:val="0"/>
          <w:marTop w:val="0"/>
          <w:marBottom w:val="0"/>
          <w:divBdr>
            <w:top w:val="none" w:sz="0" w:space="0" w:color="auto"/>
            <w:left w:val="none" w:sz="0" w:space="0" w:color="auto"/>
            <w:bottom w:val="none" w:sz="0" w:space="0" w:color="auto"/>
            <w:right w:val="none" w:sz="0" w:space="0" w:color="auto"/>
          </w:divBdr>
        </w:div>
        <w:div w:id="862285091">
          <w:marLeft w:val="0"/>
          <w:marRight w:val="0"/>
          <w:marTop w:val="0"/>
          <w:marBottom w:val="0"/>
          <w:divBdr>
            <w:top w:val="none" w:sz="0" w:space="0" w:color="auto"/>
            <w:left w:val="none" w:sz="0" w:space="0" w:color="auto"/>
            <w:bottom w:val="none" w:sz="0" w:space="0" w:color="auto"/>
            <w:right w:val="none" w:sz="0" w:space="0" w:color="auto"/>
          </w:divBdr>
        </w:div>
        <w:div w:id="231084892">
          <w:marLeft w:val="0"/>
          <w:marRight w:val="0"/>
          <w:marTop w:val="0"/>
          <w:marBottom w:val="0"/>
          <w:divBdr>
            <w:top w:val="none" w:sz="0" w:space="0" w:color="auto"/>
            <w:left w:val="none" w:sz="0" w:space="0" w:color="auto"/>
            <w:bottom w:val="none" w:sz="0" w:space="0" w:color="auto"/>
            <w:right w:val="none" w:sz="0" w:space="0" w:color="auto"/>
          </w:divBdr>
        </w:div>
        <w:div w:id="1240215167">
          <w:marLeft w:val="0"/>
          <w:marRight w:val="0"/>
          <w:marTop w:val="0"/>
          <w:marBottom w:val="0"/>
          <w:divBdr>
            <w:top w:val="none" w:sz="0" w:space="0" w:color="auto"/>
            <w:left w:val="none" w:sz="0" w:space="0" w:color="auto"/>
            <w:bottom w:val="none" w:sz="0" w:space="0" w:color="auto"/>
            <w:right w:val="none" w:sz="0" w:space="0" w:color="auto"/>
          </w:divBdr>
        </w:div>
        <w:div w:id="1185097623">
          <w:marLeft w:val="0"/>
          <w:marRight w:val="0"/>
          <w:marTop w:val="0"/>
          <w:marBottom w:val="0"/>
          <w:divBdr>
            <w:top w:val="none" w:sz="0" w:space="0" w:color="auto"/>
            <w:left w:val="none" w:sz="0" w:space="0" w:color="auto"/>
            <w:bottom w:val="none" w:sz="0" w:space="0" w:color="auto"/>
            <w:right w:val="none" w:sz="0" w:space="0" w:color="auto"/>
          </w:divBdr>
        </w:div>
        <w:div w:id="1578712609">
          <w:marLeft w:val="0"/>
          <w:marRight w:val="0"/>
          <w:marTop w:val="0"/>
          <w:marBottom w:val="0"/>
          <w:divBdr>
            <w:top w:val="none" w:sz="0" w:space="0" w:color="auto"/>
            <w:left w:val="none" w:sz="0" w:space="0" w:color="auto"/>
            <w:bottom w:val="none" w:sz="0" w:space="0" w:color="auto"/>
            <w:right w:val="none" w:sz="0" w:space="0" w:color="auto"/>
          </w:divBdr>
        </w:div>
        <w:div w:id="524094829">
          <w:marLeft w:val="0"/>
          <w:marRight w:val="0"/>
          <w:marTop w:val="0"/>
          <w:marBottom w:val="0"/>
          <w:divBdr>
            <w:top w:val="none" w:sz="0" w:space="0" w:color="auto"/>
            <w:left w:val="none" w:sz="0" w:space="0" w:color="auto"/>
            <w:bottom w:val="none" w:sz="0" w:space="0" w:color="auto"/>
            <w:right w:val="none" w:sz="0" w:space="0" w:color="auto"/>
          </w:divBdr>
        </w:div>
        <w:div w:id="666516808">
          <w:marLeft w:val="0"/>
          <w:marRight w:val="0"/>
          <w:marTop w:val="0"/>
          <w:marBottom w:val="0"/>
          <w:divBdr>
            <w:top w:val="none" w:sz="0" w:space="0" w:color="auto"/>
            <w:left w:val="none" w:sz="0" w:space="0" w:color="auto"/>
            <w:bottom w:val="none" w:sz="0" w:space="0" w:color="auto"/>
            <w:right w:val="none" w:sz="0" w:space="0" w:color="auto"/>
          </w:divBdr>
        </w:div>
        <w:div w:id="2136756581">
          <w:marLeft w:val="0"/>
          <w:marRight w:val="0"/>
          <w:marTop w:val="0"/>
          <w:marBottom w:val="0"/>
          <w:divBdr>
            <w:top w:val="none" w:sz="0" w:space="0" w:color="auto"/>
            <w:left w:val="none" w:sz="0" w:space="0" w:color="auto"/>
            <w:bottom w:val="none" w:sz="0" w:space="0" w:color="auto"/>
            <w:right w:val="none" w:sz="0" w:space="0" w:color="auto"/>
          </w:divBdr>
        </w:div>
        <w:div w:id="987514777">
          <w:marLeft w:val="0"/>
          <w:marRight w:val="0"/>
          <w:marTop w:val="0"/>
          <w:marBottom w:val="0"/>
          <w:divBdr>
            <w:top w:val="none" w:sz="0" w:space="0" w:color="auto"/>
            <w:left w:val="none" w:sz="0" w:space="0" w:color="auto"/>
            <w:bottom w:val="none" w:sz="0" w:space="0" w:color="auto"/>
            <w:right w:val="none" w:sz="0" w:space="0" w:color="auto"/>
          </w:divBdr>
        </w:div>
        <w:div w:id="1305508401">
          <w:marLeft w:val="0"/>
          <w:marRight w:val="0"/>
          <w:marTop w:val="0"/>
          <w:marBottom w:val="0"/>
          <w:divBdr>
            <w:top w:val="none" w:sz="0" w:space="0" w:color="auto"/>
            <w:left w:val="none" w:sz="0" w:space="0" w:color="auto"/>
            <w:bottom w:val="none" w:sz="0" w:space="0" w:color="auto"/>
            <w:right w:val="none" w:sz="0" w:space="0" w:color="auto"/>
          </w:divBdr>
        </w:div>
        <w:div w:id="1612275703">
          <w:marLeft w:val="0"/>
          <w:marRight w:val="0"/>
          <w:marTop w:val="0"/>
          <w:marBottom w:val="0"/>
          <w:divBdr>
            <w:top w:val="none" w:sz="0" w:space="0" w:color="auto"/>
            <w:left w:val="none" w:sz="0" w:space="0" w:color="auto"/>
            <w:bottom w:val="none" w:sz="0" w:space="0" w:color="auto"/>
            <w:right w:val="none" w:sz="0" w:space="0" w:color="auto"/>
          </w:divBdr>
        </w:div>
        <w:div w:id="4661684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5922</Words>
  <Characters>31209</Characters>
  <Application>Microsoft Office Word</Application>
  <DocSecurity>0</DocSecurity>
  <Lines>538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Watkins (1902252)</dc:creator>
  <cp:keywords/>
  <dc:description/>
  <cp:lastModifiedBy>Catrin Watkins (1902252)</cp:lastModifiedBy>
  <cp:revision>1</cp:revision>
  <dcterms:created xsi:type="dcterms:W3CDTF">2022-03-27T19:51:00Z</dcterms:created>
  <dcterms:modified xsi:type="dcterms:W3CDTF">2022-03-27T21:07:00Z</dcterms:modified>
</cp:coreProperties>
</file>