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5628" w14:textId="1B8FD2DB" w:rsidR="00083E5B" w:rsidRDefault="00A34225">
      <w:pPr>
        <w:jc w:val="center"/>
        <w:rPr>
          <w:b/>
          <w:bCs/>
          <w:sz w:val="32"/>
          <w:szCs w:val="32"/>
        </w:rPr>
      </w:pPr>
      <w:r>
        <w:rPr>
          <w:b/>
          <w:bCs/>
          <w:noProof/>
          <w:sz w:val="32"/>
          <w:szCs w:val="32"/>
        </w:rPr>
        <w:drawing>
          <wp:inline distT="0" distB="0" distL="0" distR="0" wp14:anchorId="2FBB9EB1" wp14:editId="2FF97FDE">
            <wp:extent cx="2711450" cy="1506361"/>
            <wp:effectExtent l="0" t="0" r="0" b="0"/>
            <wp:docPr id="167002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3918" cy="1513288"/>
                    </a:xfrm>
                    <a:prstGeom prst="rect">
                      <a:avLst/>
                    </a:prstGeom>
                    <a:noFill/>
                  </pic:spPr>
                </pic:pic>
              </a:graphicData>
            </a:graphic>
          </wp:inline>
        </w:drawing>
      </w:r>
    </w:p>
    <w:p w14:paraId="24B5C303" w14:textId="77777777" w:rsidR="00083E5B" w:rsidRDefault="00083E5B">
      <w:pPr>
        <w:jc w:val="center"/>
        <w:rPr>
          <w:b/>
          <w:bCs/>
          <w:sz w:val="32"/>
          <w:szCs w:val="32"/>
        </w:rPr>
      </w:pPr>
    </w:p>
    <w:p w14:paraId="5589E64D" w14:textId="3B938082" w:rsidR="006B162D" w:rsidRPr="00083E5B" w:rsidRDefault="005A502D">
      <w:pPr>
        <w:jc w:val="center"/>
        <w:rPr>
          <w:b/>
          <w:bCs/>
          <w:sz w:val="32"/>
          <w:szCs w:val="32"/>
        </w:rPr>
      </w:pPr>
      <w:r w:rsidRPr="00083E5B">
        <w:rPr>
          <w:b/>
          <w:bCs/>
          <w:sz w:val="32"/>
          <w:szCs w:val="32"/>
        </w:rPr>
        <w:t>Module Name: Marketing Management</w:t>
      </w:r>
    </w:p>
    <w:p w14:paraId="2654FDCD" w14:textId="77777777" w:rsidR="006B162D" w:rsidRDefault="005A502D">
      <w:pPr>
        <w:jc w:val="center"/>
        <w:rPr>
          <w:b/>
          <w:bCs/>
          <w:sz w:val="32"/>
          <w:szCs w:val="32"/>
        </w:rPr>
      </w:pPr>
      <w:r w:rsidRPr="00083E5B">
        <w:rPr>
          <w:b/>
          <w:bCs/>
          <w:sz w:val="32"/>
          <w:szCs w:val="32"/>
        </w:rPr>
        <w:t>Module Code: LCMB7024</w:t>
      </w:r>
    </w:p>
    <w:p w14:paraId="3245A05B" w14:textId="77777777" w:rsidR="00247BC5" w:rsidRDefault="00247BC5">
      <w:pPr>
        <w:jc w:val="center"/>
        <w:rPr>
          <w:b/>
          <w:bCs/>
          <w:sz w:val="32"/>
          <w:szCs w:val="32"/>
        </w:rPr>
      </w:pPr>
    </w:p>
    <w:p w14:paraId="221DB3EF" w14:textId="77777777" w:rsidR="00247BC5" w:rsidRPr="00083E5B" w:rsidRDefault="00247BC5">
      <w:pPr>
        <w:jc w:val="center"/>
        <w:rPr>
          <w:b/>
          <w:bCs/>
          <w:sz w:val="32"/>
          <w:szCs w:val="32"/>
        </w:rPr>
      </w:pPr>
    </w:p>
    <w:p w14:paraId="2599758B" w14:textId="77777777" w:rsidR="006B162D" w:rsidRDefault="005A502D">
      <w:pPr>
        <w:jc w:val="center"/>
        <w:rPr>
          <w:b/>
          <w:bCs/>
          <w:sz w:val="32"/>
          <w:szCs w:val="32"/>
        </w:rPr>
      </w:pPr>
      <w:r w:rsidRPr="00083E5B">
        <w:rPr>
          <w:b/>
          <w:bCs/>
          <w:sz w:val="32"/>
          <w:szCs w:val="32"/>
        </w:rPr>
        <w:t xml:space="preserve">Title: Marketing Environment Analysis of BHP's Transition Towards Lower-Carbon Products </w:t>
      </w:r>
    </w:p>
    <w:p w14:paraId="1666CD07" w14:textId="77777777" w:rsidR="00B135E6" w:rsidRDefault="00B135E6">
      <w:pPr>
        <w:jc w:val="center"/>
        <w:rPr>
          <w:b/>
          <w:bCs/>
          <w:sz w:val="32"/>
          <w:szCs w:val="32"/>
        </w:rPr>
      </w:pPr>
    </w:p>
    <w:p w14:paraId="6E6FCDE9" w14:textId="77777777" w:rsidR="00B135E6" w:rsidRDefault="00B135E6">
      <w:pPr>
        <w:jc w:val="center"/>
        <w:rPr>
          <w:b/>
          <w:bCs/>
          <w:sz w:val="32"/>
          <w:szCs w:val="32"/>
        </w:rPr>
      </w:pPr>
    </w:p>
    <w:p w14:paraId="492DA7B4" w14:textId="4C274959" w:rsidR="00B135E6" w:rsidRPr="00B135E6" w:rsidRDefault="00B135E6">
      <w:pPr>
        <w:jc w:val="center"/>
        <w:rPr>
          <w:b/>
          <w:bCs/>
          <w:sz w:val="28"/>
          <w:szCs w:val="28"/>
        </w:rPr>
      </w:pPr>
      <w:r w:rsidRPr="00B135E6">
        <w:rPr>
          <w:b/>
          <w:bCs/>
          <w:sz w:val="28"/>
          <w:szCs w:val="28"/>
        </w:rPr>
        <w:t xml:space="preserve">Student Name: </w:t>
      </w:r>
      <w:proofErr w:type="spellStart"/>
      <w:r w:rsidRPr="00B135E6">
        <w:rPr>
          <w:b/>
          <w:bCs/>
          <w:sz w:val="28"/>
          <w:szCs w:val="28"/>
        </w:rPr>
        <w:t>Sorathiya</w:t>
      </w:r>
      <w:proofErr w:type="spellEnd"/>
      <w:r w:rsidRPr="00B135E6">
        <w:rPr>
          <w:b/>
          <w:bCs/>
          <w:sz w:val="28"/>
          <w:szCs w:val="28"/>
        </w:rPr>
        <w:t xml:space="preserve"> Adarsh </w:t>
      </w:r>
      <w:proofErr w:type="spellStart"/>
      <w:r w:rsidRPr="00B135E6">
        <w:rPr>
          <w:b/>
          <w:bCs/>
          <w:sz w:val="28"/>
          <w:szCs w:val="28"/>
        </w:rPr>
        <w:t>SanjayBhai</w:t>
      </w:r>
      <w:proofErr w:type="spellEnd"/>
    </w:p>
    <w:p w14:paraId="1AC75B66" w14:textId="74E57E86" w:rsidR="00B135E6" w:rsidRPr="00B135E6" w:rsidRDefault="00B135E6">
      <w:pPr>
        <w:jc w:val="center"/>
        <w:rPr>
          <w:b/>
          <w:bCs/>
          <w:sz w:val="28"/>
          <w:szCs w:val="28"/>
        </w:rPr>
      </w:pPr>
      <w:r w:rsidRPr="00B135E6">
        <w:rPr>
          <w:b/>
          <w:bCs/>
          <w:sz w:val="28"/>
          <w:szCs w:val="28"/>
        </w:rPr>
        <w:t xml:space="preserve">Student ID: </w:t>
      </w:r>
      <w:r w:rsidRPr="00B135E6">
        <w:rPr>
          <w:b/>
          <w:bCs/>
          <w:sz w:val="28"/>
          <w:szCs w:val="28"/>
        </w:rPr>
        <w:t>2542080</w:t>
      </w:r>
    </w:p>
    <w:p w14:paraId="7D1C12AC" w14:textId="77777777" w:rsidR="00B135E6" w:rsidRPr="00B135E6" w:rsidRDefault="00B135E6" w:rsidP="00B135E6">
      <w:pPr>
        <w:rPr>
          <w:b/>
          <w:bCs/>
          <w:sz w:val="28"/>
          <w:szCs w:val="28"/>
        </w:rPr>
      </w:pPr>
    </w:p>
    <w:p w14:paraId="199F5C96" w14:textId="77777777" w:rsidR="00B135E6" w:rsidRPr="00B135E6" w:rsidRDefault="00B135E6">
      <w:pPr>
        <w:jc w:val="center"/>
        <w:rPr>
          <w:b/>
          <w:bCs/>
          <w:sz w:val="28"/>
          <w:szCs w:val="28"/>
        </w:rPr>
      </w:pPr>
    </w:p>
    <w:p w14:paraId="1BA68EC1" w14:textId="045B85C6" w:rsidR="00B135E6" w:rsidRDefault="00A34225">
      <w:pPr>
        <w:jc w:val="center"/>
        <w:rPr>
          <w:b/>
          <w:bCs/>
          <w:sz w:val="28"/>
          <w:szCs w:val="28"/>
        </w:rPr>
      </w:pPr>
      <w:r w:rsidRPr="00B135E6">
        <w:rPr>
          <w:b/>
          <w:bCs/>
          <w:sz w:val="28"/>
          <w:szCs w:val="28"/>
        </w:rPr>
        <w:t>Lecturer:</w:t>
      </w:r>
      <w:r w:rsidR="00B135E6" w:rsidRPr="00B135E6">
        <w:rPr>
          <w:b/>
          <w:bCs/>
          <w:sz w:val="28"/>
          <w:szCs w:val="28"/>
        </w:rPr>
        <w:t xml:space="preserve"> </w:t>
      </w:r>
      <w:r w:rsidR="00B135E6" w:rsidRPr="00B135E6">
        <w:rPr>
          <w:b/>
          <w:bCs/>
          <w:sz w:val="28"/>
          <w:szCs w:val="28"/>
        </w:rPr>
        <w:t xml:space="preserve">Laila </w:t>
      </w:r>
      <w:proofErr w:type="spellStart"/>
      <w:r w:rsidR="00B135E6" w:rsidRPr="00B135E6">
        <w:rPr>
          <w:b/>
          <w:bCs/>
          <w:sz w:val="28"/>
          <w:szCs w:val="28"/>
        </w:rPr>
        <w:t>Maazouz</w:t>
      </w:r>
      <w:proofErr w:type="spellEnd"/>
    </w:p>
    <w:p w14:paraId="6B0A3DF0" w14:textId="77777777" w:rsidR="00557B9D" w:rsidRDefault="00557B9D">
      <w:pPr>
        <w:jc w:val="center"/>
        <w:rPr>
          <w:b/>
          <w:bCs/>
          <w:sz w:val="28"/>
          <w:szCs w:val="28"/>
        </w:rPr>
      </w:pPr>
    </w:p>
    <w:p w14:paraId="5A3B752F" w14:textId="1613995E" w:rsidR="00557B9D" w:rsidRPr="00557B9D" w:rsidRDefault="00557B9D">
      <w:pPr>
        <w:jc w:val="center"/>
        <w:rPr>
          <w:b/>
          <w:bCs/>
        </w:rPr>
      </w:pPr>
      <w:r w:rsidRPr="00557B9D">
        <w:rPr>
          <w:b/>
          <w:bCs/>
        </w:rPr>
        <w:t>Word Count: 2650</w:t>
      </w:r>
    </w:p>
    <w:p w14:paraId="780A1E1E" w14:textId="77777777" w:rsidR="00247BC5" w:rsidRDefault="00247BC5">
      <w:pPr>
        <w:jc w:val="center"/>
        <w:rPr>
          <w:b/>
          <w:bCs/>
          <w:sz w:val="32"/>
          <w:szCs w:val="32"/>
        </w:rPr>
      </w:pPr>
    </w:p>
    <w:p w14:paraId="21B9BB13" w14:textId="77777777" w:rsidR="00247BC5" w:rsidRDefault="00247BC5">
      <w:pPr>
        <w:jc w:val="center"/>
        <w:rPr>
          <w:b/>
          <w:bCs/>
          <w:sz w:val="32"/>
          <w:szCs w:val="32"/>
        </w:rPr>
      </w:pPr>
    </w:p>
    <w:p w14:paraId="7AFADF36" w14:textId="77777777" w:rsidR="00A34225" w:rsidRDefault="00A34225">
      <w:pPr>
        <w:jc w:val="center"/>
        <w:rPr>
          <w:b/>
          <w:bCs/>
          <w:sz w:val="32"/>
          <w:szCs w:val="32"/>
        </w:rPr>
      </w:pPr>
    </w:p>
    <w:p w14:paraId="369A218B" w14:textId="77777777" w:rsidR="00A34225" w:rsidRDefault="00A34225">
      <w:pPr>
        <w:jc w:val="center"/>
        <w:rPr>
          <w:b/>
          <w:bCs/>
          <w:sz w:val="32"/>
          <w:szCs w:val="32"/>
        </w:rPr>
      </w:pPr>
    </w:p>
    <w:p w14:paraId="70A0E2DC" w14:textId="77777777" w:rsidR="00247BC5" w:rsidRPr="00083E5B" w:rsidRDefault="00247BC5">
      <w:pPr>
        <w:jc w:val="center"/>
        <w:rPr>
          <w:b/>
          <w:bCs/>
          <w:sz w:val="32"/>
          <w:szCs w:val="32"/>
        </w:rPr>
      </w:pPr>
    </w:p>
    <w:p w14:paraId="5F7F048C" w14:textId="77777777" w:rsidR="006B162D" w:rsidRDefault="005A502D">
      <w:pPr>
        <w:jc w:val="center"/>
        <w:rPr>
          <w:b/>
          <w:bCs/>
          <w:sz w:val="28"/>
          <w:szCs w:val="28"/>
        </w:rPr>
      </w:pPr>
      <w:r>
        <w:rPr>
          <w:b/>
          <w:bCs/>
          <w:sz w:val="28"/>
          <w:szCs w:val="28"/>
        </w:rPr>
        <w:t>Table of Contents</w:t>
      </w:r>
    </w:p>
    <w:sdt>
      <w:sdtPr>
        <w:id w:val="706914091"/>
        <w:docPartObj>
          <w:docPartGallery w:val="Table of Contents"/>
          <w:docPartUnique/>
        </w:docPartObj>
      </w:sdtPr>
      <w:sdtContent>
        <w:p w14:paraId="0D041168" w14:textId="04A4190A" w:rsidR="00A85975" w:rsidRDefault="005A502D">
          <w:pPr>
            <w:pStyle w:val="TOC1"/>
            <w:tabs>
              <w:tab w:val="righ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\h \u \z \t "Heading 1,1,Heading 2,2,Heading 3,3,Heading 4,4,Heading 5,5,Heading 6,6,"</w:instrText>
          </w:r>
          <w:r>
            <w:fldChar w:fldCharType="separate"/>
          </w:r>
          <w:hyperlink w:anchor="_Toc235469888" w:history="1">
            <w:r w:rsidR="00A85975" w:rsidRPr="00FA107D">
              <w:rPr>
                <w:rStyle w:val="Hyperlink"/>
                <w:noProof/>
              </w:rPr>
              <w:t>1.0 Introduction</w:t>
            </w:r>
            <w:r w:rsidR="00A85975">
              <w:rPr>
                <w:noProof/>
                <w:webHidden/>
              </w:rPr>
              <w:tab/>
            </w:r>
            <w:r w:rsidR="00A85975">
              <w:rPr>
                <w:noProof/>
                <w:webHidden/>
              </w:rPr>
              <w:fldChar w:fldCharType="begin"/>
            </w:r>
            <w:r w:rsidR="00A85975">
              <w:rPr>
                <w:noProof/>
                <w:webHidden/>
              </w:rPr>
              <w:instrText xml:space="preserve"> PAGEREF _Toc235469888 \h </w:instrText>
            </w:r>
            <w:r w:rsidR="00A85975">
              <w:rPr>
                <w:noProof/>
                <w:webHidden/>
              </w:rPr>
            </w:r>
            <w:r w:rsidR="00A85975">
              <w:rPr>
                <w:noProof/>
                <w:webHidden/>
              </w:rPr>
              <w:fldChar w:fldCharType="separate"/>
            </w:r>
            <w:r w:rsidR="00A85975">
              <w:rPr>
                <w:noProof/>
                <w:webHidden/>
              </w:rPr>
              <w:t>3</w:t>
            </w:r>
            <w:r w:rsidR="00A85975">
              <w:rPr>
                <w:noProof/>
                <w:webHidden/>
              </w:rPr>
              <w:fldChar w:fldCharType="end"/>
            </w:r>
          </w:hyperlink>
        </w:p>
        <w:p w14:paraId="701C8D55" w14:textId="7D154BF8" w:rsidR="00A85975" w:rsidRDefault="00A85975">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235469889" w:history="1">
            <w:r w:rsidRPr="00FA107D">
              <w:rPr>
                <w:rStyle w:val="Hyperlink"/>
                <w:noProof/>
              </w:rPr>
              <w:t>2.0 Task 1: Marketing Environment Analysis</w:t>
            </w:r>
            <w:r>
              <w:rPr>
                <w:noProof/>
                <w:webHidden/>
              </w:rPr>
              <w:tab/>
            </w:r>
            <w:r>
              <w:rPr>
                <w:noProof/>
                <w:webHidden/>
              </w:rPr>
              <w:fldChar w:fldCharType="begin"/>
            </w:r>
            <w:r>
              <w:rPr>
                <w:noProof/>
                <w:webHidden/>
              </w:rPr>
              <w:instrText xml:space="preserve"> PAGEREF _Toc235469889 \h </w:instrText>
            </w:r>
            <w:r>
              <w:rPr>
                <w:noProof/>
                <w:webHidden/>
              </w:rPr>
            </w:r>
            <w:r>
              <w:rPr>
                <w:noProof/>
                <w:webHidden/>
              </w:rPr>
              <w:fldChar w:fldCharType="separate"/>
            </w:r>
            <w:r>
              <w:rPr>
                <w:noProof/>
                <w:webHidden/>
              </w:rPr>
              <w:t>3</w:t>
            </w:r>
            <w:r>
              <w:rPr>
                <w:noProof/>
                <w:webHidden/>
              </w:rPr>
              <w:fldChar w:fldCharType="end"/>
            </w:r>
          </w:hyperlink>
        </w:p>
        <w:p w14:paraId="1266EBD2" w14:textId="523133F2"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0" w:history="1">
            <w:r w:rsidRPr="00FA107D">
              <w:rPr>
                <w:rStyle w:val="Hyperlink"/>
                <w:noProof/>
              </w:rPr>
              <w:t>2.1 Natural Environment</w:t>
            </w:r>
            <w:r>
              <w:rPr>
                <w:noProof/>
                <w:webHidden/>
              </w:rPr>
              <w:tab/>
            </w:r>
            <w:r>
              <w:rPr>
                <w:noProof/>
                <w:webHidden/>
              </w:rPr>
              <w:fldChar w:fldCharType="begin"/>
            </w:r>
            <w:r>
              <w:rPr>
                <w:noProof/>
                <w:webHidden/>
              </w:rPr>
              <w:instrText xml:space="preserve"> PAGEREF _Toc235469890 \h </w:instrText>
            </w:r>
            <w:r>
              <w:rPr>
                <w:noProof/>
                <w:webHidden/>
              </w:rPr>
            </w:r>
            <w:r>
              <w:rPr>
                <w:noProof/>
                <w:webHidden/>
              </w:rPr>
              <w:fldChar w:fldCharType="separate"/>
            </w:r>
            <w:r>
              <w:rPr>
                <w:noProof/>
                <w:webHidden/>
              </w:rPr>
              <w:t>3</w:t>
            </w:r>
            <w:r>
              <w:rPr>
                <w:noProof/>
                <w:webHidden/>
              </w:rPr>
              <w:fldChar w:fldCharType="end"/>
            </w:r>
          </w:hyperlink>
        </w:p>
        <w:p w14:paraId="1171872C" w14:textId="2D020406"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1" w:history="1">
            <w:r w:rsidRPr="00FA107D">
              <w:rPr>
                <w:rStyle w:val="Hyperlink"/>
                <w:noProof/>
              </w:rPr>
              <w:t>2.2 Political and Legal Environment</w:t>
            </w:r>
            <w:r>
              <w:rPr>
                <w:noProof/>
                <w:webHidden/>
              </w:rPr>
              <w:tab/>
            </w:r>
            <w:r>
              <w:rPr>
                <w:noProof/>
                <w:webHidden/>
              </w:rPr>
              <w:fldChar w:fldCharType="begin"/>
            </w:r>
            <w:r>
              <w:rPr>
                <w:noProof/>
                <w:webHidden/>
              </w:rPr>
              <w:instrText xml:space="preserve"> PAGEREF _Toc235469891 \h </w:instrText>
            </w:r>
            <w:r>
              <w:rPr>
                <w:noProof/>
                <w:webHidden/>
              </w:rPr>
            </w:r>
            <w:r>
              <w:rPr>
                <w:noProof/>
                <w:webHidden/>
              </w:rPr>
              <w:fldChar w:fldCharType="separate"/>
            </w:r>
            <w:r>
              <w:rPr>
                <w:noProof/>
                <w:webHidden/>
              </w:rPr>
              <w:t>4</w:t>
            </w:r>
            <w:r>
              <w:rPr>
                <w:noProof/>
                <w:webHidden/>
              </w:rPr>
              <w:fldChar w:fldCharType="end"/>
            </w:r>
          </w:hyperlink>
        </w:p>
        <w:p w14:paraId="4B5B5915" w14:textId="441C0EC8"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2" w:history="1">
            <w:r w:rsidRPr="00FA107D">
              <w:rPr>
                <w:rStyle w:val="Hyperlink"/>
                <w:noProof/>
              </w:rPr>
              <w:t>2.3 Critical Evaluation</w:t>
            </w:r>
            <w:r>
              <w:rPr>
                <w:noProof/>
                <w:webHidden/>
              </w:rPr>
              <w:tab/>
            </w:r>
            <w:r>
              <w:rPr>
                <w:noProof/>
                <w:webHidden/>
              </w:rPr>
              <w:fldChar w:fldCharType="begin"/>
            </w:r>
            <w:r>
              <w:rPr>
                <w:noProof/>
                <w:webHidden/>
              </w:rPr>
              <w:instrText xml:space="preserve"> PAGEREF _Toc235469892 \h </w:instrText>
            </w:r>
            <w:r>
              <w:rPr>
                <w:noProof/>
                <w:webHidden/>
              </w:rPr>
            </w:r>
            <w:r>
              <w:rPr>
                <w:noProof/>
                <w:webHidden/>
              </w:rPr>
              <w:fldChar w:fldCharType="separate"/>
            </w:r>
            <w:r>
              <w:rPr>
                <w:noProof/>
                <w:webHidden/>
              </w:rPr>
              <w:t>5</w:t>
            </w:r>
            <w:r>
              <w:rPr>
                <w:noProof/>
                <w:webHidden/>
              </w:rPr>
              <w:fldChar w:fldCharType="end"/>
            </w:r>
          </w:hyperlink>
        </w:p>
        <w:p w14:paraId="0A755A04" w14:textId="74C75DDF" w:rsidR="00A85975" w:rsidRDefault="00A85975">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235469893" w:history="1">
            <w:r w:rsidRPr="00FA107D">
              <w:rPr>
                <w:rStyle w:val="Hyperlink"/>
                <w:noProof/>
              </w:rPr>
              <w:t>3.0 Task 2: Strategic Growth and Competitive Positioning</w:t>
            </w:r>
            <w:r>
              <w:rPr>
                <w:noProof/>
                <w:webHidden/>
              </w:rPr>
              <w:tab/>
            </w:r>
            <w:r>
              <w:rPr>
                <w:noProof/>
                <w:webHidden/>
              </w:rPr>
              <w:fldChar w:fldCharType="begin"/>
            </w:r>
            <w:r>
              <w:rPr>
                <w:noProof/>
                <w:webHidden/>
              </w:rPr>
              <w:instrText xml:space="preserve"> PAGEREF _Toc235469893 \h </w:instrText>
            </w:r>
            <w:r>
              <w:rPr>
                <w:noProof/>
                <w:webHidden/>
              </w:rPr>
            </w:r>
            <w:r>
              <w:rPr>
                <w:noProof/>
                <w:webHidden/>
              </w:rPr>
              <w:fldChar w:fldCharType="separate"/>
            </w:r>
            <w:r>
              <w:rPr>
                <w:noProof/>
                <w:webHidden/>
              </w:rPr>
              <w:t>6</w:t>
            </w:r>
            <w:r>
              <w:rPr>
                <w:noProof/>
                <w:webHidden/>
              </w:rPr>
              <w:fldChar w:fldCharType="end"/>
            </w:r>
          </w:hyperlink>
        </w:p>
        <w:p w14:paraId="530B07B2" w14:textId="1DFD0215"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4" w:history="1">
            <w:r w:rsidRPr="00FA107D">
              <w:rPr>
                <w:rStyle w:val="Hyperlink"/>
                <w:noProof/>
              </w:rPr>
              <w:t>3.1 Ansoff Matrix Analysis</w:t>
            </w:r>
            <w:r>
              <w:rPr>
                <w:noProof/>
                <w:webHidden/>
              </w:rPr>
              <w:tab/>
            </w:r>
            <w:r>
              <w:rPr>
                <w:noProof/>
                <w:webHidden/>
              </w:rPr>
              <w:fldChar w:fldCharType="begin"/>
            </w:r>
            <w:r>
              <w:rPr>
                <w:noProof/>
                <w:webHidden/>
              </w:rPr>
              <w:instrText xml:space="preserve"> PAGEREF _Toc235469894 \h </w:instrText>
            </w:r>
            <w:r>
              <w:rPr>
                <w:noProof/>
                <w:webHidden/>
              </w:rPr>
            </w:r>
            <w:r>
              <w:rPr>
                <w:noProof/>
                <w:webHidden/>
              </w:rPr>
              <w:fldChar w:fldCharType="separate"/>
            </w:r>
            <w:r>
              <w:rPr>
                <w:noProof/>
                <w:webHidden/>
              </w:rPr>
              <w:t>6</w:t>
            </w:r>
            <w:r>
              <w:rPr>
                <w:noProof/>
                <w:webHidden/>
              </w:rPr>
              <w:fldChar w:fldCharType="end"/>
            </w:r>
          </w:hyperlink>
        </w:p>
        <w:p w14:paraId="69331300" w14:textId="2156BFE2"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5" w:history="1">
            <w:r w:rsidRPr="00FA107D">
              <w:rPr>
                <w:rStyle w:val="Hyperlink"/>
                <w:noProof/>
              </w:rPr>
              <w:t>3.2 Recommended Growth Strategy</w:t>
            </w:r>
            <w:r>
              <w:rPr>
                <w:noProof/>
                <w:webHidden/>
              </w:rPr>
              <w:tab/>
            </w:r>
            <w:r>
              <w:rPr>
                <w:noProof/>
                <w:webHidden/>
              </w:rPr>
              <w:fldChar w:fldCharType="begin"/>
            </w:r>
            <w:r>
              <w:rPr>
                <w:noProof/>
                <w:webHidden/>
              </w:rPr>
              <w:instrText xml:space="preserve"> PAGEREF _Toc235469895 \h </w:instrText>
            </w:r>
            <w:r>
              <w:rPr>
                <w:noProof/>
                <w:webHidden/>
              </w:rPr>
            </w:r>
            <w:r>
              <w:rPr>
                <w:noProof/>
                <w:webHidden/>
              </w:rPr>
              <w:fldChar w:fldCharType="separate"/>
            </w:r>
            <w:r>
              <w:rPr>
                <w:noProof/>
                <w:webHidden/>
              </w:rPr>
              <w:t>8</w:t>
            </w:r>
            <w:r>
              <w:rPr>
                <w:noProof/>
                <w:webHidden/>
              </w:rPr>
              <w:fldChar w:fldCharType="end"/>
            </w:r>
          </w:hyperlink>
        </w:p>
        <w:p w14:paraId="676CD0F2" w14:textId="2113DC83"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6" w:history="1">
            <w:r w:rsidRPr="00FA107D">
              <w:rPr>
                <w:rStyle w:val="Hyperlink"/>
                <w:noProof/>
              </w:rPr>
              <w:t>3.3 Porter's Generic Strategy</w:t>
            </w:r>
            <w:r>
              <w:rPr>
                <w:noProof/>
                <w:webHidden/>
              </w:rPr>
              <w:tab/>
            </w:r>
            <w:r>
              <w:rPr>
                <w:noProof/>
                <w:webHidden/>
              </w:rPr>
              <w:fldChar w:fldCharType="begin"/>
            </w:r>
            <w:r>
              <w:rPr>
                <w:noProof/>
                <w:webHidden/>
              </w:rPr>
              <w:instrText xml:space="preserve"> PAGEREF _Toc235469896 \h </w:instrText>
            </w:r>
            <w:r>
              <w:rPr>
                <w:noProof/>
                <w:webHidden/>
              </w:rPr>
            </w:r>
            <w:r>
              <w:rPr>
                <w:noProof/>
                <w:webHidden/>
              </w:rPr>
              <w:fldChar w:fldCharType="separate"/>
            </w:r>
            <w:r>
              <w:rPr>
                <w:noProof/>
                <w:webHidden/>
              </w:rPr>
              <w:t>9</w:t>
            </w:r>
            <w:r>
              <w:rPr>
                <w:noProof/>
                <w:webHidden/>
              </w:rPr>
              <w:fldChar w:fldCharType="end"/>
            </w:r>
          </w:hyperlink>
        </w:p>
        <w:p w14:paraId="5498CDF9" w14:textId="0C32EF87"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7" w:history="1">
            <w:r w:rsidRPr="00FA107D">
              <w:rPr>
                <w:rStyle w:val="Hyperlink"/>
                <w:noProof/>
              </w:rPr>
              <w:t>3.4 Strategic Recommendations</w:t>
            </w:r>
            <w:r>
              <w:rPr>
                <w:noProof/>
                <w:webHidden/>
              </w:rPr>
              <w:tab/>
            </w:r>
            <w:r>
              <w:rPr>
                <w:noProof/>
                <w:webHidden/>
              </w:rPr>
              <w:fldChar w:fldCharType="begin"/>
            </w:r>
            <w:r>
              <w:rPr>
                <w:noProof/>
                <w:webHidden/>
              </w:rPr>
              <w:instrText xml:space="preserve"> PAGEREF _Toc235469897 \h </w:instrText>
            </w:r>
            <w:r>
              <w:rPr>
                <w:noProof/>
                <w:webHidden/>
              </w:rPr>
            </w:r>
            <w:r>
              <w:rPr>
                <w:noProof/>
                <w:webHidden/>
              </w:rPr>
              <w:fldChar w:fldCharType="separate"/>
            </w:r>
            <w:r>
              <w:rPr>
                <w:noProof/>
                <w:webHidden/>
              </w:rPr>
              <w:t>9</w:t>
            </w:r>
            <w:r>
              <w:rPr>
                <w:noProof/>
                <w:webHidden/>
              </w:rPr>
              <w:fldChar w:fldCharType="end"/>
            </w:r>
          </w:hyperlink>
        </w:p>
        <w:p w14:paraId="05229F2E" w14:textId="58DEBCDC" w:rsidR="00A85975" w:rsidRDefault="00A85975">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235469898" w:history="1">
            <w:r w:rsidRPr="00FA107D">
              <w:rPr>
                <w:rStyle w:val="Hyperlink"/>
                <w:noProof/>
              </w:rPr>
              <w:t>4.0 Task 3: Critical Reflection on AI Usage</w:t>
            </w:r>
            <w:r>
              <w:rPr>
                <w:noProof/>
                <w:webHidden/>
              </w:rPr>
              <w:tab/>
            </w:r>
            <w:r>
              <w:rPr>
                <w:noProof/>
                <w:webHidden/>
              </w:rPr>
              <w:fldChar w:fldCharType="begin"/>
            </w:r>
            <w:r>
              <w:rPr>
                <w:noProof/>
                <w:webHidden/>
              </w:rPr>
              <w:instrText xml:space="preserve"> PAGEREF _Toc235469898 \h </w:instrText>
            </w:r>
            <w:r>
              <w:rPr>
                <w:noProof/>
                <w:webHidden/>
              </w:rPr>
            </w:r>
            <w:r>
              <w:rPr>
                <w:noProof/>
                <w:webHidden/>
              </w:rPr>
              <w:fldChar w:fldCharType="separate"/>
            </w:r>
            <w:r>
              <w:rPr>
                <w:noProof/>
                <w:webHidden/>
              </w:rPr>
              <w:t>10</w:t>
            </w:r>
            <w:r>
              <w:rPr>
                <w:noProof/>
                <w:webHidden/>
              </w:rPr>
              <w:fldChar w:fldCharType="end"/>
            </w:r>
          </w:hyperlink>
        </w:p>
        <w:p w14:paraId="1C415366" w14:textId="42D33B67"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899" w:history="1">
            <w:r w:rsidRPr="00FA107D">
              <w:rPr>
                <w:rStyle w:val="Hyperlink"/>
                <w:noProof/>
              </w:rPr>
              <w:t>4.1 AI Tools Used</w:t>
            </w:r>
            <w:r>
              <w:rPr>
                <w:noProof/>
                <w:webHidden/>
              </w:rPr>
              <w:tab/>
            </w:r>
            <w:r>
              <w:rPr>
                <w:noProof/>
                <w:webHidden/>
              </w:rPr>
              <w:fldChar w:fldCharType="begin"/>
            </w:r>
            <w:r>
              <w:rPr>
                <w:noProof/>
                <w:webHidden/>
              </w:rPr>
              <w:instrText xml:space="preserve"> PAGEREF _Toc235469899 \h </w:instrText>
            </w:r>
            <w:r>
              <w:rPr>
                <w:noProof/>
                <w:webHidden/>
              </w:rPr>
            </w:r>
            <w:r>
              <w:rPr>
                <w:noProof/>
                <w:webHidden/>
              </w:rPr>
              <w:fldChar w:fldCharType="separate"/>
            </w:r>
            <w:r>
              <w:rPr>
                <w:noProof/>
                <w:webHidden/>
              </w:rPr>
              <w:t>10</w:t>
            </w:r>
            <w:r>
              <w:rPr>
                <w:noProof/>
                <w:webHidden/>
              </w:rPr>
              <w:fldChar w:fldCharType="end"/>
            </w:r>
          </w:hyperlink>
        </w:p>
        <w:p w14:paraId="11291F90" w14:textId="13FAEBEA"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900" w:history="1">
            <w:r w:rsidRPr="00FA107D">
              <w:rPr>
                <w:rStyle w:val="Hyperlink"/>
                <w:noProof/>
              </w:rPr>
              <w:t>4.2 Verification of AI Outputs</w:t>
            </w:r>
            <w:r>
              <w:rPr>
                <w:noProof/>
                <w:webHidden/>
              </w:rPr>
              <w:tab/>
            </w:r>
            <w:r>
              <w:rPr>
                <w:noProof/>
                <w:webHidden/>
              </w:rPr>
              <w:fldChar w:fldCharType="begin"/>
            </w:r>
            <w:r>
              <w:rPr>
                <w:noProof/>
                <w:webHidden/>
              </w:rPr>
              <w:instrText xml:space="preserve"> PAGEREF _Toc235469900 \h </w:instrText>
            </w:r>
            <w:r>
              <w:rPr>
                <w:noProof/>
                <w:webHidden/>
              </w:rPr>
            </w:r>
            <w:r>
              <w:rPr>
                <w:noProof/>
                <w:webHidden/>
              </w:rPr>
              <w:fldChar w:fldCharType="separate"/>
            </w:r>
            <w:r>
              <w:rPr>
                <w:noProof/>
                <w:webHidden/>
              </w:rPr>
              <w:t>10</w:t>
            </w:r>
            <w:r>
              <w:rPr>
                <w:noProof/>
                <w:webHidden/>
              </w:rPr>
              <w:fldChar w:fldCharType="end"/>
            </w:r>
          </w:hyperlink>
        </w:p>
        <w:p w14:paraId="71AC90EE" w14:textId="57CB1571"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901" w:history="1">
            <w:r w:rsidRPr="00FA107D">
              <w:rPr>
                <w:rStyle w:val="Hyperlink"/>
                <w:noProof/>
              </w:rPr>
              <w:t>4.3 Personal Contribution</w:t>
            </w:r>
            <w:r>
              <w:rPr>
                <w:noProof/>
                <w:webHidden/>
              </w:rPr>
              <w:tab/>
            </w:r>
            <w:r>
              <w:rPr>
                <w:noProof/>
                <w:webHidden/>
              </w:rPr>
              <w:fldChar w:fldCharType="begin"/>
            </w:r>
            <w:r>
              <w:rPr>
                <w:noProof/>
                <w:webHidden/>
              </w:rPr>
              <w:instrText xml:space="preserve"> PAGEREF _Toc235469901 \h </w:instrText>
            </w:r>
            <w:r>
              <w:rPr>
                <w:noProof/>
                <w:webHidden/>
              </w:rPr>
            </w:r>
            <w:r>
              <w:rPr>
                <w:noProof/>
                <w:webHidden/>
              </w:rPr>
              <w:fldChar w:fldCharType="separate"/>
            </w:r>
            <w:r>
              <w:rPr>
                <w:noProof/>
                <w:webHidden/>
              </w:rPr>
              <w:t>11</w:t>
            </w:r>
            <w:r>
              <w:rPr>
                <w:noProof/>
                <w:webHidden/>
              </w:rPr>
              <w:fldChar w:fldCharType="end"/>
            </w:r>
          </w:hyperlink>
        </w:p>
        <w:p w14:paraId="0440EE74" w14:textId="694BD9FF" w:rsidR="00A85975" w:rsidRDefault="00A85975">
          <w:pPr>
            <w:pStyle w:val="TOC2"/>
            <w:tabs>
              <w:tab w:val="right" w:pos="9350"/>
            </w:tabs>
            <w:rPr>
              <w:rFonts w:asciiTheme="minorHAnsi" w:eastAsiaTheme="minorEastAsia" w:hAnsiTheme="minorHAnsi" w:cstheme="minorBidi"/>
              <w:noProof/>
              <w:kern w:val="2"/>
              <w:lang w:val="en-GB" w:eastAsia="en-GB"/>
              <w14:ligatures w14:val="standardContextual"/>
            </w:rPr>
          </w:pPr>
          <w:hyperlink w:anchor="_Toc235469902" w:history="1">
            <w:r w:rsidRPr="00FA107D">
              <w:rPr>
                <w:rStyle w:val="Hyperlink"/>
                <w:noProof/>
              </w:rPr>
              <w:t>4.4 Ethical Considerations</w:t>
            </w:r>
            <w:r>
              <w:rPr>
                <w:noProof/>
                <w:webHidden/>
              </w:rPr>
              <w:tab/>
            </w:r>
            <w:r>
              <w:rPr>
                <w:noProof/>
                <w:webHidden/>
              </w:rPr>
              <w:fldChar w:fldCharType="begin"/>
            </w:r>
            <w:r>
              <w:rPr>
                <w:noProof/>
                <w:webHidden/>
              </w:rPr>
              <w:instrText xml:space="preserve"> PAGEREF _Toc235469902 \h </w:instrText>
            </w:r>
            <w:r>
              <w:rPr>
                <w:noProof/>
                <w:webHidden/>
              </w:rPr>
            </w:r>
            <w:r>
              <w:rPr>
                <w:noProof/>
                <w:webHidden/>
              </w:rPr>
              <w:fldChar w:fldCharType="separate"/>
            </w:r>
            <w:r>
              <w:rPr>
                <w:noProof/>
                <w:webHidden/>
              </w:rPr>
              <w:t>11</w:t>
            </w:r>
            <w:r>
              <w:rPr>
                <w:noProof/>
                <w:webHidden/>
              </w:rPr>
              <w:fldChar w:fldCharType="end"/>
            </w:r>
          </w:hyperlink>
        </w:p>
        <w:p w14:paraId="4A089282" w14:textId="282998D1" w:rsidR="00A85975" w:rsidRDefault="00A85975">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235469903" w:history="1">
            <w:r w:rsidRPr="00FA107D">
              <w:rPr>
                <w:rStyle w:val="Hyperlink"/>
                <w:noProof/>
              </w:rPr>
              <w:t>5.0 Conclusion</w:t>
            </w:r>
            <w:r>
              <w:rPr>
                <w:noProof/>
                <w:webHidden/>
              </w:rPr>
              <w:tab/>
            </w:r>
            <w:r>
              <w:rPr>
                <w:noProof/>
                <w:webHidden/>
              </w:rPr>
              <w:fldChar w:fldCharType="begin"/>
            </w:r>
            <w:r>
              <w:rPr>
                <w:noProof/>
                <w:webHidden/>
              </w:rPr>
              <w:instrText xml:space="preserve"> PAGEREF _Toc235469903 \h </w:instrText>
            </w:r>
            <w:r>
              <w:rPr>
                <w:noProof/>
                <w:webHidden/>
              </w:rPr>
            </w:r>
            <w:r>
              <w:rPr>
                <w:noProof/>
                <w:webHidden/>
              </w:rPr>
              <w:fldChar w:fldCharType="separate"/>
            </w:r>
            <w:r>
              <w:rPr>
                <w:noProof/>
                <w:webHidden/>
              </w:rPr>
              <w:t>11</w:t>
            </w:r>
            <w:r>
              <w:rPr>
                <w:noProof/>
                <w:webHidden/>
              </w:rPr>
              <w:fldChar w:fldCharType="end"/>
            </w:r>
          </w:hyperlink>
        </w:p>
        <w:p w14:paraId="45E9722C" w14:textId="2A7E95A8" w:rsidR="00A85975" w:rsidRDefault="00A85975">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235469904" w:history="1">
            <w:r w:rsidRPr="00FA107D">
              <w:rPr>
                <w:rStyle w:val="Hyperlink"/>
                <w:noProof/>
              </w:rPr>
              <w:t>References</w:t>
            </w:r>
            <w:r>
              <w:rPr>
                <w:noProof/>
                <w:webHidden/>
              </w:rPr>
              <w:tab/>
            </w:r>
            <w:r>
              <w:rPr>
                <w:noProof/>
                <w:webHidden/>
              </w:rPr>
              <w:fldChar w:fldCharType="begin"/>
            </w:r>
            <w:r>
              <w:rPr>
                <w:noProof/>
                <w:webHidden/>
              </w:rPr>
              <w:instrText xml:space="preserve"> PAGEREF _Toc235469904 \h </w:instrText>
            </w:r>
            <w:r>
              <w:rPr>
                <w:noProof/>
                <w:webHidden/>
              </w:rPr>
            </w:r>
            <w:r>
              <w:rPr>
                <w:noProof/>
                <w:webHidden/>
              </w:rPr>
              <w:fldChar w:fldCharType="separate"/>
            </w:r>
            <w:r>
              <w:rPr>
                <w:noProof/>
                <w:webHidden/>
              </w:rPr>
              <w:t>12</w:t>
            </w:r>
            <w:r>
              <w:rPr>
                <w:noProof/>
                <w:webHidden/>
              </w:rPr>
              <w:fldChar w:fldCharType="end"/>
            </w:r>
          </w:hyperlink>
        </w:p>
        <w:p w14:paraId="754BDFCB" w14:textId="27CDDFDF" w:rsidR="006B162D" w:rsidRDefault="005A502D">
          <w:pPr>
            <w:widowControl w:val="0"/>
            <w:tabs>
              <w:tab w:val="right" w:pos="12000"/>
            </w:tabs>
            <w:spacing w:before="60"/>
            <w:jc w:val="left"/>
            <w:rPr>
              <w:b/>
              <w:bCs/>
              <w:color w:val="000000"/>
            </w:rPr>
          </w:pPr>
          <w:r>
            <w:fldChar w:fldCharType="end"/>
          </w:r>
        </w:p>
      </w:sdtContent>
    </w:sdt>
    <w:p w14:paraId="7AD5553F" w14:textId="77777777" w:rsidR="006B162D" w:rsidRDefault="006B162D">
      <w:pPr>
        <w:jc w:val="center"/>
      </w:pPr>
    </w:p>
    <w:p w14:paraId="65343E4E" w14:textId="77777777" w:rsidR="006B162D" w:rsidRDefault="005A502D">
      <w:pPr>
        <w:jc w:val="center"/>
        <w:rPr>
          <w:b/>
          <w:bCs/>
          <w:sz w:val="28"/>
          <w:szCs w:val="28"/>
        </w:rPr>
      </w:pPr>
      <w:r>
        <w:br w:type="page"/>
      </w:r>
    </w:p>
    <w:p w14:paraId="2047303F" w14:textId="77777777" w:rsidR="006B162D" w:rsidRDefault="005A502D">
      <w:pPr>
        <w:pStyle w:val="Heading1"/>
      </w:pPr>
      <w:bookmarkStart w:id="0" w:name="_Toc235469888"/>
      <w:r>
        <w:lastRenderedPageBreak/>
        <w:t>1.0 Introduction</w:t>
      </w:r>
      <w:bookmarkEnd w:id="0"/>
    </w:p>
    <w:p w14:paraId="6612A8AB" w14:textId="77777777" w:rsidR="006B162D" w:rsidRDefault="005A502D">
      <w:r>
        <w:t xml:space="preserve">The mining industry faces increasing pressure to reduce carbon emissions and adopt sustainable practices. This report analyses BHP's external marketing environment, focusing on the Natural Environment and the Political and Legal Environment. It then recommends an appropriate growth strategy and competitive positioning to support BHP's transition towards lower-carbon products. </w:t>
      </w:r>
    </w:p>
    <w:p w14:paraId="74DD8268" w14:textId="77777777" w:rsidR="006B162D" w:rsidRDefault="005A502D">
      <w:pPr>
        <w:pStyle w:val="Heading1"/>
      </w:pPr>
      <w:bookmarkStart w:id="1" w:name="_Toc235469889"/>
      <w:r>
        <w:t>2.0 Task 1: Marketing Environment Analysis</w:t>
      </w:r>
      <w:bookmarkEnd w:id="1"/>
      <w:r>
        <w:t xml:space="preserve"> </w:t>
      </w:r>
    </w:p>
    <w:p w14:paraId="70E0CB43" w14:textId="77777777" w:rsidR="006B162D" w:rsidRDefault="005A502D">
      <w:pPr>
        <w:pStyle w:val="Heading2"/>
      </w:pPr>
      <w:bookmarkStart w:id="2" w:name="_Toc235469890"/>
      <w:r>
        <w:t>2.1 Natural Environment</w:t>
      </w:r>
      <w:bookmarkEnd w:id="2"/>
    </w:p>
    <w:p w14:paraId="7AE2B05D" w14:textId="77777777" w:rsidR="006B162D" w:rsidRDefault="005A502D">
      <w:r>
        <w:t>The most important external marketing environment actor that is affecting BHP's journey towards lower-carbon products is the natural environment. The market for minerals is shifting its requirements for both volumes and quality, caused by climate change, depletion of resources and the rising expectations of the environment, which have driven the demand from mining companies to lower greenhouse gas emissions (GHG), while maintaining the delivery of minerals well needed for the global energy transition. The International Energy Agency notes that the significant expansion of critical mineral resources needed to obtain global net-zero emissions by 2050 includes production of copper and nickel, which form a major part of BHP's portfolio (IEA, 2021).</w:t>
      </w:r>
    </w:p>
    <w:p w14:paraId="174C975F" w14:textId="77777777" w:rsidR="0039585B" w:rsidRDefault="005A502D">
      <w:r>
        <w:t>BHP aims for operational GHGs (Scope 1 and Scope 2) to reach zero by 2050 and has set a medium-term target to reduce its current operating GHGs (Scope 1 and 2) by at least 30% by 2030 (BHP, 2024). Through its Climate Investment Programme, the company has additionally put over $400 million (£296.8 million) into accelerating decarbonisation technologies in mining and in steelmaking (IChemE, 2020).</w:t>
      </w:r>
    </w:p>
    <w:p w14:paraId="19FD4EB2" w14:textId="00389F86" w:rsidR="006B162D" w:rsidRDefault="005A502D">
      <w:r>
        <w:t xml:space="preserve">This shift in focus has been reinforced by environmental laws and international environmental commitments. The Paris Agreement calls for countries to take measures to keep global temperature rises below 1.5°C, which is likely to increase the national carbon reduction policies that will influence the mining industry. This is likely to be a strong push for the countries to adopt more stringent policies aimed at carbon reduction in their countries. The Safeguard Mechanism (2023 Reforms), which has been swiftly implemented to progressively lower emissions baselines from larger industrial emissions sources, obligates companies like BHP to either cut emissions or buy carbon credits </w:t>
      </w:r>
      <w:r>
        <w:lastRenderedPageBreak/>
        <w:t xml:space="preserve">(Clean Energy Regulator, 2025). As such, Environmental Sustainability is now a requirement to be met as well as a competitive differentiator. </w:t>
      </w:r>
    </w:p>
    <w:p w14:paraId="25C0C8F3" w14:textId="77777777" w:rsidR="006B162D" w:rsidRDefault="005A502D">
      <w:pPr>
        <w:pStyle w:val="Heading2"/>
      </w:pPr>
      <w:bookmarkStart w:id="3" w:name="_Toc235469891"/>
      <w:r>
        <w:t>2.2 Political and Legal Environment</w:t>
      </w:r>
      <w:bookmarkEnd w:id="3"/>
      <w:r>
        <w:t xml:space="preserve"> </w:t>
      </w:r>
    </w:p>
    <w:tbl>
      <w:tblPr>
        <w:tblStyle w:val="a"/>
        <w:tblW w:w="9195" w:type="dxa"/>
        <w:tblInd w:w="0" w:type="dxa"/>
        <w:tblBorders>
          <w:top w:val="single" w:sz="9" w:space="0" w:color="000000"/>
          <w:left w:val="single" w:sz="9" w:space="0" w:color="000000"/>
          <w:bottom w:val="single" w:sz="9" w:space="0" w:color="000000"/>
          <w:right w:val="single" w:sz="9" w:space="0" w:color="000000"/>
          <w:insideH w:val="single" w:sz="9" w:space="0" w:color="000000"/>
          <w:insideV w:val="single" w:sz="9" w:space="0" w:color="000000"/>
        </w:tblBorders>
        <w:tblLayout w:type="fixed"/>
        <w:tblLook w:val="0600" w:firstRow="0" w:lastRow="0" w:firstColumn="0" w:lastColumn="0" w:noHBand="1" w:noVBand="1"/>
      </w:tblPr>
      <w:tblGrid>
        <w:gridCol w:w="1740"/>
        <w:gridCol w:w="7455"/>
      </w:tblGrid>
      <w:tr w:rsidR="006B162D" w14:paraId="2CBB8D33" w14:textId="77777777">
        <w:trPr>
          <w:trHeight w:val="435"/>
        </w:trPr>
        <w:tc>
          <w:tcPr>
            <w:tcW w:w="1740" w:type="dxa"/>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6FE9D449" w14:textId="77777777" w:rsidR="006B162D" w:rsidRDefault="005A502D">
            <w:pPr>
              <w:jc w:val="center"/>
              <w:rPr>
                <w:b/>
                <w:bCs/>
              </w:rPr>
            </w:pPr>
            <w:r>
              <w:rPr>
                <w:b/>
                <w:bCs/>
              </w:rPr>
              <w:t>Factor</w:t>
            </w:r>
          </w:p>
        </w:tc>
        <w:tc>
          <w:tcPr>
            <w:tcW w:w="7455" w:type="dxa"/>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7881F5B1" w14:textId="77777777" w:rsidR="006B162D" w:rsidRDefault="005A502D">
            <w:pPr>
              <w:jc w:val="center"/>
              <w:rPr>
                <w:b/>
                <w:bCs/>
              </w:rPr>
            </w:pPr>
            <w:r>
              <w:rPr>
                <w:b/>
                <w:bCs/>
              </w:rPr>
              <w:t>Impact</w:t>
            </w:r>
          </w:p>
        </w:tc>
      </w:tr>
      <w:tr w:rsidR="006B162D" w14:paraId="5BF4E26B" w14:textId="77777777">
        <w:trPr>
          <w:trHeight w:val="1515"/>
        </w:trPr>
        <w:tc>
          <w:tcPr>
            <w:tcW w:w="1740" w:type="dxa"/>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3224A7C8" w14:textId="77777777" w:rsidR="006B162D" w:rsidRDefault="005A502D">
            <w:pPr>
              <w:jc w:val="left"/>
              <w:rPr>
                <w:b/>
                <w:bCs/>
              </w:rPr>
            </w:pPr>
            <w:r>
              <w:rPr>
                <w:b/>
                <w:bCs/>
              </w:rPr>
              <w:t>Political</w:t>
            </w:r>
          </w:p>
        </w:tc>
        <w:tc>
          <w:tcPr>
            <w:tcW w:w="7455" w:type="dxa"/>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43457DB8" w14:textId="77777777" w:rsidR="006B162D" w:rsidRDefault="005A502D">
            <w:r>
              <w:t>The Paris Agreement (2015), Australian Critical Minerals Strategy 2023–2030, and Future Made in Australia Act 2024 encourage investment in low-carbon mining and critical minerals (Britt and Czarnota, 2024).</w:t>
            </w:r>
          </w:p>
        </w:tc>
      </w:tr>
      <w:tr w:rsidR="006B162D" w14:paraId="6CD0627C" w14:textId="77777777">
        <w:trPr>
          <w:trHeight w:val="1515"/>
        </w:trPr>
        <w:tc>
          <w:tcPr>
            <w:tcW w:w="1740" w:type="dxa"/>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5C9F1642" w14:textId="77777777" w:rsidR="006B162D" w:rsidRDefault="005A502D">
            <w:pPr>
              <w:jc w:val="left"/>
              <w:rPr>
                <w:b/>
                <w:bCs/>
              </w:rPr>
            </w:pPr>
            <w:r>
              <w:rPr>
                <w:b/>
                <w:bCs/>
              </w:rPr>
              <w:t>Legal</w:t>
            </w:r>
          </w:p>
        </w:tc>
        <w:tc>
          <w:tcPr>
            <w:tcW w:w="7455" w:type="dxa"/>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5E25D7B0" w14:textId="77777777" w:rsidR="006B162D" w:rsidRDefault="005A502D">
            <w:r>
              <w:t>The Corporations Act 2001, Work Health and Safety Act 2011, Modern Slavery Act 2018 (Australia), IFRS S1 and IFRS S2 Sustainability Disclosure Standards (2023) and the Australian Securities</w:t>
            </w:r>
          </w:p>
        </w:tc>
      </w:tr>
    </w:tbl>
    <w:p w14:paraId="115F304D" w14:textId="77777777" w:rsidR="006B162D" w:rsidRDefault="005A502D">
      <w:pPr>
        <w:jc w:val="center"/>
        <w:rPr>
          <w:b/>
          <w:bCs/>
        </w:rPr>
      </w:pPr>
      <w:r>
        <w:rPr>
          <w:b/>
          <w:bCs/>
        </w:rPr>
        <w:t>Table 1: PESTLE Analysis Table</w:t>
      </w:r>
    </w:p>
    <w:p w14:paraId="0BCCBA31" w14:textId="77777777" w:rsidR="006B162D" w:rsidRDefault="005A502D">
      <w:pPr>
        <w:jc w:val="center"/>
      </w:pPr>
      <w:r>
        <w:t>(Source: Self-Developed)</w:t>
      </w:r>
    </w:p>
    <w:p w14:paraId="480F9077" w14:textId="7557D1D3" w:rsidR="006B162D" w:rsidRDefault="005A502D">
      <w:r>
        <w:t xml:space="preserve">The political and legal climate has a significant impact on BHP's transition to lower-carbon products, affecting regulatory compliance, investment decisions and competitiveness. A range of climate policies, including the Paris Agreement, the Climate Change Act 2022 (CCA) and the National Greenhouse and Energy Reporting Act 2007 (NGER), call for increased emissions reductions and transparency, as well as economic and technological policies that promote investment in cleaner mining technologies. In addition, there are international regulations, such as the EU Carbon Border Adjustment Mechanism, which demand less carbon-intensive minerals. </w:t>
      </w:r>
    </w:p>
    <w:p w14:paraId="1825F495" w14:textId="77777777" w:rsidR="006B162D" w:rsidRDefault="005A502D">
      <w:r>
        <w:t xml:space="preserve">BHP's political and legal landscape has a significant impact on their journey towards a lower carbon transition, as well as reinforcing the importance of the natural environment. In a political context, the Paris Agreement (2015) puts pressure on BHP to accelerate the decarbonisation of industry and to intensify climate commitments by the governments (United Nations, 2015). The minerals strategy also includes the Australian Critical Minerals Strategy 2023–2030, which will enable investment in minerals vital for clean energy technologies, which BHP's copper and nickel portfolio are suited to. (Department of Industry, Science and Resources, 2023). In addition, the Future Made in Australia Act </w:t>
      </w:r>
      <w:r>
        <w:lastRenderedPageBreak/>
        <w:t xml:space="preserve">2024 supports investment in industries and supply chains with low carbon emissions, which would further incentivise BHP to increase their carbon neutral activities (Australian Government, 2024). The EPBC Act 1999 (EPBC Act) provides for environmental approvals and biodiversity protection of mining developments from a legal perspective (Peele, 2023). </w:t>
      </w:r>
    </w:p>
    <w:p w14:paraId="0324B952" w14:textId="77777777" w:rsidR="006B162D" w:rsidRDefault="005A502D">
      <w:r>
        <w:t>The Climate Change Act 2022 sets Australia's national emissions reduction targets, ensuring the major industries will take more significant action to address climate change.The Climate Change Act 2022 is Australia's national emissions reduction targets, which will now mean that major industries will have to take more action to respond to climate change. In addition, BHP also needs to measure, report and limit operational GHGs under the NGER Act and Safeguard Mechanism Reforms 2023 (Clean Energy Regulator, 2023). The Carbon Border Adjustment Mechanism (CBAM) Regulation (EU) 2023 promotes reduced carbon emissions by imposing carbon costs on carbon-intensive imports to the European Union (European Union, 2023). Together, these political commitments and legal requirements promote BHP's reduction of the environmental footprint, regulatory assurance, and competitiveness in a global market growing increasingly conscious of sustainability.</w:t>
      </w:r>
    </w:p>
    <w:p w14:paraId="32E63351" w14:textId="77777777" w:rsidR="006B162D" w:rsidRDefault="005A502D">
      <w:pPr>
        <w:pStyle w:val="Heading2"/>
      </w:pPr>
      <w:bookmarkStart w:id="4" w:name="_Toc235469892"/>
      <w:r>
        <w:t>2.3 Critical Evaluation</w:t>
      </w:r>
      <w:bookmarkEnd w:id="4"/>
    </w:p>
    <w:p w14:paraId="444B6A91" w14:textId="77777777" w:rsidR="006B162D" w:rsidRDefault="005A502D">
      <w:r>
        <w:t>The natural environment is clearly the most significant external marketing environment influence in BHP's transition to lower-carbon products, given that climate change has had a fundamental impact on both customer expectations and investor priorities and corporate competitiveness. From being a CSR measure, environmental sustainability has matured into a strategic marketing tool that plays a role in people's purchasing decisions and brand value over time (Ardiansyah and Alnoor, 2024). As BHP's trade in minerals started to grow, this demand posed a great opportunity to highlight BHP's lower carbon product offering and build deeper relationships with industrial customers seeking to create and implement a net-zero supply chain. As a result, environmental sustainability is a market differentiator and competitive advantage in the long run.</w:t>
      </w:r>
    </w:p>
    <w:p w14:paraId="1C4419BD" w14:textId="77777777" w:rsidR="006B162D" w:rsidRDefault="005A502D">
      <w:r>
        <w:t xml:space="preserve">On the other hand, this view has been challenged by academics who contend that there is not enough pressure from the environment to drive change in the mining industry. </w:t>
      </w:r>
      <w:r>
        <w:lastRenderedPageBreak/>
        <w:t>According to Grubert and Sawyer (2023), decision-making for mining companies is not focused on environmental considerations, as most of the investment for decarbonisation is unlikely to be incentive-driven. In a way similar to this, the focus of BHP's renewable energy, electrification and emissions reduction investments might be considered one geared more towards ensuring future profitability and confidence of investors than showing leadership in environmental management.</w:t>
      </w:r>
    </w:p>
    <w:p w14:paraId="7B9C3210" w14:textId="5F8FE99C" w:rsidR="006B162D" w:rsidRDefault="005A502D">
      <w:r>
        <w:t>Another view suggests that the political and legal landscape is now central to BHP's strategic focus. Sun (2025) suggest that regulation provides market signals for the development of innovative firms because it puts an incentive to develop sustainable products. This can be seen in BHP's submissions on the Climate Change Act 2022, the National Greenhouse and Energy Reporting Act 2007 and the EU's Carbon Border Adjustment Mechanism Regulation (EU) 2023/956.</w:t>
      </w:r>
    </w:p>
    <w:p w14:paraId="323977D0" w14:textId="77777777" w:rsidR="006B162D" w:rsidRDefault="005A502D">
      <w:r>
        <w:t xml:space="preserve">However, another argument has emerged that an overly rigid regulatory regime could be a negative factor, making the market less competitive. Similarly, Onat et al. (2025) also point out that growing intricacies in environmental regulations, carbon pricing and mandatory disclosure help to significantly drive up operational costs, slow project approvals and diminish the flexibility of organisations. Keeping up with various domestic and international climate laws demands significant financial expenditure for BHP in the areas of reporting, emissions monitoring and environmental management. </w:t>
      </w:r>
    </w:p>
    <w:p w14:paraId="61B644E5" w14:textId="77777777" w:rsidR="006B162D" w:rsidRDefault="005A502D">
      <w:pPr>
        <w:pStyle w:val="Heading1"/>
        <w:rPr>
          <w:highlight w:val="yellow"/>
        </w:rPr>
      </w:pPr>
      <w:bookmarkStart w:id="5" w:name="_Toc235469893"/>
      <w:r>
        <w:t>3.0 Task 2: Strategic Growth and Competitive Positioning</w:t>
      </w:r>
      <w:bookmarkEnd w:id="5"/>
      <w:r>
        <w:t xml:space="preserve"> </w:t>
      </w:r>
    </w:p>
    <w:p w14:paraId="287DF955" w14:textId="77777777" w:rsidR="006B162D" w:rsidRDefault="005A502D">
      <w:pPr>
        <w:pStyle w:val="Heading2"/>
      </w:pPr>
      <w:bookmarkStart w:id="6" w:name="_Toc235469894"/>
      <w:r>
        <w:t>3.1 Ansoff Matrix Analysis</w:t>
      </w:r>
      <w:bookmarkEnd w:id="6"/>
    </w:p>
    <w:p w14:paraId="03D2FA30" w14:textId="77777777" w:rsidR="006B162D" w:rsidRDefault="005A502D">
      <w:r>
        <w:t xml:space="preserve">The Ansoff Matrix is a detailed tool that helps in evaluating approaches to evolve a business utilising four procedures that are popular as: market penetration, market development, product development and diversification (Kotler et al., 2024). </w:t>
      </w: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2238"/>
        <w:gridCol w:w="3610"/>
        <w:gridCol w:w="3500"/>
      </w:tblGrid>
      <w:tr w:rsidR="006B162D" w14:paraId="2D530B93" w14:textId="77777777" w:rsidTr="007D7378">
        <w:trPr>
          <w:trHeight w:val="375"/>
        </w:trPr>
        <w:tc>
          <w:tcPr>
            <w:tcW w:w="1197" w:type="pct"/>
            <w:tcBorders>
              <w:top w:val="single" w:sz="5" w:space="0" w:color="000000"/>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4FD4C1C7" w14:textId="77777777" w:rsidR="006B162D" w:rsidRDefault="005A502D">
            <w:pPr>
              <w:rPr>
                <w:b/>
                <w:bCs/>
                <w:color w:val="FFFFFF"/>
              </w:rPr>
            </w:pPr>
            <w:r>
              <w:rPr>
                <w:b/>
                <w:bCs/>
                <w:color w:val="FFFFFF"/>
              </w:rPr>
              <w:t>Strategy</w:t>
            </w:r>
          </w:p>
        </w:tc>
        <w:tc>
          <w:tcPr>
            <w:tcW w:w="1931" w:type="pct"/>
            <w:tcBorders>
              <w:top w:val="single" w:sz="5" w:space="0" w:color="000000"/>
              <w:left w:val="nil"/>
              <w:bottom w:val="single" w:sz="5" w:space="0" w:color="000000"/>
              <w:right w:val="single" w:sz="5" w:space="0" w:color="000000"/>
            </w:tcBorders>
            <w:shd w:val="clear" w:color="auto" w:fill="A5A5A5"/>
            <w:tcMar>
              <w:top w:w="0" w:type="dxa"/>
              <w:left w:w="100" w:type="dxa"/>
              <w:bottom w:w="0" w:type="dxa"/>
              <w:right w:w="100" w:type="dxa"/>
            </w:tcMar>
          </w:tcPr>
          <w:p w14:paraId="301ACDEE" w14:textId="77777777" w:rsidR="006B162D" w:rsidRDefault="005A502D">
            <w:pPr>
              <w:rPr>
                <w:b/>
                <w:bCs/>
                <w:color w:val="FFFFFF"/>
              </w:rPr>
            </w:pPr>
            <w:r>
              <w:rPr>
                <w:b/>
                <w:bCs/>
                <w:color w:val="FFFFFF"/>
              </w:rPr>
              <w:t>Application to BHP</w:t>
            </w:r>
          </w:p>
        </w:tc>
        <w:tc>
          <w:tcPr>
            <w:tcW w:w="1872" w:type="pct"/>
            <w:tcBorders>
              <w:top w:val="single" w:sz="5" w:space="0" w:color="000000"/>
              <w:left w:val="nil"/>
              <w:bottom w:val="single" w:sz="5" w:space="0" w:color="000000"/>
              <w:right w:val="single" w:sz="5" w:space="0" w:color="000000"/>
            </w:tcBorders>
            <w:shd w:val="clear" w:color="auto" w:fill="A5A5A5"/>
            <w:tcMar>
              <w:top w:w="0" w:type="dxa"/>
              <w:left w:w="100" w:type="dxa"/>
              <w:bottom w:w="0" w:type="dxa"/>
              <w:right w:w="100" w:type="dxa"/>
            </w:tcMar>
          </w:tcPr>
          <w:p w14:paraId="0F5AE6C0" w14:textId="77777777" w:rsidR="006B162D" w:rsidRDefault="005A502D">
            <w:pPr>
              <w:rPr>
                <w:b/>
                <w:bCs/>
                <w:color w:val="FFFFFF"/>
              </w:rPr>
            </w:pPr>
            <w:r>
              <w:rPr>
                <w:b/>
                <w:bCs/>
                <w:color w:val="FFFFFF"/>
              </w:rPr>
              <w:t>Assessment</w:t>
            </w:r>
          </w:p>
        </w:tc>
      </w:tr>
      <w:tr w:rsidR="006B162D" w14:paraId="7DB65673" w14:textId="77777777" w:rsidTr="007D7378">
        <w:trPr>
          <w:trHeight w:val="1095"/>
        </w:trPr>
        <w:tc>
          <w:tcPr>
            <w:tcW w:w="1197" w:type="pct"/>
            <w:tcBorders>
              <w:top w:val="nil"/>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65EFC63D" w14:textId="77777777" w:rsidR="006B162D" w:rsidRDefault="005A502D">
            <w:pPr>
              <w:rPr>
                <w:b/>
                <w:bCs/>
                <w:color w:val="FFFFFF"/>
              </w:rPr>
            </w:pPr>
            <w:r>
              <w:rPr>
                <w:b/>
                <w:bCs/>
                <w:color w:val="FFFFFF"/>
              </w:rPr>
              <w:t>Market Penetration</w:t>
            </w:r>
          </w:p>
        </w:tc>
        <w:tc>
          <w:tcPr>
            <w:tcW w:w="1931" w:type="pct"/>
            <w:tcBorders>
              <w:top w:val="nil"/>
              <w:left w:val="nil"/>
              <w:bottom w:val="single" w:sz="5" w:space="0" w:color="000000"/>
              <w:right w:val="single" w:sz="5" w:space="0" w:color="000000"/>
            </w:tcBorders>
            <w:shd w:val="clear" w:color="auto" w:fill="DBDBDB"/>
            <w:tcMar>
              <w:top w:w="0" w:type="dxa"/>
              <w:left w:w="100" w:type="dxa"/>
              <w:bottom w:w="0" w:type="dxa"/>
              <w:right w:w="100" w:type="dxa"/>
            </w:tcMar>
          </w:tcPr>
          <w:p w14:paraId="3A950912" w14:textId="77777777" w:rsidR="006B162D" w:rsidRDefault="005A502D">
            <w:r>
              <w:t>Promote lower-carbon iron ore, copper and nickel to existing customers.</w:t>
            </w:r>
          </w:p>
        </w:tc>
        <w:tc>
          <w:tcPr>
            <w:tcW w:w="1872" w:type="pct"/>
            <w:tcBorders>
              <w:top w:val="nil"/>
              <w:left w:val="nil"/>
              <w:bottom w:val="single" w:sz="5" w:space="0" w:color="000000"/>
              <w:right w:val="single" w:sz="5" w:space="0" w:color="000000"/>
            </w:tcBorders>
            <w:shd w:val="clear" w:color="auto" w:fill="DBDBDB"/>
            <w:tcMar>
              <w:top w:w="0" w:type="dxa"/>
              <w:left w:w="100" w:type="dxa"/>
              <w:bottom w:w="0" w:type="dxa"/>
              <w:right w:w="100" w:type="dxa"/>
            </w:tcMar>
          </w:tcPr>
          <w:p w14:paraId="0289DB7F" w14:textId="77777777" w:rsidR="006B162D" w:rsidRDefault="005A502D">
            <w:r>
              <w:t>Low risk but limited growth.</w:t>
            </w:r>
          </w:p>
        </w:tc>
      </w:tr>
      <w:tr w:rsidR="006B162D" w14:paraId="3848B680" w14:textId="77777777" w:rsidTr="007D7378">
        <w:trPr>
          <w:trHeight w:val="1095"/>
        </w:trPr>
        <w:tc>
          <w:tcPr>
            <w:tcW w:w="1197" w:type="pct"/>
            <w:tcBorders>
              <w:top w:val="nil"/>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571F6646" w14:textId="77777777" w:rsidR="006B162D" w:rsidRDefault="005A502D">
            <w:pPr>
              <w:rPr>
                <w:b/>
                <w:bCs/>
                <w:color w:val="FFFFFF"/>
              </w:rPr>
            </w:pPr>
            <w:r>
              <w:rPr>
                <w:b/>
                <w:bCs/>
                <w:color w:val="FFFFFF"/>
              </w:rPr>
              <w:lastRenderedPageBreak/>
              <w:t>Market Development</w:t>
            </w:r>
          </w:p>
        </w:tc>
        <w:tc>
          <w:tcPr>
            <w:tcW w:w="1931" w:type="pct"/>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6AA37CF2" w14:textId="77777777" w:rsidR="006B162D" w:rsidRDefault="005A502D">
            <w:r>
              <w:t>Expand into EV, renewable energy and battery markets.</w:t>
            </w:r>
          </w:p>
        </w:tc>
        <w:tc>
          <w:tcPr>
            <w:tcW w:w="1872" w:type="pct"/>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1CFD30E0" w14:textId="77777777" w:rsidR="006B162D" w:rsidRDefault="005A502D">
            <w:r>
              <w:t>Strong opportunity due to rising mineral demand (IEA, 2024).</w:t>
            </w:r>
          </w:p>
        </w:tc>
      </w:tr>
      <w:tr w:rsidR="006B162D" w14:paraId="5E862CCA" w14:textId="77777777" w:rsidTr="007D7378">
        <w:trPr>
          <w:trHeight w:val="1095"/>
        </w:trPr>
        <w:tc>
          <w:tcPr>
            <w:tcW w:w="1197" w:type="pct"/>
            <w:tcBorders>
              <w:top w:val="nil"/>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588E1E05" w14:textId="77777777" w:rsidR="006B162D" w:rsidRDefault="005A502D">
            <w:pPr>
              <w:rPr>
                <w:b/>
                <w:bCs/>
                <w:color w:val="FFFFFF"/>
              </w:rPr>
            </w:pPr>
            <w:r>
              <w:rPr>
                <w:b/>
                <w:bCs/>
                <w:color w:val="FFFFFF"/>
              </w:rPr>
              <w:t>Product Development</w:t>
            </w:r>
          </w:p>
        </w:tc>
        <w:tc>
          <w:tcPr>
            <w:tcW w:w="1931" w:type="pct"/>
            <w:tcBorders>
              <w:top w:val="nil"/>
              <w:left w:val="nil"/>
              <w:bottom w:val="single" w:sz="5" w:space="0" w:color="000000"/>
              <w:right w:val="single" w:sz="5" w:space="0" w:color="000000"/>
            </w:tcBorders>
            <w:shd w:val="clear" w:color="auto" w:fill="DBDBDB"/>
            <w:tcMar>
              <w:top w:w="0" w:type="dxa"/>
              <w:left w:w="100" w:type="dxa"/>
              <w:bottom w:w="0" w:type="dxa"/>
              <w:right w:w="100" w:type="dxa"/>
            </w:tcMar>
          </w:tcPr>
          <w:p w14:paraId="5F2297A2" w14:textId="77777777" w:rsidR="006B162D" w:rsidRDefault="005A502D">
            <w:r>
              <w:t>Develop certified lower-carbon and carbon-traceable mineral products.</w:t>
            </w:r>
          </w:p>
        </w:tc>
        <w:tc>
          <w:tcPr>
            <w:tcW w:w="1872" w:type="pct"/>
            <w:tcBorders>
              <w:top w:val="nil"/>
              <w:left w:val="nil"/>
              <w:bottom w:val="single" w:sz="5" w:space="0" w:color="000000"/>
              <w:right w:val="single" w:sz="5" w:space="0" w:color="000000"/>
            </w:tcBorders>
            <w:shd w:val="clear" w:color="auto" w:fill="DBDBDB"/>
            <w:tcMar>
              <w:top w:w="0" w:type="dxa"/>
              <w:left w:w="100" w:type="dxa"/>
              <w:bottom w:w="0" w:type="dxa"/>
              <w:right w:w="100" w:type="dxa"/>
            </w:tcMar>
          </w:tcPr>
          <w:p w14:paraId="4D1FF851" w14:textId="77777777" w:rsidR="006B162D" w:rsidRDefault="005A502D">
            <w:r>
              <w:rPr>
                <w:b/>
                <w:bCs/>
              </w:rPr>
              <w:t>Most suitable</w:t>
            </w:r>
            <w:r>
              <w:t>; supports sustainability and competitive advantage.</w:t>
            </w:r>
          </w:p>
        </w:tc>
      </w:tr>
      <w:tr w:rsidR="006B162D" w14:paraId="0A22313B" w14:textId="77777777" w:rsidTr="007D7378">
        <w:trPr>
          <w:trHeight w:val="735"/>
        </w:trPr>
        <w:tc>
          <w:tcPr>
            <w:tcW w:w="1197" w:type="pct"/>
            <w:tcBorders>
              <w:top w:val="nil"/>
              <w:left w:val="single" w:sz="5" w:space="0" w:color="000000"/>
              <w:bottom w:val="single" w:sz="5" w:space="0" w:color="000000"/>
              <w:right w:val="single" w:sz="5" w:space="0" w:color="000000"/>
            </w:tcBorders>
            <w:shd w:val="clear" w:color="auto" w:fill="A5A5A5"/>
            <w:tcMar>
              <w:top w:w="0" w:type="dxa"/>
              <w:left w:w="100" w:type="dxa"/>
              <w:bottom w:w="0" w:type="dxa"/>
              <w:right w:w="100" w:type="dxa"/>
            </w:tcMar>
          </w:tcPr>
          <w:p w14:paraId="5C713AC4" w14:textId="77777777" w:rsidR="006B162D" w:rsidRDefault="005A502D">
            <w:pPr>
              <w:rPr>
                <w:b/>
                <w:bCs/>
                <w:color w:val="FFFFFF"/>
              </w:rPr>
            </w:pPr>
            <w:r>
              <w:rPr>
                <w:b/>
                <w:bCs/>
                <w:color w:val="FFFFFF"/>
              </w:rPr>
              <w:t>Diversification</w:t>
            </w:r>
          </w:p>
        </w:tc>
        <w:tc>
          <w:tcPr>
            <w:tcW w:w="1931" w:type="pct"/>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7EE854EE" w14:textId="77777777" w:rsidR="006B162D" w:rsidRDefault="005A502D">
            <w:r>
              <w:t>Invest in green hydrogen and carbon capture.</w:t>
            </w:r>
          </w:p>
        </w:tc>
        <w:tc>
          <w:tcPr>
            <w:tcW w:w="1872" w:type="pct"/>
            <w:tcBorders>
              <w:top w:val="nil"/>
              <w:left w:val="nil"/>
              <w:bottom w:val="single" w:sz="5" w:space="0" w:color="000000"/>
              <w:right w:val="single" w:sz="5" w:space="0" w:color="000000"/>
            </w:tcBorders>
            <w:shd w:val="clear" w:color="auto" w:fill="EDEDED"/>
            <w:tcMar>
              <w:top w:w="0" w:type="dxa"/>
              <w:left w:w="100" w:type="dxa"/>
              <w:bottom w:w="0" w:type="dxa"/>
              <w:right w:w="100" w:type="dxa"/>
            </w:tcMar>
          </w:tcPr>
          <w:p w14:paraId="320F2599" w14:textId="77777777" w:rsidR="006B162D" w:rsidRDefault="005A502D">
            <w:r>
              <w:t>High growth potential but highest risk.</w:t>
            </w:r>
          </w:p>
        </w:tc>
      </w:tr>
    </w:tbl>
    <w:p w14:paraId="5CC76552" w14:textId="77777777" w:rsidR="006B162D" w:rsidRDefault="005A502D">
      <w:pPr>
        <w:jc w:val="center"/>
        <w:rPr>
          <w:b/>
          <w:bCs/>
        </w:rPr>
      </w:pPr>
      <w:r>
        <w:rPr>
          <w:b/>
          <w:bCs/>
        </w:rPr>
        <w:t>Table 3.1: Ansoff Matrix Analysis for BHP</w:t>
      </w:r>
    </w:p>
    <w:p w14:paraId="6886E02A" w14:textId="77777777" w:rsidR="006B162D" w:rsidRDefault="005A502D">
      <w:pPr>
        <w:jc w:val="center"/>
      </w:pPr>
      <w:r>
        <w:t>(Source: Self-Developed)</w:t>
      </w:r>
    </w:p>
    <w:p w14:paraId="1952A23F" w14:textId="77777777" w:rsidR="006B162D" w:rsidRDefault="005A502D">
      <w:r>
        <w:t>Market penetration is mainly about raising sales of the already available goods in current markets. BHP should focus on enhancing collaboration with steel makers by supplying iron ore, copper, and nickel that are obtained in an environmentally friendly way. Such an approach will come with low risk because it builds on what already exists, but it has a limit of growth because the markets for iron ore are already mature and the growth rate of demand is slower than that for some minerals used for clean energy technologies.</w:t>
      </w:r>
    </w:p>
    <w:p w14:paraId="12270F73" w14:textId="77777777" w:rsidR="006B162D" w:rsidRDefault="005A502D">
      <w:r>
        <w:t>Market development refers to selling the products that already exist in new geographical or industrial markets. The growing amount of investments in renewable energy, electric vehicles and production of batteries represents a good market for BHP to increase sales of its copper, nickel and potash in Asia, Europe and North America. According to the IEA, the demand for the critical minerals used in clean energy technologies may increase almost threefold by 2035, and the number of EVs sold worldwide is already over 17 million units in 2024 (IEA, 2026).</w:t>
      </w:r>
    </w:p>
    <w:p w14:paraId="7F8869F8" w14:textId="77777777" w:rsidR="006B162D" w:rsidRDefault="005A502D">
      <w:r>
        <w:t xml:space="preserve">Product development includes the introduction of new products to existing consumers. The firm has already made investments in more recent technologies of low-carbon fortified production, green potential generation, and operational decarbonization. For instance, as stated in the FY2025 Annual Report by BHP, the company has invested 4 billion dollars in increasing projects, specifically within the copper and potash sectors, that play a key role in the energy transition (BHP, 2025). By evolving certified low-carbon iron ore, responsibly mined copper, and carbon-traceable mineral products, the corporation </w:t>
      </w:r>
      <w:r>
        <w:lastRenderedPageBreak/>
        <w:t>can develop its relationship with customers and meet increasing demand for sustainable raw materials.</w:t>
      </w:r>
    </w:p>
    <w:p w14:paraId="2F563BF7" w14:textId="77777777" w:rsidR="006B162D" w:rsidRDefault="005A502D">
      <w:r>
        <w:t>Diversification furthers entry into new markets alongside novel products and, consequently, poses the biggest risk. Opportunities in this context include green hydrogen, carbon capture technologies, and circular economy recycling. However, all these activities demand investments, technological capacities, and special knowledge. Although diversification may help achieve sustainability, it has greater uncertainty compared to other Ansoff strategies (BHP, 2024).</w:t>
      </w:r>
    </w:p>
    <w:p w14:paraId="1A4749BA" w14:textId="77777777" w:rsidR="006B162D" w:rsidRDefault="005A502D">
      <w:pPr>
        <w:pStyle w:val="Heading2"/>
      </w:pPr>
      <w:bookmarkStart w:id="7" w:name="_Toc235469895"/>
      <w:r>
        <w:t>3.2 Recommended Growth Strategy</w:t>
      </w:r>
      <w:bookmarkEnd w:id="7"/>
    </w:p>
    <w:p w14:paraId="3BE413A0" w14:textId="77777777" w:rsidR="006B162D" w:rsidRDefault="005A502D">
      <w:r>
        <w:t>Based on the Ansoff Matrix, product development should be the primary growth strategy of BHP since it suits sustainability trends, customer expectations and the company’s strengths.</w:t>
      </w:r>
    </w:p>
    <w:p w14:paraId="37D1BDAA" w14:textId="77777777" w:rsidR="006B162D" w:rsidRDefault="005A502D">
      <w:r>
        <w:t xml:space="preserve">There is a growing expectation among governments, investors and industrial customers for their suppliers to minimise the level of emissions along the entire supply chain. Mining companies are currently competing based on their environmental performance, in addition to production efficiency. BHP has committed to achieving net zero greenhouse gas emissions from its operations by 2050 and to investing in renewable energy sources, decarbonising operations and establishing partnerships promoting low-carbon steel production (IEA, 2026). </w:t>
      </w:r>
    </w:p>
    <w:p w14:paraId="0465E2C0" w14:textId="77777777" w:rsidR="006B162D" w:rsidRDefault="005A502D">
      <w:r>
        <w:t>The product development will allow BHP to start offering certified low-emission iron ore, copper and nickel produced responsibly, as well as digital tracing services used in carbon accounting across the supply chain. All these products will add value for customers as manufacturers need information on sustainability in order to comply with reporting requirements and legislation in the sphere of environmental protection.</w:t>
      </w:r>
    </w:p>
    <w:p w14:paraId="53B897DF" w14:textId="77777777" w:rsidR="006B162D" w:rsidRDefault="005A502D">
      <w:r>
        <w:t>Market development needs to support the said strategy by extending such products into rapidly expanding areas like the renewable energy and battery markets. As per the IEA (2024), the global copper demand will rise by almost 50% by 2040 due to renewable electricity networks, electric vehicles, and battery storage. Overall, the development of these trends offers many opportunities for BHP to consolidate its position in global clean energy supply chains.</w:t>
      </w:r>
    </w:p>
    <w:p w14:paraId="6BA721B9" w14:textId="77777777" w:rsidR="006B162D" w:rsidRDefault="005A502D">
      <w:r>
        <w:lastRenderedPageBreak/>
        <w:t>As compared with diversification, product development involves less risk since BHP can rely on its existing assets, customer ties, and specialised knowledge. As a result, the greatest practical and commercially viable approach towards achieving long-term growth would be to combine product development with selected market development.</w:t>
      </w:r>
    </w:p>
    <w:p w14:paraId="05C59CA3" w14:textId="77777777" w:rsidR="006B162D" w:rsidRDefault="005A502D">
      <w:pPr>
        <w:pStyle w:val="Heading2"/>
      </w:pPr>
      <w:bookmarkStart w:id="8" w:name="_Toc235469896"/>
      <w:r>
        <w:t>3.3 Porter's Generic Strategy</w:t>
      </w:r>
      <w:bookmarkEnd w:id="8"/>
    </w:p>
    <w:p w14:paraId="0916D862" w14:textId="77777777" w:rsidR="006B162D" w:rsidRDefault="005A502D">
      <w:pPr>
        <w:rPr>
          <w:b/>
          <w:bCs/>
        </w:rPr>
      </w:pPr>
      <w:r>
        <w:t>The concept of Porter's Generic Strategies suggests that companies attain competitive advantage through the strategies of cost leadership, differentiation, or focus. Differentiation is seen as the strategy that gives BHP the best competitive advantage as it moves towards a lower-carbon business model.</w:t>
      </w:r>
    </w:p>
    <w:tbl>
      <w:tblPr>
        <w:tblStyle w:val="a1"/>
        <w:tblW w:w="5000" w:type="pct"/>
        <w:tblInd w:w="0" w:type="dxa"/>
        <w:tblBorders>
          <w:top w:val="nil"/>
          <w:left w:val="nil"/>
          <w:bottom w:val="nil"/>
          <w:right w:val="nil"/>
          <w:insideH w:val="nil"/>
          <w:insideV w:val="nil"/>
        </w:tblBorders>
        <w:tblLook w:val="0600" w:firstRow="0" w:lastRow="0" w:firstColumn="0" w:lastColumn="0" w:noHBand="1" w:noVBand="1"/>
      </w:tblPr>
      <w:tblGrid>
        <w:gridCol w:w="2144"/>
        <w:gridCol w:w="7204"/>
      </w:tblGrid>
      <w:tr w:rsidR="006B162D" w14:paraId="57ED62B0" w14:textId="77777777" w:rsidTr="007D7378">
        <w:trPr>
          <w:trHeight w:val="375"/>
        </w:trPr>
        <w:tc>
          <w:tcPr>
            <w:tcW w:w="1147" w:type="pct"/>
            <w:tcBorders>
              <w:top w:val="single" w:sz="5" w:space="0" w:color="000000"/>
              <w:left w:val="single" w:sz="5" w:space="0" w:color="000000"/>
              <w:bottom w:val="single" w:sz="5" w:space="0" w:color="000000"/>
              <w:right w:val="single" w:sz="5" w:space="0" w:color="000000"/>
            </w:tcBorders>
            <w:shd w:val="clear" w:color="auto" w:fill="5B9BD5"/>
            <w:tcMar>
              <w:top w:w="0" w:type="dxa"/>
              <w:left w:w="100" w:type="dxa"/>
              <w:bottom w:w="0" w:type="dxa"/>
              <w:right w:w="100" w:type="dxa"/>
            </w:tcMar>
          </w:tcPr>
          <w:p w14:paraId="4C77DFCC" w14:textId="77777777" w:rsidR="006B162D" w:rsidRDefault="005A502D">
            <w:pPr>
              <w:rPr>
                <w:b/>
                <w:bCs/>
              </w:rPr>
            </w:pPr>
            <w:r>
              <w:rPr>
                <w:b/>
                <w:bCs/>
              </w:rPr>
              <w:t>Strategy</w:t>
            </w:r>
          </w:p>
        </w:tc>
        <w:tc>
          <w:tcPr>
            <w:tcW w:w="3853" w:type="pct"/>
            <w:tcBorders>
              <w:top w:val="single" w:sz="5" w:space="0" w:color="000000"/>
              <w:left w:val="nil"/>
              <w:bottom w:val="single" w:sz="5" w:space="0" w:color="000000"/>
              <w:right w:val="single" w:sz="5" w:space="0" w:color="000000"/>
            </w:tcBorders>
            <w:shd w:val="clear" w:color="auto" w:fill="5B9BD5"/>
            <w:tcMar>
              <w:top w:w="0" w:type="dxa"/>
              <w:left w:w="100" w:type="dxa"/>
              <w:bottom w:w="0" w:type="dxa"/>
              <w:right w:w="100" w:type="dxa"/>
            </w:tcMar>
          </w:tcPr>
          <w:p w14:paraId="2DD177CB" w14:textId="77777777" w:rsidR="006B162D" w:rsidRDefault="005A502D">
            <w:pPr>
              <w:rPr>
                <w:b/>
                <w:bCs/>
              </w:rPr>
            </w:pPr>
            <w:r>
              <w:rPr>
                <w:b/>
                <w:bCs/>
              </w:rPr>
              <w:t>Suitability</w:t>
            </w:r>
          </w:p>
        </w:tc>
      </w:tr>
      <w:tr w:rsidR="006B162D" w14:paraId="79F6ED9F" w14:textId="77777777" w:rsidTr="007D7378">
        <w:trPr>
          <w:trHeight w:val="735"/>
        </w:trPr>
        <w:tc>
          <w:tcPr>
            <w:tcW w:w="1147" w:type="pct"/>
            <w:tcBorders>
              <w:top w:val="nil"/>
              <w:left w:val="single" w:sz="5" w:space="0" w:color="000000"/>
              <w:bottom w:val="single" w:sz="5" w:space="0" w:color="000000"/>
              <w:right w:val="single" w:sz="5" w:space="0" w:color="000000"/>
            </w:tcBorders>
            <w:shd w:val="clear" w:color="auto" w:fill="5B9BD5"/>
            <w:tcMar>
              <w:top w:w="0" w:type="dxa"/>
              <w:left w:w="100" w:type="dxa"/>
              <w:bottom w:w="0" w:type="dxa"/>
              <w:right w:w="100" w:type="dxa"/>
            </w:tcMar>
          </w:tcPr>
          <w:p w14:paraId="48EFDFC4" w14:textId="77777777" w:rsidR="006B162D" w:rsidRDefault="005A502D">
            <w:pPr>
              <w:rPr>
                <w:b/>
                <w:bCs/>
              </w:rPr>
            </w:pPr>
            <w:r>
              <w:rPr>
                <w:b/>
                <w:bCs/>
              </w:rPr>
              <w:t>Cost Leadership</w:t>
            </w:r>
          </w:p>
        </w:tc>
        <w:tc>
          <w:tcPr>
            <w:tcW w:w="3853" w:type="pct"/>
            <w:tcBorders>
              <w:top w:val="nil"/>
              <w:left w:val="nil"/>
              <w:bottom w:val="single" w:sz="5" w:space="0" w:color="000000"/>
              <w:right w:val="single" w:sz="5" w:space="0" w:color="000000"/>
            </w:tcBorders>
            <w:shd w:val="clear" w:color="auto" w:fill="BDD6EE"/>
            <w:tcMar>
              <w:top w:w="0" w:type="dxa"/>
              <w:left w:w="100" w:type="dxa"/>
              <w:bottom w:w="0" w:type="dxa"/>
              <w:right w:w="100" w:type="dxa"/>
            </w:tcMar>
          </w:tcPr>
          <w:p w14:paraId="35683646" w14:textId="77777777" w:rsidR="006B162D" w:rsidRDefault="005A502D">
            <w:r>
              <w:t>Moderate: sustainability investments increase costs.</w:t>
            </w:r>
          </w:p>
        </w:tc>
      </w:tr>
      <w:tr w:rsidR="006B162D" w14:paraId="3B14F944" w14:textId="77777777" w:rsidTr="007D7378">
        <w:trPr>
          <w:trHeight w:val="735"/>
        </w:trPr>
        <w:tc>
          <w:tcPr>
            <w:tcW w:w="1147" w:type="pct"/>
            <w:tcBorders>
              <w:top w:val="nil"/>
              <w:left w:val="single" w:sz="5" w:space="0" w:color="000000"/>
              <w:bottom w:val="single" w:sz="5" w:space="0" w:color="000000"/>
              <w:right w:val="single" w:sz="5" w:space="0" w:color="000000"/>
            </w:tcBorders>
            <w:shd w:val="clear" w:color="auto" w:fill="5B9BD5"/>
            <w:tcMar>
              <w:top w:w="0" w:type="dxa"/>
              <w:left w:w="100" w:type="dxa"/>
              <w:bottom w:w="0" w:type="dxa"/>
              <w:right w:w="100" w:type="dxa"/>
            </w:tcMar>
          </w:tcPr>
          <w:p w14:paraId="1106F6EF" w14:textId="77777777" w:rsidR="006B162D" w:rsidRDefault="005A502D">
            <w:pPr>
              <w:rPr>
                <w:b/>
                <w:bCs/>
              </w:rPr>
            </w:pPr>
            <w:r>
              <w:rPr>
                <w:b/>
                <w:bCs/>
              </w:rPr>
              <w:t>Differentiation</w:t>
            </w:r>
          </w:p>
        </w:tc>
        <w:tc>
          <w:tcPr>
            <w:tcW w:w="3853" w:type="pct"/>
            <w:tcBorders>
              <w:top w:val="nil"/>
              <w:left w:val="nil"/>
              <w:bottom w:val="single" w:sz="5" w:space="0" w:color="000000"/>
              <w:right w:val="single" w:sz="5" w:space="0" w:color="000000"/>
            </w:tcBorders>
            <w:shd w:val="clear" w:color="auto" w:fill="DEEAF6"/>
            <w:tcMar>
              <w:top w:w="0" w:type="dxa"/>
              <w:left w:w="100" w:type="dxa"/>
              <w:bottom w:w="0" w:type="dxa"/>
              <w:right w:w="100" w:type="dxa"/>
            </w:tcMar>
          </w:tcPr>
          <w:p w14:paraId="533BE033" w14:textId="77777777" w:rsidR="006B162D" w:rsidRDefault="005A502D">
            <w:pPr>
              <w:rPr>
                <w:b/>
                <w:bCs/>
              </w:rPr>
            </w:pPr>
            <w:r>
              <w:rPr>
                <w:b/>
                <w:bCs/>
              </w:rPr>
              <w:t>High, recommended through lower-carbon products and ESG leadership.</w:t>
            </w:r>
          </w:p>
        </w:tc>
      </w:tr>
      <w:tr w:rsidR="006B162D" w14:paraId="1ACD7C3B" w14:textId="77777777" w:rsidTr="007D7378">
        <w:trPr>
          <w:trHeight w:val="375"/>
        </w:trPr>
        <w:tc>
          <w:tcPr>
            <w:tcW w:w="1147" w:type="pct"/>
            <w:tcBorders>
              <w:top w:val="nil"/>
              <w:left w:val="single" w:sz="5" w:space="0" w:color="000000"/>
              <w:bottom w:val="single" w:sz="5" w:space="0" w:color="000000"/>
              <w:right w:val="single" w:sz="5" w:space="0" w:color="000000"/>
            </w:tcBorders>
            <w:shd w:val="clear" w:color="auto" w:fill="5B9BD5"/>
            <w:tcMar>
              <w:top w:w="0" w:type="dxa"/>
              <w:left w:w="100" w:type="dxa"/>
              <w:bottom w:w="0" w:type="dxa"/>
              <w:right w:w="100" w:type="dxa"/>
            </w:tcMar>
          </w:tcPr>
          <w:p w14:paraId="2EAB7F65" w14:textId="77777777" w:rsidR="006B162D" w:rsidRDefault="005A502D">
            <w:pPr>
              <w:rPr>
                <w:b/>
                <w:bCs/>
              </w:rPr>
            </w:pPr>
            <w:r>
              <w:rPr>
                <w:b/>
                <w:bCs/>
              </w:rPr>
              <w:t>Focus</w:t>
            </w:r>
          </w:p>
        </w:tc>
        <w:tc>
          <w:tcPr>
            <w:tcW w:w="3853" w:type="pct"/>
            <w:tcBorders>
              <w:top w:val="nil"/>
              <w:left w:val="nil"/>
              <w:bottom w:val="single" w:sz="5" w:space="0" w:color="000000"/>
              <w:right w:val="single" w:sz="5" w:space="0" w:color="000000"/>
            </w:tcBorders>
            <w:shd w:val="clear" w:color="auto" w:fill="BDD6EE"/>
            <w:tcMar>
              <w:top w:w="0" w:type="dxa"/>
              <w:left w:w="100" w:type="dxa"/>
              <w:bottom w:w="0" w:type="dxa"/>
              <w:right w:w="100" w:type="dxa"/>
            </w:tcMar>
          </w:tcPr>
          <w:p w14:paraId="0443096E" w14:textId="77777777" w:rsidR="006B162D" w:rsidRDefault="005A502D">
            <w:r>
              <w:t>Low limits growth opportunities.</w:t>
            </w:r>
          </w:p>
        </w:tc>
      </w:tr>
    </w:tbl>
    <w:p w14:paraId="5823B0E9" w14:textId="77777777" w:rsidR="006B162D" w:rsidRDefault="005A502D">
      <w:pPr>
        <w:jc w:val="center"/>
        <w:rPr>
          <w:b/>
          <w:bCs/>
        </w:rPr>
      </w:pPr>
      <w:r>
        <w:rPr>
          <w:b/>
          <w:bCs/>
        </w:rPr>
        <w:t>Table 3.2: Porter's Generic Strategy for BHP</w:t>
      </w:r>
    </w:p>
    <w:p w14:paraId="6C46AD70" w14:textId="77777777" w:rsidR="006B162D" w:rsidRDefault="005A502D">
      <w:pPr>
        <w:jc w:val="center"/>
      </w:pPr>
      <w:r>
        <w:t>(Source: Self-Developed)</w:t>
      </w:r>
    </w:p>
    <w:p w14:paraId="6E7896DF" w14:textId="1A37B95B" w:rsidR="006B162D" w:rsidRDefault="005A502D">
      <w:r>
        <w:t xml:space="preserve">Mining has, for a long time, been associated with products that do not have much opportunity for differentiation. It is, however, a fact that sustainability plays an increasingly important role in the purchasing decision. According to the World Steel (2025), steel production accounts for 7-9% of global CO₂ emissions, leading steel manufacturers to source less carbon-intensive raw materials. Investors are increasingly looking at the ESG performance of mining firms aside from their financial results. Instead of competing on the basis of lower prices, BHP should distinguish itself by means of providing independently verified lower-carbon products and responsible sourcing certificates (BHP, 2024). Similarly, pursuing a narrow-focus strategy would limit opportunities to grow clean energy practices. </w:t>
      </w:r>
    </w:p>
    <w:p w14:paraId="2340EC83" w14:textId="77777777" w:rsidR="006B162D" w:rsidRDefault="005A502D">
      <w:pPr>
        <w:pStyle w:val="Heading2"/>
      </w:pPr>
      <w:bookmarkStart w:id="9" w:name="_Toc235469897"/>
      <w:r>
        <w:t>3.4 Strategic Recommendations</w:t>
      </w:r>
      <w:bookmarkEnd w:id="9"/>
    </w:p>
    <w:p w14:paraId="0CBE2F0A" w14:textId="77777777" w:rsidR="006B162D" w:rsidRDefault="005A502D">
      <w:r>
        <w:t>BHP has to employ the following tactics to improve its competitive position amidst the transition towards lower-carbon products.</w:t>
      </w:r>
    </w:p>
    <w:p w14:paraId="771F571D" w14:textId="77777777" w:rsidR="006B162D" w:rsidRDefault="005A502D">
      <w:pPr>
        <w:numPr>
          <w:ilvl w:val="0"/>
          <w:numId w:val="1"/>
        </w:numPr>
      </w:pPr>
      <w:r>
        <w:lastRenderedPageBreak/>
        <w:t>The organisation should speed up the investments in certified lower-carbon iron ore and essential minerals, with independent carbon certification utilised to boost consumer trust.</w:t>
      </w:r>
    </w:p>
    <w:p w14:paraId="085DF47E" w14:textId="77777777" w:rsidR="006B162D" w:rsidRDefault="005A502D">
      <w:pPr>
        <w:numPr>
          <w:ilvl w:val="0"/>
          <w:numId w:val="1"/>
        </w:numPr>
      </w:pPr>
      <w:r>
        <w:t>BHP should expand cooperation with steel producers, renewable energy firms, and battery developers in order to speed up the innovative development and share expenses for the technology development.</w:t>
      </w:r>
    </w:p>
    <w:p w14:paraId="17792A1E" w14:textId="77777777" w:rsidR="006B162D" w:rsidRDefault="005A502D">
      <w:pPr>
        <w:numPr>
          <w:ilvl w:val="0"/>
          <w:numId w:val="1"/>
        </w:numPr>
      </w:pPr>
      <w:r>
        <w:t>BHP needs to invest more in artificial intelligence, blockchain, and digital carbon tracking solutions that allow consumers to verify emissions across the supply chain and support ESG compliance.</w:t>
      </w:r>
    </w:p>
    <w:p w14:paraId="36773236" w14:textId="77777777" w:rsidR="006B162D" w:rsidRDefault="005A502D">
      <w:pPr>
        <w:numPr>
          <w:ilvl w:val="0"/>
          <w:numId w:val="1"/>
        </w:numPr>
      </w:pPr>
      <w:r>
        <w:t xml:space="preserve">BHP should make sure that they keep investing in renewable energy and low-emission mining technologies. Diesel-powered mining machines contribute to about 70% of BHP's total operational greenhouse gas emissions, thus making it necessary to replace diesel machines with battery-electric hauling trucks and renewable electricity to decrease emissions and increase operational efficiency (BHP, 2024). </w:t>
      </w:r>
    </w:p>
    <w:p w14:paraId="15CE10E5" w14:textId="77777777" w:rsidR="006B162D" w:rsidRDefault="006B162D"/>
    <w:p w14:paraId="1D6ADB6A" w14:textId="77777777" w:rsidR="006B162D" w:rsidRDefault="005A502D">
      <w:pPr>
        <w:pStyle w:val="Heading1"/>
      </w:pPr>
      <w:bookmarkStart w:id="10" w:name="_Toc235469898"/>
      <w:r>
        <w:t>4.0 Task 3: Critical Reflection on AI Usage</w:t>
      </w:r>
      <w:bookmarkEnd w:id="10"/>
      <w:r>
        <w:t xml:space="preserve"> </w:t>
      </w:r>
    </w:p>
    <w:p w14:paraId="27702A28" w14:textId="77777777" w:rsidR="006B162D" w:rsidRDefault="005A502D">
      <w:pPr>
        <w:pStyle w:val="Heading2"/>
      </w:pPr>
      <w:bookmarkStart w:id="11" w:name="_Toc235469899"/>
      <w:r>
        <w:t>4.1 AI Tools Used</w:t>
      </w:r>
      <w:bookmarkEnd w:id="11"/>
    </w:p>
    <w:p w14:paraId="150E004C" w14:textId="77777777" w:rsidR="006B162D" w:rsidRDefault="005A502D">
      <w:r>
        <w:t xml:space="preserve">In preparing this report, I used ChatGPT to assist with initial research to identify academic themes, marketing concepts and possible sources of information related to BHP's transition to lower carbon products. I also leveraged AI to distil complex reports and enhance my writing style and grammar. But I did not use AI to write the main text nor the key points. Rather, AI was used as a research assistant, which was more efficient, and I was able to formulate my own analysis using credible academic literature and company reports. </w:t>
      </w:r>
    </w:p>
    <w:p w14:paraId="552E2D30" w14:textId="77777777" w:rsidR="006B162D" w:rsidRDefault="005A502D">
      <w:pPr>
        <w:pStyle w:val="Heading2"/>
      </w:pPr>
      <w:bookmarkStart w:id="12" w:name="_Toc235469900"/>
      <w:r>
        <w:t>4.2 Verification of AI Outputs</w:t>
      </w:r>
      <w:bookmarkEnd w:id="12"/>
    </w:p>
    <w:p w14:paraId="67887283" w14:textId="77777777" w:rsidR="006B162D" w:rsidRDefault="005A502D">
      <w:r>
        <w:t xml:space="preserve">I took note that there is a possibility of errors or outdated information in information created with AI. As a result, I have checked all factual information, statistics and legislation with reliable sources such as BHP's Annual Report and Sustainability Report, government </w:t>
      </w:r>
      <w:r>
        <w:lastRenderedPageBreak/>
        <w:t xml:space="preserve">publications, the International Energy Agency (IEA), and peer-reviewed journal articles. I eliminated or updated any misleading claims or references that were made by AI and added the correct ones based on facts from reliable academic or organisational sources. This verification process has helped ensure that the report is accurate, up-to-date and reliable. </w:t>
      </w:r>
    </w:p>
    <w:p w14:paraId="789DF0E4" w14:textId="77777777" w:rsidR="006B162D" w:rsidRDefault="005A502D">
      <w:pPr>
        <w:pStyle w:val="Heading2"/>
      </w:pPr>
      <w:bookmarkStart w:id="13" w:name="_Toc235469901"/>
      <w:r>
        <w:t>4.3 Personal Contribution</w:t>
      </w:r>
      <w:bookmarkEnd w:id="13"/>
    </w:p>
    <w:p w14:paraId="5E2F4AD8" w14:textId="77777777" w:rsidR="006B162D" w:rsidRDefault="005A502D">
      <w:r>
        <w:t xml:space="preserve">AI has been used to support the research and language, but the report itself is my own work. I chose BHP as the case company, structured the report myself, analysed the Natural Environment and the Political and Legal Environment, was able to interpret the Ansoff Matrix and Porter's Generic Strategies and developed the critical evaluations and recommendations myself. The arguments and comparisons of academic viewpoints, as well as the conclusions, are my own interpretations and analyses of the evidence and not opinions generated by the AI. </w:t>
      </w:r>
    </w:p>
    <w:p w14:paraId="57572F96" w14:textId="77777777" w:rsidR="006B162D" w:rsidRDefault="005A502D">
      <w:pPr>
        <w:pStyle w:val="Heading2"/>
      </w:pPr>
      <w:bookmarkStart w:id="14" w:name="_Toc235469902"/>
      <w:r>
        <w:t>4.4 Ethical Considerations</w:t>
      </w:r>
      <w:bookmarkEnd w:id="14"/>
    </w:p>
    <w:p w14:paraId="46C975A4" w14:textId="77777777" w:rsidR="006B162D" w:rsidRDefault="005A502D">
      <w:r>
        <w:t xml:space="preserve">AI's use in academia demands responsible and ethical decision-making. I made sure that AI was not being used to replicate independent learning and critical thinking but rather as a research, organisation and proofreading tool. I recognised that AI has its flaws and could present false information, biased answers, and made-up references. I have taken the necessary steps to ensure all information I have included is credible and from the required sources, that all sources used have been correctly referenced and that the finished report is the product of my own original analysis and critical evaluation. While responsible AI use can enhance research efficiency, it should not be used to the detriment of academic integrity or independent decision making. </w:t>
      </w:r>
    </w:p>
    <w:p w14:paraId="39B300DA" w14:textId="77777777" w:rsidR="006B162D" w:rsidRDefault="005A502D">
      <w:pPr>
        <w:pStyle w:val="Heading1"/>
      </w:pPr>
      <w:bookmarkStart w:id="15" w:name="_Toc235469903"/>
      <w:r>
        <w:t>5.0 Conclusion</w:t>
      </w:r>
      <w:bookmarkEnd w:id="15"/>
    </w:p>
    <w:p w14:paraId="233470BB" w14:textId="77777777" w:rsidR="006B162D" w:rsidRDefault="005A502D">
      <w:r>
        <w:t xml:space="preserve">In conclusion, environmental pressures and changing political and legal needs are significant drivers of BHP's shift towards lower-carbon products. These external factors present challenges for operations, but they also offer potential for sustainable growth and competitive advantage. BHP's selection of an appropriate growth strategy and good </w:t>
      </w:r>
      <w:r>
        <w:lastRenderedPageBreak/>
        <w:t xml:space="preserve">environmental leadership will position it well to improve its long-term market competitiveness in the global mining industry. </w:t>
      </w:r>
    </w:p>
    <w:p w14:paraId="2DD57EFD" w14:textId="77777777" w:rsidR="006B162D" w:rsidRDefault="005A502D">
      <w:r>
        <w:br w:type="page"/>
      </w:r>
    </w:p>
    <w:p w14:paraId="72758D91" w14:textId="77777777" w:rsidR="006B162D" w:rsidRDefault="005A502D" w:rsidP="00986027">
      <w:pPr>
        <w:pStyle w:val="Heading1"/>
        <w:spacing w:before="240" w:after="240"/>
      </w:pPr>
      <w:bookmarkStart w:id="16" w:name="_Toc235469904"/>
      <w:r>
        <w:lastRenderedPageBreak/>
        <w:t>References</w:t>
      </w:r>
      <w:bookmarkEnd w:id="16"/>
    </w:p>
    <w:p w14:paraId="22C4F5D4" w14:textId="77777777" w:rsidR="005A502D" w:rsidRDefault="005A502D" w:rsidP="00986027">
      <w:pPr>
        <w:spacing w:before="240" w:after="240"/>
      </w:pPr>
      <w:r>
        <w:t xml:space="preserve">Ardiansyah, M. and Alnoor, A. (2024). Integrating Corporate Social Responsibility into Business Strategy: Creating Sustainable Value. </w:t>
      </w:r>
      <w:r>
        <w:rPr>
          <w:i/>
          <w:iCs/>
        </w:rPr>
        <w:t>Involvement International Journal of Business</w:t>
      </w:r>
      <w:r>
        <w:t>, 1(1), pp.28–41. doi:10.62569/iijb.v1i1.5.</w:t>
      </w:r>
    </w:p>
    <w:p w14:paraId="79178D1F" w14:textId="0168D63C" w:rsidR="005A502D" w:rsidRDefault="005A502D" w:rsidP="00986027">
      <w:pPr>
        <w:spacing w:before="240" w:after="240"/>
      </w:pPr>
      <w:r>
        <w:t xml:space="preserve">BHP (2024). Climate change. [online] Bhp.com. Available at: https://www.bhp.com/sustainability/climate-change [Accessed </w:t>
      </w:r>
      <w:r w:rsidR="00986027">
        <w:t>16</w:t>
      </w:r>
      <w:r>
        <w:t xml:space="preserve"> July 2026].</w:t>
      </w:r>
    </w:p>
    <w:p w14:paraId="178DC691" w14:textId="2D108316" w:rsidR="005A502D" w:rsidRDefault="005A502D" w:rsidP="00986027">
      <w:pPr>
        <w:spacing w:before="240" w:after="240"/>
      </w:pPr>
      <w:r>
        <w:t xml:space="preserve">BHP (2024). </w:t>
      </w:r>
      <w:r>
        <w:rPr>
          <w:i/>
          <w:iCs/>
        </w:rPr>
        <w:t>Operational GHG emissions (Scopes 1 and 2 emissions from our operated assets) | BHP</w:t>
      </w:r>
      <w:r>
        <w:t xml:space="preserve">. [online] </w:t>
      </w:r>
      <w:r>
        <w:rPr>
          <w:i/>
          <w:iCs/>
        </w:rPr>
        <w:t>Bhp.com</w:t>
      </w:r>
      <w:r>
        <w:t xml:space="preserve">. Available at: https://www.bhp.com/sustainability/climate-change/operational-ghg-emissions [Accessed </w:t>
      </w:r>
      <w:r w:rsidR="00986027">
        <w:t>19</w:t>
      </w:r>
      <w:r>
        <w:t xml:space="preserve"> July 2026].</w:t>
      </w:r>
    </w:p>
    <w:p w14:paraId="35075629" w14:textId="77777777" w:rsidR="005A502D" w:rsidRDefault="005A502D" w:rsidP="00986027">
      <w:pPr>
        <w:spacing w:before="240" w:after="240"/>
      </w:pPr>
      <w:r>
        <w:t>BHP (2025). Annual report 2025. [online] Bhp.com. Available at: https://www.bhp.com/annualreport [Accessed 20 July 2026].</w:t>
      </w:r>
    </w:p>
    <w:p w14:paraId="7581202F" w14:textId="77777777" w:rsidR="005A502D" w:rsidRDefault="005A502D" w:rsidP="00986027">
      <w:pPr>
        <w:spacing w:before="240" w:after="240"/>
      </w:pPr>
      <w:r>
        <w:t xml:space="preserve">Britt, A.F. and Czarnota, K. (2024). A review of critical mineral resources in Australia. </w:t>
      </w:r>
      <w:r>
        <w:rPr>
          <w:i/>
          <w:iCs/>
        </w:rPr>
        <w:t>Australian Journal of Earth Sciences</w:t>
      </w:r>
      <w:r>
        <w:t>, 71(8), pp.1016–1049. doi:10.1080/08120099.2024.2430279.</w:t>
      </w:r>
    </w:p>
    <w:p w14:paraId="75BC9B3D" w14:textId="77777777" w:rsidR="005A502D" w:rsidRDefault="005A502D" w:rsidP="00986027">
      <w:pPr>
        <w:spacing w:before="240" w:after="240"/>
      </w:pPr>
      <w:r>
        <w:t xml:space="preserve">Clean Energy Regulator (2025). </w:t>
      </w:r>
      <w:r>
        <w:rPr>
          <w:i/>
          <w:iCs/>
        </w:rPr>
        <w:t>Safeguard Mechanism | Clean Energy Regulator</w:t>
      </w:r>
      <w:r>
        <w:t xml:space="preserve">. [online] </w:t>
      </w:r>
      <w:r>
        <w:rPr>
          <w:i/>
          <w:iCs/>
        </w:rPr>
        <w:t>Cer.gov.au</w:t>
      </w:r>
      <w:r>
        <w:t>. Available at: https://cer.gov.au/schemes/safeguard-mechanism [Accessed 20 July 2026].</w:t>
      </w:r>
    </w:p>
    <w:p w14:paraId="5F9C7037" w14:textId="77777777" w:rsidR="005A502D" w:rsidRDefault="005A502D" w:rsidP="00986027">
      <w:pPr>
        <w:spacing w:before="240" w:after="240"/>
      </w:pPr>
      <w:r>
        <w:t xml:space="preserve">Department of Climate Change, Energy, the Environment and Water (2024). </w:t>
      </w:r>
      <w:r>
        <w:rPr>
          <w:i/>
          <w:iCs/>
        </w:rPr>
        <w:t>Australia’s National Hydrogen Strategy - DCCEEW</w:t>
      </w:r>
      <w:r>
        <w:t xml:space="preserve">. [online] </w:t>
      </w:r>
      <w:r>
        <w:rPr>
          <w:i/>
          <w:iCs/>
        </w:rPr>
        <w:t>Dcceew.gov.au</w:t>
      </w:r>
      <w:r>
        <w:t>. Available at: https://www.dcceew.gov.au/energy/publications/australias-national-hydrogen-strategy [Accessed 20 July 2026].</w:t>
      </w:r>
    </w:p>
    <w:p w14:paraId="0F89CDF8" w14:textId="52BAFA94" w:rsidR="005A502D" w:rsidRDefault="005A502D" w:rsidP="00986027">
      <w:pPr>
        <w:spacing w:before="240" w:after="240"/>
      </w:pPr>
      <w:r>
        <w:t xml:space="preserve">European Union (2023). </w:t>
      </w:r>
      <w:r>
        <w:rPr>
          <w:i/>
          <w:iCs/>
        </w:rPr>
        <w:t>Regulation - 2023/956 - EN - cbam regulation - EUR-Lex</w:t>
      </w:r>
      <w:r>
        <w:t xml:space="preserve">. [online] </w:t>
      </w:r>
      <w:r>
        <w:rPr>
          <w:i/>
          <w:iCs/>
        </w:rPr>
        <w:t>Europa.eu</w:t>
      </w:r>
      <w:r>
        <w:t xml:space="preserve">. Available at: https://eur-lex.europa.eu/eli/reg/2023/956/oj/eng [Accessed </w:t>
      </w:r>
      <w:r w:rsidR="00986027">
        <w:t>18</w:t>
      </w:r>
      <w:r>
        <w:t xml:space="preserve"> July 2026].</w:t>
      </w:r>
    </w:p>
    <w:p w14:paraId="34AF4A5B" w14:textId="77777777" w:rsidR="005A502D" w:rsidRDefault="005A502D" w:rsidP="00986027">
      <w:pPr>
        <w:spacing w:before="240" w:after="240"/>
      </w:pPr>
      <w:r>
        <w:t xml:space="preserve">Grubert, E. and Sawyer, F. (2023). US power sector carbon capture and storage under the Inflation Reduction Act could be costly with limited or negative abatement potential. </w:t>
      </w:r>
      <w:r>
        <w:rPr>
          <w:i/>
          <w:iCs/>
        </w:rPr>
        <w:lastRenderedPageBreak/>
        <w:t>Environmental Research: Infrastructure and Sustainability</w:t>
      </w:r>
      <w:r>
        <w:t>. doi:10.1088/2634-4505/acbed9.</w:t>
      </w:r>
    </w:p>
    <w:p w14:paraId="43C465CB" w14:textId="3ED43B97" w:rsidR="005A502D" w:rsidRDefault="005A502D" w:rsidP="00986027">
      <w:pPr>
        <w:spacing w:before="240" w:after="240"/>
      </w:pPr>
      <w:r>
        <w:t xml:space="preserve">IChemE (2020). </w:t>
      </w:r>
      <w:r>
        <w:rPr>
          <w:i/>
          <w:iCs/>
        </w:rPr>
        <w:t>BHP announces US$400m Climate Investment Program</w:t>
      </w:r>
      <w:r>
        <w:t xml:space="preserve">. [online] </w:t>
      </w:r>
      <w:r>
        <w:rPr>
          <w:i/>
          <w:iCs/>
        </w:rPr>
        <w:t>Thechemicalengineer.com</w:t>
      </w:r>
      <w:r>
        <w:t xml:space="preserve">. Available at: https://www.thechemicalengineer.com/news/bhp-announces-us-400m-climate-investment-program/ [Accessed </w:t>
      </w:r>
      <w:r w:rsidR="00986027">
        <w:t>18</w:t>
      </w:r>
      <w:r>
        <w:t xml:space="preserve"> July 2026].</w:t>
      </w:r>
    </w:p>
    <w:p w14:paraId="6081E354" w14:textId="50CFF695" w:rsidR="005A502D" w:rsidRDefault="005A502D" w:rsidP="00986027">
      <w:pPr>
        <w:spacing w:before="240" w:after="240"/>
      </w:pPr>
      <w:r>
        <w:t xml:space="preserve">IEA (2021). </w:t>
      </w:r>
      <w:r>
        <w:rPr>
          <w:i/>
          <w:iCs/>
        </w:rPr>
        <w:t>Net Zero by 2050</w:t>
      </w:r>
      <w:r>
        <w:t xml:space="preserve">. [online] </w:t>
      </w:r>
      <w:r>
        <w:rPr>
          <w:i/>
          <w:iCs/>
        </w:rPr>
        <w:t>International Energy Agency</w:t>
      </w:r>
      <w:r>
        <w:t xml:space="preserve">. Available at: https://www.iea.org/reports/net-zero-by-2050 [Accessed </w:t>
      </w:r>
      <w:r w:rsidR="00986027">
        <w:t>19</w:t>
      </w:r>
      <w:r>
        <w:t xml:space="preserve"> July 2026].</w:t>
      </w:r>
    </w:p>
    <w:p w14:paraId="71FAEB66" w14:textId="77777777" w:rsidR="005A502D" w:rsidRDefault="005A502D" w:rsidP="00986027">
      <w:pPr>
        <w:spacing w:before="240" w:after="240"/>
      </w:pPr>
      <w:r>
        <w:t>IEA (2024). Global critical minerals outlook 2024. [online] Available at: https://iea.blob.core.windows.net/assets/ee01701d-1d5c-4ba8-9df6-abeeac9de99a/GlobalCriticalMineralsOutlook2024.pdf [Accessed 20 July 2026].</w:t>
      </w:r>
    </w:p>
    <w:p w14:paraId="422598BF" w14:textId="77777777" w:rsidR="005A502D" w:rsidRDefault="005A502D" w:rsidP="00986027">
      <w:pPr>
        <w:spacing w:before="240" w:after="240"/>
      </w:pPr>
      <w:r>
        <w:t>IEA (2026). Global EV outlook 2026 – analysis - IEA. [online] IEA. Available at: https://www.iea.org/reports/global-ev-outlook-2026 [Accessed 20 July 2026].</w:t>
      </w:r>
    </w:p>
    <w:p w14:paraId="3761B86B" w14:textId="77777777" w:rsidR="005A502D" w:rsidRDefault="005A502D" w:rsidP="00986027">
      <w:pPr>
        <w:spacing w:before="240" w:after="240"/>
      </w:pPr>
      <w:r>
        <w:t xml:space="preserve">Kotler, P., Keller, K.L. and Chernev, A. (2024) Marketing Management. 17th edn. Harlow: Pearson. </w:t>
      </w:r>
    </w:p>
    <w:p w14:paraId="3AECC354" w14:textId="77777777" w:rsidR="005A502D" w:rsidRDefault="005A502D" w:rsidP="00986027">
      <w:pPr>
        <w:spacing w:before="240" w:after="240"/>
      </w:pPr>
      <w:r>
        <w:t xml:space="preserve">OECD (2023). </w:t>
      </w:r>
      <w:r>
        <w:rPr>
          <w:i/>
          <w:iCs/>
        </w:rPr>
        <w:t>OECD Guidelines for Multinational Enterprises on Responsible Business Conduct</w:t>
      </w:r>
      <w:r>
        <w:t xml:space="preserve">. [online] </w:t>
      </w:r>
      <w:r>
        <w:rPr>
          <w:i/>
          <w:iCs/>
        </w:rPr>
        <w:t>OECD</w:t>
      </w:r>
      <w:r>
        <w:t>. Available at: https://www.oecd.org/en/publications/2023/06/oecd-guidelines-for-multinational-enterprises-on-responsible-business-conduct_a0b49990.html [Accessed 20 July 2026].</w:t>
      </w:r>
    </w:p>
    <w:p w14:paraId="280E3AEB" w14:textId="77777777" w:rsidR="005A502D" w:rsidRDefault="005A502D" w:rsidP="00986027">
      <w:pPr>
        <w:spacing w:before="240" w:after="240"/>
      </w:pPr>
      <w:r>
        <w:t xml:space="preserve">Onat, N.C., Jafar Mandouri, Murat Kucukvar, Kutty, A.A. and Al‐Muftah, A.A. (2025). Driving Sustainable Business Practices With Carbon Accounting and Reporting: A Holistic Framework and Empirical Analysis. </w:t>
      </w:r>
      <w:r>
        <w:rPr>
          <w:i/>
          <w:iCs/>
        </w:rPr>
        <w:t>Corporate Social Responsibility and Environmental Management</w:t>
      </w:r>
      <w:r>
        <w:t>. doi:10.1002/csr.3096.</w:t>
      </w:r>
    </w:p>
    <w:p w14:paraId="44F71533" w14:textId="77777777" w:rsidR="005A502D" w:rsidRDefault="005A502D" w:rsidP="00986027">
      <w:pPr>
        <w:spacing w:before="240" w:after="240"/>
      </w:pPr>
      <w:r>
        <w:t>Peele, J. (2023). Legal opinion -gaps in the Environment Protection and Biodiversity Conservation Act and other federal laws for protection of the climate Report for the Climate Council. [online] Available at: https://www.climatecouncil.org.au/wp-</w:t>
      </w:r>
      <w:r>
        <w:lastRenderedPageBreak/>
        <w:t>content/uploads/2023/10/Peel-Opinion-Climate-and-the-EPBC-Act-October-2023-3.pdf [Accessed 20 July 2026].</w:t>
      </w:r>
    </w:p>
    <w:p w14:paraId="55F51879" w14:textId="77777777" w:rsidR="005A502D" w:rsidRDefault="005A502D" w:rsidP="00986027">
      <w:pPr>
        <w:spacing w:before="240" w:after="240"/>
      </w:pPr>
      <w:r>
        <w:t xml:space="preserve">Sun, J. (2025). The CSR practices of Western Australian mining based on innovation ecosystems: Pathways to collaborative innovation and sustainable development. </w:t>
      </w:r>
      <w:r>
        <w:rPr>
          <w:i/>
          <w:iCs/>
        </w:rPr>
        <w:t>International Journal of Innovative Research and Scientific Studies</w:t>
      </w:r>
      <w:r>
        <w:t>, 8(2), pp.4189–4196. doi:10.53894/ijirss.v8i2.6263.</w:t>
      </w:r>
    </w:p>
    <w:p w14:paraId="36B8B6B8" w14:textId="77777777" w:rsidR="005A502D" w:rsidRDefault="005A502D" w:rsidP="00986027">
      <w:pPr>
        <w:spacing w:before="240" w:after="240"/>
      </w:pPr>
      <w:r>
        <w:t>World Steel (2025). Sustainability indicators 2024 report. [online] worldsteel.org. Available at: https://worldsteel.org/media/press-releases/2024/sustainability-indicators-2024/ [Accessed 20 July 2026].</w:t>
      </w:r>
    </w:p>
    <w:p w14:paraId="674685BC" w14:textId="77777777" w:rsidR="006B162D" w:rsidRDefault="006B162D"/>
    <w:sectPr w:rsidR="006B162D" w:rsidSect="0098602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1C16F" w14:textId="77777777" w:rsidR="000C1E79" w:rsidRDefault="000C1E79" w:rsidP="00986027">
      <w:pPr>
        <w:spacing w:line="240" w:lineRule="auto"/>
      </w:pPr>
      <w:r>
        <w:separator/>
      </w:r>
    </w:p>
  </w:endnote>
  <w:endnote w:type="continuationSeparator" w:id="0">
    <w:p w14:paraId="7B35A67D" w14:textId="77777777" w:rsidR="000C1E79" w:rsidRDefault="000C1E79" w:rsidP="009860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FB8C512-D27E-4820-A068-A64E8244F8FB}"/>
  </w:font>
  <w:font w:name="Shruti">
    <w:panose1 w:val="02000500000000000000"/>
    <w:charset w:val="00"/>
    <w:family w:val="swiss"/>
    <w:pitch w:val="variable"/>
    <w:sig w:usb0="00040003" w:usb1="00000000" w:usb2="00000000" w:usb3="00000000" w:csb0="00000001" w:csb1="00000000"/>
    <w:embedRegular r:id="rId2" w:fontKey="{78AEFD40-F779-4C4F-8193-8F2826897ECD}"/>
  </w:font>
  <w:font w:name="Calibri">
    <w:panose1 w:val="020F0502020204030204"/>
    <w:charset w:val="00"/>
    <w:family w:val="swiss"/>
    <w:pitch w:val="variable"/>
    <w:sig w:usb0="E4002EFF" w:usb1="C200247B" w:usb2="00000009" w:usb3="00000000" w:csb0="000001FF" w:csb1="00000000"/>
    <w:embedRegular r:id="rId3" w:fontKey="{B1AC27CA-5473-4F7B-A224-D1E248693F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851576"/>
      <w:docPartObj>
        <w:docPartGallery w:val="Page Numbers (Bottom of Page)"/>
        <w:docPartUnique/>
      </w:docPartObj>
    </w:sdtPr>
    <w:sdtEndPr>
      <w:rPr>
        <w:sz w:val="20"/>
        <w:szCs w:val="20"/>
      </w:rPr>
    </w:sdtEndPr>
    <w:sdtContent>
      <w:p w14:paraId="2DD84016" w14:textId="0FBAA8D6" w:rsidR="00986027" w:rsidRPr="00986027" w:rsidRDefault="00986027">
        <w:pPr>
          <w:pStyle w:val="Footer"/>
          <w:jc w:val="right"/>
          <w:rPr>
            <w:sz w:val="20"/>
            <w:szCs w:val="20"/>
          </w:rPr>
        </w:pPr>
        <w:r w:rsidRPr="00986027">
          <w:rPr>
            <w:sz w:val="20"/>
            <w:szCs w:val="20"/>
          </w:rPr>
          <w:fldChar w:fldCharType="begin"/>
        </w:r>
        <w:r w:rsidRPr="00986027">
          <w:rPr>
            <w:sz w:val="20"/>
            <w:szCs w:val="20"/>
          </w:rPr>
          <w:instrText>PAGE   \* MERGEFORMAT</w:instrText>
        </w:r>
        <w:r w:rsidRPr="00986027">
          <w:rPr>
            <w:sz w:val="20"/>
            <w:szCs w:val="20"/>
          </w:rPr>
          <w:fldChar w:fldCharType="separate"/>
        </w:r>
        <w:r w:rsidRPr="00986027">
          <w:rPr>
            <w:sz w:val="20"/>
            <w:szCs w:val="20"/>
            <w:lang w:val="en-GB"/>
          </w:rPr>
          <w:t>2</w:t>
        </w:r>
        <w:r w:rsidRPr="00986027">
          <w:rPr>
            <w:sz w:val="20"/>
            <w:szCs w:val="20"/>
          </w:rPr>
          <w:fldChar w:fldCharType="end"/>
        </w:r>
      </w:p>
    </w:sdtContent>
  </w:sdt>
  <w:p w14:paraId="42E0B5A5" w14:textId="77777777" w:rsidR="00986027" w:rsidRDefault="00986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19D1B" w14:textId="77777777" w:rsidR="000C1E79" w:rsidRDefault="000C1E79" w:rsidP="00986027">
      <w:pPr>
        <w:spacing w:line="240" w:lineRule="auto"/>
      </w:pPr>
      <w:r>
        <w:separator/>
      </w:r>
    </w:p>
  </w:footnote>
  <w:footnote w:type="continuationSeparator" w:id="0">
    <w:p w14:paraId="42B975BE" w14:textId="77777777" w:rsidR="000C1E79" w:rsidRDefault="000C1E79" w:rsidP="009860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C5F36"/>
    <w:multiLevelType w:val="multilevel"/>
    <w:tmpl w:val="EA903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34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62D"/>
    <w:rsid w:val="00083E5B"/>
    <w:rsid w:val="000C1E79"/>
    <w:rsid w:val="001C52A9"/>
    <w:rsid w:val="00247BC5"/>
    <w:rsid w:val="0039585B"/>
    <w:rsid w:val="00454947"/>
    <w:rsid w:val="00557B9D"/>
    <w:rsid w:val="005A502D"/>
    <w:rsid w:val="005E6CAC"/>
    <w:rsid w:val="00643DA9"/>
    <w:rsid w:val="006B162D"/>
    <w:rsid w:val="007D7378"/>
    <w:rsid w:val="00986027"/>
    <w:rsid w:val="00A34225"/>
    <w:rsid w:val="00A41E90"/>
    <w:rsid w:val="00A85975"/>
    <w:rsid w:val="00B135E6"/>
    <w:rsid w:val="00CE4810"/>
    <w:rsid w:val="00D0368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06A5E"/>
  <w15:docId w15:val="{21CBBD66-CE79-4A10-8F30-3CEC2807A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135E6"/>
    <w:pPr>
      <w:keepNext/>
      <w:keepLines/>
      <w:spacing w:before="120" w:after="120"/>
      <w:outlineLvl w:val="0"/>
    </w:pPr>
    <w:rPr>
      <w:b/>
      <w:bCs/>
      <w:sz w:val="28"/>
      <w:szCs w:val="28"/>
    </w:rPr>
  </w:style>
  <w:style w:type="paragraph" w:styleId="Heading2">
    <w:name w:val="heading 2"/>
    <w:basedOn w:val="Normal"/>
    <w:next w:val="Normal"/>
    <w:rsid w:val="00B135E6"/>
    <w:pPr>
      <w:keepNext/>
      <w:keepLines/>
      <w:spacing w:before="12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1">
    <w:name w:val="toc 1"/>
    <w:basedOn w:val="Normal"/>
    <w:next w:val="Normal"/>
    <w:autoRedefine/>
    <w:uiPriority w:val="39"/>
    <w:unhideWhenUsed/>
    <w:rsid w:val="005A502D"/>
    <w:pPr>
      <w:spacing w:after="100"/>
    </w:pPr>
  </w:style>
  <w:style w:type="paragraph" w:styleId="TOC2">
    <w:name w:val="toc 2"/>
    <w:basedOn w:val="Normal"/>
    <w:next w:val="Normal"/>
    <w:autoRedefine/>
    <w:uiPriority w:val="39"/>
    <w:unhideWhenUsed/>
    <w:rsid w:val="005A502D"/>
    <w:pPr>
      <w:spacing w:after="100"/>
      <w:ind w:left="240"/>
    </w:pPr>
  </w:style>
  <w:style w:type="character" w:styleId="Hyperlink">
    <w:name w:val="Hyperlink"/>
    <w:basedOn w:val="DefaultParagraphFont"/>
    <w:uiPriority w:val="99"/>
    <w:unhideWhenUsed/>
    <w:rsid w:val="005A502D"/>
    <w:rPr>
      <w:color w:val="0000FF" w:themeColor="hyperlink"/>
      <w:u w:val="single"/>
    </w:rPr>
  </w:style>
  <w:style w:type="paragraph" w:styleId="Header">
    <w:name w:val="header"/>
    <w:basedOn w:val="Normal"/>
    <w:link w:val="HeaderChar"/>
    <w:uiPriority w:val="99"/>
    <w:unhideWhenUsed/>
    <w:rsid w:val="00986027"/>
    <w:pPr>
      <w:tabs>
        <w:tab w:val="center" w:pos="4513"/>
        <w:tab w:val="right" w:pos="9026"/>
      </w:tabs>
      <w:spacing w:line="240" w:lineRule="auto"/>
    </w:pPr>
  </w:style>
  <w:style w:type="character" w:customStyle="1" w:styleId="HeaderChar">
    <w:name w:val="Header Char"/>
    <w:basedOn w:val="DefaultParagraphFont"/>
    <w:link w:val="Header"/>
    <w:uiPriority w:val="99"/>
    <w:rsid w:val="00986027"/>
  </w:style>
  <w:style w:type="paragraph" w:styleId="Footer">
    <w:name w:val="footer"/>
    <w:basedOn w:val="Normal"/>
    <w:link w:val="FooterChar"/>
    <w:uiPriority w:val="99"/>
    <w:unhideWhenUsed/>
    <w:rsid w:val="00986027"/>
    <w:pPr>
      <w:tabs>
        <w:tab w:val="center" w:pos="4513"/>
        <w:tab w:val="right" w:pos="9026"/>
      </w:tabs>
      <w:spacing w:line="240" w:lineRule="auto"/>
    </w:pPr>
  </w:style>
  <w:style w:type="character" w:customStyle="1" w:styleId="FooterChar">
    <w:name w:val="Footer Char"/>
    <w:basedOn w:val="DefaultParagraphFont"/>
    <w:link w:val="Footer"/>
    <w:uiPriority w:val="99"/>
    <w:rsid w:val="00986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15</Pages>
  <Words>3439</Words>
  <Characters>21633</Characters>
  <Application>Microsoft Office Word</Application>
  <DocSecurity>0</DocSecurity>
  <Lines>416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Adarsh</dc:creator>
  <cp:lastModifiedBy>Gnanu Bhatt</cp:lastModifiedBy>
  <cp:revision>13</cp:revision>
  <dcterms:created xsi:type="dcterms:W3CDTF">2026-07-20T13:53:00Z</dcterms:created>
  <dcterms:modified xsi:type="dcterms:W3CDTF">2026-07-22T08:36:00Z</dcterms:modified>
</cp:coreProperties>
</file>