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FFFFFF"/>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pPr>
      <w:r w:rsidDel="00000000" w:rsidR="00000000" w:rsidRPr="00000000">
        <w:pict>
          <v:shapetype id="_x0000_t75" coordsize="21600,21600" filled="f" stroked="f" o:spt="75.0"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connecttype="rect" o:extrusionok="f" gradientshapeok="t"/>
            <o:lock v:ext="edit" aspectratio="t"/>
          </v:shapetype>
          <v:shapetype id="_x0000_t75" coordsize="21600,21600" filled="f" stroked="f" o:spt="75.0"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connecttype="rect" o:extrusionok="f" gradientshapeok="t"/>
            <o:lock v:ext="edit" aspectratio="t"/>
          </v:shapetype>
          <v:shapetype id="_x0000_t75" coordsize="21600,21600" filled="f" stroked="f" o:spt="75.0"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connecttype="rect" o:extrusionok="f" gradientshapeok="t"/>
            <o:lock v:ext="edit" aspectratio="t"/>
          </v:shapetype>
        </w:pict>
      </w:r>
    </w:p>
    <w:p w:rsidR="00000000" w:rsidDel="00000000" w:rsidP="00000000" w:rsidRDefault="00000000" w:rsidRPr="00000000" w14:paraId="00000002">
      <w:pPr>
        <w:jc w:val="center"/>
        <w:rPr>
          <w:rFonts w:ascii="Arial" w:cs="Arial" w:eastAsia="Arial" w:hAnsi="Arial"/>
          <w:b w:val="1"/>
        </w:rPr>
      </w:pPr>
      <w:r w:rsidDel="00000000" w:rsidR="00000000" w:rsidRPr="00000000">
        <w:rPr>
          <w:rFonts w:ascii="Arial" w:cs="Arial" w:eastAsia="Arial" w:hAnsi="Arial"/>
          <w:b w:val="1"/>
        </w:rPr>
        <w:drawing>
          <wp:inline distB="114300" distT="114300" distL="114300" distR="114300">
            <wp:extent cx="3416138" cy="1364694"/>
            <wp:effectExtent b="0" l="0" r="0" t="0"/>
            <wp:docPr id="2068296183" name="image12.jpg"/>
            <a:graphic>
              <a:graphicData uri="http://schemas.openxmlformats.org/drawingml/2006/picture">
                <pic:pic>
                  <pic:nvPicPr>
                    <pic:cNvPr id="0" name="image12.jpg"/>
                    <pic:cNvPicPr preferRelativeResize="0"/>
                  </pic:nvPicPr>
                  <pic:blipFill>
                    <a:blip r:embed="rId7"/>
                    <a:srcRect b="0" l="0" r="0" t="0"/>
                    <a:stretch>
                      <a:fillRect/>
                    </a:stretch>
                  </pic:blipFill>
                  <pic:spPr>
                    <a:xfrm>
                      <a:off x="0" y="0"/>
                      <a:ext cx="3416138" cy="1364694"/>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4">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5">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6">
      <w:pPr>
        <w:jc w:val="center"/>
        <w:rPr>
          <w:rFonts w:ascii="Arial" w:cs="Arial" w:eastAsia="Arial" w:hAnsi="Arial"/>
          <w:b w:val="1"/>
        </w:rPr>
      </w:pPr>
      <w:r w:rsidDel="00000000" w:rsidR="00000000" w:rsidRPr="00000000">
        <w:rPr>
          <w:rFonts w:ascii="Arial" w:cs="Arial" w:eastAsia="Arial" w:hAnsi="Arial"/>
          <w:b w:val="1"/>
          <w:rtl w:val="0"/>
        </w:rPr>
        <w:t xml:space="preserve">UNIVERSITY OF WALES TRINITY SAINT DAVID</w:t>
      </w:r>
    </w:p>
    <w:p w:rsidR="00000000" w:rsidDel="00000000" w:rsidP="00000000" w:rsidRDefault="00000000" w:rsidRPr="00000000" w14:paraId="00000007">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8">
      <w:pPr>
        <w:jc w:val="center"/>
        <w:rPr>
          <w:rFonts w:ascii="Arial" w:cs="Arial" w:eastAsia="Arial" w:hAnsi="Arial"/>
          <w:b w:val="1"/>
        </w:rPr>
      </w:pPr>
      <w:r w:rsidDel="00000000" w:rsidR="00000000" w:rsidRPr="00000000">
        <w:rPr>
          <w:rFonts w:ascii="Arial" w:cs="Arial" w:eastAsia="Arial" w:hAnsi="Arial"/>
          <w:b w:val="1"/>
          <w:rtl w:val="0"/>
        </w:rPr>
        <w:t xml:space="preserve">MBA INTERNATIONAL BUSINESS </w:t>
      </w:r>
    </w:p>
    <w:p w:rsidR="00000000" w:rsidDel="00000000" w:rsidP="00000000" w:rsidRDefault="00000000" w:rsidRPr="00000000" w14:paraId="00000009">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A">
      <w:pPr>
        <w:jc w:val="center"/>
        <w:rPr>
          <w:rFonts w:ascii="Arial" w:cs="Arial" w:eastAsia="Arial" w:hAnsi="Arial"/>
          <w:b w:val="1"/>
        </w:rPr>
      </w:pPr>
      <w:r w:rsidDel="00000000" w:rsidR="00000000" w:rsidRPr="00000000">
        <w:rPr>
          <w:rFonts w:ascii="Arial" w:cs="Arial" w:eastAsia="Arial" w:hAnsi="Arial"/>
          <w:b w:val="1"/>
          <w:rtl w:val="0"/>
        </w:rPr>
        <w:t xml:space="preserve">MARKETING MANAGEMENT (LCMB7024)</w:t>
      </w:r>
    </w:p>
    <w:p w:rsidR="00000000" w:rsidDel="00000000" w:rsidP="00000000" w:rsidRDefault="00000000" w:rsidRPr="00000000" w14:paraId="0000000B">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C">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D">
      <w:pPr>
        <w:jc w:val="center"/>
        <w:rPr>
          <w:rFonts w:ascii="Arial" w:cs="Arial" w:eastAsia="Arial" w:hAnsi="Arial"/>
          <w:b w:val="1"/>
        </w:rPr>
      </w:pPr>
      <w:r w:rsidDel="00000000" w:rsidR="00000000" w:rsidRPr="00000000">
        <w:rPr>
          <w:rFonts w:ascii="Arial" w:cs="Arial" w:eastAsia="Arial" w:hAnsi="Arial"/>
          <w:b w:val="1"/>
          <w:rtl w:val="0"/>
        </w:rPr>
        <w:t xml:space="preserve">ASSESSMENT 2: PORTFOLIO: BRAND EXTENSION </w:t>
      </w:r>
    </w:p>
    <w:p w:rsidR="00000000" w:rsidDel="00000000" w:rsidP="00000000" w:rsidRDefault="00000000" w:rsidRPr="00000000" w14:paraId="0000000E">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F">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10">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11">
      <w:pPr>
        <w:rPr>
          <w:rFonts w:ascii="Arial" w:cs="Arial" w:eastAsia="Arial" w:hAnsi="Arial"/>
          <w:b w:val="1"/>
        </w:rPr>
      </w:pPr>
      <w:r w:rsidDel="00000000" w:rsidR="00000000" w:rsidRPr="00000000">
        <w:rPr>
          <w:rtl w:val="0"/>
        </w:rPr>
      </w:r>
    </w:p>
    <w:p w:rsidR="00000000" w:rsidDel="00000000" w:rsidP="00000000" w:rsidRDefault="00000000" w:rsidRPr="00000000" w14:paraId="00000012">
      <w:pPr>
        <w:rPr>
          <w:rFonts w:ascii="Arial" w:cs="Arial" w:eastAsia="Arial" w:hAnsi="Arial"/>
          <w:b w:val="1"/>
        </w:rPr>
      </w:pPr>
      <w:r w:rsidDel="00000000" w:rsidR="00000000" w:rsidRPr="00000000">
        <w:rPr>
          <w:rtl w:val="0"/>
        </w:rPr>
      </w:r>
    </w:p>
    <w:p w:rsidR="00000000" w:rsidDel="00000000" w:rsidP="00000000" w:rsidRDefault="00000000" w:rsidRPr="00000000" w14:paraId="00000013">
      <w:pPr>
        <w:rPr>
          <w:rFonts w:ascii="Arial" w:cs="Arial" w:eastAsia="Arial" w:hAnsi="Arial"/>
          <w:b w:val="1"/>
        </w:rPr>
      </w:pPr>
      <w:r w:rsidDel="00000000" w:rsidR="00000000" w:rsidRPr="00000000">
        <w:rPr>
          <w:rtl w:val="0"/>
        </w:rPr>
      </w:r>
    </w:p>
    <w:p w:rsidR="00000000" w:rsidDel="00000000" w:rsidP="00000000" w:rsidRDefault="00000000" w:rsidRPr="00000000" w14:paraId="00000014">
      <w:pPr>
        <w:rPr>
          <w:rFonts w:ascii="Arial" w:cs="Arial" w:eastAsia="Arial" w:hAnsi="Arial"/>
          <w:b w:val="1"/>
        </w:rPr>
      </w:pPr>
      <w:r w:rsidDel="00000000" w:rsidR="00000000" w:rsidRPr="00000000">
        <w:rPr>
          <w:rFonts w:ascii="Arial" w:cs="Arial" w:eastAsia="Arial" w:hAnsi="Arial"/>
          <w:b w:val="1"/>
          <w:rtl w:val="0"/>
        </w:rPr>
        <w:t xml:space="preserve">NAME AND ID OF STUDENT </w:t>
        <w:tab/>
        <w:tab/>
        <w:tab/>
        <w:tab/>
        <w:tab/>
        <w:tab/>
        <w:t xml:space="preserve">NAME OF LECTURER</w:t>
      </w:r>
    </w:p>
    <w:p w:rsidR="00000000" w:rsidDel="00000000" w:rsidP="00000000" w:rsidRDefault="00000000" w:rsidRPr="00000000" w14:paraId="00000015">
      <w:pPr>
        <w:rPr>
          <w:rFonts w:ascii="Arial" w:cs="Arial" w:eastAsia="Arial" w:hAnsi="Arial"/>
          <w:b w:val="1"/>
        </w:rPr>
      </w:pPr>
      <w:r w:rsidDel="00000000" w:rsidR="00000000" w:rsidRPr="00000000">
        <w:rPr>
          <w:rtl w:val="0"/>
        </w:rPr>
      </w:r>
    </w:p>
    <w:p w:rsidR="00000000" w:rsidDel="00000000" w:rsidP="00000000" w:rsidRDefault="00000000" w:rsidRPr="00000000" w14:paraId="00000016">
      <w:pPr>
        <w:rPr>
          <w:rFonts w:ascii="Arial" w:cs="Arial" w:eastAsia="Arial" w:hAnsi="Arial"/>
          <w:b w:val="1"/>
        </w:rPr>
      </w:pPr>
      <w:r w:rsidDel="00000000" w:rsidR="00000000" w:rsidRPr="00000000">
        <w:rPr>
          <w:rFonts w:ascii="Arial" w:cs="Arial" w:eastAsia="Arial" w:hAnsi="Arial"/>
          <w:b w:val="1"/>
          <w:rtl w:val="0"/>
        </w:rPr>
        <w:t xml:space="preserve">SISODIYA VIJAY RAJESHBHAI</w:t>
        <w:tab/>
        <w:tab/>
        <w:tab/>
        <w:tab/>
        <w:tab/>
        <w:t xml:space="preserve">DR. LAILA MAAZOUZ</w:t>
      </w:r>
    </w:p>
    <w:p w:rsidR="00000000" w:rsidDel="00000000" w:rsidP="00000000" w:rsidRDefault="00000000" w:rsidRPr="00000000" w14:paraId="00000017">
      <w:pPr>
        <w:rPr>
          <w:rFonts w:ascii="Arial" w:cs="Arial" w:eastAsia="Arial" w:hAnsi="Arial"/>
          <w:b w:val="1"/>
        </w:rPr>
      </w:pPr>
      <w:r w:rsidDel="00000000" w:rsidR="00000000" w:rsidRPr="00000000">
        <w:rPr>
          <w:rFonts w:ascii="Arial" w:cs="Arial" w:eastAsia="Arial" w:hAnsi="Arial"/>
          <w:b w:val="1"/>
          <w:rtl w:val="0"/>
        </w:rPr>
        <w:t xml:space="preserve">(2423615)</w:t>
      </w:r>
    </w:p>
    <w:p w:rsidR="00000000" w:rsidDel="00000000" w:rsidP="00000000" w:rsidRDefault="00000000" w:rsidRPr="00000000" w14:paraId="00000018">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19">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1A">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1B">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1C">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1D">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1E">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1F">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20">
      <w:pPr>
        <w:jc w:val="center"/>
        <w:rPr>
          <w:rFonts w:ascii="Arial" w:cs="Arial" w:eastAsia="Arial" w:hAnsi="Arial"/>
          <w:b w:val="1"/>
        </w:rPr>
      </w:pPr>
      <w:r w:rsidDel="00000000" w:rsidR="00000000" w:rsidRPr="00000000">
        <w:rPr>
          <w:rFonts w:ascii="Arial" w:cs="Arial" w:eastAsia="Arial" w:hAnsi="Arial"/>
          <w:b w:val="1"/>
          <w:rtl w:val="0"/>
        </w:rPr>
        <w:t xml:space="preserve">SUBMISSION DATE: 27/04/2025</w:t>
      </w:r>
    </w:p>
    <w:p w:rsidR="00000000" w:rsidDel="00000000" w:rsidP="00000000" w:rsidRDefault="00000000" w:rsidRPr="00000000" w14:paraId="00000021">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22">
      <w:pPr>
        <w:jc w:val="center"/>
        <w:rPr>
          <w:rFonts w:ascii="Arial" w:cs="Arial" w:eastAsia="Arial" w:hAnsi="Arial"/>
          <w:b w:val="1"/>
        </w:rPr>
      </w:pPr>
      <w:r w:rsidDel="00000000" w:rsidR="00000000" w:rsidRPr="00000000">
        <w:rPr>
          <w:rFonts w:ascii="Arial" w:cs="Arial" w:eastAsia="Arial" w:hAnsi="Arial"/>
          <w:b w:val="1"/>
          <w:rtl w:val="0"/>
        </w:rPr>
        <w:t xml:space="preserve">WORD COUNT: 2746</w:t>
      </w:r>
    </w:p>
    <w:p w:rsidR="00000000" w:rsidDel="00000000" w:rsidP="00000000" w:rsidRDefault="00000000" w:rsidRPr="00000000" w14:paraId="00000023">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24">
      <w:pPr>
        <w:rPr>
          <w:rFonts w:ascii="Arial" w:cs="Arial" w:eastAsia="Arial" w:hAnsi="Arial"/>
          <w:b w:val="1"/>
        </w:rPr>
      </w:pPr>
      <w:r w:rsidDel="00000000" w:rsidR="00000000" w:rsidRPr="00000000">
        <w:rPr>
          <w:rtl w:val="0"/>
        </w:rPr>
      </w:r>
    </w:p>
    <w:p w:rsidR="00000000" w:rsidDel="00000000" w:rsidP="00000000" w:rsidRDefault="00000000" w:rsidRPr="00000000" w14:paraId="00000025">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26">
      <w:pPr>
        <w:jc w:val="center"/>
        <w:rPr/>
      </w:pPr>
      <w:r w:rsidDel="00000000" w:rsidR="00000000" w:rsidRPr="00000000">
        <w:rPr>
          <w:rtl w:val="0"/>
        </w:rPr>
      </w:r>
    </w:p>
    <w:p w:rsidR="00000000" w:rsidDel="00000000" w:rsidP="00000000" w:rsidRDefault="00000000" w:rsidRPr="00000000" w14:paraId="00000027">
      <w:pPr>
        <w:jc w:val="center"/>
        <w:rPr/>
      </w:pPr>
      <w:r w:rsidDel="00000000" w:rsidR="00000000" w:rsidRPr="00000000">
        <w:rPr>
          <w:rtl w:val="0"/>
        </w:rPr>
      </w:r>
    </w:p>
    <w:p w:rsidR="00000000" w:rsidDel="00000000" w:rsidP="00000000" w:rsidRDefault="00000000" w:rsidRPr="00000000" w14:paraId="00000028">
      <w:pPr>
        <w:jc w:val="center"/>
        <w:rPr/>
      </w:pPr>
      <w:r w:rsidDel="00000000" w:rsidR="00000000" w:rsidRPr="00000000">
        <w:rPr>
          <w:rtl w:val="0"/>
        </w:rPr>
      </w:r>
    </w:p>
    <w:p w:rsidR="00000000" w:rsidDel="00000000" w:rsidP="00000000" w:rsidRDefault="00000000" w:rsidRPr="00000000" w14:paraId="00000029">
      <w:pPr>
        <w:jc w:val="center"/>
        <w:rPr/>
      </w:pPr>
      <w:r w:rsidDel="00000000" w:rsidR="00000000" w:rsidRPr="00000000">
        <w:rPr>
          <w:rtl w:val="0"/>
        </w:rPr>
      </w:r>
    </w:p>
    <w:p w:rsidR="00000000" w:rsidDel="00000000" w:rsidP="00000000" w:rsidRDefault="00000000" w:rsidRPr="00000000" w14:paraId="0000002A">
      <w:pPr>
        <w:jc w:val="center"/>
        <w:rPr/>
      </w:pPr>
      <w:r w:rsidDel="00000000" w:rsidR="00000000" w:rsidRPr="00000000">
        <w:rPr>
          <w:rtl w:val="0"/>
        </w:rPr>
      </w:r>
    </w:p>
    <w:p w:rsidR="00000000" w:rsidDel="00000000" w:rsidP="00000000" w:rsidRDefault="00000000" w:rsidRPr="00000000" w14:paraId="0000002B">
      <w:pPr>
        <w:jc w:val="center"/>
        <w:rPr/>
      </w:pPr>
      <w:r w:rsidDel="00000000" w:rsidR="00000000" w:rsidRPr="00000000">
        <w:rPr>
          <w:rtl w:val="0"/>
        </w:rPr>
      </w:r>
    </w:p>
    <w:p w:rsidR="00000000" w:rsidDel="00000000" w:rsidP="00000000" w:rsidRDefault="00000000" w:rsidRPr="00000000" w14:paraId="0000002C">
      <w:pPr>
        <w:jc w:val="center"/>
        <w:rPr/>
      </w:pPr>
      <w:r w:rsidDel="00000000" w:rsidR="00000000" w:rsidRPr="00000000">
        <w:rPr>
          <w:rtl w:val="0"/>
        </w:rPr>
      </w:r>
    </w:p>
    <w:p w:rsidR="00000000" w:rsidDel="00000000" w:rsidP="00000000" w:rsidRDefault="00000000" w:rsidRPr="00000000" w14:paraId="0000002D">
      <w:pPr>
        <w:jc w:val="center"/>
        <w:rPr/>
      </w:pPr>
      <w:r w:rsidDel="00000000" w:rsidR="00000000" w:rsidRPr="00000000">
        <w:rPr>
          <w:rtl w:val="0"/>
        </w:rPr>
      </w:r>
    </w:p>
    <w:p w:rsidR="00000000" w:rsidDel="00000000" w:rsidP="00000000" w:rsidRDefault="00000000" w:rsidRPr="00000000" w14:paraId="0000002E">
      <w:pPr>
        <w:jc w:val="center"/>
        <w:rPr/>
      </w:pPr>
      <w:r w:rsidDel="00000000" w:rsidR="00000000" w:rsidRPr="00000000">
        <w:rPr>
          <w:rtl w:val="0"/>
        </w:rPr>
      </w:r>
    </w:p>
    <w:p w:rsidR="00000000" w:rsidDel="00000000" w:rsidP="00000000" w:rsidRDefault="00000000" w:rsidRPr="00000000" w14:paraId="0000002F">
      <w:pPr>
        <w:jc w:val="center"/>
        <w:rPr/>
      </w:pPr>
      <w:r w:rsidDel="00000000" w:rsidR="00000000" w:rsidRPr="00000000">
        <w:rPr>
          <w:rtl w:val="0"/>
        </w:rPr>
      </w:r>
    </w:p>
    <w:p w:rsidR="00000000" w:rsidDel="00000000" w:rsidP="00000000" w:rsidRDefault="00000000" w:rsidRPr="00000000" w14:paraId="00000030">
      <w:pPr>
        <w:jc w:val="center"/>
        <w:rPr/>
      </w:pPr>
      <w:r w:rsidDel="00000000" w:rsidR="00000000" w:rsidRPr="00000000">
        <w:rPr>
          <w:rtl w:val="0"/>
        </w:rPr>
      </w:r>
    </w:p>
    <w:p w:rsidR="00000000" w:rsidDel="00000000" w:rsidP="00000000" w:rsidRDefault="00000000" w:rsidRPr="00000000" w14:paraId="00000031">
      <w:pPr>
        <w:jc w:val="center"/>
        <w:rPr/>
      </w:pPr>
      <w:r w:rsidDel="00000000" w:rsidR="00000000" w:rsidRPr="00000000">
        <w:rPr>
          <w:rtl w:val="0"/>
        </w:rPr>
      </w:r>
    </w:p>
    <w:p w:rsidR="00000000" w:rsidDel="00000000" w:rsidP="00000000" w:rsidRDefault="00000000" w:rsidRPr="00000000" w14:paraId="00000032">
      <w:pPr>
        <w:jc w:val="center"/>
        <w:rPr/>
      </w:pPr>
      <w:r w:rsidDel="00000000" w:rsidR="00000000" w:rsidRPr="00000000">
        <w:rPr>
          <w:rtl w:val="0"/>
        </w:rPr>
      </w:r>
    </w:p>
    <w:p w:rsidR="00000000" w:rsidDel="00000000" w:rsidP="00000000" w:rsidRDefault="00000000" w:rsidRPr="00000000" w14:paraId="00000033">
      <w:pPr>
        <w:jc w:val="center"/>
        <w:rPr/>
      </w:pPr>
      <w:r w:rsidDel="00000000" w:rsidR="00000000" w:rsidRPr="00000000">
        <w:rPr>
          <w:rtl w:val="0"/>
        </w:rPr>
      </w:r>
    </w:p>
    <w:p w:rsidR="00000000" w:rsidDel="00000000" w:rsidP="00000000" w:rsidRDefault="00000000" w:rsidRPr="00000000" w14:paraId="00000034">
      <w:pPr>
        <w:jc w:val="center"/>
        <w:rPr/>
      </w:pPr>
      <w:r w:rsidDel="00000000" w:rsidR="00000000" w:rsidRPr="00000000">
        <w:rPr>
          <w:rtl w:val="0"/>
        </w:rPr>
      </w:r>
    </w:p>
    <w:p w:rsidR="00000000" w:rsidDel="00000000" w:rsidP="00000000" w:rsidRDefault="00000000" w:rsidRPr="00000000" w14:paraId="00000035">
      <w:pPr>
        <w:jc w:val="center"/>
        <w:rPr/>
      </w:pPr>
      <w:r w:rsidDel="00000000" w:rsidR="00000000" w:rsidRPr="00000000">
        <w:rPr>
          <w:rtl w:val="0"/>
        </w:rPr>
      </w:r>
    </w:p>
    <w:p w:rsidR="00000000" w:rsidDel="00000000" w:rsidP="00000000" w:rsidRDefault="00000000" w:rsidRPr="00000000" w14:paraId="00000036">
      <w:pPr>
        <w:jc w:val="center"/>
        <w:rPr/>
      </w:pPr>
      <w:r w:rsidDel="00000000" w:rsidR="00000000" w:rsidRPr="00000000">
        <w:rPr>
          <w:rtl w:val="0"/>
        </w:rPr>
      </w:r>
    </w:p>
    <w:p w:rsidR="00000000" w:rsidDel="00000000" w:rsidP="00000000" w:rsidRDefault="00000000" w:rsidRPr="00000000" w14:paraId="00000037">
      <w:pPr>
        <w:jc w:val="center"/>
        <w:rPr/>
      </w:pPr>
      <w:r w:rsidDel="00000000" w:rsidR="00000000" w:rsidRPr="00000000">
        <w:rPr>
          <w:rtl w:val="0"/>
        </w:rPr>
      </w:r>
    </w:p>
    <w:p w:rsidR="00000000" w:rsidDel="00000000" w:rsidP="00000000" w:rsidRDefault="00000000" w:rsidRPr="00000000" w14:paraId="00000038">
      <w:pPr>
        <w:jc w:val="center"/>
        <w:rPr/>
      </w:pPr>
      <w:r w:rsidDel="00000000" w:rsidR="00000000" w:rsidRPr="00000000">
        <w:rPr>
          <w:rtl w:val="0"/>
        </w:rPr>
      </w:r>
    </w:p>
    <w:p w:rsidR="00000000" w:rsidDel="00000000" w:rsidP="00000000" w:rsidRDefault="00000000" w:rsidRPr="00000000" w14:paraId="00000039">
      <w:pPr>
        <w:jc w:val="center"/>
        <w:rPr/>
      </w:pPr>
      <w:r w:rsidDel="00000000" w:rsidR="00000000" w:rsidRPr="00000000">
        <w:rPr>
          <w:rtl w:val="0"/>
        </w:rPr>
      </w:r>
    </w:p>
    <w:p w:rsidR="00000000" w:rsidDel="00000000" w:rsidP="00000000" w:rsidRDefault="00000000" w:rsidRPr="00000000" w14:paraId="0000003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i w:val="0"/>
          <w:smallCaps w:val="0"/>
          <w:strike w:val="0"/>
          <w:color w:val="2f5496"/>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4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saw0gzb90lcp">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1. Introduction</w:t>
            </w:r>
          </w:hyperlink>
          <w:hyperlink w:anchor="_heading=h.saw0gzb90lcp">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4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nsqh0fw99u2">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2. Brand Extension</w:t>
            </w:r>
          </w:hyperlink>
          <w:hyperlink w:anchor="_heading=h.nsqh0fw99u2">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40" w:lineRule="auto"/>
            <w:ind w:left="20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mctnk44zou0q">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2.1 Proposed Brand Extension</w:t>
            </w:r>
          </w:hyperlink>
          <w:hyperlink w:anchor="_heading=h.mctnk44zou0q">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40" w:lineRule="auto"/>
            <w:ind w:left="20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5urbe3s63evb">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2.2 Alignment with Existing Brand Values and Market Position</w:t>
            </w:r>
          </w:hyperlink>
          <w:hyperlink w:anchor="_heading=h.5urbe3s63evb">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40" w:lineRule="auto"/>
            <w:ind w:left="20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2nn3d127z89x">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2.3 Strategic Value and Market Gap</w:t>
            </w:r>
          </w:hyperlink>
          <w:hyperlink w:anchor="_heading=h.2nn3d127z89x">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4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pdzb0wa5rliv">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3. STP</w:t>
            </w:r>
          </w:hyperlink>
          <w:hyperlink w:anchor="_heading=h.pdzb0wa5rliv">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40" w:lineRule="auto"/>
            <w:ind w:left="20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rvh5hu1wv67x">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3.1 Segmentation</w:t>
            </w:r>
          </w:hyperlink>
          <w:hyperlink w:anchor="_heading=h.rvh5hu1wv67x">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40" w:lineRule="auto"/>
            <w:ind w:left="20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j839m1mq61lg">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3.2 Targeting</w:t>
            </w:r>
          </w:hyperlink>
          <w:hyperlink w:anchor="_heading=h.j839m1mq61lg">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40" w:lineRule="auto"/>
            <w:ind w:left="20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5aad7jr6kyz1">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3.3 Positioning</w:t>
            </w:r>
          </w:hyperlink>
          <w:hyperlink w:anchor="_heading=h.5aad7jr6kyz1">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4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j1ospwgy0eoj">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4. Customer Persona</w:t>
            </w:r>
          </w:hyperlink>
          <w:hyperlink w:anchor="_heading=h.j1ospwgy0eoj">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40" w:lineRule="auto"/>
            <w:ind w:left="20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ud58z4s7ffxq">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4.1 Demographic Profile</w:t>
            </w:r>
          </w:hyperlink>
          <w:hyperlink w:anchor="_heading=h.ud58z4s7ffxq">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40" w:lineRule="auto"/>
            <w:ind w:left="20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l85dbjt2ihxl">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4.2 Psychographic Profile</w:t>
            </w:r>
          </w:hyperlink>
          <w:hyperlink w:anchor="_heading=h.l85dbjt2ihxl">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ab/>
              <w:t xml:space="preserve">11</w:t>
            </w:r>
          </w:hyperlink>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4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wnr41exjdz8q">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5. Marketing Mix</w:t>
            </w:r>
          </w:hyperlink>
          <w:hyperlink w:anchor="_heading=h.wnr41exjdz8q">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ab/>
              <w:t xml:space="preserve">12</w:t>
            </w:r>
          </w:hyperlink>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40" w:lineRule="auto"/>
            <w:ind w:left="20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dnxuxuwtqkd0">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5.1 Product</w:t>
            </w:r>
          </w:hyperlink>
          <w:hyperlink w:anchor="_heading=h.dnxuxuwtqkd0">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ab/>
              <w:t xml:space="preserve">12</w:t>
            </w:r>
          </w:hyperlink>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40" w:lineRule="auto"/>
            <w:ind w:left="20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k33g3ci7xwse">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5.2 Price</w:t>
            </w:r>
          </w:hyperlink>
          <w:hyperlink w:anchor="_heading=h.k33g3ci7xwse">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ab/>
              <w:t xml:space="preserve">13</w:t>
            </w:r>
          </w:hyperlink>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40" w:lineRule="auto"/>
            <w:ind w:left="20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umoqdoyy1cad">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5.3 Promotion</w:t>
            </w:r>
          </w:hyperlink>
          <w:hyperlink w:anchor="_heading=h.umoqdoyy1cad">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ab/>
              <w:t xml:space="preserve">15</w:t>
            </w:r>
          </w:hyperlink>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40" w:lineRule="auto"/>
            <w:ind w:left="20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x7zw60hbcm2a">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5.4 Place</w:t>
            </w:r>
          </w:hyperlink>
          <w:hyperlink w:anchor="_heading=h.x7zw60hbcm2a">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ab/>
              <w:t xml:space="preserve">15</w:t>
            </w:r>
          </w:hyperlink>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40" w:lineRule="auto"/>
            <w:ind w:left="20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zaee8nuzue14">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5.5 Process</w:t>
            </w:r>
          </w:hyperlink>
          <w:hyperlink w:anchor="_heading=h.zaee8nuzue14">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ab/>
              <w:t xml:space="preserve">16</w:t>
            </w:r>
          </w:hyperlink>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40" w:lineRule="auto"/>
            <w:ind w:left="20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95dnxdys8y5l">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5.6 People</w:t>
            </w:r>
          </w:hyperlink>
          <w:hyperlink w:anchor="_heading=h.95dnxdys8y5l">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ab/>
              <w:t xml:space="preserve">16</w:t>
            </w:r>
          </w:hyperlink>
          <w:r w:rsidDel="00000000" w:rsidR="00000000" w:rsidRPr="00000000">
            <w:rPr>
              <w:rtl w:val="0"/>
            </w:rPr>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40" w:lineRule="auto"/>
            <w:ind w:left="20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gipe7cs5jaw5">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5.7 Physical Evidence</w:t>
            </w:r>
          </w:hyperlink>
          <w:hyperlink w:anchor="_heading=h.gipe7cs5jaw5">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ab/>
              <w:t xml:space="preserve">17</w:t>
            </w:r>
          </w:hyperlink>
          <w:r w:rsidDel="00000000" w:rsidR="00000000" w:rsidRPr="00000000">
            <w:rPr>
              <w:rtl w:val="0"/>
            </w:rPr>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4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qm7yf97ufv9w">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6. Conclusion</w:t>
            </w:r>
          </w:hyperlink>
          <w:hyperlink w:anchor="_heading=h.qm7yf97ufv9w">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ab/>
              <w:t xml:space="preserve">17</w:t>
            </w:r>
          </w:hyperlink>
          <w:r w:rsidDel="00000000" w:rsidR="00000000" w:rsidRPr="00000000">
            <w:rPr>
              <w:rtl w:val="0"/>
            </w:rPr>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4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drhrhvnlv2p3">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References</w:t>
            </w:r>
          </w:hyperlink>
          <w:hyperlink w:anchor="_heading=h.drhrhvnlv2p3">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ab/>
              <w:t xml:space="preserve">18</w:t>
            </w:r>
          </w:hyperlink>
          <w:r w:rsidDel="00000000" w:rsidR="00000000" w:rsidRPr="00000000">
            <w:rPr>
              <w:rtl w:val="0"/>
            </w:rPr>
          </w:r>
        </w:p>
        <w:p w:rsidR="00000000" w:rsidDel="00000000" w:rsidP="00000000" w:rsidRDefault="00000000" w:rsidRPr="00000000" w14:paraId="00000051">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br w:type="page"/>
      </w:r>
      <w:r w:rsidDel="00000000" w:rsidR="00000000" w:rsidRPr="00000000">
        <w:rPr>
          <w:rtl w:val="0"/>
        </w:rPr>
      </w:r>
    </w:p>
    <w:p w:rsidR="00000000" w:rsidDel="00000000" w:rsidP="00000000" w:rsidRDefault="00000000" w:rsidRPr="00000000" w14:paraId="00000054">
      <w:pPr>
        <w:pStyle w:val="Heading1"/>
        <w:spacing w:after="240" w:lineRule="auto"/>
        <w:rPr>
          <w:rFonts w:ascii="Arial" w:cs="Arial" w:eastAsia="Arial" w:hAnsi="Arial"/>
          <w:b w:val="1"/>
          <w:sz w:val="24"/>
          <w:szCs w:val="24"/>
        </w:rPr>
      </w:pPr>
      <w:bookmarkStart w:colFirst="0" w:colLast="0" w:name="_heading=h.saw0gzb90lcp" w:id="0"/>
      <w:bookmarkEnd w:id="0"/>
      <w:r w:rsidDel="00000000" w:rsidR="00000000" w:rsidRPr="00000000">
        <w:rPr>
          <w:rFonts w:ascii="Arial" w:cs="Arial" w:eastAsia="Arial" w:hAnsi="Arial"/>
          <w:b w:val="1"/>
          <w:sz w:val="24"/>
          <w:szCs w:val="24"/>
          <w:rtl w:val="0"/>
        </w:rPr>
        <w:t xml:space="preserve">1. Introduction</w:t>
      </w:r>
    </w:p>
    <w:p w:rsidR="00000000" w:rsidDel="00000000" w:rsidP="00000000" w:rsidRDefault="00000000" w:rsidRPr="00000000" w14:paraId="00000055">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Eli Lilly and Company, a company based in Indianapolis, Indiana, has discreetly ascended to the top of the global pharmaceutical industry. In March 2025, Lilly's market capitalisation reached an unprecedented $860 billion, surpassing the long-standing leader Johnson &amp; Johnson and establishing Lilly as the most valuable pharmaceutical company in the world (Statista, 2025). In 2023, Lilly ranked 12th in the global prescription drug revenue rankings, with $45 billion in sales, a slight increase from $34 billion the previous year, despite this financial milestone.</w:t>
      </w:r>
    </w:p>
    <w:p w:rsidR="00000000" w:rsidDel="00000000" w:rsidP="00000000" w:rsidRDefault="00000000" w:rsidRPr="00000000" w14:paraId="00000056">
      <w:pPr>
        <w:spacing w:after="240" w:before="240" w:line="360" w:lineRule="auto"/>
        <w:jc w:val="center"/>
        <w:rPr>
          <w:rFonts w:ascii="Arial" w:cs="Arial" w:eastAsia="Arial" w:hAnsi="Arial"/>
          <w:i w:val="1"/>
        </w:rPr>
      </w:pPr>
      <w:r w:rsidDel="00000000" w:rsidR="00000000" w:rsidRPr="00000000">
        <w:rPr>
          <w:i w:val="1"/>
        </w:rPr>
        <w:drawing>
          <wp:inline distB="0" distT="0" distL="0" distR="0">
            <wp:extent cx="5731510" cy="4970780"/>
            <wp:effectExtent b="0" l="0" r="0" t="0"/>
            <wp:docPr descr="Eli Lilly and Company - Encyclopedia of Indianapolis" id="2068296173" name="image4.jpg"/>
            <a:graphic>
              <a:graphicData uri="http://schemas.openxmlformats.org/drawingml/2006/picture">
                <pic:pic>
                  <pic:nvPicPr>
                    <pic:cNvPr descr="Eli Lilly and Company - Encyclopedia of Indianapolis" id="0" name="image4.jpg"/>
                    <pic:cNvPicPr preferRelativeResize="0"/>
                  </pic:nvPicPr>
                  <pic:blipFill>
                    <a:blip r:embed="rId8"/>
                    <a:srcRect b="0" l="0" r="0" t="0"/>
                    <a:stretch>
                      <a:fillRect/>
                    </a:stretch>
                  </pic:blipFill>
                  <pic:spPr>
                    <a:xfrm>
                      <a:off x="0" y="0"/>
                      <a:ext cx="5731510" cy="4970780"/>
                    </a:xfrm>
                    <a:prstGeom prst="rect"/>
                    <a:ln/>
                  </pic:spPr>
                </pic:pic>
              </a:graphicData>
            </a:graphic>
          </wp:inline>
        </w:drawing>
      </w:r>
      <w:r w:rsidDel="00000000" w:rsidR="00000000" w:rsidRPr="00000000">
        <w:rPr>
          <w:rtl w:val="0"/>
        </w:rPr>
      </w:r>
    </w:p>
    <w:p w:rsidR="00000000" w:rsidDel="00000000" w:rsidP="00000000" w:rsidRDefault="00000000" w:rsidRPr="00000000" w14:paraId="00000057">
      <w:pPr>
        <w:spacing w:after="240" w:before="240" w:line="360" w:lineRule="auto"/>
        <w:jc w:val="center"/>
        <w:rPr>
          <w:rFonts w:ascii="Arial" w:cs="Arial" w:eastAsia="Arial" w:hAnsi="Arial"/>
          <w:i w:val="1"/>
        </w:rPr>
      </w:pPr>
      <w:r w:rsidDel="00000000" w:rsidR="00000000" w:rsidRPr="00000000">
        <w:rPr>
          <w:rFonts w:ascii="Arial" w:cs="Arial" w:eastAsia="Arial" w:hAnsi="Arial"/>
          <w:i w:val="1"/>
          <w:rtl w:val="0"/>
        </w:rPr>
        <w:t xml:space="preserve">Source: </w:t>
      </w:r>
      <w:hyperlink r:id="rId9">
        <w:r w:rsidDel="00000000" w:rsidR="00000000" w:rsidRPr="00000000">
          <w:rPr>
            <w:rFonts w:ascii="Arial" w:cs="Arial" w:eastAsia="Arial" w:hAnsi="Arial"/>
            <w:i w:val="1"/>
            <w:color w:val="1155cc"/>
            <w:u w:val="single"/>
            <w:rtl w:val="0"/>
          </w:rPr>
          <w:t xml:space="preserve">https://indyencyclopedia.org/eli-lilly-and-company/</w:t>
        </w:r>
      </w:hyperlink>
      <w:r w:rsidDel="00000000" w:rsidR="00000000" w:rsidRPr="00000000">
        <w:rPr>
          <w:rtl w:val="0"/>
        </w:rPr>
      </w:r>
    </w:p>
    <w:p w:rsidR="00000000" w:rsidDel="00000000" w:rsidP="00000000" w:rsidRDefault="00000000" w:rsidRPr="00000000" w14:paraId="00000058">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company, which was established in the 1870s by Colonel Eli Lilly, an American Civil War veteran, has a rich history of innovation. It was the first to mass-produce insulin and was responsible for the development of groundbreaking mental health remedies such as Prozac, Cymbalta, and Zyprexa (Statista, 2025). Lilly's recent success can be attributed to its groundbreaking advancements in diabetes and weight-loss therapies, as the company is renowned for its profound commitment to research and development, frequently allocating over 25% of revenue to R&amp;D. </w:t>
      </w:r>
    </w:p>
    <w:p w:rsidR="00000000" w:rsidDel="00000000" w:rsidP="00000000" w:rsidRDefault="00000000" w:rsidRPr="00000000" w14:paraId="00000059">
      <w:pPr>
        <w:spacing w:after="240" w:before="240" w:line="360" w:lineRule="auto"/>
        <w:jc w:val="center"/>
        <w:rPr>
          <w:rFonts w:ascii="Arial" w:cs="Arial" w:eastAsia="Arial" w:hAnsi="Arial"/>
          <w:sz w:val="16"/>
          <w:szCs w:val="16"/>
        </w:rPr>
      </w:pPr>
      <w:r w:rsidDel="00000000" w:rsidR="00000000" w:rsidRPr="00000000">
        <w:rPr>
          <w:i w:val="1"/>
          <w:sz w:val="16"/>
          <w:szCs w:val="16"/>
        </w:rPr>
        <w:drawing>
          <wp:inline distB="0" distT="0" distL="0" distR="0">
            <wp:extent cx="5731510" cy="3622040"/>
            <wp:effectExtent b="0" l="0" r="0" t="0"/>
            <wp:docPr descr="3 of Eli Lilly's Top Drugs Grew by Over 40% in Q2. Trulicity Wasn't One of  Them. | Nasdaq" id="2068296175" name="image2.jpg"/>
            <a:graphic>
              <a:graphicData uri="http://schemas.openxmlformats.org/drawingml/2006/picture">
                <pic:pic>
                  <pic:nvPicPr>
                    <pic:cNvPr descr="3 of Eli Lilly's Top Drugs Grew by Over 40% in Q2. Trulicity Wasn't One of  Them. | Nasdaq" id="0" name="image2.jpg"/>
                    <pic:cNvPicPr preferRelativeResize="0"/>
                  </pic:nvPicPr>
                  <pic:blipFill>
                    <a:blip r:embed="rId10"/>
                    <a:srcRect b="0" l="0" r="0" t="0"/>
                    <a:stretch>
                      <a:fillRect/>
                    </a:stretch>
                  </pic:blipFill>
                  <pic:spPr>
                    <a:xfrm>
                      <a:off x="0" y="0"/>
                      <a:ext cx="5731510" cy="3622040"/>
                    </a:xfrm>
                    <a:prstGeom prst="rect"/>
                    <a:ln/>
                  </pic:spPr>
                </pic:pic>
              </a:graphicData>
            </a:graphic>
          </wp:inline>
        </w:drawing>
      </w:r>
      <w:r w:rsidDel="00000000" w:rsidR="00000000" w:rsidRPr="00000000">
        <w:rPr>
          <w:rFonts w:ascii="Arial" w:cs="Arial" w:eastAsia="Arial" w:hAnsi="Arial"/>
          <w:sz w:val="16"/>
          <w:szCs w:val="16"/>
          <w:rtl w:val="0"/>
        </w:rPr>
        <w:t xml:space="preserve">Source:</w:t>
      </w:r>
      <w:hyperlink r:id="rId11">
        <w:r w:rsidDel="00000000" w:rsidR="00000000" w:rsidRPr="00000000">
          <w:rPr>
            <w:rFonts w:ascii="Arial" w:cs="Arial" w:eastAsia="Arial" w:hAnsi="Arial"/>
            <w:color w:val="1155cc"/>
            <w:sz w:val="16"/>
            <w:szCs w:val="16"/>
            <w:u w:val="single"/>
            <w:rtl w:val="0"/>
          </w:rPr>
          <w:t xml:space="preserve"> https://www.nasdaq.com/articles/3-of-eli-lillys-top-drugs-grew-by-over-40-in-q2.-trulicity-wasnt-one-of-them.</w:t>
        </w:r>
      </w:hyperlink>
      <w:r w:rsidDel="00000000" w:rsidR="00000000" w:rsidRPr="00000000">
        <w:rPr>
          <w:rtl w:val="0"/>
        </w:rPr>
      </w:r>
    </w:p>
    <w:p w:rsidR="00000000" w:rsidDel="00000000" w:rsidP="00000000" w:rsidRDefault="00000000" w:rsidRPr="00000000" w14:paraId="0000005A">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Mounjaro, Zep Bound, and Trulicity are among the medications that have been instrumental in addressing significant public health issues, including obesity and Type 2 diabetes, which are experiencing global expansion (Statista, 2025). Eli Lilly is well-positioned to expand beyond traditional pharmaceuticals and into patient-centric service models as it navigates a new era of healthcare innovation. </w:t>
      </w:r>
    </w:p>
    <w:p w:rsidR="00000000" w:rsidDel="00000000" w:rsidP="00000000" w:rsidRDefault="00000000" w:rsidRPr="00000000" w14:paraId="0000005B">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report investigates this opportunity by proposing a brand extension: LillyWell Clinics, a network of personalised, preventive health centres that are intended to reinforce </w:t>
      </w:r>
      <w:r w:rsidDel="00000000" w:rsidR="00000000" w:rsidRPr="00000000">
        <w:rPr>
          <w:rFonts w:ascii="Arial" w:cs="Arial" w:eastAsia="Arial" w:hAnsi="Arial"/>
          <w:sz w:val="24"/>
          <w:szCs w:val="24"/>
          <w:rtl w:val="0"/>
        </w:rPr>
        <w:t xml:space="preserve">Lilly's</w:t>
      </w:r>
      <w:r w:rsidDel="00000000" w:rsidR="00000000" w:rsidRPr="00000000">
        <w:rPr>
          <w:rFonts w:ascii="Arial" w:cs="Arial" w:eastAsia="Arial" w:hAnsi="Arial"/>
          <w:sz w:val="24"/>
          <w:szCs w:val="24"/>
          <w:rtl w:val="0"/>
        </w:rPr>
        <w:t xml:space="preserve"> legacy of care, promote wellness, and enhance accessibility. The objective of this report is to assess the strategic implications and feasibility of the LillyWell Clinics introduction, which will ensure that Eli Lilly's innovative legacy is in harmony with the emerging healthcare delivery models.</w:t>
      </w:r>
    </w:p>
    <w:p w:rsidR="00000000" w:rsidDel="00000000" w:rsidP="00000000" w:rsidRDefault="00000000" w:rsidRPr="00000000" w14:paraId="0000005C">
      <w:pPr>
        <w:spacing w:after="240" w:before="24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D">
      <w:pPr>
        <w:spacing w:after="240" w:before="24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E">
      <w:pPr>
        <w:pStyle w:val="Heading1"/>
        <w:spacing w:after="240" w:lineRule="auto"/>
        <w:rPr>
          <w:rFonts w:ascii="Arial" w:cs="Arial" w:eastAsia="Arial" w:hAnsi="Arial"/>
          <w:b w:val="1"/>
          <w:sz w:val="24"/>
          <w:szCs w:val="24"/>
        </w:rPr>
      </w:pPr>
      <w:bookmarkStart w:colFirst="0" w:colLast="0" w:name="_heading=h.nsqh0fw99u2" w:id="1"/>
      <w:bookmarkEnd w:id="1"/>
      <w:r w:rsidDel="00000000" w:rsidR="00000000" w:rsidRPr="00000000">
        <w:rPr>
          <w:rFonts w:ascii="Arial" w:cs="Arial" w:eastAsia="Arial" w:hAnsi="Arial"/>
          <w:b w:val="1"/>
          <w:sz w:val="24"/>
          <w:szCs w:val="24"/>
          <w:rtl w:val="0"/>
        </w:rPr>
        <w:t xml:space="preserve">2. Brand Extension</w:t>
      </w:r>
    </w:p>
    <w:p w:rsidR="00000000" w:rsidDel="00000000" w:rsidP="00000000" w:rsidRDefault="00000000" w:rsidRPr="00000000" w14:paraId="0000005F">
      <w:pPr>
        <w:pStyle w:val="Heading2"/>
        <w:spacing w:after="240" w:lineRule="auto"/>
        <w:rPr>
          <w:rFonts w:ascii="Arial" w:cs="Arial" w:eastAsia="Arial" w:hAnsi="Arial"/>
          <w:b w:val="1"/>
          <w:color w:val="000000"/>
          <w:sz w:val="24"/>
          <w:szCs w:val="24"/>
        </w:rPr>
      </w:pPr>
      <w:bookmarkStart w:colFirst="0" w:colLast="0" w:name="_heading=h.mctnk44zou0q" w:id="2"/>
      <w:bookmarkEnd w:id="2"/>
      <w:r w:rsidDel="00000000" w:rsidR="00000000" w:rsidRPr="00000000">
        <w:rPr>
          <w:rFonts w:ascii="Arial" w:cs="Arial" w:eastAsia="Arial" w:hAnsi="Arial"/>
          <w:b w:val="1"/>
          <w:color w:val="000000"/>
          <w:sz w:val="24"/>
          <w:szCs w:val="24"/>
          <w:rtl w:val="0"/>
        </w:rPr>
        <w:t xml:space="preserve">2.1 Proposed Brand Extension</w:t>
      </w:r>
    </w:p>
    <w:p w:rsidR="00000000" w:rsidDel="00000000" w:rsidP="00000000" w:rsidRDefault="00000000" w:rsidRPr="00000000" w14:paraId="00000060">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Eli Lilly's LillyWell Clinics are a bold and innovative brand extension that is designed to convert the company's pharmaceutical heritage into a patient-centered healthcare delivery model. These clinics are designed to be high-tech, urban micro-clinics that provide a variety of services, including personalised diagnostics, preventive screenings, chronic disease management, genetic counselling, mental wellness programs, and access to Eli Lilly's portfolio of therapies (MarketLine, 2025). </w:t>
      </w:r>
    </w:p>
    <w:p w:rsidR="00000000" w:rsidDel="00000000" w:rsidP="00000000" w:rsidRDefault="00000000" w:rsidRPr="00000000" w14:paraId="00000061">
      <w:pPr>
        <w:spacing w:after="240" w:before="240" w:line="360" w:lineRule="auto"/>
        <w:jc w:val="center"/>
        <w:rPr>
          <w:rFonts w:ascii="Arial" w:cs="Arial" w:eastAsia="Arial" w:hAnsi="Arial"/>
          <w:i w:val="1"/>
        </w:rPr>
      </w:pPr>
      <w:r w:rsidDel="00000000" w:rsidR="00000000" w:rsidRPr="00000000">
        <w:rPr>
          <w:rFonts w:ascii="Arial" w:cs="Arial" w:eastAsia="Arial" w:hAnsi="Arial"/>
          <w:i w:val="1"/>
        </w:rPr>
        <w:drawing>
          <wp:inline distB="0" distT="0" distL="0" distR="0">
            <wp:extent cx="5731510" cy="3387725"/>
            <wp:effectExtent b="0" l="0" r="0" t="0"/>
            <wp:docPr id="2068296174" name="image9.png"/>
            <a:graphic>
              <a:graphicData uri="http://schemas.openxmlformats.org/drawingml/2006/picture">
                <pic:pic>
                  <pic:nvPicPr>
                    <pic:cNvPr id="0" name="image9.png"/>
                    <pic:cNvPicPr preferRelativeResize="0"/>
                  </pic:nvPicPr>
                  <pic:blipFill>
                    <a:blip r:embed="rId12"/>
                    <a:srcRect b="0" l="0" r="0" t="0"/>
                    <a:stretch>
                      <a:fillRect/>
                    </a:stretch>
                  </pic:blipFill>
                  <pic:spPr>
                    <a:xfrm>
                      <a:off x="0" y="0"/>
                      <a:ext cx="5731510" cy="3387725"/>
                    </a:xfrm>
                    <a:prstGeom prst="rect"/>
                    <a:ln/>
                  </pic:spPr>
                </pic:pic>
              </a:graphicData>
            </a:graphic>
          </wp:inline>
        </w:drawing>
      </w:r>
      <w:r w:rsidDel="00000000" w:rsidR="00000000" w:rsidRPr="00000000">
        <w:rPr>
          <w:rtl w:val="0"/>
        </w:rPr>
      </w:r>
    </w:p>
    <w:p w:rsidR="00000000" w:rsidDel="00000000" w:rsidP="00000000" w:rsidRDefault="00000000" w:rsidRPr="00000000" w14:paraId="00000062">
      <w:pPr>
        <w:spacing w:after="240" w:before="240" w:line="360" w:lineRule="auto"/>
        <w:jc w:val="center"/>
        <w:rPr>
          <w:rFonts w:ascii="Arial" w:cs="Arial" w:eastAsia="Arial" w:hAnsi="Arial"/>
        </w:rPr>
      </w:pPr>
      <w:r w:rsidDel="00000000" w:rsidR="00000000" w:rsidRPr="00000000">
        <w:rPr>
          <w:rFonts w:ascii="Arial" w:cs="Arial" w:eastAsia="Arial" w:hAnsi="Arial"/>
          <w:rtl w:val="0"/>
        </w:rPr>
        <w:t xml:space="preserve">Source:</w:t>
      </w:r>
      <w:hyperlink r:id="rId13">
        <w:r w:rsidDel="00000000" w:rsidR="00000000" w:rsidRPr="00000000">
          <w:rPr>
            <w:rFonts w:ascii="Arial" w:cs="Arial" w:eastAsia="Arial" w:hAnsi="Arial"/>
            <w:color w:val="1155cc"/>
            <w:u w:val="single"/>
            <w:rtl w:val="0"/>
          </w:rPr>
          <w:t xml:space="preserve"> https://news.alphastreet.com/lly-earnings-highlights-of-eli-lillys-q2-2024-financial-report/</w:t>
        </w:r>
      </w:hyperlink>
      <w:r w:rsidDel="00000000" w:rsidR="00000000" w:rsidRPr="00000000">
        <w:rPr>
          <w:rtl w:val="0"/>
        </w:rPr>
      </w:r>
    </w:p>
    <w:p w:rsidR="00000000" w:rsidDel="00000000" w:rsidP="00000000" w:rsidRDefault="00000000" w:rsidRPr="00000000" w14:paraId="00000063">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order to offer a continuous, proactive, and seamless care experience, they will integrate physical clinical infrastructure with digital health technologies, including AI-powered decision tools, electronic health integration, and remote monitoring (Ahmadi, 2024; Tsvetanov, 2024). Eli Lilly's LillyWell Clinics are strategically situated in high-density urban areas throughout the United States, Japan, and Europe, where the majority of its revenue is already reported (63.9% in the United States and 18.1% in Europe) (MarketLine, 2025). These clinics will not only expand access to care but also cultivate more meaningful relationships with patients through direct service delivery.</w:t>
      </w:r>
    </w:p>
    <w:p w:rsidR="00000000" w:rsidDel="00000000" w:rsidP="00000000" w:rsidRDefault="00000000" w:rsidRPr="00000000" w14:paraId="00000064">
      <w:pPr>
        <w:spacing w:after="240" w:before="240"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65">
      <w:pPr>
        <w:spacing w:after="240" w:before="240" w:line="360" w:lineRule="auto"/>
        <w:jc w:val="both"/>
        <w:rPr>
          <w:rFonts w:ascii="Arial" w:cs="Arial" w:eastAsia="Arial" w:hAnsi="Arial"/>
          <w:b w:val="1"/>
        </w:rPr>
      </w:pPr>
      <w:r w:rsidDel="00000000" w:rsidR="00000000" w:rsidRPr="00000000">
        <w:rPr>
          <w:rFonts w:ascii="Arial" w:cs="Arial" w:eastAsia="Arial" w:hAnsi="Arial"/>
          <w:b w:val="1"/>
          <w:color w:val="000000"/>
          <w:sz w:val="24"/>
          <w:szCs w:val="24"/>
          <w:rtl w:val="0"/>
        </w:rPr>
        <w:t xml:space="preserve">2.2 Alignment with Existing Brand Values and Market Position</w:t>
      </w:r>
      <w:r w:rsidDel="00000000" w:rsidR="00000000" w:rsidRPr="00000000">
        <w:rPr>
          <w:rtl w:val="0"/>
        </w:rPr>
      </w:r>
    </w:p>
    <w:p w:rsidR="00000000" w:rsidDel="00000000" w:rsidP="00000000" w:rsidRDefault="00000000" w:rsidRPr="00000000" w14:paraId="00000066">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LillyWell Clinics are a logical extension of Eli Lilly's mission to "improve the quality of life for individuals worldwide." The company's historical foundation in therapeutic breakthroughs, including insulin, Prozac, and Trulicity, underscores a longstanding emphasis on chronic care—conditions that also benefit from preventive and personalised healthcare models (MarketLine, 2025). This extension leverages Lilly's reputation for clinical excellence, which is demonstrated by its substantial R&amp;D investment (27.3% of revenue in FY2023), and is consistent with its strategic focus on patient impact and innovation.</w:t>
      </w:r>
    </w:p>
    <w:p w:rsidR="00000000" w:rsidDel="00000000" w:rsidP="00000000" w:rsidRDefault="00000000" w:rsidRPr="00000000" w14:paraId="00000067">
      <w:pPr>
        <w:spacing w:after="240" w:before="240" w:line="360" w:lineRule="auto"/>
        <w:jc w:val="center"/>
        <w:rPr>
          <w:i w:val="1"/>
          <w:sz w:val="18"/>
          <w:szCs w:val="18"/>
        </w:rPr>
      </w:pPr>
      <w:r w:rsidDel="00000000" w:rsidR="00000000" w:rsidRPr="00000000">
        <w:rPr>
          <w:i w:val="1"/>
          <w:sz w:val="18"/>
          <w:szCs w:val="18"/>
        </w:rPr>
        <w:drawing>
          <wp:inline distB="0" distT="0" distL="0" distR="0">
            <wp:extent cx="4530563" cy="4667250"/>
            <wp:effectExtent b="0" l="0" r="0" t="0"/>
            <wp:docPr descr="Merck, Vertex and Lilly led biopharma share price gains in 2022" id="2068296177" name="image5.png"/>
            <a:graphic>
              <a:graphicData uri="http://schemas.openxmlformats.org/drawingml/2006/picture">
                <pic:pic>
                  <pic:nvPicPr>
                    <pic:cNvPr descr="Merck, Vertex and Lilly led biopharma share price gains in 2022" id="0" name="image5.png"/>
                    <pic:cNvPicPr preferRelativeResize="0"/>
                  </pic:nvPicPr>
                  <pic:blipFill>
                    <a:blip r:embed="rId14"/>
                    <a:srcRect b="0" l="0" r="0" t="0"/>
                    <a:stretch>
                      <a:fillRect/>
                    </a:stretch>
                  </pic:blipFill>
                  <pic:spPr>
                    <a:xfrm>
                      <a:off x="0" y="0"/>
                      <a:ext cx="4530563" cy="4667250"/>
                    </a:xfrm>
                    <a:prstGeom prst="rect"/>
                    <a:ln/>
                  </pic:spPr>
                </pic:pic>
              </a:graphicData>
            </a:graphic>
          </wp:inline>
        </w:drawing>
      </w:r>
      <w:r w:rsidDel="00000000" w:rsidR="00000000" w:rsidRPr="00000000">
        <w:rPr>
          <w:rtl w:val="0"/>
        </w:rPr>
      </w:r>
    </w:p>
    <w:p w:rsidR="00000000" w:rsidDel="00000000" w:rsidP="00000000" w:rsidRDefault="00000000" w:rsidRPr="00000000" w14:paraId="00000068">
      <w:pPr>
        <w:spacing w:after="240" w:before="240" w:line="360" w:lineRule="auto"/>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Source: </w:t>
      </w:r>
      <w:hyperlink r:id="rId15">
        <w:r w:rsidDel="00000000" w:rsidR="00000000" w:rsidRPr="00000000">
          <w:rPr>
            <w:rFonts w:ascii="Arial" w:cs="Arial" w:eastAsia="Arial" w:hAnsi="Arial"/>
            <w:color w:val="1155cc"/>
            <w:sz w:val="18"/>
            <w:szCs w:val="18"/>
            <w:u w:val="single"/>
            <w:rtl w:val="0"/>
          </w:rPr>
          <w:t xml:space="preserve">https://www.fiercepharma.com/pharma/led-merck-vertex-and-lilly-biopharma-managed-grow-year-economic-uncertainty</w:t>
        </w:r>
      </w:hyperlink>
      <w:r w:rsidDel="00000000" w:rsidR="00000000" w:rsidRPr="00000000">
        <w:rPr>
          <w:rtl w:val="0"/>
        </w:rPr>
      </w:r>
    </w:p>
    <w:p w:rsidR="00000000" w:rsidDel="00000000" w:rsidP="00000000" w:rsidRDefault="00000000" w:rsidRPr="00000000" w14:paraId="00000069">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Moreover, Eli Lilly is well-positioned to provide integrated care experiences under a branded clinic model, as it has a globally trusted product portfolio that includes cardiovascular, diabetes, oncology, and neuroscience therapies, and is currently operating in 105 countries (MarketLine, 2025). The brand's credibility in product efficacy and safety, which is further supported by its high manufacturing and quality standards at advanced facilities worldwide, is also leveraged in the transition to service delivery (Eli Lilly, 2025).</w:t>
      </w:r>
    </w:p>
    <w:p w:rsidR="00000000" w:rsidDel="00000000" w:rsidP="00000000" w:rsidRDefault="00000000" w:rsidRPr="00000000" w14:paraId="0000006A">
      <w:pPr>
        <w:pStyle w:val="Heading2"/>
        <w:spacing w:after="240" w:lineRule="auto"/>
        <w:rPr>
          <w:rFonts w:ascii="Arial" w:cs="Arial" w:eastAsia="Arial" w:hAnsi="Arial"/>
          <w:sz w:val="24"/>
          <w:szCs w:val="24"/>
        </w:rPr>
      </w:pPr>
      <w:bookmarkStart w:colFirst="0" w:colLast="0" w:name="_heading=h.2nn3d127z89x" w:id="3"/>
      <w:bookmarkEnd w:id="3"/>
      <w:r w:rsidDel="00000000" w:rsidR="00000000" w:rsidRPr="00000000">
        <w:rPr>
          <w:rFonts w:ascii="Arial" w:cs="Arial" w:eastAsia="Arial" w:hAnsi="Arial"/>
          <w:b w:val="1"/>
          <w:color w:val="000000"/>
          <w:sz w:val="24"/>
          <w:szCs w:val="24"/>
          <w:rtl w:val="0"/>
        </w:rPr>
        <w:t xml:space="preserve">2.3 Strategic Value and Market Gap</w:t>
      </w:r>
      <w:r w:rsidDel="00000000" w:rsidR="00000000" w:rsidRPr="00000000">
        <w:rPr>
          <w:rtl w:val="0"/>
        </w:rPr>
      </w:r>
    </w:p>
    <w:p w:rsidR="00000000" w:rsidDel="00000000" w:rsidP="00000000" w:rsidRDefault="00000000" w:rsidRPr="00000000" w14:paraId="0000006B">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 critical divide exists between pharmaceutical innovation and the daily care of patients, which is addressed by the LillyWell Clinics. Due to the growing burden of chronic disease management and inadequate access to early intervention on global healthcare systems (Duda-Sikuła and Kurpas, 2023), these clinics offer a practical solution that is based on accessibility and personalisation. They advocate for a transition from reactive treatment to proactive care, a change that is consistent with the increasing demand for value-based health models, particularly in the United States, where national health expenditures are expected to exceed $6 trillion by 2027 (MarketLine, 2025).</w:t>
      </w:r>
    </w:p>
    <w:p w:rsidR="00000000" w:rsidDel="00000000" w:rsidP="00000000" w:rsidRDefault="00000000" w:rsidRPr="00000000" w14:paraId="0000006C">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Furthermore, LillyWell Clinics can function as direct consumer touchpoints to test new delivery technologies, gather real-world evidence, and optimise outcomes, thereby creating a feedback loop that improves both product development and care quality, as Eli Lilly continues its aggressive expansion with over $20 billion invested in global manufacturing and new R&amp;D capabilities (e.g., $5.3 billion Indiana plant, $3 billion Wisconsin facility) (MarketLine, 2025).</w:t>
      </w:r>
    </w:p>
    <w:p w:rsidR="00000000" w:rsidDel="00000000" w:rsidP="00000000" w:rsidRDefault="00000000" w:rsidRPr="00000000" w14:paraId="0000006D">
      <w:pPr>
        <w:pStyle w:val="Heading1"/>
        <w:spacing w:after="240" w:lineRule="auto"/>
        <w:rPr>
          <w:rFonts w:ascii="Arial" w:cs="Arial" w:eastAsia="Arial" w:hAnsi="Arial"/>
          <w:b w:val="1"/>
          <w:sz w:val="24"/>
          <w:szCs w:val="24"/>
        </w:rPr>
      </w:pPr>
      <w:bookmarkStart w:colFirst="0" w:colLast="0" w:name="_heading=h.pdzb0wa5rliv" w:id="4"/>
      <w:bookmarkEnd w:id="4"/>
      <w:r w:rsidDel="00000000" w:rsidR="00000000" w:rsidRPr="00000000">
        <w:rPr>
          <w:rFonts w:ascii="Arial" w:cs="Arial" w:eastAsia="Arial" w:hAnsi="Arial"/>
          <w:b w:val="1"/>
          <w:sz w:val="24"/>
          <w:szCs w:val="24"/>
          <w:rtl w:val="0"/>
        </w:rPr>
        <w:t xml:space="preserve">3. STP </w:t>
      </w:r>
    </w:p>
    <w:p w:rsidR="00000000" w:rsidDel="00000000" w:rsidP="00000000" w:rsidRDefault="00000000" w:rsidRPr="00000000" w14:paraId="0000006E">
      <w:pPr>
        <w:pStyle w:val="Heading2"/>
        <w:spacing w:after="240" w:lineRule="auto"/>
        <w:rPr>
          <w:rFonts w:ascii="Arial" w:cs="Arial" w:eastAsia="Arial" w:hAnsi="Arial"/>
          <w:b w:val="1"/>
          <w:color w:val="000000"/>
          <w:sz w:val="24"/>
          <w:szCs w:val="24"/>
        </w:rPr>
      </w:pPr>
      <w:bookmarkStart w:colFirst="0" w:colLast="0" w:name="_heading=h.rvh5hu1wv67x" w:id="5"/>
      <w:bookmarkEnd w:id="5"/>
      <w:r w:rsidDel="00000000" w:rsidR="00000000" w:rsidRPr="00000000">
        <w:rPr>
          <w:rFonts w:ascii="Arial" w:cs="Arial" w:eastAsia="Arial" w:hAnsi="Arial"/>
          <w:b w:val="1"/>
          <w:color w:val="000000"/>
          <w:sz w:val="24"/>
          <w:szCs w:val="24"/>
          <w:rtl w:val="0"/>
        </w:rPr>
        <w:t xml:space="preserve">3.1 Segmentation</w:t>
      </w:r>
    </w:p>
    <w:p w:rsidR="00000000" w:rsidDel="00000000" w:rsidP="00000000" w:rsidRDefault="00000000" w:rsidRPr="00000000" w14:paraId="0000006F">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clinics will concentrate on adults aged 25 to 55, a demographic that is being affected by a growing number of chronic conditions, including cancer, obesity, cardiovascular disease, and mental health disorders. A substantial increase in health risks among working-age populations has been documented by 82% of insurers, who have reported an increase in cancer treatment claims for individuals under the age of 50 (Mercer, 2025). In addition to being the most active segment in employer-sponsored health plans, which are essential to the financing model of LillyWell Clinics, this age group is also more susceptible to chronic illness.</w:t>
      </w:r>
    </w:p>
    <w:p w:rsidR="00000000" w:rsidDel="00000000" w:rsidP="00000000" w:rsidRDefault="00000000" w:rsidRPr="00000000" w14:paraId="00000070">
      <w:pPr>
        <w:spacing w:after="240" w:before="240" w:line="360" w:lineRule="auto"/>
        <w:jc w:val="center"/>
        <w:rPr>
          <w:rFonts w:ascii="Arial" w:cs="Arial" w:eastAsia="Arial" w:hAnsi="Arial"/>
          <w:i w:val="1"/>
        </w:rPr>
      </w:pPr>
      <w:r w:rsidDel="00000000" w:rsidR="00000000" w:rsidRPr="00000000">
        <w:rPr>
          <w:rFonts w:ascii="Arial" w:cs="Arial" w:eastAsia="Arial" w:hAnsi="Arial"/>
          <w:i w:val="1"/>
        </w:rPr>
        <w:drawing>
          <wp:inline distB="0" distT="0" distL="0" distR="0">
            <wp:extent cx="5731510" cy="4486910"/>
            <wp:effectExtent b="0" l="0" r="0" t="0"/>
            <wp:docPr id="2068296176" name="image3.png"/>
            <a:graphic>
              <a:graphicData uri="http://schemas.openxmlformats.org/drawingml/2006/picture">
                <pic:pic>
                  <pic:nvPicPr>
                    <pic:cNvPr id="0" name="image3.png"/>
                    <pic:cNvPicPr preferRelativeResize="0"/>
                  </pic:nvPicPr>
                  <pic:blipFill>
                    <a:blip r:embed="rId16"/>
                    <a:srcRect b="0" l="0" r="0" t="0"/>
                    <a:stretch>
                      <a:fillRect/>
                    </a:stretch>
                  </pic:blipFill>
                  <pic:spPr>
                    <a:xfrm>
                      <a:off x="0" y="0"/>
                      <a:ext cx="5731510" cy="4486910"/>
                    </a:xfrm>
                    <a:prstGeom prst="rect"/>
                    <a:ln/>
                  </pic:spPr>
                </pic:pic>
              </a:graphicData>
            </a:graphic>
          </wp:inline>
        </w:drawing>
      </w:r>
      <w:r w:rsidDel="00000000" w:rsidR="00000000" w:rsidRPr="00000000">
        <w:rPr>
          <w:rtl w:val="0"/>
        </w:rPr>
      </w:r>
    </w:p>
    <w:p w:rsidR="00000000" w:rsidDel="00000000" w:rsidP="00000000" w:rsidRDefault="00000000" w:rsidRPr="00000000" w14:paraId="00000071">
      <w:pPr>
        <w:spacing w:after="240" w:before="240" w:line="360" w:lineRule="auto"/>
        <w:jc w:val="center"/>
        <w:rPr>
          <w:rFonts w:ascii="Arial" w:cs="Arial" w:eastAsia="Arial" w:hAnsi="Arial"/>
        </w:rPr>
      </w:pPr>
      <w:r w:rsidDel="00000000" w:rsidR="00000000" w:rsidRPr="00000000">
        <w:rPr>
          <w:rFonts w:ascii="Arial" w:cs="Arial" w:eastAsia="Arial" w:hAnsi="Arial"/>
          <w:rtl w:val="0"/>
        </w:rPr>
        <w:t xml:space="preserve">Source: Mercer Health trends 2025</w:t>
      </w:r>
    </w:p>
    <w:p w:rsidR="00000000" w:rsidDel="00000000" w:rsidP="00000000" w:rsidRDefault="00000000" w:rsidRPr="00000000" w14:paraId="00000072">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markets that are experiencing high medical inflation and shifting care burdens, geographic segmentation prioritises urban and metropolitan regions. For example, the transfer of costs from public systems to employer-sponsored plans is driving a 10.4% forecasted medical trend rate in Europe for 2025 (Mercer, 2025). </w:t>
      </w:r>
    </w:p>
    <w:p w:rsidR="00000000" w:rsidDel="00000000" w:rsidP="00000000" w:rsidRDefault="00000000" w:rsidRPr="00000000" w14:paraId="00000073">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Similarly, insurers in Asia have expressed 87% concern regarding high-cost claimants and 74% have attributed the rise in expenses to novel cancer therapies. This has resulted in high plan volatility in Asia and Latin America due to the increasing costs of treatment and inefficient care. These regions are a fertile environment for LillyWell Clinics, which provide immediate relief to overburdened public systems and cost-efficient alternatives for employers and insurers.</w:t>
      </w:r>
    </w:p>
    <w:p w:rsidR="00000000" w:rsidDel="00000000" w:rsidP="00000000" w:rsidRDefault="00000000" w:rsidRPr="00000000" w14:paraId="00000074">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ideal consumer for LillyWell Clinics is a health-literate, prevention-oriented, and digitally engaged individual who is actively pursuing personalised healthcare experiences. Psychologically, this is the case. Almost 45% of employees find telemedicine to be advantageous, while 39% believe that AI-powered mental health support would be beneficial for them or their families (Mercer, 2025). These findings suggest that a consumer segment that prioritises technological integration, responsiveness, and accessibility—all of which are essential components of LillyWell's hybrid care model—is represented. </w:t>
      </w:r>
    </w:p>
    <w:p w:rsidR="00000000" w:rsidDel="00000000" w:rsidP="00000000" w:rsidRDefault="00000000" w:rsidRPr="00000000" w14:paraId="00000075">
      <w:pPr>
        <w:spacing w:after="240" w:before="240" w:line="360" w:lineRule="auto"/>
        <w:jc w:val="center"/>
        <w:rPr>
          <w:rFonts w:ascii="Arial" w:cs="Arial" w:eastAsia="Arial" w:hAnsi="Arial"/>
          <w:i w:val="1"/>
          <w:sz w:val="18"/>
          <w:szCs w:val="18"/>
        </w:rPr>
      </w:pPr>
      <w:r w:rsidDel="00000000" w:rsidR="00000000" w:rsidRPr="00000000">
        <w:rPr>
          <w:i w:val="1"/>
          <w:sz w:val="18"/>
          <w:szCs w:val="18"/>
        </w:rPr>
        <w:drawing>
          <wp:inline distB="0" distT="0" distL="0" distR="0">
            <wp:extent cx="5731510" cy="4906010"/>
            <wp:effectExtent b="0" l="0" r="0" t="0"/>
            <wp:docPr descr="Digital transformation in healthcare | Deloitte Insights" id="2068296179" name="image1.jpg"/>
            <a:graphic>
              <a:graphicData uri="http://schemas.openxmlformats.org/drawingml/2006/picture">
                <pic:pic>
                  <pic:nvPicPr>
                    <pic:cNvPr descr="Digital transformation in healthcare | Deloitte Insights" id="0" name="image1.jpg"/>
                    <pic:cNvPicPr preferRelativeResize="0"/>
                  </pic:nvPicPr>
                  <pic:blipFill>
                    <a:blip r:embed="rId17"/>
                    <a:srcRect b="0" l="0" r="0" t="0"/>
                    <a:stretch>
                      <a:fillRect/>
                    </a:stretch>
                  </pic:blipFill>
                  <pic:spPr>
                    <a:xfrm>
                      <a:off x="0" y="0"/>
                      <a:ext cx="5731510" cy="4906010"/>
                    </a:xfrm>
                    <a:prstGeom prst="rect"/>
                    <a:ln/>
                  </pic:spPr>
                </pic:pic>
              </a:graphicData>
            </a:graphic>
          </wp:inline>
        </w:drawing>
      </w:r>
      <w:r w:rsidDel="00000000" w:rsidR="00000000" w:rsidRPr="00000000">
        <w:rPr>
          <w:rtl w:val="0"/>
        </w:rPr>
      </w:r>
    </w:p>
    <w:p w:rsidR="00000000" w:rsidDel="00000000" w:rsidP="00000000" w:rsidRDefault="00000000" w:rsidRPr="00000000" w14:paraId="00000076">
      <w:pPr>
        <w:spacing w:after="240" w:before="240" w:line="360" w:lineRule="auto"/>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Source: </w:t>
      </w:r>
      <w:hyperlink r:id="rId18">
        <w:r w:rsidDel="00000000" w:rsidR="00000000" w:rsidRPr="00000000">
          <w:rPr>
            <w:rFonts w:ascii="Arial" w:cs="Arial" w:eastAsia="Arial" w:hAnsi="Arial"/>
            <w:color w:val="1155cc"/>
            <w:sz w:val="18"/>
            <w:szCs w:val="18"/>
            <w:u w:val="single"/>
            <w:rtl w:val="0"/>
          </w:rPr>
          <w:t xml:space="preserve">https://www2.deloitte.com/us/en/insights/industry/health-care/digital-transformation-in-healthcare.html</w:t>
        </w:r>
      </w:hyperlink>
      <w:r w:rsidDel="00000000" w:rsidR="00000000" w:rsidRPr="00000000">
        <w:rPr>
          <w:rtl w:val="0"/>
        </w:rPr>
      </w:r>
    </w:p>
    <w:p w:rsidR="00000000" w:rsidDel="00000000" w:rsidP="00000000" w:rsidRDefault="00000000" w:rsidRPr="00000000" w14:paraId="00000077">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Moreover, the demand for structured, pharmaceutical-supported wellness journeys is increasing as GLP-1 medications become more popular for the treatment of diabetes and weight loss (Sharma </w:t>
      </w:r>
      <w:r w:rsidDel="00000000" w:rsidR="00000000" w:rsidRPr="00000000">
        <w:rPr>
          <w:rFonts w:ascii="Arial" w:cs="Arial" w:eastAsia="Arial" w:hAnsi="Arial"/>
          <w:i w:val="1"/>
          <w:sz w:val="24"/>
          <w:szCs w:val="24"/>
          <w:rtl w:val="0"/>
        </w:rPr>
        <w:t xml:space="preserve">et al.</w:t>
      </w:r>
      <w:r w:rsidDel="00000000" w:rsidR="00000000" w:rsidRPr="00000000">
        <w:rPr>
          <w:rFonts w:ascii="Arial" w:cs="Arial" w:eastAsia="Arial" w:hAnsi="Arial"/>
          <w:sz w:val="24"/>
          <w:szCs w:val="24"/>
          <w:rtl w:val="0"/>
        </w:rPr>
        <w:t xml:space="preserve">, 2018; Mercer, 2025). This segment's behavioural profile encompasses an openness to utilising digital platforms for diagnosis, therapy, and lifestyle interventions, as well as proactive health surveillance and adherence to care routines.</w:t>
      </w:r>
    </w:p>
    <w:p w:rsidR="00000000" w:rsidDel="00000000" w:rsidP="00000000" w:rsidRDefault="00000000" w:rsidRPr="00000000" w14:paraId="00000078">
      <w:pPr>
        <w:pStyle w:val="Heading2"/>
        <w:spacing w:after="240" w:lineRule="auto"/>
        <w:rPr>
          <w:rFonts w:ascii="Arial" w:cs="Arial" w:eastAsia="Arial" w:hAnsi="Arial"/>
          <w:b w:val="1"/>
          <w:color w:val="000000"/>
          <w:sz w:val="24"/>
          <w:szCs w:val="24"/>
        </w:rPr>
      </w:pPr>
      <w:bookmarkStart w:colFirst="0" w:colLast="0" w:name="_heading=h.3anz4dikdevr" w:id="6"/>
      <w:bookmarkEnd w:id="6"/>
      <w:r w:rsidDel="00000000" w:rsidR="00000000" w:rsidRPr="00000000">
        <w:rPr>
          <w:rtl w:val="0"/>
        </w:rPr>
      </w:r>
    </w:p>
    <w:p w:rsidR="00000000" w:rsidDel="00000000" w:rsidP="00000000" w:rsidRDefault="00000000" w:rsidRPr="00000000" w14:paraId="00000079">
      <w:pPr>
        <w:pStyle w:val="Heading2"/>
        <w:spacing w:after="240" w:lineRule="auto"/>
        <w:rPr>
          <w:rFonts w:ascii="Arial" w:cs="Arial" w:eastAsia="Arial" w:hAnsi="Arial"/>
          <w:b w:val="1"/>
          <w:color w:val="000000"/>
          <w:sz w:val="24"/>
          <w:szCs w:val="24"/>
        </w:rPr>
      </w:pPr>
      <w:bookmarkStart w:colFirst="0" w:colLast="0" w:name="_heading=h.j839m1mq61lg" w:id="7"/>
      <w:bookmarkEnd w:id="7"/>
      <w:r w:rsidDel="00000000" w:rsidR="00000000" w:rsidRPr="00000000">
        <w:rPr>
          <w:rFonts w:ascii="Arial" w:cs="Arial" w:eastAsia="Arial" w:hAnsi="Arial"/>
          <w:b w:val="1"/>
          <w:color w:val="000000"/>
          <w:sz w:val="24"/>
          <w:szCs w:val="24"/>
          <w:rtl w:val="0"/>
        </w:rPr>
        <w:t xml:space="preserve">3.2 Targeting</w:t>
      </w:r>
    </w:p>
    <w:p w:rsidR="00000000" w:rsidDel="00000000" w:rsidP="00000000" w:rsidRDefault="00000000" w:rsidRPr="00000000" w14:paraId="0000007A">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LillyWell Clinics will implement a targeted differentiation strategy that emphasises corporate employers and their health plan participants. Despite economic constraints, 50% of employers worldwide intend to improve their health benefits in 2025 (Mercer, 2025). This is a direct response to the increasing number of claims that are being driven by complex conditions, including cancer, musculoskeletal disorders, and mental illness. </w:t>
      </w:r>
    </w:p>
    <w:p w:rsidR="00000000" w:rsidDel="00000000" w:rsidP="00000000" w:rsidRDefault="00000000" w:rsidRPr="00000000" w14:paraId="0000007B">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5731510" cy="3998595"/>
            <wp:effectExtent b="0" l="0" r="0" t="0"/>
            <wp:docPr id="2068296178" name="image10.png"/>
            <a:graphic>
              <a:graphicData uri="http://schemas.openxmlformats.org/drawingml/2006/picture">
                <pic:pic>
                  <pic:nvPicPr>
                    <pic:cNvPr id="0" name="image10.png"/>
                    <pic:cNvPicPr preferRelativeResize="0"/>
                  </pic:nvPicPr>
                  <pic:blipFill>
                    <a:blip r:embed="rId19"/>
                    <a:srcRect b="0" l="0" r="0" t="0"/>
                    <a:stretch>
                      <a:fillRect/>
                    </a:stretch>
                  </pic:blipFill>
                  <pic:spPr>
                    <a:xfrm>
                      <a:off x="0" y="0"/>
                      <a:ext cx="5731510" cy="3998595"/>
                    </a:xfrm>
                    <a:prstGeom prst="rect"/>
                    <a:ln/>
                  </pic:spPr>
                </pic:pic>
              </a:graphicData>
            </a:graphic>
          </wp:inline>
        </w:drawing>
      </w:r>
      <w:r w:rsidDel="00000000" w:rsidR="00000000" w:rsidRPr="00000000">
        <w:rPr>
          <w:rtl w:val="0"/>
        </w:rPr>
      </w:r>
    </w:p>
    <w:p w:rsidR="00000000" w:rsidDel="00000000" w:rsidP="00000000" w:rsidRDefault="00000000" w:rsidRPr="00000000" w14:paraId="0000007C">
      <w:pPr>
        <w:spacing w:after="240" w:before="240" w:line="360" w:lineRule="auto"/>
        <w:jc w:val="center"/>
        <w:rPr>
          <w:rFonts w:ascii="Arial" w:cs="Arial" w:eastAsia="Arial" w:hAnsi="Arial"/>
        </w:rPr>
      </w:pPr>
      <w:r w:rsidDel="00000000" w:rsidR="00000000" w:rsidRPr="00000000">
        <w:rPr>
          <w:rFonts w:ascii="Arial" w:cs="Arial" w:eastAsia="Arial" w:hAnsi="Arial"/>
          <w:rtl w:val="0"/>
        </w:rPr>
        <w:t xml:space="preserve">Source: Mercer Health trends 2025</w:t>
      </w:r>
    </w:p>
    <w:p w:rsidR="00000000" w:rsidDel="00000000" w:rsidP="00000000" w:rsidRDefault="00000000" w:rsidRPr="00000000" w14:paraId="0000007D">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Employers are actively pursuing value-based care solutions that not only manage costs but also enhance the health and productivity of their workforce (Mercer, 2025). LillyWell serves as a strategic partner in this transition by offering a comprehensive care experience that encompasses diagnostics, therapeutics, and digital engagement, all within a single platform.</w:t>
      </w:r>
    </w:p>
    <w:p w:rsidR="00000000" w:rsidDel="00000000" w:rsidP="00000000" w:rsidRDefault="00000000" w:rsidRPr="00000000" w14:paraId="0000007E">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targeting strategy also involves collaborating with insurers who are reevaluating their plan structures in response to persistently high cost (Javanmardian </w:t>
      </w:r>
      <w:r w:rsidDel="00000000" w:rsidR="00000000" w:rsidRPr="00000000">
        <w:rPr>
          <w:rFonts w:ascii="Arial" w:cs="Arial" w:eastAsia="Arial" w:hAnsi="Arial"/>
          <w:i w:val="1"/>
          <w:sz w:val="24"/>
          <w:szCs w:val="24"/>
          <w:rtl w:val="0"/>
        </w:rPr>
        <w:t xml:space="preserve">et al.</w:t>
      </w:r>
      <w:r w:rsidDel="00000000" w:rsidR="00000000" w:rsidRPr="00000000">
        <w:rPr>
          <w:rFonts w:ascii="Arial" w:cs="Arial" w:eastAsia="Arial" w:hAnsi="Arial"/>
          <w:sz w:val="24"/>
          <w:szCs w:val="24"/>
          <w:rtl w:val="0"/>
        </w:rPr>
        <w:t xml:space="preserve">, 2022). These stakeholders are becoming more receptive to provider networks and bundled care models that prioritise affordability and quality (Mercer, 2025). LillyWell provides insurers with a means to address unmet patient needs, particularly in the areas of preventive care and chronic disease management, while simultaneously reducing high-cost claims, by integrating Eli Lilly's pharmaceutical and diagnostic expertise into a clinical environment.</w:t>
      </w:r>
    </w:p>
    <w:p w:rsidR="00000000" w:rsidDel="00000000" w:rsidP="00000000" w:rsidRDefault="00000000" w:rsidRPr="00000000" w14:paraId="0000007F">
      <w:pPr>
        <w:pStyle w:val="Heading2"/>
        <w:spacing w:after="240" w:lineRule="auto"/>
        <w:rPr>
          <w:rFonts w:ascii="Arial" w:cs="Arial" w:eastAsia="Arial" w:hAnsi="Arial"/>
          <w:b w:val="1"/>
          <w:color w:val="000000"/>
          <w:sz w:val="24"/>
          <w:szCs w:val="24"/>
        </w:rPr>
      </w:pPr>
      <w:bookmarkStart w:colFirst="0" w:colLast="0" w:name="_heading=h.5aad7jr6kyz1" w:id="8"/>
      <w:bookmarkEnd w:id="8"/>
      <w:r w:rsidDel="00000000" w:rsidR="00000000" w:rsidRPr="00000000">
        <w:rPr>
          <w:rFonts w:ascii="Arial" w:cs="Arial" w:eastAsia="Arial" w:hAnsi="Arial"/>
          <w:b w:val="1"/>
          <w:color w:val="000000"/>
          <w:sz w:val="24"/>
          <w:szCs w:val="24"/>
          <w:rtl w:val="0"/>
        </w:rPr>
        <w:t xml:space="preserve">3.3 Positioning</w:t>
      </w:r>
    </w:p>
    <w:p w:rsidR="00000000" w:rsidDel="00000000" w:rsidP="00000000" w:rsidRDefault="00000000" w:rsidRPr="00000000" w14:paraId="00000080">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LillyWell Clinics will be established as a cutting-edge healthcare solution that seamlessly integrates the efficiency of pharmaceutical science with the accessibility of contemporary clinical services. Although mental health, reproductive health, and chronic disease prevention are among the most important concerns for employees, only a small number of insurers provide sufficient coverage (Mercer, 2025). LillyWell addresses this deficiency by providing real-time access to care and AI-enabled navigation, which are supported by integrated care pathways that encompass mental wellness, cancer screenings, and metabolic monitoring.</w:t>
      </w:r>
    </w:p>
    <w:p w:rsidR="00000000" w:rsidDel="00000000" w:rsidP="00000000" w:rsidRDefault="00000000" w:rsidRPr="00000000" w14:paraId="00000081">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brand extension will be regarded as a pioneering initiative in the industry, bridging the gap between traditional pharmaceutical and holistic care delivery. LillyWell is a pertinent and transformative innovation that reinforces Eli Lilly's legacy as a scientific pioneer and a human-centric healthcare partner, meeting the demand for more relevant, accessible, and cost-conscious healthcare from both employers and employees (Mercer, 2025).</w:t>
      </w:r>
    </w:p>
    <w:p w:rsidR="00000000" w:rsidDel="00000000" w:rsidP="00000000" w:rsidRDefault="00000000" w:rsidRPr="00000000" w14:paraId="00000082">
      <w:pPr>
        <w:pStyle w:val="Heading1"/>
        <w:spacing w:after="240" w:lineRule="auto"/>
        <w:rPr>
          <w:rFonts w:ascii="Arial" w:cs="Arial" w:eastAsia="Arial" w:hAnsi="Arial"/>
          <w:b w:val="1"/>
          <w:sz w:val="24"/>
          <w:szCs w:val="24"/>
        </w:rPr>
      </w:pPr>
      <w:bookmarkStart w:colFirst="0" w:colLast="0" w:name="_heading=h.j1ospwgy0eoj" w:id="9"/>
      <w:bookmarkEnd w:id="9"/>
      <w:r w:rsidDel="00000000" w:rsidR="00000000" w:rsidRPr="00000000">
        <w:rPr>
          <w:rFonts w:ascii="Arial" w:cs="Arial" w:eastAsia="Arial" w:hAnsi="Arial"/>
          <w:b w:val="1"/>
          <w:sz w:val="24"/>
          <w:szCs w:val="24"/>
          <w:rtl w:val="0"/>
        </w:rPr>
        <w:t xml:space="preserve">4. Customer Persona</w:t>
      </w:r>
    </w:p>
    <w:p w:rsidR="00000000" w:rsidDel="00000000" w:rsidP="00000000" w:rsidRDefault="00000000" w:rsidRPr="00000000" w14:paraId="00000083">
      <w:pPr>
        <w:pStyle w:val="Heading2"/>
        <w:spacing w:after="240" w:lineRule="auto"/>
        <w:rPr>
          <w:rFonts w:ascii="Arial" w:cs="Arial" w:eastAsia="Arial" w:hAnsi="Arial"/>
          <w:b w:val="1"/>
          <w:color w:val="000000"/>
          <w:sz w:val="24"/>
          <w:szCs w:val="24"/>
        </w:rPr>
      </w:pPr>
      <w:bookmarkStart w:colFirst="0" w:colLast="0" w:name="_heading=h.ud58z4s7ffxq" w:id="10"/>
      <w:bookmarkEnd w:id="10"/>
      <w:r w:rsidDel="00000000" w:rsidR="00000000" w:rsidRPr="00000000">
        <w:rPr>
          <w:rFonts w:ascii="Arial" w:cs="Arial" w:eastAsia="Arial" w:hAnsi="Arial"/>
          <w:b w:val="1"/>
          <w:color w:val="000000"/>
          <w:sz w:val="24"/>
          <w:szCs w:val="24"/>
          <w:rtl w:val="0"/>
        </w:rPr>
        <w:t xml:space="preserve">4.1 Demographic Profile</w:t>
      </w:r>
    </w:p>
    <w:p w:rsidR="00000000" w:rsidDel="00000000" w:rsidP="00000000" w:rsidRDefault="00000000" w:rsidRPr="00000000" w14:paraId="00000084">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primary customer profile for LillyWell Clinics consists of working professionals aged 25 to 55 who reside in urban and peri-urban regions throughout the United States, Europe, and certain regions of Asia, where Eli Lilly already has a significant market presence (MarketLine, 2025). These individuals are typically employed in sectors such as finance, technology, healthcare, and professional services, where they receive a consistent salary. They fall within the middle to upper-middle-income brackets. </w:t>
      </w:r>
    </w:p>
    <w:p w:rsidR="00000000" w:rsidDel="00000000" w:rsidP="00000000" w:rsidRDefault="00000000" w:rsidRPr="00000000" w14:paraId="00000085">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Eli Lilly's revenue is generated in the United States, with 63.9% of its revenue coming from the country (MarketLine, 2025). This suggests that the company has a significant presence in markets with established employer-sponsored health insurance systems. This demographic is typically well-educated, possessing at least an undergraduate degree, and is eligible for health insurance provided by their employers. </w:t>
      </w:r>
    </w:p>
    <w:p w:rsidR="00000000" w:rsidDel="00000000" w:rsidP="00000000" w:rsidRDefault="00000000" w:rsidRPr="00000000" w14:paraId="00000086">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These regions are currently experiencing a significant increase in healthcare inflation and a corresponding increase in the number of chronic condition claims, particularly among individuals under the age of 50, who now account for a substantial proportion of cancer and metabolic disease cases (Mercer, 2025).</w:t>
      </w:r>
    </w:p>
    <w:p w:rsidR="00000000" w:rsidDel="00000000" w:rsidP="00000000" w:rsidRDefault="00000000" w:rsidRPr="00000000" w14:paraId="00000087">
      <w:pPr>
        <w:pStyle w:val="Heading2"/>
        <w:spacing w:after="240" w:lineRule="auto"/>
        <w:rPr>
          <w:rFonts w:ascii="Arial" w:cs="Arial" w:eastAsia="Arial" w:hAnsi="Arial"/>
          <w:b w:val="1"/>
          <w:color w:val="000000"/>
          <w:sz w:val="24"/>
          <w:szCs w:val="24"/>
        </w:rPr>
      </w:pPr>
      <w:bookmarkStart w:colFirst="0" w:colLast="0" w:name="_heading=h.l85dbjt2ihxl" w:id="11"/>
      <w:bookmarkEnd w:id="11"/>
      <w:r w:rsidDel="00000000" w:rsidR="00000000" w:rsidRPr="00000000">
        <w:rPr>
          <w:rFonts w:ascii="Arial" w:cs="Arial" w:eastAsia="Arial" w:hAnsi="Arial"/>
          <w:b w:val="1"/>
          <w:color w:val="000000"/>
          <w:sz w:val="24"/>
          <w:szCs w:val="24"/>
          <w:rtl w:val="0"/>
        </w:rPr>
        <w:t xml:space="preserve">4.2 Psychographic Profile</w:t>
      </w:r>
    </w:p>
    <w:p w:rsidR="00000000" w:rsidDel="00000000" w:rsidP="00000000" w:rsidRDefault="00000000" w:rsidRPr="00000000" w14:paraId="00000088">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LillyWell's primary customers are health-conscious, digitally literate, and becoming more sceptical of fragmented healthcare experiences from a psychographic perspective. They prioritise privacy, convenience, and proactive health strategies, favouring seamless access to physical and digital care options that prioritise long-term wellness, early detection, and prevention.  39% of employees indicate an interest in AI-driven mental health support, and 45% regard telemedicine as a beneficial feature for managing well-being, suggesting an openness to technologically integrated healthcare (Mercer, 2025). </w:t>
      </w:r>
    </w:p>
    <w:p w:rsidR="00000000" w:rsidDel="00000000" w:rsidP="00000000" w:rsidRDefault="00000000" w:rsidRPr="00000000" w14:paraId="00000089">
      <w:pPr>
        <w:spacing w:after="240" w:before="240" w:line="360" w:lineRule="auto"/>
        <w:jc w:val="center"/>
        <w:rPr>
          <w:rFonts w:ascii="Arial" w:cs="Arial" w:eastAsia="Arial" w:hAnsi="Arial"/>
          <w:i w:val="1"/>
        </w:rPr>
      </w:pPr>
      <w:r w:rsidDel="00000000" w:rsidR="00000000" w:rsidRPr="00000000">
        <w:rPr>
          <w:i w:val="1"/>
        </w:rPr>
        <w:drawing>
          <wp:inline distB="0" distT="0" distL="0" distR="0">
            <wp:extent cx="4708688" cy="2633256"/>
            <wp:effectExtent b="0" l="0" r="0" t="0"/>
            <wp:docPr descr="4 ways AI is improving mental health therapy | World Economic Forum" id="2068296181" name="image11.jpg"/>
            <a:graphic>
              <a:graphicData uri="http://schemas.openxmlformats.org/drawingml/2006/picture">
                <pic:pic>
                  <pic:nvPicPr>
                    <pic:cNvPr descr="4 ways AI is improving mental health therapy | World Economic Forum" id="0" name="image11.jpg"/>
                    <pic:cNvPicPr preferRelativeResize="0"/>
                  </pic:nvPicPr>
                  <pic:blipFill>
                    <a:blip r:embed="rId20"/>
                    <a:srcRect b="0" l="0" r="0" t="0"/>
                    <a:stretch>
                      <a:fillRect/>
                    </a:stretch>
                  </pic:blipFill>
                  <pic:spPr>
                    <a:xfrm>
                      <a:off x="0" y="0"/>
                      <a:ext cx="4708688" cy="2633256"/>
                    </a:xfrm>
                    <a:prstGeom prst="rect"/>
                    <a:ln/>
                  </pic:spPr>
                </pic:pic>
              </a:graphicData>
            </a:graphic>
          </wp:inline>
        </w:drawing>
      </w:r>
      <w:r w:rsidDel="00000000" w:rsidR="00000000" w:rsidRPr="00000000">
        <w:rPr>
          <w:rtl w:val="0"/>
        </w:rPr>
      </w:r>
    </w:p>
    <w:p w:rsidR="00000000" w:rsidDel="00000000" w:rsidP="00000000" w:rsidRDefault="00000000" w:rsidRPr="00000000" w14:paraId="0000008A">
      <w:pPr>
        <w:spacing w:after="240" w:before="240" w:line="360" w:lineRule="auto"/>
        <w:jc w:val="center"/>
        <w:rPr>
          <w:rFonts w:ascii="Arial" w:cs="Arial" w:eastAsia="Arial" w:hAnsi="Arial"/>
          <w:i w:val="1"/>
        </w:rPr>
      </w:pPr>
      <w:r w:rsidDel="00000000" w:rsidR="00000000" w:rsidRPr="00000000">
        <w:rPr>
          <w:rFonts w:ascii="Arial" w:cs="Arial" w:eastAsia="Arial" w:hAnsi="Arial"/>
          <w:i w:val="1"/>
          <w:rtl w:val="0"/>
        </w:rPr>
        <w:t xml:space="preserve">Source:</w:t>
      </w:r>
      <w:hyperlink r:id="rId21">
        <w:r w:rsidDel="00000000" w:rsidR="00000000" w:rsidRPr="00000000">
          <w:rPr>
            <w:rFonts w:ascii="Arial" w:cs="Arial" w:eastAsia="Arial" w:hAnsi="Arial"/>
            <w:i w:val="1"/>
            <w:color w:val="1155cc"/>
            <w:u w:val="single"/>
            <w:rtl w:val="0"/>
          </w:rPr>
          <w:t xml:space="preserve"> https://www.weforum.org/stories/2021/12/ai-mental-health-cbt-therapy/</w:t>
        </w:r>
      </w:hyperlink>
      <w:r w:rsidDel="00000000" w:rsidR="00000000" w:rsidRPr="00000000">
        <w:rPr>
          <w:rtl w:val="0"/>
        </w:rPr>
      </w:r>
    </w:p>
    <w:p w:rsidR="00000000" w:rsidDel="00000000" w:rsidP="00000000" w:rsidRDefault="00000000" w:rsidRPr="00000000" w14:paraId="0000008B">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These individuals are prepared to pay a premium for personalized and data-driven healthcare, and they are responsive to services that support the management of chronic conditions, such as access to weight-loss and mental health therapies (Mercer, 2025). They also aspire to maintain a balanced lifestyle. Eli Lilly's innovative care delivery model is highly relevant to this audience, as their purchasing behaviour is significantly influenced by trust, brand credibility, and real-world clinical impact.</w:t>
      </w:r>
    </w:p>
    <w:p w:rsidR="00000000" w:rsidDel="00000000" w:rsidP="00000000" w:rsidRDefault="00000000" w:rsidRPr="00000000" w14:paraId="0000008C">
      <w:pPr>
        <w:pStyle w:val="Heading1"/>
        <w:spacing w:after="240" w:lineRule="auto"/>
        <w:rPr>
          <w:rFonts w:ascii="Arial" w:cs="Arial" w:eastAsia="Arial" w:hAnsi="Arial"/>
          <w:sz w:val="24"/>
          <w:szCs w:val="24"/>
        </w:rPr>
      </w:pPr>
      <w:bookmarkStart w:colFirst="0" w:colLast="0" w:name="_heading=h.wnr41exjdz8q" w:id="12"/>
      <w:bookmarkEnd w:id="12"/>
      <w:r w:rsidDel="00000000" w:rsidR="00000000" w:rsidRPr="00000000">
        <w:rPr>
          <w:rFonts w:ascii="Arial" w:cs="Arial" w:eastAsia="Arial" w:hAnsi="Arial"/>
          <w:b w:val="1"/>
          <w:sz w:val="24"/>
          <w:szCs w:val="24"/>
          <w:rtl w:val="0"/>
        </w:rPr>
        <w:t xml:space="preserve">5. Marketing Mix </w:t>
      </w:r>
      <w:r w:rsidDel="00000000" w:rsidR="00000000" w:rsidRPr="00000000">
        <w:rPr>
          <w:rtl w:val="0"/>
        </w:rPr>
      </w:r>
    </w:p>
    <w:p w:rsidR="00000000" w:rsidDel="00000000" w:rsidP="00000000" w:rsidRDefault="00000000" w:rsidRPr="00000000" w14:paraId="0000008D">
      <w:pPr>
        <w:pStyle w:val="Heading2"/>
        <w:spacing w:after="240" w:lineRule="auto"/>
        <w:rPr>
          <w:rFonts w:ascii="Arial" w:cs="Arial" w:eastAsia="Arial" w:hAnsi="Arial"/>
          <w:b w:val="1"/>
          <w:color w:val="000000"/>
          <w:sz w:val="24"/>
          <w:szCs w:val="24"/>
        </w:rPr>
      </w:pPr>
      <w:bookmarkStart w:colFirst="0" w:colLast="0" w:name="_heading=h.dnxuxuwtqkd0" w:id="13"/>
      <w:bookmarkEnd w:id="13"/>
      <w:r w:rsidDel="00000000" w:rsidR="00000000" w:rsidRPr="00000000">
        <w:rPr>
          <w:rFonts w:ascii="Arial" w:cs="Arial" w:eastAsia="Arial" w:hAnsi="Arial"/>
          <w:b w:val="1"/>
          <w:color w:val="000000"/>
          <w:sz w:val="24"/>
          <w:szCs w:val="24"/>
          <w:rtl w:val="0"/>
        </w:rPr>
        <w:t xml:space="preserve">5.1 Product</w:t>
      </w:r>
    </w:p>
    <w:p w:rsidR="00000000" w:rsidDel="00000000" w:rsidP="00000000" w:rsidRDefault="00000000" w:rsidRPr="00000000" w14:paraId="0000008E">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Eli Lilly's transition from a pharmaceutical leader to a hybrid healthcare provider is symbolised by LillyWell Clinics. These clinics are intended to provide preventive, personalised healthcare services, including diagnostics, chronic disease management, mental health support, and direct access to Eli Lilly's hallmark therapies, including Mounjaro, Zep Bound, and Trulicity (Eli Lilly, 2024). LillyWell Clinics can function as critical platforms for the delivery and monitoring of real-world outcomes associated with these products, as Mounjaro and Zepbound alone make substantial contributions to Eli Lilly's cardiometabolic portfolio. Mounjaro's compound patent is protected until 2036 in the United States and until 2040 in Japan.</w:t>
      </w:r>
    </w:p>
    <w:p w:rsidR="00000000" w:rsidDel="00000000" w:rsidP="00000000" w:rsidRDefault="00000000" w:rsidRPr="00000000" w14:paraId="0000008F">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integration of AI-powered diagnostic tools, telemedicine, and EHR interoperability is in line with Lilly's broader digital health investments, which include the recent launch of LillyDirect, a direct-to-consumer healthcare platform that is designed to enhance access to care for obese, migraine, and diabetes (Eli Lilly, 2024). LillyWell enhances its service differentiation by integrating these innovations into physical clinics, resulting in seamless, technology-integrated care.</w:t>
      </w:r>
    </w:p>
    <w:p w:rsidR="00000000" w:rsidDel="00000000" w:rsidP="00000000" w:rsidRDefault="00000000" w:rsidRPr="00000000" w14:paraId="00000090">
      <w:pPr>
        <w:pStyle w:val="Heading2"/>
        <w:spacing w:after="240" w:lineRule="auto"/>
        <w:rPr>
          <w:rFonts w:ascii="Arial" w:cs="Arial" w:eastAsia="Arial" w:hAnsi="Arial"/>
          <w:b w:val="1"/>
          <w:color w:val="000000"/>
          <w:sz w:val="24"/>
          <w:szCs w:val="24"/>
        </w:rPr>
      </w:pPr>
      <w:bookmarkStart w:colFirst="0" w:colLast="0" w:name="_heading=h.k33g3ci7xwse" w:id="14"/>
      <w:bookmarkEnd w:id="14"/>
      <w:r w:rsidDel="00000000" w:rsidR="00000000" w:rsidRPr="00000000">
        <w:rPr>
          <w:rFonts w:ascii="Arial" w:cs="Arial" w:eastAsia="Arial" w:hAnsi="Arial"/>
          <w:b w:val="1"/>
          <w:color w:val="000000"/>
          <w:sz w:val="24"/>
          <w:szCs w:val="24"/>
          <w:rtl w:val="0"/>
        </w:rPr>
        <w:t xml:space="preserve">5.2 Price</w:t>
      </w:r>
    </w:p>
    <w:p w:rsidR="00000000" w:rsidDel="00000000" w:rsidP="00000000" w:rsidRDefault="00000000" w:rsidRPr="00000000" w14:paraId="00000091">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LillyWell Clinics will implement a pricing strategy that is based on value. Eli Lilly's global investment in product rebates and discounts is substantial, particularly in the United States, where list-price-to-net-price reductions are substantial as a result of negotiations with insurers and PBMs (Eli Lilly, 2024). This enables LillyWell to operate within insurer and employer benefit ecosystems by providing bundled care services that are linked to performance metrics, such as enhanced HbA1c levels in diabetic patients or reduced hospitalisations.</w:t>
      </w:r>
    </w:p>
    <w:p w:rsidR="00000000" w:rsidDel="00000000" w:rsidP="00000000" w:rsidRDefault="00000000" w:rsidRPr="00000000" w14:paraId="00000092">
      <w:pPr>
        <w:spacing w:after="240" w:before="240" w:line="360" w:lineRule="auto"/>
        <w:jc w:val="center"/>
        <w:rPr>
          <w:rFonts w:ascii="Arial" w:cs="Arial" w:eastAsia="Arial" w:hAnsi="Arial"/>
          <w:i w:val="1"/>
        </w:rPr>
      </w:pPr>
      <w:r w:rsidDel="00000000" w:rsidR="00000000" w:rsidRPr="00000000">
        <w:rPr>
          <w:i w:val="1"/>
        </w:rPr>
        <w:drawing>
          <wp:inline distB="0" distT="0" distL="0" distR="0">
            <wp:extent cx="5731510" cy="5731510"/>
            <wp:effectExtent b="0" l="0" r="0" t="0"/>
            <wp:docPr descr="Chart: U.S. Drug Prices Sky-High in International Comparison | Statista" id="2068296180" name="image6.jpg"/>
            <a:graphic>
              <a:graphicData uri="http://schemas.openxmlformats.org/drawingml/2006/picture">
                <pic:pic>
                  <pic:nvPicPr>
                    <pic:cNvPr descr="Chart: U.S. Drug Prices Sky-High in International Comparison | Statista" id="0" name="image6.jpg"/>
                    <pic:cNvPicPr preferRelativeResize="0"/>
                  </pic:nvPicPr>
                  <pic:blipFill>
                    <a:blip r:embed="rId22"/>
                    <a:srcRect b="0" l="0" r="0" t="0"/>
                    <a:stretch>
                      <a:fillRect/>
                    </a:stretch>
                  </pic:blipFill>
                  <pic:spPr>
                    <a:xfrm>
                      <a:off x="0" y="0"/>
                      <a:ext cx="5731510" cy="5731510"/>
                    </a:xfrm>
                    <a:prstGeom prst="rect"/>
                    <a:ln/>
                  </pic:spPr>
                </pic:pic>
              </a:graphicData>
            </a:graphic>
          </wp:inline>
        </w:drawing>
      </w:r>
      <w:r w:rsidDel="00000000" w:rsidR="00000000" w:rsidRPr="00000000">
        <w:rPr>
          <w:rtl w:val="0"/>
        </w:rPr>
      </w:r>
    </w:p>
    <w:p w:rsidR="00000000" w:rsidDel="00000000" w:rsidP="00000000" w:rsidRDefault="00000000" w:rsidRPr="00000000" w14:paraId="00000093">
      <w:pPr>
        <w:spacing w:after="240" w:before="240" w:line="360" w:lineRule="auto"/>
        <w:jc w:val="center"/>
        <w:rPr>
          <w:rFonts w:ascii="Arial" w:cs="Arial" w:eastAsia="Arial" w:hAnsi="Arial"/>
        </w:rPr>
      </w:pPr>
      <w:r w:rsidDel="00000000" w:rsidR="00000000" w:rsidRPr="00000000">
        <w:rPr>
          <w:rFonts w:ascii="Arial" w:cs="Arial" w:eastAsia="Arial" w:hAnsi="Arial"/>
          <w:rtl w:val="0"/>
        </w:rPr>
        <w:t xml:space="preserve">Source: </w:t>
      </w:r>
      <w:hyperlink r:id="rId23">
        <w:r w:rsidDel="00000000" w:rsidR="00000000" w:rsidRPr="00000000">
          <w:rPr>
            <w:rFonts w:ascii="Arial" w:cs="Arial" w:eastAsia="Arial" w:hAnsi="Arial"/>
            <w:color w:val="1155cc"/>
            <w:u w:val="single"/>
            <w:rtl w:val="0"/>
          </w:rPr>
          <w:t xml:space="preserve">https://www.statista.com/chart/27932/us-prescription-drug-prices-in-international-comparison/</w:t>
        </w:r>
      </w:hyperlink>
      <w:r w:rsidDel="00000000" w:rsidR="00000000" w:rsidRPr="00000000">
        <w:rPr>
          <w:rtl w:val="0"/>
        </w:rPr>
      </w:r>
    </w:p>
    <w:p w:rsidR="00000000" w:rsidDel="00000000" w:rsidP="00000000" w:rsidRDefault="00000000" w:rsidRPr="00000000" w14:paraId="00000094">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Furthermore, Lilly's involvement in Medicare and Medicaid discount programs, which includes the implementation of new pricing models under the Inflation Reduction Act (IRA), such as the 10%–20% Manufacturer Discount Program that replaced the CGDP, establishes a precedent for transparent, predictable pricing that can be applied to clinic-based service offerings (Phelps, 2022; Eli Lilly, 2024). Clinics may negotiate per-member, per-month rates with corporate health plans and implement tiered pricing for self-pay clients.</w:t>
      </w:r>
    </w:p>
    <w:p w:rsidR="00000000" w:rsidDel="00000000" w:rsidP="00000000" w:rsidRDefault="00000000" w:rsidRPr="00000000" w14:paraId="00000095">
      <w:pPr>
        <w:spacing w:after="240" w:before="24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6">
      <w:pPr>
        <w:pStyle w:val="Heading2"/>
        <w:spacing w:after="240" w:lineRule="auto"/>
        <w:rPr>
          <w:rFonts w:ascii="Arial" w:cs="Arial" w:eastAsia="Arial" w:hAnsi="Arial"/>
          <w:b w:val="1"/>
          <w:color w:val="000000"/>
          <w:sz w:val="24"/>
          <w:szCs w:val="24"/>
        </w:rPr>
      </w:pPr>
      <w:bookmarkStart w:colFirst="0" w:colLast="0" w:name="_heading=h.umoqdoyy1cad" w:id="15"/>
      <w:bookmarkEnd w:id="15"/>
      <w:r w:rsidDel="00000000" w:rsidR="00000000" w:rsidRPr="00000000">
        <w:rPr>
          <w:rFonts w:ascii="Arial" w:cs="Arial" w:eastAsia="Arial" w:hAnsi="Arial"/>
          <w:b w:val="1"/>
          <w:color w:val="000000"/>
          <w:sz w:val="24"/>
          <w:szCs w:val="24"/>
          <w:rtl w:val="0"/>
        </w:rPr>
        <w:t xml:space="preserve">5.3 Promotion</w:t>
      </w:r>
    </w:p>
    <w:p w:rsidR="00000000" w:rsidDel="00000000" w:rsidP="00000000" w:rsidRDefault="00000000" w:rsidRPr="00000000" w14:paraId="00000097">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Eli Lilly will capitalize on its multichannel marketing expertise during the promotion. The company currently engages physicians and patients through direct-to-consumer advertising, social media, medical conferences, and its digital platforms, including LillyDirect (Eli Lilly, 2024). These assets will be essential for the promotion of LillyWell to urban professionals who are health-conscious and digitally literate.</w:t>
      </w:r>
    </w:p>
    <w:p w:rsidR="00000000" w:rsidDel="00000000" w:rsidP="00000000" w:rsidRDefault="00000000" w:rsidRPr="00000000" w14:paraId="00000098">
      <w:pPr>
        <w:spacing w:after="240" w:before="240" w:line="360" w:lineRule="auto"/>
        <w:jc w:val="center"/>
        <w:rPr>
          <w:rFonts w:ascii="Arial" w:cs="Arial" w:eastAsia="Arial" w:hAnsi="Arial"/>
          <w:i w:val="1"/>
          <w:sz w:val="18"/>
          <w:szCs w:val="18"/>
        </w:rPr>
      </w:pPr>
      <w:r w:rsidDel="00000000" w:rsidR="00000000" w:rsidRPr="00000000">
        <w:rPr>
          <w:i w:val="1"/>
          <w:sz w:val="18"/>
          <w:szCs w:val="18"/>
        </w:rPr>
        <w:drawing>
          <wp:inline distB="0" distT="0" distL="0" distR="0">
            <wp:extent cx="5731510" cy="2875280"/>
            <wp:effectExtent b="0" l="0" r="0" t="0"/>
            <wp:docPr descr="The Periodic Table of Pharma Multi-channel Marketing | by Dean Mattingley |  Owen Health Blog" id="2068296182" name="image8.jpg"/>
            <a:graphic>
              <a:graphicData uri="http://schemas.openxmlformats.org/drawingml/2006/picture">
                <pic:pic>
                  <pic:nvPicPr>
                    <pic:cNvPr descr="The Periodic Table of Pharma Multi-channel Marketing | by Dean Mattingley |  Owen Health Blog" id="0" name="image8.jpg"/>
                    <pic:cNvPicPr preferRelativeResize="0"/>
                  </pic:nvPicPr>
                  <pic:blipFill>
                    <a:blip r:embed="rId24"/>
                    <a:srcRect b="0" l="0" r="0" t="0"/>
                    <a:stretch>
                      <a:fillRect/>
                    </a:stretch>
                  </pic:blipFill>
                  <pic:spPr>
                    <a:xfrm>
                      <a:off x="0" y="0"/>
                      <a:ext cx="5731510" cy="2875280"/>
                    </a:xfrm>
                    <a:prstGeom prst="rect"/>
                    <a:ln/>
                  </pic:spPr>
                </pic:pic>
              </a:graphicData>
            </a:graphic>
          </wp:inline>
        </w:drawing>
      </w:r>
      <w:r w:rsidDel="00000000" w:rsidR="00000000" w:rsidRPr="00000000">
        <w:rPr>
          <w:rtl w:val="0"/>
        </w:rPr>
      </w:r>
    </w:p>
    <w:p w:rsidR="00000000" w:rsidDel="00000000" w:rsidP="00000000" w:rsidRDefault="00000000" w:rsidRPr="00000000" w14:paraId="00000099">
      <w:pPr>
        <w:spacing w:after="240" w:before="240" w:line="360" w:lineRule="auto"/>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Source: </w:t>
      </w:r>
      <w:hyperlink r:id="rId25">
        <w:r w:rsidDel="00000000" w:rsidR="00000000" w:rsidRPr="00000000">
          <w:rPr>
            <w:rFonts w:ascii="Arial" w:cs="Arial" w:eastAsia="Arial" w:hAnsi="Arial"/>
            <w:color w:val="1155cc"/>
            <w:sz w:val="18"/>
            <w:szCs w:val="18"/>
            <w:u w:val="single"/>
            <w:rtl w:val="0"/>
          </w:rPr>
          <w:t xml:space="preserve">https://blog.owenhealth.co.uk/the-periodic-table-of-pharma-multi-channel-marketing-cf3dd143f141</w:t>
        </w:r>
      </w:hyperlink>
      <w:r w:rsidDel="00000000" w:rsidR="00000000" w:rsidRPr="00000000">
        <w:rPr>
          <w:rtl w:val="0"/>
        </w:rPr>
      </w:r>
    </w:p>
    <w:p w:rsidR="00000000" w:rsidDel="00000000" w:rsidP="00000000" w:rsidRDefault="00000000" w:rsidRPr="00000000" w14:paraId="0000009A">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Eli Lilly's existing relationships with healthcare professionals and institutions will facilitate referrals, while strategic promotion partnerships with insurers and employer groups will enhance visibility. To guarantee evidence-based messaging and dissemination, it is possible to mobilise internal resources, including 11,000+ employees in R&amp;D and commercial support functions (Eli Lilly, 2024).</w:t>
      </w:r>
    </w:p>
    <w:p w:rsidR="00000000" w:rsidDel="00000000" w:rsidP="00000000" w:rsidRDefault="00000000" w:rsidRPr="00000000" w14:paraId="0000009B">
      <w:pPr>
        <w:pStyle w:val="Heading2"/>
        <w:spacing w:after="240" w:lineRule="auto"/>
        <w:rPr>
          <w:rFonts w:ascii="Arial" w:cs="Arial" w:eastAsia="Arial" w:hAnsi="Arial"/>
          <w:b w:val="1"/>
          <w:color w:val="000000"/>
          <w:sz w:val="24"/>
          <w:szCs w:val="24"/>
        </w:rPr>
      </w:pPr>
      <w:bookmarkStart w:colFirst="0" w:colLast="0" w:name="_heading=h.x7zw60hbcm2a" w:id="16"/>
      <w:bookmarkEnd w:id="16"/>
      <w:r w:rsidDel="00000000" w:rsidR="00000000" w:rsidRPr="00000000">
        <w:rPr>
          <w:rFonts w:ascii="Arial" w:cs="Arial" w:eastAsia="Arial" w:hAnsi="Arial"/>
          <w:b w:val="1"/>
          <w:color w:val="000000"/>
          <w:sz w:val="24"/>
          <w:szCs w:val="24"/>
          <w:rtl w:val="0"/>
        </w:rPr>
        <w:t xml:space="preserve">5.4 Place</w:t>
      </w:r>
    </w:p>
    <w:p w:rsidR="00000000" w:rsidDel="00000000" w:rsidP="00000000" w:rsidRDefault="00000000" w:rsidRPr="00000000" w14:paraId="0000009C">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LillyWell Clinics will initially concentrate on high-density urban areas in the United States, Europe, and Japan, which are responsible for more than 82% of Eli Lilly's global revenue. Additionally, these markets are facing increasing healthcare inflation (e.g., 10.4% projected in Europe), which renders them ideal testbeds for value-based, preventive care alternatives (Eli Lilly, 2024).</w:t>
      </w:r>
    </w:p>
    <w:p w:rsidR="00000000" w:rsidDel="00000000" w:rsidP="00000000" w:rsidRDefault="00000000" w:rsidRPr="00000000" w14:paraId="0000009D">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Eli Lilly's robust drug supply chains, which are supported by integrated clinic operations, are ensured by its robust manufacturing infrastructure, which includes new investments such as a $5.3 billion Indiana site and a $3 billion Wisconsin facility (Eli Lilly, 2024). The clinics will augment the company's current U.S. distribution partnerships with McKesson, Cencora, and Cardinal Health, which collectively accounted for a substantial portion of consolidated revenue in 2024.</w:t>
      </w:r>
    </w:p>
    <w:p w:rsidR="00000000" w:rsidDel="00000000" w:rsidP="00000000" w:rsidRDefault="00000000" w:rsidRPr="00000000" w14:paraId="0000009E">
      <w:pPr>
        <w:pStyle w:val="Heading2"/>
        <w:spacing w:after="240" w:lineRule="auto"/>
        <w:rPr>
          <w:rFonts w:ascii="Arial" w:cs="Arial" w:eastAsia="Arial" w:hAnsi="Arial"/>
          <w:b w:val="1"/>
          <w:color w:val="000000"/>
          <w:sz w:val="24"/>
          <w:szCs w:val="24"/>
        </w:rPr>
      </w:pPr>
      <w:bookmarkStart w:colFirst="0" w:colLast="0" w:name="_heading=h.zaee8nuzue14" w:id="17"/>
      <w:bookmarkEnd w:id="17"/>
      <w:r w:rsidDel="00000000" w:rsidR="00000000" w:rsidRPr="00000000">
        <w:rPr>
          <w:rFonts w:ascii="Arial" w:cs="Arial" w:eastAsia="Arial" w:hAnsi="Arial"/>
          <w:b w:val="1"/>
          <w:color w:val="000000"/>
          <w:sz w:val="24"/>
          <w:szCs w:val="24"/>
          <w:rtl w:val="0"/>
        </w:rPr>
        <w:t xml:space="preserve">5.5 Process</w:t>
      </w:r>
    </w:p>
    <w:p w:rsidR="00000000" w:rsidDel="00000000" w:rsidP="00000000" w:rsidRDefault="00000000" w:rsidRPr="00000000" w14:paraId="0000009F">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LillyWell Clinics will prioritise care journeys that are data-informed and frictionless. Patients will transition from virtual consultations to in-person diagnostics by employing integrated digital tools, which aligns with Lilly's own technology utilisation in its R&amp;D and patient access programs (Eli Lilly, 2024). AI-driven personalisation, which is already supported in LillyDirect, will facilitate continuous monitoring, risk stratification, and predictive care pathways, in accordance with Lilly's long-term innovation strategy.</w:t>
      </w:r>
    </w:p>
    <w:p w:rsidR="00000000" w:rsidDel="00000000" w:rsidP="00000000" w:rsidRDefault="00000000" w:rsidRPr="00000000" w14:paraId="000000A0">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Quality assurance will be consistent with pharmaceutical standards. Eli Lilly's products are subject to rigorous post-market surveillance and regulatory conformance, and its global operations adhere to strict Good Manufacturing Practices (GMP) (Eli Lilly, 2024). In order to guarantee consistency, accountability, and quantifiable health outcomes, the same discipline will be integrated into clinical workflows.</w:t>
      </w:r>
    </w:p>
    <w:p w:rsidR="00000000" w:rsidDel="00000000" w:rsidP="00000000" w:rsidRDefault="00000000" w:rsidRPr="00000000" w14:paraId="000000A1">
      <w:pPr>
        <w:pStyle w:val="Heading2"/>
        <w:spacing w:after="240" w:lineRule="auto"/>
        <w:rPr>
          <w:rFonts w:ascii="Arial" w:cs="Arial" w:eastAsia="Arial" w:hAnsi="Arial"/>
          <w:b w:val="1"/>
          <w:color w:val="000000"/>
          <w:sz w:val="24"/>
          <w:szCs w:val="24"/>
        </w:rPr>
      </w:pPr>
      <w:bookmarkStart w:colFirst="0" w:colLast="0" w:name="_heading=h.95dnxdys8y5l" w:id="18"/>
      <w:bookmarkEnd w:id="18"/>
      <w:r w:rsidDel="00000000" w:rsidR="00000000" w:rsidRPr="00000000">
        <w:rPr>
          <w:rFonts w:ascii="Arial" w:cs="Arial" w:eastAsia="Arial" w:hAnsi="Arial"/>
          <w:b w:val="1"/>
          <w:color w:val="000000"/>
          <w:sz w:val="24"/>
          <w:szCs w:val="24"/>
          <w:rtl w:val="0"/>
        </w:rPr>
        <w:t xml:space="preserve">5.6 People</w:t>
      </w:r>
    </w:p>
    <w:p w:rsidR="00000000" w:rsidDel="00000000" w:rsidP="00000000" w:rsidRDefault="00000000" w:rsidRPr="00000000" w14:paraId="000000A2">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LillyWell model is fundamentally centred around individuals. Eli Lilly employs more than 43,000 individuals worldwide, with over 11,000 in research and development (Eli Lilly, 2024). A significant number of these employees possess advanced scientific and medical degrees. The clinics will be staffed by healthcare professionals who have received training in digital engagement, consumer experience, and medicine.</w:t>
      </w:r>
    </w:p>
    <w:p w:rsidR="00000000" w:rsidDel="00000000" w:rsidP="00000000" w:rsidRDefault="00000000" w:rsidRPr="00000000" w14:paraId="000000A3">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organisational readiness for a services transition is further emphasised by the leadership buy-in, which extends from CEO David Ricks to innovation-focused teams (Eli Lilly, 2024). Recruitment will prioritise clinical empathy, health literacy, and technological proficiency to establish a modern, trustworthy patient experience, in accordance with Lilly's emphasis on ethical, patient-centric operations.</w:t>
      </w:r>
    </w:p>
    <w:p w:rsidR="00000000" w:rsidDel="00000000" w:rsidP="00000000" w:rsidRDefault="00000000" w:rsidRPr="00000000" w14:paraId="000000A4">
      <w:pPr>
        <w:pStyle w:val="Heading2"/>
        <w:spacing w:after="240" w:lineRule="auto"/>
        <w:rPr>
          <w:rFonts w:ascii="Arial" w:cs="Arial" w:eastAsia="Arial" w:hAnsi="Arial"/>
          <w:b w:val="1"/>
          <w:color w:val="000000"/>
          <w:sz w:val="24"/>
          <w:szCs w:val="24"/>
        </w:rPr>
      </w:pPr>
      <w:bookmarkStart w:colFirst="0" w:colLast="0" w:name="_heading=h.o64blp4a39td" w:id="19"/>
      <w:bookmarkEnd w:id="19"/>
      <w:r w:rsidDel="00000000" w:rsidR="00000000" w:rsidRPr="00000000">
        <w:rPr>
          <w:rtl w:val="0"/>
        </w:rPr>
      </w:r>
    </w:p>
    <w:p w:rsidR="00000000" w:rsidDel="00000000" w:rsidP="00000000" w:rsidRDefault="00000000" w:rsidRPr="00000000" w14:paraId="000000A5">
      <w:pPr>
        <w:pStyle w:val="Heading2"/>
        <w:spacing w:after="240" w:lineRule="auto"/>
        <w:rPr>
          <w:rFonts w:ascii="Arial" w:cs="Arial" w:eastAsia="Arial" w:hAnsi="Arial"/>
          <w:b w:val="1"/>
          <w:color w:val="000000"/>
          <w:sz w:val="24"/>
          <w:szCs w:val="24"/>
        </w:rPr>
      </w:pPr>
      <w:bookmarkStart w:colFirst="0" w:colLast="0" w:name="_heading=h.gipe7cs5jaw5" w:id="20"/>
      <w:bookmarkEnd w:id="20"/>
      <w:r w:rsidDel="00000000" w:rsidR="00000000" w:rsidRPr="00000000">
        <w:rPr>
          <w:rFonts w:ascii="Arial" w:cs="Arial" w:eastAsia="Arial" w:hAnsi="Arial"/>
          <w:b w:val="1"/>
          <w:color w:val="000000"/>
          <w:sz w:val="24"/>
          <w:szCs w:val="24"/>
          <w:rtl w:val="0"/>
        </w:rPr>
        <w:t xml:space="preserve">5.7 Physical Evidence</w:t>
      </w:r>
    </w:p>
    <w:p w:rsidR="00000000" w:rsidDel="00000000" w:rsidP="00000000" w:rsidRDefault="00000000" w:rsidRPr="00000000" w14:paraId="000000A6">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LillyWell ecosystem will accommodate both physical and digital evidence. Eli Lilly's branding ethos will be reflected in the designs of the clinics, which will be modern, spotless, and technologically advanced environments that are inspired by pharma-grade precision (Eli Lilly, 2024). The brand's scientific credibility will be further strengthened by signage, digital terminals, wearable-compatible devices, and AI dashboards.</w:t>
      </w:r>
    </w:p>
    <w:p w:rsidR="00000000" w:rsidDel="00000000" w:rsidP="00000000" w:rsidRDefault="00000000" w:rsidRPr="00000000" w14:paraId="000000A7">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the digital realm, patient portals, appointment monitoring, wellness metrics, and outcomes dashboards will promote patient engagement and provide transparency. A cohesive, omnichannel footprint will be established to support the continuity of care and brand trust through integration with LillyDirect and main EMR systems (Eli Lilly, 2024).</w:t>
      </w:r>
    </w:p>
    <w:p w:rsidR="00000000" w:rsidDel="00000000" w:rsidP="00000000" w:rsidRDefault="00000000" w:rsidRPr="00000000" w14:paraId="000000A8">
      <w:pPr>
        <w:pStyle w:val="Heading1"/>
        <w:spacing w:after="240" w:lineRule="auto"/>
        <w:rPr>
          <w:rFonts w:ascii="Arial" w:cs="Arial" w:eastAsia="Arial" w:hAnsi="Arial"/>
          <w:b w:val="1"/>
          <w:sz w:val="24"/>
          <w:szCs w:val="24"/>
        </w:rPr>
      </w:pPr>
      <w:bookmarkStart w:colFirst="0" w:colLast="0" w:name="_heading=h.qm7yf97ufv9w" w:id="21"/>
      <w:bookmarkEnd w:id="21"/>
      <w:r w:rsidDel="00000000" w:rsidR="00000000" w:rsidRPr="00000000">
        <w:rPr>
          <w:rFonts w:ascii="Arial" w:cs="Arial" w:eastAsia="Arial" w:hAnsi="Arial"/>
          <w:b w:val="1"/>
          <w:sz w:val="24"/>
          <w:szCs w:val="24"/>
          <w:rtl w:val="0"/>
        </w:rPr>
        <w:t xml:space="preserve">6. Conclusion</w:t>
      </w:r>
    </w:p>
    <w:p w:rsidR="00000000" w:rsidDel="00000000" w:rsidP="00000000" w:rsidRDefault="00000000" w:rsidRPr="00000000" w14:paraId="000000A9">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LillyWell Clinics, Eli Lilly's proposed brand extension, represents a remarkable transition from pharmaceutical excellence to patient-centered, integrated healthcare delivery. LillyWell, which is founded on the company's history of innovation, serves as a conduit between innovative therapeutics and accessible, preventive care. The clinics address the demand for personalised health solutions, chronic disease prevalence, and rising healthcare costs by leveraging Lilly's global presence, robust R&amp;D investment, and advanced digital infrastructure. </w:t>
      </w:r>
    </w:p>
    <w:p w:rsidR="00000000" w:rsidDel="00000000" w:rsidP="00000000" w:rsidRDefault="00000000" w:rsidRPr="00000000" w14:paraId="000000AA">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LillyWell establishes itself as a transformative solution in the global health landscape by utilising a comprehensive marketing blend and a strategic STP framework, which emphasises value-based pricing, seamless processes, and tech-enhanced services. This initiative enhances Lilly's competitive advantage and societal impact by closely aligning with the requirements of corporate and insurers, as well as catering to digitally engaged, health-conscious consumers. In the end, LillyWell Clinics not only </w:t>
      </w:r>
      <w:r w:rsidDel="00000000" w:rsidR="00000000" w:rsidRPr="00000000">
        <w:rPr>
          <w:rFonts w:ascii="Arial" w:cs="Arial" w:eastAsia="Arial" w:hAnsi="Arial"/>
          <w:sz w:val="24"/>
          <w:szCs w:val="24"/>
          <w:rtl w:val="0"/>
        </w:rPr>
        <w:t xml:space="preserve">solidify</w:t>
      </w:r>
      <w:r w:rsidDel="00000000" w:rsidR="00000000" w:rsidRPr="00000000">
        <w:rPr>
          <w:rFonts w:ascii="Arial" w:cs="Arial" w:eastAsia="Arial" w:hAnsi="Arial"/>
          <w:sz w:val="24"/>
          <w:szCs w:val="24"/>
          <w:rtl w:val="0"/>
        </w:rPr>
        <w:t xml:space="preserve"> Eli Lilly's reputation as a healthcare pioneer but also </w:t>
      </w:r>
      <w:r w:rsidDel="00000000" w:rsidR="00000000" w:rsidRPr="00000000">
        <w:rPr>
          <w:rFonts w:ascii="Arial" w:cs="Arial" w:eastAsia="Arial" w:hAnsi="Arial"/>
          <w:sz w:val="24"/>
          <w:szCs w:val="24"/>
          <w:rtl w:val="0"/>
        </w:rPr>
        <w:t xml:space="preserve">establish</w:t>
      </w:r>
      <w:r w:rsidDel="00000000" w:rsidR="00000000" w:rsidRPr="00000000">
        <w:rPr>
          <w:rFonts w:ascii="Arial" w:cs="Arial" w:eastAsia="Arial" w:hAnsi="Arial"/>
          <w:sz w:val="24"/>
          <w:szCs w:val="24"/>
          <w:rtl w:val="0"/>
        </w:rPr>
        <w:t xml:space="preserve"> a scalable model for the future of wellness delivery that integrates science, service, and sustainability.</w:t>
      </w:r>
    </w:p>
    <w:p w:rsidR="00000000" w:rsidDel="00000000" w:rsidP="00000000" w:rsidRDefault="00000000" w:rsidRPr="00000000" w14:paraId="000000AB">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C">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D">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E">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F">
      <w:pPr>
        <w:pStyle w:val="Heading1"/>
        <w:rPr>
          <w:rFonts w:ascii="Arial" w:cs="Arial" w:eastAsia="Arial" w:hAnsi="Arial"/>
          <w:sz w:val="24"/>
          <w:szCs w:val="24"/>
        </w:rPr>
      </w:pPr>
      <w:bookmarkStart w:colFirst="0" w:colLast="0" w:name="_heading=h.drhrhvnlv2p3" w:id="22"/>
      <w:bookmarkEnd w:id="22"/>
      <w:r w:rsidDel="00000000" w:rsidR="00000000" w:rsidRPr="00000000">
        <w:rPr>
          <w:rFonts w:ascii="Arial" w:cs="Arial" w:eastAsia="Arial" w:hAnsi="Arial"/>
          <w:b w:val="1"/>
          <w:sz w:val="24"/>
          <w:szCs w:val="24"/>
          <w:rtl w:val="0"/>
        </w:rPr>
        <w:t xml:space="preserve">References</w:t>
      </w:r>
      <w:r w:rsidDel="00000000" w:rsidR="00000000" w:rsidRPr="00000000">
        <w:rPr>
          <w:rtl w:val="0"/>
        </w:rPr>
      </w:r>
    </w:p>
    <w:p w:rsidR="00000000" w:rsidDel="00000000" w:rsidP="00000000" w:rsidRDefault="00000000" w:rsidRPr="00000000" w14:paraId="000000B0">
      <w:pP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Ahmadi, A. (2024) Digital health transformation: leveraging ai for monitoring and disease management. </w:t>
      </w:r>
      <w:r w:rsidDel="00000000" w:rsidR="00000000" w:rsidRPr="00000000">
        <w:rPr>
          <w:rFonts w:ascii="Arial" w:cs="Arial" w:eastAsia="Arial" w:hAnsi="Arial"/>
          <w:i w:val="1"/>
          <w:sz w:val="24"/>
          <w:szCs w:val="24"/>
          <w:rtl w:val="0"/>
        </w:rPr>
        <w:t xml:space="preserve">International Journal of BioLife Sciences (IJBLS)</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3</w:t>
      </w:r>
      <w:r w:rsidDel="00000000" w:rsidR="00000000" w:rsidRPr="00000000">
        <w:rPr>
          <w:rFonts w:ascii="Arial" w:cs="Arial" w:eastAsia="Arial" w:hAnsi="Arial"/>
          <w:sz w:val="24"/>
          <w:szCs w:val="24"/>
          <w:rtl w:val="0"/>
        </w:rPr>
        <w:t xml:space="preserve">(1), 10-24.</w:t>
      </w:r>
    </w:p>
    <w:p w:rsidR="00000000" w:rsidDel="00000000" w:rsidP="00000000" w:rsidRDefault="00000000" w:rsidRPr="00000000" w14:paraId="000000B1">
      <w:pP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Duda-Sikuła, M. and Kurpas, D. (2023) 'Barriers and Facilitators in the Implementation of Prevention Strategies for Chronic Disease Patients—Best Practice GuideLines and Policies’ Systematic Review,' </w:t>
      </w:r>
      <w:r w:rsidDel="00000000" w:rsidR="00000000" w:rsidRPr="00000000">
        <w:rPr>
          <w:rFonts w:ascii="Arial" w:cs="Arial" w:eastAsia="Arial" w:hAnsi="Arial"/>
          <w:i w:val="1"/>
          <w:sz w:val="24"/>
          <w:szCs w:val="24"/>
          <w:rtl w:val="0"/>
        </w:rPr>
        <w:t xml:space="preserve">Journal of Personalized Medicine</w:t>
      </w:r>
      <w:r w:rsidDel="00000000" w:rsidR="00000000" w:rsidRPr="00000000">
        <w:rPr>
          <w:rFonts w:ascii="Arial" w:cs="Arial" w:eastAsia="Arial" w:hAnsi="Arial"/>
          <w:sz w:val="24"/>
          <w:szCs w:val="24"/>
          <w:rtl w:val="0"/>
        </w:rPr>
        <w:t xml:space="preserve">, 13(2), p. 288.</w:t>
      </w:r>
    </w:p>
    <w:p w:rsidR="00000000" w:rsidDel="00000000" w:rsidP="00000000" w:rsidRDefault="00000000" w:rsidRPr="00000000" w14:paraId="000000B2">
      <w:pP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Eli Lilly (2024) </w:t>
      </w:r>
      <w:r w:rsidDel="00000000" w:rsidR="00000000" w:rsidRPr="00000000">
        <w:rPr>
          <w:rFonts w:ascii="Arial" w:cs="Arial" w:eastAsia="Arial" w:hAnsi="Arial"/>
          <w:i w:val="1"/>
          <w:sz w:val="24"/>
          <w:szCs w:val="24"/>
          <w:rtl w:val="0"/>
        </w:rPr>
        <w:t xml:space="preserve">2024 Annual Report</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Eli Lilly</w:t>
      </w: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B3">
      <w:pP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Eli Lilly (2025) </w:t>
      </w:r>
      <w:r w:rsidDel="00000000" w:rsidR="00000000" w:rsidRPr="00000000">
        <w:rPr>
          <w:rFonts w:ascii="Arial" w:cs="Arial" w:eastAsia="Arial" w:hAnsi="Arial"/>
          <w:i w:val="1"/>
          <w:sz w:val="24"/>
          <w:szCs w:val="24"/>
          <w:rtl w:val="0"/>
        </w:rPr>
        <w:t xml:space="preserve">Manufacturing &amp; Quality</w:t>
      </w: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B4">
      <w:pP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Javanmardian, K. </w:t>
      </w:r>
      <w:r w:rsidDel="00000000" w:rsidR="00000000" w:rsidRPr="00000000">
        <w:rPr>
          <w:rFonts w:ascii="Arial" w:cs="Arial" w:eastAsia="Arial" w:hAnsi="Arial"/>
          <w:i w:val="1"/>
          <w:sz w:val="24"/>
          <w:szCs w:val="24"/>
          <w:rtl w:val="0"/>
        </w:rPr>
        <w:t xml:space="preserve">et al.</w:t>
      </w:r>
      <w:r w:rsidDel="00000000" w:rsidR="00000000" w:rsidRPr="00000000">
        <w:rPr>
          <w:rFonts w:ascii="Arial" w:cs="Arial" w:eastAsia="Arial" w:hAnsi="Arial"/>
          <w:sz w:val="24"/>
          <w:szCs w:val="24"/>
          <w:rtl w:val="0"/>
        </w:rPr>
        <w:t xml:space="preserve"> (2022) </w:t>
      </w:r>
      <w:r w:rsidDel="00000000" w:rsidR="00000000" w:rsidRPr="00000000">
        <w:rPr>
          <w:rFonts w:ascii="Arial" w:cs="Arial" w:eastAsia="Arial" w:hAnsi="Arial"/>
          <w:i w:val="1"/>
          <w:sz w:val="24"/>
          <w:szCs w:val="24"/>
          <w:rtl w:val="0"/>
        </w:rPr>
        <w:t xml:space="preserve">Countering inflation: How US P&amp;C insurers can build resilience</w:t>
      </w: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B5">
      <w:pP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MarketLine (2025) </w:t>
      </w:r>
      <w:r w:rsidDel="00000000" w:rsidR="00000000" w:rsidRPr="00000000">
        <w:rPr>
          <w:rFonts w:ascii="Arial" w:cs="Arial" w:eastAsia="Arial" w:hAnsi="Arial"/>
          <w:i w:val="1"/>
          <w:sz w:val="24"/>
          <w:szCs w:val="24"/>
          <w:rtl w:val="0"/>
        </w:rPr>
        <w:t xml:space="preserve">Eli Lilly Company Profile</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MarketLine</w:t>
      </w: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B6">
      <w:pP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Mercer (2025) </w:t>
      </w:r>
      <w:r w:rsidDel="00000000" w:rsidR="00000000" w:rsidRPr="00000000">
        <w:rPr>
          <w:rFonts w:ascii="Arial" w:cs="Arial" w:eastAsia="Arial" w:hAnsi="Arial"/>
          <w:i w:val="1"/>
          <w:sz w:val="24"/>
          <w:szCs w:val="24"/>
          <w:rtl w:val="0"/>
        </w:rPr>
        <w:t xml:space="preserve">Health trends 2025: Adapting plans to optimize value</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Mercer</w:t>
      </w: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B7">
      <w:pP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Phelps, A. (2022) </w:t>
      </w:r>
      <w:r w:rsidDel="00000000" w:rsidR="00000000" w:rsidRPr="00000000">
        <w:rPr>
          <w:rFonts w:ascii="Arial" w:cs="Arial" w:eastAsia="Arial" w:hAnsi="Arial"/>
          <w:i w:val="1"/>
          <w:sz w:val="24"/>
          <w:szCs w:val="24"/>
          <w:rtl w:val="0"/>
        </w:rPr>
        <w:t xml:space="preserve">Prescription Drug Pricing Reform Inflation Reduction Act of 2022</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Deloitte &amp; Touche</w:t>
      </w: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B8">
      <w:pP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Sharma, D. </w:t>
      </w:r>
      <w:r w:rsidDel="00000000" w:rsidR="00000000" w:rsidRPr="00000000">
        <w:rPr>
          <w:rFonts w:ascii="Arial" w:cs="Arial" w:eastAsia="Arial" w:hAnsi="Arial"/>
          <w:i w:val="1"/>
          <w:sz w:val="24"/>
          <w:szCs w:val="24"/>
          <w:rtl w:val="0"/>
        </w:rPr>
        <w:t xml:space="preserve">et al.</w:t>
      </w:r>
      <w:r w:rsidDel="00000000" w:rsidR="00000000" w:rsidRPr="00000000">
        <w:rPr>
          <w:rFonts w:ascii="Arial" w:cs="Arial" w:eastAsia="Arial" w:hAnsi="Arial"/>
          <w:sz w:val="24"/>
          <w:szCs w:val="24"/>
          <w:rtl w:val="0"/>
        </w:rPr>
        <w:t xml:space="preserve"> (2018) 'Recent updates on GLP-1 agonists: Current advancements &amp; challenges,' </w:t>
      </w:r>
      <w:r w:rsidDel="00000000" w:rsidR="00000000" w:rsidRPr="00000000">
        <w:rPr>
          <w:rFonts w:ascii="Arial" w:cs="Arial" w:eastAsia="Arial" w:hAnsi="Arial"/>
          <w:i w:val="1"/>
          <w:sz w:val="24"/>
          <w:szCs w:val="24"/>
          <w:rtl w:val="0"/>
        </w:rPr>
        <w:t xml:space="preserve">Biomedicine &amp; Pharmacotherapy</w:t>
      </w:r>
      <w:r w:rsidDel="00000000" w:rsidR="00000000" w:rsidRPr="00000000">
        <w:rPr>
          <w:rFonts w:ascii="Arial" w:cs="Arial" w:eastAsia="Arial" w:hAnsi="Arial"/>
          <w:sz w:val="24"/>
          <w:szCs w:val="24"/>
          <w:rtl w:val="0"/>
        </w:rPr>
        <w:t xml:space="preserve">, 108, pp. 952–962.</w:t>
      </w:r>
    </w:p>
    <w:p w:rsidR="00000000" w:rsidDel="00000000" w:rsidP="00000000" w:rsidRDefault="00000000" w:rsidRPr="00000000" w14:paraId="000000B9">
      <w:pP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Statista (2025) </w:t>
      </w:r>
      <w:r w:rsidDel="00000000" w:rsidR="00000000" w:rsidRPr="00000000">
        <w:rPr>
          <w:rFonts w:ascii="Arial" w:cs="Arial" w:eastAsia="Arial" w:hAnsi="Arial"/>
          <w:i w:val="1"/>
          <w:sz w:val="24"/>
          <w:szCs w:val="24"/>
          <w:rtl w:val="0"/>
        </w:rPr>
        <w:t xml:space="preserve">Eli Lilly</w:t>
      </w: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BA">
      <w:pP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Tsvetanov, F. (2024) 'Integrating AI Technologies into Remote Monitoring Patient Systems,' </w:t>
      </w:r>
      <w:r w:rsidDel="00000000" w:rsidR="00000000" w:rsidRPr="00000000">
        <w:rPr>
          <w:rFonts w:ascii="Arial" w:cs="Arial" w:eastAsia="Arial" w:hAnsi="Arial"/>
          <w:i w:val="1"/>
          <w:sz w:val="24"/>
          <w:szCs w:val="24"/>
          <w:rtl w:val="0"/>
        </w:rPr>
        <w:t xml:space="preserve">Engineering Proceedings, 2024</w:t>
      </w:r>
      <w:r w:rsidDel="00000000" w:rsidR="00000000" w:rsidRPr="00000000">
        <w:rPr>
          <w:rFonts w:ascii="Arial" w:cs="Arial" w:eastAsia="Arial" w:hAnsi="Arial"/>
          <w:sz w:val="24"/>
          <w:szCs w:val="24"/>
          <w:rtl w:val="0"/>
        </w:rPr>
        <w:t xml:space="preserve">, p. 54. </w:t>
      </w:r>
    </w:p>
    <w:sectPr>
      <w:headerReference r:id="rId26" w:type="default"/>
      <w:headerReference r:id="rId27" w:type="first"/>
      <w:headerReference r:id="rId28" w:type="even"/>
      <w:footerReference r:id="rId29" w:type="default"/>
      <w:footerReference r:id="rId30" w:type="first"/>
      <w:footerReference r:id="rId31" w:type="even"/>
      <w:pgSz w:h="16838" w:w="11906" w:orient="portrait"/>
      <w:pgMar w:bottom="1440" w:top="1440" w:left="1440" w:right="1440" w:header="708" w:footer="708"/>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imes New Roman"/>
  <w:font w:name="Georgia"/>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Page | </w:t>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 </w:t>
    </w:r>
  </w:p>
  <w:p w:rsidR="00000000" w:rsidDel="00000000" w:rsidP="00000000" w:rsidRDefault="00000000" w:rsidRPr="00000000" w14:paraId="000000C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C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pict>
        <v:shape id="WordPictureWatermark1" style="position:absolute;width:451.2pt;height:255.9pt;rotation:0;z-index:-503316481;mso-position-horizontal-relative:margin;mso-position-horizontal:center;mso-position-vertical-relative:margin;mso-position-vertical:center;" alt="" type="#_x0000_t75">
          <v:imagedata blacklevel="22938f" cropbottom="0f" cropleft="0f" cropright="0f" croptop="0f" gain="19661f" r:id="rId1" o:title="image7.png"/>
        </v:shape>
      </w:pict>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pict>
        <v:shape id="WordPictureWatermark3" style="position:absolute;width:451.2pt;height:255.9pt;rotation:0;z-index:-503316481;mso-position-horizontal-relative:margin;mso-position-horizontal:center;mso-position-vertical-relative:margin;mso-position-vertical:center;" alt="" type="#_x0000_t75">
          <v:imagedata blacklevel="22938f" cropbottom="0f" cropleft="0f" cropright="0f" croptop="0f" gain="19661f" r:id="rId1" o:title="image7.png"/>
        </v:shape>
      </w:pict>
    </w: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pict>
        <v:shape id="WordPictureWatermark2" style="position:absolute;width:451.2pt;height:255.9pt;rotation:0;z-index:-503316481;mso-position-horizontal-relative:margin;mso-position-horizontal:center;mso-position-vertical-relative:margin;mso-position-vertical:center;" alt="" type="#_x0000_t75">
          <v:imagedata blacklevel="22938f" cropbottom="0f" cropleft="0f" cropright="0f" croptop="0f" gain="19661f" r:id="rId1" o:title="image7.png"/>
        </v:shape>
      </w:pic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IN"/>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i w:val="0"/>
      <w:smallCaps w:val="0"/>
      <w:strike w:val="0"/>
      <w:color w:val="2e74b5"/>
      <w:sz w:val="32"/>
      <w:szCs w:val="32"/>
      <w:u w:val="none"/>
      <w:shd w:fill="auto" w:val="clear"/>
      <w:vertAlign w:val="baseline"/>
    </w:rPr>
  </w:style>
  <w:style w:type="paragraph" w:styleId="Heading2">
    <w:name w:val="heading 2"/>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i w:val="0"/>
      <w:smallCaps w:val="0"/>
      <w:strike w:val="0"/>
      <w:color w:val="2e74b5"/>
      <w:sz w:val="26"/>
      <w:szCs w:val="26"/>
      <w:u w:val="none"/>
      <w:shd w:fill="auto" w:val="clear"/>
      <w:vertAlign w:val="baseline"/>
    </w:rPr>
  </w:style>
  <w:style w:type="paragraph" w:styleId="Heading3">
    <w:name w:val="heading 3"/>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i w:val="0"/>
      <w:smallCaps w:val="0"/>
      <w:strike w:val="0"/>
      <w:color w:val="1f4d78"/>
      <w:sz w:val="24"/>
      <w:szCs w:val="24"/>
      <w:u w:val="none"/>
      <w:shd w:fill="auto" w:val="clear"/>
      <w:vertAlign w:val="baseline"/>
    </w:rPr>
  </w:style>
  <w:style w:type="paragraph" w:styleId="Heading4">
    <w:name w:val="heading 4"/>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i w:val="1"/>
      <w:smallCaps w:val="0"/>
      <w:strike w:val="0"/>
      <w:color w:val="2e74b5"/>
      <w:sz w:val="20"/>
      <w:szCs w:val="20"/>
      <w:u w:val="none"/>
      <w:shd w:fill="auto" w:val="clear"/>
      <w:vertAlign w:val="baseline"/>
    </w:rPr>
  </w:style>
  <w:style w:type="paragraph" w:styleId="Heading5">
    <w:name w:val="heading 5"/>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i w:val="0"/>
      <w:smallCaps w:val="0"/>
      <w:strike w:val="0"/>
      <w:color w:val="2e74b5"/>
      <w:sz w:val="20"/>
      <w:szCs w:val="20"/>
      <w:u w:val="none"/>
      <w:shd w:fill="auto" w:val="clear"/>
      <w:vertAlign w:val="baseline"/>
    </w:rPr>
  </w:style>
  <w:style w:type="paragraph" w:styleId="Heading6">
    <w:name w:val="heading 6"/>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i w:val="0"/>
      <w:smallCaps w:val="0"/>
      <w:strike w:val="0"/>
      <w:color w:val="1f4d78"/>
      <w:sz w:val="20"/>
      <w:szCs w:val="20"/>
      <w:u w:val="none"/>
      <w:shd w:fill="auto" w:val="clear"/>
      <w:vertAlign w:val="baseline"/>
    </w:rPr>
  </w:style>
  <w:style w:type="paragraph" w:styleId="Title">
    <w:name w:val="Title"/>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i w:val="0"/>
      <w:smallCaps w:val="0"/>
      <w:strike w:val="0"/>
      <w:color w:val="000000"/>
      <w:sz w:val="56"/>
      <w:szCs w:val="56"/>
      <w:u w:val="none"/>
      <w:shd w:fill="auto" w:val="clear"/>
      <w:vertAlign w:val="baseline"/>
    </w:rPr>
  </w:style>
  <w:style w:type="paragraph" w:styleId="Normal" w:default="1">
    <w:name w:val="Normal"/>
    <w:qFormat w:val="1"/>
    <w:rsid w:val="00AF114D"/>
  </w:style>
  <w:style w:type="paragraph" w:styleId="Heading1">
    <w:name w:val="heading 1"/>
    <w:uiPriority w:val="9"/>
    <w:qFormat w:val="1"/>
    <w:pPr>
      <w:outlineLvl w:val="0"/>
    </w:pPr>
    <w:rPr>
      <w:color w:val="2e74b5"/>
      <w:sz w:val="32"/>
      <w:szCs w:val="32"/>
    </w:rPr>
  </w:style>
  <w:style w:type="paragraph" w:styleId="Heading2">
    <w:name w:val="heading 2"/>
    <w:uiPriority w:val="9"/>
    <w:unhideWhenUsed w:val="1"/>
    <w:qFormat w:val="1"/>
    <w:pPr>
      <w:outlineLvl w:val="1"/>
    </w:pPr>
    <w:rPr>
      <w:color w:val="2e74b5"/>
      <w:sz w:val="26"/>
      <w:szCs w:val="26"/>
    </w:rPr>
  </w:style>
  <w:style w:type="paragraph" w:styleId="Heading3">
    <w:name w:val="heading 3"/>
    <w:uiPriority w:val="9"/>
    <w:semiHidden w:val="1"/>
    <w:unhideWhenUsed w:val="1"/>
    <w:qFormat w:val="1"/>
    <w:pPr>
      <w:outlineLvl w:val="2"/>
    </w:pPr>
    <w:rPr>
      <w:color w:val="1f4d78"/>
      <w:sz w:val="24"/>
      <w:szCs w:val="24"/>
    </w:rPr>
  </w:style>
  <w:style w:type="paragraph" w:styleId="Heading4">
    <w:name w:val="heading 4"/>
    <w:uiPriority w:val="9"/>
    <w:semiHidden w:val="1"/>
    <w:unhideWhenUsed w:val="1"/>
    <w:qFormat w:val="1"/>
    <w:pPr>
      <w:outlineLvl w:val="3"/>
    </w:pPr>
    <w:rPr>
      <w:i w:val="1"/>
      <w:iCs w:val="1"/>
      <w:color w:val="2e74b5"/>
    </w:rPr>
  </w:style>
  <w:style w:type="paragraph" w:styleId="Heading5">
    <w:name w:val="heading 5"/>
    <w:uiPriority w:val="9"/>
    <w:semiHidden w:val="1"/>
    <w:unhideWhenUsed w:val="1"/>
    <w:qFormat w:val="1"/>
    <w:pPr>
      <w:outlineLvl w:val="4"/>
    </w:pPr>
    <w:rPr>
      <w:color w:val="2e74b5"/>
    </w:rPr>
  </w:style>
  <w:style w:type="paragraph" w:styleId="Heading6">
    <w:name w:val="heading 6"/>
    <w:uiPriority w:val="9"/>
    <w:semiHidden w:val="1"/>
    <w:unhideWhenUsed w:val="1"/>
    <w:qFormat w:val="1"/>
    <w:pPr>
      <w:outlineLvl w:val="5"/>
    </w:pPr>
    <w:rPr>
      <w:color w:val="1f4d78"/>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uiPriority w:val="10"/>
    <w:qFormat w:val="1"/>
    <w:rPr>
      <w:sz w:val="56"/>
      <w:szCs w:val="56"/>
    </w:rPr>
  </w:style>
  <w:style w:type="paragraph" w:styleId="Strong1" w:customStyle="1">
    <w:name w:val="Strong1"/>
    <w:qFormat w:val="1"/>
    <w:rPr>
      <w:b w:val="1"/>
      <w:bCs w:val="1"/>
    </w:rPr>
  </w:style>
  <w:style w:type="paragraph" w:styleId="ListParagraph">
    <w:name w:val="List Paragraph"/>
    <w:qFormat w:val="1"/>
  </w:style>
  <w:style w:type="character" w:styleId="Hyperlink">
    <w:name w:val="Hyperlink"/>
    <w:uiPriority w:val="99"/>
    <w:unhideWhenUsed w:val="1"/>
    <w:rPr>
      <w:color w:val="0563c1"/>
      <w:u w:val="single"/>
    </w:rPr>
  </w:style>
  <w:style w:type="character" w:styleId="FootnoteReference">
    <w:name w:val="footnote reference"/>
    <w:uiPriority w:val="99"/>
    <w:semiHidden w:val="1"/>
    <w:unhideWhenUsed w:val="1"/>
    <w:rPr>
      <w:vertAlign w:val="superscript"/>
    </w:rPr>
  </w:style>
  <w:style w:type="paragraph" w:styleId="FootnoteText">
    <w:name w:val="footnote text"/>
    <w:link w:val="FootnoteTextChar"/>
    <w:uiPriority w:val="99"/>
    <w:semiHidden w:val="1"/>
    <w:unhideWhenUsed w:val="1"/>
  </w:style>
  <w:style w:type="character" w:styleId="FootnoteTextChar" w:customStyle="1">
    <w:name w:val="Footnote Text Char"/>
    <w:link w:val="FootnoteText"/>
    <w:uiPriority w:val="99"/>
    <w:semiHidden w:val="1"/>
    <w:unhideWhenUsed w:val="1"/>
    <w:rPr>
      <w:sz w:val="20"/>
      <w:szCs w:val="20"/>
    </w:rPr>
  </w:style>
  <w:style w:type="paragraph" w:styleId="NoSpacing">
    <w:name w:val="No Spacing"/>
    <w:link w:val="NoSpacingChar"/>
    <w:uiPriority w:val="1"/>
    <w:qFormat w:val="1"/>
    <w:rsid w:val="009D572B"/>
    <w:rPr>
      <w:rFonts w:asciiTheme="minorHAnsi" w:cstheme="minorBidi" w:eastAsiaTheme="minorEastAsia" w:hAnsiTheme="minorHAnsi"/>
      <w:sz w:val="22"/>
      <w:szCs w:val="22"/>
      <w:lang w:eastAsia="en-US" w:val="en-US"/>
    </w:rPr>
  </w:style>
  <w:style w:type="character" w:styleId="NoSpacingChar" w:customStyle="1">
    <w:name w:val="No Spacing Char"/>
    <w:basedOn w:val="DefaultParagraphFont"/>
    <w:link w:val="NoSpacing"/>
    <w:uiPriority w:val="1"/>
    <w:rsid w:val="009D572B"/>
    <w:rPr>
      <w:rFonts w:asciiTheme="minorHAnsi" w:cstheme="minorBidi" w:eastAsiaTheme="minorEastAsia" w:hAnsiTheme="minorHAnsi"/>
      <w:sz w:val="22"/>
      <w:szCs w:val="22"/>
      <w:lang w:eastAsia="en-US" w:val="en-US"/>
    </w:rPr>
  </w:style>
  <w:style w:type="paragraph" w:styleId="TOCHeading">
    <w:name w:val="TOC Heading"/>
    <w:basedOn w:val="Heading1"/>
    <w:next w:val="Normal"/>
    <w:uiPriority w:val="39"/>
    <w:unhideWhenUsed w:val="1"/>
    <w:qFormat w:val="1"/>
    <w:rsid w:val="009D572B"/>
    <w:pPr>
      <w:keepNext w:val="1"/>
      <w:keepLines w:val="1"/>
      <w:spacing w:before="240" w:line="259" w:lineRule="auto"/>
      <w:outlineLvl w:val="9"/>
    </w:pPr>
    <w:rPr>
      <w:rFonts w:asciiTheme="majorHAnsi" w:cstheme="majorBidi" w:eastAsiaTheme="majorEastAsia" w:hAnsiTheme="majorHAnsi"/>
      <w:color w:val="2f5496" w:themeColor="accent1" w:themeShade="0000BF"/>
      <w:lang w:eastAsia="en-US" w:val="en-US"/>
    </w:rPr>
  </w:style>
  <w:style w:type="paragraph" w:styleId="TOC1">
    <w:name w:val="toc 1"/>
    <w:basedOn w:val="Normal"/>
    <w:next w:val="Normal"/>
    <w:autoRedefine w:val="1"/>
    <w:uiPriority w:val="39"/>
    <w:unhideWhenUsed w:val="1"/>
    <w:rsid w:val="009D572B"/>
    <w:pPr>
      <w:spacing w:after="100"/>
    </w:pPr>
  </w:style>
  <w:style w:type="paragraph" w:styleId="TOC2">
    <w:name w:val="toc 2"/>
    <w:basedOn w:val="Normal"/>
    <w:next w:val="Normal"/>
    <w:autoRedefine w:val="1"/>
    <w:uiPriority w:val="39"/>
    <w:unhideWhenUsed w:val="1"/>
    <w:rsid w:val="009D572B"/>
    <w:pPr>
      <w:spacing w:after="100"/>
      <w:ind w:left="200"/>
    </w:pPr>
  </w:style>
  <w:style w:type="paragraph" w:styleId="Header">
    <w:name w:val="header"/>
    <w:basedOn w:val="Normal"/>
    <w:link w:val="HeaderChar"/>
    <w:uiPriority w:val="99"/>
    <w:unhideWhenUsed w:val="1"/>
    <w:rsid w:val="009D572B"/>
    <w:pPr>
      <w:tabs>
        <w:tab w:val="center" w:pos="4513"/>
        <w:tab w:val="right" w:pos="9026"/>
      </w:tabs>
    </w:pPr>
  </w:style>
  <w:style w:type="character" w:styleId="HeaderChar" w:customStyle="1">
    <w:name w:val="Header Char"/>
    <w:basedOn w:val="DefaultParagraphFont"/>
    <w:link w:val="Header"/>
    <w:uiPriority w:val="99"/>
    <w:rsid w:val="009D572B"/>
  </w:style>
  <w:style w:type="paragraph" w:styleId="Footer">
    <w:name w:val="footer"/>
    <w:basedOn w:val="Normal"/>
    <w:link w:val="FooterChar"/>
    <w:uiPriority w:val="99"/>
    <w:unhideWhenUsed w:val="1"/>
    <w:rsid w:val="009D572B"/>
    <w:pPr>
      <w:tabs>
        <w:tab w:val="center" w:pos="4513"/>
        <w:tab w:val="right" w:pos="9026"/>
      </w:tabs>
    </w:pPr>
  </w:style>
  <w:style w:type="character" w:styleId="FooterChar" w:customStyle="1">
    <w:name w:val="Footer Char"/>
    <w:basedOn w:val="DefaultParagraphFont"/>
    <w:link w:val="Footer"/>
    <w:uiPriority w:val="99"/>
    <w:rsid w:val="009D572B"/>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20" Type="http://schemas.openxmlformats.org/officeDocument/2006/relationships/image" Target="media/image11.jpg"/><Relationship Id="rId22" Type="http://schemas.openxmlformats.org/officeDocument/2006/relationships/image" Target="media/image6.jpg"/><Relationship Id="rId21" Type="http://schemas.openxmlformats.org/officeDocument/2006/relationships/hyperlink" Target="https://www.weforum.org/stories/2021/12/ai-mental-health-cbt-therapy/" TargetMode="External"/><Relationship Id="rId24" Type="http://schemas.openxmlformats.org/officeDocument/2006/relationships/image" Target="media/image8.jpg"/><Relationship Id="rId23" Type="http://schemas.openxmlformats.org/officeDocument/2006/relationships/hyperlink" Target="https://www.statista.com/chart/27932/us-prescription-drug-prices-in-international-compariso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indyencyclopedia.org/eli-lilly-and-company/" TargetMode="External"/><Relationship Id="rId26" Type="http://schemas.openxmlformats.org/officeDocument/2006/relationships/header" Target="header2.xml"/><Relationship Id="rId25" Type="http://schemas.openxmlformats.org/officeDocument/2006/relationships/hyperlink" Target="https://blog.owenhealth.co.uk/the-periodic-table-of-pharma-multi-channel-marketing-cf3dd143f141" TargetMode="External"/><Relationship Id="rId28" Type="http://schemas.openxmlformats.org/officeDocument/2006/relationships/header" Target="header1.xml"/><Relationship Id="rId27" Type="http://schemas.openxmlformats.org/officeDocument/2006/relationships/header" Target="header3.xm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footer" Target="footer2.xml"/><Relationship Id="rId7" Type="http://schemas.openxmlformats.org/officeDocument/2006/relationships/image" Target="media/image12.jpg"/><Relationship Id="rId8" Type="http://schemas.openxmlformats.org/officeDocument/2006/relationships/image" Target="media/image4.jpg"/><Relationship Id="rId31" Type="http://schemas.openxmlformats.org/officeDocument/2006/relationships/footer" Target="footer1.xml"/><Relationship Id="rId30" Type="http://schemas.openxmlformats.org/officeDocument/2006/relationships/footer" Target="footer3.xml"/><Relationship Id="rId11" Type="http://schemas.openxmlformats.org/officeDocument/2006/relationships/hyperlink" Target="https://www.nasdaq.com/articles/3-of-eli-lillys-top-drugs-grew-by-over-40-in-q2.-trulicity-wasnt-one-of-them" TargetMode="External"/><Relationship Id="rId10" Type="http://schemas.openxmlformats.org/officeDocument/2006/relationships/image" Target="media/image2.jpg"/><Relationship Id="rId13" Type="http://schemas.openxmlformats.org/officeDocument/2006/relationships/hyperlink" Target="https://news.alphastreet.com/lly-earnings-highlights-of-eli-lillys-q2-2024-financial-report/" TargetMode="External"/><Relationship Id="rId12" Type="http://schemas.openxmlformats.org/officeDocument/2006/relationships/image" Target="media/image9.png"/><Relationship Id="rId15" Type="http://schemas.openxmlformats.org/officeDocument/2006/relationships/hyperlink" Target="https://www.fiercepharma.com/pharma/led-merck-vertex-and-lilly-biopharma-managed-grow-year-economic-uncertainty" TargetMode="External"/><Relationship Id="rId14" Type="http://schemas.openxmlformats.org/officeDocument/2006/relationships/image" Target="media/image5.png"/><Relationship Id="rId17" Type="http://schemas.openxmlformats.org/officeDocument/2006/relationships/image" Target="media/image1.jpg"/><Relationship Id="rId16" Type="http://schemas.openxmlformats.org/officeDocument/2006/relationships/image" Target="media/image3.png"/><Relationship Id="rId19" Type="http://schemas.openxmlformats.org/officeDocument/2006/relationships/image" Target="media/image10.png"/><Relationship Id="rId18" Type="http://schemas.openxmlformats.org/officeDocument/2006/relationships/hyperlink" Target="https://www2.deloitte.com/us/en/insights/industry/health-care/digital-transformation-in-healthcare.html"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7.png"/></Relationships>
</file>

<file path=word/_rels/header2.xml.rels><?xml version="1.0" encoding="UTF-8" standalone="yes"?><Relationships xmlns="http://schemas.openxmlformats.org/package/2006/relationships"><Relationship Id="rId1" Type="http://schemas.openxmlformats.org/officeDocument/2006/relationships/image" Target="media/image7.png"/></Relationships>
</file>

<file path=word/_rels/header3.xml.rels><?xml version="1.0" encoding="UTF-8" standalone="yes"?><Relationships xmlns="http://schemas.openxmlformats.org/package/2006/relationships"><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oLnyA59UIUvrRxuS6HfZqCS4mrA==">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2025-04-24T11:28:00Z</dcterms:created>
</cp:coreProperties>
</file>