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D893B" w14:textId="77777777" w:rsidR="000759BE" w:rsidRDefault="000759BE" w:rsidP="008F2D5A">
      <w:pPr>
        <w:pStyle w:val="Title"/>
        <w:spacing w:before="120" w:after="120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0929AF37" wp14:editId="1F337805">
            <wp:extent cx="1809750" cy="723900"/>
            <wp:effectExtent l="0" t="0" r="0" b="0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C68868" w14:textId="14835871" w:rsidR="006769A5" w:rsidRDefault="006769A5" w:rsidP="008F2D5A">
      <w:pPr>
        <w:pStyle w:val="Title"/>
        <w:spacing w:before="120" w:after="120"/>
        <w:jc w:val="center"/>
        <w:rPr>
          <w:rFonts w:ascii="Arial" w:hAnsi="Arial" w:cs="Arial"/>
          <w:sz w:val="32"/>
        </w:rPr>
      </w:pPr>
      <w:r w:rsidRPr="008F2D5A">
        <w:rPr>
          <w:rFonts w:ascii="Arial" w:hAnsi="Arial" w:cs="Arial"/>
          <w:sz w:val="32"/>
        </w:rPr>
        <w:t xml:space="preserve">Child HN </w:t>
      </w:r>
      <w:r w:rsidR="001948F4">
        <w:rPr>
          <w:rFonts w:ascii="Arial" w:hAnsi="Arial" w:cs="Arial"/>
          <w:sz w:val="32"/>
        </w:rPr>
        <w:t>group</w:t>
      </w:r>
      <w:r w:rsidR="008F2D5A" w:rsidRPr="008F2D5A">
        <w:rPr>
          <w:rFonts w:ascii="Arial" w:hAnsi="Arial" w:cs="Arial"/>
          <w:sz w:val="32"/>
        </w:rPr>
        <w:t xml:space="preserve"> Discussion</w:t>
      </w:r>
    </w:p>
    <w:p w14:paraId="046BCDE2" w14:textId="77777777" w:rsidR="00F762D4" w:rsidRPr="0077438D" w:rsidRDefault="00F762D4" w:rsidP="0077438D">
      <w:pPr>
        <w:jc w:val="center"/>
        <w:rPr>
          <w:sz w:val="32"/>
        </w:rPr>
      </w:pPr>
      <w:r w:rsidRPr="0077438D">
        <w:rPr>
          <w:rFonts w:cs="Arial"/>
          <w:b/>
          <w:sz w:val="32"/>
        </w:rPr>
        <w:t xml:space="preserve">Individual </w:t>
      </w:r>
      <w:r w:rsidR="0077438D" w:rsidRPr="0077438D">
        <w:rPr>
          <w:rFonts w:cs="Arial"/>
          <w:b/>
          <w:sz w:val="32"/>
        </w:rPr>
        <w:t>Reference List</w:t>
      </w:r>
    </w:p>
    <w:p w14:paraId="36C6113F" w14:textId="77777777" w:rsidR="006769A5" w:rsidRPr="003A4C6C" w:rsidRDefault="006769A5" w:rsidP="006769A5">
      <w:pPr>
        <w:spacing w:before="120" w:after="120"/>
        <w:jc w:val="both"/>
        <w:rPr>
          <w:rFonts w:cs="Arial"/>
        </w:rPr>
      </w:pPr>
      <w:r w:rsidRPr="003A4C6C">
        <w:rPr>
          <w:rFonts w:cs="Arial"/>
          <w:b/>
        </w:rPr>
        <w:t xml:space="preserve">Programme: </w:t>
      </w:r>
      <w:r w:rsidRPr="003A4C6C">
        <w:rPr>
          <w:rFonts w:cs="Arial"/>
        </w:rPr>
        <w:t>BSc Health and Social Care</w:t>
      </w:r>
    </w:p>
    <w:p w14:paraId="679075ED" w14:textId="77777777" w:rsidR="006769A5" w:rsidRPr="003A4C6C" w:rsidRDefault="006769A5" w:rsidP="006769A5">
      <w:pPr>
        <w:spacing w:before="120" w:after="120"/>
        <w:jc w:val="both"/>
        <w:rPr>
          <w:rFonts w:cs="Arial"/>
        </w:rPr>
      </w:pPr>
      <w:r w:rsidRPr="003A4C6C">
        <w:rPr>
          <w:rFonts w:cs="Arial"/>
          <w:b/>
        </w:rPr>
        <w:t xml:space="preserve">Module code: </w:t>
      </w:r>
      <w:r w:rsidRPr="003A4C6C">
        <w:rPr>
          <w:rFonts w:cs="Arial"/>
        </w:rPr>
        <w:t>BMHP5021</w:t>
      </w:r>
    </w:p>
    <w:p w14:paraId="2C08EF59" w14:textId="77777777" w:rsidR="006769A5" w:rsidRPr="003A4C6C" w:rsidRDefault="006769A5" w:rsidP="006769A5">
      <w:pPr>
        <w:spacing w:before="120" w:after="120"/>
        <w:jc w:val="both"/>
        <w:rPr>
          <w:rFonts w:cs="Arial"/>
        </w:rPr>
      </w:pPr>
      <w:r w:rsidRPr="003A4C6C">
        <w:rPr>
          <w:rFonts w:cs="Arial"/>
          <w:b/>
        </w:rPr>
        <w:t xml:space="preserve">Module title: </w:t>
      </w:r>
      <w:r w:rsidRPr="003A4C6C">
        <w:rPr>
          <w:rFonts w:cs="Arial"/>
        </w:rPr>
        <w:t>Protecting and Supporting Families in Health and Care</w:t>
      </w:r>
    </w:p>
    <w:p w14:paraId="6DD2F289" w14:textId="77777777" w:rsidR="006769A5" w:rsidRPr="003A4C6C" w:rsidRDefault="006769A5" w:rsidP="006769A5">
      <w:pPr>
        <w:spacing w:before="120" w:after="120"/>
        <w:jc w:val="both"/>
        <w:rPr>
          <w:rFonts w:cs="Arial"/>
        </w:rPr>
      </w:pPr>
      <w:r w:rsidRPr="003A4C6C">
        <w:rPr>
          <w:rFonts w:cs="Arial"/>
          <w:b/>
        </w:rPr>
        <w:t xml:space="preserve">Assignment title: </w:t>
      </w:r>
      <w:r w:rsidRPr="003A4C6C">
        <w:rPr>
          <w:rFonts w:cs="Arial"/>
        </w:rPr>
        <w:t>Component 1 Presentation Round the Table Group Discussion</w:t>
      </w:r>
    </w:p>
    <w:p w14:paraId="729DB2B1" w14:textId="0E399236" w:rsidR="006769A5" w:rsidRPr="003A4C6C" w:rsidRDefault="006769A5" w:rsidP="006769A5">
      <w:pPr>
        <w:spacing w:before="120" w:after="120"/>
        <w:jc w:val="both"/>
        <w:rPr>
          <w:rFonts w:cs="Arial"/>
        </w:rPr>
      </w:pPr>
      <w:r w:rsidRPr="003A4C6C">
        <w:rPr>
          <w:rFonts w:cs="Arial"/>
          <w:b/>
        </w:rPr>
        <w:t xml:space="preserve">Professional role: </w:t>
      </w:r>
      <w:r w:rsidRPr="003A4C6C">
        <w:rPr>
          <w:rFonts w:cs="Arial"/>
        </w:rPr>
        <w:t>Diabetes specialist nurse and community nurse</w:t>
      </w:r>
    </w:p>
    <w:p w14:paraId="26DD1E72" w14:textId="3A4E7D5E" w:rsidR="006769A5" w:rsidRPr="003A4C6C" w:rsidRDefault="006769A5" w:rsidP="006769A5">
      <w:pPr>
        <w:spacing w:before="120" w:after="120"/>
        <w:jc w:val="both"/>
        <w:rPr>
          <w:rFonts w:cs="Arial"/>
        </w:rPr>
      </w:pPr>
      <w:r w:rsidRPr="003A4C6C">
        <w:rPr>
          <w:rFonts w:cs="Arial"/>
          <w:b/>
        </w:rPr>
        <w:t xml:space="preserve">Student name: </w:t>
      </w:r>
      <w:r w:rsidR="00661EE4">
        <w:rPr>
          <w:rFonts w:cs="Arial"/>
          <w:b/>
        </w:rPr>
        <w:t>Happy Chowdhury</w:t>
      </w:r>
    </w:p>
    <w:p w14:paraId="0BE5D5DB" w14:textId="35210AFE" w:rsidR="006769A5" w:rsidRPr="003A4C6C" w:rsidRDefault="006769A5" w:rsidP="006769A5">
      <w:pPr>
        <w:spacing w:before="120" w:after="120"/>
        <w:jc w:val="both"/>
        <w:rPr>
          <w:rFonts w:cs="Arial"/>
        </w:rPr>
      </w:pPr>
      <w:r w:rsidRPr="003A4C6C">
        <w:rPr>
          <w:rFonts w:cs="Arial"/>
          <w:b/>
        </w:rPr>
        <w:t xml:space="preserve">Student number: </w:t>
      </w:r>
      <w:r w:rsidR="00661EE4">
        <w:rPr>
          <w:rFonts w:cs="Arial"/>
          <w:b/>
        </w:rPr>
        <w:t>2432687</w:t>
      </w:r>
    </w:p>
    <w:p w14:paraId="0B49EF41" w14:textId="77777777" w:rsidR="006769A5" w:rsidRPr="003A4C6C" w:rsidRDefault="006769A5" w:rsidP="006769A5">
      <w:pPr>
        <w:spacing w:line="259" w:lineRule="auto"/>
        <w:rPr>
          <w:rFonts w:cs="Arial"/>
        </w:rPr>
      </w:pPr>
      <w:r>
        <w:rPr>
          <w:rFonts w:cs="Arial"/>
        </w:rPr>
        <w:br w:type="page"/>
      </w:r>
    </w:p>
    <w:p w14:paraId="2E6C4909" w14:textId="77777777" w:rsidR="006769A5" w:rsidRPr="003A4C6C" w:rsidRDefault="006769A5" w:rsidP="006769A5">
      <w:pPr>
        <w:pStyle w:val="Heading1"/>
        <w:spacing w:before="120" w:after="120" w:line="360" w:lineRule="auto"/>
        <w:jc w:val="both"/>
        <w:rPr>
          <w:rFonts w:cs="Arial"/>
        </w:rPr>
      </w:pPr>
      <w:r w:rsidRPr="003A4C6C">
        <w:rPr>
          <w:rFonts w:cs="Arial"/>
        </w:rPr>
        <w:lastRenderedPageBreak/>
        <w:t>Reference list</w:t>
      </w:r>
    </w:p>
    <w:p w14:paraId="0B3AAF7F" w14:textId="77777777" w:rsidR="006769A5" w:rsidRPr="003A4C6C" w:rsidRDefault="006769A5" w:rsidP="006769A5">
      <w:pPr>
        <w:keepLines/>
        <w:spacing w:before="120" w:after="120"/>
        <w:ind w:left="720" w:hanging="720"/>
        <w:jc w:val="both"/>
        <w:rPr>
          <w:rFonts w:cs="Arial"/>
        </w:rPr>
      </w:pPr>
      <w:r w:rsidRPr="003A4C6C">
        <w:rPr>
          <w:rFonts w:cs="Arial"/>
          <w:i/>
        </w:rPr>
        <w:t>Children Act 1989</w:t>
      </w:r>
      <w:r w:rsidRPr="003A4C6C">
        <w:rPr>
          <w:rFonts w:cs="Arial"/>
        </w:rPr>
        <w:t xml:space="preserve">, c. 41, ss. 17 and 47. Available at: </w:t>
      </w:r>
      <w:hyperlink r:id="rId8" w:history="1">
        <w:r w:rsidR="00783FB1" w:rsidRPr="008503A6">
          <w:rPr>
            <w:rStyle w:val="Hyperlink"/>
            <w:rFonts w:cs="Arial"/>
          </w:rPr>
          <w:t>https://www.legislation.gov.uk/ukpga/1989/41/contents</w:t>
        </w:r>
      </w:hyperlink>
      <w:r w:rsidR="00783FB1">
        <w:rPr>
          <w:rFonts w:cs="Arial"/>
        </w:rPr>
        <w:t xml:space="preserve"> </w:t>
      </w:r>
      <w:r w:rsidRPr="003A4C6C">
        <w:rPr>
          <w:rFonts w:cs="Arial"/>
        </w:rPr>
        <w:t>(Accessed: 1 October 2026).</w:t>
      </w:r>
    </w:p>
    <w:p w14:paraId="656B4AB7" w14:textId="77777777" w:rsidR="006769A5" w:rsidRPr="003A4C6C" w:rsidRDefault="006769A5" w:rsidP="006769A5">
      <w:pPr>
        <w:keepLines/>
        <w:spacing w:before="120" w:after="120"/>
        <w:ind w:left="720" w:hanging="720"/>
        <w:jc w:val="both"/>
        <w:rPr>
          <w:rFonts w:cs="Arial"/>
        </w:rPr>
      </w:pPr>
      <w:r w:rsidRPr="003A4C6C">
        <w:rPr>
          <w:rFonts w:cs="Arial"/>
          <w:i/>
        </w:rPr>
        <w:t>Children Act 2004</w:t>
      </w:r>
      <w:r w:rsidRPr="003A4C6C">
        <w:rPr>
          <w:rFonts w:cs="Arial"/>
        </w:rPr>
        <w:t xml:space="preserve">, c. 31, s. 11. Available at: </w:t>
      </w:r>
      <w:hyperlink r:id="rId9" w:history="1">
        <w:r w:rsidR="00783FB1" w:rsidRPr="008503A6">
          <w:rPr>
            <w:rStyle w:val="Hyperlink"/>
            <w:rFonts w:cs="Arial"/>
          </w:rPr>
          <w:t>https://www.legislation.gov.uk/ukpga/2004/31/contents</w:t>
        </w:r>
      </w:hyperlink>
      <w:r w:rsidR="00783FB1">
        <w:rPr>
          <w:rFonts w:cs="Arial"/>
        </w:rPr>
        <w:t xml:space="preserve"> </w:t>
      </w:r>
      <w:r w:rsidRPr="003A4C6C">
        <w:rPr>
          <w:rFonts w:cs="Arial"/>
        </w:rPr>
        <w:t>(Accessed: 1 October 2026).</w:t>
      </w:r>
    </w:p>
    <w:p w14:paraId="601E356E" w14:textId="77777777" w:rsidR="006769A5" w:rsidRPr="003A4C6C" w:rsidRDefault="006769A5" w:rsidP="006769A5">
      <w:pPr>
        <w:keepLines/>
        <w:spacing w:before="120" w:after="120"/>
        <w:ind w:left="720" w:hanging="720"/>
        <w:jc w:val="both"/>
        <w:rPr>
          <w:rFonts w:cs="Arial"/>
        </w:rPr>
      </w:pPr>
      <w:r w:rsidRPr="003A4C6C">
        <w:rPr>
          <w:rFonts w:cs="Arial"/>
          <w:i/>
        </w:rPr>
        <w:t>Children and Social Work Act 2017</w:t>
      </w:r>
      <w:r w:rsidRPr="003A4C6C">
        <w:rPr>
          <w:rFonts w:cs="Arial"/>
        </w:rPr>
        <w:t xml:space="preserve">, c. 16, ss. 13, 16 and 17. Available at: </w:t>
      </w:r>
      <w:hyperlink r:id="rId10" w:history="1">
        <w:r w:rsidR="00783FB1" w:rsidRPr="008503A6">
          <w:rPr>
            <w:rStyle w:val="Hyperlink"/>
            <w:rFonts w:cs="Arial"/>
          </w:rPr>
          <w:t>https://www.legislation.gov.uk/ukpga/2017/16/contents</w:t>
        </w:r>
      </w:hyperlink>
      <w:r w:rsidR="00783FB1">
        <w:rPr>
          <w:rFonts w:cs="Arial"/>
        </w:rPr>
        <w:t xml:space="preserve"> </w:t>
      </w:r>
      <w:r w:rsidRPr="003A4C6C">
        <w:rPr>
          <w:rFonts w:cs="Arial"/>
        </w:rPr>
        <w:t>(Accessed: 1 October 2026).</w:t>
      </w:r>
    </w:p>
    <w:p w14:paraId="01F4ACD5" w14:textId="77777777" w:rsidR="006769A5" w:rsidRPr="003A4C6C" w:rsidRDefault="006769A5" w:rsidP="006769A5">
      <w:pPr>
        <w:keepLines/>
        <w:spacing w:before="120" w:after="120"/>
        <w:ind w:left="720" w:hanging="720"/>
        <w:jc w:val="both"/>
        <w:rPr>
          <w:rFonts w:cs="Arial"/>
        </w:rPr>
      </w:pPr>
      <w:r w:rsidRPr="003A4C6C">
        <w:rPr>
          <w:rFonts w:cs="Arial"/>
        </w:rPr>
        <w:t xml:space="preserve">de Wit, M., Gajewska, K.A., Goethals, E.R., McDarby, V., Zhao, X., Hapunda, G., Delamater, A.M. and DiMeglio, L.A. (2022) 'ISPAD Clinical Practice Consensus Guidelines 2022: Psychological care of children, adolescents and young adults with diabetes', </w:t>
      </w:r>
      <w:r w:rsidRPr="003A4C6C">
        <w:rPr>
          <w:rFonts w:cs="Arial"/>
          <w:i/>
        </w:rPr>
        <w:t>Pediatric Diabetes</w:t>
      </w:r>
      <w:r w:rsidRPr="003A4C6C">
        <w:rPr>
          <w:rFonts w:cs="Arial"/>
        </w:rPr>
        <w:t xml:space="preserve">, 23(8), pp. 1373-1389. Available at: </w:t>
      </w:r>
      <w:hyperlink r:id="rId11" w:history="1">
        <w:r w:rsidR="00783FB1" w:rsidRPr="008503A6">
          <w:rPr>
            <w:rStyle w:val="Hyperlink"/>
            <w:rFonts w:cs="Arial"/>
          </w:rPr>
          <w:t>https://doi.org/10.1111/pedi.13428</w:t>
        </w:r>
      </w:hyperlink>
      <w:r w:rsidR="00783FB1">
        <w:rPr>
          <w:rFonts w:cs="Arial"/>
        </w:rPr>
        <w:t xml:space="preserve"> </w:t>
      </w:r>
    </w:p>
    <w:p w14:paraId="22972220" w14:textId="77777777" w:rsidR="006769A5" w:rsidRPr="003A4C6C" w:rsidRDefault="006769A5" w:rsidP="006769A5">
      <w:pPr>
        <w:keepLines/>
        <w:spacing w:before="120" w:after="120"/>
        <w:ind w:left="720" w:hanging="720"/>
        <w:jc w:val="both"/>
        <w:rPr>
          <w:rFonts w:cs="Arial"/>
        </w:rPr>
      </w:pPr>
      <w:r w:rsidRPr="003A4C6C">
        <w:rPr>
          <w:rFonts w:cs="Arial"/>
        </w:rPr>
        <w:t xml:space="preserve">Department for Education (2018) </w:t>
      </w:r>
      <w:r w:rsidRPr="003A4C6C">
        <w:rPr>
          <w:rFonts w:cs="Arial"/>
          <w:i/>
        </w:rPr>
        <w:t>Working together to safeguard children: a guide to inter-agency working to safeguard and promote the welfare of children</w:t>
      </w:r>
      <w:r w:rsidRPr="003A4C6C">
        <w:rPr>
          <w:rFonts w:cs="Arial"/>
        </w:rPr>
        <w:t xml:space="preserve">. London: Department for Education. Available at: </w:t>
      </w:r>
      <w:hyperlink r:id="rId12" w:history="1">
        <w:r w:rsidR="00783FB1" w:rsidRPr="008503A6">
          <w:rPr>
            <w:rStyle w:val="Hyperlink"/>
            <w:rFonts w:cs="Arial"/>
          </w:rPr>
          <w:t>https://www.ism.org/images/files/Working_Together_to_Safeguard_Children-2018.pdf</w:t>
        </w:r>
      </w:hyperlink>
      <w:r w:rsidR="00783FB1">
        <w:rPr>
          <w:rFonts w:cs="Arial"/>
        </w:rPr>
        <w:t xml:space="preserve"> </w:t>
      </w:r>
      <w:r w:rsidRPr="003A4C6C">
        <w:rPr>
          <w:rFonts w:cs="Arial"/>
        </w:rPr>
        <w:t>(Accessed: 1 October 2026).</w:t>
      </w:r>
    </w:p>
    <w:p w14:paraId="1B04E8B1" w14:textId="77777777" w:rsidR="006769A5" w:rsidRPr="003A4C6C" w:rsidRDefault="006769A5" w:rsidP="006769A5">
      <w:pPr>
        <w:keepLines/>
        <w:spacing w:before="120" w:after="120"/>
        <w:ind w:left="720" w:hanging="720"/>
        <w:jc w:val="both"/>
        <w:rPr>
          <w:rFonts w:cs="Arial"/>
        </w:rPr>
      </w:pPr>
      <w:r w:rsidRPr="003A4C6C">
        <w:rPr>
          <w:rFonts w:cs="Arial"/>
        </w:rPr>
        <w:t xml:space="preserve">Department for Education (2023) </w:t>
      </w:r>
      <w:r w:rsidRPr="003A4C6C">
        <w:rPr>
          <w:rFonts w:cs="Arial"/>
          <w:i/>
        </w:rPr>
        <w:t>Working together to safeguard children 2023: a guide to multi-agency working to help, protect and promote the welfare of children</w:t>
      </w:r>
      <w:r w:rsidRPr="003A4C6C">
        <w:rPr>
          <w:rFonts w:cs="Arial"/>
        </w:rPr>
        <w:t xml:space="preserve">. London: Department for Education. Available at: </w:t>
      </w:r>
      <w:hyperlink r:id="rId13" w:history="1">
        <w:r w:rsidR="00BA549F" w:rsidRPr="008503A6">
          <w:rPr>
            <w:rStyle w:val="Hyperlink"/>
            <w:rFonts w:cs="Arial"/>
          </w:rPr>
          <w:t>https://www.refworld.org/sites/default/files/2024-02/working_together_to_safeguard_children_2023_-_statutory_guidance.pdf</w:t>
        </w:r>
      </w:hyperlink>
      <w:r w:rsidR="00BA549F">
        <w:rPr>
          <w:rFonts w:cs="Arial"/>
        </w:rPr>
        <w:t xml:space="preserve"> </w:t>
      </w:r>
      <w:r w:rsidRPr="003A4C6C">
        <w:rPr>
          <w:rFonts w:cs="Arial"/>
        </w:rPr>
        <w:t>(Accessed: 1 October 2026).</w:t>
      </w:r>
    </w:p>
    <w:p w14:paraId="265F8839" w14:textId="77777777" w:rsidR="006769A5" w:rsidRPr="003A4C6C" w:rsidRDefault="006769A5" w:rsidP="006769A5">
      <w:pPr>
        <w:keepLines/>
        <w:spacing w:before="120" w:after="120"/>
        <w:ind w:left="720" w:hanging="720"/>
        <w:jc w:val="both"/>
        <w:rPr>
          <w:rFonts w:cs="Arial"/>
        </w:rPr>
      </w:pPr>
      <w:r w:rsidRPr="003A4C6C">
        <w:rPr>
          <w:rFonts w:cs="Arial"/>
        </w:rPr>
        <w:t xml:space="preserve">Department for Education (2026) </w:t>
      </w:r>
      <w:r w:rsidRPr="003A4C6C">
        <w:rPr>
          <w:rFonts w:cs="Arial"/>
          <w:i/>
        </w:rPr>
        <w:t>Working together to safeguard children 2026: a guide to multi-agency working to help, protect and promote the welfare of children</w:t>
      </w:r>
      <w:r w:rsidRPr="003A4C6C">
        <w:rPr>
          <w:rFonts w:cs="Arial"/>
        </w:rPr>
        <w:t xml:space="preserve">. London: Department for Education. Available at: </w:t>
      </w:r>
      <w:hyperlink r:id="rId14" w:history="1">
        <w:r w:rsidR="00BA549F" w:rsidRPr="008503A6">
          <w:rPr>
            <w:rStyle w:val="Hyperlink"/>
            <w:rFonts w:cs="Arial"/>
          </w:rPr>
          <w:t>https://www.gov.uk/government/publications/working-together-to-safeguard-children--2</w:t>
        </w:r>
      </w:hyperlink>
      <w:r w:rsidR="00BA549F">
        <w:rPr>
          <w:rFonts w:cs="Arial"/>
        </w:rPr>
        <w:t xml:space="preserve"> </w:t>
      </w:r>
      <w:r w:rsidRPr="003A4C6C">
        <w:rPr>
          <w:rFonts w:cs="Arial"/>
        </w:rPr>
        <w:t>(Accessed: 1 October 2026).</w:t>
      </w:r>
    </w:p>
    <w:p w14:paraId="39F9B5D8" w14:textId="77777777" w:rsidR="006769A5" w:rsidRPr="003A4C6C" w:rsidRDefault="006769A5" w:rsidP="006769A5">
      <w:pPr>
        <w:keepLines/>
        <w:spacing w:before="120" w:after="120"/>
        <w:ind w:left="720" w:hanging="720"/>
        <w:jc w:val="both"/>
        <w:rPr>
          <w:rFonts w:cs="Arial"/>
        </w:rPr>
      </w:pPr>
      <w:r w:rsidRPr="003A4C6C">
        <w:rPr>
          <w:rFonts w:cs="Arial"/>
          <w:i/>
        </w:rPr>
        <w:t>Domestic Abuse Act 2021</w:t>
      </w:r>
      <w:r w:rsidRPr="003A4C6C">
        <w:rPr>
          <w:rFonts w:cs="Arial"/>
        </w:rPr>
        <w:t xml:space="preserve">, c. 17, s. 3. Available at: </w:t>
      </w:r>
      <w:hyperlink r:id="rId15" w:history="1">
        <w:r w:rsidR="00BA549F" w:rsidRPr="008503A6">
          <w:rPr>
            <w:rStyle w:val="Hyperlink"/>
            <w:rFonts w:cs="Arial"/>
          </w:rPr>
          <w:t>https://www.legislation.gov.uk/ukpga/2021/17/section/3</w:t>
        </w:r>
      </w:hyperlink>
      <w:r w:rsidR="00BA549F">
        <w:rPr>
          <w:rFonts w:cs="Arial"/>
        </w:rPr>
        <w:t xml:space="preserve"> </w:t>
      </w:r>
      <w:r w:rsidRPr="003A4C6C">
        <w:rPr>
          <w:rFonts w:cs="Arial"/>
        </w:rPr>
        <w:t>(Accessed: 1 October 2026).</w:t>
      </w:r>
    </w:p>
    <w:p w14:paraId="3BC1EFB8" w14:textId="77777777" w:rsidR="006769A5" w:rsidRPr="003A4C6C" w:rsidRDefault="006769A5" w:rsidP="006769A5">
      <w:pPr>
        <w:keepLines/>
        <w:spacing w:before="120" w:after="120"/>
        <w:ind w:left="720" w:hanging="720"/>
        <w:jc w:val="both"/>
        <w:rPr>
          <w:rFonts w:cs="Arial"/>
        </w:rPr>
      </w:pPr>
      <w:r w:rsidRPr="003A4C6C">
        <w:rPr>
          <w:rFonts w:cs="Arial"/>
        </w:rPr>
        <w:t xml:space="preserve">Edwards, R., Gillies, V. and White, S. (2019) 'Introduction: Adverse Childhood Experiences (ACEs) - implications and challenges', </w:t>
      </w:r>
      <w:r w:rsidRPr="003A4C6C">
        <w:rPr>
          <w:rFonts w:cs="Arial"/>
          <w:i/>
        </w:rPr>
        <w:t>Social Policy and Society</w:t>
      </w:r>
      <w:r w:rsidRPr="003A4C6C">
        <w:rPr>
          <w:rFonts w:cs="Arial"/>
        </w:rPr>
        <w:t xml:space="preserve">, 18(3), pp. 411-414. Available at: </w:t>
      </w:r>
      <w:hyperlink r:id="rId16" w:history="1">
        <w:r w:rsidR="00430917" w:rsidRPr="008503A6">
          <w:rPr>
            <w:rStyle w:val="Hyperlink"/>
            <w:rFonts w:cs="Arial"/>
          </w:rPr>
          <w:t>https://doi.org/10.1017/S1474746419000137</w:t>
        </w:r>
      </w:hyperlink>
      <w:r w:rsidR="00430917">
        <w:rPr>
          <w:rFonts w:cs="Arial"/>
        </w:rPr>
        <w:t xml:space="preserve"> </w:t>
      </w:r>
    </w:p>
    <w:p w14:paraId="1A162DED" w14:textId="77777777" w:rsidR="006769A5" w:rsidRPr="003A4C6C" w:rsidRDefault="006769A5" w:rsidP="006769A5">
      <w:pPr>
        <w:keepLines/>
        <w:spacing w:before="120" w:after="120"/>
        <w:ind w:left="720" w:hanging="720"/>
        <w:jc w:val="both"/>
        <w:rPr>
          <w:rFonts w:cs="Arial"/>
        </w:rPr>
      </w:pPr>
      <w:r w:rsidRPr="003A4C6C">
        <w:rPr>
          <w:rFonts w:cs="Arial"/>
          <w:i/>
        </w:rPr>
        <w:lastRenderedPageBreak/>
        <w:t>Equality Act 2010</w:t>
      </w:r>
      <w:r w:rsidRPr="003A4C6C">
        <w:rPr>
          <w:rFonts w:cs="Arial"/>
        </w:rPr>
        <w:t xml:space="preserve">, c. 15, ss. 6, 20 and 29. Available at: </w:t>
      </w:r>
      <w:hyperlink r:id="rId17" w:history="1">
        <w:r w:rsidR="00430917" w:rsidRPr="008503A6">
          <w:rPr>
            <w:rStyle w:val="Hyperlink"/>
            <w:rFonts w:cs="Arial"/>
          </w:rPr>
          <w:t>https://www.legislation.gov.uk/ukpga/2010/15/contents</w:t>
        </w:r>
      </w:hyperlink>
      <w:r w:rsidR="00430917">
        <w:rPr>
          <w:rFonts w:cs="Arial"/>
        </w:rPr>
        <w:t xml:space="preserve"> </w:t>
      </w:r>
      <w:r w:rsidRPr="003A4C6C">
        <w:rPr>
          <w:rFonts w:cs="Arial"/>
        </w:rPr>
        <w:t>(Accessed: 1 October 2026).</w:t>
      </w:r>
    </w:p>
    <w:p w14:paraId="5FECACE5" w14:textId="77777777" w:rsidR="006769A5" w:rsidRPr="003A4C6C" w:rsidRDefault="006769A5" w:rsidP="006769A5">
      <w:pPr>
        <w:keepLines/>
        <w:spacing w:before="120" w:after="120"/>
        <w:ind w:left="720" w:hanging="720"/>
        <w:jc w:val="both"/>
        <w:rPr>
          <w:rFonts w:cs="Arial"/>
        </w:rPr>
      </w:pPr>
      <w:r w:rsidRPr="003A4C6C">
        <w:rPr>
          <w:rFonts w:cs="Arial"/>
        </w:rPr>
        <w:t xml:space="preserve">Fox, L.A., Pfeffer, E., Stockman, J., Shapiro, S. and Dully, K. (2020) 'Medical neglect in children and adolescents with diabetes mellitus', </w:t>
      </w:r>
      <w:r w:rsidRPr="003A4C6C">
        <w:rPr>
          <w:rFonts w:cs="Arial"/>
          <w:i/>
        </w:rPr>
        <w:t>Journal of Child and Adolescent Trauma</w:t>
      </w:r>
      <w:r w:rsidRPr="003A4C6C">
        <w:rPr>
          <w:rFonts w:cs="Arial"/>
        </w:rPr>
        <w:t xml:space="preserve">, 13(3), pp. 259-269. Available at: </w:t>
      </w:r>
      <w:hyperlink r:id="rId18" w:history="1">
        <w:r w:rsidR="00311519" w:rsidRPr="008503A6">
          <w:rPr>
            <w:rStyle w:val="Hyperlink"/>
            <w:rFonts w:cs="Arial"/>
          </w:rPr>
          <w:t>https://doi.org/10.1007/s40653-018-0215-y</w:t>
        </w:r>
      </w:hyperlink>
      <w:r w:rsidR="00311519">
        <w:rPr>
          <w:rFonts w:cs="Arial"/>
        </w:rPr>
        <w:t xml:space="preserve"> </w:t>
      </w:r>
    </w:p>
    <w:p w14:paraId="15B1B831" w14:textId="77777777" w:rsidR="006769A5" w:rsidRPr="003A4C6C" w:rsidRDefault="006769A5" w:rsidP="006769A5">
      <w:pPr>
        <w:keepLines/>
        <w:spacing w:before="120" w:after="120"/>
        <w:ind w:left="720" w:hanging="720"/>
        <w:jc w:val="both"/>
        <w:rPr>
          <w:rFonts w:cs="Arial"/>
        </w:rPr>
      </w:pPr>
      <w:r w:rsidRPr="003A4C6C">
        <w:rPr>
          <w:rFonts w:cs="Arial"/>
        </w:rPr>
        <w:t xml:space="preserve">Holtom, S. (2024) </w:t>
      </w:r>
      <w:r w:rsidRPr="003A4C6C">
        <w:rPr>
          <w:rFonts w:cs="Arial"/>
          <w:i/>
        </w:rPr>
        <w:t>Local child safeguarding practice review Child HN</w:t>
      </w:r>
      <w:r w:rsidRPr="003A4C6C">
        <w:rPr>
          <w:rFonts w:cs="Arial"/>
        </w:rPr>
        <w:t>. Hereford: Herefordshire Safeguarding Children Partnership.</w:t>
      </w:r>
      <w:r w:rsidR="00642E81">
        <w:rPr>
          <w:rFonts w:cs="Arial"/>
        </w:rPr>
        <w:t xml:space="preserve"> </w:t>
      </w:r>
      <w:hyperlink r:id="rId19" w:history="1">
        <w:r w:rsidR="00642E81" w:rsidRPr="008503A6">
          <w:rPr>
            <w:rStyle w:val="Hyperlink"/>
            <w:rFonts w:cs="Arial"/>
          </w:rPr>
          <w:t>https://www.herefordshiresafeguardingboards.org.uk/wp-content/uploads/2024/03/Final-Report-LCSPR-Child-HN_Herefordshire-January-2024.pdf</w:t>
        </w:r>
      </w:hyperlink>
      <w:r w:rsidR="00642E81">
        <w:rPr>
          <w:rFonts w:cs="Arial"/>
        </w:rPr>
        <w:t xml:space="preserve"> </w:t>
      </w:r>
      <w:r w:rsidR="00642E81" w:rsidRPr="003A4C6C">
        <w:rPr>
          <w:rFonts w:cs="Arial"/>
        </w:rPr>
        <w:t>(Accessed: 1 October 2026).</w:t>
      </w:r>
    </w:p>
    <w:p w14:paraId="5DF3F1F6" w14:textId="77777777" w:rsidR="006769A5" w:rsidRPr="003A4C6C" w:rsidRDefault="006769A5" w:rsidP="006769A5">
      <w:pPr>
        <w:keepLines/>
        <w:spacing w:before="120" w:after="120"/>
        <w:ind w:left="720" w:hanging="720"/>
        <w:jc w:val="both"/>
        <w:rPr>
          <w:rFonts w:cs="Arial"/>
        </w:rPr>
      </w:pPr>
      <w:r w:rsidRPr="003A4C6C">
        <w:rPr>
          <w:rFonts w:cs="Arial"/>
        </w:rPr>
        <w:t xml:space="preserve">NICE (National Institute for Health and Care Excellence) (2015) </w:t>
      </w:r>
      <w:r w:rsidRPr="003A4C6C">
        <w:rPr>
          <w:rFonts w:cs="Arial"/>
          <w:i/>
        </w:rPr>
        <w:t>Diabetes (type 1 and type 2) in children and young people: diagnosis and management</w:t>
      </w:r>
      <w:r w:rsidRPr="003A4C6C">
        <w:rPr>
          <w:rFonts w:cs="Arial"/>
        </w:rPr>
        <w:t xml:space="preserve">. NG18. Updated 11 May 2023. Available at: </w:t>
      </w:r>
      <w:hyperlink r:id="rId20" w:history="1">
        <w:r w:rsidR="004B53B0" w:rsidRPr="008503A6">
          <w:rPr>
            <w:rStyle w:val="Hyperlink"/>
            <w:rFonts w:cs="Arial"/>
          </w:rPr>
          <w:t>https://www.nice.org.uk/guidance/ng18</w:t>
        </w:r>
      </w:hyperlink>
      <w:r w:rsidR="004B53B0">
        <w:rPr>
          <w:rFonts w:cs="Arial"/>
        </w:rPr>
        <w:t xml:space="preserve"> </w:t>
      </w:r>
      <w:r w:rsidRPr="003A4C6C">
        <w:rPr>
          <w:rFonts w:cs="Arial"/>
        </w:rPr>
        <w:t>(Accessed: 1 October 2026).</w:t>
      </w:r>
    </w:p>
    <w:p w14:paraId="7296531D" w14:textId="77777777" w:rsidR="006769A5" w:rsidRPr="003A4C6C" w:rsidRDefault="006769A5" w:rsidP="009D4AFF">
      <w:pPr>
        <w:keepLines/>
        <w:spacing w:before="120" w:after="120"/>
        <w:ind w:left="720" w:hanging="720"/>
        <w:jc w:val="both"/>
        <w:rPr>
          <w:rFonts w:cs="Arial"/>
        </w:rPr>
      </w:pPr>
      <w:r w:rsidRPr="003A4C6C">
        <w:rPr>
          <w:rFonts w:cs="Arial"/>
        </w:rPr>
        <w:t xml:space="preserve">NSPCC (National Society for the Prevention of Cruelty to Children) (2024) </w:t>
      </w:r>
      <w:r w:rsidRPr="003A4C6C">
        <w:rPr>
          <w:rFonts w:cs="Arial"/>
          <w:i/>
        </w:rPr>
        <w:t>Statistics briefing: children in care</w:t>
      </w:r>
      <w:r w:rsidRPr="003A4C6C">
        <w:rPr>
          <w:rFonts w:cs="Arial"/>
        </w:rPr>
        <w:t>. January. London: NSPCC</w:t>
      </w:r>
      <w:r w:rsidR="009D4AFF">
        <w:rPr>
          <w:rFonts w:cs="Arial"/>
        </w:rPr>
        <w:t xml:space="preserve"> </w:t>
      </w:r>
      <w:hyperlink r:id="rId21" w:history="1">
        <w:r w:rsidR="009D4AFF" w:rsidRPr="008503A6">
          <w:rPr>
            <w:rStyle w:val="Hyperlink"/>
            <w:rFonts w:cs="Arial"/>
          </w:rPr>
          <w:t>https://learning.nspcc.org.uk/research-resources/statistics-briefings/children-in-care</w:t>
        </w:r>
      </w:hyperlink>
      <w:r w:rsidR="009D4AFF">
        <w:rPr>
          <w:rFonts w:cs="Arial"/>
        </w:rPr>
        <w:t xml:space="preserve"> </w:t>
      </w:r>
      <w:r w:rsidR="009D4AFF" w:rsidRPr="003A4C6C">
        <w:rPr>
          <w:rFonts w:cs="Arial"/>
        </w:rPr>
        <w:t>(Accessed: 1 October 2026).</w:t>
      </w:r>
    </w:p>
    <w:p w14:paraId="0BFF7D32" w14:textId="77777777" w:rsidR="006769A5" w:rsidRPr="003A4C6C" w:rsidRDefault="006769A5" w:rsidP="006769A5">
      <w:pPr>
        <w:keepLines/>
        <w:spacing w:before="120" w:after="120"/>
        <w:ind w:left="720" w:hanging="720"/>
        <w:jc w:val="both"/>
        <w:rPr>
          <w:rFonts w:cs="Arial"/>
        </w:rPr>
      </w:pPr>
      <w:r w:rsidRPr="003A4C6C">
        <w:rPr>
          <w:rFonts w:cs="Arial"/>
        </w:rPr>
        <w:t xml:space="preserve">Nursing and Midwifery Council (2018) </w:t>
      </w:r>
      <w:r w:rsidRPr="003A4C6C">
        <w:rPr>
          <w:rFonts w:cs="Arial"/>
          <w:i/>
        </w:rPr>
        <w:t>The Code: professional standards of practice and behaviour for nurses, midwives and nursing associates</w:t>
      </w:r>
      <w:r w:rsidRPr="003A4C6C">
        <w:rPr>
          <w:rFonts w:cs="Arial"/>
        </w:rPr>
        <w:t xml:space="preserve">. London: Nursing and Midwifery Council. Available at: </w:t>
      </w:r>
      <w:hyperlink r:id="rId22" w:history="1">
        <w:r w:rsidR="00473734" w:rsidRPr="008503A6">
          <w:rPr>
            <w:rStyle w:val="Hyperlink"/>
            <w:rFonts w:cs="Arial"/>
          </w:rPr>
          <w:t>https://www.nmc.org.uk/globalassets/sitedocuments/nmc-publications/nmc-code.pdf</w:t>
        </w:r>
      </w:hyperlink>
      <w:r w:rsidR="00473734">
        <w:rPr>
          <w:rFonts w:cs="Arial"/>
        </w:rPr>
        <w:t xml:space="preserve"> </w:t>
      </w:r>
      <w:r w:rsidRPr="003A4C6C">
        <w:rPr>
          <w:rFonts w:cs="Arial"/>
        </w:rPr>
        <w:t>(Accessed: 1 October 2026).</w:t>
      </w:r>
    </w:p>
    <w:p w14:paraId="63728BCD" w14:textId="77777777" w:rsidR="006769A5" w:rsidRPr="003A4C6C" w:rsidRDefault="006769A5" w:rsidP="006769A5">
      <w:pPr>
        <w:keepLines/>
        <w:spacing w:before="120" w:after="120"/>
        <w:ind w:left="720" w:hanging="720"/>
        <w:jc w:val="both"/>
        <w:rPr>
          <w:rFonts w:cs="Arial"/>
        </w:rPr>
      </w:pPr>
      <w:r w:rsidRPr="003A4C6C">
        <w:rPr>
          <w:rFonts w:cs="Arial"/>
        </w:rPr>
        <w:t xml:space="preserve">Okediji, P., Troy, D., Heron, J., Kipping, R.R., Martin, R.M. and Wright, C. (2024) 'Exploring the associations between adverse childhood experiences (ACEs) and adolescent cancer risk behaviours in the ALSPAC cohort', </w:t>
      </w:r>
      <w:r w:rsidRPr="003A4C6C">
        <w:rPr>
          <w:rFonts w:cs="Arial"/>
          <w:i/>
        </w:rPr>
        <w:t>BMC Public Health</w:t>
      </w:r>
      <w:r w:rsidRPr="003A4C6C">
        <w:rPr>
          <w:rFonts w:cs="Arial"/>
        </w:rPr>
        <w:t xml:space="preserve">, 24, article 95. Available at: </w:t>
      </w:r>
      <w:hyperlink r:id="rId23" w:history="1">
        <w:r w:rsidR="00142B38" w:rsidRPr="008503A6">
          <w:rPr>
            <w:rStyle w:val="Hyperlink"/>
            <w:rFonts w:cs="Arial"/>
          </w:rPr>
          <w:t>https://doi.org/10.1186/s12889-023-17516-4</w:t>
        </w:r>
      </w:hyperlink>
      <w:r w:rsidR="00142B38">
        <w:rPr>
          <w:rFonts w:cs="Arial"/>
        </w:rPr>
        <w:t xml:space="preserve"> </w:t>
      </w:r>
    </w:p>
    <w:p w14:paraId="3C6A30DB" w14:textId="77777777" w:rsidR="006769A5" w:rsidRPr="003A4C6C" w:rsidRDefault="006769A5" w:rsidP="006769A5">
      <w:pPr>
        <w:keepLines/>
        <w:spacing w:before="120" w:after="120"/>
        <w:ind w:left="720" w:hanging="720"/>
        <w:jc w:val="both"/>
        <w:rPr>
          <w:rFonts w:cs="Arial"/>
        </w:rPr>
      </w:pPr>
      <w:r w:rsidRPr="003A4C6C">
        <w:rPr>
          <w:rFonts w:cs="Arial"/>
        </w:rPr>
        <w:t xml:space="preserve">United Nations (1989) </w:t>
      </w:r>
      <w:r w:rsidRPr="003A4C6C">
        <w:rPr>
          <w:rFonts w:cs="Arial"/>
          <w:i/>
        </w:rPr>
        <w:t>Convention on the Rights of the Child</w:t>
      </w:r>
      <w:r w:rsidRPr="003A4C6C">
        <w:rPr>
          <w:rFonts w:cs="Arial"/>
        </w:rPr>
        <w:t xml:space="preserve">. Available at: </w:t>
      </w:r>
      <w:hyperlink r:id="rId24" w:history="1">
        <w:r w:rsidR="00610861" w:rsidRPr="008503A6">
          <w:rPr>
            <w:rStyle w:val="Hyperlink"/>
            <w:rFonts w:cs="Arial"/>
          </w:rPr>
          <w:t>https://www.unicef.org/child-rights-convention/convention-text</w:t>
        </w:r>
      </w:hyperlink>
      <w:r w:rsidR="00610861">
        <w:rPr>
          <w:rFonts w:cs="Arial"/>
        </w:rPr>
        <w:t xml:space="preserve"> </w:t>
      </w:r>
      <w:r w:rsidRPr="003A4C6C">
        <w:rPr>
          <w:rFonts w:cs="Arial"/>
        </w:rPr>
        <w:t>(Accessed: 1 October 2026).</w:t>
      </w:r>
    </w:p>
    <w:p w14:paraId="50E1254A" w14:textId="77777777" w:rsidR="006769A5" w:rsidRPr="003A4C6C" w:rsidRDefault="006769A5" w:rsidP="006769A5">
      <w:pPr>
        <w:keepLines/>
        <w:spacing w:before="120" w:after="120"/>
        <w:ind w:left="720" w:hanging="720"/>
        <w:jc w:val="both"/>
        <w:rPr>
          <w:rFonts w:cs="Arial"/>
        </w:rPr>
      </w:pPr>
      <w:r w:rsidRPr="003A4C6C">
        <w:rPr>
          <w:rFonts w:cs="Arial"/>
        </w:rPr>
        <w:t xml:space="preserve">Walsh, D., McCartney, G., Smith, M. and Armour, G. (2019) 'Relationship between childhood socioeconomic position and adverse childhood experiences (ACEs): a systematic review', </w:t>
      </w:r>
      <w:r w:rsidRPr="003A4C6C">
        <w:rPr>
          <w:rFonts w:cs="Arial"/>
          <w:i/>
        </w:rPr>
        <w:t>Journal of Epidemiology and Community Health</w:t>
      </w:r>
      <w:r w:rsidRPr="003A4C6C">
        <w:rPr>
          <w:rFonts w:cs="Arial"/>
        </w:rPr>
        <w:t xml:space="preserve">, 73(12), pp. 1087-1093. Available at: </w:t>
      </w:r>
      <w:hyperlink r:id="rId25" w:history="1">
        <w:r w:rsidR="00153B70" w:rsidRPr="008503A6">
          <w:rPr>
            <w:rStyle w:val="Hyperlink"/>
            <w:rFonts w:cs="Arial"/>
          </w:rPr>
          <w:t>https://doi.org/10.1136/jech-2019-212738</w:t>
        </w:r>
      </w:hyperlink>
      <w:r w:rsidR="00153B70">
        <w:rPr>
          <w:rFonts w:cs="Arial"/>
        </w:rPr>
        <w:t xml:space="preserve"> </w:t>
      </w:r>
    </w:p>
    <w:p w14:paraId="686058A7" w14:textId="77777777" w:rsidR="00134C98" w:rsidRDefault="00134C98"/>
    <w:sectPr w:rsidR="00134C98" w:rsidSect="00034616">
      <w:footerReference w:type="default" r:id="rId26"/>
      <w:pgSz w:w="11905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C61020" w14:textId="77777777" w:rsidR="00645848" w:rsidRDefault="00645848" w:rsidP="001D7F6C">
      <w:pPr>
        <w:spacing w:after="0" w:line="240" w:lineRule="auto"/>
      </w:pPr>
      <w:r>
        <w:separator/>
      </w:r>
    </w:p>
  </w:endnote>
  <w:endnote w:type="continuationSeparator" w:id="0">
    <w:p w14:paraId="4D213357" w14:textId="77777777" w:rsidR="00645848" w:rsidRDefault="00645848" w:rsidP="001D7F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864555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80E8F8" w14:textId="77777777" w:rsidR="001D7F6C" w:rsidRDefault="001D7F6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766EB2" w14:textId="77777777" w:rsidR="00D93C59" w:rsidRDefault="00D93C59">
    <w:pPr>
      <w:pStyle w:val="Footer"/>
      <w:spacing w:line="360" w:lineRule="auto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127BA6" w14:textId="77777777" w:rsidR="00645848" w:rsidRDefault="00645848" w:rsidP="001D7F6C">
      <w:pPr>
        <w:spacing w:after="0" w:line="240" w:lineRule="auto"/>
      </w:pPr>
      <w:r>
        <w:separator/>
      </w:r>
    </w:p>
  </w:footnote>
  <w:footnote w:type="continuationSeparator" w:id="0">
    <w:p w14:paraId="706DAA67" w14:textId="77777777" w:rsidR="00645848" w:rsidRDefault="00645848" w:rsidP="001D7F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9A5"/>
    <w:rsid w:val="000759BE"/>
    <w:rsid w:val="000A421E"/>
    <w:rsid w:val="00110902"/>
    <w:rsid w:val="00134C98"/>
    <w:rsid w:val="00142B38"/>
    <w:rsid w:val="00153B70"/>
    <w:rsid w:val="001948F4"/>
    <w:rsid w:val="001D7F6C"/>
    <w:rsid w:val="00247EF2"/>
    <w:rsid w:val="00311519"/>
    <w:rsid w:val="00430917"/>
    <w:rsid w:val="00473734"/>
    <w:rsid w:val="004B53B0"/>
    <w:rsid w:val="00516B34"/>
    <w:rsid w:val="00610861"/>
    <w:rsid w:val="00642E81"/>
    <w:rsid w:val="00645848"/>
    <w:rsid w:val="00661EE4"/>
    <w:rsid w:val="006769A5"/>
    <w:rsid w:val="0077438D"/>
    <w:rsid w:val="00783FB1"/>
    <w:rsid w:val="008F2D5A"/>
    <w:rsid w:val="009D4AFF"/>
    <w:rsid w:val="00B53E8C"/>
    <w:rsid w:val="00BA549F"/>
    <w:rsid w:val="00BB2951"/>
    <w:rsid w:val="00BF1996"/>
    <w:rsid w:val="00D72641"/>
    <w:rsid w:val="00D93C59"/>
    <w:rsid w:val="00F762D4"/>
    <w:rsid w:val="00F87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B98FE"/>
  <w15:chartTrackingRefBased/>
  <w15:docId w15:val="{A0443247-FCD9-4956-9884-FC7B32AD9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69A5"/>
    <w:pPr>
      <w:spacing w:line="360" w:lineRule="auto"/>
    </w:pPr>
    <w:rPr>
      <w:rFonts w:ascii="Arial" w:eastAsiaTheme="minorEastAsia" w:hAnsi="Arial"/>
      <w:color w:val="000000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72641"/>
    <w:pPr>
      <w:keepNext/>
      <w:keepLines/>
      <w:spacing w:before="480" w:after="0" w:line="276" w:lineRule="auto"/>
      <w:outlineLvl w:val="0"/>
    </w:pPr>
    <w:rPr>
      <w:rFonts w:eastAsiaTheme="majorEastAsia" w:cstheme="majorBidi"/>
      <w:b/>
      <w:bCs/>
      <w:color w:val="000000" w:themeColor="text1"/>
      <w:sz w:val="3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2641"/>
    <w:rPr>
      <w:rFonts w:ascii="Arial" w:eastAsiaTheme="majorEastAsia" w:hAnsi="Arial" w:cstheme="majorBidi"/>
      <w:b/>
      <w:bCs/>
      <w:color w:val="000000" w:themeColor="text1"/>
      <w:sz w:val="32"/>
      <w:szCs w:val="28"/>
    </w:rPr>
  </w:style>
  <w:style w:type="paragraph" w:styleId="Footer">
    <w:name w:val="footer"/>
    <w:basedOn w:val="Normal"/>
    <w:link w:val="FooterChar"/>
    <w:uiPriority w:val="99"/>
    <w:unhideWhenUsed/>
    <w:rsid w:val="006769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69A5"/>
    <w:rPr>
      <w:rFonts w:ascii="Arial" w:eastAsiaTheme="minorEastAsia" w:hAnsi="Arial"/>
      <w:color w:val="000000"/>
    </w:rPr>
  </w:style>
  <w:style w:type="paragraph" w:styleId="Title">
    <w:name w:val="Title"/>
    <w:basedOn w:val="Normal"/>
    <w:next w:val="Normal"/>
    <w:link w:val="TitleChar"/>
    <w:uiPriority w:val="10"/>
    <w:qFormat/>
    <w:rsid w:val="006769A5"/>
    <w:pPr>
      <w:contextualSpacing/>
    </w:pPr>
    <w:rPr>
      <w:rFonts w:asciiTheme="majorHAnsi" w:eastAsiaTheme="majorEastAsia" w:hAnsiTheme="majorHAnsi" w:cstheme="majorBidi"/>
      <w:b/>
      <w:spacing w:val="5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769A5"/>
    <w:rPr>
      <w:rFonts w:asciiTheme="majorHAnsi" w:eastAsiaTheme="majorEastAsia" w:hAnsiTheme="majorHAnsi" w:cstheme="majorBidi"/>
      <w:b/>
      <w:color w:val="000000"/>
      <w:spacing w:val="5"/>
      <w:kern w:val="28"/>
      <w:szCs w:val="52"/>
    </w:rPr>
  </w:style>
  <w:style w:type="character" w:styleId="Hyperlink">
    <w:name w:val="Hyperlink"/>
    <w:basedOn w:val="DefaultParagraphFont"/>
    <w:uiPriority w:val="99"/>
    <w:unhideWhenUsed/>
    <w:rsid w:val="00783FB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3FB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D7F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7F6C"/>
    <w:rPr>
      <w:rFonts w:ascii="Arial" w:eastAsiaTheme="minorEastAsia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1989/41/contents" TargetMode="External"/><Relationship Id="rId13" Type="http://schemas.openxmlformats.org/officeDocument/2006/relationships/hyperlink" Target="https://www.refworld.org/sites/default/files/2024-02/working_together_to_safeguard_children_2023_-_statutory_guidance.pdf" TargetMode="External"/><Relationship Id="rId18" Type="http://schemas.openxmlformats.org/officeDocument/2006/relationships/hyperlink" Target="https://doi.org/10.1007/s40653-018-0215-y" TargetMode="External"/><Relationship Id="rId26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hyperlink" Target="https://learning.nspcc.org.uk/research-resources/statistics-briefings/children-in-care" TargetMode="External"/><Relationship Id="rId7" Type="http://schemas.openxmlformats.org/officeDocument/2006/relationships/image" Target="cid:image001.png@01D0EA4A.2BD679A0" TargetMode="External"/><Relationship Id="rId12" Type="http://schemas.openxmlformats.org/officeDocument/2006/relationships/hyperlink" Target="https://www.ism.org/images/files/Working_Together_to_Safeguard_Children-2018.pdf" TargetMode="External"/><Relationship Id="rId17" Type="http://schemas.openxmlformats.org/officeDocument/2006/relationships/hyperlink" Target="https://www.legislation.gov.uk/ukpga/2010/15/contents" TargetMode="External"/><Relationship Id="rId25" Type="http://schemas.openxmlformats.org/officeDocument/2006/relationships/hyperlink" Target="https://doi.org/10.1136/jech-2019-212738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oi.org/10.1017/S1474746419000137" TargetMode="External"/><Relationship Id="rId20" Type="http://schemas.openxmlformats.org/officeDocument/2006/relationships/hyperlink" Target="https://www.nice.org.uk/guidance/ng18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doi.org/10.1111/pedi.13428" TargetMode="External"/><Relationship Id="rId24" Type="http://schemas.openxmlformats.org/officeDocument/2006/relationships/hyperlink" Target="https://www.unicef.org/child-rights-convention/convention-text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legislation.gov.uk/ukpga/2021/17/section/3" TargetMode="External"/><Relationship Id="rId23" Type="http://schemas.openxmlformats.org/officeDocument/2006/relationships/hyperlink" Target="https://doi.org/10.1186/s12889-023-17516-4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legislation.gov.uk/ukpga/2017/16/contents" TargetMode="External"/><Relationship Id="rId19" Type="http://schemas.openxmlformats.org/officeDocument/2006/relationships/hyperlink" Target="https://www.herefordshiresafeguardingboards.org.uk/wp-content/uploads/2024/03/Final-Report-LCSPR-Child-HN_Herefordshire-January-2024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legislation.gov.uk/ukpga/2004/31/contents" TargetMode="External"/><Relationship Id="rId14" Type="http://schemas.openxmlformats.org/officeDocument/2006/relationships/hyperlink" Target="https://www.gov.uk/government/publications/working-together-to-safeguard-children--2" TargetMode="External"/><Relationship Id="rId22" Type="http://schemas.openxmlformats.org/officeDocument/2006/relationships/hyperlink" Target="https://www.nmc.org.uk/globalassets/sitedocuments/nmc-publications/nmc-code.pdf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931</Words>
  <Characters>5311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Sunbal Babar</dc:creator>
  <cp:keywords/>
  <dc:description/>
  <cp:lastModifiedBy>Happy Chowdhury (2432687)</cp:lastModifiedBy>
  <cp:revision>7</cp:revision>
  <dcterms:created xsi:type="dcterms:W3CDTF">2026-10-01T07:32:00Z</dcterms:created>
  <dcterms:modified xsi:type="dcterms:W3CDTF">2026-10-15T16:35:00Z</dcterms:modified>
</cp:coreProperties>
</file>