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D64890" w14:textId="77777777" w:rsidR="00DB4BE0" w:rsidRDefault="00000000" w:rsidP="00D93E60">
      <w:pPr>
        <w:jc w:val="both"/>
      </w:pPr>
      <w:r>
        <w:rPr>
          <w:rFonts w:ascii="Calibri" w:eastAsia="Calibri" w:hAnsi="Calibri" w:cs="Calibri"/>
          <w:i/>
          <w:iCs/>
          <w:sz w:val="24"/>
          <w:szCs w:val="24"/>
        </w:rPr>
        <w:t>Reflective Essay</w:t>
      </w:r>
    </w:p>
    <w:p w14:paraId="0AAABBC5" w14:textId="70538B49" w:rsidR="00DB4BE0" w:rsidRDefault="00000000" w:rsidP="00D93E60">
      <w:pPr>
        <w:jc w:val="both"/>
      </w:pPr>
      <w:r>
        <w:rPr>
          <w:rFonts w:ascii="Calibri" w:eastAsia="Calibri" w:hAnsi="Calibri" w:cs="Calibri"/>
          <w:i/>
          <w:iCs/>
          <w:sz w:val="24"/>
          <w:szCs w:val="24"/>
        </w:rPr>
        <w:t xml:space="preserve">Anees </w:t>
      </w:r>
      <w:proofErr w:type="gramStart"/>
      <w:r w:rsidR="000A75EF">
        <w:rPr>
          <w:rFonts w:ascii="Calibri" w:eastAsia="Calibri" w:hAnsi="Calibri" w:cs="Calibri"/>
          <w:i/>
          <w:iCs/>
          <w:sz w:val="24"/>
          <w:szCs w:val="24"/>
        </w:rPr>
        <w:t>Farooq  Student</w:t>
      </w:r>
      <w:proofErr w:type="gramEnd"/>
      <w:r>
        <w:rPr>
          <w:rFonts w:ascii="Calibri" w:eastAsia="Calibri" w:hAnsi="Calibri" w:cs="Calibri"/>
          <w:i/>
          <w:iCs/>
          <w:sz w:val="24"/>
          <w:szCs w:val="24"/>
        </w:rPr>
        <w:t xml:space="preserve"> ID: 2314658</w:t>
      </w:r>
    </w:p>
    <w:p w14:paraId="08A5330D" w14:textId="77777777" w:rsidR="00D93E60" w:rsidRDefault="00D93E60" w:rsidP="00D93E60">
      <w:pPr>
        <w:jc w:val="both"/>
        <w:rPr>
          <w:rFonts w:ascii="Calibri" w:eastAsia="Calibri" w:hAnsi="Calibri" w:cs="Calibri"/>
          <w:b/>
          <w:bCs/>
          <w:sz w:val="24"/>
          <w:szCs w:val="24"/>
        </w:rPr>
      </w:pPr>
    </w:p>
    <w:p w14:paraId="52F226FE" w14:textId="4346A7EE" w:rsidR="00DB4BE0" w:rsidRDefault="00000000" w:rsidP="00D93E60">
      <w:pPr>
        <w:jc w:val="both"/>
      </w:pPr>
      <w:r>
        <w:rPr>
          <w:rFonts w:ascii="Calibri" w:eastAsia="Calibri" w:hAnsi="Calibri" w:cs="Calibri"/>
          <w:b/>
          <w:bCs/>
          <w:sz w:val="24"/>
          <w:szCs w:val="24"/>
        </w:rPr>
        <w:t>DISSERTATION — ELEMENT 2</w:t>
      </w:r>
    </w:p>
    <w:p w14:paraId="28C97853" w14:textId="77777777" w:rsidR="00D93E60" w:rsidRDefault="00D93E60" w:rsidP="00D93E60">
      <w:pPr>
        <w:jc w:val="both"/>
        <w:rPr>
          <w:rFonts w:ascii="Calibri" w:eastAsia="Calibri" w:hAnsi="Calibri" w:cs="Calibri"/>
          <w:b/>
          <w:bCs/>
          <w:color w:val="1E2761"/>
          <w:sz w:val="30"/>
          <w:szCs w:val="30"/>
        </w:rPr>
      </w:pPr>
    </w:p>
    <w:p w14:paraId="2ECEC17B" w14:textId="51E712CF" w:rsidR="00DB4BE0" w:rsidRDefault="00000000" w:rsidP="00D93E60">
      <w:pPr>
        <w:jc w:val="both"/>
      </w:pPr>
      <w:r>
        <w:rPr>
          <w:rFonts w:ascii="Calibri" w:eastAsia="Calibri" w:hAnsi="Calibri" w:cs="Calibri"/>
          <w:b/>
          <w:bCs/>
          <w:color w:val="1E2761"/>
          <w:sz w:val="30"/>
          <w:szCs w:val="30"/>
        </w:rPr>
        <w:t>Reflective Essay</w:t>
      </w:r>
    </w:p>
    <w:p w14:paraId="4CE1520A" w14:textId="77777777" w:rsidR="00DB4BE0" w:rsidRDefault="00000000" w:rsidP="00D93E60">
      <w:pPr>
        <w:jc w:val="both"/>
      </w:pPr>
      <w:r>
        <w:rPr>
          <w:rFonts w:ascii="Calibri" w:eastAsia="Calibri" w:hAnsi="Calibri" w:cs="Calibri"/>
          <w:i/>
          <w:iCs/>
          <w:sz w:val="24"/>
          <w:szCs w:val="24"/>
        </w:rPr>
        <w:t>Reflection on Conducting a Systematic Literature Review of Leadership Styles, Employee Performance and Motivation in the Workplace</w:t>
      </w:r>
    </w:p>
    <w:p w14:paraId="59C7DF4B" w14:textId="50137531" w:rsidR="00015611" w:rsidRPr="00D93E60" w:rsidRDefault="00000000" w:rsidP="00D93E60">
      <w:pPr>
        <w:jc w:val="both"/>
        <w:rPr>
          <w:rFonts w:ascii="Calibri" w:eastAsia="Calibri" w:hAnsi="Calibri" w:cs="Calibri"/>
          <w:i/>
          <w:iCs/>
          <w:sz w:val="24"/>
          <w:szCs w:val="24"/>
        </w:rPr>
      </w:pPr>
      <w:r>
        <w:rPr>
          <w:rFonts w:ascii="Calibri" w:eastAsia="Calibri" w:hAnsi="Calibri" w:cs="Calibri"/>
          <w:i/>
          <w:iCs/>
          <w:sz w:val="24"/>
          <w:szCs w:val="24"/>
        </w:rPr>
        <w:t>Using Gibbs' (1988) Reflective Cycle</w:t>
      </w:r>
    </w:p>
    <w:p w14:paraId="7FEAC487" w14:textId="77777777" w:rsidR="00D93E60" w:rsidRDefault="00D93E60" w:rsidP="00D93E60">
      <w:pPr>
        <w:jc w:val="center"/>
        <w:rPr>
          <w:rFonts w:ascii="Calibri" w:eastAsia="Calibri" w:hAnsi="Calibri" w:cs="Calibri"/>
          <w:b/>
          <w:bCs/>
          <w:sz w:val="24"/>
          <w:szCs w:val="24"/>
        </w:rPr>
      </w:pPr>
    </w:p>
    <w:p w14:paraId="7837A582" w14:textId="596E84D5" w:rsidR="00DB4BE0" w:rsidRDefault="00000000" w:rsidP="00D93E60">
      <w:pPr>
        <w:jc w:val="center"/>
      </w:pPr>
      <w:r>
        <w:rPr>
          <w:rFonts w:ascii="Calibri" w:eastAsia="Calibri" w:hAnsi="Calibri" w:cs="Calibri"/>
          <w:b/>
          <w:bCs/>
          <w:sz w:val="24"/>
          <w:szCs w:val="24"/>
        </w:rPr>
        <w:t xml:space="preserve">Student Name: </w:t>
      </w:r>
      <w:r>
        <w:rPr>
          <w:rFonts w:ascii="Calibri" w:eastAsia="Calibri" w:hAnsi="Calibri" w:cs="Calibri"/>
          <w:sz w:val="24"/>
          <w:szCs w:val="24"/>
        </w:rPr>
        <w:t>Anees Farooq</w:t>
      </w:r>
    </w:p>
    <w:p w14:paraId="09D57294" w14:textId="77777777" w:rsidR="00DB4BE0" w:rsidRDefault="00000000" w:rsidP="00D93E60">
      <w:pPr>
        <w:jc w:val="center"/>
        <w:rPr>
          <w:rFonts w:ascii="Calibri" w:eastAsia="Calibri" w:hAnsi="Calibri" w:cs="Calibri"/>
          <w:sz w:val="24"/>
          <w:szCs w:val="24"/>
        </w:rPr>
      </w:pPr>
      <w:r>
        <w:rPr>
          <w:rFonts w:ascii="Calibri" w:eastAsia="Calibri" w:hAnsi="Calibri" w:cs="Calibri"/>
          <w:b/>
          <w:bCs/>
          <w:sz w:val="24"/>
          <w:szCs w:val="24"/>
        </w:rPr>
        <w:t xml:space="preserve">Student ID Number: </w:t>
      </w:r>
      <w:r>
        <w:rPr>
          <w:rFonts w:ascii="Calibri" w:eastAsia="Calibri" w:hAnsi="Calibri" w:cs="Calibri"/>
          <w:sz w:val="24"/>
          <w:szCs w:val="24"/>
        </w:rPr>
        <w:t>2314658</w:t>
      </w:r>
    </w:p>
    <w:p w14:paraId="6E55761E" w14:textId="77777777" w:rsidR="00D93E60" w:rsidRDefault="00D93E60" w:rsidP="00D93E60">
      <w:pPr>
        <w:jc w:val="center"/>
      </w:pPr>
    </w:p>
    <w:p w14:paraId="3C87E254" w14:textId="0940C1BC" w:rsidR="000A75EF" w:rsidRPr="000A75EF" w:rsidRDefault="000A75EF" w:rsidP="00D93E60">
      <w:pPr>
        <w:spacing w:line="300" w:lineRule="auto"/>
        <w:jc w:val="both"/>
        <w:rPr>
          <w:rFonts w:ascii="Calibri" w:eastAsia="Calibri" w:hAnsi="Calibri" w:cs="Calibri"/>
          <w:sz w:val="24"/>
          <w:szCs w:val="24"/>
        </w:rPr>
      </w:pPr>
      <w:r w:rsidRPr="000A75EF">
        <w:rPr>
          <w:rFonts w:ascii="Calibri" w:eastAsia="Calibri" w:hAnsi="Calibri" w:cs="Calibri"/>
          <w:sz w:val="24"/>
          <w:szCs w:val="24"/>
        </w:rPr>
        <w:t>This essay is a reflection that was guided by the systematic literature review (SLR) reporting standards of PRISMA (Ocampo, and Saunders, 2025), and adapted to Gibbs' Reflective Cycle, which is broken down into description, feelings, evaluation, analysis, conclusion, and action planning.</w:t>
      </w:r>
    </w:p>
    <w:p w14:paraId="49054814" w14:textId="77777777" w:rsidR="00D93E60" w:rsidRDefault="00D93E60" w:rsidP="00D93E60">
      <w:pPr>
        <w:pStyle w:val="Heading1"/>
        <w:jc w:val="both"/>
        <w:rPr>
          <w:rFonts w:ascii="Calibri" w:eastAsia="Calibri" w:hAnsi="Calibri" w:cs="Calibri"/>
          <w:b/>
          <w:bCs/>
          <w:color w:val="1E2761"/>
          <w:sz w:val="28"/>
          <w:szCs w:val="28"/>
        </w:rPr>
      </w:pPr>
    </w:p>
    <w:p w14:paraId="7E16B025" w14:textId="5FA145F2" w:rsidR="00DB4BE0" w:rsidRDefault="00000000" w:rsidP="00D93E60">
      <w:pPr>
        <w:pStyle w:val="Heading1"/>
        <w:jc w:val="both"/>
      </w:pPr>
      <w:r>
        <w:rPr>
          <w:rFonts w:ascii="Calibri" w:eastAsia="Calibri" w:hAnsi="Calibri" w:cs="Calibri"/>
          <w:b/>
          <w:bCs/>
          <w:color w:val="1E2761"/>
          <w:sz w:val="28"/>
          <w:szCs w:val="28"/>
        </w:rPr>
        <w:t>Description</w:t>
      </w:r>
    </w:p>
    <w:p w14:paraId="040483C9" w14:textId="250F6927" w:rsidR="000A75EF" w:rsidRPr="000A75EF" w:rsidRDefault="000A75EF" w:rsidP="00D93E60">
      <w:pPr>
        <w:spacing w:line="300" w:lineRule="auto"/>
        <w:jc w:val="both"/>
        <w:rPr>
          <w:rFonts w:ascii="Calibri" w:eastAsia="Calibri" w:hAnsi="Calibri" w:cs="Calibri"/>
          <w:sz w:val="24"/>
          <w:szCs w:val="24"/>
        </w:rPr>
      </w:pPr>
      <w:r w:rsidRPr="000A75EF">
        <w:rPr>
          <w:rFonts w:ascii="Calibri" w:eastAsia="Calibri" w:hAnsi="Calibri" w:cs="Calibri"/>
          <w:sz w:val="24"/>
          <w:szCs w:val="24"/>
        </w:rPr>
        <w:t>In my dissertation I had to conduct a systematic literature review on the relationship between transformational, transactional, servant, laissez-faire and democratic leadership with employee performance and motivation. I created the review following a PICO research question structure, searched four databases, and used fixed inclusion/exclusion criteria that I had pre-registered before screening, (Ritakallio and Laine, 2022.). Fifteen empirical studies that are peer-reviewed and published from 2015 to 2025 were selected and appraised for quality and then synthesized thematically and, if available, meta-analytically.</w:t>
      </w:r>
    </w:p>
    <w:p w14:paraId="3DC3630A" w14:textId="77777777" w:rsidR="00DB4BE0" w:rsidRDefault="00000000" w:rsidP="00D93E60">
      <w:pPr>
        <w:pStyle w:val="Heading1"/>
        <w:jc w:val="both"/>
      </w:pPr>
      <w:r>
        <w:rPr>
          <w:rFonts w:ascii="Calibri" w:eastAsia="Calibri" w:hAnsi="Calibri" w:cs="Calibri"/>
          <w:b/>
          <w:bCs/>
          <w:color w:val="1E2761"/>
          <w:sz w:val="28"/>
          <w:szCs w:val="28"/>
        </w:rPr>
        <w:t>Feelings</w:t>
      </w:r>
    </w:p>
    <w:p w14:paraId="1E6C0ACA" w14:textId="5A577C8F" w:rsidR="000A75EF" w:rsidRPr="000A75EF" w:rsidRDefault="000A75EF" w:rsidP="00D93E60">
      <w:pPr>
        <w:spacing w:line="300" w:lineRule="auto"/>
        <w:jc w:val="both"/>
        <w:rPr>
          <w:rFonts w:ascii="Calibri" w:eastAsia="Calibri" w:hAnsi="Calibri" w:cs="Calibri"/>
          <w:sz w:val="24"/>
          <w:szCs w:val="24"/>
        </w:rPr>
      </w:pPr>
      <w:r w:rsidRPr="000A75EF">
        <w:rPr>
          <w:rFonts w:ascii="Calibri" w:eastAsia="Calibri" w:hAnsi="Calibri" w:cs="Calibri"/>
          <w:sz w:val="24"/>
          <w:szCs w:val="24"/>
        </w:rPr>
        <w:t>I began with some doubt that a review made solely from secondary data (not first-hand observational data) would be able to produce a defensible, original contribution (Leonelli 2023). As the first database searches brought back several thousand records, I became more unsure of myself if my eligibility decisions at screening were sometimes inconsistent, and potentially subjective (Warren and Keane 2024). As the two-stage PRISMA screening continued and patterns emerged, often related to how motivation and engagement appeared to be facilitating their leadership performance and not just its consequence, my anxiety was replaced by real intellectual curiosity (Murphy, 2025).</w:t>
      </w:r>
    </w:p>
    <w:p w14:paraId="2A3C3874" w14:textId="77777777" w:rsidR="00DB4BE0" w:rsidRDefault="00000000" w:rsidP="00D93E60">
      <w:pPr>
        <w:pStyle w:val="Heading1"/>
        <w:jc w:val="both"/>
      </w:pPr>
      <w:r>
        <w:rPr>
          <w:rFonts w:ascii="Calibri" w:eastAsia="Calibri" w:hAnsi="Calibri" w:cs="Calibri"/>
          <w:b/>
          <w:bCs/>
          <w:color w:val="1E2761"/>
          <w:sz w:val="28"/>
          <w:szCs w:val="28"/>
        </w:rPr>
        <w:t>Evaluation</w:t>
      </w:r>
    </w:p>
    <w:p w14:paraId="21C34BC8" w14:textId="5E81AE2C" w:rsidR="000A75EF" w:rsidRPr="000A75EF" w:rsidRDefault="000A75EF" w:rsidP="00D93E60">
      <w:pPr>
        <w:spacing w:line="300" w:lineRule="auto"/>
        <w:jc w:val="both"/>
        <w:rPr>
          <w:rFonts w:ascii="Calibri" w:eastAsia="Calibri" w:hAnsi="Calibri" w:cs="Calibri"/>
          <w:sz w:val="24"/>
          <w:szCs w:val="24"/>
        </w:rPr>
      </w:pPr>
      <w:r w:rsidRPr="000A75EF">
        <w:rPr>
          <w:rFonts w:ascii="Calibri" w:eastAsia="Calibri" w:hAnsi="Calibri" w:cs="Calibri"/>
          <w:sz w:val="24"/>
          <w:szCs w:val="24"/>
        </w:rPr>
        <w:t xml:space="preserve">The positive development was that the protocol, search strategy and eligibility criteria were developed before the screening process, providing the review with a "trail" from the research question to the ultimate synthesis, and lowering the risk of selection bias getting into my decisions (Imam, 2025). What didn't go so well, however, was the time taken to full-text </w:t>
      </w:r>
      <w:r w:rsidRPr="000A75EF">
        <w:rPr>
          <w:rFonts w:ascii="Calibri" w:eastAsia="Calibri" w:hAnsi="Calibri" w:cs="Calibri"/>
          <w:sz w:val="24"/>
          <w:szCs w:val="24"/>
        </w:rPr>
        <w:lastRenderedPageBreak/>
        <w:t>screen and evaluate studies at abstract stages to see if they matched my PICO criteria, which slowed my initial timeline a lot (Fiorillo and Cervino, 2022).</w:t>
      </w:r>
    </w:p>
    <w:p w14:paraId="5470E551" w14:textId="77777777" w:rsidR="00DB4BE0" w:rsidRDefault="00000000" w:rsidP="00D93E60">
      <w:pPr>
        <w:pStyle w:val="Heading1"/>
        <w:jc w:val="both"/>
      </w:pPr>
      <w:r>
        <w:rPr>
          <w:rFonts w:ascii="Calibri" w:eastAsia="Calibri" w:hAnsi="Calibri" w:cs="Calibri"/>
          <w:b/>
          <w:bCs/>
          <w:color w:val="1E2761"/>
          <w:sz w:val="28"/>
          <w:szCs w:val="28"/>
        </w:rPr>
        <w:t>Analysis</w:t>
      </w:r>
    </w:p>
    <w:p w14:paraId="1944F58B" w14:textId="32EF265A" w:rsidR="000A75EF" w:rsidRPr="000A75EF" w:rsidRDefault="000A75EF" w:rsidP="00D93E60">
      <w:pPr>
        <w:spacing w:line="300" w:lineRule="auto"/>
        <w:jc w:val="both"/>
        <w:rPr>
          <w:rFonts w:ascii="Calibri" w:eastAsia="Calibri" w:hAnsi="Calibri" w:cs="Calibri"/>
          <w:sz w:val="24"/>
          <w:szCs w:val="24"/>
        </w:rPr>
      </w:pPr>
      <w:r w:rsidRPr="000A75EF">
        <w:rPr>
          <w:rFonts w:ascii="Calibri" w:eastAsia="Calibri" w:hAnsi="Calibri" w:cs="Calibri"/>
          <w:sz w:val="24"/>
          <w:szCs w:val="24"/>
        </w:rPr>
        <w:t>In retrospect, the effort spent on screening was not a mistake, but the methodical wisdom of having done the screening properly and with criteria (Rohan, and Thapliyal, 2023). Comparing and contrasting studies with varying designs, measures and effect sizes also entailed a consideration of methodological quality in that I am not always persuaded by all of the studies included, but instead, had to be critical, not just descriptive, in my discussion of evidence hierarchies (Flanagan, and Beck, 2024).</w:t>
      </w:r>
    </w:p>
    <w:p w14:paraId="2BCC3D17" w14:textId="77777777" w:rsidR="00DB4BE0" w:rsidRDefault="00000000" w:rsidP="00D93E60">
      <w:pPr>
        <w:pStyle w:val="Heading1"/>
        <w:jc w:val="both"/>
      </w:pPr>
      <w:r>
        <w:rPr>
          <w:rFonts w:ascii="Calibri" w:eastAsia="Calibri" w:hAnsi="Calibri" w:cs="Calibri"/>
          <w:b/>
          <w:bCs/>
          <w:color w:val="1E2761"/>
          <w:sz w:val="28"/>
          <w:szCs w:val="28"/>
        </w:rPr>
        <w:t>Conclusion</w:t>
      </w:r>
    </w:p>
    <w:p w14:paraId="3EC672AC" w14:textId="560D4BDC" w:rsidR="000A75EF" w:rsidRPr="000A75EF" w:rsidRDefault="000A75EF" w:rsidP="00D93E60">
      <w:pPr>
        <w:spacing w:line="300" w:lineRule="auto"/>
        <w:jc w:val="both"/>
        <w:rPr>
          <w:rFonts w:ascii="Calibri" w:eastAsia="Calibri" w:hAnsi="Calibri" w:cs="Calibri"/>
          <w:sz w:val="24"/>
          <w:szCs w:val="24"/>
        </w:rPr>
      </w:pPr>
      <w:r w:rsidRPr="000A75EF">
        <w:rPr>
          <w:rFonts w:ascii="Calibri" w:eastAsia="Calibri" w:hAnsi="Calibri" w:cs="Calibri"/>
          <w:sz w:val="24"/>
          <w:szCs w:val="24"/>
        </w:rPr>
        <w:t>It would have been better for me to have applied my data-extraction template to a few studies before I started screening fully to establish the categories that I needed to record from the beginning of the screening process to avoid having to change my template partway through. I also acknowledge that in the initial weeks I sometimes relied on a single strong study more heavily than warranted and consciously worked to ensure the overall weight and consistency of the evidence across studies, not a single study.</w:t>
      </w:r>
    </w:p>
    <w:p w14:paraId="06C75DB7" w14:textId="77777777" w:rsidR="00DB4BE0" w:rsidRDefault="00000000" w:rsidP="00D93E60">
      <w:pPr>
        <w:pStyle w:val="Heading1"/>
        <w:jc w:val="both"/>
      </w:pPr>
      <w:r>
        <w:rPr>
          <w:rFonts w:ascii="Calibri" w:eastAsia="Calibri" w:hAnsi="Calibri" w:cs="Calibri"/>
          <w:b/>
          <w:bCs/>
          <w:color w:val="1E2761"/>
          <w:sz w:val="28"/>
          <w:szCs w:val="28"/>
        </w:rPr>
        <w:t>Action Plan</w:t>
      </w:r>
    </w:p>
    <w:p w14:paraId="137BF313" w14:textId="511AECF0" w:rsidR="000A75EF" w:rsidRDefault="000A75EF" w:rsidP="00D93E60">
      <w:pPr>
        <w:spacing w:line="300" w:lineRule="auto"/>
        <w:jc w:val="both"/>
        <w:rPr>
          <w:rFonts w:ascii="Calibri" w:eastAsia="Calibri" w:hAnsi="Calibri" w:cs="Calibri"/>
          <w:sz w:val="24"/>
          <w:szCs w:val="24"/>
        </w:rPr>
      </w:pPr>
      <w:r w:rsidRPr="000A75EF">
        <w:rPr>
          <w:rFonts w:ascii="Calibri" w:eastAsia="Calibri" w:hAnsi="Calibri" w:cs="Calibri"/>
          <w:sz w:val="24"/>
          <w:szCs w:val="24"/>
        </w:rPr>
        <w:t>For future systematic reviews, I will pilot and finalize my data-extraction and quality-appraisal template prior to commencing full text screening; and will introduce an explicit calibration step early on to ensure that my eligibility decisions are consistent. In general, I would still make a clear distinction between what I am using evidence to support and where I am going beyond it in future academic and professional research and allocate more realistic time on screening and appraisal than to writing (Mao and Liu, 2024).</w:t>
      </w:r>
    </w:p>
    <w:p w14:paraId="59FA3C25" w14:textId="77777777" w:rsidR="000A75EF" w:rsidRDefault="000A75EF" w:rsidP="00D93E60">
      <w:pPr>
        <w:spacing w:line="300" w:lineRule="auto"/>
        <w:jc w:val="both"/>
      </w:pPr>
    </w:p>
    <w:p w14:paraId="00EB0AEF" w14:textId="77777777" w:rsidR="000A75EF" w:rsidRDefault="000A75EF" w:rsidP="00D93E60">
      <w:pPr>
        <w:spacing w:line="300" w:lineRule="auto"/>
        <w:jc w:val="both"/>
      </w:pPr>
    </w:p>
    <w:p w14:paraId="61070EA2" w14:textId="77777777" w:rsidR="000A75EF" w:rsidRDefault="000A75EF" w:rsidP="00D93E60">
      <w:pPr>
        <w:spacing w:line="300" w:lineRule="auto"/>
        <w:jc w:val="both"/>
      </w:pPr>
    </w:p>
    <w:p w14:paraId="50525553" w14:textId="77777777" w:rsidR="000A75EF" w:rsidRDefault="000A75EF" w:rsidP="00D93E60">
      <w:pPr>
        <w:spacing w:line="300" w:lineRule="auto"/>
        <w:jc w:val="both"/>
      </w:pPr>
    </w:p>
    <w:p w14:paraId="4F1BE827" w14:textId="77777777" w:rsidR="00D93E60" w:rsidRDefault="00D93E60" w:rsidP="00D93E60">
      <w:pPr>
        <w:spacing w:line="300" w:lineRule="auto"/>
        <w:jc w:val="both"/>
      </w:pPr>
    </w:p>
    <w:p w14:paraId="09C20A61" w14:textId="77777777" w:rsidR="00D93E60" w:rsidRDefault="00D93E60" w:rsidP="00D93E60">
      <w:pPr>
        <w:spacing w:line="300" w:lineRule="auto"/>
        <w:jc w:val="both"/>
      </w:pPr>
    </w:p>
    <w:p w14:paraId="6206C940" w14:textId="77777777" w:rsidR="00D93E60" w:rsidRDefault="00D93E60" w:rsidP="00D93E60">
      <w:pPr>
        <w:spacing w:line="300" w:lineRule="auto"/>
        <w:jc w:val="both"/>
      </w:pPr>
    </w:p>
    <w:p w14:paraId="3B6AB75A" w14:textId="77777777" w:rsidR="00D93E60" w:rsidRDefault="00D93E60" w:rsidP="00D93E60">
      <w:pPr>
        <w:spacing w:line="300" w:lineRule="auto"/>
        <w:jc w:val="both"/>
      </w:pPr>
    </w:p>
    <w:p w14:paraId="52B4E4F6" w14:textId="77777777" w:rsidR="00D93E60" w:rsidRDefault="00D93E60" w:rsidP="00D93E60">
      <w:pPr>
        <w:spacing w:line="300" w:lineRule="auto"/>
        <w:jc w:val="both"/>
      </w:pPr>
    </w:p>
    <w:p w14:paraId="779D6B6C" w14:textId="77777777" w:rsidR="00D93E60" w:rsidRDefault="00D93E60" w:rsidP="00D93E60">
      <w:pPr>
        <w:spacing w:line="300" w:lineRule="auto"/>
        <w:jc w:val="both"/>
      </w:pPr>
    </w:p>
    <w:p w14:paraId="3D3EEA62" w14:textId="77777777" w:rsidR="00D93E60" w:rsidRDefault="00D93E60" w:rsidP="00D93E60">
      <w:pPr>
        <w:spacing w:line="300" w:lineRule="auto"/>
        <w:jc w:val="both"/>
      </w:pPr>
    </w:p>
    <w:p w14:paraId="267763F0" w14:textId="77777777" w:rsidR="00D93E60" w:rsidRDefault="00D93E60" w:rsidP="00D93E60">
      <w:pPr>
        <w:spacing w:line="300" w:lineRule="auto"/>
        <w:jc w:val="both"/>
      </w:pPr>
    </w:p>
    <w:p w14:paraId="6A458408" w14:textId="77777777" w:rsidR="00D93E60" w:rsidRDefault="00D93E60" w:rsidP="00D93E60">
      <w:pPr>
        <w:spacing w:line="300" w:lineRule="auto"/>
        <w:jc w:val="both"/>
      </w:pPr>
    </w:p>
    <w:p w14:paraId="4602DAD1" w14:textId="77777777" w:rsidR="00D93E60" w:rsidRDefault="00D93E60" w:rsidP="00D93E60">
      <w:pPr>
        <w:spacing w:line="300" w:lineRule="auto"/>
        <w:jc w:val="both"/>
      </w:pPr>
    </w:p>
    <w:p w14:paraId="3EF85A35" w14:textId="77777777" w:rsidR="00D93E60" w:rsidRDefault="00D93E60" w:rsidP="00D93E60">
      <w:pPr>
        <w:spacing w:line="300" w:lineRule="auto"/>
        <w:jc w:val="both"/>
      </w:pPr>
    </w:p>
    <w:p w14:paraId="784ADDBC" w14:textId="77777777" w:rsidR="00D93E60" w:rsidRDefault="00D93E60" w:rsidP="00D93E60">
      <w:pPr>
        <w:spacing w:line="300" w:lineRule="auto"/>
        <w:jc w:val="both"/>
      </w:pPr>
    </w:p>
    <w:p w14:paraId="2E265CED" w14:textId="77777777" w:rsidR="00D93E60" w:rsidRDefault="00D93E60" w:rsidP="00D93E60">
      <w:pPr>
        <w:spacing w:line="300" w:lineRule="auto"/>
        <w:jc w:val="both"/>
      </w:pPr>
    </w:p>
    <w:p w14:paraId="56C6C578" w14:textId="77777777" w:rsidR="00D93E60" w:rsidRDefault="00D93E60" w:rsidP="00D93E60">
      <w:pPr>
        <w:spacing w:line="300" w:lineRule="auto"/>
        <w:jc w:val="both"/>
      </w:pPr>
    </w:p>
    <w:p w14:paraId="7B362611" w14:textId="77777777" w:rsidR="000A75EF" w:rsidRDefault="000A75EF" w:rsidP="000A75EF">
      <w:pPr>
        <w:spacing w:after="200" w:line="300" w:lineRule="auto"/>
        <w:jc w:val="both"/>
      </w:pPr>
    </w:p>
    <w:p w14:paraId="2F0CC5F1" w14:textId="6FA8402C" w:rsidR="00014F37" w:rsidRPr="00D93E60" w:rsidRDefault="00000000" w:rsidP="00D93E60">
      <w:pPr>
        <w:pStyle w:val="Heading1"/>
        <w:spacing w:before="320"/>
        <w:jc w:val="both"/>
      </w:pPr>
      <w:r>
        <w:rPr>
          <w:rFonts w:ascii="Calibri" w:eastAsia="Calibri" w:hAnsi="Calibri" w:cs="Calibri"/>
          <w:b/>
          <w:bCs/>
          <w:color w:val="1E2761"/>
          <w:sz w:val="28"/>
          <w:szCs w:val="28"/>
        </w:rPr>
        <w:lastRenderedPageBreak/>
        <w:t>References</w:t>
      </w:r>
    </w:p>
    <w:p w14:paraId="5F11FB7E" w14:textId="1BA549CC" w:rsidR="000A75EF" w:rsidRPr="000A75EF" w:rsidRDefault="000A75EF" w:rsidP="00D93E60">
      <w:pPr>
        <w:spacing w:line="276" w:lineRule="auto"/>
        <w:jc w:val="both"/>
        <w:rPr>
          <w:sz w:val="24"/>
          <w:szCs w:val="24"/>
        </w:rPr>
      </w:pPr>
      <w:r w:rsidRPr="000A75EF">
        <w:rPr>
          <w:sz w:val="24"/>
          <w:szCs w:val="24"/>
        </w:rPr>
        <w:t>Ocampo, F.A., McIntyre, B.G., Massey, D. and Saunders, R., 2025. Nursing student reflections on a research internship: A reflective discussion following the Gibbs' reflective cycle. </w:t>
      </w:r>
      <w:r w:rsidRPr="000A75EF">
        <w:rPr>
          <w:i/>
          <w:iCs/>
          <w:sz w:val="24"/>
          <w:szCs w:val="24"/>
        </w:rPr>
        <w:t>Nurse education today</w:t>
      </w:r>
      <w:r w:rsidRPr="000A75EF">
        <w:rPr>
          <w:sz w:val="24"/>
          <w:szCs w:val="24"/>
        </w:rPr>
        <w:t>, </w:t>
      </w:r>
      <w:r w:rsidRPr="000A75EF">
        <w:rPr>
          <w:i/>
          <w:iCs/>
          <w:sz w:val="24"/>
          <w:szCs w:val="24"/>
        </w:rPr>
        <w:t>145</w:t>
      </w:r>
      <w:r w:rsidRPr="000A75EF">
        <w:rPr>
          <w:sz w:val="24"/>
          <w:szCs w:val="24"/>
        </w:rPr>
        <w:t xml:space="preserve">, p.106481. </w:t>
      </w:r>
      <w:hyperlink r:id="rId5" w:history="1">
        <w:r w:rsidRPr="000A75EF">
          <w:rPr>
            <w:rStyle w:val="Hyperlink"/>
            <w:sz w:val="24"/>
            <w:szCs w:val="24"/>
          </w:rPr>
          <w:t>https://www.sciencedirect.com/science/article/pii/S0260691724003915</w:t>
        </w:r>
      </w:hyperlink>
    </w:p>
    <w:p w14:paraId="20B00465" w14:textId="77777777" w:rsidR="00014F37" w:rsidRDefault="00014F37" w:rsidP="00D93E60">
      <w:pPr>
        <w:spacing w:line="276" w:lineRule="auto"/>
        <w:jc w:val="both"/>
        <w:rPr>
          <w:sz w:val="24"/>
          <w:szCs w:val="24"/>
        </w:rPr>
      </w:pPr>
    </w:p>
    <w:p w14:paraId="77522ECD" w14:textId="26DA5307" w:rsidR="00014F37" w:rsidRDefault="000A75EF" w:rsidP="00D93E60">
      <w:pPr>
        <w:spacing w:line="276" w:lineRule="auto"/>
        <w:jc w:val="both"/>
        <w:rPr>
          <w:sz w:val="24"/>
          <w:szCs w:val="24"/>
        </w:rPr>
      </w:pPr>
      <w:r w:rsidRPr="000A75EF">
        <w:rPr>
          <w:sz w:val="24"/>
          <w:szCs w:val="24"/>
        </w:rPr>
        <w:t xml:space="preserve">Ritakallio, L., Fellman, D., </w:t>
      </w:r>
      <w:proofErr w:type="spellStart"/>
      <w:r w:rsidRPr="000A75EF">
        <w:rPr>
          <w:sz w:val="24"/>
          <w:szCs w:val="24"/>
        </w:rPr>
        <w:t>Jylkkä</w:t>
      </w:r>
      <w:proofErr w:type="spellEnd"/>
      <w:r w:rsidRPr="000A75EF">
        <w:rPr>
          <w:sz w:val="24"/>
          <w:szCs w:val="24"/>
        </w:rPr>
        <w:t xml:space="preserve">, J., Waris, O., </w:t>
      </w:r>
      <w:proofErr w:type="spellStart"/>
      <w:r w:rsidRPr="000A75EF">
        <w:rPr>
          <w:sz w:val="24"/>
          <w:szCs w:val="24"/>
        </w:rPr>
        <w:t>Lönnroth</w:t>
      </w:r>
      <w:proofErr w:type="spellEnd"/>
      <w:r w:rsidRPr="000A75EF">
        <w:rPr>
          <w:sz w:val="24"/>
          <w:szCs w:val="24"/>
        </w:rPr>
        <w:t xml:space="preserve">, N., </w:t>
      </w:r>
      <w:proofErr w:type="spellStart"/>
      <w:r w:rsidRPr="000A75EF">
        <w:rPr>
          <w:sz w:val="24"/>
          <w:szCs w:val="24"/>
        </w:rPr>
        <w:t>Nervander</w:t>
      </w:r>
      <w:proofErr w:type="spellEnd"/>
      <w:r w:rsidRPr="000A75EF">
        <w:rPr>
          <w:sz w:val="24"/>
          <w:szCs w:val="24"/>
        </w:rPr>
        <w:t xml:space="preserve">, R., Salmi, J. and </w:t>
      </w:r>
    </w:p>
    <w:p w14:paraId="4FE9F540" w14:textId="3431D8AD" w:rsidR="000A75EF" w:rsidRPr="000A75EF" w:rsidRDefault="000A75EF" w:rsidP="00D93E60">
      <w:pPr>
        <w:spacing w:line="276" w:lineRule="auto"/>
        <w:jc w:val="both"/>
        <w:rPr>
          <w:sz w:val="24"/>
          <w:szCs w:val="24"/>
        </w:rPr>
      </w:pPr>
      <w:r w:rsidRPr="000A75EF">
        <w:rPr>
          <w:sz w:val="24"/>
          <w:szCs w:val="24"/>
        </w:rPr>
        <w:t>Laine, M., 2022. The pursuit of effective working memory training: A pre-registered randomised controlled trial with a novel varied training protocol. </w:t>
      </w:r>
      <w:r w:rsidRPr="000A75EF">
        <w:rPr>
          <w:i/>
          <w:iCs/>
          <w:sz w:val="24"/>
          <w:szCs w:val="24"/>
        </w:rPr>
        <w:t>Journal of Cognitive Enhancement</w:t>
      </w:r>
      <w:r w:rsidRPr="000A75EF">
        <w:rPr>
          <w:sz w:val="24"/>
          <w:szCs w:val="24"/>
        </w:rPr>
        <w:t>, </w:t>
      </w:r>
      <w:r w:rsidRPr="000A75EF">
        <w:rPr>
          <w:i/>
          <w:iCs/>
          <w:sz w:val="24"/>
          <w:szCs w:val="24"/>
        </w:rPr>
        <w:t>6</w:t>
      </w:r>
      <w:r w:rsidRPr="000A75EF">
        <w:rPr>
          <w:sz w:val="24"/>
          <w:szCs w:val="24"/>
        </w:rPr>
        <w:t xml:space="preserve">(2), pp.232-247. </w:t>
      </w:r>
      <w:hyperlink r:id="rId6" w:history="1">
        <w:r w:rsidRPr="000A75EF">
          <w:rPr>
            <w:rStyle w:val="Hyperlink"/>
            <w:sz w:val="24"/>
            <w:szCs w:val="24"/>
          </w:rPr>
          <w:t>https://link.springer.com/article/10.1007/s41465-021-00235-2</w:t>
        </w:r>
      </w:hyperlink>
    </w:p>
    <w:p w14:paraId="7048CEC9" w14:textId="77777777" w:rsidR="00014F37" w:rsidRDefault="00014F37" w:rsidP="00D93E60">
      <w:pPr>
        <w:spacing w:line="276" w:lineRule="auto"/>
        <w:jc w:val="both"/>
        <w:rPr>
          <w:sz w:val="24"/>
          <w:szCs w:val="24"/>
        </w:rPr>
      </w:pPr>
    </w:p>
    <w:p w14:paraId="5D728857" w14:textId="0ADA35A6" w:rsidR="000A75EF" w:rsidRPr="000A75EF" w:rsidRDefault="000A75EF" w:rsidP="00D93E60">
      <w:pPr>
        <w:spacing w:line="276" w:lineRule="auto"/>
        <w:jc w:val="both"/>
        <w:rPr>
          <w:sz w:val="24"/>
          <w:szCs w:val="24"/>
        </w:rPr>
      </w:pPr>
      <w:r w:rsidRPr="000A75EF">
        <w:rPr>
          <w:sz w:val="24"/>
          <w:szCs w:val="24"/>
        </w:rPr>
        <w:t>Leonelli, S., 2023. </w:t>
      </w:r>
      <w:r w:rsidRPr="000A75EF">
        <w:rPr>
          <w:i/>
          <w:iCs/>
          <w:sz w:val="24"/>
          <w:szCs w:val="24"/>
        </w:rPr>
        <w:t>Philosophy of open science</w:t>
      </w:r>
      <w:r w:rsidRPr="000A75EF">
        <w:rPr>
          <w:sz w:val="24"/>
          <w:szCs w:val="24"/>
        </w:rPr>
        <w:t xml:space="preserve">. Cambridge University Press. </w:t>
      </w:r>
      <w:hyperlink r:id="rId7" w:history="1">
        <w:r w:rsidRPr="000A75EF">
          <w:rPr>
            <w:rStyle w:val="Hyperlink"/>
            <w:sz w:val="24"/>
            <w:szCs w:val="24"/>
          </w:rPr>
          <w:t>https://www.cambridge.org/core/elements/philosophy-of-open-science/0D049ECF635F3B676C03C6868873E406</w:t>
        </w:r>
      </w:hyperlink>
    </w:p>
    <w:p w14:paraId="3D97FD39" w14:textId="77777777" w:rsidR="00014F37" w:rsidRDefault="00014F37" w:rsidP="00D93E60">
      <w:pPr>
        <w:spacing w:line="276" w:lineRule="auto"/>
        <w:jc w:val="both"/>
        <w:rPr>
          <w:sz w:val="24"/>
          <w:szCs w:val="24"/>
        </w:rPr>
      </w:pPr>
    </w:p>
    <w:p w14:paraId="0DE5679F" w14:textId="336ED2C1" w:rsidR="000A75EF" w:rsidRPr="00D93E60" w:rsidRDefault="000A75EF" w:rsidP="00D93E60">
      <w:pPr>
        <w:spacing w:line="276" w:lineRule="auto"/>
        <w:jc w:val="both"/>
        <w:rPr>
          <w:sz w:val="24"/>
          <w:szCs w:val="24"/>
          <w:lang w:val="it-IT"/>
        </w:rPr>
      </w:pPr>
      <w:r w:rsidRPr="000A75EF">
        <w:rPr>
          <w:sz w:val="24"/>
          <w:szCs w:val="24"/>
        </w:rPr>
        <w:t>Murphy, J., 2025. </w:t>
      </w:r>
      <w:r w:rsidRPr="000A75EF">
        <w:rPr>
          <w:i/>
          <w:iCs/>
          <w:sz w:val="24"/>
          <w:szCs w:val="24"/>
        </w:rPr>
        <w:t>Inner Excellence: Train Your Mind for Extraordinary Performance and the Best Possible Life</w:t>
      </w:r>
      <w:r w:rsidRPr="000A75EF">
        <w:rPr>
          <w:sz w:val="24"/>
          <w:szCs w:val="24"/>
        </w:rPr>
        <w:t xml:space="preserve">. </w:t>
      </w:r>
      <w:r w:rsidRPr="00D93E60">
        <w:rPr>
          <w:sz w:val="24"/>
          <w:szCs w:val="24"/>
          <w:lang w:val="it-IT"/>
        </w:rPr>
        <w:t xml:space="preserve">Hachette UK. </w:t>
      </w:r>
      <w:hyperlink r:id="rId8" w:history="1">
        <w:r w:rsidRPr="00D93E60">
          <w:rPr>
            <w:rStyle w:val="Hyperlink"/>
            <w:sz w:val="24"/>
            <w:szCs w:val="24"/>
            <w:lang w:val="it-IT"/>
          </w:rPr>
          <w:t>https://www.google.com/sorry/index?continue=https://books.google.com/books%3Fhl%3Den%26lr%3D%26id%3DWyxLEQAAQBAJ%26oi%3Dfnd%26pg%3DPT7%26dq%3Deffect%2Bon%2Bperformance%2Brather%2Bthan%2Bsitting%2Bsimply%2Bas%2Bits%2Bby-product%2B%25E2%2580%2594%2Bmy%2Banxiety%2Bgave%2Bway%2Bto%2Bgenuine%2Bintellectual%2Bcuriosity%2B%26ots%3DDeTv82CnkZ%26sig%3DA7xdQRUk2M5kAHvfncWN0UZeeEs&amp;hl=en&amp;q=EgRng9S4GPW9mNMGIi11gCk69wFIEdOgO7yWF-9U36QyCYxjB1Oc827CY7ycWw99vowNzAIZqNcQ3OEyAnJSWgFD</w:t>
        </w:r>
      </w:hyperlink>
    </w:p>
    <w:p w14:paraId="2F358652" w14:textId="77777777" w:rsidR="00014F37" w:rsidRPr="00D93E60" w:rsidRDefault="00014F37" w:rsidP="00D93E60">
      <w:pPr>
        <w:spacing w:line="276" w:lineRule="auto"/>
        <w:jc w:val="both"/>
        <w:rPr>
          <w:sz w:val="24"/>
          <w:szCs w:val="24"/>
          <w:lang w:val="it-IT"/>
        </w:rPr>
      </w:pPr>
    </w:p>
    <w:p w14:paraId="34C4F576" w14:textId="693EF478" w:rsidR="000A75EF" w:rsidRPr="000A75EF" w:rsidRDefault="000A75EF" w:rsidP="00D93E60">
      <w:pPr>
        <w:spacing w:line="276" w:lineRule="auto"/>
        <w:jc w:val="both"/>
        <w:rPr>
          <w:sz w:val="24"/>
          <w:szCs w:val="24"/>
        </w:rPr>
      </w:pPr>
      <w:r w:rsidRPr="000A75EF">
        <w:rPr>
          <w:sz w:val="24"/>
          <w:szCs w:val="24"/>
        </w:rPr>
        <w:t>Warren, G., Byrne, R.M. and Keane, M.T., 2024. Categorical and continuous features in counterfactual explanations of AI systems. </w:t>
      </w:r>
      <w:r w:rsidRPr="000A75EF">
        <w:rPr>
          <w:i/>
          <w:iCs/>
          <w:sz w:val="24"/>
          <w:szCs w:val="24"/>
        </w:rPr>
        <w:t>ACM Transactions on Interactive Intelligent Systems</w:t>
      </w:r>
      <w:r w:rsidRPr="000A75EF">
        <w:rPr>
          <w:sz w:val="24"/>
          <w:szCs w:val="24"/>
        </w:rPr>
        <w:t>, </w:t>
      </w:r>
      <w:r w:rsidRPr="000A75EF">
        <w:rPr>
          <w:i/>
          <w:iCs/>
          <w:sz w:val="24"/>
          <w:szCs w:val="24"/>
        </w:rPr>
        <w:t>14</w:t>
      </w:r>
      <w:r w:rsidRPr="000A75EF">
        <w:rPr>
          <w:sz w:val="24"/>
          <w:szCs w:val="24"/>
        </w:rPr>
        <w:t xml:space="preserve">(4), pp.1-37. </w:t>
      </w:r>
      <w:hyperlink r:id="rId9" w:history="1">
        <w:r w:rsidRPr="000A75EF">
          <w:rPr>
            <w:rStyle w:val="Hyperlink"/>
            <w:sz w:val="24"/>
            <w:szCs w:val="24"/>
          </w:rPr>
          <w:t>https://dl.acm.org/doi/full/10.1145/3673907</w:t>
        </w:r>
      </w:hyperlink>
    </w:p>
    <w:p w14:paraId="4A7AEF66" w14:textId="77777777" w:rsidR="00014F37" w:rsidRDefault="00014F37" w:rsidP="00D93E60">
      <w:pPr>
        <w:spacing w:line="276" w:lineRule="auto"/>
        <w:jc w:val="both"/>
        <w:rPr>
          <w:sz w:val="24"/>
          <w:szCs w:val="24"/>
        </w:rPr>
      </w:pPr>
    </w:p>
    <w:p w14:paraId="03097A46" w14:textId="1964C8E0" w:rsidR="000A75EF" w:rsidRPr="000A75EF" w:rsidRDefault="000A75EF" w:rsidP="00D93E60">
      <w:pPr>
        <w:spacing w:line="276" w:lineRule="auto"/>
        <w:jc w:val="both"/>
        <w:rPr>
          <w:sz w:val="24"/>
          <w:szCs w:val="24"/>
        </w:rPr>
      </w:pPr>
      <w:r w:rsidRPr="000A75EF">
        <w:rPr>
          <w:sz w:val="24"/>
          <w:szCs w:val="24"/>
        </w:rPr>
        <w:t xml:space="preserve">Imam, M.H., 2025. A Systematic Review </w:t>
      </w:r>
      <w:proofErr w:type="gramStart"/>
      <w:r w:rsidRPr="000A75EF">
        <w:rPr>
          <w:sz w:val="24"/>
          <w:szCs w:val="24"/>
        </w:rPr>
        <w:t>On</w:t>
      </w:r>
      <w:proofErr w:type="gramEnd"/>
      <w:r w:rsidRPr="000A75EF">
        <w:rPr>
          <w:sz w:val="24"/>
          <w:szCs w:val="24"/>
        </w:rPr>
        <w:t xml:space="preserve"> </w:t>
      </w:r>
      <w:proofErr w:type="gramStart"/>
      <w:r w:rsidRPr="000A75EF">
        <w:rPr>
          <w:sz w:val="24"/>
          <w:szCs w:val="24"/>
        </w:rPr>
        <w:t>The</w:t>
      </w:r>
      <w:proofErr w:type="gramEnd"/>
      <w:r w:rsidRPr="000A75EF">
        <w:rPr>
          <w:sz w:val="24"/>
          <w:szCs w:val="24"/>
        </w:rPr>
        <w:t xml:space="preserve"> Impact </w:t>
      </w:r>
      <w:proofErr w:type="gramStart"/>
      <w:r w:rsidRPr="000A75EF">
        <w:rPr>
          <w:sz w:val="24"/>
          <w:szCs w:val="24"/>
        </w:rPr>
        <w:t>Of</w:t>
      </w:r>
      <w:proofErr w:type="gramEnd"/>
      <w:r w:rsidRPr="000A75EF">
        <w:rPr>
          <w:sz w:val="24"/>
          <w:szCs w:val="24"/>
        </w:rPr>
        <w:t xml:space="preserve"> Global Merchandising Strategies </w:t>
      </w:r>
      <w:proofErr w:type="gramStart"/>
      <w:r w:rsidRPr="000A75EF">
        <w:rPr>
          <w:sz w:val="24"/>
          <w:szCs w:val="24"/>
        </w:rPr>
        <w:t>On</w:t>
      </w:r>
      <w:proofErr w:type="gramEnd"/>
      <w:r w:rsidRPr="000A75EF">
        <w:rPr>
          <w:sz w:val="24"/>
          <w:szCs w:val="24"/>
        </w:rPr>
        <w:t xml:space="preserve"> Us Supply Chain Resilience. </w:t>
      </w:r>
      <w:r w:rsidRPr="000A75EF">
        <w:rPr>
          <w:i/>
          <w:iCs/>
          <w:sz w:val="24"/>
          <w:szCs w:val="24"/>
        </w:rPr>
        <w:t>International Journal of Business and Economics Insights</w:t>
      </w:r>
      <w:r w:rsidRPr="000A75EF">
        <w:rPr>
          <w:sz w:val="24"/>
          <w:szCs w:val="24"/>
        </w:rPr>
        <w:t>, </w:t>
      </w:r>
      <w:r w:rsidRPr="000A75EF">
        <w:rPr>
          <w:i/>
          <w:iCs/>
          <w:sz w:val="24"/>
          <w:szCs w:val="24"/>
        </w:rPr>
        <w:t>5</w:t>
      </w:r>
      <w:r w:rsidRPr="000A75EF">
        <w:rPr>
          <w:sz w:val="24"/>
          <w:szCs w:val="24"/>
        </w:rPr>
        <w:t xml:space="preserve">(3), pp.134-169. </w:t>
      </w:r>
      <w:hyperlink r:id="rId10" w:history="1">
        <w:r w:rsidRPr="000A75EF">
          <w:rPr>
            <w:rStyle w:val="Hyperlink"/>
            <w:sz w:val="24"/>
            <w:szCs w:val="24"/>
          </w:rPr>
          <w:t>https://ijbei-journal.org/index.php/ijbei/article/view/11</w:t>
        </w:r>
      </w:hyperlink>
    </w:p>
    <w:p w14:paraId="25F74026" w14:textId="77777777" w:rsidR="00014F37" w:rsidRDefault="00014F37" w:rsidP="00D93E60">
      <w:pPr>
        <w:spacing w:line="276" w:lineRule="auto"/>
        <w:jc w:val="both"/>
        <w:rPr>
          <w:sz w:val="24"/>
          <w:szCs w:val="24"/>
        </w:rPr>
      </w:pPr>
    </w:p>
    <w:p w14:paraId="1DA49112" w14:textId="38E0DFD2" w:rsidR="000A75EF" w:rsidRPr="000A75EF" w:rsidRDefault="000A75EF" w:rsidP="00D93E60">
      <w:pPr>
        <w:spacing w:line="276" w:lineRule="auto"/>
        <w:jc w:val="both"/>
        <w:rPr>
          <w:sz w:val="24"/>
          <w:szCs w:val="24"/>
        </w:rPr>
      </w:pPr>
      <w:r w:rsidRPr="00D93E60">
        <w:rPr>
          <w:sz w:val="24"/>
          <w:szCs w:val="24"/>
          <w:lang w:val="it-IT"/>
        </w:rPr>
        <w:t xml:space="preserve">Fiorillo, L., </w:t>
      </w:r>
      <w:proofErr w:type="spellStart"/>
      <w:r w:rsidRPr="00D93E60">
        <w:rPr>
          <w:sz w:val="24"/>
          <w:szCs w:val="24"/>
          <w:lang w:val="it-IT"/>
        </w:rPr>
        <w:t>Cicciù</w:t>
      </w:r>
      <w:proofErr w:type="spellEnd"/>
      <w:r w:rsidRPr="00D93E60">
        <w:rPr>
          <w:sz w:val="24"/>
          <w:szCs w:val="24"/>
          <w:lang w:val="it-IT"/>
        </w:rPr>
        <w:t xml:space="preserve">, M., </w:t>
      </w:r>
      <w:proofErr w:type="spellStart"/>
      <w:r w:rsidRPr="00D93E60">
        <w:rPr>
          <w:sz w:val="24"/>
          <w:szCs w:val="24"/>
          <w:lang w:val="it-IT"/>
        </w:rPr>
        <w:t>Tözüm</w:t>
      </w:r>
      <w:proofErr w:type="spellEnd"/>
      <w:r w:rsidRPr="00D93E60">
        <w:rPr>
          <w:sz w:val="24"/>
          <w:szCs w:val="24"/>
          <w:lang w:val="it-IT"/>
        </w:rPr>
        <w:t xml:space="preserve">, T.F., D’Amico, C., Oteri, G. and Cervino, G., 2022. </w:t>
      </w:r>
      <w:r w:rsidRPr="000A75EF">
        <w:rPr>
          <w:sz w:val="24"/>
          <w:szCs w:val="24"/>
        </w:rPr>
        <w:t>Impact of bisphosphonate drugs on dental implant healing and peri-implant hard and soft tissues: a systematic review. </w:t>
      </w:r>
      <w:r w:rsidRPr="000A75EF">
        <w:rPr>
          <w:i/>
          <w:iCs/>
          <w:sz w:val="24"/>
          <w:szCs w:val="24"/>
        </w:rPr>
        <w:t>BMC Oral Health</w:t>
      </w:r>
      <w:r w:rsidRPr="000A75EF">
        <w:rPr>
          <w:sz w:val="24"/>
          <w:szCs w:val="24"/>
        </w:rPr>
        <w:t>, </w:t>
      </w:r>
      <w:r w:rsidRPr="000A75EF">
        <w:rPr>
          <w:i/>
          <w:iCs/>
          <w:sz w:val="24"/>
          <w:szCs w:val="24"/>
        </w:rPr>
        <w:t>22</w:t>
      </w:r>
      <w:r w:rsidRPr="000A75EF">
        <w:rPr>
          <w:sz w:val="24"/>
          <w:szCs w:val="24"/>
        </w:rPr>
        <w:t xml:space="preserve">(1), p.291. </w:t>
      </w:r>
      <w:hyperlink r:id="rId11" w:history="1">
        <w:r w:rsidRPr="000A75EF">
          <w:rPr>
            <w:rStyle w:val="Hyperlink"/>
            <w:sz w:val="24"/>
            <w:szCs w:val="24"/>
          </w:rPr>
          <w:t>https://link.springer.com/article/10.1186/s12903-022-02330-y</w:t>
        </w:r>
      </w:hyperlink>
    </w:p>
    <w:p w14:paraId="3AAA7896" w14:textId="77777777" w:rsidR="00014F37" w:rsidRDefault="00014F37" w:rsidP="00D93E60">
      <w:pPr>
        <w:spacing w:line="276" w:lineRule="auto"/>
        <w:jc w:val="both"/>
        <w:rPr>
          <w:sz w:val="24"/>
          <w:szCs w:val="24"/>
        </w:rPr>
      </w:pPr>
    </w:p>
    <w:p w14:paraId="4D5E1783" w14:textId="4F4239A6" w:rsidR="000A75EF" w:rsidRPr="000A75EF" w:rsidRDefault="000A75EF" w:rsidP="00D93E60">
      <w:pPr>
        <w:spacing w:line="276" w:lineRule="auto"/>
        <w:jc w:val="both"/>
        <w:rPr>
          <w:sz w:val="24"/>
          <w:szCs w:val="24"/>
        </w:rPr>
      </w:pPr>
      <w:r w:rsidRPr="000A75EF">
        <w:rPr>
          <w:sz w:val="24"/>
          <w:szCs w:val="24"/>
        </w:rPr>
        <w:t xml:space="preserve">Rohan, R., Pal, D., Hautamäki, J., </w:t>
      </w:r>
      <w:proofErr w:type="spellStart"/>
      <w:r w:rsidRPr="000A75EF">
        <w:rPr>
          <w:sz w:val="24"/>
          <w:szCs w:val="24"/>
        </w:rPr>
        <w:t>Funilkul</w:t>
      </w:r>
      <w:proofErr w:type="spellEnd"/>
      <w:r w:rsidRPr="000A75EF">
        <w:rPr>
          <w:sz w:val="24"/>
          <w:szCs w:val="24"/>
        </w:rPr>
        <w:t xml:space="preserve">, S., </w:t>
      </w:r>
      <w:proofErr w:type="spellStart"/>
      <w:r w:rsidRPr="000A75EF">
        <w:rPr>
          <w:sz w:val="24"/>
          <w:szCs w:val="24"/>
        </w:rPr>
        <w:t>Chutimaskul</w:t>
      </w:r>
      <w:proofErr w:type="spellEnd"/>
      <w:r w:rsidRPr="000A75EF">
        <w:rPr>
          <w:sz w:val="24"/>
          <w:szCs w:val="24"/>
        </w:rPr>
        <w:t>, W. and Thapliyal, H., 2023. A systematic literature review of cybersecurity scales assessing information security awareness. </w:t>
      </w:r>
      <w:r w:rsidRPr="000A75EF">
        <w:rPr>
          <w:i/>
          <w:iCs/>
          <w:sz w:val="24"/>
          <w:szCs w:val="24"/>
        </w:rPr>
        <w:t>Heliyon</w:t>
      </w:r>
      <w:r w:rsidRPr="000A75EF">
        <w:rPr>
          <w:sz w:val="24"/>
          <w:szCs w:val="24"/>
        </w:rPr>
        <w:t>, </w:t>
      </w:r>
      <w:r w:rsidRPr="000A75EF">
        <w:rPr>
          <w:i/>
          <w:iCs/>
          <w:sz w:val="24"/>
          <w:szCs w:val="24"/>
        </w:rPr>
        <w:t>9</w:t>
      </w:r>
      <w:r w:rsidRPr="000A75EF">
        <w:rPr>
          <w:sz w:val="24"/>
          <w:szCs w:val="24"/>
        </w:rPr>
        <w:t xml:space="preserve">(3). </w:t>
      </w:r>
      <w:hyperlink r:id="rId12" w:history="1">
        <w:r w:rsidRPr="000A75EF">
          <w:rPr>
            <w:rStyle w:val="Hyperlink"/>
            <w:sz w:val="24"/>
            <w:szCs w:val="24"/>
          </w:rPr>
          <w:t>https://www.cell.com/heliyon/fulltext/S2405-8440(23)01441-X</w:t>
        </w:r>
      </w:hyperlink>
    </w:p>
    <w:p w14:paraId="24398F7B" w14:textId="77777777" w:rsidR="00014F37" w:rsidRDefault="00014F37" w:rsidP="00D93E60">
      <w:pPr>
        <w:spacing w:line="276" w:lineRule="auto"/>
        <w:jc w:val="both"/>
        <w:rPr>
          <w:sz w:val="24"/>
          <w:szCs w:val="24"/>
        </w:rPr>
      </w:pPr>
    </w:p>
    <w:p w14:paraId="2DB8E15F" w14:textId="3B7F785E" w:rsidR="000A75EF" w:rsidRPr="000A75EF" w:rsidRDefault="000A75EF" w:rsidP="00D93E60">
      <w:pPr>
        <w:spacing w:line="276" w:lineRule="auto"/>
        <w:jc w:val="both"/>
        <w:rPr>
          <w:sz w:val="24"/>
          <w:szCs w:val="24"/>
        </w:rPr>
      </w:pPr>
      <w:r w:rsidRPr="000A75EF">
        <w:rPr>
          <w:sz w:val="24"/>
          <w:szCs w:val="24"/>
        </w:rPr>
        <w:lastRenderedPageBreak/>
        <w:t>Flanagan, J. and Beck, C.T., 2024. </w:t>
      </w:r>
      <w:r w:rsidRPr="000A75EF">
        <w:rPr>
          <w:i/>
          <w:iCs/>
          <w:sz w:val="24"/>
          <w:szCs w:val="24"/>
        </w:rPr>
        <w:t>Polit &amp; Beck's nursing research: Generating and assessing evidence for nursing practice</w:t>
      </w:r>
      <w:r w:rsidRPr="000A75EF">
        <w:rPr>
          <w:sz w:val="24"/>
          <w:szCs w:val="24"/>
        </w:rPr>
        <w:t xml:space="preserve">. Lippincott Williams &amp; Wilkins. </w:t>
      </w:r>
      <w:hyperlink r:id="rId13" w:history="1">
        <w:r w:rsidRPr="000A75EF">
          <w:rPr>
            <w:rStyle w:val="Hyperlink"/>
            <w:sz w:val="24"/>
            <w:szCs w:val="24"/>
          </w:rPr>
          <w:t>https://www.google.com/sorry/index?continue=https://books.google.com/books%3Fhl%3Den%26lr%3D%26id%3DNUUgEQAAQBAJ%26oi%3Dfnd%26pg%3DPA1%26dq%3Dwhich%2Bsharpened%2Bmy%2Bgrasp%2Bof%2Bevidence%2Bhierarchies%2Band%2Bmade%2Bmy%2Bdiscussion%2Bmore%2Bcritical%2Brather%2Bthan%2Bmerely%2Bdescriptive%2B%26ots%3D185MmFje4U%26sig%3D1q1C0QIMdIJBjIjPxzx5i7OwdW0&amp;hl=en&amp;q=EgRng9S4GPfAmNMGIi2q8r0cxsrdQmrJs-qlHit2OoDXijeqSrISOi432-O6kfJD9aOggTY9sUnDfD8yAnJSWgFD</w:t>
        </w:r>
      </w:hyperlink>
    </w:p>
    <w:p w14:paraId="4F70F54D" w14:textId="77777777" w:rsidR="00014F37" w:rsidRDefault="00014F37" w:rsidP="00D93E60">
      <w:pPr>
        <w:spacing w:line="276" w:lineRule="auto"/>
        <w:jc w:val="both"/>
        <w:rPr>
          <w:sz w:val="24"/>
          <w:szCs w:val="24"/>
        </w:rPr>
      </w:pPr>
    </w:p>
    <w:p w14:paraId="28AAB8C1" w14:textId="46D75F54" w:rsidR="000A75EF" w:rsidRPr="000A75EF" w:rsidRDefault="000A75EF" w:rsidP="00D93E60">
      <w:pPr>
        <w:spacing w:line="276" w:lineRule="auto"/>
        <w:jc w:val="both"/>
        <w:rPr>
          <w:sz w:val="24"/>
          <w:szCs w:val="24"/>
        </w:rPr>
      </w:pPr>
      <w:r w:rsidRPr="000A75EF">
        <w:rPr>
          <w:sz w:val="24"/>
          <w:szCs w:val="24"/>
        </w:rPr>
        <w:t>Mao, J., Chen, B. and Liu, J.C., 2024. Generative artificial intelligence in education and its implications for assessment. </w:t>
      </w:r>
      <w:proofErr w:type="spellStart"/>
      <w:r w:rsidRPr="000A75EF">
        <w:rPr>
          <w:i/>
          <w:iCs/>
          <w:sz w:val="24"/>
          <w:szCs w:val="24"/>
        </w:rPr>
        <w:t>TechTrends</w:t>
      </w:r>
      <w:proofErr w:type="spellEnd"/>
      <w:r w:rsidRPr="000A75EF">
        <w:rPr>
          <w:sz w:val="24"/>
          <w:szCs w:val="24"/>
        </w:rPr>
        <w:t>, </w:t>
      </w:r>
      <w:r w:rsidRPr="000A75EF">
        <w:rPr>
          <w:i/>
          <w:iCs/>
          <w:sz w:val="24"/>
          <w:szCs w:val="24"/>
        </w:rPr>
        <w:t>68</w:t>
      </w:r>
      <w:r w:rsidRPr="000A75EF">
        <w:rPr>
          <w:sz w:val="24"/>
          <w:szCs w:val="24"/>
        </w:rPr>
        <w:t xml:space="preserve">(1), pp.58-66. </w:t>
      </w:r>
      <w:hyperlink r:id="rId14" w:history="1">
        <w:r w:rsidRPr="000A75EF">
          <w:rPr>
            <w:rStyle w:val="Hyperlink"/>
            <w:sz w:val="24"/>
            <w:szCs w:val="24"/>
          </w:rPr>
          <w:t>https://link.springer.com/article/10.1007/s11528-023-00911-4</w:t>
        </w:r>
      </w:hyperlink>
    </w:p>
    <w:p w14:paraId="387E8347" w14:textId="77777777" w:rsidR="000A75EF" w:rsidRPr="000A75EF" w:rsidRDefault="000A75EF" w:rsidP="000A75EF">
      <w:pPr>
        <w:spacing w:line="276" w:lineRule="auto"/>
        <w:jc w:val="both"/>
        <w:rPr>
          <w:sz w:val="24"/>
          <w:szCs w:val="24"/>
        </w:rPr>
      </w:pPr>
    </w:p>
    <w:p w14:paraId="0A74D432" w14:textId="4CC7ECDF" w:rsidR="00DB4BE0" w:rsidRPr="000A75EF" w:rsidRDefault="00DB4BE0" w:rsidP="000A75EF">
      <w:pPr>
        <w:spacing w:after="120" w:line="276" w:lineRule="auto"/>
        <w:jc w:val="both"/>
        <w:rPr>
          <w:sz w:val="24"/>
          <w:szCs w:val="24"/>
        </w:rPr>
      </w:pPr>
    </w:p>
    <w:sectPr w:rsidR="00DB4BE0" w:rsidRPr="000A75EF">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285A56"/>
    <w:multiLevelType w:val="hybridMultilevel"/>
    <w:tmpl w:val="FE7C879C"/>
    <w:lvl w:ilvl="0" w:tplc="E9D2AC18">
      <w:start w:val="1"/>
      <w:numFmt w:val="bullet"/>
      <w:lvlText w:val="●"/>
      <w:lvlJc w:val="left"/>
      <w:pPr>
        <w:ind w:left="720" w:hanging="360"/>
      </w:pPr>
    </w:lvl>
    <w:lvl w:ilvl="1" w:tplc="96A8341C">
      <w:start w:val="1"/>
      <w:numFmt w:val="bullet"/>
      <w:lvlText w:val="○"/>
      <w:lvlJc w:val="left"/>
      <w:pPr>
        <w:ind w:left="1440" w:hanging="360"/>
      </w:pPr>
    </w:lvl>
    <w:lvl w:ilvl="2" w:tplc="73608B16">
      <w:start w:val="1"/>
      <w:numFmt w:val="bullet"/>
      <w:lvlText w:val="■"/>
      <w:lvlJc w:val="left"/>
      <w:pPr>
        <w:ind w:left="2160" w:hanging="360"/>
      </w:pPr>
    </w:lvl>
    <w:lvl w:ilvl="3" w:tplc="3D6E0834">
      <w:start w:val="1"/>
      <w:numFmt w:val="bullet"/>
      <w:lvlText w:val="●"/>
      <w:lvlJc w:val="left"/>
      <w:pPr>
        <w:ind w:left="2880" w:hanging="360"/>
      </w:pPr>
    </w:lvl>
    <w:lvl w:ilvl="4" w:tplc="FB0EF398">
      <w:start w:val="1"/>
      <w:numFmt w:val="bullet"/>
      <w:lvlText w:val="○"/>
      <w:lvlJc w:val="left"/>
      <w:pPr>
        <w:ind w:left="3600" w:hanging="360"/>
      </w:pPr>
    </w:lvl>
    <w:lvl w:ilvl="5" w:tplc="C84EEF2E">
      <w:start w:val="1"/>
      <w:numFmt w:val="bullet"/>
      <w:lvlText w:val="■"/>
      <w:lvlJc w:val="left"/>
      <w:pPr>
        <w:ind w:left="4320" w:hanging="360"/>
      </w:pPr>
    </w:lvl>
    <w:lvl w:ilvl="6" w:tplc="5EBCB452">
      <w:start w:val="1"/>
      <w:numFmt w:val="bullet"/>
      <w:lvlText w:val="●"/>
      <w:lvlJc w:val="left"/>
      <w:pPr>
        <w:ind w:left="5040" w:hanging="360"/>
      </w:pPr>
    </w:lvl>
    <w:lvl w:ilvl="7" w:tplc="410603DA">
      <w:start w:val="1"/>
      <w:numFmt w:val="bullet"/>
      <w:lvlText w:val="●"/>
      <w:lvlJc w:val="left"/>
      <w:pPr>
        <w:ind w:left="5760" w:hanging="360"/>
      </w:pPr>
    </w:lvl>
    <w:lvl w:ilvl="8" w:tplc="42B81486">
      <w:start w:val="1"/>
      <w:numFmt w:val="bullet"/>
      <w:lvlText w:val="●"/>
      <w:lvlJc w:val="left"/>
      <w:pPr>
        <w:ind w:left="6480" w:hanging="360"/>
      </w:pPr>
    </w:lvl>
  </w:abstractNum>
  <w:num w:numId="1" w16cid:durableId="13645766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BE0"/>
    <w:rsid w:val="00014F37"/>
    <w:rsid w:val="00015611"/>
    <w:rsid w:val="000A75EF"/>
    <w:rsid w:val="00463666"/>
    <w:rsid w:val="00550E2B"/>
    <w:rsid w:val="00D93E60"/>
    <w:rsid w:val="00DB4BE0"/>
    <w:rsid w:val="00F811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B607C"/>
  <w15:docId w15:val="{31C0EDB4-0F7E-4D0E-A94E-E295EB830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ogle.com/sorry/index?continue=https://books.google.com/books%3Fhl%3Den%26lr%3D%26id%3DWyxLEQAAQBAJ%26oi%3Dfnd%26pg%3DPT7%26dq%3Deffect%2Bon%2Bperformance%2Brather%2Bthan%2Bsitting%2Bsimply%2Bas%2Bits%2Bby-product%2B%25E2%2580%2594%2Bmy%2Banxiety%2Bgave%2Bway%2Bto%2Bgenuine%2Bintellectual%2Bcuriosity%2B%26ots%3DDeTv82CnkZ%26sig%3DA7xdQRUk2M5kAHvfncWN0UZeeEs&amp;hl=en&amp;q=EgRng9S4GPW9mNMGIi11gCk69wFIEdOgO7yWF-9U36QyCYxjB1Oc827CY7ycWw99vowNzAIZqNcQ3OEyAnJSWgFD" TargetMode="External"/><Relationship Id="rId13" Type="http://schemas.openxmlformats.org/officeDocument/2006/relationships/hyperlink" Target="https://www.google.com/sorry/index?continue=https://books.google.com/books%3Fhl%3Den%26lr%3D%26id%3DNUUgEQAAQBAJ%26oi%3Dfnd%26pg%3DPA1%26dq%3Dwhich%2Bsharpened%2Bmy%2Bgrasp%2Bof%2Bevidence%2Bhierarchies%2Band%2Bmade%2Bmy%2Bdiscussion%2Bmore%2Bcritical%2Brather%2Bthan%2Bmerely%2Bdescriptive%2B%26ots%3D185MmFje4U%26sig%3D1q1C0QIMdIJBjIjPxzx5i7OwdW0&amp;hl=en&amp;q=EgRng9S4GPfAmNMGIi2q8r0cxsrdQmrJs-qlHit2OoDXijeqSrISOi432-O6kfJD9aOggTY9sUnDfD8yAnJSWgFD" TargetMode="External"/><Relationship Id="rId3" Type="http://schemas.openxmlformats.org/officeDocument/2006/relationships/settings" Target="settings.xml"/><Relationship Id="rId7" Type="http://schemas.openxmlformats.org/officeDocument/2006/relationships/hyperlink" Target="https://www.cambridge.org/core/elements/philosophy-of-open-science/0D049ECF635F3B676C03C6868873E406" TargetMode="External"/><Relationship Id="rId12" Type="http://schemas.openxmlformats.org/officeDocument/2006/relationships/hyperlink" Target="https://www.cell.com/heliyon/fulltext/S2405-8440(23)01441-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ink.springer.com/article/10.1007/s41465-021-00235-2" TargetMode="External"/><Relationship Id="rId11" Type="http://schemas.openxmlformats.org/officeDocument/2006/relationships/hyperlink" Target="https://link.springer.com/article/10.1186/s12903-022-02330-y" TargetMode="External"/><Relationship Id="rId5" Type="http://schemas.openxmlformats.org/officeDocument/2006/relationships/hyperlink" Target="https://www.sciencedirect.com/science/article/pii/S0260691724003915" TargetMode="External"/><Relationship Id="rId15" Type="http://schemas.openxmlformats.org/officeDocument/2006/relationships/fontTable" Target="fontTable.xml"/><Relationship Id="rId10" Type="http://schemas.openxmlformats.org/officeDocument/2006/relationships/hyperlink" Target="https://ijbei-journal.org/index.php/ijbei/article/view/11" TargetMode="External"/><Relationship Id="rId4" Type="http://schemas.openxmlformats.org/officeDocument/2006/relationships/webSettings" Target="webSettings.xml"/><Relationship Id="rId9" Type="http://schemas.openxmlformats.org/officeDocument/2006/relationships/hyperlink" Target="https://dl.acm.org/doi/full/10.1145/3673907" TargetMode="External"/><Relationship Id="rId14" Type="http://schemas.openxmlformats.org/officeDocument/2006/relationships/hyperlink" Target="https://link.springer.com/article/10.1007/s11528-023-0091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4</Pages>
  <Words>1188</Words>
  <Characters>7763</Characters>
  <Application>Microsoft Office Word</Application>
  <DocSecurity>0</DocSecurity>
  <Lines>127</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Anees Farooq (2314658)</cp:lastModifiedBy>
  <cp:revision>4</cp:revision>
  <dcterms:created xsi:type="dcterms:W3CDTF">2026-07-26T14:08:00Z</dcterms:created>
  <dcterms:modified xsi:type="dcterms:W3CDTF">2026-07-26T17:13:00Z</dcterms:modified>
</cp:coreProperties>
</file>