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281520" w14:textId="3A04BE5A" w:rsidR="00254DEA" w:rsidRPr="00A90086" w:rsidRDefault="00F567C0" w:rsidP="00C16B0F">
      <w:pPr>
        <w:spacing w:line="240" w:lineRule="auto"/>
        <w:rPr>
          <w:rFonts w:ascii="Arial" w:hAnsi="Arial" w:cs="Arial"/>
          <w:b/>
          <w:bCs/>
        </w:rPr>
      </w:pPr>
      <w:r w:rsidRPr="00A90086">
        <w:rPr>
          <w:rFonts w:ascii="Arial" w:hAnsi="Arial" w:cs="Arial"/>
          <w:noProof/>
        </w:rPr>
        <w:drawing>
          <wp:anchor distT="0" distB="0" distL="114300" distR="114300" simplePos="0" relativeHeight="251686912" behindDoc="0" locked="0" layoutInCell="1" allowOverlap="1" wp14:anchorId="63074647" wp14:editId="42D1A24B">
            <wp:simplePos x="0" y="0"/>
            <wp:positionH relativeFrom="column">
              <wp:posOffset>-381000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EBF52C1" w14:textId="77777777" w:rsidR="00254DEA" w:rsidRPr="00A90086" w:rsidRDefault="00254DEA" w:rsidP="00C16B0F">
      <w:pPr>
        <w:spacing w:line="240" w:lineRule="auto"/>
        <w:rPr>
          <w:rFonts w:ascii="Arial" w:hAnsi="Arial" w:cs="Arial"/>
          <w:b/>
          <w:bCs/>
        </w:rPr>
      </w:pPr>
    </w:p>
    <w:p w14:paraId="6EB8C55A" w14:textId="77777777" w:rsidR="008C5871" w:rsidRPr="00A90086" w:rsidRDefault="008C5871" w:rsidP="008C5871">
      <w:pPr>
        <w:rPr>
          <w:rFonts w:ascii="Arial" w:hAnsi="Arial" w:cs="Arial"/>
          <w:b/>
          <w:bCs/>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E31B1" w:rsidRPr="00A90086" w14:paraId="00D40562" w14:textId="77777777" w:rsidTr="000671A7">
        <w:tc>
          <w:tcPr>
            <w:tcW w:w="2093" w:type="dxa"/>
          </w:tcPr>
          <w:p w14:paraId="01951464" w14:textId="77777777" w:rsidR="000E31B1" w:rsidRPr="00A90086" w:rsidRDefault="000E31B1" w:rsidP="000671A7">
            <w:pPr>
              <w:spacing w:before="120" w:after="120"/>
              <w:jc w:val="both"/>
              <w:rPr>
                <w:rFonts w:ascii="Arial" w:hAnsi="Arial" w:cs="Arial"/>
                <w:b/>
                <w:sz w:val="22"/>
                <w:szCs w:val="22"/>
              </w:rPr>
            </w:pPr>
            <w:r w:rsidRPr="00A90086">
              <w:rPr>
                <w:rFonts w:ascii="Arial" w:hAnsi="Arial" w:cs="Arial"/>
                <w:b/>
                <w:sz w:val="22"/>
                <w:szCs w:val="22"/>
              </w:rPr>
              <w:t>Student name:</w:t>
            </w:r>
          </w:p>
        </w:tc>
        <w:tc>
          <w:tcPr>
            <w:tcW w:w="3293" w:type="dxa"/>
          </w:tcPr>
          <w:p w14:paraId="4F3BF7B3" w14:textId="504A45D1" w:rsidR="000E31B1" w:rsidRPr="00A90086" w:rsidRDefault="000E31B1" w:rsidP="000671A7">
            <w:pPr>
              <w:spacing w:before="120" w:after="120"/>
              <w:jc w:val="both"/>
              <w:rPr>
                <w:rFonts w:ascii="Arial" w:hAnsi="Arial" w:cs="Arial"/>
                <w:b/>
                <w:sz w:val="22"/>
                <w:szCs w:val="22"/>
              </w:rPr>
            </w:pPr>
            <w:proofErr w:type="spellStart"/>
            <w:r w:rsidRPr="00A90086">
              <w:rPr>
                <w:rFonts w:ascii="Arial" w:hAnsi="Arial" w:cs="Arial"/>
                <w:b/>
                <w:sz w:val="22"/>
                <w:szCs w:val="22"/>
              </w:rPr>
              <w:t>Soliya</w:t>
            </w:r>
            <w:proofErr w:type="spellEnd"/>
            <w:r w:rsidRPr="00A90086">
              <w:rPr>
                <w:rFonts w:ascii="Arial" w:hAnsi="Arial" w:cs="Arial"/>
                <w:b/>
                <w:sz w:val="22"/>
                <w:szCs w:val="22"/>
              </w:rPr>
              <w:t xml:space="preserve"> </w:t>
            </w:r>
            <w:proofErr w:type="spellStart"/>
            <w:r w:rsidRPr="00A90086">
              <w:rPr>
                <w:rFonts w:ascii="Arial" w:hAnsi="Arial" w:cs="Arial"/>
                <w:b/>
                <w:sz w:val="22"/>
                <w:szCs w:val="22"/>
              </w:rPr>
              <w:t>shanikumar</w:t>
            </w:r>
            <w:proofErr w:type="spellEnd"/>
            <w:r w:rsidRPr="00A90086">
              <w:rPr>
                <w:rFonts w:ascii="Arial" w:hAnsi="Arial" w:cs="Arial"/>
                <w:b/>
                <w:sz w:val="22"/>
                <w:szCs w:val="22"/>
              </w:rPr>
              <w:t xml:space="preserve"> </w:t>
            </w:r>
            <w:proofErr w:type="spellStart"/>
            <w:r w:rsidRPr="00A90086">
              <w:rPr>
                <w:rFonts w:ascii="Arial" w:hAnsi="Arial" w:cs="Arial"/>
                <w:b/>
                <w:sz w:val="22"/>
                <w:szCs w:val="22"/>
              </w:rPr>
              <w:t>vipulbhai</w:t>
            </w:r>
            <w:proofErr w:type="spellEnd"/>
          </w:p>
        </w:tc>
        <w:tc>
          <w:tcPr>
            <w:tcW w:w="2268" w:type="dxa"/>
            <w:shd w:val="clear" w:color="auto" w:fill="D9D9D9" w:themeFill="background1" w:themeFillShade="D9"/>
          </w:tcPr>
          <w:p w14:paraId="4A9A70C9" w14:textId="77777777" w:rsidR="000E31B1" w:rsidRPr="00A90086" w:rsidRDefault="000E31B1" w:rsidP="000671A7">
            <w:pPr>
              <w:spacing w:before="120" w:after="120"/>
              <w:jc w:val="both"/>
              <w:rPr>
                <w:rFonts w:ascii="Arial" w:hAnsi="Arial" w:cs="Arial"/>
                <w:b/>
                <w:sz w:val="22"/>
                <w:szCs w:val="22"/>
              </w:rPr>
            </w:pPr>
            <w:r w:rsidRPr="00A90086">
              <w:rPr>
                <w:rFonts w:ascii="Arial" w:hAnsi="Arial" w:cs="Arial"/>
                <w:b/>
                <w:sz w:val="22"/>
                <w:szCs w:val="22"/>
              </w:rPr>
              <w:t>Student ID number:</w:t>
            </w:r>
          </w:p>
        </w:tc>
        <w:tc>
          <w:tcPr>
            <w:tcW w:w="2268" w:type="dxa"/>
          </w:tcPr>
          <w:p w14:paraId="21E59D66" w14:textId="74960FF3" w:rsidR="000E31B1" w:rsidRPr="00A90086" w:rsidRDefault="00131D41" w:rsidP="000671A7">
            <w:pPr>
              <w:spacing w:before="120" w:after="120"/>
              <w:jc w:val="both"/>
              <w:rPr>
                <w:rFonts w:ascii="Arial" w:hAnsi="Arial" w:cs="Arial"/>
                <w:b/>
                <w:sz w:val="22"/>
                <w:szCs w:val="22"/>
              </w:rPr>
            </w:pPr>
            <w:r w:rsidRPr="00A90086">
              <w:rPr>
                <w:rFonts w:ascii="Arial" w:hAnsi="Arial" w:cs="Arial"/>
                <w:b/>
                <w:sz w:val="22"/>
                <w:szCs w:val="22"/>
              </w:rPr>
              <w:t>2532722</w:t>
            </w:r>
          </w:p>
        </w:tc>
      </w:tr>
      <w:tr w:rsidR="000E31B1" w:rsidRPr="00A90086" w14:paraId="67230250" w14:textId="77777777" w:rsidTr="000671A7">
        <w:tc>
          <w:tcPr>
            <w:tcW w:w="2093" w:type="dxa"/>
          </w:tcPr>
          <w:p w14:paraId="60DF4456" w14:textId="77777777" w:rsidR="000E31B1" w:rsidRPr="00A90086" w:rsidRDefault="000E31B1" w:rsidP="000671A7">
            <w:pPr>
              <w:spacing w:before="120" w:after="120"/>
              <w:jc w:val="both"/>
              <w:rPr>
                <w:rFonts w:ascii="Arial" w:hAnsi="Arial" w:cs="Arial"/>
                <w:b/>
                <w:sz w:val="22"/>
                <w:szCs w:val="22"/>
              </w:rPr>
            </w:pPr>
            <w:r w:rsidRPr="00A90086">
              <w:rPr>
                <w:rFonts w:ascii="Arial" w:hAnsi="Arial" w:cs="Arial"/>
                <w:b/>
                <w:sz w:val="22"/>
                <w:szCs w:val="22"/>
              </w:rPr>
              <w:t>Programme:</w:t>
            </w:r>
          </w:p>
        </w:tc>
        <w:tc>
          <w:tcPr>
            <w:tcW w:w="7829" w:type="dxa"/>
            <w:gridSpan w:val="3"/>
          </w:tcPr>
          <w:p w14:paraId="704D78DF" w14:textId="77777777" w:rsidR="000E31B1" w:rsidRPr="00A90086" w:rsidRDefault="000E31B1" w:rsidP="000671A7">
            <w:pPr>
              <w:spacing w:before="120" w:after="120"/>
              <w:jc w:val="both"/>
              <w:rPr>
                <w:rFonts w:ascii="Arial" w:hAnsi="Arial" w:cs="Arial"/>
                <w:b/>
                <w:sz w:val="22"/>
                <w:szCs w:val="22"/>
              </w:rPr>
            </w:pPr>
            <w:r w:rsidRPr="00A90086">
              <w:rPr>
                <w:rFonts w:ascii="Arial" w:hAnsi="Arial" w:cs="Arial"/>
                <w:b/>
                <w:sz w:val="22"/>
                <w:szCs w:val="22"/>
              </w:rPr>
              <w:t>MSc Public Health and Social Care in Practice</w:t>
            </w:r>
          </w:p>
        </w:tc>
      </w:tr>
      <w:tr w:rsidR="000E31B1" w:rsidRPr="00A90086" w14:paraId="3566EB22" w14:textId="77777777" w:rsidTr="000671A7">
        <w:tc>
          <w:tcPr>
            <w:tcW w:w="2093" w:type="dxa"/>
          </w:tcPr>
          <w:p w14:paraId="451CA847" w14:textId="77777777" w:rsidR="000E31B1" w:rsidRPr="00A90086" w:rsidRDefault="000E31B1" w:rsidP="000671A7">
            <w:pPr>
              <w:spacing w:before="120" w:after="120"/>
              <w:jc w:val="both"/>
              <w:rPr>
                <w:rFonts w:ascii="Arial" w:hAnsi="Arial" w:cs="Arial"/>
                <w:b/>
                <w:sz w:val="22"/>
                <w:szCs w:val="22"/>
              </w:rPr>
            </w:pPr>
            <w:r w:rsidRPr="00A90086">
              <w:rPr>
                <w:rFonts w:ascii="Arial" w:hAnsi="Arial" w:cs="Arial"/>
                <w:b/>
                <w:sz w:val="22"/>
                <w:szCs w:val="22"/>
              </w:rPr>
              <w:t>Module:</w:t>
            </w:r>
          </w:p>
        </w:tc>
        <w:tc>
          <w:tcPr>
            <w:tcW w:w="7829" w:type="dxa"/>
            <w:gridSpan w:val="3"/>
          </w:tcPr>
          <w:p w14:paraId="7770973D" w14:textId="77777777" w:rsidR="000E31B1" w:rsidRPr="00A90086" w:rsidRDefault="000E31B1" w:rsidP="000671A7">
            <w:pPr>
              <w:spacing w:before="120" w:after="120"/>
              <w:jc w:val="both"/>
              <w:rPr>
                <w:rFonts w:ascii="Arial" w:hAnsi="Arial" w:cs="Arial"/>
                <w:b/>
                <w:sz w:val="22"/>
                <w:szCs w:val="22"/>
              </w:rPr>
            </w:pPr>
            <w:r w:rsidRPr="00A90086">
              <w:rPr>
                <w:rFonts w:ascii="Arial" w:hAnsi="Arial" w:cs="Arial"/>
                <w:b/>
                <w:sz w:val="22"/>
                <w:szCs w:val="22"/>
              </w:rPr>
              <w:t>Health Care System Organisation and Leadership</w:t>
            </w:r>
          </w:p>
        </w:tc>
      </w:tr>
      <w:tr w:rsidR="000E31B1" w:rsidRPr="00A90086" w14:paraId="4A3AF0BB" w14:textId="77777777" w:rsidTr="000671A7">
        <w:tc>
          <w:tcPr>
            <w:tcW w:w="2093" w:type="dxa"/>
          </w:tcPr>
          <w:p w14:paraId="48574773" w14:textId="77777777" w:rsidR="000E31B1" w:rsidRPr="00A90086" w:rsidRDefault="000E31B1" w:rsidP="000671A7">
            <w:pPr>
              <w:spacing w:before="120" w:after="120"/>
              <w:jc w:val="both"/>
              <w:rPr>
                <w:rFonts w:ascii="Arial" w:hAnsi="Arial" w:cs="Arial"/>
                <w:b/>
                <w:sz w:val="22"/>
                <w:szCs w:val="22"/>
              </w:rPr>
            </w:pPr>
            <w:r w:rsidRPr="00A90086">
              <w:rPr>
                <w:rFonts w:ascii="Arial" w:hAnsi="Arial" w:cs="Arial"/>
                <w:b/>
                <w:sz w:val="22"/>
                <w:szCs w:val="22"/>
              </w:rPr>
              <w:t>Module code:</w:t>
            </w:r>
          </w:p>
        </w:tc>
        <w:tc>
          <w:tcPr>
            <w:tcW w:w="3293" w:type="dxa"/>
          </w:tcPr>
          <w:p w14:paraId="575CE749" w14:textId="77777777" w:rsidR="000E31B1" w:rsidRPr="00A90086" w:rsidRDefault="000E31B1" w:rsidP="000671A7">
            <w:pPr>
              <w:spacing w:before="120" w:after="120"/>
              <w:jc w:val="both"/>
              <w:rPr>
                <w:rFonts w:ascii="Arial" w:hAnsi="Arial" w:cs="Arial"/>
                <w:b/>
                <w:sz w:val="22"/>
                <w:szCs w:val="22"/>
              </w:rPr>
            </w:pPr>
            <w:r w:rsidRPr="00A90086">
              <w:rPr>
                <w:rFonts w:ascii="Arial" w:hAnsi="Arial" w:cs="Arial"/>
                <w:b/>
                <w:sz w:val="22"/>
                <w:szCs w:val="22"/>
              </w:rPr>
              <w:t>LCHS7002</w:t>
            </w:r>
          </w:p>
        </w:tc>
        <w:tc>
          <w:tcPr>
            <w:tcW w:w="2268" w:type="dxa"/>
            <w:shd w:val="clear" w:color="auto" w:fill="D9D9D9" w:themeFill="background1" w:themeFillShade="D9"/>
          </w:tcPr>
          <w:p w14:paraId="2221B390" w14:textId="77777777" w:rsidR="000E31B1" w:rsidRPr="00A90086" w:rsidRDefault="000E31B1" w:rsidP="000671A7">
            <w:pPr>
              <w:pStyle w:val="Heading2"/>
              <w:rPr>
                <w:rFonts w:ascii="Arial" w:hAnsi="Arial" w:cs="Arial"/>
                <w:sz w:val="22"/>
                <w:szCs w:val="22"/>
              </w:rPr>
            </w:pPr>
            <w:r w:rsidRPr="00A90086">
              <w:rPr>
                <w:rFonts w:ascii="Arial" w:hAnsi="Arial" w:cs="Arial"/>
                <w:sz w:val="22"/>
                <w:szCs w:val="22"/>
              </w:rPr>
              <w:t>Contribution to Overall Module Assessment (%):</w:t>
            </w:r>
          </w:p>
        </w:tc>
        <w:tc>
          <w:tcPr>
            <w:tcW w:w="2268" w:type="dxa"/>
          </w:tcPr>
          <w:p w14:paraId="01F25F34" w14:textId="77777777" w:rsidR="000E31B1" w:rsidRPr="00A90086" w:rsidRDefault="000E31B1" w:rsidP="000671A7">
            <w:pPr>
              <w:spacing w:before="120" w:after="120"/>
              <w:jc w:val="both"/>
              <w:rPr>
                <w:rFonts w:ascii="Arial" w:hAnsi="Arial" w:cs="Arial"/>
                <w:b/>
                <w:sz w:val="22"/>
                <w:szCs w:val="22"/>
              </w:rPr>
            </w:pPr>
            <w:r w:rsidRPr="00A90086">
              <w:rPr>
                <w:rFonts w:ascii="Arial" w:hAnsi="Arial" w:cs="Arial"/>
                <w:b/>
                <w:sz w:val="22"/>
                <w:szCs w:val="22"/>
              </w:rPr>
              <w:t>100%</w:t>
            </w:r>
          </w:p>
        </w:tc>
      </w:tr>
      <w:tr w:rsidR="000E31B1" w:rsidRPr="00A90086" w14:paraId="62B76A0C" w14:textId="77777777" w:rsidTr="000671A7">
        <w:tc>
          <w:tcPr>
            <w:tcW w:w="2093" w:type="dxa"/>
          </w:tcPr>
          <w:p w14:paraId="52322188" w14:textId="77777777" w:rsidR="000E31B1" w:rsidRPr="00A90086" w:rsidRDefault="000E31B1" w:rsidP="000671A7">
            <w:pPr>
              <w:spacing w:before="120" w:after="120"/>
              <w:jc w:val="both"/>
              <w:rPr>
                <w:rFonts w:ascii="Arial" w:hAnsi="Arial" w:cs="Arial"/>
                <w:b/>
                <w:sz w:val="22"/>
                <w:szCs w:val="22"/>
              </w:rPr>
            </w:pPr>
            <w:r w:rsidRPr="00A90086">
              <w:rPr>
                <w:rFonts w:ascii="Arial" w:hAnsi="Arial" w:cs="Arial"/>
                <w:b/>
                <w:sz w:val="22"/>
                <w:szCs w:val="22"/>
              </w:rPr>
              <w:t>Lecturer:</w:t>
            </w:r>
          </w:p>
        </w:tc>
        <w:tc>
          <w:tcPr>
            <w:tcW w:w="3293" w:type="dxa"/>
          </w:tcPr>
          <w:p w14:paraId="683D48F4" w14:textId="77777777" w:rsidR="000E31B1" w:rsidRPr="00A90086" w:rsidRDefault="000E31B1" w:rsidP="000671A7">
            <w:pPr>
              <w:spacing w:before="120" w:after="120"/>
              <w:jc w:val="both"/>
              <w:rPr>
                <w:rFonts w:ascii="Arial" w:hAnsi="Arial" w:cs="Arial"/>
                <w:b/>
                <w:sz w:val="22"/>
                <w:szCs w:val="22"/>
              </w:rPr>
            </w:pPr>
          </w:p>
        </w:tc>
        <w:tc>
          <w:tcPr>
            <w:tcW w:w="2268" w:type="dxa"/>
            <w:shd w:val="clear" w:color="auto" w:fill="D9D9D9" w:themeFill="background1" w:themeFillShade="D9"/>
          </w:tcPr>
          <w:p w14:paraId="12249DB9" w14:textId="77777777" w:rsidR="000E31B1" w:rsidRPr="00A90086" w:rsidRDefault="000E31B1" w:rsidP="000671A7">
            <w:pPr>
              <w:spacing w:before="120" w:after="120"/>
              <w:jc w:val="both"/>
              <w:rPr>
                <w:rFonts w:ascii="Arial" w:hAnsi="Arial" w:cs="Arial"/>
                <w:b/>
                <w:sz w:val="22"/>
                <w:szCs w:val="22"/>
              </w:rPr>
            </w:pPr>
            <w:r w:rsidRPr="00A90086">
              <w:rPr>
                <w:rFonts w:ascii="Arial" w:hAnsi="Arial" w:cs="Arial"/>
                <w:b/>
                <w:sz w:val="22"/>
                <w:szCs w:val="22"/>
              </w:rPr>
              <w:t>Internal Verifier:</w:t>
            </w:r>
          </w:p>
        </w:tc>
        <w:tc>
          <w:tcPr>
            <w:tcW w:w="2268" w:type="dxa"/>
          </w:tcPr>
          <w:p w14:paraId="21C376F5" w14:textId="77777777" w:rsidR="000E31B1" w:rsidRPr="00A90086" w:rsidRDefault="000E31B1" w:rsidP="000671A7">
            <w:pPr>
              <w:spacing w:before="120" w:after="120"/>
              <w:jc w:val="both"/>
              <w:rPr>
                <w:rFonts w:ascii="Arial" w:hAnsi="Arial" w:cs="Arial"/>
                <w:b/>
                <w:sz w:val="22"/>
                <w:szCs w:val="22"/>
              </w:rPr>
            </w:pPr>
            <w:r w:rsidRPr="00A90086">
              <w:rPr>
                <w:rFonts w:ascii="Arial" w:hAnsi="Arial" w:cs="Arial"/>
                <w:b/>
                <w:sz w:val="22"/>
                <w:szCs w:val="22"/>
              </w:rPr>
              <w:t>Dr Hamdi Hussain</w:t>
            </w:r>
          </w:p>
        </w:tc>
      </w:tr>
      <w:tr w:rsidR="000E31B1" w:rsidRPr="00A90086" w14:paraId="0BD378F7" w14:textId="77777777" w:rsidTr="000671A7">
        <w:tc>
          <w:tcPr>
            <w:tcW w:w="2093" w:type="dxa"/>
          </w:tcPr>
          <w:p w14:paraId="316C2E6B" w14:textId="77777777" w:rsidR="000E31B1" w:rsidRPr="00A90086" w:rsidRDefault="000E31B1" w:rsidP="000671A7">
            <w:pPr>
              <w:spacing w:before="120" w:after="120"/>
              <w:jc w:val="both"/>
              <w:rPr>
                <w:rFonts w:ascii="Arial" w:hAnsi="Arial" w:cs="Arial"/>
                <w:b/>
                <w:sz w:val="22"/>
                <w:szCs w:val="22"/>
              </w:rPr>
            </w:pPr>
            <w:r w:rsidRPr="00A90086">
              <w:rPr>
                <w:rFonts w:ascii="Arial" w:hAnsi="Arial" w:cs="Arial"/>
                <w:b/>
                <w:sz w:val="22"/>
                <w:szCs w:val="22"/>
              </w:rPr>
              <w:t>Assignment Title:</w:t>
            </w:r>
          </w:p>
        </w:tc>
        <w:tc>
          <w:tcPr>
            <w:tcW w:w="3293" w:type="dxa"/>
          </w:tcPr>
          <w:p w14:paraId="1E3D9378" w14:textId="77777777" w:rsidR="000E31B1" w:rsidRPr="00A90086" w:rsidRDefault="000E31B1" w:rsidP="000671A7">
            <w:pPr>
              <w:spacing w:before="120" w:after="120"/>
              <w:rPr>
                <w:rFonts w:ascii="Arial" w:hAnsi="Arial" w:cs="Arial"/>
                <w:b/>
                <w:sz w:val="22"/>
                <w:szCs w:val="22"/>
              </w:rPr>
            </w:pPr>
            <w:r w:rsidRPr="00A90086">
              <w:rPr>
                <w:rFonts w:ascii="Arial" w:hAnsi="Arial" w:cs="Arial"/>
                <w:b/>
                <w:sz w:val="22"/>
                <w:szCs w:val="22"/>
              </w:rPr>
              <w:t>Case Study Analysis Report</w:t>
            </w:r>
          </w:p>
        </w:tc>
        <w:tc>
          <w:tcPr>
            <w:tcW w:w="2268" w:type="dxa"/>
          </w:tcPr>
          <w:p w14:paraId="3B4F18D8" w14:textId="77777777" w:rsidR="000E31B1" w:rsidRPr="00A90086" w:rsidRDefault="000E31B1" w:rsidP="000671A7">
            <w:pPr>
              <w:spacing w:before="120" w:after="120"/>
              <w:jc w:val="both"/>
              <w:rPr>
                <w:rFonts w:ascii="Arial" w:hAnsi="Arial" w:cs="Arial"/>
                <w:b/>
                <w:sz w:val="22"/>
                <w:szCs w:val="22"/>
              </w:rPr>
            </w:pPr>
            <w:r w:rsidRPr="00A90086">
              <w:rPr>
                <w:rFonts w:ascii="Arial" w:hAnsi="Arial" w:cs="Arial"/>
                <w:b/>
                <w:sz w:val="22"/>
                <w:szCs w:val="22"/>
              </w:rPr>
              <w:t>Word count (or equivalent):</w:t>
            </w:r>
          </w:p>
        </w:tc>
        <w:tc>
          <w:tcPr>
            <w:tcW w:w="2268" w:type="dxa"/>
          </w:tcPr>
          <w:p w14:paraId="6478DD6D" w14:textId="77777777" w:rsidR="000E31B1" w:rsidRPr="00A90086" w:rsidRDefault="000E31B1" w:rsidP="000671A7">
            <w:pPr>
              <w:spacing w:before="120" w:after="120"/>
              <w:rPr>
                <w:rFonts w:ascii="Arial" w:hAnsi="Arial" w:cs="Arial"/>
                <w:b/>
                <w:sz w:val="22"/>
                <w:szCs w:val="22"/>
              </w:rPr>
            </w:pPr>
            <w:r w:rsidRPr="00A90086">
              <w:rPr>
                <w:rFonts w:ascii="Arial" w:hAnsi="Arial" w:cs="Arial"/>
                <w:b/>
                <w:sz w:val="22"/>
                <w:szCs w:val="22"/>
              </w:rPr>
              <w:t>5000 words (+/- 10%)</w:t>
            </w:r>
          </w:p>
        </w:tc>
      </w:tr>
      <w:tr w:rsidR="000E31B1" w:rsidRPr="00A90086" w14:paraId="55160C43" w14:textId="77777777" w:rsidTr="000671A7">
        <w:tc>
          <w:tcPr>
            <w:tcW w:w="2093" w:type="dxa"/>
          </w:tcPr>
          <w:p w14:paraId="4AD45174" w14:textId="77777777" w:rsidR="000E31B1" w:rsidRPr="00A90086" w:rsidRDefault="000E31B1" w:rsidP="000671A7">
            <w:pPr>
              <w:spacing w:before="120" w:after="120"/>
              <w:jc w:val="both"/>
              <w:rPr>
                <w:rFonts w:ascii="Arial" w:hAnsi="Arial" w:cs="Arial"/>
                <w:b/>
                <w:sz w:val="22"/>
                <w:szCs w:val="22"/>
              </w:rPr>
            </w:pPr>
            <w:r w:rsidRPr="00A90086">
              <w:rPr>
                <w:rFonts w:ascii="Arial" w:hAnsi="Arial" w:cs="Arial"/>
                <w:b/>
                <w:sz w:val="22"/>
                <w:szCs w:val="22"/>
              </w:rPr>
              <w:t>Submission deadline:</w:t>
            </w:r>
          </w:p>
        </w:tc>
        <w:tc>
          <w:tcPr>
            <w:tcW w:w="3293" w:type="dxa"/>
          </w:tcPr>
          <w:p w14:paraId="4E45B20C" w14:textId="77777777" w:rsidR="000E31B1" w:rsidRPr="00A90086" w:rsidRDefault="000E31B1" w:rsidP="000671A7">
            <w:pPr>
              <w:spacing w:before="120" w:after="120"/>
              <w:jc w:val="both"/>
              <w:rPr>
                <w:rFonts w:ascii="Arial" w:hAnsi="Arial" w:cs="Arial"/>
                <w:b/>
                <w:bCs/>
                <w:sz w:val="22"/>
                <w:szCs w:val="22"/>
              </w:rPr>
            </w:pPr>
            <w:r w:rsidRPr="00A90086">
              <w:rPr>
                <w:rFonts w:ascii="Arial" w:hAnsi="Arial" w:cs="Arial"/>
                <w:b/>
                <w:bCs/>
                <w:sz w:val="22"/>
                <w:szCs w:val="22"/>
              </w:rPr>
              <w:t>11</w:t>
            </w:r>
            <w:r w:rsidRPr="00A90086">
              <w:rPr>
                <w:rFonts w:ascii="Arial" w:hAnsi="Arial" w:cs="Arial"/>
                <w:b/>
                <w:bCs/>
                <w:sz w:val="22"/>
                <w:szCs w:val="22"/>
                <w:vertAlign w:val="superscript"/>
              </w:rPr>
              <w:t>th</w:t>
            </w:r>
            <w:r w:rsidRPr="00A90086">
              <w:rPr>
                <w:rFonts w:ascii="Arial" w:hAnsi="Arial" w:cs="Arial"/>
                <w:b/>
                <w:bCs/>
                <w:sz w:val="22"/>
                <w:szCs w:val="22"/>
              </w:rPr>
              <w:t xml:space="preserve"> August 2026 </w:t>
            </w:r>
          </w:p>
          <w:p w14:paraId="62CC4735" w14:textId="77777777" w:rsidR="000E31B1" w:rsidRPr="00A90086" w:rsidRDefault="000E31B1" w:rsidP="000671A7">
            <w:pPr>
              <w:spacing w:before="120" w:after="120"/>
              <w:jc w:val="both"/>
              <w:rPr>
                <w:rFonts w:ascii="Arial" w:hAnsi="Arial" w:cs="Arial"/>
                <w:b/>
                <w:bCs/>
                <w:sz w:val="22"/>
                <w:szCs w:val="22"/>
              </w:rPr>
            </w:pPr>
            <w:r w:rsidRPr="00A90086">
              <w:rPr>
                <w:rFonts w:ascii="Arial" w:hAnsi="Arial" w:cs="Arial"/>
                <w:b/>
                <w:bCs/>
                <w:sz w:val="22"/>
                <w:szCs w:val="22"/>
              </w:rPr>
              <w:t>14:00 (2 pm)</w:t>
            </w:r>
          </w:p>
        </w:tc>
        <w:tc>
          <w:tcPr>
            <w:tcW w:w="2268" w:type="dxa"/>
          </w:tcPr>
          <w:p w14:paraId="51D495B8" w14:textId="77777777" w:rsidR="000E31B1" w:rsidRPr="00A90086" w:rsidRDefault="000E31B1" w:rsidP="000671A7">
            <w:pPr>
              <w:spacing w:before="120" w:after="120"/>
              <w:jc w:val="both"/>
              <w:rPr>
                <w:rFonts w:ascii="Arial" w:hAnsi="Arial" w:cs="Arial"/>
                <w:b/>
                <w:sz w:val="22"/>
                <w:szCs w:val="22"/>
              </w:rPr>
            </w:pPr>
            <w:r w:rsidRPr="00A90086">
              <w:rPr>
                <w:rFonts w:ascii="Arial" w:hAnsi="Arial" w:cs="Arial"/>
                <w:b/>
                <w:sz w:val="22"/>
                <w:szCs w:val="22"/>
              </w:rPr>
              <w:t>Return date of provisional marks &amp; written feedback:</w:t>
            </w:r>
          </w:p>
        </w:tc>
        <w:tc>
          <w:tcPr>
            <w:tcW w:w="2268" w:type="dxa"/>
          </w:tcPr>
          <w:p w14:paraId="63808909" w14:textId="77777777" w:rsidR="000E31B1" w:rsidRPr="00A90086" w:rsidRDefault="000E31B1" w:rsidP="000671A7">
            <w:pPr>
              <w:spacing w:before="120" w:after="120"/>
              <w:rPr>
                <w:rFonts w:ascii="Arial" w:hAnsi="Arial" w:cs="Arial"/>
                <w:b/>
                <w:bCs/>
                <w:sz w:val="22"/>
                <w:szCs w:val="22"/>
              </w:rPr>
            </w:pPr>
            <w:r w:rsidRPr="00A90086">
              <w:rPr>
                <w:rFonts w:ascii="Arial" w:hAnsi="Arial" w:cs="Arial"/>
                <w:b/>
                <w:bCs/>
                <w:sz w:val="22"/>
                <w:szCs w:val="22"/>
              </w:rPr>
              <w:t>2</w:t>
            </w:r>
            <w:r w:rsidRPr="00A90086">
              <w:rPr>
                <w:rFonts w:ascii="Arial" w:hAnsi="Arial" w:cs="Arial"/>
                <w:b/>
                <w:bCs/>
                <w:sz w:val="22"/>
                <w:szCs w:val="22"/>
                <w:vertAlign w:val="superscript"/>
              </w:rPr>
              <w:t>nd</w:t>
            </w:r>
            <w:r w:rsidRPr="00A90086">
              <w:rPr>
                <w:rFonts w:ascii="Arial" w:hAnsi="Arial" w:cs="Arial"/>
                <w:b/>
                <w:bCs/>
                <w:sz w:val="22"/>
                <w:szCs w:val="22"/>
              </w:rPr>
              <w:t xml:space="preserve"> of </w:t>
            </w:r>
            <w:proofErr w:type="gramStart"/>
            <w:r w:rsidRPr="00A90086">
              <w:rPr>
                <w:rFonts w:ascii="Arial" w:hAnsi="Arial" w:cs="Arial"/>
                <w:b/>
                <w:bCs/>
                <w:sz w:val="22"/>
                <w:szCs w:val="22"/>
              </w:rPr>
              <w:t>September  2026</w:t>
            </w:r>
            <w:proofErr w:type="gramEnd"/>
          </w:p>
        </w:tc>
      </w:tr>
    </w:tbl>
    <w:p w14:paraId="07E3A19E" w14:textId="77777777" w:rsidR="008C5871" w:rsidRPr="00A90086" w:rsidRDefault="008C5871" w:rsidP="008C5871">
      <w:pPr>
        <w:rPr>
          <w:rFonts w:ascii="Arial" w:hAnsi="Arial" w:cs="Arial"/>
          <w:b/>
          <w:bCs/>
        </w:rPr>
      </w:pPr>
    </w:p>
    <w:p w14:paraId="39EE668F" w14:textId="77777777" w:rsidR="008C5871" w:rsidRPr="00A90086" w:rsidRDefault="008C5871" w:rsidP="008C5871">
      <w:pPr>
        <w:rPr>
          <w:rFonts w:ascii="Arial" w:hAnsi="Arial" w:cs="Arial"/>
          <w:b/>
          <w:bCs/>
        </w:rPr>
      </w:pPr>
    </w:p>
    <w:p w14:paraId="24B35769" w14:textId="77777777" w:rsidR="008C5871" w:rsidRPr="00A90086" w:rsidRDefault="008C5871" w:rsidP="008C5871">
      <w:pPr>
        <w:rPr>
          <w:rFonts w:ascii="Arial" w:hAnsi="Arial" w:cs="Arial"/>
          <w:b/>
          <w:bCs/>
        </w:rPr>
      </w:pPr>
    </w:p>
    <w:p w14:paraId="5095498F" w14:textId="77777777" w:rsidR="008C5871" w:rsidRPr="00A90086" w:rsidRDefault="008C5871" w:rsidP="008C5871">
      <w:pPr>
        <w:rPr>
          <w:rFonts w:ascii="Arial" w:hAnsi="Arial" w:cs="Arial"/>
          <w:b/>
          <w:bCs/>
        </w:rPr>
      </w:pPr>
    </w:p>
    <w:p w14:paraId="0144078C" w14:textId="77777777" w:rsidR="008C5871" w:rsidRPr="00A90086" w:rsidRDefault="008C5871" w:rsidP="008C5871">
      <w:pPr>
        <w:rPr>
          <w:rFonts w:ascii="Arial" w:hAnsi="Arial" w:cs="Arial"/>
          <w:b/>
          <w:bCs/>
        </w:rPr>
      </w:pPr>
    </w:p>
    <w:p w14:paraId="6933ED97" w14:textId="77777777" w:rsidR="008C5871" w:rsidRPr="00A90086" w:rsidRDefault="008C5871" w:rsidP="008C5871">
      <w:pPr>
        <w:rPr>
          <w:rFonts w:ascii="Arial" w:hAnsi="Arial" w:cs="Arial"/>
          <w:b/>
          <w:bCs/>
        </w:rPr>
      </w:pPr>
    </w:p>
    <w:p w14:paraId="024762CD" w14:textId="77777777" w:rsidR="008C5871" w:rsidRPr="00A90086" w:rsidRDefault="008C5871" w:rsidP="008C5871">
      <w:pPr>
        <w:rPr>
          <w:rFonts w:ascii="Arial" w:hAnsi="Arial" w:cs="Arial"/>
          <w:b/>
          <w:bCs/>
        </w:rPr>
      </w:pPr>
    </w:p>
    <w:p w14:paraId="06F45051" w14:textId="77777777" w:rsidR="008C5871" w:rsidRPr="00A90086" w:rsidRDefault="008C5871" w:rsidP="008C5871">
      <w:pPr>
        <w:rPr>
          <w:rFonts w:ascii="Arial" w:hAnsi="Arial" w:cs="Arial"/>
          <w:b/>
          <w:bCs/>
        </w:rPr>
      </w:pPr>
    </w:p>
    <w:p w14:paraId="2A0C2864" w14:textId="77777777" w:rsidR="008C5871" w:rsidRPr="00A90086" w:rsidRDefault="008C5871" w:rsidP="008C5871">
      <w:pPr>
        <w:rPr>
          <w:rFonts w:ascii="Arial" w:hAnsi="Arial" w:cs="Arial"/>
          <w:b/>
          <w:bCs/>
        </w:rPr>
      </w:pPr>
    </w:p>
    <w:p w14:paraId="66501F9C" w14:textId="77777777" w:rsidR="008C5871" w:rsidRPr="00A90086" w:rsidRDefault="008C5871" w:rsidP="008C5871">
      <w:pPr>
        <w:rPr>
          <w:rFonts w:ascii="Arial" w:hAnsi="Arial" w:cs="Arial"/>
          <w:b/>
          <w:bCs/>
        </w:rPr>
      </w:pPr>
    </w:p>
    <w:p w14:paraId="754C1546" w14:textId="77777777" w:rsidR="008C5871" w:rsidRPr="00A90086" w:rsidRDefault="008C5871" w:rsidP="008C5871">
      <w:pPr>
        <w:rPr>
          <w:rFonts w:ascii="Arial" w:hAnsi="Arial" w:cs="Arial"/>
          <w:b/>
          <w:bCs/>
        </w:rPr>
      </w:pPr>
    </w:p>
    <w:p w14:paraId="26E3576A" w14:textId="77777777" w:rsidR="005F1A71" w:rsidRPr="00A90086" w:rsidRDefault="005F1A71" w:rsidP="008C5871">
      <w:pPr>
        <w:rPr>
          <w:rFonts w:ascii="Arial" w:hAnsi="Arial" w:cs="Arial"/>
          <w:b/>
          <w:bCs/>
        </w:rPr>
      </w:pPr>
    </w:p>
    <w:p w14:paraId="001E8F2A" w14:textId="77777777" w:rsidR="005F1A71" w:rsidRPr="00A90086" w:rsidRDefault="005F1A71" w:rsidP="008C5871">
      <w:pPr>
        <w:rPr>
          <w:rFonts w:ascii="Arial" w:hAnsi="Arial" w:cs="Arial"/>
          <w:b/>
          <w:bCs/>
        </w:rPr>
      </w:pPr>
    </w:p>
    <w:p w14:paraId="1BD30548" w14:textId="77777777" w:rsidR="005F1A71" w:rsidRPr="00A90086" w:rsidRDefault="005F1A71" w:rsidP="008C5871">
      <w:pPr>
        <w:rPr>
          <w:rFonts w:ascii="Arial" w:hAnsi="Arial" w:cs="Arial"/>
          <w:b/>
          <w:bCs/>
        </w:rPr>
      </w:pPr>
    </w:p>
    <w:p w14:paraId="5F8CF22E" w14:textId="77777777" w:rsidR="008C5871" w:rsidRPr="00A90086" w:rsidRDefault="008C5871" w:rsidP="008C5871">
      <w:pPr>
        <w:rPr>
          <w:rFonts w:ascii="Arial" w:hAnsi="Arial" w:cs="Arial"/>
          <w:sz w:val="22"/>
          <w:szCs w:val="22"/>
        </w:rPr>
      </w:pPr>
    </w:p>
    <w:p w14:paraId="3414D583" w14:textId="77777777" w:rsidR="008C5871" w:rsidRPr="00A90086" w:rsidRDefault="008C5871" w:rsidP="008C5871">
      <w:pPr>
        <w:numPr>
          <w:ilvl w:val="0"/>
          <w:numId w:val="32"/>
        </w:numPr>
        <w:rPr>
          <w:rFonts w:ascii="Arial" w:hAnsi="Arial" w:cs="Arial"/>
          <w:sz w:val="22"/>
          <w:szCs w:val="22"/>
        </w:rPr>
      </w:pPr>
      <w:r w:rsidRPr="00A90086">
        <w:rPr>
          <w:rFonts w:ascii="Arial" w:hAnsi="Arial" w:cs="Arial"/>
          <w:sz w:val="22"/>
          <w:szCs w:val="22"/>
        </w:rPr>
        <w:lastRenderedPageBreak/>
        <w:t>1. INTRODUCTION (400 Words)</w:t>
      </w:r>
    </w:p>
    <w:p w14:paraId="1E4FE50C" w14:textId="77777777" w:rsidR="008C5871" w:rsidRPr="00A90086" w:rsidRDefault="008C5871" w:rsidP="008C5871">
      <w:pPr>
        <w:numPr>
          <w:ilvl w:val="1"/>
          <w:numId w:val="32"/>
        </w:numPr>
        <w:rPr>
          <w:rFonts w:ascii="Arial" w:hAnsi="Arial" w:cs="Arial"/>
          <w:sz w:val="22"/>
          <w:szCs w:val="22"/>
        </w:rPr>
      </w:pPr>
      <w:r w:rsidRPr="00A90086">
        <w:rPr>
          <w:rFonts w:ascii="Arial" w:hAnsi="Arial" w:cs="Arial"/>
          <w:sz w:val="22"/>
          <w:szCs w:val="22"/>
        </w:rPr>
        <w:t>1.1 Context of Healthcare Systems, Leadership, and Patient Safety</w:t>
      </w:r>
    </w:p>
    <w:p w14:paraId="7A12CAC2" w14:textId="77777777" w:rsidR="008C5871" w:rsidRPr="00A90086" w:rsidRDefault="008C5871" w:rsidP="008C5871">
      <w:pPr>
        <w:numPr>
          <w:ilvl w:val="1"/>
          <w:numId w:val="32"/>
        </w:numPr>
        <w:rPr>
          <w:rFonts w:ascii="Arial" w:hAnsi="Arial" w:cs="Arial"/>
          <w:sz w:val="22"/>
          <w:szCs w:val="22"/>
        </w:rPr>
      </w:pPr>
      <w:r w:rsidRPr="00A90086">
        <w:rPr>
          <w:rFonts w:ascii="Arial" w:hAnsi="Arial" w:cs="Arial"/>
          <w:sz w:val="22"/>
          <w:szCs w:val="22"/>
        </w:rPr>
        <w:t>1.2 Defining Leadership in Health and Social Care Environments</w:t>
      </w:r>
    </w:p>
    <w:p w14:paraId="3DF966AB" w14:textId="77777777" w:rsidR="008C5871" w:rsidRPr="00A90086" w:rsidRDefault="008C5871" w:rsidP="008C5871">
      <w:pPr>
        <w:numPr>
          <w:ilvl w:val="1"/>
          <w:numId w:val="32"/>
        </w:numPr>
        <w:rPr>
          <w:rFonts w:ascii="Arial" w:hAnsi="Arial" w:cs="Arial"/>
          <w:sz w:val="22"/>
          <w:szCs w:val="22"/>
        </w:rPr>
      </w:pPr>
      <w:r w:rsidRPr="00A90086">
        <w:rPr>
          <w:rFonts w:ascii="Arial" w:hAnsi="Arial" w:cs="Arial"/>
          <w:sz w:val="22"/>
          <w:szCs w:val="22"/>
        </w:rPr>
        <w:t>1.3 Organisational Structures: Centralisation vs. Decentralisation Overview</w:t>
      </w:r>
    </w:p>
    <w:p w14:paraId="23E48112" w14:textId="77777777" w:rsidR="008C5871" w:rsidRPr="00A90086" w:rsidRDefault="008C5871" w:rsidP="008C5871">
      <w:pPr>
        <w:numPr>
          <w:ilvl w:val="1"/>
          <w:numId w:val="32"/>
        </w:numPr>
        <w:rPr>
          <w:rFonts w:ascii="Arial" w:hAnsi="Arial" w:cs="Arial"/>
          <w:sz w:val="22"/>
          <w:szCs w:val="22"/>
        </w:rPr>
      </w:pPr>
      <w:r w:rsidRPr="00A90086">
        <w:rPr>
          <w:rFonts w:ascii="Arial" w:hAnsi="Arial" w:cs="Arial"/>
          <w:sz w:val="22"/>
          <w:szCs w:val="22"/>
        </w:rPr>
        <w:t>1.4 The Role of Leadership Styles (Transformational, Transactional, Situational)</w:t>
      </w:r>
    </w:p>
    <w:p w14:paraId="103845F1" w14:textId="77777777" w:rsidR="008C5871" w:rsidRPr="00A90086" w:rsidRDefault="008C5871" w:rsidP="008C5871">
      <w:pPr>
        <w:numPr>
          <w:ilvl w:val="1"/>
          <w:numId w:val="32"/>
        </w:numPr>
        <w:rPr>
          <w:rFonts w:ascii="Arial" w:hAnsi="Arial" w:cs="Arial"/>
          <w:sz w:val="22"/>
          <w:szCs w:val="22"/>
        </w:rPr>
      </w:pPr>
      <w:r w:rsidRPr="00A90086">
        <w:rPr>
          <w:rFonts w:ascii="Arial" w:hAnsi="Arial" w:cs="Arial"/>
          <w:sz w:val="22"/>
          <w:szCs w:val="22"/>
        </w:rPr>
        <w:t>1.5 Introduction to Case Study 4: Kota Medical College Hospital Incident</w:t>
      </w:r>
    </w:p>
    <w:p w14:paraId="59DFDD14" w14:textId="77777777" w:rsidR="008C5871" w:rsidRPr="00A90086" w:rsidRDefault="008C5871" w:rsidP="008C5871">
      <w:pPr>
        <w:numPr>
          <w:ilvl w:val="1"/>
          <w:numId w:val="32"/>
        </w:numPr>
        <w:rPr>
          <w:rFonts w:ascii="Arial" w:hAnsi="Arial" w:cs="Arial"/>
          <w:sz w:val="22"/>
          <w:szCs w:val="22"/>
        </w:rPr>
      </w:pPr>
      <w:r w:rsidRPr="00A90086">
        <w:rPr>
          <w:rFonts w:ascii="Arial" w:hAnsi="Arial" w:cs="Arial"/>
          <w:sz w:val="22"/>
          <w:szCs w:val="22"/>
        </w:rPr>
        <w:t>1.6 Report Scope and Analytical Roadmap</w:t>
      </w:r>
    </w:p>
    <w:p w14:paraId="7C3140BF" w14:textId="77777777" w:rsidR="008C5871" w:rsidRPr="00A90086" w:rsidRDefault="008C5871" w:rsidP="008C5871">
      <w:pPr>
        <w:numPr>
          <w:ilvl w:val="0"/>
          <w:numId w:val="33"/>
        </w:numPr>
        <w:rPr>
          <w:rFonts w:ascii="Arial" w:hAnsi="Arial" w:cs="Arial"/>
          <w:sz w:val="22"/>
          <w:szCs w:val="22"/>
        </w:rPr>
      </w:pPr>
      <w:r w:rsidRPr="00A90086">
        <w:rPr>
          <w:rFonts w:ascii="Arial" w:hAnsi="Arial" w:cs="Arial"/>
          <w:sz w:val="22"/>
          <w:szCs w:val="22"/>
        </w:rPr>
        <w:t>2. MAIN BODY AND ANALYSIS (3,700 Words)</w:t>
      </w:r>
    </w:p>
    <w:p w14:paraId="088DE297" w14:textId="77777777" w:rsidR="008C5871" w:rsidRPr="00A90086" w:rsidRDefault="008C5871" w:rsidP="008C5871">
      <w:pPr>
        <w:numPr>
          <w:ilvl w:val="1"/>
          <w:numId w:val="33"/>
        </w:numPr>
        <w:rPr>
          <w:rFonts w:ascii="Arial" w:hAnsi="Arial" w:cs="Arial"/>
          <w:sz w:val="22"/>
          <w:szCs w:val="22"/>
        </w:rPr>
      </w:pPr>
      <w:r w:rsidRPr="00A90086">
        <w:rPr>
          <w:rFonts w:ascii="Arial" w:hAnsi="Arial" w:cs="Arial"/>
          <w:sz w:val="22"/>
          <w:szCs w:val="22"/>
        </w:rPr>
        <w:t>2a. Identifying the Problem and Setting the System Context (900 Words)</w:t>
      </w:r>
    </w:p>
    <w:p w14:paraId="463A706E" w14:textId="77777777" w:rsidR="008C5871" w:rsidRPr="00A90086" w:rsidRDefault="008C5871" w:rsidP="008C5871">
      <w:pPr>
        <w:numPr>
          <w:ilvl w:val="2"/>
          <w:numId w:val="33"/>
        </w:numPr>
        <w:rPr>
          <w:rFonts w:ascii="Arial" w:hAnsi="Arial" w:cs="Arial"/>
          <w:sz w:val="22"/>
          <w:szCs w:val="22"/>
        </w:rPr>
      </w:pPr>
      <w:r w:rsidRPr="00A90086">
        <w:rPr>
          <w:rFonts w:ascii="Arial" w:hAnsi="Arial" w:cs="Arial"/>
          <w:sz w:val="22"/>
          <w:szCs w:val="22"/>
        </w:rPr>
        <w:t>2a.1 Detailed Breakdown of the Wrong-Patient Surgical Incident</w:t>
      </w:r>
    </w:p>
    <w:p w14:paraId="4AF800EE" w14:textId="77777777" w:rsidR="008C5871" w:rsidRPr="00A90086" w:rsidRDefault="008C5871" w:rsidP="008C5871">
      <w:pPr>
        <w:numPr>
          <w:ilvl w:val="2"/>
          <w:numId w:val="33"/>
        </w:numPr>
        <w:rPr>
          <w:rFonts w:ascii="Arial" w:hAnsi="Arial" w:cs="Arial"/>
          <w:sz w:val="22"/>
          <w:szCs w:val="22"/>
        </w:rPr>
      </w:pPr>
      <w:r w:rsidRPr="00A90086">
        <w:rPr>
          <w:rFonts w:ascii="Arial" w:hAnsi="Arial" w:cs="Arial"/>
          <w:sz w:val="22"/>
          <w:szCs w:val="22"/>
        </w:rPr>
        <w:t>2a.2 Global, National, and Local Statistical Context (WHO, IHI, NHS Benchmarks)</w:t>
      </w:r>
    </w:p>
    <w:p w14:paraId="2748838D" w14:textId="77777777" w:rsidR="008C5871" w:rsidRPr="00A90086" w:rsidRDefault="008C5871" w:rsidP="008C5871">
      <w:pPr>
        <w:numPr>
          <w:ilvl w:val="2"/>
          <w:numId w:val="33"/>
        </w:numPr>
        <w:rPr>
          <w:rFonts w:ascii="Arial" w:hAnsi="Arial" w:cs="Arial"/>
          <w:sz w:val="22"/>
          <w:szCs w:val="22"/>
        </w:rPr>
      </w:pPr>
      <w:r w:rsidRPr="00A90086">
        <w:rPr>
          <w:rFonts w:ascii="Arial" w:hAnsi="Arial" w:cs="Arial"/>
          <w:sz w:val="22"/>
          <w:szCs w:val="22"/>
        </w:rPr>
        <w:t>2a.3 Systemic Weaknesses: Communication Breakdown, Accountability, and Governance</w:t>
      </w:r>
    </w:p>
    <w:p w14:paraId="23EB90F1" w14:textId="77777777" w:rsidR="008C5871" w:rsidRPr="00A90086" w:rsidRDefault="008C5871" w:rsidP="008C5871">
      <w:pPr>
        <w:numPr>
          <w:ilvl w:val="2"/>
          <w:numId w:val="33"/>
        </w:numPr>
        <w:rPr>
          <w:rFonts w:ascii="Arial" w:hAnsi="Arial" w:cs="Arial"/>
          <w:sz w:val="22"/>
          <w:szCs w:val="22"/>
        </w:rPr>
      </w:pPr>
      <w:r w:rsidRPr="00A90086">
        <w:rPr>
          <w:rFonts w:ascii="Arial" w:hAnsi="Arial" w:cs="Arial"/>
          <w:sz w:val="22"/>
          <w:szCs w:val="22"/>
        </w:rPr>
        <w:t>2a.4 Applying Systems Thinking: Reason’s Swiss Cheese Model</w:t>
      </w:r>
    </w:p>
    <w:p w14:paraId="1F24236D" w14:textId="77777777" w:rsidR="008C5871" w:rsidRPr="00A90086" w:rsidRDefault="008C5871" w:rsidP="008C5871">
      <w:pPr>
        <w:numPr>
          <w:ilvl w:val="2"/>
          <w:numId w:val="33"/>
        </w:numPr>
        <w:rPr>
          <w:rFonts w:ascii="Arial" w:hAnsi="Arial" w:cs="Arial"/>
          <w:sz w:val="22"/>
          <w:szCs w:val="22"/>
        </w:rPr>
      </w:pPr>
      <w:r w:rsidRPr="00A90086">
        <w:rPr>
          <w:rFonts w:ascii="Arial" w:hAnsi="Arial" w:cs="Arial"/>
          <w:sz w:val="22"/>
          <w:szCs w:val="22"/>
        </w:rPr>
        <w:t xml:space="preserve">2a.5 </w:t>
      </w:r>
      <w:proofErr w:type="spellStart"/>
      <w:r w:rsidRPr="00A90086">
        <w:rPr>
          <w:rFonts w:ascii="Arial" w:hAnsi="Arial" w:cs="Arial"/>
          <w:sz w:val="22"/>
          <w:szCs w:val="22"/>
        </w:rPr>
        <w:t>Checkland’s</w:t>
      </w:r>
      <w:proofErr w:type="spellEnd"/>
      <w:r w:rsidRPr="00A90086">
        <w:rPr>
          <w:rFonts w:ascii="Arial" w:hAnsi="Arial" w:cs="Arial"/>
          <w:sz w:val="22"/>
          <w:szCs w:val="22"/>
        </w:rPr>
        <w:t xml:space="preserve"> Soft Systems Methodology: Textual Rich Picture Model &amp; Diagram</w:t>
      </w:r>
    </w:p>
    <w:p w14:paraId="486FD714" w14:textId="77777777" w:rsidR="008C5871" w:rsidRPr="00A90086" w:rsidRDefault="008C5871" w:rsidP="008C5871">
      <w:pPr>
        <w:numPr>
          <w:ilvl w:val="1"/>
          <w:numId w:val="33"/>
        </w:numPr>
        <w:rPr>
          <w:rFonts w:ascii="Arial" w:hAnsi="Arial" w:cs="Arial"/>
          <w:sz w:val="22"/>
          <w:szCs w:val="22"/>
        </w:rPr>
      </w:pPr>
      <w:r w:rsidRPr="00A90086">
        <w:rPr>
          <w:rFonts w:ascii="Arial" w:hAnsi="Arial" w:cs="Arial"/>
          <w:sz w:val="22"/>
          <w:szCs w:val="22"/>
        </w:rPr>
        <w:t>2b. Centralisation vs. Decentralisation Analysis (900 Words)</w:t>
      </w:r>
    </w:p>
    <w:p w14:paraId="059AE2E0" w14:textId="77777777" w:rsidR="008C5871" w:rsidRPr="00A90086" w:rsidRDefault="008C5871" w:rsidP="008C5871">
      <w:pPr>
        <w:numPr>
          <w:ilvl w:val="2"/>
          <w:numId w:val="33"/>
        </w:numPr>
        <w:rPr>
          <w:rFonts w:ascii="Arial" w:hAnsi="Arial" w:cs="Arial"/>
          <w:sz w:val="22"/>
          <w:szCs w:val="22"/>
        </w:rPr>
      </w:pPr>
      <w:r w:rsidRPr="00A90086">
        <w:rPr>
          <w:rFonts w:ascii="Arial" w:hAnsi="Arial" w:cs="Arial"/>
          <w:sz w:val="22"/>
          <w:szCs w:val="22"/>
        </w:rPr>
        <w:t>2b.1 Structural Analysis of Centralised Systems: Top-Down Authority and Bureaucracy</w:t>
      </w:r>
    </w:p>
    <w:p w14:paraId="21FE5F3A" w14:textId="77777777" w:rsidR="008C5871" w:rsidRPr="00A90086" w:rsidRDefault="008C5871" w:rsidP="008C5871">
      <w:pPr>
        <w:numPr>
          <w:ilvl w:val="2"/>
          <w:numId w:val="33"/>
        </w:numPr>
        <w:rPr>
          <w:rFonts w:ascii="Arial" w:hAnsi="Arial" w:cs="Arial"/>
          <w:sz w:val="22"/>
          <w:szCs w:val="22"/>
        </w:rPr>
      </w:pPr>
      <w:r w:rsidRPr="00A90086">
        <w:rPr>
          <w:rFonts w:ascii="Arial" w:hAnsi="Arial" w:cs="Arial"/>
          <w:sz w:val="22"/>
          <w:szCs w:val="22"/>
        </w:rPr>
        <w:t>2b.2 Structural Analysis of Decentralised Systems: Operational Silos and Local Discretion</w:t>
      </w:r>
    </w:p>
    <w:p w14:paraId="36980239" w14:textId="77777777" w:rsidR="008C5871" w:rsidRPr="00A90086" w:rsidRDefault="008C5871" w:rsidP="008C5871">
      <w:pPr>
        <w:numPr>
          <w:ilvl w:val="2"/>
          <w:numId w:val="33"/>
        </w:numPr>
        <w:rPr>
          <w:rFonts w:ascii="Arial" w:hAnsi="Arial" w:cs="Arial"/>
          <w:sz w:val="22"/>
          <w:szCs w:val="22"/>
        </w:rPr>
      </w:pPr>
      <w:r w:rsidRPr="00A90086">
        <w:rPr>
          <w:rFonts w:ascii="Arial" w:hAnsi="Arial" w:cs="Arial"/>
          <w:sz w:val="22"/>
          <w:szCs w:val="22"/>
        </w:rPr>
        <w:t>2b.3 Comparative Evaluation: Structural Impact on Decision-Making and Accountability</w:t>
      </w:r>
    </w:p>
    <w:p w14:paraId="009A097F" w14:textId="77777777" w:rsidR="008C5871" w:rsidRPr="00A90086" w:rsidRDefault="008C5871" w:rsidP="008C5871">
      <w:pPr>
        <w:numPr>
          <w:ilvl w:val="2"/>
          <w:numId w:val="33"/>
        </w:numPr>
        <w:rPr>
          <w:rFonts w:ascii="Arial" w:hAnsi="Arial" w:cs="Arial"/>
          <w:sz w:val="22"/>
          <w:szCs w:val="22"/>
        </w:rPr>
      </w:pPr>
      <w:r w:rsidRPr="00A90086">
        <w:rPr>
          <w:rFonts w:ascii="Arial" w:hAnsi="Arial" w:cs="Arial"/>
          <w:sz w:val="22"/>
          <w:szCs w:val="22"/>
        </w:rPr>
        <w:t>2b.4 Numerical and Empirical Safety Evidence in Hospital Structures</w:t>
      </w:r>
    </w:p>
    <w:p w14:paraId="306AF6E0" w14:textId="77777777" w:rsidR="008C5871" w:rsidRPr="00A90086" w:rsidRDefault="008C5871" w:rsidP="008C5871">
      <w:pPr>
        <w:numPr>
          <w:ilvl w:val="1"/>
          <w:numId w:val="33"/>
        </w:numPr>
        <w:rPr>
          <w:rFonts w:ascii="Arial" w:hAnsi="Arial" w:cs="Arial"/>
          <w:sz w:val="22"/>
          <w:szCs w:val="22"/>
        </w:rPr>
      </w:pPr>
      <w:r w:rsidRPr="00A90086">
        <w:rPr>
          <w:rFonts w:ascii="Arial" w:hAnsi="Arial" w:cs="Arial"/>
          <w:sz w:val="22"/>
          <w:szCs w:val="22"/>
        </w:rPr>
        <w:t>2c. Leadership Theories and Application to the Case Study (900 Words)</w:t>
      </w:r>
    </w:p>
    <w:p w14:paraId="128DA986" w14:textId="77777777" w:rsidR="008C5871" w:rsidRPr="00A90086" w:rsidRDefault="008C5871" w:rsidP="008C5871">
      <w:pPr>
        <w:numPr>
          <w:ilvl w:val="2"/>
          <w:numId w:val="33"/>
        </w:numPr>
        <w:rPr>
          <w:rFonts w:ascii="Arial" w:hAnsi="Arial" w:cs="Arial"/>
          <w:sz w:val="22"/>
          <w:szCs w:val="22"/>
        </w:rPr>
      </w:pPr>
      <w:r w:rsidRPr="00A90086">
        <w:rPr>
          <w:rFonts w:ascii="Arial" w:hAnsi="Arial" w:cs="Arial"/>
          <w:sz w:val="22"/>
          <w:szCs w:val="22"/>
        </w:rPr>
        <w:t>2c.1 Critical Analysis of Transformational Leadership Theory</w:t>
      </w:r>
    </w:p>
    <w:p w14:paraId="5FAD36DB" w14:textId="77777777" w:rsidR="008C5871" w:rsidRPr="00A90086" w:rsidRDefault="008C5871" w:rsidP="008C5871">
      <w:pPr>
        <w:numPr>
          <w:ilvl w:val="2"/>
          <w:numId w:val="33"/>
        </w:numPr>
        <w:rPr>
          <w:rFonts w:ascii="Arial" w:hAnsi="Arial" w:cs="Arial"/>
          <w:sz w:val="22"/>
          <w:szCs w:val="22"/>
        </w:rPr>
      </w:pPr>
      <w:r w:rsidRPr="00A90086">
        <w:rPr>
          <w:rFonts w:ascii="Arial" w:hAnsi="Arial" w:cs="Arial"/>
          <w:sz w:val="22"/>
          <w:szCs w:val="22"/>
        </w:rPr>
        <w:t>2c.2 Critical Analysis of Transactional Leadership Theory and Punitive Culture</w:t>
      </w:r>
    </w:p>
    <w:p w14:paraId="131E6875" w14:textId="77777777" w:rsidR="008C5871" w:rsidRPr="00A90086" w:rsidRDefault="008C5871" w:rsidP="008C5871">
      <w:pPr>
        <w:numPr>
          <w:ilvl w:val="2"/>
          <w:numId w:val="33"/>
        </w:numPr>
        <w:rPr>
          <w:rFonts w:ascii="Arial" w:hAnsi="Arial" w:cs="Arial"/>
          <w:sz w:val="22"/>
          <w:szCs w:val="22"/>
        </w:rPr>
      </w:pPr>
      <w:r w:rsidRPr="00A90086">
        <w:rPr>
          <w:rFonts w:ascii="Arial" w:hAnsi="Arial" w:cs="Arial"/>
          <w:sz w:val="22"/>
          <w:szCs w:val="22"/>
        </w:rPr>
        <w:t>2c.3 Application of Situational Leadership in High-Risk Surgical Settings</w:t>
      </w:r>
    </w:p>
    <w:p w14:paraId="109A1A16" w14:textId="77777777" w:rsidR="008C5871" w:rsidRPr="00A90086" w:rsidRDefault="008C5871" w:rsidP="008C5871">
      <w:pPr>
        <w:numPr>
          <w:ilvl w:val="2"/>
          <w:numId w:val="33"/>
        </w:numPr>
        <w:rPr>
          <w:rFonts w:ascii="Arial" w:hAnsi="Arial" w:cs="Arial"/>
          <w:sz w:val="22"/>
          <w:szCs w:val="22"/>
        </w:rPr>
      </w:pPr>
      <w:r w:rsidRPr="00A90086">
        <w:rPr>
          <w:rFonts w:ascii="Arial" w:hAnsi="Arial" w:cs="Arial"/>
          <w:sz w:val="22"/>
          <w:szCs w:val="22"/>
        </w:rPr>
        <w:t>2c.4 Command-Driven (Reactive) vs. Purpose-Driven (Proactive/Distributed) Leadership</w:t>
      </w:r>
    </w:p>
    <w:p w14:paraId="02E77FB5" w14:textId="77777777" w:rsidR="008C5871" w:rsidRPr="00A90086" w:rsidRDefault="008C5871" w:rsidP="008C5871">
      <w:pPr>
        <w:numPr>
          <w:ilvl w:val="1"/>
          <w:numId w:val="33"/>
        </w:numPr>
        <w:rPr>
          <w:rFonts w:ascii="Arial" w:hAnsi="Arial" w:cs="Arial"/>
          <w:sz w:val="22"/>
          <w:szCs w:val="22"/>
        </w:rPr>
      </w:pPr>
      <w:r w:rsidRPr="00A90086">
        <w:rPr>
          <w:rFonts w:ascii="Arial" w:hAnsi="Arial" w:cs="Arial"/>
          <w:sz w:val="22"/>
          <w:szCs w:val="22"/>
        </w:rPr>
        <w:lastRenderedPageBreak/>
        <w:t>2d. Improvement and Lessons Learned (900 Words)</w:t>
      </w:r>
    </w:p>
    <w:p w14:paraId="061B01B3" w14:textId="77777777" w:rsidR="008C5871" w:rsidRPr="00A90086" w:rsidRDefault="008C5871" w:rsidP="008C5871">
      <w:pPr>
        <w:numPr>
          <w:ilvl w:val="2"/>
          <w:numId w:val="33"/>
        </w:numPr>
        <w:rPr>
          <w:rFonts w:ascii="Arial" w:hAnsi="Arial" w:cs="Arial"/>
          <w:sz w:val="22"/>
          <w:szCs w:val="22"/>
        </w:rPr>
      </w:pPr>
      <w:r w:rsidRPr="00A90086">
        <w:rPr>
          <w:rFonts w:ascii="Arial" w:hAnsi="Arial" w:cs="Arial"/>
          <w:sz w:val="22"/>
          <w:szCs w:val="22"/>
        </w:rPr>
        <w:t>2d.1 Critical Evaluation of Leadership and Governance Interactions</w:t>
      </w:r>
    </w:p>
    <w:p w14:paraId="551CD352" w14:textId="77777777" w:rsidR="008C5871" w:rsidRPr="00A90086" w:rsidRDefault="008C5871" w:rsidP="008C5871">
      <w:pPr>
        <w:numPr>
          <w:ilvl w:val="2"/>
          <w:numId w:val="33"/>
        </w:numPr>
        <w:rPr>
          <w:rFonts w:ascii="Arial" w:hAnsi="Arial" w:cs="Arial"/>
          <w:sz w:val="22"/>
          <w:szCs w:val="22"/>
        </w:rPr>
      </w:pPr>
      <w:r w:rsidRPr="00A90086">
        <w:rPr>
          <w:rFonts w:ascii="Arial" w:hAnsi="Arial" w:cs="Arial"/>
          <w:sz w:val="22"/>
          <w:szCs w:val="22"/>
        </w:rPr>
        <w:t>2d.2 Systems Dynamics &amp; Feedback Loops: Single-Loop vs. Double-Loop Learning</w:t>
      </w:r>
    </w:p>
    <w:p w14:paraId="4DE3D076" w14:textId="77777777" w:rsidR="008C5871" w:rsidRPr="00A90086" w:rsidRDefault="008C5871" w:rsidP="008C5871">
      <w:pPr>
        <w:numPr>
          <w:ilvl w:val="2"/>
          <w:numId w:val="33"/>
        </w:numPr>
        <w:rPr>
          <w:rFonts w:ascii="Arial" w:hAnsi="Arial" w:cs="Arial"/>
          <w:sz w:val="22"/>
          <w:szCs w:val="22"/>
        </w:rPr>
      </w:pPr>
      <w:r w:rsidRPr="00A90086">
        <w:rPr>
          <w:rFonts w:ascii="Arial" w:hAnsi="Arial" w:cs="Arial"/>
          <w:sz w:val="22"/>
          <w:szCs w:val="22"/>
        </w:rPr>
        <w:t>2d.3 Missed Opportunities and Evidence-Based Solutions (Barcode ID, WHO Time-Out)</w:t>
      </w:r>
    </w:p>
    <w:p w14:paraId="37C12E10" w14:textId="77777777" w:rsidR="008C5871" w:rsidRPr="00A90086" w:rsidRDefault="008C5871" w:rsidP="008C5871">
      <w:pPr>
        <w:numPr>
          <w:ilvl w:val="2"/>
          <w:numId w:val="33"/>
        </w:numPr>
        <w:rPr>
          <w:rFonts w:ascii="Arial" w:hAnsi="Arial" w:cs="Arial"/>
          <w:sz w:val="22"/>
          <w:szCs w:val="22"/>
        </w:rPr>
      </w:pPr>
      <w:r w:rsidRPr="00A90086">
        <w:rPr>
          <w:rFonts w:ascii="Arial" w:hAnsi="Arial" w:cs="Arial"/>
          <w:sz w:val="22"/>
          <w:szCs w:val="22"/>
        </w:rPr>
        <w:t>2d.4 Generalizable Lessons for Global Healthcare Organisations (Just Culture, CRM)</w:t>
      </w:r>
    </w:p>
    <w:p w14:paraId="0910E492" w14:textId="77777777" w:rsidR="008C5871" w:rsidRPr="00A90086" w:rsidRDefault="008C5871" w:rsidP="008C5871">
      <w:pPr>
        <w:numPr>
          <w:ilvl w:val="0"/>
          <w:numId w:val="34"/>
        </w:numPr>
        <w:rPr>
          <w:rFonts w:ascii="Arial" w:hAnsi="Arial" w:cs="Arial"/>
          <w:sz w:val="22"/>
          <w:szCs w:val="22"/>
        </w:rPr>
      </w:pPr>
      <w:r w:rsidRPr="00A90086">
        <w:rPr>
          <w:rFonts w:ascii="Arial" w:hAnsi="Arial" w:cs="Arial"/>
          <w:sz w:val="22"/>
          <w:szCs w:val="22"/>
        </w:rPr>
        <w:t>3. RECOMMENDATIONS (600 Words)</w:t>
      </w:r>
    </w:p>
    <w:p w14:paraId="681D76D3" w14:textId="77777777" w:rsidR="008C5871" w:rsidRPr="00A90086" w:rsidRDefault="008C5871" w:rsidP="008C5871">
      <w:pPr>
        <w:numPr>
          <w:ilvl w:val="1"/>
          <w:numId w:val="34"/>
        </w:numPr>
        <w:rPr>
          <w:rFonts w:ascii="Arial" w:hAnsi="Arial" w:cs="Arial"/>
          <w:sz w:val="22"/>
          <w:szCs w:val="22"/>
        </w:rPr>
      </w:pPr>
      <w:r w:rsidRPr="00A90086">
        <w:rPr>
          <w:rFonts w:ascii="Arial" w:hAnsi="Arial" w:cs="Arial"/>
          <w:sz w:val="22"/>
          <w:szCs w:val="22"/>
        </w:rPr>
        <w:t>3.1 Leadership &amp; Governance Restructuring: Transitioning to Just Culture</w:t>
      </w:r>
    </w:p>
    <w:p w14:paraId="4D6468EC" w14:textId="77777777" w:rsidR="008C5871" w:rsidRPr="00A90086" w:rsidRDefault="008C5871" w:rsidP="008C5871">
      <w:pPr>
        <w:numPr>
          <w:ilvl w:val="1"/>
          <w:numId w:val="34"/>
        </w:numPr>
        <w:rPr>
          <w:rFonts w:ascii="Arial" w:hAnsi="Arial" w:cs="Arial"/>
          <w:sz w:val="22"/>
          <w:szCs w:val="22"/>
        </w:rPr>
      </w:pPr>
      <w:r w:rsidRPr="00A90086">
        <w:rPr>
          <w:rFonts w:ascii="Arial" w:hAnsi="Arial" w:cs="Arial"/>
          <w:sz w:val="22"/>
          <w:szCs w:val="22"/>
        </w:rPr>
        <w:t>3.2 Mandatory Clinical Controls: Barcode Wristbands &amp; WHO Checklist Forcing Functions</w:t>
      </w:r>
    </w:p>
    <w:p w14:paraId="201A11A2" w14:textId="77777777" w:rsidR="008C5871" w:rsidRPr="00A90086" w:rsidRDefault="008C5871" w:rsidP="008C5871">
      <w:pPr>
        <w:numPr>
          <w:ilvl w:val="1"/>
          <w:numId w:val="34"/>
        </w:numPr>
        <w:rPr>
          <w:rFonts w:ascii="Arial" w:hAnsi="Arial" w:cs="Arial"/>
          <w:sz w:val="22"/>
          <w:szCs w:val="22"/>
        </w:rPr>
      </w:pPr>
      <w:r w:rsidRPr="00A90086">
        <w:rPr>
          <w:rFonts w:ascii="Arial" w:hAnsi="Arial" w:cs="Arial"/>
          <w:sz w:val="22"/>
          <w:szCs w:val="22"/>
        </w:rPr>
        <w:t>3.3 Workflow &amp; Logistics Redesign: Waiting Lounge Queue Systems</w:t>
      </w:r>
    </w:p>
    <w:p w14:paraId="23233CE9" w14:textId="77777777" w:rsidR="008C5871" w:rsidRPr="00A90086" w:rsidRDefault="008C5871" w:rsidP="008C5871">
      <w:pPr>
        <w:numPr>
          <w:ilvl w:val="1"/>
          <w:numId w:val="34"/>
        </w:numPr>
        <w:rPr>
          <w:rFonts w:ascii="Arial" w:hAnsi="Arial" w:cs="Arial"/>
          <w:sz w:val="22"/>
          <w:szCs w:val="22"/>
        </w:rPr>
      </w:pPr>
      <w:r w:rsidRPr="00A90086">
        <w:rPr>
          <w:rFonts w:ascii="Arial" w:hAnsi="Arial" w:cs="Arial"/>
          <w:sz w:val="22"/>
          <w:szCs w:val="22"/>
        </w:rPr>
        <w:t>3.4 Interdisciplinary Crew Resource Management (CRM) Team Training</w:t>
      </w:r>
    </w:p>
    <w:p w14:paraId="19E46DF2" w14:textId="77777777" w:rsidR="008C5871" w:rsidRPr="00A90086" w:rsidRDefault="008C5871" w:rsidP="008C5871">
      <w:pPr>
        <w:numPr>
          <w:ilvl w:val="1"/>
          <w:numId w:val="34"/>
        </w:numPr>
        <w:rPr>
          <w:rFonts w:ascii="Arial" w:hAnsi="Arial" w:cs="Arial"/>
          <w:sz w:val="22"/>
          <w:szCs w:val="22"/>
        </w:rPr>
      </w:pPr>
      <w:r w:rsidRPr="00A90086">
        <w:rPr>
          <w:rFonts w:ascii="Arial" w:hAnsi="Arial" w:cs="Arial"/>
          <w:sz w:val="22"/>
          <w:szCs w:val="22"/>
        </w:rPr>
        <w:t>3.5 Structured Implementation Roadmap &amp; Phased Timeline Table</w:t>
      </w:r>
    </w:p>
    <w:p w14:paraId="6B5A9256" w14:textId="77777777" w:rsidR="008C5871" w:rsidRPr="00A90086" w:rsidRDefault="008C5871" w:rsidP="008C5871">
      <w:pPr>
        <w:numPr>
          <w:ilvl w:val="0"/>
          <w:numId w:val="35"/>
        </w:numPr>
        <w:rPr>
          <w:rFonts w:ascii="Arial" w:hAnsi="Arial" w:cs="Arial"/>
          <w:sz w:val="22"/>
          <w:szCs w:val="22"/>
        </w:rPr>
      </w:pPr>
      <w:r w:rsidRPr="00A90086">
        <w:rPr>
          <w:rFonts w:ascii="Arial" w:hAnsi="Arial" w:cs="Arial"/>
          <w:sz w:val="22"/>
          <w:szCs w:val="22"/>
        </w:rPr>
        <w:t>4. CONCLUSION (300 Words)</w:t>
      </w:r>
    </w:p>
    <w:p w14:paraId="0CACDAA4" w14:textId="77777777" w:rsidR="008C5871" w:rsidRPr="00A90086" w:rsidRDefault="008C5871" w:rsidP="008C5871">
      <w:pPr>
        <w:numPr>
          <w:ilvl w:val="1"/>
          <w:numId w:val="35"/>
        </w:numPr>
        <w:rPr>
          <w:rFonts w:ascii="Arial" w:hAnsi="Arial" w:cs="Arial"/>
          <w:sz w:val="22"/>
          <w:szCs w:val="22"/>
        </w:rPr>
      </w:pPr>
      <w:r w:rsidRPr="00A90086">
        <w:rPr>
          <w:rFonts w:ascii="Arial" w:hAnsi="Arial" w:cs="Arial"/>
          <w:sz w:val="22"/>
          <w:szCs w:val="22"/>
        </w:rPr>
        <w:t>4.1 Synthesis of Main Findings and Systemic Failure Drivers</w:t>
      </w:r>
    </w:p>
    <w:p w14:paraId="5E4C808C" w14:textId="77777777" w:rsidR="008C5871" w:rsidRPr="00A90086" w:rsidRDefault="008C5871" w:rsidP="008C5871">
      <w:pPr>
        <w:numPr>
          <w:ilvl w:val="1"/>
          <w:numId w:val="35"/>
        </w:numPr>
        <w:rPr>
          <w:rFonts w:ascii="Arial" w:hAnsi="Arial" w:cs="Arial"/>
          <w:sz w:val="22"/>
          <w:szCs w:val="22"/>
        </w:rPr>
      </w:pPr>
      <w:r w:rsidRPr="00A90086">
        <w:rPr>
          <w:rFonts w:ascii="Arial" w:hAnsi="Arial" w:cs="Arial"/>
          <w:sz w:val="22"/>
          <w:szCs w:val="22"/>
        </w:rPr>
        <w:t>4.2 The Essential Role of Leadership, Systems Thinking, and Governance in Driving Safety</w:t>
      </w:r>
    </w:p>
    <w:p w14:paraId="37EC52D3" w14:textId="77777777" w:rsidR="008C5871" w:rsidRPr="00A90086" w:rsidRDefault="008C5871" w:rsidP="008C5871">
      <w:pPr>
        <w:numPr>
          <w:ilvl w:val="1"/>
          <w:numId w:val="35"/>
        </w:numPr>
        <w:rPr>
          <w:rFonts w:ascii="Arial" w:hAnsi="Arial" w:cs="Arial"/>
          <w:sz w:val="22"/>
          <w:szCs w:val="22"/>
        </w:rPr>
      </w:pPr>
      <w:r w:rsidRPr="00A90086">
        <w:rPr>
          <w:rFonts w:ascii="Arial" w:hAnsi="Arial" w:cs="Arial"/>
          <w:sz w:val="22"/>
          <w:szCs w:val="22"/>
        </w:rPr>
        <w:t>4.3 Final Remarks on Organizational Resilience and Continuous Improvement</w:t>
      </w:r>
    </w:p>
    <w:p w14:paraId="00324BF0" w14:textId="77777777" w:rsidR="008C5871" w:rsidRPr="00A90086" w:rsidRDefault="008C5871" w:rsidP="008C5871">
      <w:pPr>
        <w:numPr>
          <w:ilvl w:val="0"/>
          <w:numId w:val="36"/>
        </w:numPr>
        <w:rPr>
          <w:rFonts w:ascii="Arial" w:hAnsi="Arial" w:cs="Arial"/>
          <w:sz w:val="22"/>
          <w:szCs w:val="22"/>
        </w:rPr>
      </w:pPr>
      <w:r w:rsidRPr="00A90086">
        <w:rPr>
          <w:rFonts w:ascii="Arial" w:hAnsi="Arial" w:cs="Arial"/>
          <w:sz w:val="22"/>
          <w:szCs w:val="22"/>
        </w:rPr>
        <w:t>5. REFERENCES</w:t>
      </w:r>
    </w:p>
    <w:p w14:paraId="2497DD27" w14:textId="77777777" w:rsidR="008C5871" w:rsidRPr="00A90086" w:rsidRDefault="008C5871" w:rsidP="008C5871">
      <w:pPr>
        <w:numPr>
          <w:ilvl w:val="1"/>
          <w:numId w:val="36"/>
        </w:numPr>
        <w:rPr>
          <w:rFonts w:ascii="Arial" w:hAnsi="Arial" w:cs="Arial"/>
          <w:sz w:val="22"/>
          <w:szCs w:val="22"/>
        </w:rPr>
      </w:pPr>
      <w:r w:rsidRPr="00A90086">
        <w:rPr>
          <w:rFonts w:ascii="Arial" w:hAnsi="Arial" w:cs="Arial"/>
          <w:sz w:val="22"/>
          <w:szCs w:val="22"/>
        </w:rPr>
        <w:t>Full Harvard-Style Reference List (40+ Academic Sources)</w:t>
      </w:r>
    </w:p>
    <w:p w14:paraId="000AB5CF" w14:textId="77777777" w:rsidR="008F110F" w:rsidRPr="00A90086" w:rsidRDefault="008F110F" w:rsidP="001E1258">
      <w:pPr>
        <w:rPr>
          <w:rFonts w:ascii="Arial" w:hAnsi="Arial" w:cs="Arial"/>
          <w:b/>
          <w:bCs/>
        </w:rPr>
      </w:pPr>
    </w:p>
    <w:p w14:paraId="6FE0B05C" w14:textId="77777777" w:rsidR="008F110F" w:rsidRPr="00A90086" w:rsidRDefault="008F110F" w:rsidP="001E1258">
      <w:pPr>
        <w:rPr>
          <w:rFonts w:ascii="Arial" w:hAnsi="Arial" w:cs="Arial"/>
          <w:b/>
          <w:bCs/>
        </w:rPr>
      </w:pPr>
    </w:p>
    <w:p w14:paraId="73080F39" w14:textId="77777777" w:rsidR="008F110F" w:rsidRPr="00A90086" w:rsidRDefault="008F110F" w:rsidP="001E1258">
      <w:pPr>
        <w:rPr>
          <w:rFonts w:ascii="Arial" w:hAnsi="Arial" w:cs="Arial"/>
          <w:b/>
          <w:bCs/>
        </w:rPr>
      </w:pPr>
    </w:p>
    <w:p w14:paraId="17536316" w14:textId="77777777" w:rsidR="008F110F" w:rsidRPr="00A90086" w:rsidRDefault="008F110F" w:rsidP="001E1258">
      <w:pPr>
        <w:rPr>
          <w:rFonts w:ascii="Arial" w:hAnsi="Arial" w:cs="Arial"/>
          <w:b/>
          <w:bCs/>
        </w:rPr>
      </w:pPr>
    </w:p>
    <w:p w14:paraId="0D104E81" w14:textId="77777777" w:rsidR="008F110F" w:rsidRPr="00A90086" w:rsidRDefault="008F110F" w:rsidP="001E1258">
      <w:pPr>
        <w:rPr>
          <w:rFonts w:ascii="Arial" w:hAnsi="Arial" w:cs="Arial"/>
          <w:b/>
          <w:bCs/>
        </w:rPr>
      </w:pPr>
    </w:p>
    <w:p w14:paraId="3272D6BF" w14:textId="77777777" w:rsidR="008F110F" w:rsidRPr="00A90086" w:rsidRDefault="008F110F" w:rsidP="001E1258">
      <w:pPr>
        <w:rPr>
          <w:rFonts w:ascii="Arial" w:hAnsi="Arial" w:cs="Arial"/>
          <w:b/>
          <w:bCs/>
        </w:rPr>
      </w:pPr>
    </w:p>
    <w:p w14:paraId="2E3C09A4" w14:textId="77777777" w:rsidR="008F110F" w:rsidRPr="00A90086" w:rsidRDefault="008F110F" w:rsidP="001E1258">
      <w:pPr>
        <w:rPr>
          <w:rFonts w:ascii="Arial" w:hAnsi="Arial" w:cs="Arial"/>
          <w:b/>
          <w:bCs/>
        </w:rPr>
      </w:pPr>
    </w:p>
    <w:p w14:paraId="5BF38CD2" w14:textId="77777777" w:rsidR="008F110F" w:rsidRPr="00A90086" w:rsidRDefault="008F110F" w:rsidP="001E1258">
      <w:pPr>
        <w:rPr>
          <w:rFonts w:ascii="Arial" w:hAnsi="Arial" w:cs="Arial"/>
          <w:b/>
          <w:bCs/>
        </w:rPr>
      </w:pPr>
    </w:p>
    <w:p w14:paraId="233CA6B4" w14:textId="61885922" w:rsidR="008F110F" w:rsidRPr="00A90086" w:rsidRDefault="008F110F" w:rsidP="001E1258">
      <w:pPr>
        <w:rPr>
          <w:rFonts w:ascii="Arial" w:hAnsi="Arial" w:cs="Arial"/>
          <w:b/>
          <w:bCs/>
        </w:rPr>
      </w:pPr>
    </w:p>
    <w:p w14:paraId="064C09CA" w14:textId="330007EC" w:rsidR="001E1258" w:rsidRPr="00A90086" w:rsidRDefault="001E1258" w:rsidP="00366F5B">
      <w:pPr>
        <w:spacing w:line="276" w:lineRule="auto"/>
        <w:jc w:val="both"/>
        <w:rPr>
          <w:rFonts w:ascii="Arial" w:hAnsi="Arial" w:cs="Arial"/>
          <w:b/>
          <w:bCs/>
        </w:rPr>
      </w:pPr>
      <w:r w:rsidRPr="00A90086">
        <w:rPr>
          <w:rFonts w:ascii="Arial" w:hAnsi="Arial" w:cs="Arial"/>
          <w:b/>
          <w:bCs/>
        </w:rPr>
        <w:lastRenderedPageBreak/>
        <w:t>CASE STUDY ANALYSIS REPORT</w:t>
      </w:r>
    </w:p>
    <w:p w14:paraId="2E204700" w14:textId="62710B56" w:rsidR="001E1258" w:rsidRPr="00A90086" w:rsidRDefault="001E1258" w:rsidP="00366F5B">
      <w:pPr>
        <w:spacing w:line="276" w:lineRule="auto"/>
        <w:jc w:val="both"/>
        <w:rPr>
          <w:rFonts w:ascii="Arial" w:hAnsi="Arial" w:cs="Arial"/>
          <w:b/>
          <w:bCs/>
        </w:rPr>
      </w:pPr>
      <w:r w:rsidRPr="00A90086">
        <w:rPr>
          <w:rFonts w:ascii="Arial" w:hAnsi="Arial" w:cs="Arial"/>
          <w:b/>
          <w:bCs/>
        </w:rPr>
        <w:t xml:space="preserve">SECTION 1: INTRODUCTION </w:t>
      </w:r>
    </w:p>
    <w:p w14:paraId="2750A2D1" w14:textId="77777777" w:rsidR="001E1258" w:rsidRPr="00A90086" w:rsidRDefault="001E1258" w:rsidP="00366F5B">
      <w:pPr>
        <w:spacing w:line="276" w:lineRule="auto"/>
        <w:jc w:val="both"/>
        <w:rPr>
          <w:rFonts w:ascii="Arial" w:hAnsi="Arial" w:cs="Arial"/>
          <w:b/>
          <w:bCs/>
        </w:rPr>
      </w:pPr>
      <w:r w:rsidRPr="00A90086">
        <w:rPr>
          <w:rFonts w:ascii="Arial" w:hAnsi="Arial" w:cs="Arial"/>
          <w:b/>
          <w:bCs/>
        </w:rPr>
        <w:t>1.1 Background and Purpose of the Chosen Case Study</w:t>
      </w:r>
    </w:p>
    <w:p w14:paraId="5B830145" w14:textId="77777777" w:rsidR="001E1258" w:rsidRPr="00A90086" w:rsidRDefault="001E1258" w:rsidP="00366F5B">
      <w:pPr>
        <w:spacing w:line="276" w:lineRule="auto"/>
        <w:jc w:val="both"/>
        <w:rPr>
          <w:rFonts w:ascii="Arial" w:hAnsi="Arial" w:cs="Arial"/>
        </w:rPr>
      </w:pPr>
      <w:r w:rsidRPr="00A90086">
        <w:rPr>
          <w:rFonts w:ascii="Arial" w:hAnsi="Arial" w:cs="Arial"/>
        </w:rPr>
        <w:t xml:space="preserve">Healthcare delivery is an intrinsically complex, high-risk system operating under conditions of perpetual pressure, resource constraints, and intense cognitive demand (Reason, 2016). On 12 April 2025, a critical patient safety incident occurred at Kota Medical College Hospital in Rajasthan, India. An elderly man, who was attending the facility merely to accompany his son undergoing surgery, was mistakenly escorted into an operating theatre, administered general/regional anaesthesia, and subjected to a surgical incision intended for </w:t>
      </w:r>
      <w:proofErr w:type="gramStart"/>
      <w:r w:rsidRPr="00A90086">
        <w:rPr>
          <w:rFonts w:ascii="Arial" w:hAnsi="Arial" w:cs="Arial"/>
        </w:rPr>
        <w:t>a</w:t>
      </w:r>
      <w:proofErr w:type="gramEnd"/>
      <w:r w:rsidRPr="00A90086">
        <w:rPr>
          <w:rFonts w:ascii="Arial" w:hAnsi="Arial" w:cs="Arial"/>
        </w:rPr>
        <w:t xml:space="preserve"> arteriovenous (AV) dialysis fistula procedure (South China Morning Post, 2025). The catastrophic mix-up occurred when hospital porters called out a name phonetically similar to the intended patient's name; the elderly bystander raised his hand, and hospital staff transferred him to the operating suite without executing standardized patient identification verification, wristband checks, or pre-operative verification protocols (SCMP, 2025). The error was uncovered only when the patient's son emerged from his own surgical procedure and found his father missing from the waiting lounge.</w:t>
      </w:r>
    </w:p>
    <w:p w14:paraId="4BD489A2" w14:textId="77777777" w:rsidR="001E1258" w:rsidRPr="00A90086" w:rsidRDefault="001E1258" w:rsidP="00366F5B">
      <w:pPr>
        <w:spacing w:line="276" w:lineRule="auto"/>
        <w:jc w:val="both"/>
        <w:rPr>
          <w:rFonts w:ascii="Arial" w:hAnsi="Arial" w:cs="Arial"/>
        </w:rPr>
      </w:pPr>
      <w:r w:rsidRPr="00A90086">
        <w:rPr>
          <w:rFonts w:ascii="Arial" w:hAnsi="Arial" w:cs="Arial"/>
        </w:rPr>
        <w:t>This case study provides a compelling lens through which to examine systemic organizational vulnerabilities, the breakdown of clinical governance, and the profound influence of organizational leadership styles on patient safety outcomes. The purpose of this report is to conduct a rigorous, Level 7 academic critique of the structural, cultural, and leadership determinants that permitted this wrong-patient surgical event—classified globally as a "Never Event" (NHS England, 2021; World Health Organization [WHO], 2023).</w:t>
      </w:r>
    </w:p>
    <w:p w14:paraId="33B0F653" w14:textId="77777777" w:rsidR="001E1258" w:rsidRPr="00A90086" w:rsidRDefault="001E1258" w:rsidP="00366F5B">
      <w:pPr>
        <w:spacing w:line="276" w:lineRule="auto"/>
        <w:jc w:val="both"/>
        <w:rPr>
          <w:rFonts w:ascii="Arial" w:hAnsi="Arial" w:cs="Arial"/>
          <w:b/>
          <w:bCs/>
        </w:rPr>
      </w:pPr>
      <w:r w:rsidRPr="00A90086">
        <w:rPr>
          <w:rFonts w:ascii="Arial" w:hAnsi="Arial" w:cs="Arial"/>
          <w:b/>
          <w:bCs/>
        </w:rPr>
        <w:t>1.2 Defining Leadership in Health and Social Care</w:t>
      </w:r>
    </w:p>
    <w:p w14:paraId="26E6AC44" w14:textId="77777777" w:rsidR="001E1258" w:rsidRPr="00A90086" w:rsidRDefault="001E1258" w:rsidP="00366F5B">
      <w:pPr>
        <w:spacing w:line="276" w:lineRule="auto"/>
        <w:jc w:val="both"/>
        <w:rPr>
          <w:rFonts w:ascii="Arial" w:hAnsi="Arial" w:cs="Arial"/>
        </w:rPr>
      </w:pPr>
      <w:r w:rsidRPr="00A90086">
        <w:rPr>
          <w:rFonts w:ascii="Arial" w:hAnsi="Arial" w:cs="Arial"/>
        </w:rPr>
        <w:t>Leadership in health and social care is fundamentally defined as the dynamic, relational process of influencing, inspiring, and aligning individuals and teams to achieve shared clinical, operational, and ethical goals within complex adaptive healthcare systems (Northouse, 2021; West et al., 2020). Unlike administrative management, which focuses on maintaining order, budgeting, and algorithmic compliance, leadership mobilizes human effort, fosters psychological safety, cultivates organizational culture, and establishes clear accountability frameworks (Yukl, 2013; Edmondson, 2019).</w:t>
      </w:r>
    </w:p>
    <w:p w14:paraId="7A6B6592" w14:textId="77777777" w:rsidR="001E1258" w:rsidRPr="00A90086" w:rsidRDefault="001E1258" w:rsidP="00366F5B">
      <w:pPr>
        <w:spacing w:line="276" w:lineRule="auto"/>
        <w:jc w:val="both"/>
        <w:rPr>
          <w:rFonts w:ascii="Arial" w:hAnsi="Arial" w:cs="Arial"/>
          <w:b/>
          <w:bCs/>
        </w:rPr>
      </w:pPr>
      <w:r w:rsidRPr="00A90086">
        <w:rPr>
          <w:rFonts w:ascii="Arial" w:hAnsi="Arial" w:cs="Arial"/>
          <w:b/>
          <w:bCs/>
        </w:rPr>
        <w:t>1.3 Centralisation, Decentralisation, and Core Leadership Theories</w:t>
      </w:r>
    </w:p>
    <w:p w14:paraId="05248D13" w14:textId="77777777" w:rsidR="001E1258" w:rsidRPr="00A90086" w:rsidRDefault="001E1258" w:rsidP="00366F5B">
      <w:pPr>
        <w:spacing w:line="276" w:lineRule="auto"/>
        <w:jc w:val="both"/>
        <w:rPr>
          <w:rFonts w:ascii="Arial" w:hAnsi="Arial" w:cs="Arial"/>
        </w:rPr>
      </w:pPr>
      <w:r w:rsidRPr="00A90086">
        <w:rPr>
          <w:rFonts w:ascii="Arial" w:hAnsi="Arial" w:cs="Arial"/>
        </w:rPr>
        <w:t xml:space="preserve">Health system organization exists along a continuum between centralisation—where decision-making authority, governance, and policy control are concentrated within a central executive hierarchy—and decentralisation, where operational autonomy and clinical decision-making are dispersed to frontline multidisciplinary units (Mintzberg, 1983; Peckham et al., 2018). Furthermore, leadership effectiveness is mediated by established theoretical models, including transformational leadership (inspiring vision </w:t>
      </w:r>
      <w:r w:rsidRPr="00A90086">
        <w:rPr>
          <w:rFonts w:ascii="Arial" w:hAnsi="Arial" w:cs="Arial"/>
        </w:rPr>
        <w:lastRenderedPageBreak/>
        <w:t>and intellectual stimulation), transactional leadership (contingent reward and management-by-exception), situational leadership (adapting leadership behaviours to task maturity), and distributed/servant leadership (empowering frontline personnel and prioritizing collective care delivery) (Bass and Avolio, 1994; Hersey and Blanchard, 1988; Bolden, 2011).</w:t>
      </w:r>
    </w:p>
    <w:p w14:paraId="6644CF44" w14:textId="77777777" w:rsidR="001E1258" w:rsidRPr="00A90086" w:rsidRDefault="001E1258" w:rsidP="00366F5B">
      <w:pPr>
        <w:spacing w:line="276" w:lineRule="auto"/>
        <w:jc w:val="both"/>
        <w:rPr>
          <w:rFonts w:ascii="Arial" w:hAnsi="Arial" w:cs="Arial"/>
          <w:b/>
          <w:bCs/>
        </w:rPr>
      </w:pPr>
      <w:r w:rsidRPr="00A90086">
        <w:rPr>
          <w:rFonts w:ascii="Arial" w:hAnsi="Arial" w:cs="Arial"/>
          <w:b/>
          <w:bCs/>
        </w:rPr>
        <w:t>1.4 Strategic Importance of Leadership Selection and Report Outline</w:t>
      </w:r>
    </w:p>
    <w:p w14:paraId="78D05AD6" w14:textId="77777777" w:rsidR="001E1258" w:rsidRPr="00A90086" w:rsidRDefault="001E1258" w:rsidP="00366F5B">
      <w:pPr>
        <w:spacing w:line="276" w:lineRule="auto"/>
        <w:jc w:val="both"/>
        <w:rPr>
          <w:rFonts w:ascii="Arial" w:hAnsi="Arial" w:cs="Arial"/>
        </w:rPr>
      </w:pPr>
      <w:r w:rsidRPr="00A90086">
        <w:rPr>
          <w:rFonts w:ascii="Arial" w:hAnsi="Arial" w:cs="Arial"/>
        </w:rPr>
        <w:t>Selecting the appropriate leadership style is paramount in health and social care; mismatched or authoritarian leadership breeds transactional compliance, silos, fear, and catastrophic communication breakdowns during crisis and routine care delivery alike (Mannion and Davies, 2018). This report systematically addresses:</w:t>
      </w:r>
    </w:p>
    <w:p w14:paraId="6C39BC99" w14:textId="77777777" w:rsidR="001E1258" w:rsidRPr="00A90086" w:rsidRDefault="001E1258" w:rsidP="00366F5B">
      <w:pPr>
        <w:numPr>
          <w:ilvl w:val="0"/>
          <w:numId w:val="15"/>
        </w:numPr>
        <w:spacing w:line="276" w:lineRule="auto"/>
        <w:jc w:val="both"/>
        <w:rPr>
          <w:rFonts w:ascii="Arial" w:hAnsi="Arial" w:cs="Arial"/>
        </w:rPr>
      </w:pPr>
      <w:r w:rsidRPr="00A90086">
        <w:rPr>
          <w:rFonts w:ascii="Arial" w:hAnsi="Arial" w:cs="Arial"/>
        </w:rPr>
        <w:t xml:space="preserve">Systemic problem identification, global/national statistical context, and a </w:t>
      </w:r>
      <w:proofErr w:type="spellStart"/>
      <w:r w:rsidRPr="00A90086">
        <w:rPr>
          <w:rFonts w:ascii="Arial" w:hAnsi="Arial" w:cs="Arial"/>
        </w:rPr>
        <w:t>Checkland</w:t>
      </w:r>
      <w:proofErr w:type="spellEnd"/>
      <w:r w:rsidRPr="00A90086">
        <w:rPr>
          <w:rFonts w:ascii="Arial" w:hAnsi="Arial" w:cs="Arial"/>
        </w:rPr>
        <w:t xml:space="preserve"> Soft Systems Rich Picture model;</w:t>
      </w:r>
    </w:p>
    <w:p w14:paraId="7E053955" w14:textId="77777777" w:rsidR="001E1258" w:rsidRPr="00A90086" w:rsidRDefault="001E1258" w:rsidP="00366F5B">
      <w:pPr>
        <w:numPr>
          <w:ilvl w:val="0"/>
          <w:numId w:val="15"/>
        </w:numPr>
        <w:spacing w:line="276" w:lineRule="auto"/>
        <w:jc w:val="both"/>
        <w:rPr>
          <w:rFonts w:ascii="Arial" w:hAnsi="Arial" w:cs="Arial"/>
        </w:rPr>
      </w:pPr>
      <w:r w:rsidRPr="00A90086">
        <w:rPr>
          <w:rFonts w:ascii="Arial" w:hAnsi="Arial" w:cs="Arial"/>
        </w:rPr>
        <w:t>Comparative critique of centralisation versus decentralisation dynamics;</w:t>
      </w:r>
    </w:p>
    <w:p w14:paraId="2975668B" w14:textId="77777777" w:rsidR="001E1258" w:rsidRPr="00A90086" w:rsidRDefault="001E1258" w:rsidP="00366F5B">
      <w:pPr>
        <w:numPr>
          <w:ilvl w:val="0"/>
          <w:numId w:val="15"/>
        </w:numPr>
        <w:spacing w:line="276" w:lineRule="auto"/>
        <w:jc w:val="both"/>
        <w:rPr>
          <w:rFonts w:ascii="Arial" w:hAnsi="Arial" w:cs="Arial"/>
        </w:rPr>
      </w:pPr>
      <w:r w:rsidRPr="00A90086">
        <w:rPr>
          <w:rFonts w:ascii="Arial" w:hAnsi="Arial" w:cs="Arial"/>
        </w:rPr>
        <w:t xml:space="preserve">Theoretical critique of leadership styles and their </w:t>
      </w:r>
      <w:proofErr w:type="spellStart"/>
      <w:r w:rsidRPr="00A90086">
        <w:rPr>
          <w:rFonts w:ascii="Arial" w:hAnsi="Arial" w:cs="Arial"/>
        </w:rPr>
        <w:t>behavioral</w:t>
      </w:r>
      <w:proofErr w:type="spellEnd"/>
      <w:r w:rsidRPr="00A90086">
        <w:rPr>
          <w:rFonts w:ascii="Arial" w:hAnsi="Arial" w:cs="Arial"/>
        </w:rPr>
        <w:t xml:space="preserve"> manifestations;</w:t>
      </w:r>
    </w:p>
    <w:p w14:paraId="17EBB54B" w14:textId="77777777" w:rsidR="001E1258" w:rsidRPr="00A90086" w:rsidRDefault="001E1258" w:rsidP="00366F5B">
      <w:pPr>
        <w:numPr>
          <w:ilvl w:val="0"/>
          <w:numId w:val="15"/>
        </w:numPr>
        <w:spacing w:line="276" w:lineRule="auto"/>
        <w:jc w:val="both"/>
        <w:rPr>
          <w:rFonts w:ascii="Arial" w:hAnsi="Arial" w:cs="Arial"/>
        </w:rPr>
      </w:pPr>
      <w:r w:rsidRPr="00A90086">
        <w:rPr>
          <w:rFonts w:ascii="Arial" w:hAnsi="Arial" w:cs="Arial"/>
        </w:rPr>
        <w:t>Evidence-based lessons learned and systemic improvement strategies;</w:t>
      </w:r>
    </w:p>
    <w:p w14:paraId="4896CD12" w14:textId="77777777" w:rsidR="001E1258" w:rsidRPr="00A90086" w:rsidRDefault="001E1258" w:rsidP="00366F5B">
      <w:pPr>
        <w:numPr>
          <w:ilvl w:val="0"/>
          <w:numId w:val="15"/>
        </w:numPr>
        <w:spacing w:line="276" w:lineRule="auto"/>
        <w:jc w:val="both"/>
        <w:rPr>
          <w:rFonts w:ascii="Arial" w:hAnsi="Arial" w:cs="Arial"/>
        </w:rPr>
      </w:pPr>
      <w:r w:rsidRPr="00A90086">
        <w:rPr>
          <w:rFonts w:ascii="Arial" w:hAnsi="Arial" w:cs="Arial"/>
        </w:rPr>
        <w:t>Actionable, evidence-linked recommendations; and</w:t>
      </w:r>
    </w:p>
    <w:p w14:paraId="5C4608AC" w14:textId="77777777" w:rsidR="001E1258" w:rsidRPr="00A90086" w:rsidRDefault="001E1258" w:rsidP="00366F5B">
      <w:pPr>
        <w:numPr>
          <w:ilvl w:val="0"/>
          <w:numId w:val="15"/>
        </w:numPr>
        <w:spacing w:line="276" w:lineRule="auto"/>
        <w:jc w:val="both"/>
        <w:rPr>
          <w:rFonts w:ascii="Arial" w:hAnsi="Arial" w:cs="Arial"/>
        </w:rPr>
      </w:pPr>
      <w:r w:rsidRPr="00A90086">
        <w:rPr>
          <w:rFonts w:ascii="Arial" w:hAnsi="Arial" w:cs="Arial"/>
        </w:rPr>
        <w:t>A synthesis of clinical governance, systems thinking, and leadership transformation.</w:t>
      </w:r>
    </w:p>
    <w:p w14:paraId="05C7A639" w14:textId="77777777" w:rsidR="001E1258" w:rsidRPr="00A90086" w:rsidRDefault="001E1258" w:rsidP="00366F5B">
      <w:pPr>
        <w:spacing w:line="276" w:lineRule="auto"/>
        <w:jc w:val="both"/>
        <w:rPr>
          <w:rFonts w:ascii="Arial" w:hAnsi="Arial" w:cs="Arial"/>
          <w:b/>
          <w:bCs/>
        </w:rPr>
      </w:pPr>
      <w:r w:rsidRPr="00A90086">
        <w:rPr>
          <w:rFonts w:ascii="Arial" w:hAnsi="Arial" w:cs="Arial"/>
          <w:b/>
          <w:bCs/>
        </w:rPr>
        <w:t>SECTION 2: MAIN BODY AND ANALYSIS (3,715 words)</w:t>
      </w:r>
    </w:p>
    <w:p w14:paraId="57409639" w14:textId="77777777" w:rsidR="001E1258" w:rsidRPr="00A90086" w:rsidRDefault="001E1258" w:rsidP="00366F5B">
      <w:pPr>
        <w:spacing w:line="276" w:lineRule="auto"/>
        <w:jc w:val="both"/>
        <w:rPr>
          <w:rFonts w:ascii="Arial" w:hAnsi="Arial" w:cs="Arial"/>
          <w:b/>
          <w:bCs/>
        </w:rPr>
      </w:pPr>
      <w:r w:rsidRPr="00A90086">
        <w:rPr>
          <w:rFonts w:ascii="Arial" w:hAnsi="Arial" w:cs="Arial"/>
          <w:b/>
          <w:bCs/>
        </w:rPr>
        <w:t>2a. Identifying the Problem and Setting the System Context — Applying Systems Thinking and the Rich Picture (925 words)</w:t>
      </w:r>
    </w:p>
    <w:p w14:paraId="63CFE76A" w14:textId="77777777" w:rsidR="001E1258" w:rsidRPr="00A90086" w:rsidRDefault="001E1258" w:rsidP="00366F5B">
      <w:pPr>
        <w:spacing w:line="276" w:lineRule="auto"/>
        <w:jc w:val="both"/>
        <w:rPr>
          <w:rFonts w:ascii="Arial" w:hAnsi="Arial" w:cs="Arial"/>
          <w:b/>
          <w:bCs/>
        </w:rPr>
      </w:pPr>
      <w:r w:rsidRPr="00A90086">
        <w:rPr>
          <w:rFonts w:ascii="Arial" w:hAnsi="Arial" w:cs="Arial"/>
          <w:b/>
          <w:bCs/>
        </w:rPr>
        <w:t>Clinical Problem Identification and Systemic Context</w:t>
      </w:r>
    </w:p>
    <w:p w14:paraId="39EDBE20" w14:textId="77777777" w:rsidR="001E1258" w:rsidRPr="00A90086" w:rsidRDefault="001E1258" w:rsidP="00366F5B">
      <w:pPr>
        <w:spacing w:line="276" w:lineRule="auto"/>
        <w:jc w:val="both"/>
        <w:rPr>
          <w:rFonts w:ascii="Arial" w:hAnsi="Arial" w:cs="Arial"/>
        </w:rPr>
      </w:pPr>
      <w:r w:rsidRPr="00A90086">
        <w:rPr>
          <w:rFonts w:ascii="Arial" w:hAnsi="Arial" w:cs="Arial"/>
        </w:rPr>
        <w:t>The central problem in the Kota Medical College Hospital case represents a classic, multi-layered systemic failure culminating in a wrong-patient surgical procedure—a definitive breach of fundamental patient identification protocols (WHO, 2023). Wrong-site, wrong-procedure, and wrong-patient surgical incidents are defined internationally as "Never Events": serious, largely preventable patient safety incidents that should not occur if available preventative barriers are correctly implemented by healthcare providers (NHS England, 2021; Joint Commission, 2023).</w:t>
      </w:r>
    </w:p>
    <w:p w14:paraId="70A3ABB0" w14:textId="77777777" w:rsidR="001E1258" w:rsidRPr="00A90086" w:rsidRDefault="001E1258" w:rsidP="00366F5B">
      <w:pPr>
        <w:spacing w:line="276" w:lineRule="auto"/>
        <w:jc w:val="both"/>
        <w:rPr>
          <w:rFonts w:ascii="Arial" w:hAnsi="Arial" w:cs="Arial"/>
        </w:rPr>
      </w:pPr>
      <w:r w:rsidRPr="00A90086">
        <w:rPr>
          <w:rFonts w:ascii="Arial" w:hAnsi="Arial" w:cs="Arial"/>
        </w:rPr>
        <w:t>Rather than viewing this tragic incident as an isolated act of individual negligence by a porter or staff nurse, systems thinking—derived from Reason’s (2000) Swiss Cheese Model and Vincent’s (2010) Clinical Risk Framework—dictates that clinical errors occur when multiple latent system flaws (organizational processes, staffing shortages, inadequate training, poor physical environment, and absent verification technologies) align with active failures (human slips, lapses, and procedural workarounds).</w:t>
      </w:r>
    </w:p>
    <w:p w14:paraId="7CFAAC75" w14:textId="77777777" w:rsidR="00366F5B" w:rsidRPr="00A90086" w:rsidRDefault="00366F5B" w:rsidP="00ED68D9">
      <w:pPr>
        <w:rPr>
          <w:rFonts w:ascii="Arial" w:hAnsi="Arial" w:cs="Arial"/>
          <w:sz w:val="22"/>
          <w:szCs w:val="22"/>
        </w:rPr>
      </w:pPr>
    </w:p>
    <w:p w14:paraId="3BF863B8" w14:textId="72FD5D8C" w:rsidR="000B49FC" w:rsidRPr="00A90086" w:rsidRDefault="00AA2C74" w:rsidP="00ED68D9">
      <w:pPr>
        <w:rPr>
          <w:rFonts w:ascii="Arial" w:hAnsi="Arial" w:cs="Arial"/>
          <w:sz w:val="22"/>
          <w:szCs w:val="22"/>
        </w:rPr>
      </w:pPr>
      <w:r w:rsidRPr="00A90086">
        <w:rPr>
          <w:rFonts w:ascii="Arial" w:hAnsi="Arial" w:cs="Arial"/>
          <w:sz w:val="22"/>
          <w:szCs w:val="22"/>
        </w:rPr>
        <w:lastRenderedPageBreak/>
        <w:t>===============================================================</w:t>
      </w:r>
      <w:r w:rsidR="00BB6611" w:rsidRPr="00A90086">
        <w:rPr>
          <w:rFonts w:ascii="Arial" w:hAnsi="Arial" w:cs="Arial"/>
          <w:sz w:val="22"/>
          <w:szCs w:val="22"/>
        </w:rPr>
        <w:t>==</w:t>
      </w:r>
      <w:r w:rsidRPr="00A90086">
        <w:rPr>
          <w:rFonts w:ascii="Arial" w:hAnsi="Arial" w:cs="Arial"/>
          <w:sz w:val="22"/>
          <w:szCs w:val="22"/>
        </w:rPr>
        <w:br/>
        <w:t>  FIGURE 1: TEXTUAL RICH PICTURE MODEL OF PATIENT X SYSTEM FAILURES</w:t>
      </w:r>
      <w:r w:rsidRPr="00A90086">
        <w:rPr>
          <w:rFonts w:ascii="Arial" w:hAnsi="Arial" w:cs="Arial"/>
          <w:sz w:val="22"/>
          <w:szCs w:val="22"/>
        </w:rPr>
        <w:br/>
        <w:t>================================================================</w:t>
      </w:r>
      <w:r w:rsidR="00BB6611" w:rsidRPr="00A90086">
        <w:rPr>
          <w:rFonts w:ascii="Arial" w:hAnsi="Arial" w:cs="Arial"/>
          <w:sz w:val="22"/>
          <w:szCs w:val="22"/>
        </w:rPr>
        <w:t>=</w:t>
      </w:r>
      <w:r w:rsidRPr="00A90086">
        <w:rPr>
          <w:rFonts w:ascii="Arial" w:hAnsi="Arial" w:cs="Arial"/>
          <w:sz w:val="22"/>
          <w:szCs w:val="22"/>
        </w:rPr>
        <w:br/>
      </w:r>
      <w:r w:rsidR="00FC53CF" w:rsidRPr="00A90086">
        <w:rPr>
          <w:rFonts w:ascii="Arial" w:hAnsi="Arial" w:cs="Arial"/>
          <w:sz w:val="22"/>
          <w:szCs w:val="22"/>
        </w:rPr>
        <w:t>  </w:t>
      </w:r>
      <w:r w:rsidR="000B49FC" w:rsidRPr="00A90086">
        <w:rPr>
          <w:rFonts w:ascii="Arial" w:hAnsi="Arial" w:cs="Arial"/>
          <w:sz w:val="22"/>
          <w:szCs w:val="22"/>
        </w:rPr>
        <w:t xml:space="preserve">                                              </w:t>
      </w:r>
      <w:r w:rsidR="00FC53CF" w:rsidRPr="00A90086">
        <w:rPr>
          <w:rFonts w:ascii="Arial" w:hAnsi="Arial" w:cs="Arial"/>
          <w:noProof/>
          <w:sz w:val="22"/>
          <w:szCs w:val="22"/>
        </w:rPr>
        <w:drawing>
          <wp:inline distT="0" distB="0" distL="0" distR="0" wp14:anchorId="3D668551" wp14:editId="54E529CA">
            <wp:extent cx="365760" cy="165735"/>
            <wp:effectExtent l="0" t="0" r="0" b="952"/>
            <wp:docPr id="1385468289" name="Graphic 2" descr="Line arrow: Straigh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468289" name="Graphic 1385468289" descr="Line arrow: Straight with solid fill"/>
                    <pic:cNvPicPr/>
                  </pic:nvPicPr>
                  <pic:blipFill>
                    <a:blip r:embed="rId9">
                      <a:extLst>
                        <a:ext uri="{96DAC541-7B7A-43D3-8B79-37D633B846F1}">
                          <asvg:svgBlip xmlns:asvg="http://schemas.microsoft.com/office/drawing/2016/SVG/main" r:embed="rId10"/>
                        </a:ext>
                      </a:extLst>
                    </a:blip>
                    <a:stretch>
                      <a:fillRect/>
                    </a:stretch>
                  </pic:blipFill>
                  <pic:spPr>
                    <a:xfrm rot="16200000">
                      <a:off x="0" y="0"/>
                      <a:ext cx="365760" cy="165735"/>
                    </a:xfrm>
                    <a:prstGeom prst="rect">
                      <a:avLst/>
                    </a:prstGeom>
                  </pic:spPr>
                </pic:pic>
              </a:graphicData>
            </a:graphic>
          </wp:inline>
        </w:drawing>
      </w:r>
      <w:r w:rsidR="00FC53CF" w:rsidRPr="00A90086">
        <w:rPr>
          <w:rFonts w:ascii="Arial" w:hAnsi="Arial" w:cs="Arial"/>
          <w:sz w:val="22"/>
          <w:szCs w:val="22"/>
        </w:rPr>
        <w:t xml:space="preserve"> </w:t>
      </w:r>
    </w:p>
    <w:p w14:paraId="03C8019A" w14:textId="43166BED" w:rsidR="00A251F5" w:rsidRPr="00A90086" w:rsidRDefault="000B49FC" w:rsidP="00ED68D9">
      <w:pPr>
        <w:rPr>
          <w:rFonts w:ascii="Arial" w:hAnsi="Arial" w:cs="Arial"/>
          <w:sz w:val="22"/>
          <w:szCs w:val="22"/>
        </w:rPr>
      </w:pPr>
      <w:r w:rsidRPr="00A90086">
        <w:rPr>
          <w:rFonts w:ascii="Arial" w:hAnsi="Arial" w:cs="Arial"/>
          <w:sz w:val="22"/>
          <w:szCs w:val="22"/>
        </w:rPr>
        <w:t>(</w:t>
      </w:r>
      <w:r w:rsidR="00FC53CF" w:rsidRPr="00A90086">
        <w:rPr>
          <w:rFonts w:ascii="Arial" w:hAnsi="Arial" w:cs="Arial"/>
          <w:sz w:val="22"/>
          <w:szCs w:val="22"/>
        </w:rPr>
        <w:t>EXTERNAL ENVIRONMENT &amp; HEALTH SYSTEM PRESSURES)</w:t>
      </w:r>
      <w:r w:rsidR="00FC53CF" w:rsidRPr="00A90086">
        <w:rPr>
          <w:rFonts w:ascii="Arial" w:hAnsi="Arial" w:cs="Arial"/>
          <w:sz w:val="22"/>
          <w:szCs w:val="22"/>
        </w:rPr>
        <w:br/>
        <w:t>  - Acute Hospital Bed Scarcity &amp; High Emergency Department Throughput</w:t>
      </w:r>
      <w:r w:rsidR="00FC53CF" w:rsidRPr="00A90086">
        <w:rPr>
          <w:rFonts w:ascii="Arial" w:hAnsi="Arial" w:cs="Arial"/>
          <w:sz w:val="22"/>
          <w:szCs w:val="22"/>
        </w:rPr>
        <w:br/>
        <w:t>  - Procedure Backlogs &amp; Fragmented Inter-Specialty Scheduling Pipelines</w:t>
      </w:r>
      <w:r w:rsidR="00FC53CF" w:rsidRPr="00A90086">
        <w:rPr>
          <w:rFonts w:ascii="Arial" w:hAnsi="Arial" w:cs="Arial"/>
          <w:sz w:val="22"/>
          <w:szCs w:val="22"/>
        </w:rPr>
        <w:br/>
        <w:t>  - Absence of Mandated National DOAC Pause/Restart Audit Frameworks</w:t>
      </w:r>
    </w:p>
    <w:p w14:paraId="5C796370" w14:textId="252963E2" w:rsidR="000B49FC" w:rsidRPr="00A90086" w:rsidRDefault="000B49FC" w:rsidP="00ED68D9">
      <w:pPr>
        <w:rPr>
          <w:rFonts w:ascii="Arial" w:hAnsi="Arial" w:cs="Arial"/>
          <w:sz w:val="22"/>
          <w:szCs w:val="22"/>
        </w:rPr>
      </w:pPr>
      <w:r w:rsidRPr="00A90086">
        <w:rPr>
          <w:rFonts w:ascii="Arial" w:hAnsi="Arial" w:cs="Arial"/>
          <w:sz w:val="22"/>
          <w:szCs w:val="22"/>
        </w:rPr>
        <w:t xml:space="preserve">                                               </w:t>
      </w:r>
      <w:r w:rsidRPr="00A90086">
        <w:rPr>
          <w:rFonts w:ascii="Arial" w:hAnsi="Arial" w:cs="Arial"/>
          <w:noProof/>
          <w:sz w:val="22"/>
          <w:szCs w:val="22"/>
        </w:rPr>
        <w:drawing>
          <wp:inline distT="0" distB="0" distL="0" distR="0" wp14:anchorId="72B831CE" wp14:editId="1F5BA36C">
            <wp:extent cx="365760" cy="165735"/>
            <wp:effectExtent l="0" t="0" r="0" b="952"/>
            <wp:docPr id="614802104" name="Graphic 2" descr="Line arrow: Straigh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468289" name="Graphic 1385468289" descr="Line arrow: Straight with solid fill"/>
                    <pic:cNvPicPr/>
                  </pic:nvPicPr>
                  <pic:blipFill>
                    <a:blip r:embed="rId9">
                      <a:extLst>
                        <a:ext uri="{96DAC541-7B7A-43D3-8B79-37D633B846F1}">
                          <asvg:svgBlip xmlns:asvg="http://schemas.microsoft.com/office/drawing/2016/SVG/main" r:embed="rId10"/>
                        </a:ext>
                      </a:extLst>
                    </a:blip>
                    <a:stretch>
                      <a:fillRect/>
                    </a:stretch>
                  </pic:blipFill>
                  <pic:spPr>
                    <a:xfrm rot="16200000">
                      <a:off x="0" y="0"/>
                      <a:ext cx="365760" cy="165735"/>
                    </a:xfrm>
                    <a:prstGeom prst="rect">
                      <a:avLst/>
                    </a:prstGeom>
                  </pic:spPr>
                </pic:pic>
              </a:graphicData>
            </a:graphic>
          </wp:inline>
        </w:drawing>
      </w:r>
    </w:p>
    <w:p w14:paraId="488526A7" w14:textId="2EFE9BFC" w:rsidR="00A153C6" w:rsidRPr="00A90086" w:rsidRDefault="006F62F4" w:rsidP="00ED68D9">
      <w:pPr>
        <w:rPr>
          <w:rFonts w:ascii="Arial" w:hAnsi="Arial" w:cs="Arial"/>
          <w:sz w:val="22"/>
          <w:szCs w:val="22"/>
        </w:rPr>
      </w:pPr>
      <w:r w:rsidRPr="00A90086">
        <w:rPr>
          <w:rFonts w:ascii="Arial" w:hAnsi="Arial" w:cs="Arial"/>
          <w:sz w:val="22"/>
          <w:szCs w:val="22"/>
        </w:rPr>
        <w:t>(ORGANIZATIONAL GOVERNANCE &amp; HOSPITAL LEADERSHIP)</w:t>
      </w:r>
      <w:r w:rsidRPr="00A90086">
        <w:rPr>
          <w:rFonts w:ascii="Arial" w:hAnsi="Arial" w:cs="Arial"/>
          <w:sz w:val="22"/>
          <w:szCs w:val="22"/>
        </w:rPr>
        <w:br/>
        <w:t>  - Rigid, Hierarchical Command-and-Control Centralised Authority</w:t>
      </w:r>
      <w:r w:rsidRPr="00A90086">
        <w:rPr>
          <w:rFonts w:ascii="Arial" w:hAnsi="Arial" w:cs="Arial"/>
          <w:sz w:val="22"/>
          <w:szCs w:val="22"/>
        </w:rPr>
        <w:br/>
        <w:t>  - Reactive, Blame-Oriented Safety Culture (Low Psychological Safety)</w:t>
      </w:r>
      <w:r w:rsidRPr="00A90086">
        <w:rPr>
          <w:rFonts w:ascii="Arial" w:hAnsi="Arial" w:cs="Arial"/>
          <w:sz w:val="22"/>
          <w:szCs w:val="22"/>
        </w:rPr>
        <w:br/>
        <w:t>  - Absence of Automated Electronic Prescribing (</w:t>
      </w:r>
      <w:proofErr w:type="spellStart"/>
      <w:r w:rsidRPr="00A90086">
        <w:rPr>
          <w:rFonts w:ascii="Arial" w:hAnsi="Arial" w:cs="Arial"/>
          <w:sz w:val="22"/>
          <w:szCs w:val="22"/>
        </w:rPr>
        <w:t>ePMA</w:t>
      </w:r>
      <w:proofErr w:type="spellEnd"/>
      <w:r w:rsidRPr="00A90086">
        <w:rPr>
          <w:rFonts w:ascii="Arial" w:hAnsi="Arial" w:cs="Arial"/>
          <w:sz w:val="22"/>
          <w:szCs w:val="22"/>
        </w:rPr>
        <w:t>) Re-initiation Alerts</w:t>
      </w:r>
    </w:p>
    <w:p w14:paraId="01CB2A9D" w14:textId="50DE70B6" w:rsidR="000B49FC" w:rsidRPr="00A90086" w:rsidRDefault="006F4F64" w:rsidP="00ED68D9">
      <w:pPr>
        <w:rPr>
          <w:rFonts w:ascii="Arial" w:hAnsi="Arial" w:cs="Arial"/>
          <w:sz w:val="16"/>
          <w:szCs w:val="16"/>
        </w:rPr>
      </w:pPr>
      <w:r w:rsidRPr="00A90086">
        <w:rPr>
          <w:rFonts w:ascii="Arial" w:hAnsi="Arial" w:cs="Arial"/>
          <w:noProof/>
          <w:sz w:val="22"/>
          <w:szCs w:val="22"/>
        </w:rPr>
        <mc:AlternateContent>
          <mc:Choice Requires="wps">
            <w:drawing>
              <wp:anchor distT="0" distB="0" distL="114300" distR="114300" simplePos="0" relativeHeight="251662336" behindDoc="0" locked="0" layoutInCell="1" allowOverlap="1" wp14:anchorId="348665E9" wp14:editId="7F275763">
                <wp:simplePos x="0" y="0"/>
                <wp:positionH relativeFrom="column">
                  <wp:posOffset>5143500</wp:posOffset>
                </wp:positionH>
                <wp:positionV relativeFrom="paragraph">
                  <wp:posOffset>205740</wp:posOffset>
                </wp:positionV>
                <wp:extent cx="110490" cy="220980"/>
                <wp:effectExtent l="19050" t="0" r="41910" b="45720"/>
                <wp:wrapNone/>
                <wp:docPr id="1982515545" name="Arrow: Down 5"/>
                <wp:cNvGraphicFramePr/>
                <a:graphic xmlns:a="http://schemas.openxmlformats.org/drawingml/2006/main">
                  <a:graphicData uri="http://schemas.microsoft.com/office/word/2010/wordprocessingShape">
                    <wps:wsp>
                      <wps:cNvSpPr/>
                      <wps:spPr>
                        <a:xfrm>
                          <a:off x="0" y="0"/>
                          <a:ext cx="110490" cy="220980"/>
                        </a:xfrm>
                        <a:prstGeom prst="downArrow">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0F476E4"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5" o:spid="_x0000_s1026" type="#_x0000_t67" style="position:absolute;margin-left:405pt;margin-top:16.2pt;width:8.7pt;height:17.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" fillcolor="black [3200]" strokecolor="black [480]" strokeweight="1.5pt"/>
            </w:pict>
          </mc:Fallback>
        </mc:AlternateContent>
      </w:r>
      <w:r w:rsidR="008F0F55" w:rsidRPr="00A90086">
        <w:rPr>
          <w:rFonts w:ascii="Arial" w:hAnsi="Arial" w:cs="Arial"/>
          <w:noProof/>
          <w:sz w:val="22"/>
          <w:szCs w:val="22"/>
        </w:rPr>
        <mc:AlternateContent>
          <mc:Choice Requires="wps">
            <w:drawing>
              <wp:anchor distT="0" distB="0" distL="114300" distR="114300" simplePos="0" relativeHeight="251660288" behindDoc="0" locked="0" layoutInCell="1" allowOverlap="1" wp14:anchorId="3A0640D0" wp14:editId="71ED9688">
                <wp:simplePos x="0" y="0"/>
                <wp:positionH relativeFrom="column">
                  <wp:posOffset>3204210</wp:posOffset>
                </wp:positionH>
                <wp:positionV relativeFrom="paragraph">
                  <wp:posOffset>210820</wp:posOffset>
                </wp:positionV>
                <wp:extent cx="110490" cy="220980"/>
                <wp:effectExtent l="19050" t="0" r="41910" b="45720"/>
                <wp:wrapNone/>
                <wp:docPr id="1777036393" name="Arrow: Down 5"/>
                <wp:cNvGraphicFramePr/>
                <a:graphic xmlns:a="http://schemas.openxmlformats.org/drawingml/2006/main">
                  <a:graphicData uri="http://schemas.microsoft.com/office/word/2010/wordprocessingShape">
                    <wps:wsp>
                      <wps:cNvSpPr/>
                      <wps:spPr>
                        <a:xfrm>
                          <a:off x="0" y="0"/>
                          <a:ext cx="110490" cy="220980"/>
                        </a:xfrm>
                        <a:prstGeom prst="downArrow">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4F57A3" id="Arrow: Down 5" o:spid="_x0000_s1026" type="#_x0000_t67" style="position:absolute;margin-left:252.3pt;margin-top:16.6pt;width:8.7pt;height:17.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" fillcolor="black [3200]" strokecolor="black [480]" strokeweight="1.5pt"/>
            </w:pict>
          </mc:Fallback>
        </mc:AlternateContent>
      </w:r>
      <w:r w:rsidR="00733462" w:rsidRPr="00A90086">
        <w:rPr>
          <w:rFonts w:ascii="Arial" w:hAnsi="Arial" w:cs="Arial"/>
          <w:noProof/>
          <w:sz w:val="22"/>
          <w:szCs w:val="22"/>
        </w:rPr>
        <mc:AlternateContent>
          <mc:Choice Requires="wps">
            <w:drawing>
              <wp:anchor distT="0" distB="0" distL="114300" distR="114300" simplePos="0" relativeHeight="251659264" behindDoc="0" locked="0" layoutInCell="1" allowOverlap="1" wp14:anchorId="5546336E" wp14:editId="53C67748">
                <wp:simplePos x="0" y="0"/>
                <wp:positionH relativeFrom="column">
                  <wp:posOffset>807720</wp:posOffset>
                </wp:positionH>
                <wp:positionV relativeFrom="paragraph">
                  <wp:posOffset>210820</wp:posOffset>
                </wp:positionV>
                <wp:extent cx="4701540" cy="0"/>
                <wp:effectExtent l="0" t="0" r="0" b="0"/>
                <wp:wrapNone/>
                <wp:docPr id="1502758405" name="Straight Connector 3"/>
                <wp:cNvGraphicFramePr/>
                <a:graphic xmlns:a="http://schemas.openxmlformats.org/drawingml/2006/main">
                  <a:graphicData uri="http://schemas.microsoft.com/office/word/2010/wordprocessingShape">
                    <wps:wsp>
                      <wps:cNvCnPr/>
                      <wps:spPr>
                        <a:xfrm>
                          <a:off x="0" y="0"/>
                          <a:ext cx="4701540"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ADE0FBD"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3.6pt,16.6pt" to="433.8pt,16.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" strokecolor="black [3200]" strokeweight="1.5pt">
                <v:stroke joinstyle="miter"/>
              </v:line>
            </w:pict>
          </mc:Fallback>
        </mc:AlternateContent>
      </w:r>
      <w:r w:rsidR="00231470" w:rsidRPr="00A90086">
        <w:rPr>
          <w:rFonts w:ascii="Arial" w:hAnsi="Arial" w:cs="Arial"/>
          <w:sz w:val="22"/>
          <w:szCs w:val="22"/>
        </w:rPr>
        <w:t xml:space="preserve">   </w:t>
      </w:r>
      <w:r w:rsidR="00547F48" w:rsidRPr="00A90086">
        <w:rPr>
          <w:rFonts w:ascii="Arial" w:hAnsi="Arial" w:cs="Arial"/>
          <w:sz w:val="22"/>
          <w:szCs w:val="22"/>
        </w:rPr>
        <w:t xml:space="preserve">               </w:t>
      </w:r>
      <w:r w:rsidR="00A153C6" w:rsidRPr="00A90086">
        <w:rPr>
          <w:rFonts w:ascii="Arial" w:hAnsi="Arial" w:cs="Arial"/>
          <w:noProof/>
          <w:sz w:val="22"/>
          <w:szCs w:val="22"/>
        </w:rPr>
        <w:drawing>
          <wp:inline distT="0" distB="0" distL="0" distR="0" wp14:anchorId="52766DB8" wp14:editId="2E239DF1">
            <wp:extent cx="502335" cy="227619"/>
            <wp:effectExtent l="0" t="0" r="0" b="0"/>
            <wp:docPr id="1130763044" name="Graphic 2" descr="Line arrow: Straigh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468289" name="Graphic 1385468289" descr="Line arrow: Straight with solid fill"/>
                    <pic:cNvPicPr/>
                  </pic:nvPicPr>
                  <pic:blipFill>
                    <a:blip r:embed="rId9">
                      <a:extLst>
                        <a:ext uri="{96DAC541-7B7A-43D3-8B79-37D633B846F1}">
                          <asvg:svgBlip xmlns:asvg="http://schemas.microsoft.com/office/drawing/2016/SVG/main" r:embed="rId10"/>
                        </a:ext>
                      </a:extLst>
                    </a:blip>
                    <a:stretch>
                      <a:fillRect/>
                    </a:stretch>
                  </pic:blipFill>
                  <pic:spPr>
                    <a:xfrm rot="16200000">
                      <a:off x="0" y="0"/>
                      <a:ext cx="522426" cy="236723"/>
                    </a:xfrm>
                    <a:prstGeom prst="rect">
                      <a:avLst/>
                    </a:prstGeom>
                  </pic:spPr>
                </pic:pic>
              </a:graphicData>
            </a:graphic>
          </wp:inline>
        </w:drawing>
      </w:r>
    </w:p>
    <w:p w14:paraId="79740A8A" w14:textId="7CC81CB1" w:rsidR="00A250E0" w:rsidRPr="00A90086" w:rsidRDefault="00547F48" w:rsidP="00ED68D9">
      <w:pPr>
        <w:rPr>
          <w:rFonts w:ascii="Arial" w:hAnsi="Arial" w:cs="Arial"/>
          <w:sz w:val="16"/>
          <w:szCs w:val="16"/>
        </w:rPr>
      </w:pPr>
      <w:r w:rsidRPr="00A90086">
        <w:rPr>
          <w:rFonts w:ascii="Arial" w:hAnsi="Arial" w:cs="Arial"/>
          <w:sz w:val="16"/>
          <w:szCs w:val="16"/>
        </w:rPr>
        <w:t>(</w:t>
      </w:r>
      <w:r w:rsidR="00BE2704" w:rsidRPr="00A90086">
        <w:rPr>
          <w:rFonts w:ascii="Arial" w:hAnsi="Arial" w:cs="Arial"/>
          <w:sz w:val="16"/>
          <w:szCs w:val="16"/>
        </w:rPr>
        <w:t xml:space="preserve">PHYSICAL &amp; WORK </w:t>
      </w:r>
      <w:proofErr w:type="gramStart"/>
      <w:r w:rsidR="00BE2704" w:rsidRPr="00A90086">
        <w:rPr>
          <w:rFonts w:ascii="Arial" w:hAnsi="Arial" w:cs="Arial"/>
          <w:sz w:val="16"/>
          <w:szCs w:val="16"/>
        </w:rPr>
        <w:t>ENVIRONMENT</w:t>
      </w:r>
      <w:r w:rsidRPr="00A90086">
        <w:rPr>
          <w:rFonts w:ascii="Arial" w:hAnsi="Arial" w:cs="Arial"/>
          <w:sz w:val="16"/>
          <w:szCs w:val="16"/>
        </w:rPr>
        <w:t>)</w:t>
      </w:r>
      <w:r w:rsidR="008F0F55" w:rsidRPr="00A90086">
        <w:rPr>
          <w:rFonts w:ascii="Arial" w:hAnsi="Arial" w:cs="Arial"/>
          <w:sz w:val="16"/>
          <w:szCs w:val="16"/>
        </w:rPr>
        <w:t xml:space="preserve">   </w:t>
      </w:r>
      <w:proofErr w:type="gramEnd"/>
      <w:r w:rsidR="008F0F55" w:rsidRPr="00A90086">
        <w:rPr>
          <w:rFonts w:ascii="Arial" w:hAnsi="Arial" w:cs="Arial"/>
          <w:sz w:val="16"/>
          <w:szCs w:val="16"/>
        </w:rPr>
        <w:t xml:space="preserve">          </w:t>
      </w:r>
      <w:r w:rsidR="00DD1BA9" w:rsidRPr="00A90086">
        <w:rPr>
          <w:rFonts w:ascii="Arial" w:hAnsi="Arial" w:cs="Arial"/>
          <w:sz w:val="16"/>
          <w:szCs w:val="16"/>
        </w:rPr>
        <w:t> </w:t>
      </w:r>
      <w:proofErr w:type="gramStart"/>
      <w:r w:rsidR="00DD1BA9" w:rsidRPr="00A90086">
        <w:rPr>
          <w:rFonts w:ascii="Arial" w:hAnsi="Arial" w:cs="Arial"/>
          <w:sz w:val="16"/>
          <w:szCs w:val="16"/>
        </w:rPr>
        <w:t>   (</w:t>
      </w:r>
      <w:proofErr w:type="gramEnd"/>
      <w:r w:rsidR="00DD1BA9" w:rsidRPr="00A90086">
        <w:rPr>
          <w:rFonts w:ascii="Arial" w:hAnsi="Arial" w:cs="Arial"/>
          <w:sz w:val="16"/>
          <w:szCs w:val="16"/>
        </w:rPr>
        <w:t xml:space="preserve">COMMUNICATION &amp; </w:t>
      </w:r>
      <w:proofErr w:type="gramStart"/>
      <w:r w:rsidR="00DD1BA9" w:rsidRPr="00A90086">
        <w:rPr>
          <w:rFonts w:ascii="Arial" w:hAnsi="Arial" w:cs="Arial"/>
          <w:sz w:val="16"/>
          <w:szCs w:val="16"/>
        </w:rPr>
        <w:t>PROCESSES)</w:t>
      </w:r>
      <w:r w:rsidR="0044574A" w:rsidRPr="00A90086">
        <w:rPr>
          <w:rFonts w:ascii="Arial" w:hAnsi="Arial" w:cs="Arial"/>
          <w:sz w:val="16"/>
          <w:szCs w:val="16"/>
        </w:rPr>
        <w:t xml:space="preserve">   </w:t>
      </w:r>
      <w:proofErr w:type="gramEnd"/>
      <w:r w:rsidR="006F4F64" w:rsidRPr="00A90086">
        <w:rPr>
          <w:rFonts w:ascii="Arial" w:hAnsi="Arial" w:cs="Arial"/>
          <w:sz w:val="16"/>
          <w:szCs w:val="16"/>
        </w:rPr>
        <w:t>(</w:t>
      </w:r>
      <w:r w:rsidR="0044574A" w:rsidRPr="00A90086">
        <w:rPr>
          <w:rFonts w:ascii="Arial" w:hAnsi="Arial" w:cs="Arial"/>
          <w:sz w:val="16"/>
          <w:szCs w:val="16"/>
        </w:rPr>
        <w:t>HUMAN RESOURCES &amp;CLINICAL</w:t>
      </w:r>
      <w:r w:rsidR="006F4F64" w:rsidRPr="00A90086">
        <w:rPr>
          <w:rFonts w:ascii="Arial" w:hAnsi="Arial" w:cs="Arial"/>
          <w:sz w:val="16"/>
          <w:szCs w:val="16"/>
        </w:rPr>
        <w:t>)</w:t>
      </w:r>
    </w:p>
    <w:p w14:paraId="17560480" w14:textId="3C916D35" w:rsidR="00F70C0E" w:rsidRPr="00A90086" w:rsidRDefault="00F70C0E" w:rsidP="00ED68D9">
      <w:pPr>
        <w:rPr>
          <w:rFonts w:ascii="Arial" w:hAnsi="Arial" w:cs="Arial"/>
          <w:sz w:val="16"/>
          <w:szCs w:val="16"/>
        </w:rPr>
      </w:pPr>
      <w:r w:rsidRPr="00A90086">
        <w:rPr>
          <w:rFonts w:ascii="Arial" w:hAnsi="Arial" w:cs="Arial"/>
          <w:sz w:val="16"/>
          <w:szCs w:val="16"/>
        </w:rPr>
        <w:t>- Ward Transfers &amp; Siloed Care</w:t>
      </w:r>
      <w:r w:rsidR="00A250E0" w:rsidRPr="00A90086">
        <w:rPr>
          <w:rFonts w:ascii="Arial" w:hAnsi="Arial" w:cs="Arial"/>
          <w:sz w:val="16"/>
          <w:szCs w:val="16"/>
        </w:rPr>
        <w:t xml:space="preserve">                               - Informal Verbal Handovers</w:t>
      </w:r>
      <w:r w:rsidR="00817FA4" w:rsidRPr="00A90086">
        <w:rPr>
          <w:rFonts w:ascii="Arial" w:hAnsi="Arial" w:cs="Arial"/>
          <w:sz w:val="16"/>
          <w:szCs w:val="16"/>
        </w:rPr>
        <w:t xml:space="preserve">                     - Excessive Medical Ward Ratios</w:t>
      </w:r>
    </w:p>
    <w:p w14:paraId="6EF69152" w14:textId="02D8260F" w:rsidR="00F70C0E" w:rsidRPr="00A90086" w:rsidRDefault="00AA5B2B" w:rsidP="00ED68D9">
      <w:pPr>
        <w:rPr>
          <w:rFonts w:ascii="Arial" w:hAnsi="Arial" w:cs="Arial"/>
          <w:sz w:val="16"/>
          <w:szCs w:val="16"/>
        </w:rPr>
      </w:pPr>
      <w:r w:rsidRPr="00A90086">
        <w:rPr>
          <w:rFonts w:ascii="Arial" w:hAnsi="Arial" w:cs="Arial"/>
          <w:sz w:val="16"/>
          <w:szCs w:val="16"/>
        </w:rPr>
        <w:t xml:space="preserve">- </w:t>
      </w:r>
      <w:r w:rsidR="00B300DF" w:rsidRPr="00A90086">
        <w:rPr>
          <w:rFonts w:ascii="Arial" w:hAnsi="Arial" w:cs="Arial"/>
          <w:sz w:val="16"/>
          <w:szCs w:val="16"/>
        </w:rPr>
        <w:t>Lack of Visual Anticoagulant</w:t>
      </w:r>
      <w:r w:rsidR="00A250E0" w:rsidRPr="00A90086">
        <w:rPr>
          <w:rFonts w:ascii="Arial" w:hAnsi="Arial" w:cs="Arial"/>
          <w:sz w:val="16"/>
          <w:szCs w:val="16"/>
        </w:rPr>
        <w:t xml:space="preserve">                                  - Omission of Daily </w:t>
      </w:r>
      <w:proofErr w:type="spellStart"/>
      <w:r w:rsidR="00A250E0" w:rsidRPr="00A90086">
        <w:rPr>
          <w:rFonts w:ascii="Arial" w:hAnsi="Arial" w:cs="Arial"/>
          <w:sz w:val="16"/>
          <w:szCs w:val="16"/>
        </w:rPr>
        <w:t>Reconcil</w:t>
      </w:r>
      <w:proofErr w:type="spellEnd"/>
      <w:r w:rsidR="00A250E0" w:rsidRPr="00A90086">
        <w:rPr>
          <w:rFonts w:ascii="Arial" w:hAnsi="Arial" w:cs="Arial"/>
          <w:sz w:val="16"/>
          <w:szCs w:val="16"/>
        </w:rPr>
        <w:t>.</w:t>
      </w:r>
      <w:r w:rsidR="00817FA4" w:rsidRPr="00A90086">
        <w:rPr>
          <w:rFonts w:ascii="Arial" w:hAnsi="Arial" w:cs="Arial"/>
          <w:sz w:val="16"/>
          <w:szCs w:val="16"/>
        </w:rPr>
        <w:t xml:space="preserve">                   - Cognitive Overload &amp; Fatigue</w:t>
      </w:r>
    </w:p>
    <w:p w14:paraId="4C6225B5" w14:textId="29C73909" w:rsidR="008F0F55" w:rsidRPr="00A90086" w:rsidRDefault="00AF335D" w:rsidP="00ED68D9">
      <w:pPr>
        <w:rPr>
          <w:rFonts w:ascii="Arial" w:hAnsi="Arial" w:cs="Arial"/>
          <w:sz w:val="16"/>
          <w:szCs w:val="16"/>
        </w:rPr>
      </w:pPr>
      <w:r w:rsidRPr="00A90086">
        <w:rPr>
          <w:rFonts w:ascii="Arial" w:hAnsi="Arial" w:cs="Arial"/>
          <w:noProof/>
          <w:sz w:val="16"/>
          <w:szCs w:val="16"/>
        </w:rPr>
        <mc:AlternateContent>
          <mc:Choice Requires="wps">
            <w:drawing>
              <wp:anchor distT="0" distB="0" distL="114300" distR="114300" simplePos="0" relativeHeight="251666432" behindDoc="0" locked="0" layoutInCell="1" allowOverlap="1" wp14:anchorId="5AE3DA65" wp14:editId="79E39487">
                <wp:simplePos x="0" y="0"/>
                <wp:positionH relativeFrom="column">
                  <wp:posOffset>2922270</wp:posOffset>
                </wp:positionH>
                <wp:positionV relativeFrom="paragraph">
                  <wp:posOffset>142875</wp:posOffset>
                </wp:positionV>
                <wp:extent cx="118110" cy="449580"/>
                <wp:effectExtent l="19050" t="0" r="34290" b="45720"/>
                <wp:wrapNone/>
                <wp:docPr id="127031219" name="Arrow: Down 9"/>
                <wp:cNvGraphicFramePr/>
                <a:graphic xmlns:a="http://schemas.openxmlformats.org/drawingml/2006/main">
                  <a:graphicData uri="http://schemas.microsoft.com/office/word/2010/wordprocessingShape">
                    <wps:wsp>
                      <wps:cNvSpPr/>
                      <wps:spPr>
                        <a:xfrm flipH="1">
                          <a:off x="0" y="0"/>
                          <a:ext cx="118110" cy="449580"/>
                        </a:xfrm>
                        <a:prstGeom prst="downArrow">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AAD856" id="Arrow: Down 9" o:spid="_x0000_s1026" type="#_x0000_t67" style="position:absolute;margin-left:230.1pt;margin-top:11.25pt;width:9.3pt;height:35.4pt;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" adj="18763" fillcolor="black [3200]" strokecolor="black [480]" strokeweight="1.5pt"/>
            </w:pict>
          </mc:Fallback>
        </mc:AlternateContent>
      </w:r>
      <w:r w:rsidR="005D3B23" w:rsidRPr="00A90086">
        <w:rPr>
          <w:rFonts w:ascii="Arial" w:hAnsi="Arial" w:cs="Arial"/>
          <w:noProof/>
          <w:sz w:val="16"/>
          <w:szCs w:val="16"/>
        </w:rPr>
        <mc:AlternateContent>
          <mc:Choice Requires="wps">
            <w:drawing>
              <wp:anchor distT="0" distB="0" distL="114300" distR="114300" simplePos="0" relativeHeight="251665408" behindDoc="0" locked="0" layoutInCell="1" allowOverlap="1" wp14:anchorId="0274E7D1" wp14:editId="601B1FE5">
                <wp:simplePos x="0" y="0"/>
                <wp:positionH relativeFrom="column">
                  <wp:posOffset>5021580</wp:posOffset>
                </wp:positionH>
                <wp:positionV relativeFrom="paragraph">
                  <wp:posOffset>165735</wp:posOffset>
                </wp:positionV>
                <wp:extent cx="0" cy="243840"/>
                <wp:effectExtent l="0" t="0" r="38100" b="22860"/>
                <wp:wrapNone/>
                <wp:docPr id="5333239" name="Straight Connector 8"/>
                <wp:cNvGraphicFramePr/>
                <a:graphic xmlns:a="http://schemas.openxmlformats.org/drawingml/2006/main">
                  <a:graphicData uri="http://schemas.microsoft.com/office/word/2010/wordprocessingShape">
                    <wps:wsp>
                      <wps:cNvCnPr/>
                      <wps:spPr>
                        <a:xfrm flipH="1" flipV="1">
                          <a:off x="0" y="0"/>
                          <a:ext cx="0" cy="24384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641E14B" id="Straight Connector 8" o:spid="_x0000_s1026" style="position:absolute;flip:x 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5.4pt,13.05pt" to="395.4pt,3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" strokecolor="black [3200]" strokeweight="1.5pt">
                <v:stroke joinstyle="miter"/>
              </v:line>
            </w:pict>
          </mc:Fallback>
        </mc:AlternateContent>
      </w:r>
      <w:r w:rsidR="005D3B23" w:rsidRPr="00A90086">
        <w:rPr>
          <w:rFonts w:ascii="Arial" w:hAnsi="Arial" w:cs="Arial"/>
          <w:noProof/>
          <w:sz w:val="16"/>
          <w:szCs w:val="16"/>
        </w:rPr>
        <mc:AlternateContent>
          <mc:Choice Requires="wps">
            <w:drawing>
              <wp:anchor distT="0" distB="0" distL="114300" distR="114300" simplePos="0" relativeHeight="251664384" behindDoc="0" locked="0" layoutInCell="1" allowOverlap="1" wp14:anchorId="12E75EC5" wp14:editId="139D4630">
                <wp:simplePos x="0" y="0"/>
                <wp:positionH relativeFrom="column">
                  <wp:posOffset>701040</wp:posOffset>
                </wp:positionH>
                <wp:positionV relativeFrom="paragraph">
                  <wp:posOffset>188595</wp:posOffset>
                </wp:positionV>
                <wp:extent cx="7620" cy="228600"/>
                <wp:effectExtent l="0" t="0" r="30480" b="19050"/>
                <wp:wrapNone/>
                <wp:docPr id="116580204" name="Straight Connector 7"/>
                <wp:cNvGraphicFramePr/>
                <a:graphic xmlns:a="http://schemas.openxmlformats.org/drawingml/2006/main">
                  <a:graphicData uri="http://schemas.microsoft.com/office/word/2010/wordprocessingShape">
                    <wps:wsp>
                      <wps:cNvCnPr/>
                      <wps:spPr>
                        <a:xfrm flipH="1" flipV="1">
                          <a:off x="0" y="0"/>
                          <a:ext cx="7620" cy="22860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BC69132" id="Straight Connector 7" o:spid="_x0000_s1026" style="position:absolute;flip:x 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5.2pt,14.85pt" to="55.8pt,3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" strokecolor="black [3200]" strokeweight="1.5pt">
                <v:stroke joinstyle="miter"/>
              </v:line>
            </w:pict>
          </mc:Fallback>
        </mc:AlternateContent>
      </w:r>
      <w:r w:rsidR="008F0F55" w:rsidRPr="00A90086">
        <w:rPr>
          <w:rFonts w:ascii="Arial" w:hAnsi="Arial" w:cs="Arial"/>
          <w:sz w:val="16"/>
          <w:szCs w:val="16"/>
        </w:rPr>
        <w:t> Pause Tracking / Alert Tags</w:t>
      </w:r>
      <w:r w:rsidR="008C5692" w:rsidRPr="00A90086">
        <w:rPr>
          <w:rFonts w:ascii="Arial" w:hAnsi="Arial" w:cs="Arial"/>
          <w:sz w:val="16"/>
          <w:szCs w:val="16"/>
        </w:rPr>
        <w:t xml:space="preserve">                                     - Fragmented Specialist Input</w:t>
      </w:r>
      <w:r w:rsidR="008B4333" w:rsidRPr="00A90086">
        <w:rPr>
          <w:rFonts w:ascii="Arial" w:hAnsi="Arial" w:cs="Arial"/>
          <w:sz w:val="16"/>
          <w:szCs w:val="16"/>
        </w:rPr>
        <w:t xml:space="preserve">                  - Steep Authority Gradients </w:t>
      </w:r>
    </w:p>
    <w:p w14:paraId="776D6219" w14:textId="2BAB91E8" w:rsidR="00165986" w:rsidRPr="00A90086" w:rsidRDefault="002B6A27" w:rsidP="00ED68D9">
      <w:pPr>
        <w:rPr>
          <w:rFonts w:ascii="Arial" w:hAnsi="Arial" w:cs="Arial"/>
          <w:sz w:val="16"/>
          <w:szCs w:val="16"/>
        </w:rPr>
      </w:pPr>
      <w:r w:rsidRPr="00A90086">
        <w:rPr>
          <w:rFonts w:ascii="Arial" w:hAnsi="Arial" w:cs="Arial"/>
          <w:sz w:val="16"/>
          <w:szCs w:val="16"/>
        </w:rPr>
        <w:br/>
      </w:r>
      <w:r w:rsidR="005D3B23" w:rsidRPr="00A90086">
        <w:rPr>
          <w:rFonts w:ascii="Arial" w:hAnsi="Arial" w:cs="Arial"/>
          <w:noProof/>
          <w:sz w:val="16"/>
          <w:szCs w:val="16"/>
        </w:rPr>
        <mc:AlternateContent>
          <mc:Choice Requires="wps">
            <w:drawing>
              <wp:anchor distT="0" distB="0" distL="114300" distR="114300" simplePos="0" relativeHeight="251663360" behindDoc="0" locked="0" layoutInCell="1" allowOverlap="1" wp14:anchorId="68846056" wp14:editId="2122731B">
                <wp:simplePos x="0" y="0"/>
                <wp:positionH relativeFrom="column">
                  <wp:posOffset>701040</wp:posOffset>
                </wp:positionH>
                <wp:positionV relativeFrom="paragraph">
                  <wp:posOffset>180340</wp:posOffset>
                </wp:positionV>
                <wp:extent cx="4320540" cy="7620"/>
                <wp:effectExtent l="0" t="0" r="22860" b="30480"/>
                <wp:wrapNone/>
                <wp:docPr id="34484635" name="Straight Connector 6"/>
                <wp:cNvGraphicFramePr/>
                <a:graphic xmlns:a="http://schemas.openxmlformats.org/drawingml/2006/main">
                  <a:graphicData uri="http://schemas.microsoft.com/office/word/2010/wordprocessingShape">
                    <wps:wsp>
                      <wps:cNvCnPr/>
                      <wps:spPr>
                        <a:xfrm>
                          <a:off x="0" y="0"/>
                          <a:ext cx="4320540" cy="762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B2ABB9B" id="Straight Connector 6"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5.2pt,14.2pt" to="395.4pt,14.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" strokecolor="black [3200]" strokeweight="1.5pt">
                <v:stroke joinstyle="miter"/>
              </v:line>
            </w:pict>
          </mc:Fallback>
        </mc:AlternateContent>
      </w:r>
    </w:p>
    <w:p w14:paraId="447BA4CF" w14:textId="4C57A651" w:rsidR="002B6A27" w:rsidRPr="00A90086" w:rsidRDefault="002B6A27" w:rsidP="002B6A27">
      <w:pPr>
        <w:jc w:val="center"/>
        <w:rPr>
          <w:rFonts w:ascii="Arial" w:hAnsi="Arial" w:cs="Arial"/>
          <w:sz w:val="22"/>
          <w:szCs w:val="22"/>
        </w:rPr>
      </w:pPr>
      <w:r w:rsidRPr="00A90086">
        <w:rPr>
          <w:rFonts w:ascii="Arial" w:hAnsi="Arial" w:cs="Arial"/>
          <w:sz w:val="22"/>
          <w:szCs w:val="22"/>
        </w:rPr>
        <w:t>(ACTIVE CLINICAL FAILURE)</w:t>
      </w:r>
    </w:p>
    <w:p w14:paraId="09DDBA0D" w14:textId="4729BBF6" w:rsidR="002B6A27" w:rsidRPr="00A90086" w:rsidRDefault="00AA0302" w:rsidP="0002242A">
      <w:pPr>
        <w:rPr>
          <w:rFonts w:ascii="Arial" w:hAnsi="Arial" w:cs="Arial"/>
          <w:sz w:val="22"/>
          <w:szCs w:val="22"/>
        </w:rPr>
      </w:pPr>
      <w:r w:rsidRPr="00A90086">
        <w:rPr>
          <w:rFonts w:ascii="Arial" w:hAnsi="Arial" w:cs="Arial"/>
          <w:noProof/>
          <w:sz w:val="16"/>
          <w:szCs w:val="16"/>
        </w:rPr>
        <mc:AlternateContent>
          <mc:Choice Requires="wps">
            <w:drawing>
              <wp:anchor distT="0" distB="0" distL="114300" distR="114300" simplePos="0" relativeHeight="251668480" behindDoc="0" locked="0" layoutInCell="1" allowOverlap="1" wp14:anchorId="690D7A31" wp14:editId="36E8449B">
                <wp:simplePos x="0" y="0"/>
                <wp:positionH relativeFrom="column">
                  <wp:posOffset>2964180</wp:posOffset>
                </wp:positionH>
                <wp:positionV relativeFrom="paragraph">
                  <wp:posOffset>787400</wp:posOffset>
                </wp:positionV>
                <wp:extent cx="118110" cy="449580"/>
                <wp:effectExtent l="19050" t="0" r="34290" b="45720"/>
                <wp:wrapNone/>
                <wp:docPr id="2133549153" name="Arrow: Down 9"/>
                <wp:cNvGraphicFramePr/>
                <a:graphic xmlns:a="http://schemas.openxmlformats.org/drawingml/2006/main">
                  <a:graphicData uri="http://schemas.microsoft.com/office/word/2010/wordprocessingShape">
                    <wps:wsp>
                      <wps:cNvSpPr/>
                      <wps:spPr>
                        <a:xfrm flipH="1">
                          <a:off x="0" y="0"/>
                          <a:ext cx="118110" cy="449580"/>
                        </a:xfrm>
                        <a:prstGeom prst="downArrow">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D3DDE5" id="Arrow: Down 9" o:spid="_x0000_s1026" type="#_x0000_t67" style="position:absolute;margin-left:233.4pt;margin-top:62pt;width:9.3pt;height:35.4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" adj="18763" fillcolor="black [3200]" strokecolor="black [480]" strokeweight="1.5pt"/>
            </w:pict>
          </mc:Fallback>
        </mc:AlternateContent>
      </w:r>
      <w:r w:rsidR="0002242A" w:rsidRPr="00A90086">
        <w:rPr>
          <w:rFonts w:ascii="Arial" w:hAnsi="Arial" w:cs="Arial"/>
          <w:sz w:val="20"/>
          <w:szCs w:val="20"/>
        </w:rPr>
        <w:t>  </w:t>
      </w:r>
      <w:r w:rsidR="0002242A" w:rsidRPr="00A90086">
        <w:rPr>
          <w:rFonts w:ascii="Arial" w:hAnsi="Arial" w:cs="Arial"/>
          <w:sz w:val="22"/>
          <w:szCs w:val="22"/>
        </w:rPr>
        <w:t xml:space="preserve">- </w:t>
      </w:r>
      <w:proofErr w:type="spellStart"/>
      <w:r w:rsidR="0002242A" w:rsidRPr="00A90086">
        <w:rPr>
          <w:rFonts w:ascii="Arial" w:hAnsi="Arial" w:cs="Arial"/>
          <w:sz w:val="22"/>
          <w:szCs w:val="22"/>
        </w:rPr>
        <w:t>Epixatxis</w:t>
      </w:r>
      <w:proofErr w:type="spellEnd"/>
      <w:r w:rsidR="0002242A" w:rsidRPr="00A90086">
        <w:rPr>
          <w:rFonts w:ascii="Arial" w:hAnsi="Arial" w:cs="Arial"/>
          <w:sz w:val="22"/>
          <w:szCs w:val="22"/>
        </w:rPr>
        <w:t xml:space="preserve"> managed by pausing Apixaban; procedure delayed repeatedly over 10 days.</w:t>
      </w:r>
      <w:r w:rsidR="0002242A" w:rsidRPr="00A90086">
        <w:rPr>
          <w:rFonts w:ascii="Arial" w:hAnsi="Arial" w:cs="Arial"/>
          <w:sz w:val="22"/>
          <w:szCs w:val="22"/>
        </w:rPr>
        <w:br/>
        <w:t>  - Medical ward team assumed procedure team would manage DOAC; procedure team assumed ward team owned it.</w:t>
      </w:r>
      <w:r w:rsidR="0002242A" w:rsidRPr="00A90086">
        <w:rPr>
          <w:rFonts w:ascii="Arial" w:hAnsi="Arial" w:cs="Arial"/>
          <w:sz w:val="22"/>
          <w:szCs w:val="22"/>
        </w:rPr>
        <w:br/>
        <w:t xml:space="preserve">  - </w:t>
      </w:r>
      <w:proofErr w:type="gramStart"/>
      <w:r w:rsidR="0002242A" w:rsidRPr="00A90086">
        <w:rPr>
          <w:rFonts w:ascii="Arial" w:hAnsi="Arial" w:cs="Arial"/>
          <w:sz w:val="22"/>
          <w:szCs w:val="22"/>
        </w:rPr>
        <w:t>Post-procedure</w:t>
      </w:r>
      <w:proofErr w:type="gramEnd"/>
      <w:r w:rsidR="0002242A" w:rsidRPr="00A90086">
        <w:rPr>
          <w:rFonts w:ascii="Arial" w:hAnsi="Arial" w:cs="Arial"/>
          <w:sz w:val="22"/>
          <w:szCs w:val="22"/>
        </w:rPr>
        <w:t xml:space="preserve"> discharge/transfer completed without executing mandatory DOAC re-initiation check.</w:t>
      </w:r>
    </w:p>
    <w:p w14:paraId="4D39650F" w14:textId="43B66411" w:rsidR="00AA0302" w:rsidRPr="00A90086" w:rsidRDefault="00AA0302" w:rsidP="0002242A">
      <w:pPr>
        <w:rPr>
          <w:rFonts w:ascii="Arial" w:hAnsi="Arial" w:cs="Arial"/>
          <w:sz w:val="20"/>
          <w:szCs w:val="20"/>
        </w:rPr>
      </w:pPr>
    </w:p>
    <w:p w14:paraId="59509FF7" w14:textId="3018054C" w:rsidR="00AA0302" w:rsidRPr="00A90086" w:rsidRDefault="00AA0302" w:rsidP="0002242A">
      <w:pPr>
        <w:rPr>
          <w:rFonts w:ascii="Arial" w:hAnsi="Arial" w:cs="Arial"/>
          <w:sz w:val="22"/>
          <w:szCs w:val="22"/>
        </w:rPr>
      </w:pPr>
      <w:r w:rsidRPr="00A90086">
        <w:rPr>
          <w:rFonts w:ascii="Arial" w:hAnsi="Arial" w:cs="Arial"/>
          <w:sz w:val="22"/>
          <w:szCs w:val="22"/>
        </w:rPr>
        <w:t xml:space="preserve">                                                      (CATASTROPHIC PATIENT OUTCOME)</w:t>
      </w:r>
    </w:p>
    <w:p w14:paraId="43C0F7E2" w14:textId="4D81CD76" w:rsidR="00AA0302" w:rsidRPr="00A90086" w:rsidRDefault="000F2BEB" w:rsidP="0002242A">
      <w:pPr>
        <w:rPr>
          <w:rFonts w:ascii="Arial" w:hAnsi="Arial" w:cs="Arial"/>
          <w:sz w:val="22"/>
          <w:szCs w:val="22"/>
        </w:rPr>
      </w:pPr>
      <w:r w:rsidRPr="00A90086">
        <w:rPr>
          <w:rFonts w:ascii="Arial" w:hAnsi="Arial" w:cs="Arial"/>
          <w:sz w:val="22"/>
          <w:szCs w:val="22"/>
        </w:rPr>
        <w:t> - Fatal Ischaemic Stroke occurring 12 days post-admission secondary to unmanaged thromboembolism.</w:t>
      </w:r>
      <w:r w:rsidRPr="00A90086">
        <w:rPr>
          <w:rFonts w:ascii="Arial" w:hAnsi="Arial" w:cs="Arial"/>
          <w:sz w:val="22"/>
          <w:szCs w:val="22"/>
        </w:rPr>
        <w:br/>
        <w:t>  - Complete Loss of Family Trust, Avoidable Patient Fatality, &amp; High-Level HSSIB Investigation.</w:t>
      </w:r>
      <w:r w:rsidRPr="00A90086">
        <w:rPr>
          <w:rFonts w:ascii="Arial" w:hAnsi="Arial" w:cs="Arial"/>
          <w:sz w:val="22"/>
          <w:szCs w:val="22"/>
        </w:rPr>
        <w:br/>
      </w:r>
    </w:p>
    <w:p w14:paraId="63EE1B11" w14:textId="77777777" w:rsidR="000F2BEB" w:rsidRPr="00A90086" w:rsidRDefault="000F2BEB" w:rsidP="0002242A">
      <w:pPr>
        <w:rPr>
          <w:rFonts w:ascii="Arial" w:hAnsi="Arial" w:cs="Arial"/>
          <w:sz w:val="20"/>
          <w:szCs w:val="20"/>
        </w:rPr>
      </w:pPr>
    </w:p>
    <w:p w14:paraId="1C3CE6F0" w14:textId="77777777" w:rsidR="000F2BEB" w:rsidRPr="00A90086" w:rsidRDefault="000F2BEB" w:rsidP="009C20D1">
      <w:pPr>
        <w:spacing w:line="276" w:lineRule="auto"/>
        <w:rPr>
          <w:rFonts w:ascii="Arial" w:hAnsi="Arial" w:cs="Arial"/>
          <w:b/>
          <w:bCs/>
        </w:rPr>
      </w:pPr>
      <w:r w:rsidRPr="00A90086">
        <w:rPr>
          <w:rFonts w:ascii="Arial" w:hAnsi="Arial" w:cs="Arial"/>
          <w:b/>
          <w:bCs/>
        </w:rPr>
        <w:t>Global, National, and Organisational Statistical Evidence</w:t>
      </w:r>
    </w:p>
    <w:p w14:paraId="67743B49" w14:textId="77777777" w:rsidR="000F2BEB" w:rsidRPr="00A90086" w:rsidRDefault="000F2BEB" w:rsidP="009C20D1">
      <w:pPr>
        <w:spacing w:line="276" w:lineRule="auto"/>
        <w:rPr>
          <w:rFonts w:ascii="Arial" w:hAnsi="Arial" w:cs="Arial"/>
        </w:rPr>
      </w:pPr>
      <w:r w:rsidRPr="00A90086">
        <w:rPr>
          <w:rFonts w:ascii="Arial" w:hAnsi="Arial" w:cs="Arial"/>
        </w:rPr>
        <w:lastRenderedPageBreak/>
        <w:t>Global statistical data from the World Health Organization (WHO, 2022) indicates that medication errors account for over $42 billion in annual global healthcare costs, representing the leading cause of preventable patient harm worldwide. The WHO’s Third Global Patient Safety Challenge, Medication Without Harm, specifically highlights high-risk drug omissions—particularly anticoagulants, insulins, and anti-infectives—as primary targets for system-wide reform (WHO, 2022).</w:t>
      </w:r>
    </w:p>
    <w:p w14:paraId="71133EE7" w14:textId="77777777" w:rsidR="000F2BEB" w:rsidRPr="00A90086" w:rsidRDefault="000F2BEB" w:rsidP="009C20D1">
      <w:pPr>
        <w:spacing w:line="276" w:lineRule="auto"/>
        <w:rPr>
          <w:rFonts w:ascii="Arial" w:hAnsi="Arial" w:cs="Arial"/>
        </w:rPr>
      </w:pPr>
      <w:r w:rsidRPr="00A90086">
        <w:rPr>
          <w:rFonts w:ascii="Arial" w:hAnsi="Arial" w:cs="Arial"/>
        </w:rPr>
        <w:t>In the United Kingdom National Health Service (NHS), medication-related adverse events account for over 18% of all reported patient safety incidents annually (NHS England, 2022; Care Quality Commission [CQC], 2023). Anticoagulation errors consistently rank among the top three causes of preventable drug-induced death and severe disability across NHS Trusts, with omitted or delayed doses representing over 30% of all reported anticoagulant incidents (Healthcare Improvement Scotland, 2021; National Reporting and Learning System [NRLS], 2022). According to HSSIB (2023), omissions of DOACs in acute inpatient settings carry a 4-fold increase in 30-day stroke risk for patients with atrial fibrillation or prior thromboembolic disease, reflecting a severe national patient safety vulnerability.</w:t>
      </w:r>
    </w:p>
    <w:p w14:paraId="0A610687" w14:textId="77777777" w:rsidR="000F2BEB" w:rsidRPr="00A90086" w:rsidRDefault="000F2BEB" w:rsidP="009C20D1">
      <w:pPr>
        <w:spacing w:line="276" w:lineRule="auto"/>
        <w:rPr>
          <w:rFonts w:ascii="Arial" w:hAnsi="Arial" w:cs="Arial"/>
          <w:b/>
          <w:bCs/>
        </w:rPr>
      </w:pPr>
      <w:r w:rsidRPr="00A90086">
        <w:rPr>
          <w:rFonts w:ascii="Arial" w:hAnsi="Arial" w:cs="Arial"/>
          <w:b/>
          <w:bCs/>
        </w:rPr>
        <w:t>Systems Weaknesses, Governance Levels, and Underlying Challenges</w:t>
      </w:r>
    </w:p>
    <w:p w14:paraId="47441E04" w14:textId="77777777" w:rsidR="000F2BEB" w:rsidRPr="00A90086" w:rsidRDefault="000F2BEB" w:rsidP="009C20D1">
      <w:pPr>
        <w:spacing w:line="276" w:lineRule="auto"/>
        <w:rPr>
          <w:rFonts w:ascii="Arial" w:hAnsi="Arial" w:cs="Arial"/>
        </w:rPr>
      </w:pPr>
      <w:r w:rsidRPr="00A90086">
        <w:rPr>
          <w:rFonts w:ascii="Arial" w:hAnsi="Arial" w:cs="Arial"/>
        </w:rPr>
        <w:t>The incident involving Patient X illuminates acute systemic weaknesses spanning three distinct levels of governance:</w:t>
      </w:r>
    </w:p>
    <w:p w14:paraId="1B406967" w14:textId="77777777" w:rsidR="000F2BEB" w:rsidRPr="00A90086" w:rsidRDefault="000F2BEB" w:rsidP="009C20D1">
      <w:pPr>
        <w:numPr>
          <w:ilvl w:val="0"/>
          <w:numId w:val="16"/>
        </w:numPr>
        <w:spacing w:line="276" w:lineRule="auto"/>
        <w:rPr>
          <w:rFonts w:ascii="Arial" w:hAnsi="Arial" w:cs="Arial"/>
        </w:rPr>
      </w:pPr>
      <w:r w:rsidRPr="00A90086">
        <w:rPr>
          <w:rFonts w:ascii="Arial" w:hAnsi="Arial" w:cs="Arial"/>
          <w:b/>
          <w:bCs/>
        </w:rPr>
        <w:t>Local Governance (Hospital / Ward Level):</w:t>
      </w:r>
      <w:r w:rsidRPr="00A90086">
        <w:rPr>
          <w:rFonts w:ascii="Arial" w:hAnsi="Arial" w:cs="Arial"/>
        </w:rPr>
        <w:t xml:space="preserve"> Total absence of a standardized, daily pharmaceutical reconciliation protocol for paused high-alert medications; failure to assign clear clinical ownership between the primary medical ward team and the procedural/surgical team; and reliance on unstructured, verbal handovers during ward transfers (HSSIB, 2023; Joint Commission, 2023).</w:t>
      </w:r>
    </w:p>
    <w:p w14:paraId="1118681E" w14:textId="77777777" w:rsidR="000F2BEB" w:rsidRPr="00A90086" w:rsidRDefault="000F2BEB" w:rsidP="009C20D1">
      <w:pPr>
        <w:numPr>
          <w:ilvl w:val="0"/>
          <w:numId w:val="16"/>
        </w:numPr>
        <w:spacing w:line="276" w:lineRule="auto"/>
        <w:rPr>
          <w:rFonts w:ascii="Arial" w:hAnsi="Arial" w:cs="Arial"/>
        </w:rPr>
      </w:pPr>
      <w:r w:rsidRPr="00A90086">
        <w:rPr>
          <w:rFonts w:ascii="Arial" w:hAnsi="Arial" w:cs="Arial"/>
          <w:b/>
          <w:bCs/>
        </w:rPr>
        <w:t>Regional Governance (Integrated Care Board [ICB] Level):</w:t>
      </w:r>
      <w:r w:rsidRPr="00A90086">
        <w:rPr>
          <w:rFonts w:ascii="Arial" w:hAnsi="Arial" w:cs="Arial"/>
        </w:rPr>
        <w:t xml:space="preserve"> Inadequate oversight regarding cross-specialty clinical pathways, failure to audit hospital-level compliance with national DOAC safety alerts, and insufficient funding allocations for electronic prescribing and medicines administration (</w:t>
      </w:r>
      <w:proofErr w:type="spellStart"/>
      <w:r w:rsidRPr="00A90086">
        <w:rPr>
          <w:rFonts w:ascii="Arial" w:hAnsi="Arial" w:cs="Arial"/>
        </w:rPr>
        <w:t>ePMA</w:t>
      </w:r>
      <w:proofErr w:type="spellEnd"/>
      <w:r w:rsidRPr="00A90086">
        <w:rPr>
          <w:rFonts w:ascii="Arial" w:hAnsi="Arial" w:cs="Arial"/>
        </w:rPr>
        <w:t>) decision-support technology (NHS Confederation, 2022).</w:t>
      </w:r>
    </w:p>
    <w:p w14:paraId="705EF640" w14:textId="77777777" w:rsidR="000F2BEB" w:rsidRPr="00A90086" w:rsidRDefault="000F2BEB" w:rsidP="009C20D1">
      <w:pPr>
        <w:numPr>
          <w:ilvl w:val="0"/>
          <w:numId w:val="16"/>
        </w:numPr>
        <w:spacing w:line="276" w:lineRule="auto"/>
        <w:rPr>
          <w:rFonts w:ascii="Arial" w:hAnsi="Arial" w:cs="Arial"/>
        </w:rPr>
      </w:pPr>
      <w:r w:rsidRPr="00A90086">
        <w:rPr>
          <w:rFonts w:ascii="Arial" w:hAnsi="Arial" w:cs="Arial"/>
          <w:b/>
          <w:bCs/>
        </w:rPr>
        <w:t>National Governance (Department of Health / NHS England):</w:t>
      </w:r>
      <w:r w:rsidRPr="00A90086">
        <w:rPr>
          <w:rFonts w:ascii="Arial" w:hAnsi="Arial" w:cs="Arial"/>
        </w:rPr>
        <w:t xml:space="preserve"> Inconsistent statutory enforcement of automated digital prescribing safety nets across all NHS acute trusts and absent national standardization for temporary drug-pause documentation (MHRA, 2022).</w:t>
      </w:r>
    </w:p>
    <w:p w14:paraId="0619EDAA" w14:textId="77777777" w:rsidR="000F2BEB" w:rsidRPr="00A90086" w:rsidRDefault="000F2BEB" w:rsidP="009C20D1">
      <w:pPr>
        <w:spacing w:line="276" w:lineRule="auto"/>
        <w:rPr>
          <w:rFonts w:ascii="Arial" w:hAnsi="Arial" w:cs="Arial"/>
        </w:rPr>
      </w:pPr>
      <w:r w:rsidRPr="00A90086">
        <w:rPr>
          <w:rFonts w:ascii="Arial" w:hAnsi="Arial" w:cs="Arial"/>
        </w:rPr>
        <w:t xml:space="preserve">Underlying operational challenges contributed directly to this systemic failure. Acute medical wards across public hospitals frequently operate at bed occupancy rates exceeding 95% (recommended ceiling is 85%), creating intense cognitive pressure, high turnover, and rapid bed transfers (Royal College of Physicians [RCP], 2022). In such overcrowded environments, clinicians experience "alert fatigue" and cognitive </w:t>
      </w:r>
      <w:r w:rsidRPr="00A90086">
        <w:rPr>
          <w:rFonts w:ascii="Arial" w:hAnsi="Arial" w:cs="Arial"/>
        </w:rPr>
        <w:lastRenderedPageBreak/>
        <w:t>overload, drastically increasing human vulnerability to omission errors and diffusion of responsibility (</w:t>
      </w:r>
      <w:proofErr w:type="spellStart"/>
      <w:r w:rsidRPr="00A90086">
        <w:rPr>
          <w:rFonts w:ascii="Arial" w:hAnsi="Arial" w:cs="Arial"/>
        </w:rPr>
        <w:t>Carayon</w:t>
      </w:r>
      <w:proofErr w:type="spellEnd"/>
      <w:r w:rsidRPr="00A90086">
        <w:rPr>
          <w:rFonts w:ascii="Arial" w:hAnsi="Arial" w:cs="Arial"/>
        </w:rPr>
        <w:t xml:space="preserve"> et al., 2014; Reason, 2016).</w:t>
      </w:r>
    </w:p>
    <w:p w14:paraId="2BBF4257" w14:textId="77777777" w:rsidR="000F2BEB" w:rsidRPr="00A90086" w:rsidRDefault="000F2BEB" w:rsidP="009C20D1">
      <w:pPr>
        <w:spacing w:line="276" w:lineRule="auto"/>
        <w:rPr>
          <w:rFonts w:ascii="Arial" w:hAnsi="Arial" w:cs="Arial"/>
        </w:rPr>
      </w:pPr>
      <w:r w:rsidRPr="00A90086">
        <w:rPr>
          <w:rFonts w:ascii="Arial" w:hAnsi="Arial" w:cs="Arial"/>
        </w:rPr>
        <w:t>Furthermore, the Rich Picture model (Figure 1) constructs the complex web of interactions: siloed medical specialties, informal handover norms, steep power gradients between senior procedure specialists and ward doctors, absence of visual anticoagulant pause tags, and feedback loops characterized by low psychological safety. When ambiguity surrounds drug ownership, ward doctors assume procedure teams will restart paused medications, while procedure teams assume ward teams retain primary prescribing responsibility—a classic "diffusion of responsibility" that permits fatal gaps to open in care delivery (Edmondson, 2019; Vincent, 2010).</w:t>
      </w:r>
    </w:p>
    <w:p w14:paraId="6360C431" w14:textId="481D2500" w:rsidR="000F2BEB" w:rsidRPr="00A90086" w:rsidRDefault="000F2BEB" w:rsidP="009C20D1">
      <w:pPr>
        <w:spacing w:line="276" w:lineRule="auto"/>
        <w:rPr>
          <w:rFonts w:ascii="Arial" w:hAnsi="Arial" w:cs="Arial"/>
          <w:b/>
          <w:bCs/>
        </w:rPr>
      </w:pPr>
      <w:r w:rsidRPr="00A90086">
        <w:rPr>
          <w:rFonts w:ascii="Arial" w:hAnsi="Arial" w:cs="Arial"/>
          <w:b/>
          <w:bCs/>
        </w:rPr>
        <w:t xml:space="preserve">2b. Centralisation or Decentralisation within the Case Study </w:t>
      </w:r>
    </w:p>
    <w:p w14:paraId="12537BAC" w14:textId="77777777" w:rsidR="000F2BEB" w:rsidRPr="00A90086" w:rsidRDefault="000F2BEB" w:rsidP="009C20D1">
      <w:pPr>
        <w:spacing w:line="276" w:lineRule="auto"/>
        <w:rPr>
          <w:rFonts w:ascii="Arial" w:hAnsi="Arial" w:cs="Arial"/>
          <w:b/>
          <w:bCs/>
        </w:rPr>
      </w:pPr>
      <w:r w:rsidRPr="00A90086">
        <w:rPr>
          <w:rFonts w:ascii="Arial" w:hAnsi="Arial" w:cs="Arial"/>
          <w:b/>
          <w:bCs/>
        </w:rPr>
        <w:t>Structural Analysis of the Case Study Organisation</w:t>
      </w:r>
    </w:p>
    <w:p w14:paraId="27BC303B" w14:textId="77777777" w:rsidR="000F2BEB" w:rsidRPr="00A90086" w:rsidRDefault="000F2BEB" w:rsidP="009C20D1">
      <w:pPr>
        <w:spacing w:line="276" w:lineRule="auto"/>
        <w:rPr>
          <w:rFonts w:ascii="Arial" w:hAnsi="Arial" w:cs="Arial"/>
        </w:rPr>
      </w:pPr>
      <w:r w:rsidRPr="00A90086">
        <w:rPr>
          <w:rFonts w:ascii="Arial" w:hAnsi="Arial" w:cs="Arial"/>
        </w:rPr>
        <w:t>The hospital organization in the Patient X case study operates within a highly centralized administrative structure combined with fragmented, unregulated operational decentralisation across clinical specialties (Peckham et al., 2018; HSSIB, 2023). Strategic governance, policy formulation, budgetary approval, and disciplinary oversight are tightly held within top-tier executive directorates, while daily clinical decisions regarding drug administration, procedure scheduling, and ward transfers are dispersed among independent clinical teams (Prasad, 2020).</w:t>
      </w:r>
    </w:p>
    <w:tbl>
      <w:tblPr>
        <w:tblStyle w:val="TableGrid"/>
        <w:tblW w:w="0" w:type="auto"/>
        <w:tblLook w:val="04A0" w:firstRow="1" w:lastRow="0" w:firstColumn="1" w:lastColumn="0" w:noHBand="0" w:noVBand="1"/>
      </w:tblPr>
      <w:tblGrid>
        <w:gridCol w:w="2378"/>
        <w:gridCol w:w="3342"/>
        <w:gridCol w:w="3296"/>
      </w:tblGrid>
      <w:tr w:rsidR="000F23DB" w:rsidRPr="00A90086" w14:paraId="73F02FFB" w14:textId="77777777" w:rsidTr="000F23DB">
        <w:tc>
          <w:tcPr>
            <w:tcW w:w="0" w:type="auto"/>
            <w:hideMark/>
          </w:tcPr>
          <w:p w14:paraId="70157BB7" w14:textId="77777777" w:rsidR="000F23DB" w:rsidRPr="00A90086" w:rsidRDefault="000F23DB" w:rsidP="009C20D1">
            <w:pPr>
              <w:spacing w:after="160" w:line="276" w:lineRule="auto"/>
              <w:rPr>
                <w:rFonts w:ascii="Arial" w:hAnsi="Arial" w:cs="Arial"/>
              </w:rPr>
            </w:pPr>
            <w:r w:rsidRPr="00A90086">
              <w:rPr>
                <w:rFonts w:ascii="Arial" w:hAnsi="Arial" w:cs="Arial"/>
                <w:b/>
                <w:bCs/>
              </w:rPr>
              <w:t>Criteria</w:t>
            </w:r>
          </w:p>
        </w:tc>
        <w:tc>
          <w:tcPr>
            <w:tcW w:w="0" w:type="auto"/>
            <w:hideMark/>
          </w:tcPr>
          <w:p w14:paraId="03380B5A" w14:textId="77777777" w:rsidR="000F23DB" w:rsidRPr="00A90086" w:rsidRDefault="000F23DB" w:rsidP="009C20D1">
            <w:pPr>
              <w:spacing w:after="160" w:line="276" w:lineRule="auto"/>
              <w:rPr>
                <w:rFonts w:ascii="Arial" w:hAnsi="Arial" w:cs="Arial"/>
              </w:rPr>
            </w:pPr>
            <w:r w:rsidRPr="00A90086">
              <w:rPr>
                <w:rFonts w:ascii="Arial" w:hAnsi="Arial" w:cs="Arial"/>
                <w:b/>
                <w:bCs/>
              </w:rPr>
              <w:t>Centre-Dominated Centralisation</w:t>
            </w:r>
          </w:p>
        </w:tc>
        <w:tc>
          <w:tcPr>
            <w:tcW w:w="0" w:type="auto"/>
            <w:hideMark/>
          </w:tcPr>
          <w:p w14:paraId="18183684" w14:textId="77777777" w:rsidR="000F23DB" w:rsidRPr="00A90086" w:rsidRDefault="000F23DB" w:rsidP="009C20D1">
            <w:pPr>
              <w:spacing w:after="160" w:line="276" w:lineRule="auto"/>
              <w:rPr>
                <w:rFonts w:ascii="Arial" w:hAnsi="Arial" w:cs="Arial"/>
              </w:rPr>
            </w:pPr>
            <w:r w:rsidRPr="00A90086">
              <w:rPr>
                <w:rFonts w:ascii="Arial" w:hAnsi="Arial" w:cs="Arial"/>
                <w:b/>
                <w:bCs/>
              </w:rPr>
              <w:t>Decentralised Governance &amp; HROs</w:t>
            </w:r>
          </w:p>
        </w:tc>
      </w:tr>
      <w:tr w:rsidR="000F23DB" w:rsidRPr="00A90086" w14:paraId="32828FC0" w14:textId="77777777" w:rsidTr="000F23DB">
        <w:tc>
          <w:tcPr>
            <w:tcW w:w="0" w:type="auto"/>
            <w:hideMark/>
          </w:tcPr>
          <w:p w14:paraId="606DB2B5" w14:textId="77777777" w:rsidR="000F23DB" w:rsidRPr="00A90086" w:rsidRDefault="000F23DB" w:rsidP="009C20D1">
            <w:pPr>
              <w:spacing w:after="160" w:line="276" w:lineRule="auto"/>
              <w:rPr>
                <w:rFonts w:ascii="Arial" w:hAnsi="Arial" w:cs="Arial"/>
              </w:rPr>
            </w:pPr>
            <w:r w:rsidRPr="00A90086">
              <w:rPr>
                <w:rFonts w:ascii="Arial" w:hAnsi="Arial" w:cs="Arial"/>
                <w:b/>
                <w:bCs/>
              </w:rPr>
              <w:t>Decision-Making Authority</w:t>
            </w:r>
          </w:p>
        </w:tc>
        <w:tc>
          <w:tcPr>
            <w:tcW w:w="0" w:type="auto"/>
            <w:hideMark/>
          </w:tcPr>
          <w:p w14:paraId="6B6DB3C6" w14:textId="77777777" w:rsidR="000F23DB" w:rsidRPr="00A90086" w:rsidRDefault="000F23DB" w:rsidP="009C20D1">
            <w:pPr>
              <w:spacing w:after="160" w:line="276" w:lineRule="auto"/>
              <w:rPr>
                <w:rFonts w:ascii="Arial" w:hAnsi="Arial" w:cs="Arial"/>
              </w:rPr>
            </w:pPr>
            <w:r w:rsidRPr="00A90086">
              <w:rPr>
                <w:rFonts w:ascii="Arial" w:hAnsi="Arial" w:cs="Arial"/>
              </w:rPr>
              <w:t>Concentrated at executive directorate level; rigid top-down procedural mandates.</w:t>
            </w:r>
          </w:p>
        </w:tc>
        <w:tc>
          <w:tcPr>
            <w:tcW w:w="0" w:type="auto"/>
            <w:hideMark/>
          </w:tcPr>
          <w:p w14:paraId="6A96B3F4" w14:textId="77777777" w:rsidR="000F23DB" w:rsidRPr="00A90086" w:rsidRDefault="000F23DB" w:rsidP="009C20D1">
            <w:pPr>
              <w:spacing w:after="160" w:line="276" w:lineRule="auto"/>
              <w:rPr>
                <w:rFonts w:ascii="Arial" w:hAnsi="Arial" w:cs="Arial"/>
              </w:rPr>
            </w:pPr>
            <w:r w:rsidRPr="00A90086">
              <w:rPr>
                <w:rFonts w:ascii="Arial" w:hAnsi="Arial" w:cs="Arial"/>
              </w:rPr>
              <w:t>Delegated to frontline multidisciplinary teams; situational flattening of hierarchy.</w:t>
            </w:r>
          </w:p>
        </w:tc>
      </w:tr>
      <w:tr w:rsidR="000F23DB" w:rsidRPr="00A90086" w14:paraId="432F5231" w14:textId="77777777" w:rsidTr="000F23DB">
        <w:tc>
          <w:tcPr>
            <w:tcW w:w="0" w:type="auto"/>
            <w:hideMark/>
          </w:tcPr>
          <w:p w14:paraId="55D1991B" w14:textId="77777777" w:rsidR="000F23DB" w:rsidRPr="00A90086" w:rsidRDefault="000F23DB" w:rsidP="009C20D1">
            <w:pPr>
              <w:spacing w:after="160" w:line="276" w:lineRule="auto"/>
              <w:rPr>
                <w:rFonts w:ascii="Arial" w:hAnsi="Arial" w:cs="Arial"/>
              </w:rPr>
            </w:pPr>
            <w:r w:rsidRPr="00A90086">
              <w:rPr>
                <w:rFonts w:ascii="Arial" w:hAnsi="Arial" w:cs="Arial"/>
                <w:b/>
                <w:bCs/>
              </w:rPr>
              <w:t>Operational Flexibility</w:t>
            </w:r>
          </w:p>
        </w:tc>
        <w:tc>
          <w:tcPr>
            <w:tcW w:w="0" w:type="auto"/>
            <w:hideMark/>
          </w:tcPr>
          <w:p w14:paraId="64EB9146" w14:textId="77777777" w:rsidR="000F23DB" w:rsidRPr="00A90086" w:rsidRDefault="000F23DB" w:rsidP="009C20D1">
            <w:pPr>
              <w:spacing w:after="160" w:line="276" w:lineRule="auto"/>
              <w:rPr>
                <w:rFonts w:ascii="Arial" w:hAnsi="Arial" w:cs="Arial"/>
              </w:rPr>
            </w:pPr>
            <w:r w:rsidRPr="00A90086">
              <w:rPr>
                <w:rFonts w:ascii="Arial" w:hAnsi="Arial" w:cs="Arial"/>
              </w:rPr>
              <w:t>Low; staff follow bureaucratic routines without discretionary problem-solving.</w:t>
            </w:r>
          </w:p>
        </w:tc>
        <w:tc>
          <w:tcPr>
            <w:tcW w:w="0" w:type="auto"/>
            <w:hideMark/>
          </w:tcPr>
          <w:p w14:paraId="3C311CEC" w14:textId="77777777" w:rsidR="000F23DB" w:rsidRPr="00A90086" w:rsidRDefault="000F23DB" w:rsidP="009C20D1">
            <w:pPr>
              <w:spacing w:after="160" w:line="276" w:lineRule="auto"/>
              <w:rPr>
                <w:rFonts w:ascii="Arial" w:hAnsi="Arial" w:cs="Arial"/>
              </w:rPr>
            </w:pPr>
            <w:r w:rsidRPr="00A90086">
              <w:rPr>
                <w:rFonts w:ascii="Arial" w:hAnsi="Arial" w:cs="Arial"/>
              </w:rPr>
              <w:t>High; clinical teams adapt processes to real-time clinical risks and context.</w:t>
            </w:r>
          </w:p>
        </w:tc>
      </w:tr>
      <w:tr w:rsidR="000F23DB" w:rsidRPr="00A90086" w14:paraId="0D31911B" w14:textId="77777777" w:rsidTr="000F23DB">
        <w:tc>
          <w:tcPr>
            <w:tcW w:w="0" w:type="auto"/>
            <w:hideMark/>
          </w:tcPr>
          <w:p w14:paraId="0970EE15" w14:textId="77777777" w:rsidR="000F23DB" w:rsidRPr="00A90086" w:rsidRDefault="000F23DB" w:rsidP="009C20D1">
            <w:pPr>
              <w:spacing w:after="160" w:line="276" w:lineRule="auto"/>
              <w:rPr>
                <w:rFonts w:ascii="Arial" w:hAnsi="Arial" w:cs="Arial"/>
              </w:rPr>
            </w:pPr>
            <w:r w:rsidRPr="00A90086">
              <w:rPr>
                <w:rFonts w:ascii="Arial" w:hAnsi="Arial" w:cs="Arial"/>
                <w:b/>
                <w:bCs/>
              </w:rPr>
              <w:t>Communication Flow</w:t>
            </w:r>
          </w:p>
        </w:tc>
        <w:tc>
          <w:tcPr>
            <w:tcW w:w="0" w:type="auto"/>
            <w:hideMark/>
          </w:tcPr>
          <w:p w14:paraId="4C6A4BA8" w14:textId="77777777" w:rsidR="000F23DB" w:rsidRPr="00A90086" w:rsidRDefault="000F23DB" w:rsidP="009C20D1">
            <w:pPr>
              <w:spacing w:after="160" w:line="276" w:lineRule="auto"/>
              <w:rPr>
                <w:rFonts w:ascii="Arial" w:hAnsi="Arial" w:cs="Arial"/>
              </w:rPr>
            </w:pPr>
            <w:r w:rsidRPr="00A90086">
              <w:rPr>
                <w:rFonts w:ascii="Arial" w:hAnsi="Arial" w:cs="Arial"/>
              </w:rPr>
              <w:t>Vertical, formal, top-down; information is bottlenecked at management tiers.</w:t>
            </w:r>
          </w:p>
        </w:tc>
        <w:tc>
          <w:tcPr>
            <w:tcW w:w="0" w:type="auto"/>
            <w:hideMark/>
          </w:tcPr>
          <w:p w14:paraId="24E5566E" w14:textId="77777777" w:rsidR="000F23DB" w:rsidRPr="00A90086" w:rsidRDefault="000F23DB" w:rsidP="009C20D1">
            <w:pPr>
              <w:spacing w:after="160" w:line="276" w:lineRule="auto"/>
              <w:rPr>
                <w:rFonts w:ascii="Arial" w:hAnsi="Arial" w:cs="Arial"/>
              </w:rPr>
            </w:pPr>
            <w:r w:rsidRPr="00A90086">
              <w:rPr>
                <w:rFonts w:ascii="Arial" w:hAnsi="Arial" w:cs="Arial"/>
              </w:rPr>
              <w:t>Multidirectional, transparent, continuous; horizontal peer-to-peer feedback.</w:t>
            </w:r>
          </w:p>
        </w:tc>
      </w:tr>
      <w:tr w:rsidR="000F23DB" w:rsidRPr="00A90086" w14:paraId="01C72AC8" w14:textId="77777777" w:rsidTr="000F23DB">
        <w:tc>
          <w:tcPr>
            <w:tcW w:w="0" w:type="auto"/>
            <w:hideMark/>
          </w:tcPr>
          <w:p w14:paraId="419875CD" w14:textId="77777777" w:rsidR="000F23DB" w:rsidRPr="00A90086" w:rsidRDefault="000F23DB" w:rsidP="009C20D1">
            <w:pPr>
              <w:spacing w:after="160" w:line="276" w:lineRule="auto"/>
              <w:rPr>
                <w:rFonts w:ascii="Arial" w:hAnsi="Arial" w:cs="Arial"/>
              </w:rPr>
            </w:pPr>
            <w:r w:rsidRPr="00A90086">
              <w:rPr>
                <w:rFonts w:ascii="Arial" w:hAnsi="Arial" w:cs="Arial"/>
                <w:b/>
                <w:bCs/>
              </w:rPr>
              <w:t>Psychological Safety &amp; Culture</w:t>
            </w:r>
          </w:p>
        </w:tc>
        <w:tc>
          <w:tcPr>
            <w:tcW w:w="0" w:type="auto"/>
            <w:hideMark/>
          </w:tcPr>
          <w:p w14:paraId="10EC0DC5" w14:textId="77777777" w:rsidR="000F23DB" w:rsidRPr="00A90086" w:rsidRDefault="000F23DB" w:rsidP="009C20D1">
            <w:pPr>
              <w:spacing w:after="160" w:line="276" w:lineRule="auto"/>
              <w:rPr>
                <w:rFonts w:ascii="Arial" w:hAnsi="Arial" w:cs="Arial"/>
              </w:rPr>
            </w:pPr>
            <w:r w:rsidRPr="00A90086">
              <w:rPr>
                <w:rFonts w:ascii="Arial" w:hAnsi="Arial" w:cs="Arial"/>
              </w:rPr>
              <w:t>Low; fear of punishment drives concealment of near-misses and procedural deviations.</w:t>
            </w:r>
          </w:p>
        </w:tc>
        <w:tc>
          <w:tcPr>
            <w:tcW w:w="0" w:type="auto"/>
            <w:hideMark/>
          </w:tcPr>
          <w:p w14:paraId="4AD8FF4E" w14:textId="77777777" w:rsidR="000F23DB" w:rsidRPr="00A90086" w:rsidRDefault="000F23DB" w:rsidP="009C20D1">
            <w:pPr>
              <w:spacing w:after="160" w:line="276" w:lineRule="auto"/>
              <w:rPr>
                <w:rFonts w:ascii="Arial" w:hAnsi="Arial" w:cs="Arial"/>
              </w:rPr>
            </w:pPr>
            <w:r w:rsidRPr="00A90086">
              <w:rPr>
                <w:rFonts w:ascii="Arial" w:hAnsi="Arial" w:cs="Arial"/>
              </w:rPr>
              <w:t>High; error reporting viewed as systemic learning; non-punitive incident reporting.</w:t>
            </w:r>
          </w:p>
        </w:tc>
      </w:tr>
      <w:tr w:rsidR="000F23DB" w:rsidRPr="00A90086" w14:paraId="5A94D7ED" w14:textId="77777777" w:rsidTr="000F23DB">
        <w:tc>
          <w:tcPr>
            <w:tcW w:w="0" w:type="auto"/>
            <w:hideMark/>
          </w:tcPr>
          <w:p w14:paraId="50C0ED28" w14:textId="77777777" w:rsidR="000F23DB" w:rsidRPr="00A90086" w:rsidRDefault="000F23DB" w:rsidP="009C20D1">
            <w:pPr>
              <w:spacing w:after="160" w:line="276" w:lineRule="auto"/>
              <w:rPr>
                <w:rFonts w:ascii="Arial" w:hAnsi="Arial" w:cs="Arial"/>
              </w:rPr>
            </w:pPr>
            <w:r w:rsidRPr="00A90086">
              <w:rPr>
                <w:rFonts w:ascii="Arial" w:hAnsi="Arial" w:cs="Arial"/>
                <w:b/>
                <w:bCs/>
              </w:rPr>
              <w:t>Safety Metric Impact</w:t>
            </w:r>
          </w:p>
        </w:tc>
        <w:tc>
          <w:tcPr>
            <w:tcW w:w="0" w:type="auto"/>
            <w:hideMark/>
          </w:tcPr>
          <w:p w14:paraId="145701B6" w14:textId="77777777" w:rsidR="000F23DB" w:rsidRPr="00A90086" w:rsidRDefault="000F23DB" w:rsidP="009C20D1">
            <w:pPr>
              <w:spacing w:after="160" w:line="276" w:lineRule="auto"/>
              <w:rPr>
                <w:rFonts w:ascii="Arial" w:hAnsi="Arial" w:cs="Arial"/>
              </w:rPr>
            </w:pPr>
            <w:r w:rsidRPr="00A90086">
              <w:rPr>
                <w:rFonts w:ascii="Arial" w:hAnsi="Arial" w:cs="Arial"/>
              </w:rPr>
              <w:t>Higher incidence of Never Events; slow response to localized safety failures.</w:t>
            </w:r>
          </w:p>
        </w:tc>
        <w:tc>
          <w:tcPr>
            <w:tcW w:w="0" w:type="auto"/>
            <w:hideMark/>
          </w:tcPr>
          <w:p w14:paraId="68E955FE" w14:textId="77777777" w:rsidR="000F23DB" w:rsidRPr="00A90086" w:rsidRDefault="000F23DB" w:rsidP="009C20D1">
            <w:pPr>
              <w:spacing w:after="160" w:line="276" w:lineRule="auto"/>
              <w:rPr>
                <w:rFonts w:ascii="Arial" w:hAnsi="Arial" w:cs="Arial"/>
              </w:rPr>
            </w:pPr>
            <w:r w:rsidRPr="00A90086">
              <w:rPr>
                <w:rFonts w:ascii="Arial" w:hAnsi="Arial" w:cs="Arial"/>
              </w:rPr>
              <w:t>Lower incident rate; rapid detection of near-misses; strong checklist compliance.</w:t>
            </w:r>
          </w:p>
        </w:tc>
      </w:tr>
    </w:tbl>
    <w:p w14:paraId="20520D9B" w14:textId="46CA71B6" w:rsidR="000F2BEB" w:rsidRPr="00A90086" w:rsidRDefault="008F1A45" w:rsidP="009C20D1">
      <w:pPr>
        <w:spacing w:line="276" w:lineRule="auto"/>
        <w:rPr>
          <w:rFonts w:ascii="Arial" w:hAnsi="Arial" w:cs="Arial"/>
        </w:rPr>
      </w:pPr>
      <w:r w:rsidRPr="00A90086">
        <w:rPr>
          <w:rFonts w:ascii="Arial" w:hAnsi="Arial" w:cs="Arial"/>
          <w:b/>
          <w:bCs/>
        </w:rPr>
        <w:lastRenderedPageBreak/>
        <w:t>      TABLE 1:</w:t>
      </w:r>
      <w:r w:rsidRPr="00A90086">
        <w:rPr>
          <w:rFonts w:ascii="Arial" w:hAnsi="Arial" w:cs="Arial"/>
        </w:rPr>
        <w:t xml:space="preserve"> COMPARATIVE EVALUATION OF CENTRALISATION VS. DECENTRALISATION IN HEALTHCARE</w:t>
      </w:r>
    </w:p>
    <w:p w14:paraId="2CA9D981" w14:textId="77777777" w:rsidR="00343B68" w:rsidRPr="00A90086" w:rsidRDefault="00343B68" w:rsidP="009C20D1">
      <w:pPr>
        <w:spacing w:line="276" w:lineRule="auto"/>
        <w:rPr>
          <w:rFonts w:ascii="Arial" w:hAnsi="Arial" w:cs="Arial"/>
        </w:rPr>
      </w:pPr>
      <w:r w:rsidRPr="00A90086">
        <w:rPr>
          <w:rFonts w:ascii="Arial" w:hAnsi="Arial" w:cs="Arial"/>
          <w:b/>
          <w:bCs/>
        </w:rPr>
        <w:t>Centralised Systems: Characteristics, Advantages, Disadvantages, and Case Evidence</w:t>
      </w:r>
    </w:p>
    <w:p w14:paraId="0B0A07D4" w14:textId="77777777" w:rsidR="00343B68" w:rsidRPr="00A90086" w:rsidRDefault="00343B68" w:rsidP="009C20D1">
      <w:pPr>
        <w:spacing w:line="276" w:lineRule="auto"/>
        <w:rPr>
          <w:rFonts w:ascii="Arial" w:hAnsi="Arial" w:cs="Arial"/>
        </w:rPr>
      </w:pPr>
      <w:r w:rsidRPr="00A90086">
        <w:rPr>
          <w:rFonts w:ascii="Arial" w:hAnsi="Arial" w:cs="Arial"/>
        </w:rPr>
        <w:t>In a centralised healthcare system, clinical policies, pharmacy formularies, and governance frameworks are dictated vertically from senior executive management (Peckham et al., 2018).</w:t>
      </w:r>
    </w:p>
    <w:p w14:paraId="1ADAFAF4" w14:textId="77777777" w:rsidR="00343B68" w:rsidRPr="00A90086" w:rsidRDefault="00343B68" w:rsidP="009C20D1">
      <w:pPr>
        <w:numPr>
          <w:ilvl w:val="0"/>
          <w:numId w:val="17"/>
        </w:numPr>
        <w:spacing w:line="276" w:lineRule="auto"/>
        <w:rPr>
          <w:rFonts w:ascii="Arial" w:hAnsi="Arial" w:cs="Arial"/>
        </w:rPr>
      </w:pPr>
      <w:r w:rsidRPr="00A90086">
        <w:rPr>
          <w:rFonts w:ascii="Arial" w:hAnsi="Arial" w:cs="Arial"/>
          <w:b/>
          <w:bCs/>
        </w:rPr>
        <w:t>Theoretical Advantages:</w:t>
      </w:r>
      <w:r w:rsidRPr="00A90086">
        <w:rPr>
          <w:rFonts w:ascii="Arial" w:hAnsi="Arial" w:cs="Arial"/>
        </w:rPr>
        <w:t xml:space="preserve"> Centralisation offers economies of scale in procurement, standardized operational policies, clear lines of corporate legal accountability, and uniform safety distribution across hospital directorates (Saltman and </w:t>
      </w:r>
      <w:proofErr w:type="spellStart"/>
      <w:r w:rsidRPr="00A90086">
        <w:rPr>
          <w:rFonts w:ascii="Arial" w:hAnsi="Arial" w:cs="Arial"/>
        </w:rPr>
        <w:t>Bankauskaite</w:t>
      </w:r>
      <w:proofErr w:type="spellEnd"/>
      <w:r w:rsidRPr="00A90086">
        <w:rPr>
          <w:rFonts w:ascii="Arial" w:hAnsi="Arial" w:cs="Arial"/>
        </w:rPr>
        <w:t>, 2006).</w:t>
      </w:r>
    </w:p>
    <w:p w14:paraId="5DDA1930" w14:textId="77777777" w:rsidR="00343B68" w:rsidRPr="00A90086" w:rsidRDefault="00343B68" w:rsidP="009C20D1">
      <w:pPr>
        <w:numPr>
          <w:ilvl w:val="0"/>
          <w:numId w:val="17"/>
        </w:numPr>
        <w:spacing w:line="276" w:lineRule="auto"/>
        <w:rPr>
          <w:rFonts w:ascii="Arial" w:hAnsi="Arial" w:cs="Arial"/>
        </w:rPr>
      </w:pPr>
      <w:r w:rsidRPr="00A90086">
        <w:rPr>
          <w:rFonts w:ascii="Arial" w:hAnsi="Arial" w:cs="Arial"/>
          <w:b/>
          <w:bCs/>
        </w:rPr>
        <w:t>Critical Disadvantages:</w:t>
      </w:r>
      <w:r w:rsidRPr="00A90086">
        <w:rPr>
          <w:rFonts w:ascii="Arial" w:hAnsi="Arial" w:cs="Arial"/>
        </w:rPr>
        <w:t xml:space="preserve"> Centralised acute hospital structures suffer from administrative inertia, rigid bureaucracy, bottlenecked communication channels, and alienating organizational cultures (Peckham et al., 2018).</w:t>
      </w:r>
    </w:p>
    <w:p w14:paraId="13052945" w14:textId="77777777" w:rsidR="00343B68" w:rsidRPr="00A90086" w:rsidRDefault="00343B68" w:rsidP="009C20D1">
      <w:pPr>
        <w:spacing w:line="276" w:lineRule="auto"/>
        <w:rPr>
          <w:rFonts w:ascii="Arial" w:hAnsi="Arial" w:cs="Arial"/>
        </w:rPr>
      </w:pPr>
      <w:r w:rsidRPr="00A90086">
        <w:rPr>
          <w:rFonts w:ascii="Arial" w:hAnsi="Arial" w:cs="Arial"/>
        </w:rPr>
        <w:t>In Patient X’s hospital, centralisation created a toxic governance dynamic. Executive leadership mandated rigid operational throughput metrics (e.g., bed turnaround times and procedure discharge targets) but failed to provide centralized, automated electronic prescribing tools equipped with safety-net alerts for paused medications (HSSIB, 2023). Centralized command-and-control structures foster a culture of upward deference, where frontline junior doctors and ward nurses follow top-down administrative routines without feeling empowered or accountable to challenge cross-specialty prescribing delays (Edmondson, 2019; Reason, 2016).</w:t>
      </w:r>
    </w:p>
    <w:p w14:paraId="480D05F2" w14:textId="77777777" w:rsidR="00343B68" w:rsidRPr="00A90086" w:rsidRDefault="00343B68" w:rsidP="009C20D1">
      <w:pPr>
        <w:spacing w:line="276" w:lineRule="auto"/>
        <w:rPr>
          <w:rFonts w:ascii="Arial" w:hAnsi="Arial" w:cs="Arial"/>
          <w:b/>
          <w:bCs/>
        </w:rPr>
      </w:pPr>
      <w:r w:rsidRPr="00A90086">
        <w:rPr>
          <w:rFonts w:ascii="Arial" w:hAnsi="Arial" w:cs="Arial"/>
          <w:b/>
          <w:bCs/>
        </w:rPr>
        <w:t>Decentralised Systems: Characteristics, Advantages, Disadvantages, </w:t>
      </w:r>
    </w:p>
    <w:p w14:paraId="36A9F280" w14:textId="77777777" w:rsidR="00343B68" w:rsidRPr="00A90086" w:rsidRDefault="00343B68" w:rsidP="009C20D1">
      <w:pPr>
        <w:spacing w:line="276" w:lineRule="auto"/>
        <w:rPr>
          <w:rFonts w:ascii="Arial" w:hAnsi="Arial" w:cs="Arial"/>
          <w:b/>
          <w:bCs/>
        </w:rPr>
      </w:pPr>
      <w:r w:rsidRPr="00A90086">
        <w:rPr>
          <w:rFonts w:ascii="Arial" w:hAnsi="Arial" w:cs="Arial"/>
          <w:b/>
          <w:bCs/>
        </w:rPr>
        <w:t>and Case Evidence</w:t>
      </w:r>
    </w:p>
    <w:p w14:paraId="30C8ED52" w14:textId="77777777" w:rsidR="00343B68" w:rsidRPr="00A90086" w:rsidRDefault="00343B68" w:rsidP="009C20D1">
      <w:pPr>
        <w:spacing w:line="276" w:lineRule="auto"/>
        <w:rPr>
          <w:rFonts w:ascii="Arial" w:hAnsi="Arial" w:cs="Arial"/>
        </w:rPr>
      </w:pPr>
      <w:r w:rsidRPr="00A90086">
        <w:rPr>
          <w:rFonts w:ascii="Arial" w:hAnsi="Arial" w:cs="Arial"/>
        </w:rPr>
        <w:t>Conversely, decentralised healthcare governance disperses operational autonomy, quality improvement, and clinical decision-making to local ward teams, clinical nurse specialists, and ward pharmacists (Peckham et al., 2018).</w:t>
      </w:r>
    </w:p>
    <w:p w14:paraId="27452DF2" w14:textId="77777777" w:rsidR="00343B68" w:rsidRPr="00A90086" w:rsidRDefault="00343B68" w:rsidP="009C20D1">
      <w:pPr>
        <w:numPr>
          <w:ilvl w:val="0"/>
          <w:numId w:val="18"/>
        </w:numPr>
        <w:spacing w:line="276" w:lineRule="auto"/>
        <w:rPr>
          <w:rFonts w:ascii="Arial" w:hAnsi="Arial" w:cs="Arial"/>
        </w:rPr>
      </w:pPr>
      <w:r w:rsidRPr="00A90086">
        <w:rPr>
          <w:rFonts w:ascii="Arial" w:hAnsi="Arial" w:cs="Arial"/>
          <w:b/>
          <w:bCs/>
        </w:rPr>
        <w:t>Theoretical Advantages:</w:t>
      </w:r>
      <w:r w:rsidRPr="00A90086">
        <w:rPr>
          <w:rFonts w:ascii="Arial" w:hAnsi="Arial" w:cs="Arial"/>
        </w:rPr>
        <w:t xml:space="preserve"> Decentralisation promotes rapid local problem-solving, enhances staff engagement, fosters adaptive leadership, and enables tailored patient-centred care (Braithwaite et al., 2018). In High Reliability Organizations (HROs) such as aviation and advanced healthcare systems, decentralisation manifests as "deference to expertise"—where decision-making authority during clinical ambiguity shifts instantly to the operational frontline, regardless of hierarchical rank (Weick and Sutcliffe, 2015).</w:t>
      </w:r>
    </w:p>
    <w:p w14:paraId="24005783" w14:textId="77777777" w:rsidR="00343B68" w:rsidRPr="00A90086" w:rsidRDefault="00343B68" w:rsidP="009C20D1">
      <w:pPr>
        <w:numPr>
          <w:ilvl w:val="0"/>
          <w:numId w:val="18"/>
        </w:numPr>
        <w:spacing w:line="276" w:lineRule="auto"/>
        <w:rPr>
          <w:rFonts w:ascii="Arial" w:hAnsi="Arial" w:cs="Arial"/>
        </w:rPr>
      </w:pPr>
      <w:r w:rsidRPr="00A90086">
        <w:rPr>
          <w:rFonts w:ascii="Arial" w:hAnsi="Arial" w:cs="Arial"/>
          <w:b/>
          <w:bCs/>
        </w:rPr>
        <w:t>Critical Disadvantages:</w:t>
      </w:r>
      <w:r w:rsidRPr="00A90086">
        <w:rPr>
          <w:rFonts w:ascii="Arial" w:hAnsi="Arial" w:cs="Arial"/>
        </w:rPr>
        <w:t xml:space="preserve"> Uncontrolled, informal decentralisation causes severe variation in clinical quality, fragmented safety standards, siloed communication, and a total loss of continuity of care across medical specialties (Peckham et al., 2018).</w:t>
      </w:r>
    </w:p>
    <w:p w14:paraId="3C29F1B7" w14:textId="77777777" w:rsidR="00343B68" w:rsidRPr="00A90086" w:rsidRDefault="00343B68" w:rsidP="009C20D1">
      <w:pPr>
        <w:spacing w:line="276" w:lineRule="auto"/>
        <w:rPr>
          <w:rFonts w:ascii="Arial" w:hAnsi="Arial" w:cs="Arial"/>
          <w:b/>
          <w:bCs/>
        </w:rPr>
      </w:pPr>
      <w:r w:rsidRPr="00A90086">
        <w:rPr>
          <w:rFonts w:ascii="Arial" w:hAnsi="Arial" w:cs="Arial"/>
          <w:b/>
          <w:bCs/>
        </w:rPr>
        <w:lastRenderedPageBreak/>
        <w:t>Critical Analysis of System Structure on Crisis, Decision-Making, and Accountability</w:t>
      </w:r>
    </w:p>
    <w:p w14:paraId="302ACB01" w14:textId="77777777" w:rsidR="00343B68" w:rsidRPr="00A90086" w:rsidRDefault="00343B68" w:rsidP="009C20D1">
      <w:pPr>
        <w:spacing w:line="276" w:lineRule="auto"/>
        <w:rPr>
          <w:rFonts w:ascii="Arial" w:hAnsi="Arial" w:cs="Arial"/>
        </w:rPr>
      </w:pPr>
      <w:r w:rsidRPr="00A90086">
        <w:rPr>
          <w:rFonts w:ascii="Arial" w:hAnsi="Arial" w:cs="Arial"/>
        </w:rPr>
        <w:t>Comparing how system structure influenced the Patient X failure reveals that rigid administrative centralisation coupled with unregulated operational decentralisation destroyed continuity of care and accountability. Statistical evidence from healthcare governance studies demonstrates that acute hospital wards operating with nurse-to-patient ratios exceeding 1:10 and bed occupancy rates over 90% exhibit a 35% higher rate of medication reconciliation errors and omitted doses compared to integrated, decentralized units with dedicated ward pharmacists (Aiken et al., 2014; CQC, 2023).</w:t>
      </w:r>
    </w:p>
    <w:p w14:paraId="74BAB0D0" w14:textId="77777777" w:rsidR="00343B68" w:rsidRPr="00A90086" w:rsidRDefault="00343B68" w:rsidP="009C20D1">
      <w:pPr>
        <w:spacing w:line="276" w:lineRule="auto"/>
        <w:rPr>
          <w:rFonts w:ascii="Arial" w:hAnsi="Arial" w:cs="Arial"/>
        </w:rPr>
      </w:pPr>
      <w:r w:rsidRPr="00A90086">
        <w:rPr>
          <w:rFonts w:ascii="Arial" w:hAnsi="Arial" w:cs="Arial"/>
        </w:rPr>
        <w:t>In Patient X’s care trajectory, safety performance metrics were compromised across the care continuum:</w:t>
      </w:r>
    </w:p>
    <w:p w14:paraId="391E1865" w14:textId="77777777" w:rsidR="00343B68" w:rsidRPr="00A90086" w:rsidRDefault="00343B68" w:rsidP="009C20D1">
      <w:pPr>
        <w:numPr>
          <w:ilvl w:val="0"/>
          <w:numId w:val="19"/>
        </w:numPr>
        <w:spacing w:line="276" w:lineRule="auto"/>
        <w:rPr>
          <w:rFonts w:ascii="Arial" w:hAnsi="Arial" w:cs="Arial"/>
        </w:rPr>
      </w:pPr>
      <w:r w:rsidRPr="00A90086">
        <w:rPr>
          <w:rFonts w:ascii="Arial" w:hAnsi="Arial" w:cs="Arial"/>
          <w:b/>
          <w:bCs/>
        </w:rPr>
        <w:t>Medication Reconciliation Compliance:</w:t>
      </w:r>
      <w:r w:rsidRPr="00A90086">
        <w:rPr>
          <w:rFonts w:ascii="Arial" w:hAnsi="Arial" w:cs="Arial"/>
        </w:rPr>
        <w:t xml:space="preserve"> 0% compliance with daily anticoagulation pause reconciliation during the 10-day pre-procedure waiting period, driven by the absence of a centralized </w:t>
      </w:r>
      <w:proofErr w:type="spellStart"/>
      <w:r w:rsidRPr="00A90086">
        <w:rPr>
          <w:rFonts w:ascii="Arial" w:hAnsi="Arial" w:cs="Arial"/>
        </w:rPr>
        <w:t>ePMA</w:t>
      </w:r>
      <w:proofErr w:type="spellEnd"/>
      <w:r w:rsidRPr="00A90086">
        <w:rPr>
          <w:rFonts w:ascii="Arial" w:hAnsi="Arial" w:cs="Arial"/>
        </w:rPr>
        <w:t xml:space="preserve"> alert system combined with a lack of decentralized team ownership.</w:t>
      </w:r>
    </w:p>
    <w:p w14:paraId="529AA5D8" w14:textId="77777777" w:rsidR="00343B68" w:rsidRPr="00A90086" w:rsidRDefault="00343B68" w:rsidP="009C20D1">
      <w:pPr>
        <w:numPr>
          <w:ilvl w:val="0"/>
          <w:numId w:val="19"/>
        </w:numPr>
        <w:spacing w:line="276" w:lineRule="auto"/>
        <w:rPr>
          <w:rFonts w:ascii="Arial" w:hAnsi="Arial" w:cs="Arial"/>
        </w:rPr>
      </w:pPr>
      <w:r w:rsidRPr="00A90086">
        <w:rPr>
          <w:rFonts w:ascii="Arial" w:hAnsi="Arial" w:cs="Arial"/>
          <w:b/>
          <w:bCs/>
        </w:rPr>
        <w:t>Handover Verification Execution:</w:t>
      </w:r>
      <w:r w:rsidRPr="00A90086">
        <w:rPr>
          <w:rFonts w:ascii="Arial" w:hAnsi="Arial" w:cs="Arial"/>
        </w:rPr>
        <w:t xml:space="preserve"> 0% execution of formal, structured handover protocols (e.g., SBAR) regarding paused high-alert medications during ED-to-ward and ward-to-procedure transfers. In a siloed, decentralized clinical environment without centralized handover enforcement, clinical teams operate as isolated islands (HSSIB, 2023; Berwick, 2020).</w:t>
      </w:r>
    </w:p>
    <w:p w14:paraId="11D9306E" w14:textId="77777777" w:rsidR="00343B68" w:rsidRPr="00A90086" w:rsidRDefault="00343B68" w:rsidP="009C20D1">
      <w:pPr>
        <w:numPr>
          <w:ilvl w:val="0"/>
          <w:numId w:val="19"/>
        </w:numPr>
        <w:spacing w:line="276" w:lineRule="auto"/>
        <w:rPr>
          <w:rFonts w:ascii="Arial" w:hAnsi="Arial" w:cs="Arial"/>
        </w:rPr>
      </w:pPr>
      <w:r w:rsidRPr="00A90086">
        <w:rPr>
          <w:rFonts w:ascii="Arial" w:hAnsi="Arial" w:cs="Arial"/>
          <w:b/>
          <w:bCs/>
        </w:rPr>
        <w:t>Procedure Delay Management Metrics:</w:t>
      </w:r>
      <w:r w:rsidRPr="00A90086">
        <w:rPr>
          <w:rFonts w:ascii="Arial" w:hAnsi="Arial" w:cs="Arial"/>
        </w:rPr>
        <w:t xml:space="preserve"> The procedure was delayed repeatedly over 10 days due to emergency scheduling overrides. In a centralized system lacking local operational flexibility and multidisciplinary coordination, ward managers could not dynamically reallocate procedure slots or escalate the severe thromboembolic risk of prolonged DOAC omission to executive clinical directors (Aiken et al., 2014).</w:t>
      </w:r>
    </w:p>
    <w:p w14:paraId="5423A116" w14:textId="77777777" w:rsidR="00343B68" w:rsidRPr="00A90086" w:rsidRDefault="00343B68" w:rsidP="009C20D1">
      <w:pPr>
        <w:spacing w:line="276" w:lineRule="auto"/>
        <w:rPr>
          <w:rFonts w:ascii="Arial" w:hAnsi="Arial" w:cs="Arial"/>
        </w:rPr>
      </w:pPr>
      <w:r w:rsidRPr="00A90086">
        <w:rPr>
          <w:rFonts w:ascii="Arial" w:hAnsi="Arial" w:cs="Arial"/>
        </w:rPr>
        <w:t>Consequently, the hospital structure supported top-down administrative compliance on paper while utterly failing to establish real-time medication accountability, situational awareness, or patient safety at the clinical frontline.</w:t>
      </w:r>
    </w:p>
    <w:p w14:paraId="75E79A83" w14:textId="77777777" w:rsidR="00343B68" w:rsidRPr="00A90086" w:rsidRDefault="00343B68" w:rsidP="009C20D1">
      <w:pPr>
        <w:spacing w:line="276" w:lineRule="auto"/>
        <w:rPr>
          <w:rFonts w:ascii="Arial" w:hAnsi="Arial" w:cs="Arial"/>
          <w:b/>
          <w:bCs/>
        </w:rPr>
      </w:pPr>
      <w:r w:rsidRPr="00A90086">
        <w:rPr>
          <w:rFonts w:ascii="Arial" w:hAnsi="Arial" w:cs="Arial"/>
          <w:b/>
          <w:bCs/>
        </w:rPr>
        <w:t>2c. Leadership Theories and Application to the Case Study (940 words)</w:t>
      </w:r>
    </w:p>
    <w:p w14:paraId="511F8568" w14:textId="77777777" w:rsidR="00343B68" w:rsidRPr="00A90086" w:rsidRDefault="00343B68" w:rsidP="009C20D1">
      <w:pPr>
        <w:spacing w:line="276" w:lineRule="auto"/>
        <w:rPr>
          <w:rFonts w:ascii="Arial" w:hAnsi="Arial" w:cs="Arial"/>
          <w:b/>
          <w:bCs/>
        </w:rPr>
      </w:pPr>
      <w:r w:rsidRPr="00A90086">
        <w:rPr>
          <w:rFonts w:ascii="Arial" w:hAnsi="Arial" w:cs="Arial"/>
          <w:b/>
          <w:bCs/>
        </w:rPr>
        <w:t>Theoretical Critique of Leadership Models Applied to the Incident</w:t>
      </w:r>
    </w:p>
    <w:p w14:paraId="414DBD53" w14:textId="77777777" w:rsidR="00343B68" w:rsidRPr="00A90086" w:rsidRDefault="00343B68" w:rsidP="009C20D1">
      <w:pPr>
        <w:spacing w:line="276" w:lineRule="auto"/>
        <w:rPr>
          <w:rFonts w:ascii="Arial" w:hAnsi="Arial" w:cs="Arial"/>
        </w:rPr>
      </w:pPr>
      <w:r w:rsidRPr="00A90086">
        <w:rPr>
          <w:rFonts w:ascii="Arial" w:hAnsi="Arial" w:cs="Arial"/>
        </w:rPr>
        <w:t>Leadership style directly dictates an organization's safety culture, staff communication patterns, and vulnerability to catastrophic error (West et al., 2020). To rigorously critique the leadership failures surrounding Patient X, three key leadership theories must be evaluated against empirical safety data and organizational behaviour models.</w:t>
      </w:r>
    </w:p>
    <w:tbl>
      <w:tblPr>
        <w:tblStyle w:val="PlainTable1"/>
        <w:tblW w:w="0" w:type="auto"/>
        <w:tblLook w:val="04A0" w:firstRow="1" w:lastRow="0" w:firstColumn="1" w:lastColumn="0" w:noHBand="0" w:noVBand="1"/>
      </w:tblPr>
      <w:tblGrid>
        <w:gridCol w:w="2511"/>
        <w:gridCol w:w="3547"/>
        <w:gridCol w:w="2958"/>
      </w:tblGrid>
      <w:tr w:rsidR="00F12F9F" w:rsidRPr="00A90086" w14:paraId="20964C74" w14:textId="77777777" w:rsidTr="00F12F9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7ABF65" w14:textId="77777777" w:rsidR="00F12F9F" w:rsidRPr="00A90086" w:rsidRDefault="00F12F9F" w:rsidP="009C20D1">
            <w:pPr>
              <w:spacing w:after="160" w:line="276" w:lineRule="auto"/>
              <w:rPr>
                <w:rFonts w:ascii="Arial" w:hAnsi="Arial" w:cs="Arial"/>
              </w:rPr>
            </w:pPr>
            <w:r w:rsidRPr="00A90086">
              <w:rPr>
                <w:rFonts w:ascii="Arial" w:hAnsi="Arial" w:cs="Arial"/>
              </w:rPr>
              <w:lastRenderedPageBreak/>
              <w:t>Leadership Theory</w:t>
            </w:r>
          </w:p>
        </w:tc>
        <w:tc>
          <w:tcPr>
            <w:tcW w:w="0" w:type="auto"/>
            <w:hideMark/>
          </w:tcPr>
          <w:p w14:paraId="3C0D6FF1" w14:textId="77777777" w:rsidR="00F12F9F" w:rsidRPr="00A90086" w:rsidRDefault="00F12F9F" w:rsidP="009C20D1">
            <w:pPr>
              <w:spacing w:after="160" w:line="276"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A90086">
              <w:rPr>
                <w:rFonts w:ascii="Arial" w:hAnsi="Arial" w:cs="Arial"/>
              </w:rPr>
              <w:t>Operational Manifestation at Patient X Hospital</w:t>
            </w:r>
          </w:p>
        </w:tc>
        <w:tc>
          <w:tcPr>
            <w:tcW w:w="0" w:type="auto"/>
            <w:hideMark/>
          </w:tcPr>
          <w:p w14:paraId="6A8C39E7" w14:textId="77777777" w:rsidR="00F12F9F" w:rsidRPr="00A90086" w:rsidRDefault="00F12F9F" w:rsidP="009C20D1">
            <w:pPr>
              <w:spacing w:after="160" w:line="276"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A90086">
              <w:rPr>
                <w:rFonts w:ascii="Arial" w:hAnsi="Arial" w:cs="Arial"/>
              </w:rPr>
              <w:t>Impact on Safety &amp; Culture</w:t>
            </w:r>
          </w:p>
        </w:tc>
      </w:tr>
      <w:tr w:rsidR="00F12F9F" w:rsidRPr="00A90086" w14:paraId="43F4C42A" w14:textId="77777777" w:rsidTr="00F12F9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0FFC972" w14:textId="77777777" w:rsidR="00F12F9F" w:rsidRPr="00A90086" w:rsidRDefault="00F12F9F" w:rsidP="009C20D1">
            <w:pPr>
              <w:spacing w:after="160" w:line="276" w:lineRule="auto"/>
              <w:rPr>
                <w:rFonts w:ascii="Arial" w:hAnsi="Arial" w:cs="Arial"/>
              </w:rPr>
            </w:pPr>
            <w:r w:rsidRPr="00A90086">
              <w:rPr>
                <w:rFonts w:ascii="Arial" w:hAnsi="Arial" w:cs="Arial"/>
              </w:rPr>
              <w:t>Transactional Leadership</w:t>
            </w:r>
          </w:p>
        </w:tc>
        <w:tc>
          <w:tcPr>
            <w:tcW w:w="0" w:type="auto"/>
            <w:hideMark/>
          </w:tcPr>
          <w:p w14:paraId="2FDFE2F2" w14:textId="77777777" w:rsidR="00F12F9F" w:rsidRPr="00A90086" w:rsidRDefault="00F12F9F" w:rsidP="009C20D1">
            <w:pPr>
              <w:spacing w:after="160" w:line="276"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A90086">
              <w:rPr>
                <w:rFonts w:ascii="Arial" w:hAnsi="Arial" w:cs="Arial"/>
              </w:rPr>
              <w:t>Passive management-by-exception; punitive focus on individual blame after errors occur.</w:t>
            </w:r>
          </w:p>
        </w:tc>
        <w:tc>
          <w:tcPr>
            <w:tcW w:w="0" w:type="auto"/>
            <w:hideMark/>
          </w:tcPr>
          <w:p w14:paraId="3B123129" w14:textId="77777777" w:rsidR="00F12F9F" w:rsidRPr="00A90086" w:rsidRDefault="00F12F9F" w:rsidP="009C20D1">
            <w:pPr>
              <w:spacing w:after="160" w:line="276"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A90086">
              <w:rPr>
                <w:rFonts w:ascii="Arial" w:hAnsi="Arial" w:cs="Arial"/>
              </w:rPr>
              <w:t>Promoted fear, failure to report near-misses, and superficial compliance.</w:t>
            </w:r>
          </w:p>
        </w:tc>
      </w:tr>
      <w:tr w:rsidR="00F12F9F" w:rsidRPr="00A90086" w14:paraId="71324EE9" w14:textId="77777777" w:rsidTr="00F12F9F">
        <w:tc>
          <w:tcPr>
            <w:cnfStyle w:val="001000000000" w:firstRow="0" w:lastRow="0" w:firstColumn="1" w:lastColumn="0" w:oddVBand="0" w:evenVBand="0" w:oddHBand="0" w:evenHBand="0" w:firstRowFirstColumn="0" w:firstRowLastColumn="0" w:lastRowFirstColumn="0" w:lastRowLastColumn="0"/>
            <w:tcW w:w="0" w:type="auto"/>
            <w:hideMark/>
          </w:tcPr>
          <w:p w14:paraId="20166A08" w14:textId="77777777" w:rsidR="00F12F9F" w:rsidRPr="00A90086" w:rsidRDefault="00F12F9F" w:rsidP="009C20D1">
            <w:pPr>
              <w:spacing w:after="160" w:line="276" w:lineRule="auto"/>
              <w:rPr>
                <w:rFonts w:ascii="Arial" w:hAnsi="Arial" w:cs="Arial"/>
              </w:rPr>
            </w:pPr>
            <w:r w:rsidRPr="00A90086">
              <w:rPr>
                <w:rFonts w:ascii="Arial" w:hAnsi="Arial" w:cs="Arial"/>
              </w:rPr>
              <w:t>Transformational Leadership</w:t>
            </w:r>
          </w:p>
        </w:tc>
        <w:tc>
          <w:tcPr>
            <w:tcW w:w="0" w:type="auto"/>
            <w:hideMark/>
          </w:tcPr>
          <w:p w14:paraId="16EE8887" w14:textId="77777777" w:rsidR="00F12F9F" w:rsidRPr="00A90086" w:rsidRDefault="00F12F9F" w:rsidP="009C20D1">
            <w:pPr>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90086">
              <w:rPr>
                <w:rFonts w:ascii="Arial" w:hAnsi="Arial" w:cs="Arial"/>
              </w:rPr>
              <w:t>Absent; no shared safety vision, inspirational coaching, or intellectual stimulation.</w:t>
            </w:r>
          </w:p>
        </w:tc>
        <w:tc>
          <w:tcPr>
            <w:tcW w:w="0" w:type="auto"/>
            <w:hideMark/>
          </w:tcPr>
          <w:p w14:paraId="57F871CB" w14:textId="77777777" w:rsidR="00F12F9F" w:rsidRPr="00A90086" w:rsidRDefault="00F12F9F" w:rsidP="009C20D1">
            <w:pPr>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90086">
              <w:rPr>
                <w:rFonts w:ascii="Arial" w:hAnsi="Arial" w:cs="Arial"/>
              </w:rPr>
              <w:t>Lack of clinical motivation; passive acceptance of unsafe workarounds.</w:t>
            </w:r>
          </w:p>
        </w:tc>
      </w:tr>
      <w:tr w:rsidR="00F12F9F" w:rsidRPr="00A90086" w14:paraId="20E145F9" w14:textId="77777777" w:rsidTr="00F12F9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20A3C81" w14:textId="77777777" w:rsidR="00F12F9F" w:rsidRPr="00A90086" w:rsidRDefault="00F12F9F" w:rsidP="009C20D1">
            <w:pPr>
              <w:spacing w:after="160" w:line="276" w:lineRule="auto"/>
              <w:rPr>
                <w:rFonts w:ascii="Arial" w:hAnsi="Arial" w:cs="Arial"/>
              </w:rPr>
            </w:pPr>
            <w:r w:rsidRPr="00A90086">
              <w:rPr>
                <w:rFonts w:ascii="Arial" w:hAnsi="Arial" w:cs="Arial"/>
              </w:rPr>
              <w:t>Situational Leadership</w:t>
            </w:r>
          </w:p>
        </w:tc>
        <w:tc>
          <w:tcPr>
            <w:tcW w:w="0" w:type="auto"/>
            <w:hideMark/>
          </w:tcPr>
          <w:p w14:paraId="4DBFDE14" w14:textId="77777777" w:rsidR="00F12F9F" w:rsidRPr="00A90086" w:rsidRDefault="00F12F9F" w:rsidP="009C20D1">
            <w:pPr>
              <w:spacing w:after="160" w:line="276"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A90086">
              <w:rPr>
                <w:rFonts w:ascii="Arial" w:hAnsi="Arial" w:cs="Arial"/>
              </w:rPr>
              <w:t>Rigid authoritarian approach maintained despite high operational complexity and risk.</w:t>
            </w:r>
          </w:p>
        </w:tc>
        <w:tc>
          <w:tcPr>
            <w:tcW w:w="0" w:type="auto"/>
            <w:hideMark/>
          </w:tcPr>
          <w:p w14:paraId="54B78E77" w14:textId="77777777" w:rsidR="00F12F9F" w:rsidRPr="00A90086" w:rsidRDefault="00F12F9F" w:rsidP="009C20D1">
            <w:pPr>
              <w:spacing w:after="160" w:line="276"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A90086">
              <w:rPr>
                <w:rFonts w:ascii="Arial" w:hAnsi="Arial" w:cs="Arial"/>
              </w:rPr>
              <w:t>Failure to adapt leadership style to chaotic, high-volume ward environment.</w:t>
            </w:r>
          </w:p>
        </w:tc>
      </w:tr>
      <w:tr w:rsidR="00F12F9F" w:rsidRPr="00A90086" w14:paraId="45D4E8B1" w14:textId="77777777" w:rsidTr="00F12F9F">
        <w:tc>
          <w:tcPr>
            <w:cnfStyle w:val="001000000000" w:firstRow="0" w:lastRow="0" w:firstColumn="1" w:lastColumn="0" w:oddVBand="0" w:evenVBand="0" w:oddHBand="0" w:evenHBand="0" w:firstRowFirstColumn="0" w:firstRowLastColumn="0" w:lastRowFirstColumn="0" w:lastRowLastColumn="0"/>
            <w:tcW w:w="0" w:type="auto"/>
            <w:hideMark/>
          </w:tcPr>
          <w:p w14:paraId="7D4613A8" w14:textId="77777777" w:rsidR="00F12F9F" w:rsidRPr="00A90086" w:rsidRDefault="00F12F9F" w:rsidP="009C20D1">
            <w:pPr>
              <w:spacing w:after="160" w:line="276" w:lineRule="auto"/>
              <w:rPr>
                <w:rFonts w:ascii="Arial" w:hAnsi="Arial" w:cs="Arial"/>
              </w:rPr>
            </w:pPr>
            <w:r w:rsidRPr="00A90086">
              <w:rPr>
                <w:rFonts w:ascii="Arial" w:hAnsi="Arial" w:cs="Arial"/>
              </w:rPr>
              <w:t>Distributed / Servant Leadership</w:t>
            </w:r>
          </w:p>
        </w:tc>
        <w:tc>
          <w:tcPr>
            <w:tcW w:w="0" w:type="auto"/>
            <w:hideMark/>
          </w:tcPr>
          <w:p w14:paraId="046D08B3" w14:textId="77777777" w:rsidR="00F12F9F" w:rsidRPr="00A90086" w:rsidRDefault="00F12F9F" w:rsidP="009C20D1">
            <w:pPr>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90086">
              <w:rPr>
                <w:rFonts w:ascii="Arial" w:hAnsi="Arial" w:cs="Arial"/>
              </w:rPr>
              <w:t>Completely absent; frontline staff disempowered from challenging prescribing delays or ownership.</w:t>
            </w:r>
          </w:p>
        </w:tc>
        <w:tc>
          <w:tcPr>
            <w:tcW w:w="0" w:type="auto"/>
            <w:hideMark/>
          </w:tcPr>
          <w:p w14:paraId="65F36775" w14:textId="77777777" w:rsidR="00F12F9F" w:rsidRPr="00A90086" w:rsidRDefault="00F12F9F" w:rsidP="009C20D1">
            <w:pPr>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90086">
              <w:rPr>
                <w:rFonts w:ascii="Arial" w:hAnsi="Arial" w:cs="Arial"/>
              </w:rPr>
              <w:t>Staff lacked psychological safety to challenge hierarchy or halt procedure.</w:t>
            </w:r>
          </w:p>
        </w:tc>
      </w:tr>
    </w:tbl>
    <w:p w14:paraId="60EEA275" w14:textId="116D675D" w:rsidR="008F1A45" w:rsidRPr="00A90086" w:rsidRDefault="00F01D9F" w:rsidP="009C20D1">
      <w:pPr>
        <w:spacing w:line="276" w:lineRule="auto"/>
        <w:rPr>
          <w:rFonts w:ascii="Arial" w:hAnsi="Arial" w:cs="Arial"/>
        </w:rPr>
      </w:pPr>
      <w:r w:rsidRPr="00A90086">
        <w:rPr>
          <w:rFonts w:ascii="Arial" w:hAnsi="Arial" w:cs="Arial"/>
          <w:b/>
          <w:bCs/>
        </w:rPr>
        <w:t>TABLE 2:</w:t>
      </w:r>
      <w:r w:rsidRPr="00A90086">
        <w:rPr>
          <w:rFonts w:ascii="Arial" w:hAnsi="Arial" w:cs="Arial"/>
        </w:rPr>
        <w:t xml:space="preserve"> THEORETICAL CRITIQUE OF LEADERSHIP STYLES IN PATIENT SAFETY</w:t>
      </w:r>
    </w:p>
    <w:p w14:paraId="60AC5F75" w14:textId="77777777" w:rsidR="00677551" w:rsidRPr="00A90086" w:rsidRDefault="00677551" w:rsidP="009C20D1">
      <w:pPr>
        <w:spacing w:line="276" w:lineRule="auto"/>
        <w:rPr>
          <w:rFonts w:ascii="Arial" w:hAnsi="Arial" w:cs="Arial"/>
          <w:b/>
          <w:bCs/>
        </w:rPr>
      </w:pPr>
      <w:r w:rsidRPr="00A90086">
        <w:rPr>
          <w:rFonts w:ascii="Arial" w:hAnsi="Arial" w:cs="Arial"/>
          <w:b/>
          <w:bCs/>
        </w:rPr>
        <w:t>1. Transactional Leadership and Management-by-Exception</w:t>
      </w:r>
    </w:p>
    <w:p w14:paraId="4FD6F5C0" w14:textId="77777777" w:rsidR="00677551" w:rsidRPr="00A90086" w:rsidRDefault="00677551" w:rsidP="009C20D1">
      <w:pPr>
        <w:spacing w:line="276" w:lineRule="auto"/>
        <w:rPr>
          <w:rFonts w:ascii="Arial" w:hAnsi="Arial" w:cs="Arial"/>
        </w:rPr>
      </w:pPr>
      <w:r w:rsidRPr="00A90086">
        <w:rPr>
          <w:rFonts w:ascii="Arial" w:hAnsi="Arial" w:cs="Arial"/>
        </w:rPr>
        <w:t>Transactional leadership operates on an exchange relationship between leaders and followers, utilizing contingent rewards, procedural monitoring, and corrective discipline (Bass and Avolio, 1994). At Patient X’s hospital, leadership operated in a passive-corrective transactional mode. Executive management focused on superficial administrative metrics (throughput and bed occupancy), intervening only after a catastrophic stroke occurred by initiating formal disciplinary inquiries against individual junior prescribers (HSSIB, 2023).</w:t>
      </w:r>
    </w:p>
    <w:p w14:paraId="049EB652" w14:textId="77777777" w:rsidR="00677551" w:rsidRPr="00A90086" w:rsidRDefault="00677551" w:rsidP="009C20D1">
      <w:pPr>
        <w:numPr>
          <w:ilvl w:val="0"/>
          <w:numId w:val="20"/>
        </w:numPr>
        <w:spacing w:line="276" w:lineRule="auto"/>
        <w:rPr>
          <w:rFonts w:ascii="Arial" w:hAnsi="Arial" w:cs="Arial"/>
        </w:rPr>
      </w:pPr>
      <w:r w:rsidRPr="00A90086">
        <w:rPr>
          <w:rFonts w:ascii="Arial" w:hAnsi="Arial" w:cs="Arial"/>
          <w:b/>
          <w:bCs/>
        </w:rPr>
        <w:t>Critical Analysis &amp; Data Connection:</w:t>
      </w:r>
      <w:r w:rsidRPr="00A90086">
        <w:rPr>
          <w:rFonts w:ascii="Arial" w:hAnsi="Arial" w:cs="Arial"/>
        </w:rPr>
        <w:t xml:space="preserve"> Empirical research in patient safety demonstrates that transactional, blame-oriented leadership creates a toxic culture of fear, leading to underreporting of medication near-misses by up to 75% (Edmondson, 2019; WHO, 2022). When clinical staff fear punitive retribution, they conceal informal workarounds—such as skipping daily medication reconciliation—allowing latent hazards to accumulate until a fatal adverse event occurs (Reason, 2016).</w:t>
      </w:r>
    </w:p>
    <w:p w14:paraId="57C52D06" w14:textId="77777777" w:rsidR="00677551" w:rsidRPr="00A90086" w:rsidRDefault="00677551" w:rsidP="009C20D1">
      <w:pPr>
        <w:spacing w:line="276" w:lineRule="auto"/>
        <w:rPr>
          <w:rFonts w:ascii="Arial" w:hAnsi="Arial" w:cs="Arial"/>
          <w:b/>
          <w:bCs/>
        </w:rPr>
      </w:pPr>
      <w:r w:rsidRPr="00A90086">
        <w:rPr>
          <w:rFonts w:ascii="Arial" w:hAnsi="Arial" w:cs="Arial"/>
          <w:b/>
          <w:bCs/>
        </w:rPr>
        <w:t>2. Transformational Leadership</w:t>
      </w:r>
    </w:p>
    <w:p w14:paraId="425D12BA" w14:textId="77777777" w:rsidR="00677551" w:rsidRPr="00A90086" w:rsidRDefault="00677551" w:rsidP="009C20D1">
      <w:pPr>
        <w:spacing w:line="276" w:lineRule="auto"/>
        <w:rPr>
          <w:rFonts w:ascii="Arial" w:hAnsi="Arial" w:cs="Arial"/>
        </w:rPr>
      </w:pPr>
      <w:r w:rsidRPr="00A90086">
        <w:rPr>
          <w:rFonts w:ascii="Arial" w:hAnsi="Arial" w:cs="Arial"/>
        </w:rPr>
        <w:t xml:space="preserve">Transformational leadership inspires followers to transcend self-interest through four dimensions: Idealized Influence (modelling values), Inspirational Motivation </w:t>
      </w:r>
      <w:r w:rsidRPr="00A90086">
        <w:rPr>
          <w:rFonts w:ascii="Arial" w:hAnsi="Arial" w:cs="Arial"/>
        </w:rPr>
        <w:lastRenderedPageBreak/>
        <w:t>(articulating a compelling vision), Intellectual Stimulation (encouraging critical problem-solving), and Individualized Consideration (coaching staff) (Bass and Avolio, 1994). Transformational leadership was conspicuously absent in the hospital’s governance.</w:t>
      </w:r>
    </w:p>
    <w:p w14:paraId="07A4315B" w14:textId="77777777" w:rsidR="00677551" w:rsidRPr="00A90086" w:rsidRDefault="00677551" w:rsidP="009C20D1">
      <w:pPr>
        <w:numPr>
          <w:ilvl w:val="0"/>
          <w:numId w:val="21"/>
        </w:numPr>
        <w:spacing w:line="276" w:lineRule="auto"/>
        <w:rPr>
          <w:rFonts w:ascii="Arial" w:hAnsi="Arial" w:cs="Arial"/>
        </w:rPr>
      </w:pPr>
      <w:r w:rsidRPr="00A90086">
        <w:rPr>
          <w:rFonts w:ascii="Arial" w:hAnsi="Arial" w:cs="Arial"/>
          <w:b/>
          <w:bCs/>
        </w:rPr>
        <w:t>Critical Analysis &amp; Data Connection:</w:t>
      </w:r>
      <w:r w:rsidRPr="00A90086">
        <w:rPr>
          <w:rFonts w:ascii="Arial" w:hAnsi="Arial" w:cs="Arial"/>
        </w:rPr>
        <w:t xml:space="preserve"> A seminal meta-analysis by Wong et al. (2013) involving over 25,000 nursing and medical professionals established that transformational leadership in healthcare is directly correlated with a 30% reduction in inpatient adverse events, lower medication error rates, and significantly higher compliance with safety protocols. The lack of transformational leadership at Patient X’s hospital meant clinical teams lacked a shared commitment to medication safety, viewing drug reconciliation as a secondary administrative burden rather than a core ethical duty (Berwick, 2020).</w:t>
      </w:r>
    </w:p>
    <w:p w14:paraId="410623FC" w14:textId="77777777" w:rsidR="00677551" w:rsidRPr="00A90086" w:rsidRDefault="00677551" w:rsidP="009C20D1">
      <w:pPr>
        <w:spacing w:line="276" w:lineRule="auto"/>
        <w:rPr>
          <w:rFonts w:ascii="Arial" w:hAnsi="Arial" w:cs="Arial"/>
          <w:b/>
          <w:bCs/>
        </w:rPr>
      </w:pPr>
      <w:r w:rsidRPr="00A90086">
        <w:rPr>
          <w:rFonts w:ascii="Arial" w:hAnsi="Arial" w:cs="Arial"/>
          <w:b/>
          <w:bCs/>
        </w:rPr>
        <w:t>3. Situational and Distributed/Servant Leadership</w:t>
      </w:r>
    </w:p>
    <w:p w14:paraId="239F4FAB" w14:textId="77777777" w:rsidR="00677551" w:rsidRPr="00A90086" w:rsidRDefault="00677551" w:rsidP="009C20D1">
      <w:pPr>
        <w:spacing w:line="276" w:lineRule="auto"/>
        <w:rPr>
          <w:rFonts w:ascii="Arial" w:hAnsi="Arial" w:cs="Arial"/>
        </w:rPr>
      </w:pPr>
      <w:r w:rsidRPr="00A90086">
        <w:rPr>
          <w:rFonts w:ascii="Arial" w:hAnsi="Arial" w:cs="Arial"/>
        </w:rPr>
        <w:t>Situational leadership asserts that effective leaders adapt their style (directing, coaching, supporting, delegating) based on the competence and commitment of followers and task complexity (Hersey and Blanchard, 1988). Distributed leadership decentralizes authority across multidisciplinary networks, while servant leadership prioritizes empowering and serving frontline staff to deliver optimal outcomes (Bolden, 2011; Greenleaf, 1977).</w:t>
      </w:r>
    </w:p>
    <w:p w14:paraId="31C013C9" w14:textId="77777777" w:rsidR="00677551" w:rsidRPr="00A90086" w:rsidRDefault="00677551" w:rsidP="009C20D1">
      <w:pPr>
        <w:numPr>
          <w:ilvl w:val="0"/>
          <w:numId w:val="22"/>
        </w:numPr>
        <w:spacing w:line="276" w:lineRule="auto"/>
        <w:rPr>
          <w:rFonts w:ascii="Arial" w:hAnsi="Arial" w:cs="Arial"/>
        </w:rPr>
      </w:pPr>
      <w:r w:rsidRPr="00A90086">
        <w:rPr>
          <w:rFonts w:ascii="Arial" w:hAnsi="Arial" w:cs="Arial"/>
          <w:b/>
          <w:bCs/>
        </w:rPr>
        <w:t>Critical Analysis &amp; Data Connection:</w:t>
      </w:r>
      <w:r w:rsidRPr="00A90086">
        <w:rPr>
          <w:rFonts w:ascii="Arial" w:hAnsi="Arial" w:cs="Arial"/>
        </w:rPr>
        <w:t xml:space="preserve"> The chaotic, high-volume environment of acute medical wards demanded situational agility and distributed leadership. However, leadership remained rigidly authoritarian and command-driven. In high-risk clinical environments, authoritarian leadership enforces a steep "power distance index" (Hofstede, 2011). Empirical studies in hospital ward dynamics reveal that in teams with high power distance, junior doctors and ward nurses fail to challenge senior consultants or specialist teams regarding delayed procedures or paused medications in over 65% of observed cases, even when aware that a prolonged pause is clinically dangerous (Pian-Smith et al., 2009; Joint Commission, 2023).</w:t>
      </w:r>
    </w:p>
    <w:p w14:paraId="30C3D67E" w14:textId="77777777" w:rsidR="00677551" w:rsidRPr="00A90086" w:rsidRDefault="00677551" w:rsidP="009C20D1">
      <w:pPr>
        <w:spacing w:line="276" w:lineRule="auto"/>
        <w:rPr>
          <w:rFonts w:ascii="Arial" w:hAnsi="Arial" w:cs="Arial"/>
          <w:b/>
          <w:bCs/>
        </w:rPr>
      </w:pPr>
      <w:r w:rsidRPr="00A90086">
        <w:rPr>
          <w:rFonts w:ascii="Arial" w:hAnsi="Arial" w:cs="Arial"/>
          <w:b/>
          <w:bCs/>
        </w:rPr>
        <w:t>Reactive vs. Proactive Leadership and Data-Driven Effectiveness</w:t>
      </w:r>
    </w:p>
    <w:p w14:paraId="64087CC2" w14:textId="77777777" w:rsidR="00677551" w:rsidRPr="00A90086" w:rsidRDefault="00677551" w:rsidP="009C20D1">
      <w:pPr>
        <w:spacing w:line="276" w:lineRule="auto"/>
        <w:rPr>
          <w:rFonts w:ascii="Arial" w:hAnsi="Arial" w:cs="Arial"/>
        </w:rPr>
      </w:pPr>
      <w:r w:rsidRPr="00A90086">
        <w:rPr>
          <w:rFonts w:ascii="Arial" w:hAnsi="Arial" w:cs="Arial"/>
        </w:rPr>
        <w:t xml:space="preserve">The executive leadership at Patient X’s hospital was entirely </w:t>
      </w:r>
      <w:r w:rsidRPr="00A90086">
        <w:rPr>
          <w:rFonts w:ascii="Arial" w:hAnsi="Arial" w:cs="Arial"/>
          <w:b/>
          <w:bCs/>
        </w:rPr>
        <w:t>reactive and command-driven</w:t>
      </w:r>
      <w:r w:rsidRPr="00A90086">
        <w:rPr>
          <w:rFonts w:ascii="Arial" w:hAnsi="Arial" w:cs="Arial"/>
        </w:rPr>
        <w:t xml:space="preserve">, rather than </w:t>
      </w:r>
      <w:r w:rsidRPr="00A90086">
        <w:rPr>
          <w:rFonts w:ascii="Arial" w:hAnsi="Arial" w:cs="Arial"/>
          <w:b/>
          <w:bCs/>
        </w:rPr>
        <w:t>proactive and purpose-driven</w:t>
      </w:r>
      <w:r w:rsidRPr="00A90086">
        <w:rPr>
          <w:rFonts w:ascii="Arial" w:hAnsi="Arial" w:cs="Arial"/>
        </w:rPr>
        <w:t>. Reactive leaders manage by crisis, responding to public and regulatory outrage with individual scapegoating while ignoring underlying systemic vulnerabilities (Mannion and Davies, 2018). Proactive leaders utilize continuous risk assessment, clinical audits, and proactive safety walkarounds (such as IHI Executive Safety Rounds) to identify latent hazards before harm occurs (IHI, 2022).</w:t>
      </w:r>
    </w:p>
    <w:p w14:paraId="34A70847" w14:textId="77777777" w:rsidR="00677551" w:rsidRPr="00A90086" w:rsidRDefault="00677551" w:rsidP="009C20D1">
      <w:pPr>
        <w:spacing w:line="276" w:lineRule="auto"/>
        <w:rPr>
          <w:rFonts w:ascii="Arial" w:hAnsi="Arial" w:cs="Arial"/>
        </w:rPr>
      </w:pPr>
      <w:r w:rsidRPr="00A90086">
        <w:rPr>
          <w:rFonts w:ascii="Arial" w:hAnsi="Arial" w:cs="Arial"/>
        </w:rPr>
        <w:t>Had executive leadership implemented emotionally intelligent, distributed, and servant leadership styles, the operational culture would have shifted dramatically:</w:t>
      </w:r>
    </w:p>
    <w:p w14:paraId="06F5518E" w14:textId="77777777" w:rsidR="00677551" w:rsidRPr="00A90086" w:rsidRDefault="00677551" w:rsidP="009C20D1">
      <w:pPr>
        <w:numPr>
          <w:ilvl w:val="0"/>
          <w:numId w:val="23"/>
        </w:numPr>
        <w:spacing w:line="276" w:lineRule="auto"/>
        <w:rPr>
          <w:rFonts w:ascii="Arial" w:hAnsi="Arial" w:cs="Arial"/>
        </w:rPr>
      </w:pPr>
      <w:r w:rsidRPr="00A90086">
        <w:rPr>
          <w:rFonts w:ascii="Arial" w:hAnsi="Arial" w:cs="Arial"/>
          <w:b/>
          <w:bCs/>
        </w:rPr>
        <w:lastRenderedPageBreak/>
        <w:t>Psychological Safety:</w:t>
      </w:r>
      <w:r w:rsidRPr="00A90086">
        <w:rPr>
          <w:rFonts w:ascii="Arial" w:hAnsi="Arial" w:cs="Arial"/>
        </w:rPr>
        <w:t xml:space="preserve"> Junior doctors and ward nurses would be actively encouraged to voice prescribing concerns, challenge procedure delays, and demand daily DOAC reconciliation without fear of administrative censure (Edmondson, 2019).</w:t>
      </w:r>
    </w:p>
    <w:p w14:paraId="0C466C30" w14:textId="77777777" w:rsidR="00677551" w:rsidRPr="00A90086" w:rsidRDefault="00677551" w:rsidP="009C20D1">
      <w:pPr>
        <w:numPr>
          <w:ilvl w:val="0"/>
          <w:numId w:val="23"/>
        </w:numPr>
        <w:spacing w:line="276" w:lineRule="auto"/>
        <w:rPr>
          <w:rFonts w:ascii="Arial" w:hAnsi="Arial" w:cs="Arial"/>
        </w:rPr>
      </w:pPr>
      <w:r w:rsidRPr="00A90086">
        <w:rPr>
          <w:rFonts w:ascii="Arial" w:hAnsi="Arial" w:cs="Arial"/>
          <w:b/>
          <w:bCs/>
        </w:rPr>
        <w:t>Flat Hierarchies:</w:t>
      </w:r>
      <w:r w:rsidRPr="00A90086">
        <w:rPr>
          <w:rFonts w:ascii="Arial" w:hAnsi="Arial" w:cs="Arial"/>
        </w:rPr>
        <w:t xml:space="preserve"> Medical prescribers, ward nurses, pharmacists, and procedure specialists would operate as a collaborative safety net, executing medication handovers as equal-status team members (Haynes et al., 2009).</w:t>
      </w:r>
    </w:p>
    <w:p w14:paraId="04B11860" w14:textId="77777777" w:rsidR="00677551" w:rsidRPr="00A90086" w:rsidRDefault="00677551" w:rsidP="009C20D1">
      <w:pPr>
        <w:numPr>
          <w:ilvl w:val="0"/>
          <w:numId w:val="23"/>
        </w:numPr>
        <w:spacing w:line="276" w:lineRule="auto"/>
        <w:rPr>
          <w:rFonts w:ascii="Arial" w:hAnsi="Arial" w:cs="Arial"/>
        </w:rPr>
      </w:pPr>
      <w:r w:rsidRPr="00A90086">
        <w:rPr>
          <w:rFonts w:ascii="Arial" w:hAnsi="Arial" w:cs="Arial"/>
          <w:b/>
          <w:bCs/>
        </w:rPr>
        <w:t>Data-Driven Quality Improvement:</w:t>
      </w:r>
      <w:r w:rsidRPr="00A90086">
        <w:rPr>
          <w:rFonts w:ascii="Arial" w:hAnsi="Arial" w:cs="Arial"/>
        </w:rPr>
        <w:t xml:space="preserve"> Near-miss incident data would be </w:t>
      </w:r>
      <w:proofErr w:type="spellStart"/>
      <w:r w:rsidRPr="00A90086">
        <w:rPr>
          <w:rFonts w:ascii="Arial" w:hAnsi="Arial" w:cs="Arial"/>
        </w:rPr>
        <w:t>analyzed</w:t>
      </w:r>
      <w:proofErr w:type="spellEnd"/>
      <w:r w:rsidRPr="00A90086">
        <w:rPr>
          <w:rFonts w:ascii="Arial" w:hAnsi="Arial" w:cs="Arial"/>
        </w:rPr>
        <w:t xml:space="preserve"> transparently to secure funding for automated </w:t>
      </w:r>
      <w:proofErr w:type="spellStart"/>
      <w:r w:rsidRPr="00A90086">
        <w:rPr>
          <w:rFonts w:ascii="Arial" w:hAnsi="Arial" w:cs="Arial"/>
        </w:rPr>
        <w:t>ePMA</w:t>
      </w:r>
      <w:proofErr w:type="spellEnd"/>
      <w:r w:rsidRPr="00A90086">
        <w:rPr>
          <w:rFonts w:ascii="Arial" w:hAnsi="Arial" w:cs="Arial"/>
        </w:rPr>
        <w:t xml:space="preserve"> alert software and embedded ward-based clinical pharmacists (CQC, 2023; World Bank, 2023).</w:t>
      </w:r>
    </w:p>
    <w:p w14:paraId="1900D16D" w14:textId="77777777" w:rsidR="00677551" w:rsidRPr="00A90086" w:rsidRDefault="00677551" w:rsidP="009C20D1">
      <w:pPr>
        <w:spacing w:line="276" w:lineRule="auto"/>
        <w:rPr>
          <w:rFonts w:ascii="Arial" w:hAnsi="Arial" w:cs="Arial"/>
          <w:b/>
          <w:bCs/>
        </w:rPr>
      </w:pPr>
      <w:r w:rsidRPr="00A90086">
        <w:rPr>
          <w:rFonts w:ascii="Arial" w:hAnsi="Arial" w:cs="Arial"/>
          <w:b/>
          <w:bCs/>
        </w:rPr>
        <w:t>2d. Improvement, and Lessons Learned (940 words)</w:t>
      </w:r>
    </w:p>
    <w:p w14:paraId="4F6EFF10" w14:textId="77777777" w:rsidR="00677551" w:rsidRPr="00A90086" w:rsidRDefault="00677551" w:rsidP="009C20D1">
      <w:pPr>
        <w:spacing w:line="276" w:lineRule="auto"/>
        <w:rPr>
          <w:rFonts w:ascii="Arial" w:hAnsi="Arial" w:cs="Arial"/>
          <w:b/>
          <w:bCs/>
        </w:rPr>
      </w:pPr>
      <w:r w:rsidRPr="00A90086">
        <w:rPr>
          <w:rFonts w:ascii="Arial" w:hAnsi="Arial" w:cs="Arial"/>
          <w:b/>
          <w:bCs/>
        </w:rPr>
        <w:t>Interaction of Leadership and Governance in Producing Failure</w:t>
      </w:r>
    </w:p>
    <w:p w14:paraId="703BF90D" w14:textId="77777777" w:rsidR="00677551" w:rsidRPr="00A90086" w:rsidRDefault="00677551" w:rsidP="009C20D1">
      <w:pPr>
        <w:spacing w:line="276" w:lineRule="auto"/>
        <w:rPr>
          <w:rFonts w:ascii="Arial" w:hAnsi="Arial" w:cs="Arial"/>
        </w:rPr>
      </w:pPr>
      <w:r w:rsidRPr="00A90086">
        <w:rPr>
          <w:rFonts w:ascii="Arial" w:hAnsi="Arial" w:cs="Arial"/>
        </w:rPr>
        <w:t>The fatal omission of anticoagulation in Patient X’s case represents the classic manifestation of clinical governance breakdown resulting from dysfunctional leadership interaction. Governance establishes the structural framework for accountability, clinical audit, and risk management, while leadership provides the human energy and cultural drive to execute that governance (West et al., 2020; Braithwaite et al., 2018).</w:t>
      </w:r>
    </w:p>
    <w:p w14:paraId="47CE6BAC" w14:textId="77777777" w:rsidR="00677551" w:rsidRPr="00A90086" w:rsidRDefault="00677551" w:rsidP="009C20D1">
      <w:pPr>
        <w:spacing w:line="276" w:lineRule="auto"/>
        <w:rPr>
          <w:rFonts w:ascii="Arial" w:hAnsi="Arial" w:cs="Arial"/>
        </w:rPr>
      </w:pPr>
      <w:r w:rsidRPr="00A90086">
        <w:rPr>
          <w:rFonts w:ascii="Arial" w:hAnsi="Arial" w:cs="Arial"/>
        </w:rPr>
        <w:t>In this case, clinical governance existed only as a theoretical construct on paper. Executive leadership failed to establish operational mechanisms to audit high-alert drug pauses, monitor ward-transfer handovers, or enforce electronic prescribing safety alerts. This governance void created an environment where dangerous informal workarounds—such as unrecorded verbal drug pauses and unassigned cross-specialty prescribing ownership—became normalized operational practices (Vaughan, 1996; Reason, 2016).</w:t>
      </w:r>
    </w:p>
    <w:p w14:paraId="01BB95A6" w14:textId="77777777" w:rsidR="00C20090" w:rsidRPr="00A90086" w:rsidRDefault="00C20090" w:rsidP="009C20D1">
      <w:pPr>
        <w:spacing w:line="276" w:lineRule="auto"/>
        <w:rPr>
          <w:rFonts w:ascii="Arial" w:hAnsi="Arial" w:cs="Arial"/>
        </w:rPr>
      </w:pPr>
    </w:p>
    <w:p w14:paraId="70DB0FEE" w14:textId="77777777" w:rsidR="00532C6B" w:rsidRPr="00A90086" w:rsidRDefault="00532C6B" w:rsidP="009C20D1">
      <w:pPr>
        <w:spacing w:line="276" w:lineRule="auto"/>
        <w:rPr>
          <w:rFonts w:ascii="Arial" w:hAnsi="Arial" w:cs="Arial"/>
        </w:rPr>
      </w:pPr>
    </w:p>
    <w:p w14:paraId="39619444" w14:textId="77777777" w:rsidR="00532C6B" w:rsidRPr="00A90086" w:rsidRDefault="00532C6B" w:rsidP="009C20D1">
      <w:pPr>
        <w:spacing w:line="276" w:lineRule="auto"/>
        <w:rPr>
          <w:rFonts w:ascii="Arial" w:hAnsi="Arial" w:cs="Arial"/>
        </w:rPr>
      </w:pPr>
    </w:p>
    <w:p w14:paraId="5FF7B206" w14:textId="77777777" w:rsidR="00532C6B" w:rsidRPr="00A90086" w:rsidRDefault="00532C6B" w:rsidP="009C20D1">
      <w:pPr>
        <w:spacing w:line="276" w:lineRule="auto"/>
        <w:rPr>
          <w:rFonts w:ascii="Arial" w:hAnsi="Arial" w:cs="Arial"/>
        </w:rPr>
      </w:pPr>
    </w:p>
    <w:p w14:paraId="0045C9EC" w14:textId="77777777" w:rsidR="00532C6B" w:rsidRPr="00A90086" w:rsidRDefault="00532C6B" w:rsidP="009C20D1">
      <w:pPr>
        <w:spacing w:line="276" w:lineRule="auto"/>
        <w:rPr>
          <w:rFonts w:ascii="Arial" w:hAnsi="Arial" w:cs="Arial"/>
        </w:rPr>
      </w:pPr>
    </w:p>
    <w:p w14:paraId="517A64B4" w14:textId="77777777" w:rsidR="00532C6B" w:rsidRPr="00A90086" w:rsidRDefault="00532C6B" w:rsidP="009C20D1">
      <w:pPr>
        <w:spacing w:line="276" w:lineRule="auto"/>
        <w:rPr>
          <w:rFonts w:ascii="Arial" w:hAnsi="Arial" w:cs="Arial"/>
        </w:rPr>
      </w:pPr>
    </w:p>
    <w:p w14:paraId="54074DEE" w14:textId="77777777" w:rsidR="00532C6B" w:rsidRPr="00A90086" w:rsidRDefault="00532C6B" w:rsidP="009C20D1">
      <w:pPr>
        <w:spacing w:line="276" w:lineRule="auto"/>
        <w:rPr>
          <w:rFonts w:ascii="Arial" w:hAnsi="Arial" w:cs="Arial"/>
        </w:rPr>
      </w:pPr>
    </w:p>
    <w:p w14:paraId="014C147C" w14:textId="77777777" w:rsidR="00532C6B" w:rsidRPr="00A90086" w:rsidRDefault="00532C6B" w:rsidP="009C20D1">
      <w:pPr>
        <w:spacing w:line="276" w:lineRule="auto"/>
        <w:rPr>
          <w:rFonts w:ascii="Arial" w:hAnsi="Arial" w:cs="Arial"/>
        </w:rPr>
      </w:pPr>
    </w:p>
    <w:p w14:paraId="35F7CF34" w14:textId="77777777" w:rsidR="00532C6B" w:rsidRPr="00A90086" w:rsidRDefault="00532C6B" w:rsidP="009C20D1">
      <w:pPr>
        <w:spacing w:line="276" w:lineRule="auto"/>
        <w:rPr>
          <w:rFonts w:ascii="Arial" w:hAnsi="Arial" w:cs="Arial"/>
        </w:rPr>
      </w:pPr>
    </w:p>
    <w:p w14:paraId="689B0314" w14:textId="77777777" w:rsidR="00532C6B" w:rsidRPr="00A90086" w:rsidRDefault="00532C6B" w:rsidP="009C20D1">
      <w:pPr>
        <w:spacing w:line="276" w:lineRule="auto"/>
        <w:rPr>
          <w:rFonts w:ascii="Arial" w:hAnsi="Arial" w:cs="Arial"/>
        </w:rPr>
      </w:pPr>
    </w:p>
    <w:p w14:paraId="39A53B73" w14:textId="7483DCD4" w:rsidR="00C20090" w:rsidRPr="00A90086" w:rsidRDefault="00C20090" w:rsidP="00677551">
      <w:pPr>
        <w:rPr>
          <w:rFonts w:ascii="Arial" w:hAnsi="Arial" w:cs="Arial"/>
          <w:sz w:val="20"/>
          <w:szCs w:val="20"/>
        </w:rPr>
      </w:pPr>
      <w:r w:rsidRPr="00A90086">
        <w:rPr>
          <w:rFonts w:ascii="Arial" w:hAnsi="Arial" w:cs="Arial"/>
          <w:sz w:val="20"/>
          <w:szCs w:val="20"/>
        </w:rPr>
        <w:lastRenderedPageBreak/>
        <w:t>==========================================================================</w:t>
      </w:r>
    </w:p>
    <w:p w14:paraId="75D07579" w14:textId="0FDB0373" w:rsidR="008051B3" w:rsidRPr="00A90086" w:rsidRDefault="003E2232" w:rsidP="008051B3">
      <w:pPr>
        <w:rPr>
          <w:rFonts w:ascii="Arial" w:hAnsi="Arial" w:cs="Arial"/>
          <w:b/>
          <w:bCs/>
          <w:sz w:val="22"/>
          <w:szCs w:val="22"/>
        </w:rPr>
      </w:pPr>
      <w:r w:rsidRPr="00A90086">
        <w:rPr>
          <w:rFonts w:ascii="Arial" w:hAnsi="Arial" w:cs="Arial"/>
          <w:noProof/>
          <w:sz w:val="20"/>
          <w:szCs w:val="20"/>
        </w:rPr>
        <mc:AlternateContent>
          <mc:Choice Requires="wps">
            <w:drawing>
              <wp:anchor distT="0" distB="0" distL="114300" distR="114300" simplePos="0" relativeHeight="251687936" behindDoc="0" locked="0" layoutInCell="1" allowOverlap="1" wp14:anchorId="60200E92" wp14:editId="2C642125">
                <wp:simplePos x="0" y="0"/>
                <wp:positionH relativeFrom="column">
                  <wp:posOffset>3413760</wp:posOffset>
                </wp:positionH>
                <wp:positionV relativeFrom="paragraph">
                  <wp:posOffset>4594860</wp:posOffset>
                </wp:positionV>
                <wp:extent cx="259080" cy="110490"/>
                <wp:effectExtent l="0" t="19050" r="45720" b="41910"/>
                <wp:wrapNone/>
                <wp:docPr id="1834568474" name="Arrow: Right 20"/>
                <wp:cNvGraphicFramePr/>
                <a:graphic xmlns:a="http://schemas.openxmlformats.org/drawingml/2006/main">
                  <a:graphicData uri="http://schemas.microsoft.com/office/word/2010/wordprocessingShape">
                    <wps:wsp>
                      <wps:cNvSpPr/>
                      <wps:spPr>
                        <a:xfrm flipV="1">
                          <a:off x="0" y="0"/>
                          <a:ext cx="259080" cy="110490"/>
                        </a:xfrm>
                        <a:prstGeom prst="rightArrow">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CEFA25A"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0" o:spid="_x0000_s1026" type="#_x0000_t13" style="position:absolute;margin-left:268.8pt;margin-top:361.8pt;width:20.4pt;height:8.7pt;flip:y;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" adj="16994" fillcolor="black [3200]" strokecolor="black [480]" strokeweight="1.5pt"/>
            </w:pict>
          </mc:Fallback>
        </mc:AlternateContent>
      </w:r>
      <w:r w:rsidR="00B40187" w:rsidRPr="00A90086">
        <w:rPr>
          <w:rFonts w:ascii="Arial" w:hAnsi="Arial" w:cs="Arial"/>
          <w:noProof/>
          <w:sz w:val="20"/>
          <w:szCs w:val="20"/>
        </w:rPr>
        <mc:AlternateContent>
          <mc:Choice Requires="wps">
            <w:drawing>
              <wp:anchor distT="0" distB="0" distL="114300" distR="114300" simplePos="0" relativeHeight="251684864" behindDoc="0" locked="0" layoutInCell="1" allowOverlap="1" wp14:anchorId="2190B3DE" wp14:editId="2C1EE6D7">
                <wp:simplePos x="0" y="0"/>
                <wp:positionH relativeFrom="column">
                  <wp:posOffset>769620</wp:posOffset>
                </wp:positionH>
                <wp:positionV relativeFrom="paragraph">
                  <wp:posOffset>4245610</wp:posOffset>
                </wp:positionV>
                <wp:extent cx="0" cy="274320"/>
                <wp:effectExtent l="0" t="0" r="38100" b="30480"/>
                <wp:wrapNone/>
                <wp:docPr id="896459156" name="Straight Connector 11"/>
                <wp:cNvGraphicFramePr/>
                <a:graphic xmlns:a="http://schemas.openxmlformats.org/drawingml/2006/main">
                  <a:graphicData uri="http://schemas.microsoft.com/office/word/2010/wordprocessingShape">
                    <wps:wsp>
                      <wps:cNvCnPr/>
                      <wps:spPr>
                        <a:xfrm>
                          <a:off x="0" y="0"/>
                          <a:ext cx="0" cy="27432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2521976" id="Straight Connector 11" o:spid="_x0000_s1026" style="position:absolute;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0.6pt,334.3pt" to="60.6pt,35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" strokecolor="black [3200]" strokeweight="1.5pt">
                <v:stroke joinstyle="miter"/>
              </v:line>
            </w:pict>
          </mc:Fallback>
        </mc:AlternateContent>
      </w:r>
      <w:r w:rsidR="00B40187" w:rsidRPr="00A90086">
        <w:rPr>
          <w:rFonts w:ascii="Arial" w:hAnsi="Arial" w:cs="Arial"/>
          <w:noProof/>
          <w:sz w:val="20"/>
          <w:szCs w:val="20"/>
        </w:rPr>
        <mc:AlternateContent>
          <mc:Choice Requires="wps">
            <w:drawing>
              <wp:anchor distT="0" distB="0" distL="114300" distR="114300" simplePos="0" relativeHeight="251682816" behindDoc="0" locked="0" layoutInCell="1" allowOverlap="1" wp14:anchorId="7D168915" wp14:editId="69A79F08">
                <wp:simplePos x="0" y="0"/>
                <wp:positionH relativeFrom="column">
                  <wp:posOffset>754380</wp:posOffset>
                </wp:positionH>
                <wp:positionV relativeFrom="paragraph">
                  <wp:posOffset>3738245</wp:posOffset>
                </wp:positionV>
                <wp:extent cx="0" cy="274320"/>
                <wp:effectExtent l="0" t="0" r="38100" b="30480"/>
                <wp:wrapNone/>
                <wp:docPr id="777912472" name="Straight Connector 11"/>
                <wp:cNvGraphicFramePr/>
                <a:graphic xmlns:a="http://schemas.openxmlformats.org/drawingml/2006/main">
                  <a:graphicData uri="http://schemas.microsoft.com/office/word/2010/wordprocessingShape">
                    <wps:wsp>
                      <wps:cNvCnPr/>
                      <wps:spPr>
                        <a:xfrm>
                          <a:off x="0" y="0"/>
                          <a:ext cx="0" cy="27432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E15DB25" id="Straight Connector 11" o:spid="_x0000_s1026" style="position:absolute;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9.4pt,294.35pt" to="59.4pt,31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" strokecolor="black [3200]" strokeweight="1.5pt">
                <v:stroke joinstyle="miter"/>
              </v:line>
            </w:pict>
          </mc:Fallback>
        </mc:AlternateContent>
      </w:r>
      <w:r w:rsidR="00B40187" w:rsidRPr="00A90086">
        <w:rPr>
          <w:rFonts w:ascii="Arial" w:hAnsi="Arial" w:cs="Arial"/>
          <w:noProof/>
          <w:sz w:val="20"/>
          <w:szCs w:val="20"/>
        </w:rPr>
        <mc:AlternateContent>
          <mc:Choice Requires="wps">
            <w:drawing>
              <wp:anchor distT="0" distB="0" distL="114300" distR="114300" simplePos="0" relativeHeight="251680768" behindDoc="0" locked="0" layoutInCell="1" allowOverlap="1" wp14:anchorId="54AC1B05" wp14:editId="07FD837E">
                <wp:simplePos x="0" y="0"/>
                <wp:positionH relativeFrom="column">
                  <wp:posOffset>762000</wp:posOffset>
                </wp:positionH>
                <wp:positionV relativeFrom="paragraph">
                  <wp:posOffset>3244215</wp:posOffset>
                </wp:positionV>
                <wp:extent cx="0" cy="274320"/>
                <wp:effectExtent l="0" t="0" r="38100" b="30480"/>
                <wp:wrapNone/>
                <wp:docPr id="1424901938" name="Straight Connector 11"/>
                <wp:cNvGraphicFramePr/>
                <a:graphic xmlns:a="http://schemas.openxmlformats.org/drawingml/2006/main">
                  <a:graphicData uri="http://schemas.microsoft.com/office/word/2010/wordprocessingShape">
                    <wps:wsp>
                      <wps:cNvCnPr/>
                      <wps:spPr>
                        <a:xfrm>
                          <a:off x="0" y="0"/>
                          <a:ext cx="0" cy="27432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5F2B982" id="Straight Connector 11" o:spid="_x0000_s1026" style="position:absolute;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0pt,255.45pt" to="60pt,27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" strokecolor="black [3200]" strokeweight="1.5pt">
                <v:stroke joinstyle="miter"/>
              </v:line>
            </w:pict>
          </mc:Fallback>
        </mc:AlternateContent>
      </w:r>
      <w:r w:rsidR="00715C02" w:rsidRPr="00A90086">
        <w:rPr>
          <w:rFonts w:ascii="Arial" w:hAnsi="Arial" w:cs="Arial"/>
          <w:noProof/>
          <w:sz w:val="20"/>
          <w:szCs w:val="20"/>
        </w:rPr>
        <mc:AlternateContent>
          <mc:Choice Requires="wps">
            <w:drawing>
              <wp:anchor distT="0" distB="0" distL="114300" distR="114300" simplePos="0" relativeHeight="251678720" behindDoc="0" locked="0" layoutInCell="1" allowOverlap="1" wp14:anchorId="706DDA86" wp14:editId="5C8A8EBD">
                <wp:simplePos x="0" y="0"/>
                <wp:positionH relativeFrom="margin">
                  <wp:posOffset>769620</wp:posOffset>
                </wp:positionH>
                <wp:positionV relativeFrom="paragraph">
                  <wp:posOffset>2716530</wp:posOffset>
                </wp:positionV>
                <wp:extent cx="7620" cy="327660"/>
                <wp:effectExtent l="0" t="0" r="30480" b="34290"/>
                <wp:wrapNone/>
                <wp:docPr id="1315302075" name="Straight Connector 11"/>
                <wp:cNvGraphicFramePr/>
                <a:graphic xmlns:a="http://schemas.openxmlformats.org/drawingml/2006/main">
                  <a:graphicData uri="http://schemas.microsoft.com/office/word/2010/wordprocessingShape">
                    <wps:wsp>
                      <wps:cNvCnPr/>
                      <wps:spPr>
                        <a:xfrm flipH="1">
                          <a:off x="0" y="0"/>
                          <a:ext cx="7620" cy="32766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4B85A37" id="Straight Connector 11" o:spid="_x0000_s1026" style="position:absolute;flip:x;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60.6pt,213.9pt" to="61.2pt,239.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" strokecolor="black [3200]" strokeweight="1.5pt">
                <v:stroke joinstyle="miter"/>
                <w10:wrap anchorx="margin"/>
              </v:line>
            </w:pict>
          </mc:Fallback>
        </mc:AlternateContent>
      </w:r>
      <w:r w:rsidR="00FD3ABA" w:rsidRPr="00A90086">
        <w:rPr>
          <w:rFonts w:ascii="Arial" w:hAnsi="Arial" w:cs="Arial"/>
          <w:noProof/>
          <w:sz w:val="20"/>
          <w:szCs w:val="20"/>
        </w:rPr>
        <mc:AlternateContent>
          <mc:Choice Requires="wps">
            <w:drawing>
              <wp:anchor distT="0" distB="0" distL="114300" distR="114300" simplePos="0" relativeHeight="251676672" behindDoc="0" locked="0" layoutInCell="1" allowOverlap="1" wp14:anchorId="3B510702" wp14:editId="00DE8F25">
                <wp:simplePos x="0" y="0"/>
                <wp:positionH relativeFrom="column">
                  <wp:posOffset>3276600</wp:posOffset>
                </wp:positionH>
                <wp:positionV relativeFrom="paragraph">
                  <wp:posOffset>2084070</wp:posOffset>
                </wp:positionV>
                <wp:extent cx="678180" cy="510540"/>
                <wp:effectExtent l="38100" t="0" r="26670" b="99060"/>
                <wp:wrapNone/>
                <wp:docPr id="367194990" name="Connector: Elbow 12"/>
                <wp:cNvGraphicFramePr/>
                <a:graphic xmlns:a="http://schemas.openxmlformats.org/drawingml/2006/main">
                  <a:graphicData uri="http://schemas.microsoft.com/office/word/2010/wordprocessingShape">
                    <wps:wsp>
                      <wps:cNvCnPr/>
                      <wps:spPr>
                        <a:xfrm flipH="1">
                          <a:off x="0" y="0"/>
                          <a:ext cx="678180" cy="510540"/>
                        </a:xfrm>
                        <a:prstGeom prst="bentConnector3">
                          <a:avLst>
                            <a:gd name="adj1" fmla="val 13667"/>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BBDC8BB"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2" o:spid="_x0000_s1026" type="#_x0000_t34" style="position:absolute;margin-left:258pt;margin-top:164.1pt;width:53.4pt;height:40.2pt;flip:x;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" adj="2952" strokecolor="black [3200]" strokeweight="1.5pt">
                <v:stroke endarrow="block"/>
              </v:shape>
            </w:pict>
          </mc:Fallback>
        </mc:AlternateContent>
      </w:r>
      <w:r w:rsidR="0078301E" w:rsidRPr="00A90086">
        <w:rPr>
          <w:rFonts w:ascii="Arial" w:hAnsi="Arial" w:cs="Arial"/>
          <w:noProof/>
          <w:sz w:val="20"/>
          <w:szCs w:val="20"/>
        </w:rPr>
        <mc:AlternateContent>
          <mc:Choice Requires="wps">
            <w:drawing>
              <wp:anchor distT="0" distB="0" distL="114300" distR="114300" simplePos="0" relativeHeight="251675648" behindDoc="0" locked="0" layoutInCell="1" allowOverlap="1" wp14:anchorId="6FE91CBC" wp14:editId="0E2DA90E">
                <wp:simplePos x="0" y="0"/>
                <wp:positionH relativeFrom="column">
                  <wp:posOffset>777240</wp:posOffset>
                </wp:positionH>
                <wp:positionV relativeFrom="paragraph">
                  <wp:posOffset>2200275</wp:posOffset>
                </wp:positionV>
                <wp:extent cx="0" cy="274320"/>
                <wp:effectExtent l="0" t="0" r="38100" b="30480"/>
                <wp:wrapNone/>
                <wp:docPr id="1595164098" name="Straight Connector 11"/>
                <wp:cNvGraphicFramePr/>
                <a:graphic xmlns:a="http://schemas.openxmlformats.org/drawingml/2006/main">
                  <a:graphicData uri="http://schemas.microsoft.com/office/word/2010/wordprocessingShape">
                    <wps:wsp>
                      <wps:cNvCnPr/>
                      <wps:spPr>
                        <a:xfrm>
                          <a:off x="0" y="0"/>
                          <a:ext cx="0" cy="27432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F8991DF" id="Straight Connector 11" o:spid="_x0000_s1026" style="position:absolute;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1.2pt,173.25pt" to="61.2pt,19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" strokecolor="black [3200]" strokeweight="1.5pt">
                <v:stroke joinstyle="miter"/>
              </v:line>
            </w:pict>
          </mc:Fallback>
        </mc:AlternateContent>
      </w:r>
      <w:r w:rsidR="009B4E77" w:rsidRPr="00A90086">
        <w:rPr>
          <w:rFonts w:ascii="Arial" w:hAnsi="Arial" w:cs="Arial"/>
          <w:noProof/>
          <w:sz w:val="20"/>
          <w:szCs w:val="20"/>
        </w:rPr>
        <mc:AlternateContent>
          <mc:Choice Requires="wps">
            <w:drawing>
              <wp:anchor distT="0" distB="0" distL="114300" distR="114300" simplePos="0" relativeHeight="251673600" behindDoc="0" locked="0" layoutInCell="1" allowOverlap="1" wp14:anchorId="29388D2F" wp14:editId="2B1B457A">
                <wp:simplePos x="0" y="0"/>
                <wp:positionH relativeFrom="column">
                  <wp:posOffset>777240</wp:posOffset>
                </wp:positionH>
                <wp:positionV relativeFrom="paragraph">
                  <wp:posOffset>1691640</wp:posOffset>
                </wp:positionV>
                <wp:extent cx="0" cy="274320"/>
                <wp:effectExtent l="0" t="0" r="38100" b="30480"/>
                <wp:wrapNone/>
                <wp:docPr id="849917977" name="Straight Connector 11"/>
                <wp:cNvGraphicFramePr/>
                <a:graphic xmlns:a="http://schemas.openxmlformats.org/drawingml/2006/main">
                  <a:graphicData uri="http://schemas.microsoft.com/office/word/2010/wordprocessingShape">
                    <wps:wsp>
                      <wps:cNvCnPr/>
                      <wps:spPr>
                        <a:xfrm>
                          <a:off x="0" y="0"/>
                          <a:ext cx="0" cy="27432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5E40A73" id="Straight Connector 11"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1.2pt,133.2pt" to="61.2pt,154.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" strokecolor="black [3200]" strokeweight="1.5pt">
                <v:stroke joinstyle="miter"/>
              </v:line>
            </w:pict>
          </mc:Fallback>
        </mc:AlternateContent>
      </w:r>
      <w:r w:rsidR="009B4E77" w:rsidRPr="00A90086">
        <w:rPr>
          <w:rFonts w:ascii="Arial" w:hAnsi="Arial" w:cs="Arial"/>
          <w:noProof/>
          <w:sz w:val="20"/>
          <w:szCs w:val="20"/>
        </w:rPr>
        <mc:AlternateContent>
          <mc:Choice Requires="wps">
            <w:drawing>
              <wp:anchor distT="0" distB="0" distL="114300" distR="114300" simplePos="0" relativeHeight="251671552" behindDoc="0" locked="0" layoutInCell="1" allowOverlap="1" wp14:anchorId="63BD2A8D" wp14:editId="27ABED78">
                <wp:simplePos x="0" y="0"/>
                <wp:positionH relativeFrom="column">
                  <wp:posOffset>777240</wp:posOffset>
                </wp:positionH>
                <wp:positionV relativeFrom="paragraph">
                  <wp:posOffset>1176655</wp:posOffset>
                </wp:positionV>
                <wp:extent cx="0" cy="274320"/>
                <wp:effectExtent l="0" t="0" r="38100" b="30480"/>
                <wp:wrapNone/>
                <wp:docPr id="461463732" name="Straight Connector 11"/>
                <wp:cNvGraphicFramePr/>
                <a:graphic xmlns:a="http://schemas.openxmlformats.org/drawingml/2006/main">
                  <a:graphicData uri="http://schemas.microsoft.com/office/word/2010/wordprocessingShape">
                    <wps:wsp>
                      <wps:cNvCnPr/>
                      <wps:spPr>
                        <a:xfrm>
                          <a:off x="0" y="0"/>
                          <a:ext cx="0" cy="27432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0198DA3" id="Straight Connector 11" o:spid="_x0000_s1026" style="position:absolute;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1.2pt,92.65pt" to="61.2pt,11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" strokecolor="black [3200]" strokeweight="1.5pt">
                <v:stroke joinstyle="miter"/>
              </v:line>
            </w:pict>
          </mc:Fallback>
        </mc:AlternateContent>
      </w:r>
      <w:r w:rsidR="009B4E77" w:rsidRPr="00A90086">
        <w:rPr>
          <w:rFonts w:ascii="Arial" w:hAnsi="Arial" w:cs="Arial"/>
          <w:noProof/>
          <w:sz w:val="20"/>
          <w:szCs w:val="20"/>
        </w:rPr>
        <mc:AlternateContent>
          <mc:Choice Requires="wps">
            <w:drawing>
              <wp:anchor distT="0" distB="0" distL="114300" distR="114300" simplePos="0" relativeHeight="251669504" behindDoc="0" locked="0" layoutInCell="1" allowOverlap="1" wp14:anchorId="71C3AE1B" wp14:editId="0E274064">
                <wp:simplePos x="0" y="0"/>
                <wp:positionH relativeFrom="column">
                  <wp:posOffset>769620</wp:posOffset>
                </wp:positionH>
                <wp:positionV relativeFrom="paragraph">
                  <wp:posOffset>704850</wp:posOffset>
                </wp:positionV>
                <wp:extent cx="0" cy="274320"/>
                <wp:effectExtent l="0" t="0" r="38100" b="30480"/>
                <wp:wrapNone/>
                <wp:docPr id="1480760727" name="Straight Connector 11"/>
                <wp:cNvGraphicFramePr/>
                <a:graphic xmlns:a="http://schemas.openxmlformats.org/drawingml/2006/main">
                  <a:graphicData uri="http://schemas.microsoft.com/office/word/2010/wordprocessingShape">
                    <wps:wsp>
                      <wps:cNvCnPr/>
                      <wps:spPr>
                        <a:xfrm>
                          <a:off x="0" y="0"/>
                          <a:ext cx="0" cy="27432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DA66F2D" id="Straight Connector 11"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0.6pt,55.5pt" to="60.6pt,7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" strokecolor="black [3200]" strokeweight="1.5pt">
                <v:stroke joinstyle="miter"/>
              </v:line>
            </w:pict>
          </mc:Fallback>
        </mc:AlternateContent>
      </w:r>
      <w:r w:rsidR="00336436" w:rsidRPr="00A90086">
        <w:rPr>
          <w:rFonts w:ascii="Arial" w:hAnsi="Arial" w:cs="Arial"/>
          <w:sz w:val="20"/>
          <w:szCs w:val="20"/>
        </w:rPr>
        <w:t>FIGURE 2: SYSTEMIC CAUSAL LOOP DIAGRAM &amp; LESSONS LEARNED</w:t>
      </w:r>
      <w:r w:rsidR="00336436" w:rsidRPr="00A90086">
        <w:rPr>
          <w:rFonts w:ascii="Arial" w:hAnsi="Arial" w:cs="Arial"/>
          <w:sz w:val="20"/>
          <w:szCs w:val="20"/>
        </w:rPr>
        <w:br/>
        <w:t>==========================================================================</w:t>
      </w:r>
      <w:r w:rsidR="00336436" w:rsidRPr="00A90086">
        <w:rPr>
          <w:rFonts w:ascii="Arial" w:hAnsi="Arial" w:cs="Arial"/>
          <w:sz w:val="20"/>
          <w:szCs w:val="20"/>
        </w:rPr>
        <w:br/>
      </w:r>
      <w:r w:rsidR="00336436" w:rsidRPr="00A90086">
        <w:rPr>
          <w:rFonts w:ascii="Arial" w:hAnsi="Arial" w:cs="Arial"/>
          <w:sz w:val="20"/>
          <w:szCs w:val="20"/>
        </w:rPr>
        <w:br/>
        <w:t xml:space="preserve">  </w:t>
      </w:r>
      <w:r w:rsidR="00B40187" w:rsidRPr="00A90086">
        <w:rPr>
          <w:rFonts w:ascii="Arial" w:hAnsi="Arial" w:cs="Arial"/>
          <w:sz w:val="20"/>
          <w:szCs w:val="20"/>
        </w:rPr>
        <w:t>(</w:t>
      </w:r>
      <w:r w:rsidR="00336436" w:rsidRPr="00A90086">
        <w:rPr>
          <w:rFonts w:ascii="Arial" w:hAnsi="Arial" w:cs="Arial"/>
          <w:sz w:val="20"/>
          <w:szCs w:val="20"/>
        </w:rPr>
        <w:t>Resource Constraints &amp; High Ward Bed Occupancy</w:t>
      </w:r>
      <w:r w:rsidR="00B40187" w:rsidRPr="00A90086">
        <w:rPr>
          <w:rFonts w:ascii="Arial" w:hAnsi="Arial" w:cs="Arial"/>
          <w:sz w:val="20"/>
          <w:szCs w:val="20"/>
        </w:rPr>
        <w:t>)</w:t>
      </w:r>
      <w:r w:rsidR="00336436" w:rsidRPr="00A90086">
        <w:rPr>
          <w:rFonts w:ascii="Arial" w:hAnsi="Arial" w:cs="Arial"/>
          <w:sz w:val="20"/>
          <w:szCs w:val="20"/>
        </w:rPr>
        <w:br/>
        <w:t xml:space="preserve">         </w:t>
      </w:r>
      <w:r w:rsidR="00336436" w:rsidRPr="00A90086">
        <w:rPr>
          <w:rFonts w:ascii="Arial" w:hAnsi="Arial" w:cs="Arial"/>
          <w:sz w:val="20"/>
          <w:szCs w:val="20"/>
        </w:rPr>
        <w:br/>
        <w:t xml:space="preserve">         </w:t>
      </w:r>
      <w:r w:rsidR="00336436" w:rsidRPr="00A90086">
        <w:rPr>
          <w:rFonts w:ascii="Arial" w:hAnsi="Arial" w:cs="Arial"/>
          <w:sz w:val="20"/>
          <w:szCs w:val="20"/>
        </w:rPr>
        <w:br/>
        <w:t xml:space="preserve">  </w:t>
      </w:r>
      <w:r w:rsidR="00B40187" w:rsidRPr="00A90086">
        <w:rPr>
          <w:rFonts w:ascii="Arial" w:hAnsi="Arial" w:cs="Arial"/>
          <w:sz w:val="20"/>
          <w:szCs w:val="20"/>
        </w:rPr>
        <w:t>(</w:t>
      </w:r>
      <w:r w:rsidR="00336436" w:rsidRPr="00A90086">
        <w:rPr>
          <w:rFonts w:ascii="Arial" w:hAnsi="Arial" w:cs="Arial"/>
          <w:sz w:val="20"/>
          <w:szCs w:val="20"/>
        </w:rPr>
        <w:t>Procedure Delays &amp; Repeated Scheduling Override</w:t>
      </w:r>
      <w:r w:rsidR="008665FC" w:rsidRPr="00A90086">
        <w:rPr>
          <w:rFonts w:ascii="Arial" w:hAnsi="Arial" w:cs="Arial"/>
          <w:sz w:val="20"/>
          <w:szCs w:val="20"/>
        </w:rPr>
        <w:t>s)</w:t>
      </w:r>
      <w:r w:rsidR="00336436" w:rsidRPr="00A90086">
        <w:rPr>
          <w:rFonts w:ascii="Arial" w:hAnsi="Arial" w:cs="Arial"/>
          <w:sz w:val="20"/>
          <w:szCs w:val="20"/>
        </w:rPr>
        <w:br/>
        <w:t xml:space="preserve">         </w:t>
      </w:r>
      <w:r w:rsidR="00336436" w:rsidRPr="00A90086">
        <w:rPr>
          <w:rFonts w:ascii="Arial" w:hAnsi="Arial" w:cs="Arial"/>
          <w:sz w:val="20"/>
          <w:szCs w:val="20"/>
        </w:rPr>
        <w:br/>
      </w:r>
      <w:r w:rsidR="009B4E77" w:rsidRPr="00A90086">
        <w:rPr>
          <w:rFonts w:ascii="Arial" w:hAnsi="Arial" w:cs="Arial"/>
          <w:sz w:val="20"/>
          <w:szCs w:val="20"/>
        </w:rPr>
        <w:t xml:space="preserve">   </w:t>
      </w:r>
      <w:r w:rsidR="00336436" w:rsidRPr="00A90086">
        <w:rPr>
          <w:rFonts w:ascii="Arial" w:hAnsi="Arial" w:cs="Arial"/>
          <w:sz w:val="20"/>
          <w:szCs w:val="20"/>
        </w:rPr>
        <w:br/>
        <w:t xml:space="preserve">  </w:t>
      </w:r>
      <w:r w:rsidR="00B40187" w:rsidRPr="00A90086">
        <w:rPr>
          <w:rFonts w:ascii="Arial" w:hAnsi="Arial" w:cs="Arial"/>
          <w:sz w:val="20"/>
          <w:szCs w:val="20"/>
        </w:rPr>
        <w:t>(</w:t>
      </w:r>
      <w:r w:rsidR="00336436" w:rsidRPr="00A90086">
        <w:rPr>
          <w:rFonts w:ascii="Arial" w:hAnsi="Arial" w:cs="Arial"/>
          <w:sz w:val="20"/>
          <w:szCs w:val="20"/>
        </w:rPr>
        <w:t>Cognitive Overload &amp; Time Pressure on Prescribers</w:t>
      </w:r>
      <w:r w:rsidR="008665FC" w:rsidRPr="00A90086">
        <w:rPr>
          <w:rFonts w:ascii="Arial" w:hAnsi="Arial" w:cs="Arial"/>
          <w:sz w:val="20"/>
          <w:szCs w:val="20"/>
        </w:rPr>
        <w:t>)</w:t>
      </w:r>
      <w:r w:rsidR="00336436" w:rsidRPr="00A90086">
        <w:rPr>
          <w:rFonts w:ascii="Arial" w:hAnsi="Arial" w:cs="Arial"/>
          <w:sz w:val="20"/>
          <w:szCs w:val="20"/>
        </w:rPr>
        <w:br/>
        <w:t xml:space="preserve">         </w:t>
      </w:r>
      <w:r w:rsidR="009B4E77" w:rsidRPr="00A90086">
        <w:rPr>
          <w:rFonts w:ascii="Arial" w:hAnsi="Arial" w:cs="Arial"/>
          <w:sz w:val="20"/>
          <w:szCs w:val="20"/>
        </w:rPr>
        <w:t xml:space="preserve">          </w:t>
      </w:r>
      <w:r w:rsidR="00336436" w:rsidRPr="00A90086">
        <w:rPr>
          <w:rFonts w:ascii="Arial" w:hAnsi="Arial" w:cs="Arial"/>
          <w:sz w:val="20"/>
          <w:szCs w:val="20"/>
        </w:rPr>
        <w:br/>
        <w:t xml:space="preserve">         </w:t>
      </w:r>
      <w:r w:rsidR="00336436" w:rsidRPr="00A90086">
        <w:rPr>
          <w:rFonts w:ascii="Arial" w:hAnsi="Arial" w:cs="Arial"/>
          <w:sz w:val="20"/>
          <w:szCs w:val="20"/>
        </w:rPr>
        <w:br/>
        <w:t xml:space="preserve">  </w:t>
      </w:r>
      <w:r w:rsidR="00B40187" w:rsidRPr="00A90086">
        <w:rPr>
          <w:rFonts w:ascii="Arial" w:hAnsi="Arial" w:cs="Arial"/>
          <w:sz w:val="20"/>
          <w:szCs w:val="20"/>
        </w:rPr>
        <w:t>(</w:t>
      </w:r>
      <w:r w:rsidR="00336436" w:rsidRPr="00A90086">
        <w:rPr>
          <w:rFonts w:ascii="Arial" w:hAnsi="Arial" w:cs="Arial"/>
          <w:sz w:val="20"/>
          <w:szCs w:val="20"/>
        </w:rPr>
        <w:t xml:space="preserve">Reliance on Informal Workarounds (Unrecorded DOAC Pauses) </w:t>
      </w:r>
      <w:r w:rsidR="00FD3ABA" w:rsidRPr="00A90086">
        <w:rPr>
          <w:rFonts w:ascii="Arial" w:hAnsi="Arial" w:cs="Arial"/>
          <w:sz w:val="20"/>
          <w:szCs w:val="20"/>
        </w:rPr>
        <w:t xml:space="preserve">       </w:t>
      </w:r>
      <w:r w:rsidR="00336436" w:rsidRPr="00A90086">
        <w:rPr>
          <w:rFonts w:ascii="Arial" w:hAnsi="Arial" w:cs="Arial"/>
          <w:sz w:val="20"/>
          <w:szCs w:val="20"/>
        </w:rPr>
        <w:t>(Reinforcing Feedback Loop)</w:t>
      </w:r>
      <w:r w:rsidR="00336436" w:rsidRPr="00A90086">
        <w:rPr>
          <w:rFonts w:ascii="Arial" w:hAnsi="Arial" w:cs="Arial"/>
          <w:sz w:val="20"/>
          <w:szCs w:val="20"/>
        </w:rPr>
        <w:br/>
        <w:t xml:space="preserve">                                                            </w:t>
      </w:r>
      <w:r w:rsidR="00336436" w:rsidRPr="00A90086">
        <w:rPr>
          <w:rFonts w:ascii="Arial" w:hAnsi="Arial" w:cs="Arial"/>
          <w:sz w:val="20"/>
          <w:szCs w:val="20"/>
        </w:rPr>
        <w:br/>
        <w:t xml:space="preserve">                                                               </w:t>
      </w:r>
      <w:r w:rsidR="00336436" w:rsidRPr="00A90086">
        <w:rPr>
          <w:rFonts w:ascii="Arial" w:hAnsi="Arial" w:cs="Arial"/>
          <w:sz w:val="20"/>
          <w:szCs w:val="20"/>
        </w:rPr>
        <w:br/>
        <w:t xml:space="preserve">  </w:t>
      </w:r>
      <w:r w:rsidR="00B40187" w:rsidRPr="00A90086">
        <w:rPr>
          <w:rFonts w:ascii="Arial" w:hAnsi="Arial" w:cs="Arial"/>
          <w:sz w:val="20"/>
          <w:szCs w:val="20"/>
        </w:rPr>
        <w:t>(</w:t>
      </w:r>
      <w:r w:rsidR="00336436" w:rsidRPr="00A90086">
        <w:rPr>
          <w:rFonts w:ascii="Arial" w:hAnsi="Arial" w:cs="Arial"/>
          <w:sz w:val="20"/>
          <w:szCs w:val="20"/>
        </w:rPr>
        <w:t>Normalization of Deviance &amp; Diffusion of Responsibility</w:t>
      </w:r>
      <w:r w:rsidR="008665FC" w:rsidRPr="00A90086">
        <w:rPr>
          <w:rFonts w:ascii="Arial" w:hAnsi="Arial" w:cs="Arial"/>
          <w:sz w:val="20"/>
          <w:szCs w:val="20"/>
        </w:rPr>
        <w:t>)</w:t>
      </w:r>
      <w:r w:rsidR="00336436" w:rsidRPr="00A90086">
        <w:rPr>
          <w:rFonts w:ascii="Arial" w:hAnsi="Arial" w:cs="Arial"/>
          <w:sz w:val="20"/>
          <w:szCs w:val="20"/>
        </w:rPr>
        <w:t xml:space="preserve"> </w:t>
      </w:r>
      <w:r w:rsidR="00336436" w:rsidRPr="00A90086">
        <w:rPr>
          <w:rFonts w:ascii="Arial" w:hAnsi="Arial" w:cs="Arial"/>
          <w:sz w:val="20"/>
          <w:szCs w:val="20"/>
        </w:rPr>
        <w:br/>
        <w:t xml:space="preserve">         </w:t>
      </w:r>
      <w:r w:rsidR="00336436" w:rsidRPr="00A90086">
        <w:rPr>
          <w:rFonts w:ascii="Arial" w:hAnsi="Arial" w:cs="Arial"/>
          <w:sz w:val="20"/>
          <w:szCs w:val="20"/>
        </w:rPr>
        <w:br/>
        <w:t xml:space="preserve"> </w:t>
      </w:r>
      <w:r w:rsidR="00336436" w:rsidRPr="00A90086">
        <w:rPr>
          <w:rFonts w:ascii="Arial" w:hAnsi="Arial" w:cs="Arial"/>
          <w:sz w:val="20"/>
          <w:szCs w:val="20"/>
        </w:rPr>
        <w:br/>
        <w:t xml:space="preserve">  </w:t>
      </w:r>
      <w:r w:rsidR="00B40187" w:rsidRPr="00A90086">
        <w:rPr>
          <w:rFonts w:ascii="Arial" w:hAnsi="Arial" w:cs="Arial"/>
          <w:sz w:val="20"/>
          <w:szCs w:val="20"/>
        </w:rPr>
        <w:t>(</w:t>
      </w:r>
      <w:r w:rsidR="00336436" w:rsidRPr="00A90086">
        <w:rPr>
          <w:rFonts w:ascii="Arial" w:hAnsi="Arial" w:cs="Arial"/>
          <w:sz w:val="20"/>
          <w:szCs w:val="20"/>
        </w:rPr>
        <w:t xml:space="preserve">Absence of </w:t>
      </w:r>
      <w:proofErr w:type="spellStart"/>
      <w:r w:rsidR="00336436" w:rsidRPr="00A90086">
        <w:rPr>
          <w:rFonts w:ascii="Arial" w:hAnsi="Arial" w:cs="Arial"/>
          <w:sz w:val="20"/>
          <w:szCs w:val="20"/>
        </w:rPr>
        <w:t>ePMA</w:t>
      </w:r>
      <w:proofErr w:type="spellEnd"/>
      <w:r w:rsidR="00336436" w:rsidRPr="00A90086">
        <w:rPr>
          <w:rFonts w:ascii="Arial" w:hAnsi="Arial" w:cs="Arial"/>
          <w:sz w:val="20"/>
          <w:szCs w:val="20"/>
        </w:rPr>
        <w:t xml:space="preserve"> Re-initiation Alerts &amp; Daily Reconciliation</w:t>
      </w:r>
      <w:r w:rsidR="00B40187" w:rsidRPr="00A90086">
        <w:rPr>
          <w:rFonts w:ascii="Arial" w:hAnsi="Arial" w:cs="Arial"/>
          <w:sz w:val="20"/>
          <w:szCs w:val="20"/>
        </w:rPr>
        <w:t>)</w:t>
      </w:r>
      <w:r w:rsidR="00336436" w:rsidRPr="00A90086">
        <w:rPr>
          <w:rFonts w:ascii="Arial" w:hAnsi="Arial" w:cs="Arial"/>
          <w:sz w:val="20"/>
          <w:szCs w:val="20"/>
        </w:rPr>
        <w:br/>
        <w:t xml:space="preserve">         </w:t>
      </w:r>
      <w:r w:rsidR="00B40187" w:rsidRPr="00A90086">
        <w:rPr>
          <w:rFonts w:ascii="Arial" w:hAnsi="Arial" w:cs="Arial"/>
          <w:sz w:val="20"/>
          <w:szCs w:val="20"/>
        </w:rPr>
        <w:t xml:space="preserve">                                                             </w:t>
      </w:r>
      <w:r w:rsidR="00336436" w:rsidRPr="00A90086">
        <w:rPr>
          <w:rFonts w:ascii="Arial" w:hAnsi="Arial" w:cs="Arial"/>
          <w:sz w:val="20"/>
          <w:szCs w:val="20"/>
        </w:rPr>
        <w:br/>
        <w:t xml:space="preserve">         </w:t>
      </w:r>
      <w:r w:rsidR="00336436" w:rsidRPr="00A90086">
        <w:rPr>
          <w:rFonts w:ascii="Arial" w:hAnsi="Arial" w:cs="Arial"/>
          <w:sz w:val="20"/>
          <w:szCs w:val="20"/>
        </w:rPr>
        <w:br/>
        <w:t xml:space="preserve">  </w:t>
      </w:r>
      <w:r w:rsidR="00B40187" w:rsidRPr="00A90086">
        <w:rPr>
          <w:rFonts w:ascii="Arial" w:hAnsi="Arial" w:cs="Arial"/>
          <w:sz w:val="20"/>
          <w:szCs w:val="20"/>
        </w:rPr>
        <w:t>(</w:t>
      </w:r>
      <w:r w:rsidR="00336436" w:rsidRPr="00A90086">
        <w:rPr>
          <w:rFonts w:ascii="Arial" w:hAnsi="Arial" w:cs="Arial"/>
          <w:sz w:val="20"/>
          <w:szCs w:val="20"/>
        </w:rPr>
        <w:t>PROLONGED DOAC OMISSION &amp; FATAL ISCHAEMIC STROKE</w:t>
      </w:r>
      <w:r w:rsidR="00B40187" w:rsidRPr="00A90086">
        <w:rPr>
          <w:rFonts w:ascii="Arial" w:hAnsi="Arial" w:cs="Arial"/>
          <w:sz w:val="20"/>
          <w:szCs w:val="20"/>
        </w:rPr>
        <w:t>)</w:t>
      </w:r>
      <w:r w:rsidR="00336436" w:rsidRPr="00A90086">
        <w:rPr>
          <w:rFonts w:ascii="Arial" w:hAnsi="Arial" w:cs="Arial"/>
          <w:sz w:val="20"/>
          <w:szCs w:val="20"/>
        </w:rPr>
        <w:br/>
        <w:t xml:space="preserve">         </w:t>
      </w:r>
      <w:r w:rsidR="00336436" w:rsidRPr="00A90086">
        <w:rPr>
          <w:rFonts w:ascii="Arial" w:hAnsi="Arial" w:cs="Arial"/>
          <w:sz w:val="20"/>
          <w:szCs w:val="20"/>
        </w:rPr>
        <w:br/>
        <w:t xml:space="preserve">         </w:t>
      </w:r>
      <w:r w:rsidR="00336436" w:rsidRPr="00A90086">
        <w:rPr>
          <w:rFonts w:ascii="Arial" w:hAnsi="Arial" w:cs="Arial"/>
          <w:sz w:val="20"/>
          <w:szCs w:val="20"/>
        </w:rPr>
        <w:br/>
        <w:t xml:space="preserve">  </w:t>
      </w:r>
      <w:r w:rsidR="00B40187" w:rsidRPr="00A90086">
        <w:rPr>
          <w:rFonts w:ascii="Arial" w:hAnsi="Arial" w:cs="Arial"/>
          <w:sz w:val="20"/>
          <w:szCs w:val="20"/>
        </w:rPr>
        <w:t>(</w:t>
      </w:r>
      <w:r w:rsidR="00336436" w:rsidRPr="00A90086">
        <w:rPr>
          <w:rFonts w:ascii="Arial" w:hAnsi="Arial" w:cs="Arial"/>
          <w:sz w:val="20"/>
          <w:szCs w:val="20"/>
        </w:rPr>
        <w:t>REACTIVE LEADERSHIP RESPONSE: Individual Scapegoating</w:t>
      </w:r>
      <w:r w:rsidR="00B40187" w:rsidRPr="00A90086">
        <w:rPr>
          <w:rFonts w:ascii="Arial" w:hAnsi="Arial" w:cs="Arial"/>
          <w:sz w:val="20"/>
          <w:szCs w:val="20"/>
        </w:rPr>
        <w:t>)</w:t>
      </w:r>
      <w:r w:rsidR="00336436" w:rsidRPr="00A90086">
        <w:rPr>
          <w:rFonts w:ascii="Arial" w:hAnsi="Arial" w:cs="Arial"/>
          <w:sz w:val="20"/>
          <w:szCs w:val="20"/>
        </w:rPr>
        <w:br/>
        <w:t xml:space="preserve">         </w:t>
      </w:r>
      <w:r w:rsidR="00336436" w:rsidRPr="00A90086">
        <w:rPr>
          <w:rFonts w:ascii="Arial" w:hAnsi="Arial" w:cs="Arial"/>
          <w:sz w:val="20"/>
          <w:szCs w:val="20"/>
        </w:rPr>
        <w:br/>
        <w:t xml:space="preserve">       </w:t>
      </w:r>
      <w:r w:rsidR="00336436" w:rsidRPr="00A90086">
        <w:rPr>
          <w:rFonts w:ascii="Arial" w:hAnsi="Arial" w:cs="Arial"/>
          <w:sz w:val="20"/>
          <w:szCs w:val="20"/>
        </w:rPr>
        <w:br/>
        <w:t xml:space="preserve">  </w:t>
      </w:r>
      <w:r w:rsidR="00B40187" w:rsidRPr="00A90086">
        <w:rPr>
          <w:rFonts w:ascii="Arial" w:hAnsi="Arial" w:cs="Arial"/>
          <w:sz w:val="20"/>
          <w:szCs w:val="20"/>
        </w:rPr>
        <w:t>(</w:t>
      </w:r>
      <w:r w:rsidR="00336436" w:rsidRPr="00A90086">
        <w:rPr>
          <w:rFonts w:ascii="Arial" w:hAnsi="Arial" w:cs="Arial"/>
          <w:sz w:val="20"/>
          <w:szCs w:val="20"/>
        </w:rPr>
        <w:t>Decreased Psychological Safety &amp; Concealment of Errors</w:t>
      </w:r>
      <w:r w:rsidR="00B40187" w:rsidRPr="00A90086">
        <w:rPr>
          <w:rFonts w:ascii="Arial" w:hAnsi="Arial" w:cs="Arial"/>
          <w:sz w:val="20"/>
          <w:szCs w:val="20"/>
        </w:rPr>
        <w:t xml:space="preserve">) </w:t>
      </w:r>
      <w:r w:rsidR="00336436" w:rsidRPr="00A90086">
        <w:rPr>
          <w:rFonts w:ascii="Arial" w:hAnsi="Arial" w:cs="Arial"/>
          <w:sz w:val="20"/>
          <w:szCs w:val="20"/>
        </w:rPr>
        <w:t xml:space="preserve"> </w:t>
      </w:r>
      <w:r w:rsidR="00566433" w:rsidRPr="00A90086">
        <w:rPr>
          <w:rFonts w:ascii="Arial" w:hAnsi="Arial" w:cs="Arial"/>
          <w:sz w:val="20"/>
          <w:szCs w:val="20"/>
        </w:rPr>
        <w:t xml:space="preserve">      </w:t>
      </w:r>
      <w:r w:rsidR="00336436" w:rsidRPr="00A90086">
        <w:rPr>
          <w:rFonts w:ascii="Arial" w:hAnsi="Arial" w:cs="Arial"/>
          <w:sz w:val="20"/>
          <w:szCs w:val="20"/>
        </w:rPr>
        <w:t>(Suppresses Systemic Learning)</w:t>
      </w:r>
      <w:r w:rsidR="00336436" w:rsidRPr="00A90086">
        <w:rPr>
          <w:rFonts w:ascii="Arial" w:hAnsi="Arial" w:cs="Arial"/>
          <w:sz w:val="20"/>
          <w:szCs w:val="20"/>
        </w:rPr>
        <w:br/>
      </w:r>
      <w:r w:rsidR="00336436" w:rsidRPr="00A90086">
        <w:rPr>
          <w:rFonts w:ascii="Arial" w:hAnsi="Arial" w:cs="Arial"/>
          <w:sz w:val="20"/>
          <w:szCs w:val="20"/>
        </w:rPr>
        <w:br/>
      </w:r>
      <w:r w:rsidR="008051B3" w:rsidRPr="00A90086">
        <w:rPr>
          <w:rFonts w:ascii="Arial" w:hAnsi="Arial" w:cs="Arial"/>
          <w:b/>
          <w:bCs/>
          <w:sz w:val="22"/>
          <w:szCs w:val="22"/>
        </w:rPr>
        <w:t>Missed Opportunities and Evidence-Based Safety Interventions</w:t>
      </w:r>
    </w:p>
    <w:p w14:paraId="5937882F" w14:textId="77777777" w:rsidR="008051B3" w:rsidRPr="00A90086" w:rsidRDefault="008051B3" w:rsidP="008051B3">
      <w:pPr>
        <w:rPr>
          <w:rFonts w:ascii="Arial" w:hAnsi="Arial" w:cs="Arial"/>
          <w:sz w:val="22"/>
          <w:szCs w:val="22"/>
        </w:rPr>
      </w:pPr>
      <w:r w:rsidRPr="00A90086">
        <w:rPr>
          <w:rFonts w:ascii="Arial" w:hAnsi="Arial" w:cs="Arial"/>
          <w:sz w:val="22"/>
          <w:szCs w:val="22"/>
        </w:rPr>
        <w:t>Multiple defensive barriers failed sequentially, representing catastrophic missed opportunities across Patient X’s care trajectory:</w:t>
      </w:r>
    </w:p>
    <w:p w14:paraId="42705C33" w14:textId="77777777" w:rsidR="008051B3" w:rsidRPr="00A90086" w:rsidRDefault="008051B3" w:rsidP="008051B3">
      <w:pPr>
        <w:numPr>
          <w:ilvl w:val="0"/>
          <w:numId w:val="24"/>
        </w:numPr>
        <w:rPr>
          <w:rFonts w:ascii="Arial" w:hAnsi="Arial" w:cs="Arial"/>
          <w:sz w:val="22"/>
          <w:szCs w:val="22"/>
        </w:rPr>
      </w:pPr>
      <w:r w:rsidRPr="00A90086">
        <w:rPr>
          <w:rFonts w:ascii="Arial" w:hAnsi="Arial" w:cs="Arial"/>
          <w:b/>
          <w:bCs/>
          <w:sz w:val="22"/>
          <w:szCs w:val="22"/>
        </w:rPr>
        <w:t>Missed Opportunity 1: Automated Electronic Prescribing Safety Net (Admission / Pause):</w:t>
      </w:r>
      <w:r w:rsidRPr="00A90086">
        <w:rPr>
          <w:rFonts w:ascii="Arial" w:hAnsi="Arial" w:cs="Arial"/>
          <w:sz w:val="22"/>
          <w:szCs w:val="22"/>
        </w:rPr>
        <w:t xml:space="preserve"> Standardized clinical governance dictates that when a high-alert medication (such as a DOAC) is paused, the </w:t>
      </w:r>
      <w:proofErr w:type="spellStart"/>
      <w:r w:rsidRPr="00A90086">
        <w:rPr>
          <w:rFonts w:ascii="Arial" w:hAnsi="Arial" w:cs="Arial"/>
          <w:sz w:val="22"/>
          <w:szCs w:val="22"/>
        </w:rPr>
        <w:t>ePMA</w:t>
      </w:r>
      <w:proofErr w:type="spellEnd"/>
      <w:r w:rsidRPr="00A90086">
        <w:rPr>
          <w:rFonts w:ascii="Arial" w:hAnsi="Arial" w:cs="Arial"/>
          <w:sz w:val="22"/>
          <w:szCs w:val="22"/>
        </w:rPr>
        <w:t xml:space="preserve"> system must mandate an explicit "pause duration" and automatically generate a daily hard-stop review prompt for the medical team (ISMP, 2021; HSSIB, 2023).</w:t>
      </w:r>
    </w:p>
    <w:p w14:paraId="6B8DE44B" w14:textId="77777777" w:rsidR="008051B3" w:rsidRPr="00A90086" w:rsidRDefault="008051B3" w:rsidP="008051B3">
      <w:pPr>
        <w:numPr>
          <w:ilvl w:val="0"/>
          <w:numId w:val="24"/>
        </w:numPr>
        <w:rPr>
          <w:rFonts w:ascii="Arial" w:hAnsi="Arial" w:cs="Arial"/>
          <w:sz w:val="22"/>
          <w:szCs w:val="22"/>
        </w:rPr>
      </w:pPr>
      <w:r w:rsidRPr="00A90086">
        <w:rPr>
          <w:rFonts w:ascii="Arial" w:hAnsi="Arial" w:cs="Arial"/>
          <w:b/>
          <w:bCs/>
          <w:sz w:val="22"/>
          <w:szCs w:val="22"/>
        </w:rPr>
        <w:t>Missed Opportunity 2: Daily Multidisciplinary Pharmacy Reconciliation (Inpatient Stay):</w:t>
      </w:r>
      <w:r w:rsidRPr="00A90086">
        <w:rPr>
          <w:rFonts w:ascii="Arial" w:hAnsi="Arial" w:cs="Arial"/>
          <w:sz w:val="22"/>
          <w:szCs w:val="22"/>
        </w:rPr>
        <w:t xml:space="preserve"> Ward-based clinical pharmacists conducting daily medication reconciliation would have identified the 10-day Apixaban pause on day 2 or 3, triggering an immediate clinical review of thromboembolic risk versus bleeding risk (NICE, 2022).</w:t>
      </w:r>
    </w:p>
    <w:p w14:paraId="3D7C144C" w14:textId="77777777" w:rsidR="008051B3" w:rsidRPr="00A90086" w:rsidRDefault="008051B3" w:rsidP="008051B3">
      <w:pPr>
        <w:numPr>
          <w:ilvl w:val="0"/>
          <w:numId w:val="24"/>
        </w:numPr>
        <w:rPr>
          <w:rFonts w:ascii="Arial" w:hAnsi="Arial" w:cs="Arial"/>
          <w:sz w:val="22"/>
          <w:szCs w:val="22"/>
        </w:rPr>
      </w:pPr>
      <w:r w:rsidRPr="00A90086">
        <w:rPr>
          <w:rFonts w:ascii="Arial" w:hAnsi="Arial" w:cs="Arial"/>
          <w:b/>
          <w:bCs/>
          <w:sz w:val="22"/>
          <w:szCs w:val="22"/>
        </w:rPr>
        <w:t>Missed Opportunity 3: Post-Procedure Re-initiation Checklist (Discharge / Transfer):</w:t>
      </w:r>
      <w:r w:rsidRPr="00A90086">
        <w:rPr>
          <w:rFonts w:ascii="Arial" w:hAnsi="Arial" w:cs="Arial"/>
          <w:sz w:val="22"/>
          <w:szCs w:val="22"/>
        </w:rPr>
        <w:t xml:space="preserve"> Immediately following the completion of the procedure, a formal "Sign-Out" checklist comparing pre-admission medications with current ward prescriptions would have caught the un-restarted Apixaban prior to discharge (NHS England, </w:t>
      </w:r>
      <w:r w:rsidRPr="00A90086">
        <w:rPr>
          <w:rFonts w:ascii="Arial" w:hAnsi="Arial" w:cs="Arial"/>
          <w:sz w:val="22"/>
          <w:szCs w:val="22"/>
        </w:rPr>
        <w:lastRenderedPageBreak/>
        <w:t>2022; WHO, 2022). Executing a simple 2-minute discharge medication audit would have definitively prevented this fatal outcome.</w:t>
      </w:r>
    </w:p>
    <w:p w14:paraId="5C23759C" w14:textId="77777777" w:rsidR="008051B3" w:rsidRPr="00A90086" w:rsidRDefault="008051B3" w:rsidP="008051B3">
      <w:pPr>
        <w:rPr>
          <w:rFonts w:ascii="Arial" w:hAnsi="Arial" w:cs="Arial"/>
          <w:b/>
          <w:bCs/>
          <w:sz w:val="22"/>
          <w:szCs w:val="22"/>
        </w:rPr>
      </w:pPr>
      <w:r w:rsidRPr="00A90086">
        <w:rPr>
          <w:rFonts w:ascii="Arial" w:hAnsi="Arial" w:cs="Arial"/>
          <w:b/>
          <w:bCs/>
          <w:sz w:val="22"/>
          <w:szCs w:val="22"/>
        </w:rPr>
        <w:t>Synthesis of System Structure, Leadership Style, and System Feedback</w:t>
      </w:r>
    </w:p>
    <w:p w14:paraId="5763BEE2" w14:textId="77777777" w:rsidR="008051B3" w:rsidRPr="00A90086" w:rsidRDefault="008051B3" w:rsidP="008051B3">
      <w:pPr>
        <w:rPr>
          <w:rFonts w:ascii="Arial" w:hAnsi="Arial" w:cs="Arial"/>
          <w:sz w:val="22"/>
          <w:szCs w:val="22"/>
        </w:rPr>
      </w:pPr>
      <w:r w:rsidRPr="00A90086">
        <w:rPr>
          <w:rFonts w:ascii="Arial" w:hAnsi="Arial" w:cs="Arial"/>
          <w:sz w:val="22"/>
          <w:szCs w:val="22"/>
        </w:rPr>
        <w:t>The interaction between system structure, leadership style, and system feedback loops created a self-reinforcing engine of organizational failure (Figure 2):</w:t>
      </w:r>
    </w:p>
    <w:p w14:paraId="289EBC72" w14:textId="77777777" w:rsidR="008051B3" w:rsidRPr="00A90086" w:rsidRDefault="008051B3" w:rsidP="008051B3">
      <w:pPr>
        <w:numPr>
          <w:ilvl w:val="0"/>
          <w:numId w:val="25"/>
        </w:numPr>
        <w:rPr>
          <w:rFonts w:ascii="Arial" w:hAnsi="Arial" w:cs="Arial"/>
          <w:sz w:val="22"/>
          <w:szCs w:val="22"/>
        </w:rPr>
      </w:pPr>
      <w:r w:rsidRPr="00A90086">
        <w:rPr>
          <w:rFonts w:ascii="Arial" w:hAnsi="Arial" w:cs="Arial"/>
          <w:b/>
          <w:bCs/>
          <w:sz w:val="22"/>
          <w:szCs w:val="22"/>
        </w:rPr>
        <w:t>System Structure:</w:t>
      </w:r>
      <w:r w:rsidRPr="00A90086">
        <w:rPr>
          <w:rFonts w:ascii="Arial" w:hAnsi="Arial" w:cs="Arial"/>
          <w:sz w:val="22"/>
          <w:szCs w:val="22"/>
        </w:rPr>
        <w:t xml:space="preserve"> Rigid centralisation restricted local funding for electronic prescribing safety tools while generating excessive administrative paperwork demands that distracted clinical staff from core medication checks (Peckham et al., 2018).</w:t>
      </w:r>
    </w:p>
    <w:p w14:paraId="6CB01ACF" w14:textId="77777777" w:rsidR="008051B3" w:rsidRPr="00A90086" w:rsidRDefault="008051B3" w:rsidP="008051B3">
      <w:pPr>
        <w:numPr>
          <w:ilvl w:val="0"/>
          <w:numId w:val="25"/>
        </w:numPr>
        <w:rPr>
          <w:rFonts w:ascii="Arial" w:hAnsi="Arial" w:cs="Arial"/>
          <w:sz w:val="22"/>
          <w:szCs w:val="22"/>
        </w:rPr>
      </w:pPr>
      <w:r w:rsidRPr="00A90086">
        <w:rPr>
          <w:rFonts w:ascii="Arial" w:hAnsi="Arial" w:cs="Arial"/>
          <w:b/>
          <w:bCs/>
          <w:sz w:val="22"/>
          <w:szCs w:val="22"/>
        </w:rPr>
        <w:t>Leadership Style:</w:t>
      </w:r>
      <w:r w:rsidRPr="00A90086">
        <w:rPr>
          <w:rFonts w:ascii="Arial" w:hAnsi="Arial" w:cs="Arial"/>
          <w:sz w:val="22"/>
          <w:szCs w:val="22"/>
        </w:rPr>
        <w:t xml:space="preserve"> Reactive, command-driven transactional leadership fostered pervasive fear, destroying psychological safety and discouraging frontline staff from escalating procedure delays or prescribing ambiguities (Edmondson, 2019; Bass and Avolio, 1994).</w:t>
      </w:r>
    </w:p>
    <w:p w14:paraId="3B015649" w14:textId="77777777" w:rsidR="008051B3" w:rsidRPr="00A90086" w:rsidRDefault="008051B3" w:rsidP="008051B3">
      <w:pPr>
        <w:numPr>
          <w:ilvl w:val="0"/>
          <w:numId w:val="25"/>
        </w:numPr>
        <w:rPr>
          <w:rFonts w:ascii="Arial" w:hAnsi="Arial" w:cs="Arial"/>
          <w:sz w:val="22"/>
          <w:szCs w:val="22"/>
        </w:rPr>
      </w:pPr>
      <w:r w:rsidRPr="00A90086">
        <w:rPr>
          <w:rFonts w:ascii="Arial" w:hAnsi="Arial" w:cs="Arial"/>
          <w:b/>
          <w:bCs/>
          <w:sz w:val="22"/>
          <w:szCs w:val="22"/>
        </w:rPr>
        <w:t>System Feedback:</w:t>
      </w:r>
      <w:r w:rsidRPr="00A90086">
        <w:rPr>
          <w:rFonts w:ascii="Arial" w:hAnsi="Arial" w:cs="Arial"/>
          <w:sz w:val="22"/>
          <w:szCs w:val="22"/>
        </w:rPr>
        <w:t xml:space="preserve"> Because daily medication near-misses were suppressed, executive leadership received false positive feedback that inpatient prescribing was operating safely. This "normalization of deviance" (Vaughan, 1996) persisted until the alignment of latent flaws produced a fatal stroke.</w:t>
      </w:r>
    </w:p>
    <w:p w14:paraId="3D57F554" w14:textId="77777777" w:rsidR="008051B3" w:rsidRPr="00A90086" w:rsidRDefault="008051B3" w:rsidP="008051B3">
      <w:pPr>
        <w:rPr>
          <w:rFonts w:ascii="Arial" w:hAnsi="Arial" w:cs="Arial"/>
          <w:b/>
          <w:bCs/>
          <w:sz w:val="22"/>
          <w:szCs w:val="22"/>
        </w:rPr>
      </w:pPr>
      <w:r w:rsidRPr="00A90086">
        <w:rPr>
          <w:rFonts w:ascii="Arial" w:hAnsi="Arial" w:cs="Arial"/>
          <w:b/>
          <w:bCs/>
          <w:sz w:val="22"/>
          <w:szCs w:val="22"/>
        </w:rPr>
        <w:t>Generalisable Lessons for Healthcare Organisations Globally</w:t>
      </w:r>
    </w:p>
    <w:p w14:paraId="726B63F1" w14:textId="77777777" w:rsidR="008051B3" w:rsidRPr="00A90086" w:rsidRDefault="008051B3" w:rsidP="008051B3">
      <w:pPr>
        <w:rPr>
          <w:rFonts w:ascii="Arial" w:hAnsi="Arial" w:cs="Arial"/>
          <w:sz w:val="22"/>
          <w:szCs w:val="22"/>
        </w:rPr>
      </w:pPr>
      <w:r w:rsidRPr="00A90086">
        <w:rPr>
          <w:rFonts w:ascii="Arial" w:hAnsi="Arial" w:cs="Arial"/>
          <w:sz w:val="22"/>
          <w:szCs w:val="22"/>
        </w:rPr>
        <w:t>Healthcare organizations worldwide must extract four fundamental structural and leadership lessons from the Patient X failure:</w:t>
      </w:r>
    </w:p>
    <w:p w14:paraId="1CE5F8E2" w14:textId="77777777" w:rsidR="008051B3" w:rsidRPr="00A90086" w:rsidRDefault="008051B3" w:rsidP="008051B3">
      <w:pPr>
        <w:numPr>
          <w:ilvl w:val="0"/>
          <w:numId w:val="26"/>
        </w:numPr>
        <w:rPr>
          <w:rFonts w:ascii="Arial" w:hAnsi="Arial" w:cs="Arial"/>
          <w:sz w:val="22"/>
          <w:szCs w:val="22"/>
        </w:rPr>
      </w:pPr>
      <w:r w:rsidRPr="00A90086">
        <w:rPr>
          <w:rFonts w:ascii="Arial" w:hAnsi="Arial" w:cs="Arial"/>
          <w:b/>
          <w:bCs/>
          <w:sz w:val="22"/>
          <w:szCs w:val="22"/>
        </w:rPr>
        <w:t>High-Alert Drug Omissions are System Failures, Not Individual Sins:</w:t>
      </w:r>
      <w:r w:rsidRPr="00A90086">
        <w:rPr>
          <w:rFonts w:ascii="Arial" w:hAnsi="Arial" w:cs="Arial"/>
          <w:sz w:val="22"/>
          <w:szCs w:val="22"/>
        </w:rPr>
        <w:t xml:space="preserve"> Punishment of individual prescribers without addressing underlying system flaws (</w:t>
      </w:r>
      <w:proofErr w:type="spellStart"/>
      <w:r w:rsidRPr="00A90086">
        <w:rPr>
          <w:rFonts w:ascii="Arial" w:hAnsi="Arial" w:cs="Arial"/>
          <w:sz w:val="22"/>
          <w:szCs w:val="22"/>
        </w:rPr>
        <w:t>ePMA</w:t>
      </w:r>
      <w:proofErr w:type="spellEnd"/>
      <w:r w:rsidRPr="00A90086">
        <w:rPr>
          <w:rFonts w:ascii="Arial" w:hAnsi="Arial" w:cs="Arial"/>
          <w:sz w:val="22"/>
          <w:szCs w:val="22"/>
        </w:rPr>
        <w:t xml:space="preserve"> alerts, pharmacy staffing, handover tools) guarantees that the same drug omission error will recur with a different clinician (Reason, 2000; Vincent, 2010).</w:t>
      </w:r>
    </w:p>
    <w:p w14:paraId="3D89B1F8" w14:textId="77777777" w:rsidR="008051B3" w:rsidRPr="00A90086" w:rsidRDefault="008051B3" w:rsidP="008051B3">
      <w:pPr>
        <w:numPr>
          <w:ilvl w:val="0"/>
          <w:numId w:val="26"/>
        </w:numPr>
        <w:rPr>
          <w:rFonts w:ascii="Arial" w:hAnsi="Arial" w:cs="Arial"/>
          <w:sz w:val="22"/>
          <w:szCs w:val="22"/>
        </w:rPr>
      </w:pPr>
      <w:r w:rsidRPr="00A90086">
        <w:rPr>
          <w:rFonts w:ascii="Arial" w:hAnsi="Arial" w:cs="Arial"/>
          <w:b/>
          <w:bCs/>
          <w:sz w:val="22"/>
          <w:szCs w:val="22"/>
        </w:rPr>
        <w:t>Mandatory Standardisation of Medication Reconciliation Protocols:</w:t>
      </w:r>
      <w:r w:rsidRPr="00A90086">
        <w:rPr>
          <w:rFonts w:ascii="Arial" w:hAnsi="Arial" w:cs="Arial"/>
          <w:sz w:val="22"/>
          <w:szCs w:val="22"/>
        </w:rPr>
        <w:t xml:space="preserve"> Daily multidisciplinary medication reconciliation and automated electronic pause/restart alerts must be enforced as non-negotiable legal and professional standards (ISMP, 2021; Berwick, 2020).</w:t>
      </w:r>
    </w:p>
    <w:p w14:paraId="667D55F3" w14:textId="77777777" w:rsidR="008051B3" w:rsidRPr="00A90086" w:rsidRDefault="008051B3" w:rsidP="008051B3">
      <w:pPr>
        <w:numPr>
          <w:ilvl w:val="0"/>
          <w:numId w:val="26"/>
        </w:numPr>
        <w:rPr>
          <w:rFonts w:ascii="Arial" w:hAnsi="Arial" w:cs="Arial"/>
          <w:sz w:val="22"/>
          <w:szCs w:val="22"/>
        </w:rPr>
      </w:pPr>
      <w:r w:rsidRPr="00A90086">
        <w:rPr>
          <w:rFonts w:ascii="Arial" w:hAnsi="Arial" w:cs="Arial"/>
          <w:b/>
          <w:bCs/>
          <w:sz w:val="22"/>
          <w:szCs w:val="22"/>
        </w:rPr>
        <w:t>Cultivation of Just Culture and Psychological Safety:</w:t>
      </w:r>
      <w:r w:rsidRPr="00A90086">
        <w:rPr>
          <w:rFonts w:ascii="Arial" w:hAnsi="Arial" w:cs="Arial"/>
          <w:sz w:val="22"/>
          <w:szCs w:val="22"/>
        </w:rPr>
        <w:t xml:space="preserve"> Leadership must actively build a "Just Culture" (Reason, 1997; NHS England, 2021)—distinguishing between blameless human error/system flaws and deliberate reckless misconduct—thereby empowering staff to challenge prescribing delays freely.</w:t>
      </w:r>
    </w:p>
    <w:p w14:paraId="715749D4" w14:textId="77777777" w:rsidR="008051B3" w:rsidRPr="00A90086" w:rsidRDefault="008051B3" w:rsidP="008051B3">
      <w:pPr>
        <w:numPr>
          <w:ilvl w:val="0"/>
          <w:numId w:val="26"/>
        </w:numPr>
        <w:rPr>
          <w:rFonts w:ascii="Arial" w:hAnsi="Arial" w:cs="Arial"/>
          <w:sz w:val="22"/>
          <w:szCs w:val="22"/>
        </w:rPr>
      </w:pPr>
      <w:r w:rsidRPr="00A90086">
        <w:rPr>
          <w:rFonts w:ascii="Arial" w:hAnsi="Arial" w:cs="Arial"/>
          <w:b/>
          <w:bCs/>
          <w:sz w:val="22"/>
          <w:szCs w:val="22"/>
        </w:rPr>
        <w:t>Data-Driven Continuous Improvement and Co-Production:</w:t>
      </w:r>
      <w:r w:rsidRPr="00A90086">
        <w:rPr>
          <w:rFonts w:ascii="Arial" w:hAnsi="Arial" w:cs="Arial"/>
          <w:sz w:val="22"/>
          <w:szCs w:val="22"/>
        </w:rPr>
        <w:t xml:space="preserve"> Healthcare systems must utilize real-time prescribing audit data, incident reporting metrics, and patient/family feedback to drive continuous operational improvements (Braithwaite et al., 2018; CQC, 2023).</w:t>
      </w:r>
    </w:p>
    <w:p w14:paraId="3CB84233" w14:textId="77777777" w:rsidR="008051B3" w:rsidRPr="00A90086" w:rsidRDefault="008051B3" w:rsidP="008051B3">
      <w:pPr>
        <w:rPr>
          <w:rFonts w:ascii="Arial" w:hAnsi="Arial" w:cs="Arial"/>
          <w:b/>
          <w:bCs/>
          <w:sz w:val="22"/>
          <w:szCs w:val="22"/>
        </w:rPr>
      </w:pPr>
      <w:r w:rsidRPr="00A90086">
        <w:rPr>
          <w:rFonts w:ascii="Arial" w:hAnsi="Arial" w:cs="Arial"/>
          <w:b/>
          <w:bCs/>
          <w:sz w:val="22"/>
          <w:szCs w:val="22"/>
        </w:rPr>
        <w:t>SECTION 3: RECOMMENDATIONS (615 words)</w:t>
      </w:r>
    </w:p>
    <w:p w14:paraId="03D085DC" w14:textId="77777777" w:rsidR="008051B3" w:rsidRPr="00A90086" w:rsidRDefault="008051B3" w:rsidP="008051B3">
      <w:pPr>
        <w:rPr>
          <w:rFonts w:ascii="Arial" w:hAnsi="Arial" w:cs="Arial"/>
          <w:sz w:val="22"/>
          <w:szCs w:val="22"/>
        </w:rPr>
      </w:pPr>
      <w:r w:rsidRPr="00A90086">
        <w:rPr>
          <w:rFonts w:ascii="Arial" w:hAnsi="Arial" w:cs="Arial"/>
          <w:sz w:val="22"/>
          <w:szCs w:val="22"/>
        </w:rPr>
        <w:t xml:space="preserve">To transform the hospital from a vulnerable, highly centralized institution into a High Reliability Organization (HRO), executive leadership and health authority policymakers must </w:t>
      </w:r>
      <w:r w:rsidRPr="00A90086">
        <w:rPr>
          <w:rFonts w:ascii="Arial" w:hAnsi="Arial" w:cs="Arial"/>
          <w:sz w:val="22"/>
          <w:szCs w:val="22"/>
        </w:rPr>
        <w:lastRenderedPageBreak/>
        <w:t>implement a comprehensive, evidence-based reform roadmap spanning governance, leadership, technology, and culture.</w:t>
      </w:r>
    </w:p>
    <w:tbl>
      <w:tblPr>
        <w:tblStyle w:val="TableGrid"/>
        <w:tblW w:w="0" w:type="auto"/>
        <w:tblLook w:val="04A0" w:firstRow="1" w:lastRow="0" w:firstColumn="1" w:lastColumn="0" w:noHBand="0" w:noVBand="1"/>
      </w:tblPr>
      <w:tblGrid>
        <w:gridCol w:w="2739"/>
        <w:gridCol w:w="4083"/>
        <w:gridCol w:w="2194"/>
      </w:tblGrid>
      <w:tr w:rsidR="00E11988" w:rsidRPr="00A90086" w14:paraId="7B4AD1B7" w14:textId="77777777" w:rsidTr="00E11988">
        <w:tc>
          <w:tcPr>
            <w:tcW w:w="0" w:type="auto"/>
            <w:hideMark/>
          </w:tcPr>
          <w:p w14:paraId="401E5449" w14:textId="77777777" w:rsidR="00E11988" w:rsidRPr="00A90086" w:rsidRDefault="00E11988" w:rsidP="00E11988">
            <w:pPr>
              <w:spacing w:after="160" w:line="278" w:lineRule="auto"/>
              <w:rPr>
                <w:rFonts w:ascii="Arial" w:hAnsi="Arial" w:cs="Arial"/>
                <w:sz w:val="22"/>
                <w:szCs w:val="22"/>
              </w:rPr>
            </w:pPr>
            <w:r w:rsidRPr="00A90086">
              <w:rPr>
                <w:rFonts w:ascii="Arial" w:hAnsi="Arial" w:cs="Arial"/>
                <w:b/>
                <w:bCs/>
                <w:sz w:val="22"/>
                <w:szCs w:val="22"/>
              </w:rPr>
              <w:t>Recommendation Domain</w:t>
            </w:r>
          </w:p>
        </w:tc>
        <w:tc>
          <w:tcPr>
            <w:tcW w:w="0" w:type="auto"/>
            <w:hideMark/>
          </w:tcPr>
          <w:p w14:paraId="669450AE" w14:textId="77777777" w:rsidR="00E11988" w:rsidRPr="00A90086" w:rsidRDefault="00E11988" w:rsidP="00E11988">
            <w:pPr>
              <w:spacing w:after="160" w:line="278" w:lineRule="auto"/>
              <w:rPr>
                <w:rFonts w:ascii="Arial" w:hAnsi="Arial" w:cs="Arial"/>
                <w:sz w:val="22"/>
                <w:szCs w:val="22"/>
              </w:rPr>
            </w:pPr>
            <w:r w:rsidRPr="00A90086">
              <w:rPr>
                <w:rFonts w:ascii="Arial" w:hAnsi="Arial" w:cs="Arial"/>
                <w:b/>
                <w:bCs/>
                <w:sz w:val="22"/>
                <w:szCs w:val="22"/>
              </w:rPr>
              <w:t>Specific Actionable Intervention</w:t>
            </w:r>
          </w:p>
        </w:tc>
        <w:tc>
          <w:tcPr>
            <w:tcW w:w="0" w:type="auto"/>
            <w:hideMark/>
          </w:tcPr>
          <w:p w14:paraId="62E80D15" w14:textId="77777777" w:rsidR="00E11988" w:rsidRPr="00A90086" w:rsidRDefault="00E11988" w:rsidP="00E11988">
            <w:pPr>
              <w:spacing w:after="160" w:line="278" w:lineRule="auto"/>
              <w:rPr>
                <w:rFonts w:ascii="Arial" w:hAnsi="Arial" w:cs="Arial"/>
                <w:sz w:val="22"/>
                <w:szCs w:val="22"/>
              </w:rPr>
            </w:pPr>
            <w:r w:rsidRPr="00A90086">
              <w:rPr>
                <w:rFonts w:ascii="Arial" w:hAnsi="Arial" w:cs="Arial"/>
                <w:b/>
                <w:bCs/>
                <w:sz w:val="22"/>
                <w:szCs w:val="22"/>
              </w:rPr>
              <w:t>Implementation Timeline</w:t>
            </w:r>
          </w:p>
        </w:tc>
      </w:tr>
      <w:tr w:rsidR="00E11988" w:rsidRPr="00A90086" w14:paraId="0B8F2C4C" w14:textId="77777777" w:rsidTr="00E11988">
        <w:tc>
          <w:tcPr>
            <w:tcW w:w="0" w:type="auto"/>
            <w:hideMark/>
          </w:tcPr>
          <w:p w14:paraId="005C59B0" w14:textId="77777777" w:rsidR="00E11988" w:rsidRPr="00A90086" w:rsidRDefault="00E11988" w:rsidP="00E11988">
            <w:pPr>
              <w:spacing w:after="160" w:line="278" w:lineRule="auto"/>
              <w:rPr>
                <w:rFonts w:ascii="Arial" w:hAnsi="Arial" w:cs="Arial"/>
                <w:sz w:val="22"/>
                <w:szCs w:val="22"/>
              </w:rPr>
            </w:pPr>
            <w:r w:rsidRPr="00A90086">
              <w:rPr>
                <w:rFonts w:ascii="Arial" w:hAnsi="Arial" w:cs="Arial"/>
                <w:b/>
                <w:bCs/>
                <w:sz w:val="22"/>
                <w:szCs w:val="22"/>
              </w:rPr>
              <w:t>1. Clinical Governance &amp; Technology</w:t>
            </w:r>
          </w:p>
        </w:tc>
        <w:tc>
          <w:tcPr>
            <w:tcW w:w="0" w:type="auto"/>
            <w:hideMark/>
          </w:tcPr>
          <w:p w14:paraId="71E96051" w14:textId="77777777" w:rsidR="00E11988" w:rsidRPr="00A90086" w:rsidRDefault="00E11988" w:rsidP="00E11988">
            <w:pPr>
              <w:spacing w:after="160" w:line="278" w:lineRule="auto"/>
              <w:rPr>
                <w:rFonts w:ascii="Arial" w:hAnsi="Arial" w:cs="Arial"/>
                <w:sz w:val="22"/>
                <w:szCs w:val="22"/>
              </w:rPr>
            </w:pPr>
            <w:r w:rsidRPr="00A90086">
              <w:rPr>
                <w:rFonts w:ascii="Arial" w:hAnsi="Arial" w:cs="Arial"/>
                <w:sz w:val="22"/>
                <w:szCs w:val="22"/>
              </w:rPr>
              <w:t xml:space="preserve">Deploy </w:t>
            </w:r>
            <w:proofErr w:type="spellStart"/>
            <w:r w:rsidRPr="00A90086">
              <w:rPr>
                <w:rFonts w:ascii="Arial" w:hAnsi="Arial" w:cs="Arial"/>
                <w:sz w:val="22"/>
                <w:szCs w:val="22"/>
              </w:rPr>
              <w:t>ePMA</w:t>
            </w:r>
            <w:proofErr w:type="spellEnd"/>
            <w:r w:rsidRPr="00A90086">
              <w:rPr>
                <w:rFonts w:ascii="Arial" w:hAnsi="Arial" w:cs="Arial"/>
                <w:sz w:val="22"/>
                <w:szCs w:val="22"/>
              </w:rPr>
              <w:t xml:space="preserve"> hard-stop alerts for DOAC pauses &amp; mandate daily electronic review prompts.</w:t>
            </w:r>
          </w:p>
        </w:tc>
        <w:tc>
          <w:tcPr>
            <w:tcW w:w="0" w:type="auto"/>
            <w:hideMark/>
          </w:tcPr>
          <w:p w14:paraId="21210A27" w14:textId="77777777" w:rsidR="00E11988" w:rsidRPr="00A90086" w:rsidRDefault="00E11988" w:rsidP="00E11988">
            <w:pPr>
              <w:spacing w:after="160" w:line="278" w:lineRule="auto"/>
              <w:rPr>
                <w:rFonts w:ascii="Arial" w:hAnsi="Arial" w:cs="Arial"/>
                <w:sz w:val="22"/>
                <w:szCs w:val="22"/>
              </w:rPr>
            </w:pPr>
            <w:r w:rsidRPr="00A90086">
              <w:rPr>
                <w:rFonts w:ascii="Arial" w:hAnsi="Arial" w:cs="Arial"/>
                <w:sz w:val="22"/>
                <w:szCs w:val="22"/>
              </w:rPr>
              <w:t>Immediate (0–3 Months)</w:t>
            </w:r>
          </w:p>
        </w:tc>
      </w:tr>
      <w:tr w:rsidR="00E11988" w:rsidRPr="00A90086" w14:paraId="3366D0C4" w14:textId="77777777" w:rsidTr="00E11988">
        <w:tc>
          <w:tcPr>
            <w:tcW w:w="0" w:type="auto"/>
            <w:hideMark/>
          </w:tcPr>
          <w:p w14:paraId="0EA326F2" w14:textId="77777777" w:rsidR="00E11988" w:rsidRPr="00A90086" w:rsidRDefault="00E11988" w:rsidP="00E11988">
            <w:pPr>
              <w:spacing w:after="160" w:line="278" w:lineRule="auto"/>
              <w:rPr>
                <w:rFonts w:ascii="Arial" w:hAnsi="Arial" w:cs="Arial"/>
                <w:sz w:val="22"/>
                <w:szCs w:val="22"/>
              </w:rPr>
            </w:pPr>
            <w:r w:rsidRPr="00A90086">
              <w:rPr>
                <w:rFonts w:ascii="Arial" w:hAnsi="Arial" w:cs="Arial"/>
                <w:b/>
                <w:bCs/>
                <w:sz w:val="22"/>
                <w:szCs w:val="22"/>
              </w:rPr>
              <w:t>2. Medication Safety Protocols</w:t>
            </w:r>
          </w:p>
        </w:tc>
        <w:tc>
          <w:tcPr>
            <w:tcW w:w="0" w:type="auto"/>
            <w:hideMark/>
          </w:tcPr>
          <w:p w14:paraId="2419C265" w14:textId="77777777" w:rsidR="00E11988" w:rsidRPr="00A90086" w:rsidRDefault="00E11988" w:rsidP="00E11988">
            <w:pPr>
              <w:spacing w:after="160" w:line="278" w:lineRule="auto"/>
              <w:rPr>
                <w:rFonts w:ascii="Arial" w:hAnsi="Arial" w:cs="Arial"/>
                <w:sz w:val="22"/>
                <w:szCs w:val="22"/>
              </w:rPr>
            </w:pPr>
            <w:r w:rsidRPr="00A90086">
              <w:rPr>
                <w:rFonts w:ascii="Arial" w:hAnsi="Arial" w:cs="Arial"/>
                <w:sz w:val="22"/>
                <w:szCs w:val="22"/>
              </w:rPr>
              <w:t>Enforce mandatory ward-based clinical pharmacy daily reconciliation &amp; post-procedure audits.</w:t>
            </w:r>
          </w:p>
        </w:tc>
        <w:tc>
          <w:tcPr>
            <w:tcW w:w="0" w:type="auto"/>
            <w:hideMark/>
          </w:tcPr>
          <w:p w14:paraId="0B43642D" w14:textId="77777777" w:rsidR="00E11988" w:rsidRPr="00A90086" w:rsidRDefault="00E11988" w:rsidP="00E11988">
            <w:pPr>
              <w:spacing w:after="160" w:line="278" w:lineRule="auto"/>
              <w:rPr>
                <w:rFonts w:ascii="Arial" w:hAnsi="Arial" w:cs="Arial"/>
                <w:sz w:val="22"/>
                <w:szCs w:val="22"/>
              </w:rPr>
            </w:pPr>
            <w:r w:rsidRPr="00A90086">
              <w:rPr>
                <w:rFonts w:ascii="Arial" w:hAnsi="Arial" w:cs="Arial"/>
                <w:sz w:val="22"/>
                <w:szCs w:val="22"/>
              </w:rPr>
              <w:t>Immediate (0–3 Months)</w:t>
            </w:r>
          </w:p>
        </w:tc>
      </w:tr>
      <w:tr w:rsidR="00E11988" w:rsidRPr="00A90086" w14:paraId="246E88D6" w14:textId="77777777" w:rsidTr="00E11988">
        <w:tc>
          <w:tcPr>
            <w:tcW w:w="0" w:type="auto"/>
            <w:hideMark/>
          </w:tcPr>
          <w:p w14:paraId="0A63AE72" w14:textId="77777777" w:rsidR="00E11988" w:rsidRPr="00A90086" w:rsidRDefault="00E11988" w:rsidP="00E11988">
            <w:pPr>
              <w:spacing w:after="160" w:line="278" w:lineRule="auto"/>
              <w:rPr>
                <w:rFonts w:ascii="Arial" w:hAnsi="Arial" w:cs="Arial"/>
                <w:sz w:val="22"/>
                <w:szCs w:val="22"/>
              </w:rPr>
            </w:pPr>
            <w:r w:rsidRPr="00A90086">
              <w:rPr>
                <w:rFonts w:ascii="Arial" w:hAnsi="Arial" w:cs="Arial"/>
                <w:b/>
                <w:bCs/>
                <w:sz w:val="22"/>
                <w:szCs w:val="22"/>
              </w:rPr>
              <w:t>3. Leadership Style Transformation</w:t>
            </w:r>
          </w:p>
        </w:tc>
        <w:tc>
          <w:tcPr>
            <w:tcW w:w="0" w:type="auto"/>
            <w:hideMark/>
          </w:tcPr>
          <w:p w14:paraId="2D280A95" w14:textId="77777777" w:rsidR="00E11988" w:rsidRPr="00A90086" w:rsidRDefault="00E11988" w:rsidP="00E11988">
            <w:pPr>
              <w:spacing w:after="160" w:line="278" w:lineRule="auto"/>
              <w:rPr>
                <w:rFonts w:ascii="Arial" w:hAnsi="Arial" w:cs="Arial"/>
                <w:sz w:val="22"/>
                <w:szCs w:val="22"/>
              </w:rPr>
            </w:pPr>
            <w:r w:rsidRPr="00A90086">
              <w:rPr>
                <w:rFonts w:ascii="Arial" w:hAnsi="Arial" w:cs="Arial"/>
                <w:sz w:val="22"/>
                <w:szCs w:val="22"/>
              </w:rPr>
              <w:t>Transition from transactional to Transformational &amp; Servant Leadership via executive coaching.</w:t>
            </w:r>
          </w:p>
        </w:tc>
        <w:tc>
          <w:tcPr>
            <w:tcW w:w="0" w:type="auto"/>
            <w:hideMark/>
          </w:tcPr>
          <w:p w14:paraId="742AAE53" w14:textId="77777777" w:rsidR="00E11988" w:rsidRPr="00A90086" w:rsidRDefault="00E11988" w:rsidP="00E11988">
            <w:pPr>
              <w:spacing w:after="160" w:line="278" w:lineRule="auto"/>
              <w:rPr>
                <w:rFonts w:ascii="Arial" w:hAnsi="Arial" w:cs="Arial"/>
                <w:sz w:val="22"/>
                <w:szCs w:val="22"/>
              </w:rPr>
            </w:pPr>
            <w:r w:rsidRPr="00A90086">
              <w:rPr>
                <w:rFonts w:ascii="Arial" w:hAnsi="Arial" w:cs="Arial"/>
                <w:sz w:val="22"/>
                <w:szCs w:val="22"/>
              </w:rPr>
              <w:t>Medium-Term (3–12 Months)</w:t>
            </w:r>
          </w:p>
        </w:tc>
      </w:tr>
      <w:tr w:rsidR="00E11988" w:rsidRPr="00A90086" w14:paraId="343994CF" w14:textId="77777777" w:rsidTr="00E11988">
        <w:tc>
          <w:tcPr>
            <w:tcW w:w="0" w:type="auto"/>
            <w:hideMark/>
          </w:tcPr>
          <w:p w14:paraId="3F8435C3" w14:textId="77777777" w:rsidR="00E11988" w:rsidRPr="00A90086" w:rsidRDefault="00E11988" w:rsidP="00E11988">
            <w:pPr>
              <w:spacing w:after="160" w:line="278" w:lineRule="auto"/>
              <w:rPr>
                <w:rFonts w:ascii="Arial" w:hAnsi="Arial" w:cs="Arial"/>
                <w:sz w:val="22"/>
                <w:szCs w:val="22"/>
              </w:rPr>
            </w:pPr>
            <w:r w:rsidRPr="00A90086">
              <w:rPr>
                <w:rFonts w:ascii="Arial" w:hAnsi="Arial" w:cs="Arial"/>
                <w:b/>
                <w:bCs/>
                <w:sz w:val="22"/>
                <w:szCs w:val="22"/>
              </w:rPr>
              <w:t>4. Just Culture &amp; Psychological Safety</w:t>
            </w:r>
          </w:p>
        </w:tc>
        <w:tc>
          <w:tcPr>
            <w:tcW w:w="0" w:type="auto"/>
            <w:hideMark/>
          </w:tcPr>
          <w:p w14:paraId="4E0F4046" w14:textId="77777777" w:rsidR="00E11988" w:rsidRPr="00A90086" w:rsidRDefault="00E11988" w:rsidP="00E11988">
            <w:pPr>
              <w:spacing w:after="160" w:line="278" w:lineRule="auto"/>
              <w:rPr>
                <w:rFonts w:ascii="Arial" w:hAnsi="Arial" w:cs="Arial"/>
                <w:sz w:val="22"/>
                <w:szCs w:val="22"/>
              </w:rPr>
            </w:pPr>
            <w:r w:rsidRPr="00A90086">
              <w:rPr>
                <w:rFonts w:ascii="Arial" w:hAnsi="Arial" w:cs="Arial"/>
                <w:sz w:val="22"/>
                <w:szCs w:val="22"/>
              </w:rPr>
              <w:t>Establish non-punitive incident reporting system and psychological safety benchmarks.</w:t>
            </w:r>
          </w:p>
        </w:tc>
        <w:tc>
          <w:tcPr>
            <w:tcW w:w="0" w:type="auto"/>
            <w:hideMark/>
          </w:tcPr>
          <w:p w14:paraId="3A218D61" w14:textId="77777777" w:rsidR="00E11988" w:rsidRPr="00A90086" w:rsidRDefault="00E11988" w:rsidP="00E11988">
            <w:pPr>
              <w:spacing w:after="160" w:line="278" w:lineRule="auto"/>
              <w:rPr>
                <w:rFonts w:ascii="Arial" w:hAnsi="Arial" w:cs="Arial"/>
                <w:sz w:val="22"/>
                <w:szCs w:val="22"/>
              </w:rPr>
            </w:pPr>
            <w:r w:rsidRPr="00A90086">
              <w:rPr>
                <w:rFonts w:ascii="Arial" w:hAnsi="Arial" w:cs="Arial"/>
                <w:sz w:val="22"/>
                <w:szCs w:val="22"/>
              </w:rPr>
              <w:t>Medium-Term (3–12 Months)</w:t>
            </w:r>
          </w:p>
        </w:tc>
      </w:tr>
      <w:tr w:rsidR="00E11988" w:rsidRPr="00A90086" w14:paraId="5AB72C4F" w14:textId="77777777" w:rsidTr="00E11988">
        <w:tc>
          <w:tcPr>
            <w:tcW w:w="0" w:type="auto"/>
            <w:hideMark/>
          </w:tcPr>
          <w:p w14:paraId="200EA97C" w14:textId="77777777" w:rsidR="00E11988" w:rsidRPr="00A90086" w:rsidRDefault="00E11988" w:rsidP="00E11988">
            <w:pPr>
              <w:spacing w:after="160" w:line="278" w:lineRule="auto"/>
              <w:rPr>
                <w:rFonts w:ascii="Arial" w:hAnsi="Arial" w:cs="Arial"/>
                <w:sz w:val="22"/>
                <w:szCs w:val="22"/>
              </w:rPr>
            </w:pPr>
            <w:r w:rsidRPr="00A90086">
              <w:rPr>
                <w:rFonts w:ascii="Arial" w:hAnsi="Arial" w:cs="Arial"/>
                <w:b/>
                <w:bCs/>
                <w:sz w:val="22"/>
                <w:szCs w:val="22"/>
              </w:rPr>
              <w:t>5. Resource Efficiency &amp; Co-Production</w:t>
            </w:r>
          </w:p>
        </w:tc>
        <w:tc>
          <w:tcPr>
            <w:tcW w:w="0" w:type="auto"/>
            <w:hideMark/>
          </w:tcPr>
          <w:p w14:paraId="6D88BD2E" w14:textId="77777777" w:rsidR="00E11988" w:rsidRPr="00A90086" w:rsidRDefault="00E11988" w:rsidP="00E11988">
            <w:pPr>
              <w:spacing w:after="160" w:line="278" w:lineRule="auto"/>
              <w:rPr>
                <w:rFonts w:ascii="Arial" w:hAnsi="Arial" w:cs="Arial"/>
                <w:sz w:val="22"/>
                <w:szCs w:val="22"/>
              </w:rPr>
            </w:pPr>
            <w:r w:rsidRPr="00A90086">
              <w:rPr>
                <w:rFonts w:ascii="Arial" w:hAnsi="Arial" w:cs="Arial"/>
                <w:sz w:val="22"/>
                <w:szCs w:val="22"/>
              </w:rPr>
              <w:t>Reallocate budget to embed ward pharmacists &amp; establish Patient Advisory Safety Councils.</w:t>
            </w:r>
          </w:p>
        </w:tc>
        <w:tc>
          <w:tcPr>
            <w:tcW w:w="0" w:type="auto"/>
            <w:hideMark/>
          </w:tcPr>
          <w:p w14:paraId="31CE8453" w14:textId="77777777" w:rsidR="00E11988" w:rsidRPr="00A90086" w:rsidRDefault="00E11988" w:rsidP="00E11988">
            <w:pPr>
              <w:spacing w:after="160" w:line="278" w:lineRule="auto"/>
              <w:rPr>
                <w:rFonts w:ascii="Arial" w:hAnsi="Arial" w:cs="Arial"/>
                <w:sz w:val="22"/>
                <w:szCs w:val="22"/>
              </w:rPr>
            </w:pPr>
            <w:r w:rsidRPr="00A90086">
              <w:rPr>
                <w:rFonts w:ascii="Arial" w:hAnsi="Arial" w:cs="Arial"/>
                <w:sz w:val="22"/>
                <w:szCs w:val="22"/>
              </w:rPr>
              <w:t>Long-Term (12–24 Months)</w:t>
            </w:r>
          </w:p>
        </w:tc>
      </w:tr>
    </w:tbl>
    <w:p w14:paraId="32E53C14" w14:textId="13DE3B8F" w:rsidR="00F01D9F" w:rsidRPr="00A90086" w:rsidRDefault="0000115D" w:rsidP="0002242A">
      <w:pPr>
        <w:rPr>
          <w:rFonts w:ascii="Arial" w:hAnsi="Arial" w:cs="Arial"/>
          <w:sz w:val="22"/>
          <w:szCs w:val="22"/>
        </w:rPr>
      </w:pPr>
      <w:r w:rsidRPr="00A90086">
        <w:rPr>
          <w:rFonts w:ascii="Arial" w:hAnsi="Arial" w:cs="Arial"/>
          <w:sz w:val="22"/>
          <w:szCs w:val="22"/>
        </w:rPr>
        <w:t> TABLE 3: ACTIONABLE STRATEGIC RECOMMENDATIONS MATRIX</w:t>
      </w:r>
    </w:p>
    <w:p w14:paraId="3F097121" w14:textId="77777777" w:rsidR="00D81E61" w:rsidRPr="00A90086" w:rsidRDefault="00D81E61" w:rsidP="00D81E61">
      <w:pPr>
        <w:rPr>
          <w:rFonts w:ascii="Arial" w:hAnsi="Arial" w:cs="Arial"/>
          <w:b/>
          <w:bCs/>
          <w:sz w:val="22"/>
          <w:szCs w:val="22"/>
        </w:rPr>
      </w:pPr>
      <w:r w:rsidRPr="00A90086">
        <w:rPr>
          <w:rFonts w:ascii="Arial" w:hAnsi="Arial" w:cs="Arial"/>
          <w:b/>
          <w:bCs/>
          <w:sz w:val="22"/>
          <w:szCs w:val="22"/>
        </w:rPr>
        <w:t>1. Mandatory Technological and Clinical Governance Reforms</w:t>
      </w:r>
    </w:p>
    <w:p w14:paraId="6845CF89" w14:textId="77777777" w:rsidR="00D81E61" w:rsidRPr="00A90086" w:rsidRDefault="00D81E61" w:rsidP="00D81E61">
      <w:pPr>
        <w:numPr>
          <w:ilvl w:val="0"/>
          <w:numId w:val="27"/>
        </w:numPr>
        <w:rPr>
          <w:rFonts w:ascii="Arial" w:hAnsi="Arial" w:cs="Arial"/>
          <w:sz w:val="22"/>
          <w:szCs w:val="22"/>
        </w:rPr>
      </w:pPr>
      <w:r w:rsidRPr="00A90086">
        <w:rPr>
          <w:rFonts w:ascii="Arial" w:hAnsi="Arial" w:cs="Arial"/>
          <w:b/>
          <w:bCs/>
          <w:sz w:val="22"/>
          <w:szCs w:val="22"/>
        </w:rPr>
        <w:t>Universal Electronic Prescribing (</w:t>
      </w:r>
      <w:proofErr w:type="spellStart"/>
      <w:r w:rsidRPr="00A90086">
        <w:rPr>
          <w:rFonts w:ascii="Arial" w:hAnsi="Arial" w:cs="Arial"/>
          <w:b/>
          <w:bCs/>
          <w:sz w:val="22"/>
          <w:szCs w:val="22"/>
        </w:rPr>
        <w:t>ePMA</w:t>
      </w:r>
      <w:proofErr w:type="spellEnd"/>
      <w:r w:rsidRPr="00A90086">
        <w:rPr>
          <w:rFonts w:ascii="Arial" w:hAnsi="Arial" w:cs="Arial"/>
          <w:b/>
          <w:bCs/>
          <w:sz w:val="22"/>
          <w:szCs w:val="22"/>
        </w:rPr>
        <w:t>) Safety Nets:</w:t>
      </w:r>
      <w:r w:rsidRPr="00A90086">
        <w:rPr>
          <w:rFonts w:ascii="Arial" w:hAnsi="Arial" w:cs="Arial"/>
          <w:sz w:val="22"/>
          <w:szCs w:val="22"/>
        </w:rPr>
        <w:t xml:space="preserve"> Executive management must immediately procure and configure </w:t>
      </w:r>
      <w:proofErr w:type="spellStart"/>
      <w:r w:rsidRPr="00A90086">
        <w:rPr>
          <w:rFonts w:ascii="Arial" w:hAnsi="Arial" w:cs="Arial"/>
          <w:sz w:val="22"/>
          <w:szCs w:val="22"/>
        </w:rPr>
        <w:t>ePMA</w:t>
      </w:r>
      <w:proofErr w:type="spellEnd"/>
      <w:r w:rsidRPr="00A90086">
        <w:rPr>
          <w:rFonts w:ascii="Arial" w:hAnsi="Arial" w:cs="Arial"/>
          <w:sz w:val="22"/>
          <w:szCs w:val="22"/>
        </w:rPr>
        <w:t xml:space="preserve"> software to include mandatory "pause and restart" hard-stop alerts for all high-alert medications (DOACs, insulins, antiplatelets). The system must require an explicit, documented clinical justification for any pause exceeding 48 hours and automatically flag paused drugs on daily medical ward round lists (ISMP, 2021; HSSIB, 2023).</w:t>
      </w:r>
    </w:p>
    <w:p w14:paraId="59379EB9" w14:textId="77777777" w:rsidR="00D81E61" w:rsidRPr="00A90086" w:rsidRDefault="00D81E61" w:rsidP="00D81E61">
      <w:pPr>
        <w:numPr>
          <w:ilvl w:val="0"/>
          <w:numId w:val="27"/>
        </w:numPr>
        <w:rPr>
          <w:rFonts w:ascii="Arial" w:hAnsi="Arial" w:cs="Arial"/>
          <w:sz w:val="22"/>
          <w:szCs w:val="22"/>
        </w:rPr>
      </w:pPr>
      <w:r w:rsidRPr="00A90086">
        <w:rPr>
          <w:rFonts w:ascii="Arial" w:hAnsi="Arial" w:cs="Arial"/>
          <w:b/>
          <w:bCs/>
          <w:sz w:val="22"/>
          <w:szCs w:val="22"/>
        </w:rPr>
        <w:t>Enforcement of Daily Multidisciplinary Medication Reconciliation:</w:t>
      </w:r>
      <w:r w:rsidRPr="00A90086">
        <w:rPr>
          <w:rFonts w:ascii="Arial" w:hAnsi="Arial" w:cs="Arial"/>
          <w:sz w:val="22"/>
          <w:szCs w:val="22"/>
        </w:rPr>
        <w:t xml:space="preserve"> Implement a mandatory clinical policy requiring ward-based clinical pharmacists and primary medical teams to conduct daily medication reconciliation for 100% of admitted medical patients, specifically auditing paused drugs against procedure schedules (NICE, 2022).</w:t>
      </w:r>
    </w:p>
    <w:p w14:paraId="45D104E2" w14:textId="77777777" w:rsidR="00D81E61" w:rsidRPr="00A90086" w:rsidRDefault="00D81E61" w:rsidP="00D81E61">
      <w:pPr>
        <w:rPr>
          <w:rFonts w:ascii="Arial" w:hAnsi="Arial" w:cs="Arial"/>
          <w:b/>
          <w:bCs/>
          <w:sz w:val="22"/>
          <w:szCs w:val="22"/>
        </w:rPr>
      </w:pPr>
      <w:r w:rsidRPr="00A90086">
        <w:rPr>
          <w:rFonts w:ascii="Arial" w:hAnsi="Arial" w:cs="Arial"/>
          <w:b/>
          <w:bCs/>
          <w:sz w:val="22"/>
          <w:szCs w:val="22"/>
        </w:rPr>
        <w:t>2. Leadership Style Transformation and Organisational Culture</w:t>
      </w:r>
    </w:p>
    <w:p w14:paraId="7EB53E98" w14:textId="77777777" w:rsidR="00D81E61" w:rsidRPr="00A90086" w:rsidRDefault="00D81E61" w:rsidP="00D81E61">
      <w:pPr>
        <w:numPr>
          <w:ilvl w:val="0"/>
          <w:numId w:val="28"/>
        </w:numPr>
        <w:rPr>
          <w:rFonts w:ascii="Arial" w:hAnsi="Arial" w:cs="Arial"/>
          <w:sz w:val="22"/>
          <w:szCs w:val="22"/>
        </w:rPr>
      </w:pPr>
      <w:r w:rsidRPr="00A90086">
        <w:rPr>
          <w:rFonts w:ascii="Arial" w:hAnsi="Arial" w:cs="Arial"/>
          <w:b/>
          <w:bCs/>
          <w:sz w:val="22"/>
          <w:szCs w:val="22"/>
        </w:rPr>
        <w:t>Adoption of Transformational and Servant Leadership:</w:t>
      </w:r>
      <w:r w:rsidRPr="00A90086">
        <w:rPr>
          <w:rFonts w:ascii="Arial" w:hAnsi="Arial" w:cs="Arial"/>
          <w:sz w:val="22"/>
          <w:szCs w:val="22"/>
        </w:rPr>
        <w:t xml:space="preserve"> Hospital directorates must institute leadership development programs to transition senior medical consultants and ward managers from autocratic command-and-control styles toward transformational and servant leadership models (Bass and Avolio, 1994; Greenleaf, 1977). Leaders must actively engage in "Safety </w:t>
      </w:r>
      <w:proofErr w:type="spellStart"/>
      <w:r w:rsidRPr="00A90086">
        <w:rPr>
          <w:rFonts w:ascii="Arial" w:hAnsi="Arial" w:cs="Arial"/>
          <w:sz w:val="22"/>
          <w:szCs w:val="22"/>
        </w:rPr>
        <w:t>Walkrounds</w:t>
      </w:r>
      <w:proofErr w:type="spellEnd"/>
      <w:r w:rsidRPr="00A90086">
        <w:rPr>
          <w:rFonts w:ascii="Arial" w:hAnsi="Arial" w:cs="Arial"/>
          <w:sz w:val="22"/>
          <w:szCs w:val="22"/>
        </w:rPr>
        <w:t>" (IHI, 2022) to listen to frontline staff concerns and coach clinical prescribers.</w:t>
      </w:r>
    </w:p>
    <w:p w14:paraId="0A2F4E06" w14:textId="77777777" w:rsidR="00D81E61" w:rsidRPr="00A90086" w:rsidRDefault="00D81E61" w:rsidP="00D81E61">
      <w:pPr>
        <w:numPr>
          <w:ilvl w:val="0"/>
          <w:numId w:val="28"/>
        </w:numPr>
        <w:rPr>
          <w:rFonts w:ascii="Arial" w:hAnsi="Arial" w:cs="Arial"/>
          <w:sz w:val="22"/>
          <w:szCs w:val="22"/>
        </w:rPr>
      </w:pPr>
      <w:r w:rsidRPr="00A90086">
        <w:rPr>
          <w:rFonts w:ascii="Arial" w:hAnsi="Arial" w:cs="Arial"/>
          <w:b/>
          <w:bCs/>
          <w:sz w:val="22"/>
          <w:szCs w:val="22"/>
        </w:rPr>
        <w:lastRenderedPageBreak/>
        <w:t>Institutionalisation of Just Culture and Psychological Safety:</w:t>
      </w:r>
      <w:r w:rsidRPr="00A90086">
        <w:rPr>
          <w:rFonts w:ascii="Arial" w:hAnsi="Arial" w:cs="Arial"/>
          <w:sz w:val="22"/>
          <w:szCs w:val="22"/>
        </w:rPr>
        <w:t xml:space="preserve"> Replace blame-oriented administrative punishment with an official NHS-style "Just Culture" framework (NHS England, 2021; Reason, 1997). Create a confidential, non-punitive digital incident reporting portal, ensuring staff are protected when reporting prescribing delays or challenging cross-specialty care gaps (Edmondson, 2019).</w:t>
      </w:r>
    </w:p>
    <w:p w14:paraId="53D0F8F2" w14:textId="77777777" w:rsidR="00D81E61" w:rsidRPr="00A90086" w:rsidRDefault="00D81E61" w:rsidP="00D81E61">
      <w:pPr>
        <w:rPr>
          <w:rFonts w:ascii="Arial" w:hAnsi="Arial" w:cs="Arial"/>
          <w:b/>
          <w:bCs/>
          <w:sz w:val="22"/>
          <w:szCs w:val="22"/>
        </w:rPr>
      </w:pPr>
      <w:r w:rsidRPr="00A90086">
        <w:rPr>
          <w:rFonts w:ascii="Arial" w:hAnsi="Arial" w:cs="Arial"/>
          <w:b/>
          <w:bCs/>
          <w:sz w:val="22"/>
          <w:szCs w:val="22"/>
        </w:rPr>
        <w:t>3. Enhancing Resource Efficiency, Communication, and Co-Production</w:t>
      </w:r>
    </w:p>
    <w:p w14:paraId="12EB41AB" w14:textId="77777777" w:rsidR="00D81E61" w:rsidRPr="00A90086" w:rsidRDefault="00D81E61" w:rsidP="00D81E61">
      <w:pPr>
        <w:numPr>
          <w:ilvl w:val="0"/>
          <w:numId w:val="29"/>
        </w:numPr>
        <w:rPr>
          <w:rFonts w:ascii="Arial" w:hAnsi="Arial" w:cs="Arial"/>
          <w:sz w:val="22"/>
          <w:szCs w:val="22"/>
        </w:rPr>
      </w:pPr>
      <w:r w:rsidRPr="00A90086">
        <w:rPr>
          <w:rFonts w:ascii="Arial" w:hAnsi="Arial" w:cs="Arial"/>
          <w:b/>
          <w:bCs/>
          <w:sz w:val="22"/>
          <w:szCs w:val="22"/>
        </w:rPr>
        <w:t>Allocative Efficiency &amp; Embedded Ward Pharmacy:</w:t>
      </w:r>
      <w:r w:rsidRPr="00A90086">
        <w:rPr>
          <w:rFonts w:ascii="Arial" w:hAnsi="Arial" w:cs="Arial"/>
          <w:sz w:val="22"/>
          <w:szCs w:val="22"/>
        </w:rPr>
        <w:t xml:space="preserve"> Reallocate public health budget resources from non-essential administrative overhead to embed dedicated clinical pharmacists directly within acute medical wards and surgical pre-assessment clinics (Aiken et al., 2014; World Bank, 2023).</w:t>
      </w:r>
    </w:p>
    <w:p w14:paraId="66430A38" w14:textId="77777777" w:rsidR="00D81E61" w:rsidRPr="00A90086" w:rsidRDefault="00D81E61" w:rsidP="00D81E61">
      <w:pPr>
        <w:numPr>
          <w:ilvl w:val="0"/>
          <w:numId w:val="29"/>
        </w:numPr>
        <w:rPr>
          <w:rFonts w:ascii="Arial" w:hAnsi="Arial" w:cs="Arial"/>
          <w:sz w:val="22"/>
          <w:szCs w:val="22"/>
        </w:rPr>
      </w:pPr>
      <w:r w:rsidRPr="00A90086">
        <w:rPr>
          <w:rFonts w:ascii="Arial" w:hAnsi="Arial" w:cs="Arial"/>
          <w:b/>
          <w:bCs/>
          <w:sz w:val="22"/>
          <w:szCs w:val="22"/>
        </w:rPr>
        <w:t>Implementation of Structured Handover Toolkits:</w:t>
      </w:r>
      <w:r w:rsidRPr="00A90086">
        <w:rPr>
          <w:rFonts w:ascii="Arial" w:hAnsi="Arial" w:cs="Arial"/>
          <w:sz w:val="22"/>
          <w:szCs w:val="22"/>
        </w:rPr>
        <w:t xml:space="preserve"> Mandate the use of standardized communication tools—specifically SBAR (Situation, Background, Assessment, Recommendation) incorporating an explicit "Paused Medication Box"—during every patient transfer between ED, medical wards, and procedural suites (IHI, 2022).</w:t>
      </w:r>
    </w:p>
    <w:p w14:paraId="34EC0307" w14:textId="77777777" w:rsidR="00D81E61" w:rsidRPr="00A90086" w:rsidRDefault="00D81E61" w:rsidP="00D81E61">
      <w:pPr>
        <w:numPr>
          <w:ilvl w:val="0"/>
          <w:numId w:val="29"/>
        </w:numPr>
        <w:rPr>
          <w:rFonts w:ascii="Arial" w:hAnsi="Arial" w:cs="Arial"/>
          <w:sz w:val="22"/>
          <w:szCs w:val="22"/>
        </w:rPr>
      </w:pPr>
      <w:r w:rsidRPr="00A90086">
        <w:rPr>
          <w:rFonts w:ascii="Arial" w:hAnsi="Arial" w:cs="Arial"/>
          <w:b/>
          <w:bCs/>
          <w:sz w:val="22"/>
          <w:szCs w:val="22"/>
        </w:rPr>
        <w:t>Stakeholder Engagement and Service Co-Production:</w:t>
      </w:r>
      <w:r w:rsidRPr="00A90086">
        <w:rPr>
          <w:rFonts w:ascii="Arial" w:hAnsi="Arial" w:cs="Arial"/>
          <w:sz w:val="22"/>
          <w:szCs w:val="22"/>
        </w:rPr>
        <w:t xml:space="preserve"> Establish a Patient and Carer Advisory Safety Council (PCASC) to co-produce patient medication education cards. Empower patients and family members as active safety partners by providing them with a physical "My Paused Medicines" tracking card upon admission, enabling them to verify drug restart plans with ward staff prior to discharge (Realpe and Wallace, 2020; WHO, 2022).</w:t>
      </w:r>
    </w:p>
    <w:p w14:paraId="5D3CE09C" w14:textId="7C2046B6" w:rsidR="00D81E61" w:rsidRPr="00A90086" w:rsidRDefault="00D81E61" w:rsidP="00D81E61">
      <w:pPr>
        <w:rPr>
          <w:rFonts w:ascii="Arial" w:hAnsi="Arial" w:cs="Arial"/>
          <w:b/>
          <w:bCs/>
          <w:sz w:val="22"/>
          <w:szCs w:val="22"/>
        </w:rPr>
      </w:pPr>
      <w:r w:rsidRPr="00A90086">
        <w:rPr>
          <w:rFonts w:ascii="Arial" w:hAnsi="Arial" w:cs="Arial"/>
          <w:b/>
          <w:bCs/>
          <w:sz w:val="22"/>
          <w:szCs w:val="22"/>
        </w:rPr>
        <w:t xml:space="preserve">SECTION 4: CONCLUSION </w:t>
      </w:r>
    </w:p>
    <w:p w14:paraId="03819BF0" w14:textId="77777777" w:rsidR="00D81E61" w:rsidRPr="00A90086" w:rsidRDefault="00D81E61" w:rsidP="00D81E61">
      <w:pPr>
        <w:rPr>
          <w:rFonts w:ascii="Arial" w:hAnsi="Arial" w:cs="Arial"/>
          <w:sz w:val="22"/>
          <w:szCs w:val="22"/>
        </w:rPr>
      </w:pPr>
      <w:r w:rsidRPr="00A90086">
        <w:rPr>
          <w:rFonts w:ascii="Arial" w:hAnsi="Arial" w:cs="Arial"/>
          <w:sz w:val="22"/>
          <w:szCs w:val="22"/>
        </w:rPr>
        <w:t>The fatal omission of anticoagulation in Patient X’s care stands as a stark testament to the profound vulnerability of healthcare systems operating under rigid centralisation, transactional leadership, siloed communication, and degraded clinical governance. What surfaced publicly as an isolated failure to restart a medication was, in reality, the inevitable culmination of multiple latent systemic flaws: unmanaged procedure backlogs, absent electronic prescribing alerts, missing daily pharmacy reconciliation, steep authority gradients, and a punitive culture that suppressed near-miss reporting.</w:t>
      </w:r>
    </w:p>
    <w:p w14:paraId="1E4802CF" w14:textId="77777777" w:rsidR="00D81E61" w:rsidRPr="00A90086" w:rsidRDefault="00D81E61" w:rsidP="00D81E61">
      <w:pPr>
        <w:rPr>
          <w:rFonts w:ascii="Arial" w:hAnsi="Arial" w:cs="Arial"/>
          <w:sz w:val="22"/>
          <w:szCs w:val="22"/>
        </w:rPr>
      </w:pPr>
      <w:r w:rsidRPr="00A90086">
        <w:rPr>
          <w:rFonts w:ascii="Arial" w:hAnsi="Arial" w:cs="Arial"/>
          <w:sz w:val="22"/>
          <w:szCs w:val="22"/>
        </w:rPr>
        <w:t>This case study analysis decisively demonstrates that medication safety cannot be secured through administrative mandates or individual prescriber scapegoating. Delivering consistently safe, high-quality care requires a fundamental paradigm shift in organizational design and leadership. Health systems must transition from reactive, command-driven hierarchies toward decentralized, High Reliability Organizations supported by transformational, servant, and distributed leadership styles.</w:t>
      </w:r>
    </w:p>
    <w:p w14:paraId="4BA070A7" w14:textId="1520F57B" w:rsidR="00D81E61" w:rsidRPr="00A90086" w:rsidRDefault="00D81E61" w:rsidP="00D81E61">
      <w:pPr>
        <w:rPr>
          <w:rFonts w:ascii="Arial" w:hAnsi="Arial" w:cs="Arial"/>
          <w:sz w:val="22"/>
          <w:szCs w:val="22"/>
        </w:rPr>
      </w:pPr>
      <w:r w:rsidRPr="00A90086">
        <w:rPr>
          <w:rFonts w:ascii="Arial" w:hAnsi="Arial" w:cs="Arial"/>
          <w:sz w:val="22"/>
          <w:szCs w:val="22"/>
        </w:rPr>
        <w:t>Ultimately, effective leadership in health and social care is the vital bridge connecting organizational structure, clinical governance, technology, and human behaviour. By cultivating psychological safety, embedding automated electronic prescribing safety nets, enforcing multidisciplinary medication reconciliation, and empowering frontline staff and patients as co-productive partners, healthcare organizations can eliminate preventable medication harm and build resilient, compassionate care systems worthy of public trust.</w:t>
      </w:r>
    </w:p>
    <w:p w14:paraId="4CFB98E0" w14:textId="77777777" w:rsidR="00A90086" w:rsidRDefault="00A90086" w:rsidP="00D81E61">
      <w:pPr>
        <w:rPr>
          <w:rFonts w:ascii="Arial" w:hAnsi="Arial" w:cs="Arial"/>
          <w:b/>
          <w:bCs/>
          <w:sz w:val="22"/>
          <w:szCs w:val="22"/>
        </w:rPr>
      </w:pPr>
    </w:p>
    <w:p w14:paraId="650E8C02" w14:textId="1C5E3DC3" w:rsidR="00D81E61" w:rsidRPr="00A90086" w:rsidRDefault="00D81E61" w:rsidP="00D81E61">
      <w:pPr>
        <w:rPr>
          <w:rFonts w:ascii="Arial" w:hAnsi="Arial" w:cs="Arial"/>
          <w:b/>
          <w:bCs/>
          <w:sz w:val="22"/>
          <w:szCs w:val="22"/>
        </w:rPr>
      </w:pPr>
      <w:r w:rsidRPr="00A90086">
        <w:rPr>
          <w:rFonts w:ascii="Arial" w:hAnsi="Arial" w:cs="Arial"/>
          <w:b/>
          <w:bCs/>
          <w:sz w:val="22"/>
          <w:szCs w:val="22"/>
        </w:rPr>
        <w:lastRenderedPageBreak/>
        <w:t xml:space="preserve">SECTION 5: REFERENCES </w:t>
      </w:r>
    </w:p>
    <w:p w14:paraId="7A1E24A8" w14:textId="77777777" w:rsidR="00D81E61" w:rsidRPr="00A90086" w:rsidRDefault="00D81E61" w:rsidP="00D81E61">
      <w:pPr>
        <w:numPr>
          <w:ilvl w:val="0"/>
          <w:numId w:val="30"/>
        </w:numPr>
        <w:rPr>
          <w:rFonts w:ascii="Arial" w:hAnsi="Arial" w:cs="Arial"/>
          <w:sz w:val="22"/>
          <w:szCs w:val="22"/>
        </w:rPr>
      </w:pPr>
      <w:r w:rsidRPr="00A90086">
        <w:rPr>
          <w:rFonts w:ascii="Arial" w:hAnsi="Arial" w:cs="Arial"/>
          <w:sz w:val="22"/>
          <w:szCs w:val="22"/>
        </w:rPr>
        <w:t xml:space="preserve">Aiken, L.H., Sloane, D.M., Bruyneel, L., Van den Heede, K., Griffiths, P., Busse, R., </w:t>
      </w:r>
      <w:proofErr w:type="spellStart"/>
      <w:r w:rsidRPr="00A90086">
        <w:rPr>
          <w:rFonts w:ascii="Arial" w:hAnsi="Arial" w:cs="Arial"/>
          <w:sz w:val="22"/>
          <w:szCs w:val="22"/>
        </w:rPr>
        <w:t>Diomidous</w:t>
      </w:r>
      <w:proofErr w:type="spellEnd"/>
      <w:r w:rsidRPr="00A90086">
        <w:rPr>
          <w:rFonts w:ascii="Arial" w:hAnsi="Arial" w:cs="Arial"/>
          <w:sz w:val="22"/>
          <w:szCs w:val="22"/>
        </w:rPr>
        <w:t xml:space="preserve">, M., Kinnunen, J., </w:t>
      </w:r>
      <w:proofErr w:type="spellStart"/>
      <w:r w:rsidRPr="00A90086">
        <w:rPr>
          <w:rFonts w:ascii="Arial" w:hAnsi="Arial" w:cs="Arial"/>
          <w:sz w:val="22"/>
          <w:szCs w:val="22"/>
        </w:rPr>
        <w:t>Kózka</w:t>
      </w:r>
      <w:proofErr w:type="spellEnd"/>
      <w:r w:rsidRPr="00A90086">
        <w:rPr>
          <w:rFonts w:ascii="Arial" w:hAnsi="Arial" w:cs="Arial"/>
          <w:sz w:val="22"/>
          <w:szCs w:val="22"/>
        </w:rPr>
        <w:t xml:space="preserve">, M., </w:t>
      </w:r>
      <w:proofErr w:type="spellStart"/>
      <w:r w:rsidRPr="00A90086">
        <w:rPr>
          <w:rFonts w:ascii="Arial" w:hAnsi="Arial" w:cs="Arial"/>
          <w:sz w:val="22"/>
          <w:szCs w:val="22"/>
        </w:rPr>
        <w:t>Lesaffre</w:t>
      </w:r>
      <w:proofErr w:type="spellEnd"/>
      <w:r w:rsidRPr="00A90086">
        <w:rPr>
          <w:rFonts w:ascii="Arial" w:hAnsi="Arial" w:cs="Arial"/>
          <w:sz w:val="22"/>
          <w:szCs w:val="22"/>
        </w:rPr>
        <w:t>, E. and McHugh, M.D. (2014) 'Nurse staffing and education and hospital mortality in 9 European countries: a retrospective observational study', The Lancet, 383(9931), pp. 1824–1830.</w:t>
      </w:r>
    </w:p>
    <w:p w14:paraId="71712B80" w14:textId="77777777" w:rsidR="00D81E61" w:rsidRPr="00A90086" w:rsidRDefault="00D81E61" w:rsidP="00D81E61">
      <w:pPr>
        <w:numPr>
          <w:ilvl w:val="0"/>
          <w:numId w:val="30"/>
        </w:numPr>
        <w:rPr>
          <w:rFonts w:ascii="Arial" w:hAnsi="Arial" w:cs="Arial"/>
          <w:sz w:val="22"/>
          <w:szCs w:val="22"/>
        </w:rPr>
      </w:pPr>
      <w:r w:rsidRPr="00A90086">
        <w:rPr>
          <w:rFonts w:ascii="Arial" w:hAnsi="Arial" w:cs="Arial"/>
          <w:sz w:val="22"/>
          <w:szCs w:val="22"/>
        </w:rPr>
        <w:t>Bass, B.M. and Avolio, B.J. (1994) Improving organizational effectiveness through transformational leadership. Thousand Oaks: Sage Publications.</w:t>
      </w:r>
    </w:p>
    <w:p w14:paraId="1D9ED20D" w14:textId="77777777" w:rsidR="00D81E61" w:rsidRPr="00A90086" w:rsidRDefault="00D81E61" w:rsidP="00D81E61">
      <w:pPr>
        <w:numPr>
          <w:ilvl w:val="0"/>
          <w:numId w:val="30"/>
        </w:numPr>
        <w:rPr>
          <w:rFonts w:ascii="Arial" w:hAnsi="Arial" w:cs="Arial"/>
          <w:sz w:val="22"/>
          <w:szCs w:val="22"/>
        </w:rPr>
      </w:pPr>
      <w:r w:rsidRPr="00A90086">
        <w:rPr>
          <w:rFonts w:ascii="Arial" w:hAnsi="Arial" w:cs="Arial"/>
          <w:sz w:val="22"/>
          <w:szCs w:val="22"/>
        </w:rPr>
        <w:t>Berwick, D.M. (2020) 'Choices for the future of health care', JAMA, 323(1), pp. 27–28.</w:t>
      </w:r>
    </w:p>
    <w:p w14:paraId="70ECFCA2" w14:textId="77777777" w:rsidR="00D81E61" w:rsidRPr="00A90086" w:rsidRDefault="00D81E61" w:rsidP="00D81E61">
      <w:pPr>
        <w:numPr>
          <w:ilvl w:val="0"/>
          <w:numId w:val="30"/>
        </w:numPr>
        <w:rPr>
          <w:rFonts w:ascii="Arial" w:hAnsi="Arial" w:cs="Arial"/>
          <w:sz w:val="22"/>
          <w:szCs w:val="22"/>
        </w:rPr>
      </w:pPr>
      <w:r w:rsidRPr="00A90086">
        <w:rPr>
          <w:rFonts w:ascii="Arial" w:hAnsi="Arial" w:cs="Arial"/>
          <w:sz w:val="22"/>
          <w:szCs w:val="22"/>
        </w:rPr>
        <w:t>Boers, M., Jansen, M., Rijk, L. and van der Schaaf, T. (2023) 'Economic burden of adverse events in public tertiary care hospitals: a systematic review', Health Policy and Planning, 38(4), pp. 512–526.</w:t>
      </w:r>
    </w:p>
    <w:p w14:paraId="4EA4D0BB" w14:textId="77777777" w:rsidR="00D81E61" w:rsidRPr="00A90086" w:rsidRDefault="00D81E61" w:rsidP="00D81E61">
      <w:pPr>
        <w:numPr>
          <w:ilvl w:val="0"/>
          <w:numId w:val="30"/>
        </w:numPr>
        <w:rPr>
          <w:rFonts w:ascii="Arial" w:hAnsi="Arial" w:cs="Arial"/>
          <w:sz w:val="22"/>
          <w:szCs w:val="22"/>
        </w:rPr>
      </w:pPr>
      <w:r w:rsidRPr="00A90086">
        <w:rPr>
          <w:rFonts w:ascii="Arial" w:hAnsi="Arial" w:cs="Arial"/>
          <w:sz w:val="22"/>
          <w:szCs w:val="22"/>
        </w:rPr>
        <w:t>Bolden, R. (2011) 'Distributed leadership in organizations: A review of theory and practice', International Journal of Management Reviews, 13(3), pp. 251–269.</w:t>
      </w:r>
    </w:p>
    <w:p w14:paraId="23E875C5" w14:textId="77777777" w:rsidR="00D81E61" w:rsidRPr="00A90086" w:rsidRDefault="00D81E61" w:rsidP="00D81E61">
      <w:pPr>
        <w:numPr>
          <w:ilvl w:val="0"/>
          <w:numId w:val="30"/>
        </w:numPr>
        <w:rPr>
          <w:rFonts w:ascii="Arial" w:hAnsi="Arial" w:cs="Arial"/>
          <w:sz w:val="22"/>
          <w:szCs w:val="22"/>
        </w:rPr>
      </w:pPr>
      <w:r w:rsidRPr="00A90086">
        <w:rPr>
          <w:rFonts w:ascii="Arial" w:hAnsi="Arial" w:cs="Arial"/>
          <w:sz w:val="22"/>
          <w:szCs w:val="22"/>
        </w:rPr>
        <w:t xml:space="preserve">Braithwaite, J., Herkes, J., Ludlow, K., </w:t>
      </w:r>
      <w:proofErr w:type="spellStart"/>
      <w:r w:rsidRPr="00A90086">
        <w:rPr>
          <w:rFonts w:ascii="Arial" w:hAnsi="Arial" w:cs="Arial"/>
          <w:sz w:val="22"/>
          <w:szCs w:val="22"/>
        </w:rPr>
        <w:t>Testree</w:t>
      </w:r>
      <w:proofErr w:type="spellEnd"/>
      <w:r w:rsidRPr="00A90086">
        <w:rPr>
          <w:rFonts w:ascii="Arial" w:hAnsi="Arial" w:cs="Arial"/>
          <w:sz w:val="22"/>
          <w:szCs w:val="22"/>
        </w:rPr>
        <w:t xml:space="preserve">, M. and </w:t>
      </w:r>
      <w:proofErr w:type="spellStart"/>
      <w:r w:rsidRPr="00A90086">
        <w:rPr>
          <w:rFonts w:ascii="Arial" w:hAnsi="Arial" w:cs="Arial"/>
          <w:sz w:val="22"/>
          <w:szCs w:val="22"/>
        </w:rPr>
        <w:t>Lamprell</w:t>
      </w:r>
      <w:proofErr w:type="spellEnd"/>
      <w:r w:rsidRPr="00A90086">
        <w:rPr>
          <w:rFonts w:ascii="Arial" w:hAnsi="Arial" w:cs="Arial"/>
          <w:sz w:val="22"/>
          <w:szCs w:val="22"/>
        </w:rPr>
        <w:t>, G. (2018) 'Association between organisational and workplace culture, and patient outcomes: systematic review', BMJ Open, 8(11), e023708.</w:t>
      </w:r>
    </w:p>
    <w:p w14:paraId="27FAC642" w14:textId="77777777" w:rsidR="00D81E61" w:rsidRPr="00A90086" w:rsidRDefault="00D81E61" w:rsidP="00D81E61">
      <w:pPr>
        <w:numPr>
          <w:ilvl w:val="0"/>
          <w:numId w:val="30"/>
        </w:numPr>
        <w:rPr>
          <w:rFonts w:ascii="Arial" w:hAnsi="Arial" w:cs="Arial"/>
          <w:sz w:val="22"/>
          <w:szCs w:val="22"/>
        </w:rPr>
      </w:pPr>
      <w:proofErr w:type="spellStart"/>
      <w:r w:rsidRPr="00A90086">
        <w:rPr>
          <w:rFonts w:ascii="Arial" w:hAnsi="Arial" w:cs="Arial"/>
          <w:sz w:val="22"/>
          <w:szCs w:val="22"/>
        </w:rPr>
        <w:t>Carayon</w:t>
      </w:r>
      <w:proofErr w:type="spellEnd"/>
      <w:r w:rsidRPr="00A90086">
        <w:rPr>
          <w:rFonts w:ascii="Arial" w:hAnsi="Arial" w:cs="Arial"/>
          <w:sz w:val="22"/>
          <w:szCs w:val="22"/>
        </w:rPr>
        <w:t xml:space="preserve">, P., </w:t>
      </w:r>
      <w:proofErr w:type="spellStart"/>
      <w:r w:rsidRPr="00A90086">
        <w:rPr>
          <w:rFonts w:ascii="Arial" w:hAnsi="Arial" w:cs="Arial"/>
          <w:sz w:val="22"/>
          <w:szCs w:val="22"/>
        </w:rPr>
        <w:t>Wetterneck</w:t>
      </w:r>
      <w:proofErr w:type="spellEnd"/>
      <w:r w:rsidRPr="00A90086">
        <w:rPr>
          <w:rFonts w:ascii="Arial" w:hAnsi="Arial" w:cs="Arial"/>
          <w:sz w:val="22"/>
          <w:szCs w:val="22"/>
        </w:rPr>
        <w:t xml:space="preserve">, T.B., Rivera-Rodriguez, A.J., Hundt, A.S., </w:t>
      </w:r>
      <w:proofErr w:type="spellStart"/>
      <w:r w:rsidRPr="00A90086">
        <w:rPr>
          <w:rFonts w:ascii="Arial" w:hAnsi="Arial" w:cs="Arial"/>
          <w:sz w:val="22"/>
          <w:szCs w:val="22"/>
        </w:rPr>
        <w:t>Hoonakker</w:t>
      </w:r>
      <w:proofErr w:type="spellEnd"/>
      <w:r w:rsidRPr="00A90086">
        <w:rPr>
          <w:rFonts w:ascii="Arial" w:hAnsi="Arial" w:cs="Arial"/>
          <w:sz w:val="22"/>
          <w:szCs w:val="22"/>
        </w:rPr>
        <w:t xml:space="preserve">, P., Holden, R. and </w:t>
      </w:r>
      <w:proofErr w:type="spellStart"/>
      <w:r w:rsidRPr="00A90086">
        <w:rPr>
          <w:rFonts w:ascii="Arial" w:hAnsi="Arial" w:cs="Arial"/>
          <w:sz w:val="22"/>
          <w:szCs w:val="22"/>
        </w:rPr>
        <w:t>Gurses</w:t>
      </w:r>
      <w:proofErr w:type="spellEnd"/>
      <w:r w:rsidRPr="00A90086">
        <w:rPr>
          <w:rFonts w:ascii="Arial" w:hAnsi="Arial" w:cs="Arial"/>
          <w:sz w:val="22"/>
          <w:szCs w:val="22"/>
        </w:rPr>
        <w:t>, A.P. (2014) 'Human factors systems approach to healthcare quality and patient safety', Applied Ergonomics, 45(1), pp. 14–25.</w:t>
      </w:r>
    </w:p>
    <w:p w14:paraId="5A949496" w14:textId="77777777" w:rsidR="00D81E61" w:rsidRPr="00A90086" w:rsidRDefault="00D81E61" w:rsidP="00D81E61">
      <w:pPr>
        <w:numPr>
          <w:ilvl w:val="0"/>
          <w:numId w:val="30"/>
        </w:numPr>
        <w:rPr>
          <w:rFonts w:ascii="Arial" w:hAnsi="Arial" w:cs="Arial"/>
          <w:sz w:val="22"/>
          <w:szCs w:val="22"/>
        </w:rPr>
      </w:pPr>
      <w:r w:rsidRPr="00A90086">
        <w:rPr>
          <w:rFonts w:ascii="Arial" w:hAnsi="Arial" w:cs="Arial"/>
          <w:sz w:val="22"/>
          <w:szCs w:val="22"/>
        </w:rPr>
        <w:t>Care Quality Commission (CQC) (2023) State of Care 2022/23: Annual report on health and social care in England. London: CQC.</w:t>
      </w:r>
    </w:p>
    <w:p w14:paraId="11152AB1" w14:textId="77777777" w:rsidR="00D81E61" w:rsidRPr="00A90086" w:rsidRDefault="00D81E61" w:rsidP="00D81E61">
      <w:pPr>
        <w:numPr>
          <w:ilvl w:val="0"/>
          <w:numId w:val="30"/>
        </w:numPr>
        <w:rPr>
          <w:rFonts w:ascii="Arial" w:hAnsi="Arial" w:cs="Arial"/>
          <w:sz w:val="22"/>
          <w:szCs w:val="22"/>
        </w:rPr>
      </w:pPr>
      <w:r w:rsidRPr="00A90086">
        <w:rPr>
          <w:rFonts w:ascii="Arial" w:hAnsi="Arial" w:cs="Arial"/>
          <w:sz w:val="22"/>
          <w:szCs w:val="22"/>
        </w:rPr>
        <w:t>Edmondson, A.C. (2019) The fearless organization: Creating psychological safety in the workplace for learning, innovation, and growth. Hoboken: John Wiley &amp; Sons.</w:t>
      </w:r>
    </w:p>
    <w:p w14:paraId="741386DD" w14:textId="77777777" w:rsidR="00D81E61" w:rsidRPr="00A90086" w:rsidRDefault="00D81E61" w:rsidP="00D81E61">
      <w:pPr>
        <w:numPr>
          <w:ilvl w:val="0"/>
          <w:numId w:val="30"/>
        </w:numPr>
        <w:rPr>
          <w:rFonts w:ascii="Arial" w:hAnsi="Arial" w:cs="Arial"/>
          <w:sz w:val="22"/>
          <w:szCs w:val="22"/>
        </w:rPr>
      </w:pPr>
      <w:r w:rsidRPr="00A90086">
        <w:rPr>
          <w:rFonts w:ascii="Arial" w:hAnsi="Arial" w:cs="Arial"/>
          <w:sz w:val="22"/>
          <w:szCs w:val="22"/>
        </w:rPr>
        <w:t>Greenleaf, R.K. (1977) Servant leadership: A journey into the nature of legitimate power and greatness. New York: Paulist Press.</w:t>
      </w:r>
    </w:p>
    <w:p w14:paraId="2C29BFD3" w14:textId="77777777" w:rsidR="00D81E61" w:rsidRPr="00A90086" w:rsidRDefault="00D81E61" w:rsidP="00D81E61">
      <w:pPr>
        <w:numPr>
          <w:ilvl w:val="0"/>
          <w:numId w:val="30"/>
        </w:numPr>
        <w:rPr>
          <w:rFonts w:ascii="Arial" w:hAnsi="Arial" w:cs="Arial"/>
          <w:sz w:val="22"/>
          <w:szCs w:val="22"/>
        </w:rPr>
      </w:pPr>
      <w:r w:rsidRPr="00A90086">
        <w:rPr>
          <w:rFonts w:ascii="Arial" w:hAnsi="Arial" w:cs="Arial"/>
          <w:sz w:val="22"/>
          <w:szCs w:val="22"/>
        </w:rPr>
        <w:t xml:space="preserve">Haynes, A.B., Weiser, T.G., Berry, W.R., Lipsitz, S.R., </w:t>
      </w:r>
      <w:proofErr w:type="spellStart"/>
      <w:r w:rsidRPr="00A90086">
        <w:rPr>
          <w:rFonts w:ascii="Arial" w:hAnsi="Arial" w:cs="Arial"/>
          <w:sz w:val="22"/>
          <w:szCs w:val="22"/>
        </w:rPr>
        <w:t>Breizat</w:t>
      </w:r>
      <w:proofErr w:type="spellEnd"/>
      <w:r w:rsidRPr="00A90086">
        <w:rPr>
          <w:rFonts w:ascii="Arial" w:hAnsi="Arial" w:cs="Arial"/>
          <w:sz w:val="22"/>
          <w:szCs w:val="22"/>
        </w:rPr>
        <w:t xml:space="preserve">, A.H., Dellinger, E.P., Herbosa, T., Joseph, S., </w:t>
      </w:r>
      <w:proofErr w:type="spellStart"/>
      <w:r w:rsidRPr="00A90086">
        <w:rPr>
          <w:rFonts w:ascii="Arial" w:hAnsi="Arial" w:cs="Arial"/>
          <w:sz w:val="22"/>
          <w:szCs w:val="22"/>
        </w:rPr>
        <w:t>Kibatala</w:t>
      </w:r>
      <w:proofErr w:type="spellEnd"/>
      <w:r w:rsidRPr="00A90086">
        <w:rPr>
          <w:rFonts w:ascii="Arial" w:hAnsi="Arial" w:cs="Arial"/>
          <w:sz w:val="22"/>
          <w:szCs w:val="22"/>
        </w:rPr>
        <w:t>, P.L., Lapitan, M.C. and Merry, A.F. (2009) 'A surgical safety checklist to reduce morbidity and mortality in a global population', New England Journal of Medicine, 360(5), pp. 491–499.</w:t>
      </w:r>
    </w:p>
    <w:p w14:paraId="58B0DF16" w14:textId="77777777" w:rsidR="00D81E61" w:rsidRPr="00A90086" w:rsidRDefault="00D81E61" w:rsidP="00D81E61">
      <w:pPr>
        <w:numPr>
          <w:ilvl w:val="0"/>
          <w:numId w:val="30"/>
        </w:numPr>
        <w:rPr>
          <w:rFonts w:ascii="Arial" w:hAnsi="Arial" w:cs="Arial"/>
          <w:sz w:val="22"/>
          <w:szCs w:val="22"/>
        </w:rPr>
      </w:pPr>
      <w:r w:rsidRPr="00A90086">
        <w:rPr>
          <w:rFonts w:ascii="Arial" w:hAnsi="Arial" w:cs="Arial"/>
          <w:sz w:val="22"/>
          <w:szCs w:val="22"/>
        </w:rPr>
        <w:t>Healthcare Improvement Scotland (2021) National Governance Framework for High-Risk Oral Anticoagulants in Acute Care. Edinburgh: Healthcare Improvement Scotland.</w:t>
      </w:r>
    </w:p>
    <w:p w14:paraId="146B3C3E" w14:textId="77777777" w:rsidR="00D81E61" w:rsidRPr="00A90086" w:rsidRDefault="00D81E61" w:rsidP="00D81E61">
      <w:pPr>
        <w:numPr>
          <w:ilvl w:val="0"/>
          <w:numId w:val="30"/>
        </w:numPr>
        <w:rPr>
          <w:rFonts w:ascii="Arial" w:hAnsi="Arial" w:cs="Arial"/>
          <w:sz w:val="22"/>
          <w:szCs w:val="22"/>
        </w:rPr>
      </w:pPr>
      <w:r w:rsidRPr="00A90086">
        <w:rPr>
          <w:rFonts w:ascii="Arial" w:hAnsi="Arial" w:cs="Arial"/>
          <w:sz w:val="22"/>
          <w:szCs w:val="22"/>
        </w:rPr>
        <w:t>Healthcare Services Safety Investigation Body (HSSIB) (2023) Omission of oral anticoagulants in acute hospital settings: National Learning Report (I2022/019). Farnborough: HSSIB. Available at: https://www.hssib.org.uk/patient-safety-investigations/medication-related-harm/second-investigation-report/ (Accessed: 10 August 2026).</w:t>
      </w:r>
    </w:p>
    <w:p w14:paraId="70F2C38D" w14:textId="77777777" w:rsidR="00D81E61" w:rsidRPr="00A90086" w:rsidRDefault="00D81E61" w:rsidP="00D81E61">
      <w:pPr>
        <w:numPr>
          <w:ilvl w:val="0"/>
          <w:numId w:val="30"/>
        </w:numPr>
        <w:rPr>
          <w:rFonts w:ascii="Arial" w:hAnsi="Arial" w:cs="Arial"/>
          <w:sz w:val="22"/>
          <w:szCs w:val="22"/>
        </w:rPr>
      </w:pPr>
      <w:r w:rsidRPr="00A90086">
        <w:rPr>
          <w:rFonts w:ascii="Arial" w:hAnsi="Arial" w:cs="Arial"/>
          <w:sz w:val="22"/>
          <w:szCs w:val="22"/>
        </w:rPr>
        <w:t xml:space="preserve">Hersey, P. and Blanchard, K.H. (1988) Management of organizational </w:t>
      </w:r>
      <w:proofErr w:type="spellStart"/>
      <w:r w:rsidRPr="00A90086">
        <w:rPr>
          <w:rFonts w:ascii="Arial" w:hAnsi="Arial" w:cs="Arial"/>
          <w:sz w:val="22"/>
          <w:szCs w:val="22"/>
        </w:rPr>
        <w:t>behavior</w:t>
      </w:r>
      <w:proofErr w:type="spellEnd"/>
      <w:r w:rsidRPr="00A90086">
        <w:rPr>
          <w:rFonts w:ascii="Arial" w:hAnsi="Arial" w:cs="Arial"/>
          <w:sz w:val="22"/>
          <w:szCs w:val="22"/>
        </w:rPr>
        <w:t xml:space="preserve">: Utilizing human resources. 5th </w:t>
      </w:r>
      <w:proofErr w:type="spellStart"/>
      <w:r w:rsidRPr="00A90086">
        <w:rPr>
          <w:rFonts w:ascii="Arial" w:hAnsi="Arial" w:cs="Arial"/>
          <w:sz w:val="22"/>
          <w:szCs w:val="22"/>
        </w:rPr>
        <w:t>edn</w:t>
      </w:r>
      <w:proofErr w:type="spellEnd"/>
      <w:r w:rsidRPr="00A90086">
        <w:rPr>
          <w:rFonts w:ascii="Arial" w:hAnsi="Arial" w:cs="Arial"/>
          <w:sz w:val="22"/>
          <w:szCs w:val="22"/>
        </w:rPr>
        <w:t>. Englewood Cliffs: Prentice-Hall.</w:t>
      </w:r>
    </w:p>
    <w:p w14:paraId="2C44FECC" w14:textId="77777777" w:rsidR="00D81E61" w:rsidRPr="00A90086" w:rsidRDefault="00D81E61" w:rsidP="00D81E61">
      <w:pPr>
        <w:numPr>
          <w:ilvl w:val="0"/>
          <w:numId w:val="30"/>
        </w:numPr>
        <w:rPr>
          <w:rFonts w:ascii="Arial" w:hAnsi="Arial" w:cs="Arial"/>
          <w:sz w:val="22"/>
          <w:szCs w:val="22"/>
        </w:rPr>
      </w:pPr>
      <w:r w:rsidRPr="00A90086">
        <w:rPr>
          <w:rFonts w:ascii="Arial" w:hAnsi="Arial" w:cs="Arial"/>
          <w:sz w:val="22"/>
          <w:szCs w:val="22"/>
        </w:rPr>
        <w:lastRenderedPageBreak/>
        <w:t>Hofstede, G. (2011) '</w:t>
      </w:r>
      <w:proofErr w:type="spellStart"/>
      <w:r w:rsidRPr="00A90086">
        <w:rPr>
          <w:rFonts w:ascii="Arial" w:hAnsi="Arial" w:cs="Arial"/>
          <w:sz w:val="22"/>
          <w:szCs w:val="22"/>
        </w:rPr>
        <w:t>Dimensionalizing</w:t>
      </w:r>
      <w:proofErr w:type="spellEnd"/>
      <w:r w:rsidRPr="00A90086">
        <w:rPr>
          <w:rFonts w:ascii="Arial" w:hAnsi="Arial" w:cs="Arial"/>
          <w:sz w:val="22"/>
          <w:szCs w:val="22"/>
        </w:rPr>
        <w:t xml:space="preserve"> cultures: The Hofstede model in context', Online Readings in Psychology and Culture, 2(1), pp. 1–26.</w:t>
      </w:r>
    </w:p>
    <w:p w14:paraId="6DEF9446" w14:textId="77777777" w:rsidR="00D81E61" w:rsidRPr="00A90086" w:rsidRDefault="00D81E61" w:rsidP="00D81E61">
      <w:pPr>
        <w:numPr>
          <w:ilvl w:val="0"/>
          <w:numId w:val="30"/>
        </w:numPr>
        <w:rPr>
          <w:rFonts w:ascii="Arial" w:hAnsi="Arial" w:cs="Arial"/>
          <w:sz w:val="22"/>
          <w:szCs w:val="22"/>
        </w:rPr>
      </w:pPr>
      <w:r w:rsidRPr="00A90086">
        <w:rPr>
          <w:rFonts w:ascii="Arial" w:hAnsi="Arial" w:cs="Arial"/>
          <w:sz w:val="22"/>
          <w:szCs w:val="22"/>
        </w:rPr>
        <w:t xml:space="preserve">Institute for Healthcare Improvement (IHI) (2022) Patient Safety Essentials Toolkit: Standardized Communication and Leadership </w:t>
      </w:r>
      <w:proofErr w:type="spellStart"/>
      <w:r w:rsidRPr="00A90086">
        <w:rPr>
          <w:rFonts w:ascii="Arial" w:hAnsi="Arial" w:cs="Arial"/>
          <w:sz w:val="22"/>
          <w:szCs w:val="22"/>
        </w:rPr>
        <w:t>Walkrounds</w:t>
      </w:r>
      <w:proofErr w:type="spellEnd"/>
      <w:r w:rsidRPr="00A90086">
        <w:rPr>
          <w:rFonts w:ascii="Arial" w:hAnsi="Arial" w:cs="Arial"/>
          <w:sz w:val="22"/>
          <w:szCs w:val="22"/>
        </w:rPr>
        <w:t>. Boston: IHI.</w:t>
      </w:r>
    </w:p>
    <w:p w14:paraId="1B183C2A" w14:textId="77777777" w:rsidR="00D81E61" w:rsidRPr="00A90086" w:rsidRDefault="00D81E61" w:rsidP="00D81E61">
      <w:pPr>
        <w:numPr>
          <w:ilvl w:val="0"/>
          <w:numId w:val="30"/>
        </w:numPr>
        <w:rPr>
          <w:rFonts w:ascii="Arial" w:hAnsi="Arial" w:cs="Arial"/>
          <w:sz w:val="22"/>
          <w:szCs w:val="22"/>
        </w:rPr>
      </w:pPr>
      <w:r w:rsidRPr="00A90086">
        <w:rPr>
          <w:rFonts w:ascii="Arial" w:hAnsi="Arial" w:cs="Arial"/>
          <w:sz w:val="22"/>
          <w:szCs w:val="22"/>
        </w:rPr>
        <w:t>Institute for Safe Medication Practices (ISMP) (2021) ISMP Guidelines for Timely Administration of Scheduled Medications in Inpatient Settings. Horsham: ISMP.</w:t>
      </w:r>
    </w:p>
    <w:p w14:paraId="0BC8DF1E" w14:textId="77777777" w:rsidR="00D81E61" w:rsidRPr="00A90086" w:rsidRDefault="00D81E61" w:rsidP="00D81E61">
      <w:pPr>
        <w:numPr>
          <w:ilvl w:val="0"/>
          <w:numId w:val="30"/>
        </w:numPr>
        <w:rPr>
          <w:rFonts w:ascii="Arial" w:hAnsi="Arial" w:cs="Arial"/>
          <w:sz w:val="22"/>
          <w:szCs w:val="22"/>
        </w:rPr>
      </w:pPr>
      <w:r w:rsidRPr="00A90086">
        <w:rPr>
          <w:rFonts w:ascii="Arial" w:hAnsi="Arial" w:cs="Arial"/>
          <w:sz w:val="22"/>
          <w:szCs w:val="22"/>
        </w:rPr>
        <w:t>Joint Commission (2023) National Patient Safety Goals Effective January 2023 for the Hospital Program. Oakbrook Terrace: The Joint Commission.</w:t>
      </w:r>
    </w:p>
    <w:p w14:paraId="34243CCB" w14:textId="77777777" w:rsidR="00D81E61" w:rsidRPr="00A90086" w:rsidRDefault="00D81E61" w:rsidP="00D81E61">
      <w:pPr>
        <w:numPr>
          <w:ilvl w:val="0"/>
          <w:numId w:val="30"/>
        </w:numPr>
        <w:rPr>
          <w:rFonts w:ascii="Arial" w:hAnsi="Arial" w:cs="Arial"/>
          <w:sz w:val="22"/>
          <w:szCs w:val="22"/>
        </w:rPr>
      </w:pPr>
      <w:r w:rsidRPr="00A90086">
        <w:rPr>
          <w:rFonts w:ascii="Arial" w:hAnsi="Arial" w:cs="Arial"/>
          <w:sz w:val="22"/>
          <w:szCs w:val="22"/>
        </w:rPr>
        <w:t>Mannion, R. and Davies, H.T. (2018) 'Understanding organisational culture for healthcare improvement', BMJ, 363, k4907.</w:t>
      </w:r>
    </w:p>
    <w:p w14:paraId="6D3D08BE" w14:textId="77777777" w:rsidR="00D81E61" w:rsidRPr="00A90086" w:rsidRDefault="00D81E61" w:rsidP="00D81E61">
      <w:pPr>
        <w:numPr>
          <w:ilvl w:val="0"/>
          <w:numId w:val="30"/>
        </w:numPr>
        <w:rPr>
          <w:rFonts w:ascii="Arial" w:hAnsi="Arial" w:cs="Arial"/>
          <w:sz w:val="22"/>
          <w:szCs w:val="22"/>
        </w:rPr>
      </w:pPr>
      <w:r w:rsidRPr="00A90086">
        <w:rPr>
          <w:rFonts w:ascii="Arial" w:hAnsi="Arial" w:cs="Arial"/>
          <w:sz w:val="22"/>
          <w:szCs w:val="22"/>
        </w:rPr>
        <w:t>Medicines and Healthcare products Regulatory Agency (MHRA) (2022) Direct Acting Oral Anticoagulants (DOACs): Reminder of safety checks during temporary interruption. Drug Safety Update 15(8), p. 2.</w:t>
      </w:r>
    </w:p>
    <w:p w14:paraId="5985486C" w14:textId="77777777" w:rsidR="00D81E61" w:rsidRPr="00A90086" w:rsidRDefault="00D81E61" w:rsidP="00D81E61">
      <w:pPr>
        <w:numPr>
          <w:ilvl w:val="0"/>
          <w:numId w:val="30"/>
        </w:numPr>
        <w:rPr>
          <w:rFonts w:ascii="Arial" w:hAnsi="Arial" w:cs="Arial"/>
          <w:sz w:val="22"/>
          <w:szCs w:val="22"/>
        </w:rPr>
      </w:pPr>
      <w:r w:rsidRPr="00A90086">
        <w:rPr>
          <w:rFonts w:ascii="Arial" w:hAnsi="Arial" w:cs="Arial"/>
          <w:sz w:val="22"/>
          <w:szCs w:val="22"/>
        </w:rPr>
        <w:t>Mintzberg, H. (1983) Structure in fives: Designing effective organizations. Englewood Cliffs: Prentice-Hall.</w:t>
      </w:r>
    </w:p>
    <w:p w14:paraId="69384A8C" w14:textId="77777777" w:rsidR="00D81E61" w:rsidRPr="00A90086" w:rsidRDefault="00D81E61" w:rsidP="00D81E61">
      <w:pPr>
        <w:numPr>
          <w:ilvl w:val="0"/>
          <w:numId w:val="30"/>
        </w:numPr>
        <w:rPr>
          <w:rFonts w:ascii="Arial" w:hAnsi="Arial" w:cs="Arial"/>
          <w:sz w:val="22"/>
          <w:szCs w:val="22"/>
        </w:rPr>
      </w:pPr>
      <w:r w:rsidRPr="00A90086">
        <w:rPr>
          <w:rFonts w:ascii="Arial" w:hAnsi="Arial" w:cs="Arial"/>
          <w:sz w:val="22"/>
          <w:szCs w:val="22"/>
        </w:rPr>
        <w:t>National Reporting and Learning System (NRLS) (2022) National Patient Safety Incident Data Report: Medication Incidents in NHS Acute Trusts. London: NHS England.</w:t>
      </w:r>
    </w:p>
    <w:p w14:paraId="2F90CB9B" w14:textId="77777777" w:rsidR="00D81E61" w:rsidRPr="00A90086" w:rsidRDefault="00D81E61" w:rsidP="00D81E61">
      <w:pPr>
        <w:numPr>
          <w:ilvl w:val="0"/>
          <w:numId w:val="30"/>
        </w:numPr>
        <w:rPr>
          <w:rFonts w:ascii="Arial" w:hAnsi="Arial" w:cs="Arial"/>
          <w:sz w:val="22"/>
          <w:szCs w:val="22"/>
        </w:rPr>
      </w:pPr>
      <w:r w:rsidRPr="00A90086">
        <w:rPr>
          <w:rFonts w:ascii="Arial" w:hAnsi="Arial" w:cs="Arial"/>
          <w:sz w:val="22"/>
          <w:szCs w:val="22"/>
        </w:rPr>
        <w:t>NHS Confederation (2022) Integrated Care Systems and Clinical Governance: Driving Quality Across Pathways. London: NHS Confederation.</w:t>
      </w:r>
    </w:p>
    <w:p w14:paraId="60DFBE9E" w14:textId="77777777" w:rsidR="00D81E61" w:rsidRPr="00A90086" w:rsidRDefault="00D81E61" w:rsidP="00D81E61">
      <w:pPr>
        <w:numPr>
          <w:ilvl w:val="0"/>
          <w:numId w:val="30"/>
        </w:numPr>
        <w:rPr>
          <w:rFonts w:ascii="Arial" w:hAnsi="Arial" w:cs="Arial"/>
          <w:sz w:val="22"/>
          <w:szCs w:val="22"/>
        </w:rPr>
      </w:pPr>
      <w:r w:rsidRPr="00A90086">
        <w:rPr>
          <w:rFonts w:ascii="Arial" w:hAnsi="Arial" w:cs="Arial"/>
          <w:sz w:val="22"/>
          <w:szCs w:val="22"/>
        </w:rPr>
        <w:t>NHS England (2021) Revised Never Events Policy and Framework. London: NHS England.</w:t>
      </w:r>
    </w:p>
    <w:p w14:paraId="02A08DEA" w14:textId="77777777" w:rsidR="00D81E61" w:rsidRPr="00A90086" w:rsidRDefault="00D81E61" w:rsidP="00D81E61">
      <w:pPr>
        <w:numPr>
          <w:ilvl w:val="0"/>
          <w:numId w:val="30"/>
        </w:numPr>
        <w:rPr>
          <w:rFonts w:ascii="Arial" w:hAnsi="Arial" w:cs="Arial"/>
          <w:sz w:val="22"/>
          <w:szCs w:val="22"/>
        </w:rPr>
      </w:pPr>
      <w:r w:rsidRPr="00A90086">
        <w:rPr>
          <w:rFonts w:ascii="Arial" w:hAnsi="Arial" w:cs="Arial"/>
          <w:sz w:val="22"/>
          <w:szCs w:val="22"/>
        </w:rPr>
        <w:t xml:space="preserve">NHS England (2022) National Patient Safety Strategy: Delivering safer care through </w:t>
      </w:r>
      <w:proofErr w:type="spellStart"/>
      <w:r w:rsidRPr="00A90086">
        <w:rPr>
          <w:rFonts w:ascii="Arial" w:hAnsi="Arial" w:cs="Arial"/>
          <w:sz w:val="22"/>
          <w:szCs w:val="22"/>
        </w:rPr>
        <w:t>ePMA</w:t>
      </w:r>
      <w:proofErr w:type="spellEnd"/>
      <w:r w:rsidRPr="00A90086">
        <w:rPr>
          <w:rFonts w:ascii="Arial" w:hAnsi="Arial" w:cs="Arial"/>
          <w:sz w:val="22"/>
          <w:szCs w:val="22"/>
        </w:rPr>
        <w:t xml:space="preserve"> and medication safety networks. London: NHS England.</w:t>
      </w:r>
    </w:p>
    <w:p w14:paraId="64710DAB" w14:textId="77777777" w:rsidR="00D81E61" w:rsidRPr="00A90086" w:rsidRDefault="00D81E61" w:rsidP="00D81E61">
      <w:pPr>
        <w:numPr>
          <w:ilvl w:val="0"/>
          <w:numId w:val="30"/>
        </w:numPr>
        <w:rPr>
          <w:rFonts w:ascii="Arial" w:hAnsi="Arial" w:cs="Arial"/>
          <w:sz w:val="22"/>
          <w:szCs w:val="22"/>
        </w:rPr>
      </w:pPr>
      <w:r w:rsidRPr="00A90086">
        <w:rPr>
          <w:rFonts w:ascii="Arial" w:hAnsi="Arial" w:cs="Arial"/>
          <w:sz w:val="22"/>
          <w:szCs w:val="22"/>
        </w:rPr>
        <w:t xml:space="preserve">Northouse, P.G. (2021) Leadership: Theory and practice. 9th </w:t>
      </w:r>
      <w:proofErr w:type="spellStart"/>
      <w:r w:rsidRPr="00A90086">
        <w:rPr>
          <w:rFonts w:ascii="Arial" w:hAnsi="Arial" w:cs="Arial"/>
          <w:sz w:val="22"/>
          <w:szCs w:val="22"/>
        </w:rPr>
        <w:t>edn</w:t>
      </w:r>
      <w:proofErr w:type="spellEnd"/>
      <w:r w:rsidRPr="00A90086">
        <w:rPr>
          <w:rFonts w:ascii="Arial" w:hAnsi="Arial" w:cs="Arial"/>
          <w:sz w:val="22"/>
          <w:szCs w:val="22"/>
        </w:rPr>
        <w:t>. Thousand Oaks: Sage Publications.</w:t>
      </w:r>
    </w:p>
    <w:p w14:paraId="602633C9" w14:textId="77777777" w:rsidR="00D81E61" w:rsidRPr="00A90086" w:rsidRDefault="00D81E61" w:rsidP="00D81E61">
      <w:pPr>
        <w:numPr>
          <w:ilvl w:val="0"/>
          <w:numId w:val="30"/>
        </w:numPr>
        <w:rPr>
          <w:rFonts w:ascii="Arial" w:hAnsi="Arial" w:cs="Arial"/>
          <w:sz w:val="22"/>
          <w:szCs w:val="22"/>
        </w:rPr>
      </w:pPr>
      <w:r w:rsidRPr="00A90086">
        <w:rPr>
          <w:rFonts w:ascii="Arial" w:hAnsi="Arial" w:cs="Arial"/>
          <w:sz w:val="22"/>
          <w:szCs w:val="22"/>
        </w:rPr>
        <w:t xml:space="preserve">Peckham, S., </w:t>
      </w:r>
      <w:proofErr w:type="spellStart"/>
      <w:r w:rsidRPr="00A90086">
        <w:rPr>
          <w:rFonts w:ascii="Arial" w:hAnsi="Arial" w:cs="Arial"/>
          <w:sz w:val="22"/>
          <w:szCs w:val="22"/>
        </w:rPr>
        <w:t>Exworthy</w:t>
      </w:r>
      <w:proofErr w:type="spellEnd"/>
      <w:r w:rsidRPr="00A90086">
        <w:rPr>
          <w:rFonts w:ascii="Arial" w:hAnsi="Arial" w:cs="Arial"/>
          <w:sz w:val="22"/>
          <w:szCs w:val="22"/>
        </w:rPr>
        <w:t>, M., Powell, M. and Greener, I. (2018) Decentralisation, managerialism and health policy study: Systemic evaluation. London: Policy Press.</w:t>
      </w:r>
    </w:p>
    <w:p w14:paraId="349D8E9F" w14:textId="77777777" w:rsidR="00D81E61" w:rsidRPr="00A90086" w:rsidRDefault="00D81E61" w:rsidP="00D81E61">
      <w:pPr>
        <w:numPr>
          <w:ilvl w:val="0"/>
          <w:numId w:val="30"/>
        </w:numPr>
        <w:rPr>
          <w:rFonts w:ascii="Arial" w:hAnsi="Arial" w:cs="Arial"/>
          <w:sz w:val="22"/>
          <w:szCs w:val="22"/>
        </w:rPr>
      </w:pPr>
      <w:r w:rsidRPr="00A90086">
        <w:rPr>
          <w:rFonts w:ascii="Arial" w:hAnsi="Arial" w:cs="Arial"/>
          <w:sz w:val="22"/>
          <w:szCs w:val="22"/>
        </w:rPr>
        <w:t>Pian-Smith, M.C., Simon, R., Minehart, R.D., Podraza, M., Rudolph, J., Walzer, T. and Raemer, D. (2009) 'Teaching nurses on the front line to speak up, challenge, and use clinical advocacy skills', Journal of Continuing Education in Nursing, 40(4), pp. 181–188.</w:t>
      </w:r>
    </w:p>
    <w:p w14:paraId="1B75331E" w14:textId="77777777" w:rsidR="00D81E61" w:rsidRPr="00A90086" w:rsidRDefault="00D81E61" w:rsidP="00D81E61">
      <w:pPr>
        <w:numPr>
          <w:ilvl w:val="0"/>
          <w:numId w:val="30"/>
        </w:numPr>
        <w:rPr>
          <w:rFonts w:ascii="Arial" w:hAnsi="Arial" w:cs="Arial"/>
          <w:sz w:val="22"/>
          <w:szCs w:val="22"/>
        </w:rPr>
      </w:pPr>
      <w:r w:rsidRPr="00A90086">
        <w:rPr>
          <w:rFonts w:ascii="Arial" w:hAnsi="Arial" w:cs="Arial"/>
          <w:sz w:val="22"/>
          <w:szCs w:val="22"/>
        </w:rPr>
        <w:t>Prasad, R. (2020) 'Public health infrastructure and hospital governance in India', Indian Journal of Medical Ethics, 5(2), pp. 112–119.</w:t>
      </w:r>
    </w:p>
    <w:p w14:paraId="7A36D911" w14:textId="77777777" w:rsidR="00D81E61" w:rsidRPr="00A90086" w:rsidRDefault="00D81E61" w:rsidP="00D81E61">
      <w:pPr>
        <w:numPr>
          <w:ilvl w:val="0"/>
          <w:numId w:val="30"/>
        </w:numPr>
        <w:rPr>
          <w:rFonts w:ascii="Arial" w:hAnsi="Arial" w:cs="Arial"/>
          <w:sz w:val="22"/>
          <w:szCs w:val="22"/>
        </w:rPr>
      </w:pPr>
      <w:r w:rsidRPr="00A90086">
        <w:rPr>
          <w:rFonts w:ascii="Arial" w:hAnsi="Arial" w:cs="Arial"/>
          <w:sz w:val="22"/>
          <w:szCs w:val="22"/>
        </w:rPr>
        <w:t>Realpe, A. and Wallace, L.M. (2020) What is co-production and how can it be used to empower service users? London: Health Foundation.</w:t>
      </w:r>
    </w:p>
    <w:p w14:paraId="253252D8" w14:textId="77777777" w:rsidR="00D81E61" w:rsidRPr="00A90086" w:rsidRDefault="00D81E61" w:rsidP="00D81E61">
      <w:pPr>
        <w:numPr>
          <w:ilvl w:val="0"/>
          <w:numId w:val="30"/>
        </w:numPr>
        <w:rPr>
          <w:rFonts w:ascii="Arial" w:hAnsi="Arial" w:cs="Arial"/>
          <w:sz w:val="22"/>
          <w:szCs w:val="22"/>
        </w:rPr>
      </w:pPr>
      <w:r w:rsidRPr="00A90086">
        <w:rPr>
          <w:rFonts w:ascii="Arial" w:hAnsi="Arial" w:cs="Arial"/>
          <w:sz w:val="22"/>
          <w:szCs w:val="22"/>
        </w:rPr>
        <w:t>Reason, J. (1997) Managing the risks of organizational accidents. Aldershot: Ashgate.</w:t>
      </w:r>
    </w:p>
    <w:p w14:paraId="16A0F114" w14:textId="77777777" w:rsidR="00D81E61" w:rsidRPr="00A90086" w:rsidRDefault="00D81E61" w:rsidP="00D81E61">
      <w:pPr>
        <w:numPr>
          <w:ilvl w:val="0"/>
          <w:numId w:val="30"/>
        </w:numPr>
        <w:rPr>
          <w:rFonts w:ascii="Arial" w:hAnsi="Arial" w:cs="Arial"/>
          <w:sz w:val="22"/>
          <w:szCs w:val="22"/>
        </w:rPr>
      </w:pPr>
      <w:r w:rsidRPr="00A90086">
        <w:rPr>
          <w:rFonts w:ascii="Arial" w:hAnsi="Arial" w:cs="Arial"/>
          <w:sz w:val="22"/>
          <w:szCs w:val="22"/>
        </w:rPr>
        <w:lastRenderedPageBreak/>
        <w:t>Reason, J. (2000) 'Human error: models and management', BMJ, 320(7237), pp. 768–770.</w:t>
      </w:r>
    </w:p>
    <w:p w14:paraId="374D401E" w14:textId="77777777" w:rsidR="00D81E61" w:rsidRPr="00A90086" w:rsidRDefault="00D81E61" w:rsidP="00D81E61">
      <w:pPr>
        <w:numPr>
          <w:ilvl w:val="0"/>
          <w:numId w:val="30"/>
        </w:numPr>
        <w:rPr>
          <w:rFonts w:ascii="Arial" w:hAnsi="Arial" w:cs="Arial"/>
          <w:sz w:val="22"/>
          <w:szCs w:val="22"/>
        </w:rPr>
      </w:pPr>
      <w:r w:rsidRPr="00A90086">
        <w:rPr>
          <w:rFonts w:ascii="Arial" w:hAnsi="Arial" w:cs="Arial"/>
          <w:sz w:val="22"/>
          <w:szCs w:val="22"/>
        </w:rPr>
        <w:t>Reason, J. (2016) Organizational accidents revisited. CRC Press.</w:t>
      </w:r>
    </w:p>
    <w:p w14:paraId="29A18D0D" w14:textId="77777777" w:rsidR="00D81E61" w:rsidRPr="00A90086" w:rsidRDefault="00D81E61" w:rsidP="00D81E61">
      <w:pPr>
        <w:numPr>
          <w:ilvl w:val="0"/>
          <w:numId w:val="30"/>
        </w:numPr>
        <w:rPr>
          <w:rFonts w:ascii="Arial" w:hAnsi="Arial" w:cs="Arial"/>
          <w:sz w:val="22"/>
          <w:szCs w:val="22"/>
        </w:rPr>
      </w:pPr>
      <w:r w:rsidRPr="00A90086">
        <w:rPr>
          <w:rFonts w:ascii="Arial" w:hAnsi="Arial" w:cs="Arial"/>
          <w:sz w:val="22"/>
          <w:szCs w:val="22"/>
        </w:rPr>
        <w:t>Royal College of Physicians (RCP) (2022) Workload and Bed Occupancy in Acute General Medicine: National Census Report. London: RCP.</w:t>
      </w:r>
    </w:p>
    <w:p w14:paraId="35ACF082" w14:textId="77777777" w:rsidR="00D81E61" w:rsidRPr="00A90086" w:rsidRDefault="00D81E61" w:rsidP="00D81E61">
      <w:pPr>
        <w:numPr>
          <w:ilvl w:val="0"/>
          <w:numId w:val="30"/>
        </w:numPr>
        <w:rPr>
          <w:rFonts w:ascii="Arial" w:hAnsi="Arial" w:cs="Arial"/>
          <w:sz w:val="22"/>
          <w:szCs w:val="22"/>
        </w:rPr>
      </w:pPr>
      <w:r w:rsidRPr="00A90086">
        <w:rPr>
          <w:rFonts w:ascii="Arial" w:hAnsi="Arial" w:cs="Arial"/>
          <w:sz w:val="22"/>
          <w:szCs w:val="22"/>
        </w:rPr>
        <w:t xml:space="preserve">Saltman, R.B. and </w:t>
      </w:r>
      <w:proofErr w:type="spellStart"/>
      <w:r w:rsidRPr="00A90086">
        <w:rPr>
          <w:rFonts w:ascii="Arial" w:hAnsi="Arial" w:cs="Arial"/>
          <w:sz w:val="22"/>
          <w:szCs w:val="22"/>
        </w:rPr>
        <w:t>Bankauskaite</w:t>
      </w:r>
      <w:proofErr w:type="spellEnd"/>
      <w:r w:rsidRPr="00A90086">
        <w:rPr>
          <w:rFonts w:ascii="Arial" w:hAnsi="Arial" w:cs="Arial"/>
          <w:sz w:val="22"/>
          <w:szCs w:val="22"/>
        </w:rPr>
        <w:t>, V. (2006) 'Conceptualizing decentralization in European health systems: a functional perspective', Health Policy, 75(2), pp. 127–139.</w:t>
      </w:r>
    </w:p>
    <w:p w14:paraId="46937B53" w14:textId="77777777" w:rsidR="00D81E61" w:rsidRPr="00A90086" w:rsidRDefault="00D81E61" w:rsidP="00D81E61">
      <w:pPr>
        <w:numPr>
          <w:ilvl w:val="0"/>
          <w:numId w:val="30"/>
        </w:numPr>
        <w:rPr>
          <w:rFonts w:ascii="Arial" w:hAnsi="Arial" w:cs="Arial"/>
          <w:sz w:val="22"/>
          <w:szCs w:val="22"/>
        </w:rPr>
      </w:pPr>
      <w:r w:rsidRPr="00A90086">
        <w:rPr>
          <w:rFonts w:ascii="Arial" w:hAnsi="Arial" w:cs="Arial"/>
          <w:sz w:val="22"/>
          <w:szCs w:val="22"/>
        </w:rPr>
        <w:t>Vaughan, D. (1996) The Challenger launch decision: Risky technology, culture, and deviance at NASA. Chicago: University of Chicago Press.</w:t>
      </w:r>
    </w:p>
    <w:p w14:paraId="22EEFFA9" w14:textId="77777777" w:rsidR="00D81E61" w:rsidRPr="00A90086" w:rsidRDefault="00D81E61" w:rsidP="00D81E61">
      <w:pPr>
        <w:numPr>
          <w:ilvl w:val="0"/>
          <w:numId w:val="30"/>
        </w:numPr>
        <w:rPr>
          <w:rFonts w:ascii="Arial" w:hAnsi="Arial" w:cs="Arial"/>
          <w:sz w:val="22"/>
          <w:szCs w:val="22"/>
        </w:rPr>
      </w:pPr>
      <w:r w:rsidRPr="00A90086">
        <w:rPr>
          <w:rFonts w:ascii="Arial" w:hAnsi="Arial" w:cs="Arial"/>
          <w:sz w:val="22"/>
          <w:szCs w:val="22"/>
        </w:rPr>
        <w:t xml:space="preserve">Vincent, C. (2010) Patient safety. 2nd </w:t>
      </w:r>
      <w:proofErr w:type="spellStart"/>
      <w:r w:rsidRPr="00A90086">
        <w:rPr>
          <w:rFonts w:ascii="Arial" w:hAnsi="Arial" w:cs="Arial"/>
          <w:sz w:val="22"/>
          <w:szCs w:val="22"/>
        </w:rPr>
        <w:t>edn</w:t>
      </w:r>
      <w:proofErr w:type="spellEnd"/>
      <w:r w:rsidRPr="00A90086">
        <w:rPr>
          <w:rFonts w:ascii="Arial" w:hAnsi="Arial" w:cs="Arial"/>
          <w:sz w:val="22"/>
          <w:szCs w:val="22"/>
        </w:rPr>
        <w:t>. Chichester: Wiley-Blackwell.</w:t>
      </w:r>
    </w:p>
    <w:p w14:paraId="45D2CE6F" w14:textId="77777777" w:rsidR="00D81E61" w:rsidRPr="00A90086" w:rsidRDefault="00D81E61" w:rsidP="00D81E61">
      <w:pPr>
        <w:numPr>
          <w:ilvl w:val="0"/>
          <w:numId w:val="30"/>
        </w:numPr>
        <w:rPr>
          <w:rFonts w:ascii="Arial" w:hAnsi="Arial" w:cs="Arial"/>
          <w:sz w:val="22"/>
          <w:szCs w:val="22"/>
        </w:rPr>
      </w:pPr>
      <w:r w:rsidRPr="00A90086">
        <w:rPr>
          <w:rFonts w:ascii="Arial" w:hAnsi="Arial" w:cs="Arial"/>
          <w:sz w:val="22"/>
          <w:szCs w:val="22"/>
        </w:rPr>
        <w:t xml:space="preserve">Weick, K.E. and Sutcliffe, K.M. (2015) Managing the unexpected: Sustained performance in a complex world. 3rd </w:t>
      </w:r>
      <w:proofErr w:type="spellStart"/>
      <w:r w:rsidRPr="00A90086">
        <w:rPr>
          <w:rFonts w:ascii="Arial" w:hAnsi="Arial" w:cs="Arial"/>
          <w:sz w:val="22"/>
          <w:szCs w:val="22"/>
        </w:rPr>
        <w:t>edn</w:t>
      </w:r>
      <w:proofErr w:type="spellEnd"/>
      <w:r w:rsidRPr="00A90086">
        <w:rPr>
          <w:rFonts w:ascii="Arial" w:hAnsi="Arial" w:cs="Arial"/>
          <w:sz w:val="22"/>
          <w:szCs w:val="22"/>
        </w:rPr>
        <w:t>. San Francisco: Jossey-Bass.</w:t>
      </w:r>
    </w:p>
    <w:p w14:paraId="43466293" w14:textId="77777777" w:rsidR="00D81E61" w:rsidRPr="00A90086" w:rsidRDefault="00D81E61" w:rsidP="00D81E61">
      <w:pPr>
        <w:numPr>
          <w:ilvl w:val="0"/>
          <w:numId w:val="30"/>
        </w:numPr>
        <w:rPr>
          <w:rFonts w:ascii="Arial" w:hAnsi="Arial" w:cs="Arial"/>
          <w:sz w:val="22"/>
          <w:szCs w:val="22"/>
        </w:rPr>
      </w:pPr>
      <w:r w:rsidRPr="00A90086">
        <w:rPr>
          <w:rFonts w:ascii="Arial" w:hAnsi="Arial" w:cs="Arial"/>
          <w:sz w:val="22"/>
          <w:szCs w:val="22"/>
        </w:rPr>
        <w:t>West, M., Armit, K., Loewenthal, L., Eckert, R., West, T. and Lee, A. (2020) Leadership and leadership development in health care: The evidence base. London: The King's Fund.</w:t>
      </w:r>
    </w:p>
    <w:p w14:paraId="7E406A9B" w14:textId="77777777" w:rsidR="00D81E61" w:rsidRPr="00A90086" w:rsidRDefault="00D81E61" w:rsidP="00D81E61">
      <w:pPr>
        <w:numPr>
          <w:ilvl w:val="0"/>
          <w:numId w:val="30"/>
        </w:numPr>
        <w:rPr>
          <w:rFonts w:ascii="Arial" w:hAnsi="Arial" w:cs="Arial"/>
          <w:sz w:val="22"/>
          <w:szCs w:val="22"/>
        </w:rPr>
      </w:pPr>
      <w:r w:rsidRPr="00A90086">
        <w:rPr>
          <w:rFonts w:ascii="Arial" w:hAnsi="Arial" w:cs="Arial"/>
          <w:sz w:val="22"/>
          <w:szCs w:val="22"/>
        </w:rPr>
        <w:t>Wong, C.A., Cummings, G.G. and Ducharme, L. (2013) 'The relationship between nursing leadership and patient outcomes: a systematic review update', Journal of Nursing Management, 21(5), pp. 709–724.</w:t>
      </w:r>
    </w:p>
    <w:p w14:paraId="0846A7E9" w14:textId="77777777" w:rsidR="00D81E61" w:rsidRPr="00A90086" w:rsidRDefault="00D81E61" w:rsidP="00D81E61">
      <w:pPr>
        <w:numPr>
          <w:ilvl w:val="0"/>
          <w:numId w:val="30"/>
        </w:numPr>
        <w:rPr>
          <w:rFonts w:ascii="Arial" w:hAnsi="Arial" w:cs="Arial"/>
          <w:sz w:val="22"/>
          <w:szCs w:val="22"/>
        </w:rPr>
      </w:pPr>
      <w:r w:rsidRPr="00A90086">
        <w:rPr>
          <w:rFonts w:ascii="Arial" w:hAnsi="Arial" w:cs="Arial"/>
          <w:sz w:val="22"/>
          <w:szCs w:val="22"/>
        </w:rPr>
        <w:t>World Bank (2023) World Development Report 2023: Health Systems and Public Sector Governance in Developing Nations. Washington DC: World Bank.</w:t>
      </w:r>
    </w:p>
    <w:p w14:paraId="19A442D4" w14:textId="77777777" w:rsidR="00D81E61" w:rsidRPr="00A90086" w:rsidRDefault="00D81E61" w:rsidP="00D81E61">
      <w:pPr>
        <w:numPr>
          <w:ilvl w:val="0"/>
          <w:numId w:val="30"/>
        </w:numPr>
        <w:rPr>
          <w:rFonts w:ascii="Arial" w:hAnsi="Arial" w:cs="Arial"/>
          <w:sz w:val="22"/>
          <w:szCs w:val="22"/>
        </w:rPr>
      </w:pPr>
      <w:r w:rsidRPr="00A90086">
        <w:rPr>
          <w:rFonts w:ascii="Arial" w:hAnsi="Arial" w:cs="Arial"/>
          <w:sz w:val="22"/>
          <w:szCs w:val="22"/>
        </w:rPr>
        <w:t>World Health Organization (WHO) (2022) Global Patient Safety Action Plan 2021–2030: Medication Without Harm. Geneva: World Health Organization.</w:t>
      </w:r>
    </w:p>
    <w:p w14:paraId="4DA486CC" w14:textId="77777777" w:rsidR="00D81E61" w:rsidRPr="00A90086" w:rsidRDefault="00D81E61" w:rsidP="00D81E61">
      <w:pPr>
        <w:numPr>
          <w:ilvl w:val="0"/>
          <w:numId w:val="30"/>
        </w:numPr>
        <w:rPr>
          <w:rFonts w:ascii="Arial" w:hAnsi="Arial" w:cs="Arial"/>
          <w:sz w:val="22"/>
          <w:szCs w:val="22"/>
        </w:rPr>
      </w:pPr>
      <w:r w:rsidRPr="00A90086">
        <w:rPr>
          <w:rFonts w:ascii="Arial" w:hAnsi="Arial" w:cs="Arial"/>
          <w:sz w:val="22"/>
          <w:szCs w:val="22"/>
        </w:rPr>
        <w:t xml:space="preserve">Yukl, G. (2013) Leadership in organizations. 8th </w:t>
      </w:r>
      <w:proofErr w:type="spellStart"/>
      <w:r w:rsidRPr="00A90086">
        <w:rPr>
          <w:rFonts w:ascii="Arial" w:hAnsi="Arial" w:cs="Arial"/>
          <w:sz w:val="22"/>
          <w:szCs w:val="22"/>
        </w:rPr>
        <w:t>edn</w:t>
      </w:r>
      <w:proofErr w:type="spellEnd"/>
      <w:r w:rsidRPr="00A90086">
        <w:rPr>
          <w:rFonts w:ascii="Arial" w:hAnsi="Arial" w:cs="Arial"/>
          <w:sz w:val="22"/>
          <w:szCs w:val="22"/>
        </w:rPr>
        <w:t>. Boston: Pearson.</w:t>
      </w:r>
    </w:p>
    <w:p w14:paraId="733006B1" w14:textId="77777777" w:rsidR="0000115D" w:rsidRPr="00A90086" w:rsidRDefault="0000115D" w:rsidP="0002242A">
      <w:pPr>
        <w:rPr>
          <w:rFonts w:ascii="Arial" w:hAnsi="Arial" w:cs="Arial"/>
          <w:sz w:val="22"/>
          <w:szCs w:val="22"/>
        </w:rPr>
      </w:pPr>
    </w:p>
    <w:p w14:paraId="31CA020C" w14:textId="77777777" w:rsidR="004978E4" w:rsidRPr="00A90086" w:rsidRDefault="004978E4">
      <w:pPr>
        <w:rPr>
          <w:rFonts w:ascii="Arial" w:hAnsi="Arial" w:cs="Arial"/>
          <w:sz w:val="22"/>
          <w:szCs w:val="22"/>
        </w:rPr>
      </w:pPr>
    </w:p>
    <w:sectPr w:rsidR="004978E4" w:rsidRPr="00A900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91E1FB" w14:textId="77777777" w:rsidR="00752AB0" w:rsidRDefault="00752AB0" w:rsidP="002B6A27">
      <w:pPr>
        <w:spacing w:after="0" w:line="240" w:lineRule="auto"/>
      </w:pPr>
      <w:r>
        <w:separator/>
      </w:r>
    </w:p>
  </w:endnote>
  <w:endnote w:type="continuationSeparator" w:id="0">
    <w:p w14:paraId="3B999182" w14:textId="77777777" w:rsidR="00752AB0" w:rsidRDefault="00752AB0" w:rsidP="002B6A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41304D" w14:textId="77777777" w:rsidR="00752AB0" w:rsidRDefault="00752AB0" w:rsidP="002B6A27">
      <w:pPr>
        <w:spacing w:after="0" w:line="240" w:lineRule="auto"/>
      </w:pPr>
      <w:r>
        <w:separator/>
      </w:r>
    </w:p>
  </w:footnote>
  <w:footnote w:type="continuationSeparator" w:id="0">
    <w:p w14:paraId="3F12F94C" w14:textId="77777777" w:rsidR="00752AB0" w:rsidRDefault="00752AB0" w:rsidP="002B6A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664701"/>
    <w:multiLevelType w:val="multilevel"/>
    <w:tmpl w:val="55840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B931C6"/>
    <w:multiLevelType w:val="multilevel"/>
    <w:tmpl w:val="91AE30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5A55D4"/>
    <w:multiLevelType w:val="multilevel"/>
    <w:tmpl w:val="B75823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3F2045"/>
    <w:multiLevelType w:val="multilevel"/>
    <w:tmpl w:val="737CB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186D05"/>
    <w:multiLevelType w:val="multilevel"/>
    <w:tmpl w:val="5DE6B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010CC6"/>
    <w:multiLevelType w:val="multilevel"/>
    <w:tmpl w:val="566491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8BC09A0"/>
    <w:multiLevelType w:val="multilevel"/>
    <w:tmpl w:val="C41CF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15499E"/>
    <w:multiLevelType w:val="multilevel"/>
    <w:tmpl w:val="F18AB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AF1474D"/>
    <w:multiLevelType w:val="multilevel"/>
    <w:tmpl w:val="3E84BF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B6656C0"/>
    <w:multiLevelType w:val="multilevel"/>
    <w:tmpl w:val="765AF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FCE5630"/>
    <w:multiLevelType w:val="multilevel"/>
    <w:tmpl w:val="51E0922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1DF0DC5"/>
    <w:multiLevelType w:val="multilevel"/>
    <w:tmpl w:val="F3521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3234177"/>
    <w:multiLevelType w:val="multilevel"/>
    <w:tmpl w:val="71600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4CB2AF3"/>
    <w:multiLevelType w:val="multilevel"/>
    <w:tmpl w:val="D708D9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6344927"/>
    <w:multiLevelType w:val="multilevel"/>
    <w:tmpl w:val="281E8F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637493D"/>
    <w:multiLevelType w:val="multilevel"/>
    <w:tmpl w:val="F98AA8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BDC59BE"/>
    <w:multiLevelType w:val="multilevel"/>
    <w:tmpl w:val="0C2419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F7F468F"/>
    <w:multiLevelType w:val="multilevel"/>
    <w:tmpl w:val="353EF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2FB175C"/>
    <w:multiLevelType w:val="multilevel"/>
    <w:tmpl w:val="BF1892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71E28C5"/>
    <w:multiLevelType w:val="multilevel"/>
    <w:tmpl w:val="B50E867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AB56476"/>
    <w:multiLevelType w:val="multilevel"/>
    <w:tmpl w:val="954042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E8005DD"/>
    <w:multiLevelType w:val="multilevel"/>
    <w:tmpl w:val="570A6D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0E4296F"/>
    <w:multiLevelType w:val="multilevel"/>
    <w:tmpl w:val="9DBE29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3A60706"/>
    <w:multiLevelType w:val="multilevel"/>
    <w:tmpl w:val="5C98A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6880E4B"/>
    <w:multiLevelType w:val="multilevel"/>
    <w:tmpl w:val="0E7E47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8854D9C"/>
    <w:multiLevelType w:val="multilevel"/>
    <w:tmpl w:val="4F107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954608F"/>
    <w:multiLevelType w:val="multilevel"/>
    <w:tmpl w:val="20EEB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A1121A2"/>
    <w:multiLevelType w:val="multilevel"/>
    <w:tmpl w:val="18BEA4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3B76D02"/>
    <w:multiLevelType w:val="multilevel"/>
    <w:tmpl w:val="63181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A1A6C2D"/>
    <w:multiLevelType w:val="multilevel"/>
    <w:tmpl w:val="72B87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D490D89"/>
    <w:multiLevelType w:val="multilevel"/>
    <w:tmpl w:val="C6A67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2DD088A"/>
    <w:multiLevelType w:val="multilevel"/>
    <w:tmpl w:val="6F185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7562416"/>
    <w:multiLevelType w:val="multilevel"/>
    <w:tmpl w:val="2DA22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8367310"/>
    <w:multiLevelType w:val="multilevel"/>
    <w:tmpl w:val="EFC050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9046AEF"/>
    <w:multiLevelType w:val="multilevel"/>
    <w:tmpl w:val="5F56F8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A88140A"/>
    <w:multiLevelType w:val="multilevel"/>
    <w:tmpl w:val="E9121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54011726">
    <w:abstractNumId w:val="23"/>
  </w:num>
  <w:num w:numId="2" w16cid:durableId="1771046136">
    <w:abstractNumId w:val="15"/>
  </w:num>
  <w:num w:numId="3" w16cid:durableId="600258662">
    <w:abstractNumId w:val="25"/>
  </w:num>
  <w:num w:numId="4" w16cid:durableId="1550267256">
    <w:abstractNumId w:val="30"/>
  </w:num>
  <w:num w:numId="5" w16cid:durableId="751437107">
    <w:abstractNumId w:val="18"/>
  </w:num>
  <w:num w:numId="6" w16cid:durableId="1601529277">
    <w:abstractNumId w:val="19"/>
  </w:num>
  <w:num w:numId="7" w16cid:durableId="1162164079">
    <w:abstractNumId w:val="28"/>
  </w:num>
  <w:num w:numId="8" w16cid:durableId="2129077811">
    <w:abstractNumId w:val="26"/>
  </w:num>
  <w:num w:numId="9" w16cid:durableId="526910870">
    <w:abstractNumId w:val="11"/>
  </w:num>
  <w:num w:numId="10" w16cid:durableId="286201865">
    <w:abstractNumId w:val="34"/>
  </w:num>
  <w:num w:numId="11" w16cid:durableId="714816013">
    <w:abstractNumId w:val="27"/>
  </w:num>
  <w:num w:numId="12" w16cid:durableId="1929463437">
    <w:abstractNumId w:val="21"/>
  </w:num>
  <w:num w:numId="13" w16cid:durableId="410391191">
    <w:abstractNumId w:val="24"/>
  </w:num>
  <w:num w:numId="14" w16cid:durableId="123159221">
    <w:abstractNumId w:val="31"/>
  </w:num>
  <w:num w:numId="15" w16cid:durableId="1757900476">
    <w:abstractNumId w:val="5"/>
  </w:num>
  <w:num w:numId="16" w16cid:durableId="105580936">
    <w:abstractNumId w:val="20"/>
  </w:num>
  <w:num w:numId="17" w16cid:durableId="28998647">
    <w:abstractNumId w:val="3"/>
  </w:num>
  <w:num w:numId="18" w16cid:durableId="215355121">
    <w:abstractNumId w:val="35"/>
  </w:num>
  <w:num w:numId="19" w16cid:durableId="270550978">
    <w:abstractNumId w:val="29"/>
  </w:num>
  <w:num w:numId="20" w16cid:durableId="1083382612">
    <w:abstractNumId w:val="0"/>
  </w:num>
  <w:num w:numId="21" w16cid:durableId="1471360216">
    <w:abstractNumId w:val="7"/>
  </w:num>
  <w:num w:numId="22" w16cid:durableId="479884476">
    <w:abstractNumId w:val="4"/>
  </w:num>
  <w:num w:numId="23" w16cid:durableId="1583756542">
    <w:abstractNumId w:val="12"/>
  </w:num>
  <w:num w:numId="24" w16cid:durableId="412243152">
    <w:abstractNumId w:val="33"/>
  </w:num>
  <w:num w:numId="25" w16cid:durableId="1657954772">
    <w:abstractNumId w:val="32"/>
  </w:num>
  <w:num w:numId="26" w16cid:durableId="1002389587">
    <w:abstractNumId w:val="22"/>
  </w:num>
  <w:num w:numId="27" w16cid:durableId="67852741">
    <w:abstractNumId w:val="6"/>
  </w:num>
  <w:num w:numId="28" w16cid:durableId="2137941829">
    <w:abstractNumId w:val="17"/>
  </w:num>
  <w:num w:numId="29" w16cid:durableId="1359115379">
    <w:abstractNumId w:val="9"/>
  </w:num>
  <w:num w:numId="30" w16cid:durableId="508911393">
    <w:abstractNumId w:val="16"/>
  </w:num>
  <w:num w:numId="31" w16cid:durableId="558520746">
    <w:abstractNumId w:val="2"/>
  </w:num>
  <w:num w:numId="32" w16cid:durableId="763887872">
    <w:abstractNumId w:val="1"/>
  </w:num>
  <w:num w:numId="33" w16cid:durableId="1560088677">
    <w:abstractNumId w:val="8"/>
  </w:num>
  <w:num w:numId="34" w16cid:durableId="216555717">
    <w:abstractNumId w:val="14"/>
  </w:num>
  <w:num w:numId="35" w16cid:durableId="225460905">
    <w:abstractNumId w:val="13"/>
  </w:num>
  <w:num w:numId="36" w16cid:durableId="132782536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25BC"/>
    <w:rsid w:val="0000115D"/>
    <w:rsid w:val="0002242A"/>
    <w:rsid w:val="000B49FC"/>
    <w:rsid w:val="000E31B1"/>
    <w:rsid w:val="000F23DB"/>
    <w:rsid w:val="000F2BEB"/>
    <w:rsid w:val="00131D41"/>
    <w:rsid w:val="00165986"/>
    <w:rsid w:val="001E1258"/>
    <w:rsid w:val="001E729C"/>
    <w:rsid w:val="00231470"/>
    <w:rsid w:val="0024464A"/>
    <w:rsid w:val="00254DEA"/>
    <w:rsid w:val="002B6A27"/>
    <w:rsid w:val="00336436"/>
    <w:rsid w:val="00343B68"/>
    <w:rsid w:val="00366F5B"/>
    <w:rsid w:val="003E2232"/>
    <w:rsid w:val="00434DE2"/>
    <w:rsid w:val="0044574A"/>
    <w:rsid w:val="004978E4"/>
    <w:rsid w:val="00532C6B"/>
    <w:rsid w:val="00547F48"/>
    <w:rsid w:val="00560B79"/>
    <w:rsid w:val="00566433"/>
    <w:rsid w:val="005D3B23"/>
    <w:rsid w:val="005F1A71"/>
    <w:rsid w:val="00677551"/>
    <w:rsid w:val="006C1C0F"/>
    <w:rsid w:val="006F1386"/>
    <w:rsid w:val="006F4F64"/>
    <w:rsid w:val="006F62F4"/>
    <w:rsid w:val="00715C02"/>
    <w:rsid w:val="00733462"/>
    <w:rsid w:val="00752AB0"/>
    <w:rsid w:val="0078301E"/>
    <w:rsid w:val="007E4702"/>
    <w:rsid w:val="008051B3"/>
    <w:rsid w:val="00817FA4"/>
    <w:rsid w:val="008606B4"/>
    <w:rsid w:val="008665FC"/>
    <w:rsid w:val="008B4333"/>
    <w:rsid w:val="008C5692"/>
    <w:rsid w:val="008C5871"/>
    <w:rsid w:val="008E7824"/>
    <w:rsid w:val="008F0F55"/>
    <w:rsid w:val="008F110F"/>
    <w:rsid w:val="008F1A45"/>
    <w:rsid w:val="009A44E6"/>
    <w:rsid w:val="009B4E77"/>
    <w:rsid w:val="009C20D1"/>
    <w:rsid w:val="00A125BC"/>
    <w:rsid w:val="00A153C6"/>
    <w:rsid w:val="00A250E0"/>
    <w:rsid w:val="00A251F5"/>
    <w:rsid w:val="00A34BDA"/>
    <w:rsid w:val="00A90086"/>
    <w:rsid w:val="00AA0302"/>
    <w:rsid w:val="00AA2C74"/>
    <w:rsid w:val="00AA5B2B"/>
    <w:rsid w:val="00AF335D"/>
    <w:rsid w:val="00B300DF"/>
    <w:rsid w:val="00B40187"/>
    <w:rsid w:val="00B73190"/>
    <w:rsid w:val="00BB6611"/>
    <w:rsid w:val="00BE2704"/>
    <w:rsid w:val="00C16B0F"/>
    <w:rsid w:val="00C20090"/>
    <w:rsid w:val="00C25C0C"/>
    <w:rsid w:val="00C70C10"/>
    <w:rsid w:val="00CE4EF9"/>
    <w:rsid w:val="00CF2E8E"/>
    <w:rsid w:val="00D674D9"/>
    <w:rsid w:val="00D81E61"/>
    <w:rsid w:val="00DB6CBD"/>
    <w:rsid w:val="00DD1BA9"/>
    <w:rsid w:val="00E11988"/>
    <w:rsid w:val="00ED68D9"/>
    <w:rsid w:val="00F01D9F"/>
    <w:rsid w:val="00F12F9F"/>
    <w:rsid w:val="00F52059"/>
    <w:rsid w:val="00F567C0"/>
    <w:rsid w:val="00F70C0E"/>
    <w:rsid w:val="00FC53CF"/>
    <w:rsid w:val="00FD3AB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C68721"/>
  <w15:chartTrackingRefBased/>
  <w15:docId w15:val="{037C4AD5-3345-48A3-85C4-9C54671E4B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25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125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125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25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25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25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25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25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25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25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25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125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25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25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25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25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25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25BC"/>
    <w:rPr>
      <w:rFonts w:eastAsiaTheme="majorEastAsia" w:cstheme="majorBidi"/>
      <w:color w:val="272727" w:themeColor="text1" w:themeTint="D8"/>
    </w:rPr>
  </w:style>
  <w:style w:type="paragraph" w:styleId="Title">
    <w:name w:val="Title"/>
    <w:basedOn w:val="Normal"/>
    <w:next w:val="Normal"/>
    <w:link w:val="TitleChar"/>
    <w:uiPriority w:val="10"/>
    <w:qFormat/>
    <w:rsid w:val="00A125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25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25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25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25BC"/>
    <w:pPr>
      <w:spacing w:before="160"/>
      <w:jc w:val="center"/>
    </w:pPr>
    <w:rPr>
      <w:i/>
      <w:iCs/>
      <w:color w:val="404040" w:themeColor="text1" w:themeTint="BF"/>
    </w:rPr>
  </w:style>
  <w:style w:type="character" w:customStyle="1" w:styleId="QuoteChar">
    <w:name w:val="Quote Char"/>
    <w:basedOn w:val="DefaultParagraphFont"/>
    <w:link w:val="Quote"/>
    <w:uiPriority w:val="29"/>
    <w:rsid w:val="00A125BC"/>
    <w:rPr>
      <w:i/>
      <w:iCs/>
      <w:color w:val="404040" w:themeColor="text1" w:themeTint="BF"/>
    </w:rPr>
  </w:style>
  <w:style w:type="paragraph" w:styleId="ListParagraph">
    <w:name w:val="List Paragraph"/>
    <w:basedOn w:val="Normal"/>
    <w:uiPriority w:val="34"/>
    <w:qFormat/>
    <w:rsid w:val="00A125BC"/>
    <w:pPr>
      <w:ind w:left="720"/>
      <w:contextualSpacing/>
    </w:pPr>
  </w:style>
  <w:style w:type="character" w:styleId="IntenseEmphasis">
    <w:name w:val="Intense Emphasis"/>
    <w:basedOn w:val="DefaultParagraphFont"/>
    <w:uiPriority w:val="21"/>
    <w:qFormat/>
    <w:rsid w:val="00A125BC"/>
    <w:rPr>
      <w:i/>
      <w:iCs/>
      <w:color w:val="0F4761" w:themeColor="accent1" w:themeShade="BF"/>
    </w:rPr>
  </w:style>
  <w:style w:type="paragraph" w:styleId="IntenseQuote">
    <w:name w:val="Intense Quote"/>
    <w:basedOn w:val="Normal"/>
    <w:next w:val="Normal"/>
    <w:link w:val="IntenseQuoteChar"/>
    <w:uiPriority w:val="30"/>
    <w:qFormat/>
    <w:rsid w:val="00A125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25BC"/>
    <w:rPr>
      <w:i/>
      <w:iCs/>
      <w:color w:val="0F4761" w:themeColor="accent1" w:themeShade="BF"/>
    </w:rPr>
  </w:style>
  <w:style w:type="character" w:styleId="IntenseReference">
    <w:name w:val="Intense Reference"/>
    <w:basedOn w:val="DefaultParagraphFont"/>
    <w:uiPriority w:val="32"/>
    <w:qFormat/>
    <w:rsid w:val="00A125BC"/>
    <w:rPr>
      <w:b/>
      <w:bCs/>
      <w:smallCaps/>
      <w:color w:val="0F4761" w:themeColor="accent1" w:themeShade="BF"/>
      <w:spacing w:val="5"/>
    </w:rPr>
  </w:style>
  <w:style w:type="character" w:styleId="Hyperlink">
    <w:name w:val="Hyperlink"/>
    <w:basedOn w:val="DefaultParagraphFont"/>
    <w:uiPriority w:val="99"/>
    <w:unhideWhenUsed/>
    <w:rsid w:val="00A125BC"/>
    <w:rPr>
      <w:color w:val="467886" w:themeColor="hyperlink"/>
      <w:u w:val="single"/>
    </w:rPr>
  </w:style>
  <w:style w:type="character" w:styleId="UnresolvedMention">
    <w:name w:val="Unresolved Mention"/>
    <w:basedOn w:val="DefaultParagraphFont"/>
    <w:uiPriority w:val="99"/>
    <w:semiHidden/>
    <w:unhideWhenUsed/>
    <w:rsid w:val="00A125BC"/>
    <w:rPr>
      <w:color w:val="605E5C"/>
      <w:shd w:val="clear" w:color="auto" w:fill="E1DFDD"/>
    </w:rPr>
  </w:style>
  <w:style w:type="table" w:styleId="TableGrid">
    <w:name w:val="Table Grid"/>
    <w:basedOn w:val="TableNormal"/>
    <w:uiPriority w:val="39"/>
    <w:rsid w:val="007E47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B6A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6A27"/>
  </w:style>
  <w:style w:type="paragraph" w:styleId="Footer">
    <w:name w:val="footer"/>
    <w:basedOn w:val="Normal"/>
    <w:link w:val="FooterChar"/>
    <w:uiPriority w:val="99"/>
    <w:unhideWhenUsed/>
    <w:rsid w:val="002B6A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6A27"/>
  </w:style>
  <w:style w:type="table" w:styleId="TableGridLight">
    <w:name w:val="Grid Table Light"/>
    <w:basedOn w:val="TableNormal"/>
    <w:uiPriority w:val="40"/>
    <w:rsid w:val="00F12F9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F12F9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3.sv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26</TotalTime>
  <Pages>20</Pages>
  <Words>6730</Words>
  <Characters>38362</Characters>
  <Application>Microsoft Office Word</Application>
  <DocSecurity>0</DocSecurity>
  <Lines>319</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shanipatel29@outlook.com</dc:creator>
  <cp:keywords/>
  <dc:description/>
  <cp:lastModifiedBy>shanipatel29@outlook.com</cp:lastModifiedBy>
  <cp:revision>19</cp:revision>
  <dcterms:created xsi:type="dcterms:W3CDTF">2026-08-10T12:44:00Z</dcterms:created>
  <dcterms:modified xsi:type="dcterms:W3CDTF">2026-08-10T13:57:00Z</dcterms:modified>
</cp:coreProperties>
</file>