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7EAFA" w14:textId="77777777" w:rsidR="00925E98" w:rsidRPr="00BF7B3F" w:rsidRDefault="00925E98" w:rsidP="002A52FA">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en-GB"/>
          <w14:ligatures w14:val="none"/>
        </w:rPr>
      </w:pPr>
      <w:bookmarkStart w:id="0" w:name="_Toc211076903"/>
      <w:r w:rsidRPr="00925E98">
        <w:rPr>
          <w:rFonts w:ascii="Times New Roman" w:eastAsia="Times New Roman" w:hAnsi="Times New Roman" w:cs="Times New Roman"/>
          <w:b/>
          <w:bCs/>
          <w:kern w:val="36"/>
          <w:sz w:val="48"/>
          <w:szCs w:val="48"/>
          <w:lang w:eastAsia="en-GB"/>
          <w14:ligatures w14:val="none"/>
        </w:rPr>
        <w:t xml:space="preserve">Data Handling and Business Intelligence </w:t>
      </w:r>
      <w:r w:rsidRPr="00BF7B3F">
        <w:rPr>
          <w:rFonts w:ascii="Times New Roman" w:eastAsia="Times New Roman" w:hAnsi="Times New Roman" w:cs="Times New Roman"/>
          <w:b/>
          <w:bCs/>
          <w:kern w:val="36"/>
          <w:sz w:val="28"/>
          <w:szCs w:val="28"/>
          <w:lang w:eastAsia="en-GB"/>
          <w14:ligatures w14:val="none"/>
        </w:rPr>
        <w:t>Report</w:t>
      </w:r>
      <w:bookmarkEnd w:id="0"/>
    </w:p>
    <w:p w14:paraId="4B0319F8" w14:textId="77777777" w:rsidR="002A52FA" w:rsidRDefault="002A52FA" w:rsidP="002A52FA">
      <w:pPr>
        <w:spacing w:before="100" w:beforeAutospacing="1" w:after="100" w:afterAutospacing="1" w:line="240" w:lineRule="auto"/>
        <w:jc w:val="center"/>
        <w:rPr>
          <w:rFonts w:ascii="Times New Roman" w:eastAsia="Times New Roman" w:hAnsi="Times New Roman" w:cs="Times New Roman"/>
          <w:b/>
          <w:bCs/>
          <w:kern w:val="0"/>
          <w:sz w:val="28"/>
          <w:szCs w:val="28"/>
          <w:lang w:eastAsia="en-GB"/>
          <w14:ligatures w14:val="none"/>
        </w:rPr>
      </w:pPr>
    </w:p>
    <w:p w14:paraId="3DE263CF" w14:textId="77777777" w:rsidR="002A52FA" w:rsidRDefault="002A52FA" w:rsidP="002A52FA">
      <w:pPr>
        <w:spacing w:before="100" w:beforeAutospacing="1" w:after="100" w:afterAutospacing="1" w:line="240" w:lineRule="auto"/>
        <w:jc w:val="center"/>
        <w:rPr>
          <w:rFonts w:ascii="Times New Roman" w:eastAsia="Times New Roman" w:hAnsi="Times New Roman" w:cs="Times New Roman"/>
          <w:b/>
          <w:bCs/>
          <w:kern w:val="0"/>
          <w:sz w:val="28"/>
          <w:szCs w:val="28"/>
          <w:lang w:eastAsia="en-GB"/>
          <w14:ligatures w14:val="none"/>
        </w:rPr>
      </w:pPr>
    </w:p>
    <w:p w14:paraId="1256E1AC" w14:textId="77777777" w:rsidR="002A52FA" w:rsidRDefault="002A52FA" w:rsidP="002A52FA">
      <w:pPr>
        <w:spacing w:before="100" w:beforeAutospacing="1" w:after="100" w:afterAutospacing="1" w:line="240" w:lineRule="auto"/>
        <w:jc w:val="center"/>
        <w:rPr>
          <w:rFonts w:ascii="Times New Roman" w:eastAsia="Times New Roman" w:hAnsi="Times New Roman" w:cs="Times New Roman"/>
          <w:b/>
          <w:bCs/>
          <w:kern w:val="0"/>
          <w:sz w:val="28"/>
          <w:szCs w:val="28"/>
          <w:lang w:eastAsia="en-GB"/>
          <w14:ligatures w14:val="none"/>
        </w:rPr>
      </w:pPr>
    </w:p>
    <w:p w14:paraId="2163578D" w14:textId="69175992" w:rsidR="002A52FA" w:rsidRDefault="00925E98" w:rsidP="002A52FA">
      <w:pPr>
        <w:spacing w:before="100" w:beforeAutospacing="1" w:after="100" w:afterAutospacing="1" w:line="240" w:lineRule="auto"/>
        <w:jc w:val="center"/>
        <w:rPr>
          <w:rFonts w:ascii="Times New Roman" w:eastAsia="Times New Roman" w:hAnsi="Times New Roman" w:cs="Times New Roman"/>
          <w:kern w:val="0"/>
          <w:sz w:val="28"/>
          <w:szCs w:val="28"/>
          <w:lang w:eastAsia="en-GB"/>
          <w14:ligatures w14:val="none"/>
        </w:rPr>
      </w:pPr>
      <w:r w:rsidRPr="00BF7B3F">
        <w:rPr>
          <w:rFonts w:ascii="Times New Roman" w:eastAsia="Times New Roman" w:hAnsi="Times New Roman" w:cs="Times New Roman"/>
          <w:b/>
          <w:bCs/>
          <w:kern w:val="0"/>
          <w:sz w:val="28"/>
          <w:szCs w:val="28"/>
          <w:lang w:eastAsia="en-GB"/>
          <w14:ligatures w14:val="none"/>
        </w:rPr>
        <w:t>Student Name:</w:t>
      </w:r>
      <w:r w:rsidRPr="00BF7B3F">
        <w:rPr>
          <w:rFonts w:ascii="Times New Roman" w:eastAsia="Times New Roman" w:hAnsi="Times New Roman" w:cs="Times New Roman"/>
          <w:kern w:val="0"/>
          <w:sz w:val="28"/>
          <w:szCs w:val="28"/>
          <w:lang w:eastAsia="en-GB"/>
          <w14:ligatures w14:val="none"/>
        </w:rPr>
        <w:t xml:space="preserve"> Andrea Helen Walker</w:t>
      </w:r>
      <w:r w:rsidRPr="00BF7B3F">
        <w:rPr>
          <w:rFonts w:ascii="Times New Roman" w:eastAsia="Times New Roman" w:hAnsi="Times New Roman" w:cs="Times New Roman"/>
          <w:kern w:val="0"/>
          <w:sz w:val="28"/>
          <w:szCs w:val="28"/>
          <w:lang w:eastAsia="en-GB"/>
          <w14:ligatures w14:val="none"/>
        </w:rPr>
        <w:br/>
      </w:r>
      <w:r w:rsidRPr="00BF7B3F">
        <w:rPr>
          <w:rFonts w:ascii="Times New Roman" w:eastAsia="Times New Roman" w:hAnsi="Times New Roman" w:cs="Times New Roman"/>
          <w:b/>
          <w:bCs/>
          <w:kern w:val="0"/>
          <w:sz w:val="28"/>
          <w:szCs w:val="28"/>
          <w:lang w:eastAsia="en-GB"/>
          <w14:ligatures w14:val="none"/>
        </w:rPr>
        <w:t>Student Number:</w:t>
      </w:r>
      <w:r w:rsidRPr="00BF7B3F">
        <w:rPr>
          <w:rFonts w:ascii="Times New Roman" w:eastAsia="Times New Roman" w:hAnsi="Times New Roman" w:cs="Times New Roman"/>
          <w:kern w:val="0"/>
          <w:sz w:val="28"/>
          <w:szCs w:val="28"/>
          <w:lang w:eastAsia="en-GB"/>
          <w14:ligatures w14:val="none"/>
        </w:rPr>
        <w:t xml:space="preserve"> 2308953</w:t>
      </w:r>
    </w:p>
    <w:p w14:paraId="473DE7B8" w14:textId="77777777" w:rsidR="002A52FA" w:rsidRDefault="00925E98" w:rsidP="002A52FA">
      <w:pPr>
        <w:spacing w:before="100" w:beforeAutospacing="1" w:after="100" w:afterAutospacing="1" w:line="240" w:lineRule="auto"/>
        <w:jc w:val="center"/>
        <w:rPr>
          <w:rFonts w:ascii="Times New Roman" w:eastAsia="Times New Roman" w:hAnsi="Times New Roman" w:cs="Times New Roman"/>
          <w:kern w:val="0"/>
          <w:sz w:val="28"/>
          <w:szCs w:val="28"/>
          <w:lang w:eastAsia="en-GB"/>
          <w14:ligatures w14:val="none"/>
        </w:rPr>
      </w:pPr>
      <w:r w:rsidRPr="00BF7B3F">
        <w:rPr>
          <w:rFonts w:ascii="Times New Roman" w:eastAsia="Times New Roman" w:hAnsi="Times New Roman" w:cs="Times New Roman"/>
          <w:kern w:val="0"/>
          <w:sz w:val="28"/>
          <w:szCs w:val="28"/>
          <w:lang w:eastAsia="en-GB"/>
          <w14:ligatures w14:val="none"/>
        </w:rPr>
        <w:br/>
      </w:r>
      <w:r w:rsidRPr="00BF7B3F">
        <w:rPr>
          <w:rFonts w:ascii="Times New Roman" w:eastAsia="Times New Roman" w:hAnsi="Times New Roman" w:cs="Times New Roman"/>
          <w:b/>
          <w:bCs/>
          <w:kern w:val="0"/>
          <w:sz w:val="28"/>
          <w:szCs w:val="28"/>
          <w:lang w:eastAsia="en-GB"/>
          <w14:ligatures w14:val="none"/>
        </w:rPr>
        <w:t>Programme:</w:t>
      </w:r>
      <w:r w:rsidRPr="00BF7B3F">
        <w:rPr>
          <w:rFonts w:ascii="Times New Roman" w:eastAsia="Times New Roman" w:hAnsi="Times New Roman" w:cs="Times New Roman"/>
          <w:kern w:val="0"/>
          <w:sz w:val="28"/>
          <w:szCs w:val="28"/>
          <w:lang w:eastAsia="en-GB"/>
          <w14:ligatures w14:val="none"/>
        </w:rPr>
        <w:t xml:space="preserve"> BA (Hons) Business Management</w:t>
      </w:r>
      <w:r w:rsidRPr="00BF7B3F">
        <w:rPr>
          <w:rFonts w:ascii="Times New Roman" w:eastAsia="Times New Roman" w:hAnsi="Times New Roman" w:cs="Times New Roman"/>
          <w:kern w:val="0"/>
          <w:sz w:val="28"/>
          <w:szCs w:val="28"/>
          <w:lang w:eastAsia="en-GB"/>
          <w14:ligatures w14:val="none"/>
        </w:rPr>
        <w:br/>
      </w:r>
      <w:r w:rsidRPr="00BF7B3F">
        <w:rPr>
          <w:rFonts w:ascii="Times New Roman" w:eastAsia="Times New Roman" w:hAnsi="Times New Roman" w:cs="Times New Roman"/>
          <w:b/>
          <w:bCs/>
          <w:kern w:val="0"/>
          <w:sz w:val="28"/>
          <w:szCs w:val="28"/>
          <w:lang w:eastAsia="en-GB"/>
          <w14:ligatures w14:val="none"/>
        </w:rPr>
        <w:t>Module:</w:t>
      </w:r>
      <w:r w:rsidRPr="00BF7B3F">
        <w:rPr>
          <w:rFonts w:ascii="Times New Roman" w:eastAsia="Times New Roman" w:hAnsi="Times New Roman" w:cs="Times New Roman"/>
          <w:kern w:val="0"/>
          <w:sz w:val="28"/>
          <w:szCs w:val="28"/>
          <w:lang w:eastAsia="en-GB"/>
          <w14:ligatures w14:val="none"/>
        </w:rPr>
        <w:t xml:space="preserve"> Data Handling &amp; Business Management</w:t>
      </w:r>
      <w:r w:rsidRPr="00BF7B3F">
        <w:rPr>
          <w:rFonts w:ascii="Times New Roman" w:eastAsia="Times New Roman" w:hAnsi="Times New Roman" w:cs="Times New Roman"/>
          <w:kern w:val="0"/>
          <w:sz w:val="28"/>
          <w:szCs w:val="28"/>
          <w:lang w:eastAsia="en-GB"/>
          <w14:ligatures w14:val="none"/>
        </w:rPr>
        <w:br/>
      </w:r>
      <w:r w:rsidRPr="00BF7B3F">
        <w:rPr>
          <w:rFonts w:ascii="Times New Roman" w:eastAsia="Times New Roman" w:hAnsi="Times New Roman" w:cs="Times New Roman"/>
          <w:b/>
          <w:bCs/>
          <w:kern w:val="0"/>
          <w:sz w:val="28"/>
          <w:szCs w:val="28"/>
          <w:lang w:eastAsia="en-GB"/>
          <w14:ligatures w14:val="none"/>
        </w:rPr>
        <w:t>Module Code:</w:t>
      </w:r>
      <w:r w:rsidRPr="00BF7B3F">
        <w:rPr>
          <w:rFonts w:ascii="Times New Roman" w:eastAsia="Times New Roman" w:hAnsi="Times New Roman" w:cs="Times New Roman"/>
          <w:kern w:val="0"/>
          <w:sz w:val="28"/>
          <w:szCs w:val="28"/>
          <w:lang w:eastAsia="en-GB"/>
          <w14:ligatures w14:val="none"/>
        </w:rPr>
        <w:t xml:space="preserve"> LCBB5014</w:t>
      </w:r>
    </w:p>
    <w:p w14:paraId="113E299A" w14:textId="3FD41BDE" w:rsidR="00925E98" w:rsidRPr="00BF7B3F" w:rsidRDefault="00925E98" w:rsidP="002A52FA">
      <w:pPr>
        <w:spacing w:before="100" w:beforeAutospacing="1" w:after="100" w:afterAutospacing="1" w:line="240" w:lineRule="auto"/>
        <w:jc w:val="center"/>
        <w:rPr>
          <w:rFonts w:ascii="Times New Roman" w:eastAsia="Times New Roman" w:hAnsi="Times New Roman" w:cs="Times New Roman"/>
          <w:kern w:val="0"/>
          <w:sz w:val="28"/>
          <w:szCs w:val="28"/>
          <w:lang w:eastAsia="en-GB"/>
          <w14:ligatures w14:val="none"/>
        </w:rPr>
      </w:pPr>
      <w:r w:rsidRPr="00BF7B3F">
        <w:rPr>
          <w:rFonts w:ascii="Times New Roman" w:eastAsia="Times New Roman" w:hAnsi="Times New Roman" w:cs="Times New Roman"/>
          <w:kern w:val="0"/>
          <w:sz w:val="28"/>
          <w:szCs w:val="28"/>
          <w:lang w:eastAsia="en-GB"/>
          <w14:ligatures w14:val="none"/>
        </w:rPr>
        <w:br/>
      </w:r>
      <w:r w:rsidRPr="00BF7B3F">
        <w:rPr>
          <w:rFonts w:ascii="Times New Roman" w:eastAsia="Times New Roman" w:hAnsi="Times New Roman" w:cs="Times New Roman"/>
          <w:b/>
          <w:bCs/>
          <w:kern w:val="0"/>
          <w:sz w:val="28"/>
          <w:szCs w:val="28"/>
          <w:lang w:eastAsia="en-GB"/>
          <w14:ligatures w14:val="none"/>
        </w:rPr>
        <w:t>Lecturer/Module Leader:</w:t>
      </w:r>
      <w:r w:rsidRPr="00BF7B3F">
        <w:rPr>
          <w:rFonts w:ascii="Times New Roman" w:eastAsia="Times New Roman" w:hAnsi="Times New Roman" w:cs="Times New Roman"/>
          <w:kern w:val="0"/>
          <w:sz w:val="28"/>
          <w:szCs w:val="28"/>
          <w:lang w:eastAsia="en-GB"/>
          <w14:ligatures w14:val="none"/>
        </w:rPr>
        <w:t xml:space="preserve"> Dr </w:t>
      </w:r>
      <w:r w:rsidR="002A52FA">
        <w:rPr>
          <w:rFonts w:ascii="Times New Roman" w:eastAsia="Times New Roman" w:hAnsi="Times New Roman" w:cs="Times New Roman"/>
          <w:kern w:val="0"/>
          <w:sz w:val="28"/>
          <w:szCs w:val="28"/>
          <w:lang w:eastAsia="en-GB"/>
          <w14:ligatures w14:val="none"/>
        </w:rPr>
        <w:t>Nassir Ibrahim</w:t>
      </w:r>
    </w:p>
    <w:p w14:paraId="0114F969" w14:textId="77777777" w:rsidR="00925E98" w:rsidRPr="00BF7B3F" w:rsidRDefault="00925E98" w:rsidP="002A52FA">
      <w:pPr>
        <w:spacing w:before="100" w:beforeAutospacing="1" w:after="100" w:afterAutospacing="1" w:line="240" w:lineRule="auto"/>
        <w:jc w:val="center"/>
        <w:rPr>
          <w:rFonts w:ascii="Times New Roman" w:eastAsia="Times New Roman" w:hAnsi="Times New Roman" w:cs="Times New Roman"/>
          <w:kern w:val="0"/>
          <w:sz w:val="28"/>
          <w:szCs w:val="28"/>
          <w:lang w:eastAsia="en-GB"/>
          <w14:ligatures w14:val="none"/>
        </w:rPr>
      </w:pPr>
    </w:p>
    <w:p w14:paraId="6FB190F6" w14:textId="77777777" w:rsidR="00925E98" w:rsidRDefault="00925E98" w:rsidP="00925E98">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2A176ADB" w14:textId="77777777" w:rsidR="00DD5D1F" w:rsidRDefault="00DD5D1F" w:rsidP="00925E98">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2B2FD0F5" w14:textId="77777777" w:rsidR="00DD5D1F" w:rsidRPr="00BF7B3F" w:rsidRDefault="00DD5D1F" w:rsidP="00925E98">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1BC5576D" w14:textId="77777777" w:rsid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0EF6718" w14:textId="77777777" w:rsid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4808ED4" w14:textId="77777777" w:rsid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E76FD66" w14:textId="77777777" w:rsid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66B8C02" w14:textId="77777777" w:rsid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1DF8575" w14:textId="77777777" w:rsid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2BBAD7B" w14:textId="77777777" w:rsid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288DDF7" w14:textId="7934CE09" w:rsidR="009B5C4F" w:rsidRDefault="009B5C4F" w:rsidP="00925E9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29BD446" w14:textId="77777777" w:rsidR="00E61759" w:rsidRDefault="009B5C4F">
      <w:pPr>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br w:type="page"/>
      </w:r>
    </w:p>
    <w:sdt>
      <w:sdtPr>
        <w:id w:val="79410475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F2B3C06" w14:textId="57F2C634" w:rsidR="00E61759" w:rsidRDefault="00E61759">
          <w:pPr>
            <w:pStyle w:val="TOCHeading"/>
          </w:pPr>
          <w:r>
            <w:t>Table of Contents</w:t>
          </w:r>
        </w:p>
        <w:p w14:paraId="1A9FBDC2" w14:textId="74BDAFDD" w:rsidR="00D02319" w:rsidRDefault="00E6175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076903" w:history="1">
            <w:r w:rsidR="00D02319" w:rsidRPr="0031282D">
              <w:rPr>
                <w:rStyle w:val="Hyperlink"/>
                <w:rFonts w:ascii="Times New Roman" w:eastAsia="Times New Roman" w:hAnsi="Times New Roman" w:cs="Times New Roman"/>
                <w:b/>
                <w:bCs/>
                <w:noProof/>
                <w:kern w:val="36"/>
                <w:lang w:eastAsia="en-GB"/>
                <w14:ligatures w14:val="none"/>
              </w:rPr>
              <w:t>Data Handling and Business Intelligence Report</w:t>
            </w:r>
            <w:r w:rsidR="00D02319">
              <w:rPr>
                <w:noProof/>
                <w:webHidden/>
              </w:rPr>
              <w:tab/>
            </w:r>
            <w:r w:rsidR="00D02319">
              <w:rPr>
                <w:noProof/>
                <w:webHidden/>
              </w:rPr>
              <w:fldChar w:fldCharType="begin"/>
            </w:r>
            <w:r w:rsidR="00D02319">
              <w:rPr>
                <w:noProof/>
                <w:webHidden/>
              </w:rPr>
              <w:instrText xml:space="preserve"> PAGEREF _Toc211076903 \h </w:instrText>
            </w:r>
            <w:r w:rsidR="00D02319">
              <w:rPr>
                <w:noProof/>
                <w:webHidden/>
              </w:rPr>
            </w:r>
            <w:r w:rsidR="00D02319">
              <w:rPr>
                <w:noProof/>
                <w:webHidden/>
              </w:rPr>
              <w:fldChar w:fldCharType="separate"/>
            </w:r>
            <w:r w:rsidR="00D02319">
              <w:rPr>
                <w:noProof/>
                <w:webHidden/>
              </w:rPr>
              <w:t>1</w:t>
            </w:r>
            <w:r w:rsidR="00D02319">
              <w:rPr>
                <w:noProof/>
                <w:webHidden/>
              </w:rPr>
              <w:fldChar w:fldCharType="end"/>
            </w:r>
          </w:hyperlink>
        </w:p>
        <w:p w14:paraId="7D3F7744" w14:textId="166D660F" w:rsidR="00D02319" w:rsidRDefault="00D02319">
          <w:pPr>
            <w:pStyle w:val="TOC2"/>
            <w:tabs>
              <w:tab w:val="left" w:pos="720"/>
              <w:tab w:val="right" w:leader="dot" w:pos="9016"/>
            </w:tabs>
            <w:rPr>
              <w:rFonts w:eastAsiaTheme="minorEastAsia"/>
              <w:noProof/>
              <w:lang w:eastAsia="en-GB"/>
            </w:rPr>
          </w:pPr>
          <w:hyperlink w:anchor="_Toc211076904" w:history="1">
            <w:r w:rsidRPr="0031282D">
              <w:rPr>
                <w:rStyle w:val="Hyperlink"/>
                <w:rFonts w:eastAsia="Times New Roman"/>
                <w:noProof/>
                <w:lang w:eastAsia="en-GB"/>
              </w:rPr>
              <w:t>1.</w:t>
            </w:r>
            <w:r>
              <w:rPr>
                <w:rFonts w:eastAsiaTheme="minorEastAsia"/>
                <w:noProof/>
                <w:lang w:eastAsia="en-GB"/>
              </w:rPr>
              <w:tab/>
            </w:r>
            <w:r w:rsidRPr="0031282D">
              <w:rPr>
                <w:rStyle w:val="Hyperlink"/>
                <w:rFonts w:eastAsia="Times New Roman"/>
                <w:noProof/>
                <w:lang w:eastAsia="en-GB"/>
              </w:rPr>
              <w:t>Executive Summary</w:t>
            </w:r>
            <w:r>
              <w:rPr>
                <w:noProof/>
                <w:webHidden/>
              </w:rPr>
              <w:tab/>
            </w:r>
            <w:r>
              <w:rPr>
                <w:noProof/>
                <w:webHidden/>
              </w:rPr>
              <w:fldChar w:fldCharType="begin"/>
            </w:r>
            <w:r>
              <w:rPr>
                <w:noProof/>
                <w:webHidden/>
              </w:rPr>
              <w:instrText xml:space="preserve"> PAGEREF _Toc211076904 \h </w:instrText>
            </w:r>
            <w:r>
              <w:rPr>
                <w:noProof/>
                <w:webHidden/>
              </w:rPr>
            </w:r>
            <w:r>
              <w:rPr>
                <w:noProof/>
                <w:webHidden/>
              </w:rPr>
              <w:fldChar w:fldCharType="separate"/>
            </w:r>
            <w:r>
              <w:rPr>
                <w:noProof/>
                <w:webHidden/>
              </w:rPr>
              <w:t>3</w:t>
            </w:r>
            <w:r>
              <w:rPr>
                <w:noProof/>
                <w:webHidden/>
              </w:rPr>
              <w:fldChar w:fldCharType="end"/>
            </w:r>
          </w:hyperlink>
        </w:p>
        <w:p w14:paraId="06CF69F6" w14:textId="220AF248" w:rsidR="00D02319" w:rsidRDefault="00D02319">
          <w:pPr>
            <w:pStyle w:val="TOC2"/>
            <w:tabs>
              <w:tab w:val="right" w:leader="dot" w:pos="9016"/>
            </w:tabs>
            <w:rPr>
              <w:rFonts w:eastAsiaTheme="minorEastAsia"/>
              <w:noProof/>
              <w:lang w:eastAsia="en-GB"/>
            </w:rPr>
          </w:pPr>
          <w:hyperlink w:anchor="_Toc211076905" w:history="1">
            <w:r w:rsidRPr="0031282D">
              <w:rPr>
                <w:rStyle w:val="Hyperlink"/>
                <w:rFonts w:eastAsia="Times New Roman"/>
                <w:noProof/>
                <w:lang w:eastAsia="en-GB"/>
              </w:rPr>
              <w:t>2. Introduction</w:t>
            </w:r>
            <w:r>
              <w:rPr>
                <w:noProof/>
                <w:webHidden/>
              </w:rPr>
              <w:tab/>
            </w:r>
            <w:r>
              <w:rPr>
                <w:noProof/>
                <w:webHidden/>
              </w:rPr>
              <w:fldChar w:fldCharType="begin"/>
            </w:r>
            <w:r>
              <w:rPr>
                <w:noProof/>
                <w:webHidden/>
              </w:rPr>
              <w:instrText xml:space="preserve"> PAGEREF _Toc211076905 \h </w:instrText>
            </w:r>
            <w:r>
              <w:rPr>
                <w:noProof/>
                <w:webHidden/>
              </w:rPr>
            </w:r>
            <w:r>
              <w:rPr>
                <w:noProof/>
                <w:webHidden/>
              </w:rPr>
              <w:fldChar w:fldCharType="separate"/>
            </w:r>
            <w:r>
              <w:rPr>
                <w:noProof/>
                <w:webHidden/>
              </w:rPr>
              <w:t>3</w:t>
            </w:r>
            <w:r>
              <w:rPr>
                <w:noProof/>
                <w:webHidden/>
              </w:rPr>
              <w:fldChar w:fldCharType="end"/>
            </w:r>
          </w:hyperlink>
        </w:p>
        <w:p w14:paraId="5E20B864" w14:textId="4D01BD93" w:rsidR="00D02319" w:rsidRDefault="00D02319">
          <w:pPr>
            <w:pStyle w:val="TOC2"/>
            <w:tabs>
              <w:tab w:val="right" w:leader="dot" w:pos="9016"/>
            </w:tabs>
            <w:rPr>
              <w:rFonts w:eastAsiaTheme="minorEastAsia"/>
              <w:noProof/>
              <w:lang w:eastAsia="en-GB"/>
            </w:rPr>
          </w:pPr>
          <w:hyperlink w:anchor="_Toc211076906" w:history="1">
            <w:r w:rsidRPr="0031282D">
              <w:rPr>
                <w:rStyle w:val="Hyperlink"/>
                <w:rFonts w:eastAsia="Times New Roman"/>
                <w:noProof/>
                <w:lang w:eastAsia="en-GB"/>
              </w:rPr>
              <w:t>3. Trends in Business Intelligence, Data Warehousing, and Data Mining</w:t>
            </w:r>
            <w:r>
              <w:rPr>
                <w:noProof/>
                <w:webHidden/>
              </w:rPr>
              <w:tab/>
            </w:r>
            <w:r>
              <w:rPr>
                <w:noProof/>
                <w:webHidden/>
              </w:rPr>
              <w:fldChar w:fldCharType="begin"/>
            </w:r>
            <w:r>
              <w:rPr>
                <w:noProof/>
                <w:webHidden/>
              </w:rPr>
              <w:instrText xml:space="preserve"> PAGEREF _Toc211076906 \h </w:instrText>
            </w:r>
            <w:r>
              <w:rPr>
                <w:noProof/>
                <w:webHidden/>
              </w:rPr>
            </w:r>
            <w:r>
              <w:rPr>
                <w:noProof/>
                <w:webHidden/>
              </w:rPr>
              <w:fldChar w:fldCharType="separate"/>
            </w:r>
            <w:r>
              <w:rPr>
                <w:noProof/>
                <w:webHidden/>
              </w:rPr>
              <w:t>4</w:t>
            </w:r>
            <w:r>
              <w:rPr>
                <w:noProof/>
                <w:webHidden/>
              </w:rPr>
              <w:fldChar w:fldCharType="end"/>
            </w:r>
          </w:hyperlink>
        </w:p>
        <w:p w14:paraId="284EACBF" w14:textId="66533B17" w:rsidR="00D02319" w:rsidRDefault="00D02319">
          <w:pPr>
            <w:pStyle w:val="TOC2"/>
            <w:tabs>
              <w:tab w:val="right" w:leader="dot" w:pos="9016"/>
            </w:tabs>
            <w:rPr>
              <w:rFonts w:eastAsiaTheme="minorEastAsia"/>
              <w:noProof/>
              <w:lang w:eastAsia="en-GB"/>
            </w:rPr>
          </w:pPr>
          <w:hyperlink w:anchor="_Toc211076907" w:history="1">
            <w:r w:rsidRPr="0031282D">
              <w:rPr>
                <w:rStyle w:val="Hyperlink"/>
                <w:rFonts w:eastAsia="Times New Roman"/>
                <w:noProof/>
                <w:lang w:eastAsia="en-GB"/>
              </w:rPr>
              <w:t>4. Data Warehousing in Organisational Applications</w:t>
            </w:r>
            <w:r>
              <w:rPr>
                <w:noProof/>
                <w:webHidden/>
              </w:rPr>
              <w:tab/>
            </w:r>
            <w:r>
              <w:rPr>
                <w:noProof/>
                <w:webHidden/>
              </w:rPr>
              <w:fldChar w:fldCharType="begin"/>
            </w:r>
            <w:r>
              <w:rPr>
                <w:noProof/>
                <w:webHidden/>
              </w:rPr>
              <w:instrText xml:space="preserve"> PAGEREF _Toc211076907 \h </w:instrText>
            </w:r>
            <w:r>
              <w:rPr>
                <w:noProof/>
                <w:webHidden/>
              </w:rPr>
            </w:r>
            <w:r>
              <w:rPr>
                <w:noProof/>
                <w:webHidden/>
              </w:rPr>
              <w:fldChar w:fldCharType="separate"/>
            </w:r>
            <w:r>
              <w:rPr>
                <w:noProof/>
                <w:webHidden/>
              </w:rPr>
              <w:t>4</w:t>
            </w:r>
            <w:r>
              <w:rPr>
                <w:noProof/>
                <w:webHidden/>
              </w:rPr>
              <w:fldChar w:fldCharType="end"/>
            </w:r>
          </w:hyperlink>
        </w:p>
        <w:p w14:paraId="6D45DBBF" w14:textId="2C8BE3AE" w:rsidR="00D02319" w:rsidRDefault="00D02319">
          <w:pPr>
            <w:pStyle w:val="TOC2"/>
            <w:tabs>
              <w:tab w:val="right" w:leader="dot" w:pos="9016"/>
            </w:tabs>
            <w:rPr>
              <w:rFonts w:eastAsiaTheme="minorEastAsia"/>
              <w:noProof/>
              <w:lang w:eastAsia="en-GB"/>
            </w:rPr>
          </w:pPr>
          <w:hyperlink w:anchor="_Toc211076908" w:history="1">
            <w:r w:rsidRPr="0031282D">
              <w:rPr>
                <w:rStyle w:val="Hyperlink"/>
                <w:rFonts w:eastAsia="Times New Roman"/>
                <w:noProof/>
                <w:lang w:eastAsia="en-GB"/>
              </w:rPr>
              <w:t>5. Data Mining Techniques for Unilever</w:t>
            </w:r>
            <w:r>
              <w:rPr>
                <w:noProof/>
                <w:webHidden/>
              </w:rPr>
              <w:tab/>
            </w:r>
            <w:r>
              <w:rPr>
                <w:noProof/>
                <w:webHidden/>
              </w:rPr>
              <w:fldChar w:fldCharType="begin"/>
            </w:r>
            <w:r>
              <w:rPr>
                <w:noProof/>
                <w:webHidden/>
              </w:rPr>
              <w:instrText xml:space="preserve"> PAGEREF _Toc211076908 \h </w:instrText>
            </w:r>
            <w:r>
              <w:rPr>
                <w:noProof/>
                <w:webHidden/>
              </w:rPr>
            </w:r>
            <w:r>
              <w:rPr>
                <w:noProof/>
                <w:webHidden/>
              </w:rPr>
              <w:fldChar w:fldCharType="separate"/>
            </w:r>
            <w:r>
              <w:rPr>
                <w:noProof/>
                <w:webHidden/>
              </w:rPr>
              <w:t>5</w:t>
            </w:r>
            <w:r>
              <w:rPr>
                <w:noProof/>
                <w:webHidden/>
              </w:rPr>
              <w:fldChar w:fldCharType="end"/>
            </w:r>
          </w:hyperlink>
        </w:p>
        <w:p w14:paraId="2C0C2FB7" w14:textId="5985BE28" w:rsidR="00D02319" w:rsidRDefault="00D02319">
          <w:pPr>
            <w:pStyle w:val="TOC2"/>
            <w:tabs>
              <w:tab w:val="right" w:leader="dot" w:pos="9016"/>
            </w:tabs>
            <w:rPr>
              <w:rFonts w:eastAsiaTheme="minorEastAsia"/>
              <w:noProof/>
              <w:lang w:eastAsia="en-GB"/>
            </w:rPr>
          </w:pPr>
          <w:hyperlink w:anchor="_Toc211076909" w:history="1">
            <w:r w:rsidRPr="0031282D">
              <w:rPr>
                <w:rStyle w:val="Hyperlink"/>
                <w:rFonts w:eastAsia="Times New Roman"/>
                <w:noProof/>
                <w:lang w:eastAsia="en-GB"/>
              </w:rPr>
              <w:t>6. Predictive Analytics in Decision-Making</w:t>
            </w:r>
            <w:r>
              <w:rPr>
                <w:noProof/>
                <w:webHidden/>
              </w:rPr>
              <w:tab/>
            </w:r>
            <w:r>
              <w:rPr>
                <w:noProof/>
                <w:webHidden/>
              </w:rPr>
              <w:fldChar w:fldCharType="begin"/>
            </w:r>
            <w:r>
              <w:rPr>
                <w:noProof/>
                <w:webHidden/>
              </w:rPr>
              <w:instrText xml:space="preserve"> PAGEREF _Toc211076909 \h </w:instrText>
            </w:r>
            <w:r>
              <w:rPr>
                <w:noProof/>
                <w:webHidden/>
              </w:rPr>
            </w:r>
            <w:r>
              <w:rPr>
                <w:noProof/>
                <w:webHidden/>
              </w:rPr>
              <w:fldChar w:fldCharType="separate"/>
            </w:r>
            <w:r>
              <w:rPr>
                <w:noProof/>
                <w:webHidden/>
              </w:rPr>
              <w:t>6</w:t>
            </w:r>
            <w:r>
              <w:rPr>
                <w:noProof/>
                <w:webHidden/>
              </w:rPr>
              <w:fldChar w:fldCharType="end"/>
            </w:r>
          </w:hyperlink>
        </w:p>
        <w:p w14:paraId="6A8F46BC" w14:textId="0856DCA6" w:rsidR="00D02319" w:rsidRDefault="00D02319">
          <w:pPr>
            <w:pStyle w:val="TOC2"/>
            <w:tabs>
              <w:tab w:val="right" w:leader="dot" w:pos="9016"/>
            </w:tabs>
            <w:rPr>
              <w:rFonts w:eastAsiaTheme="minorEastAsia"/>
              <w:noProof/>
              <w:lang w:eastAsia="en-GB"/>
            </w:rPr>
          </w:pPr>
          <w:hyperlink w:anchor="_Toc211076910" w:history="1">
            <w:r w:rsidRPr="0031282D">
              <w:rPr>
                <w:rStyle w:val="Hyperlink"/>
                <w:rFonts w:eastAsia="Times New Roman"/>
                <w:noProof/>
                <w:lang w:eastAsia="en-GB"/>
              </w:rPr>
              <w:t>7. Ethical and Data Security Considerations</w:t>
            </w:r>
            <w:r>
              <w:rPr>
                <w:noProof/>
                <w:webHidden/>
              </w:rPr>
              <w:tab/>
            </w:r>
            <w:r>
              <w:rPr>
                <w:noProof/>
                <w:webHidden/>
              </w:rPr>
              <w:fldChar w:fldCharType="begin"/>
            </w:r>
            <w:r>
              <w:rPr>
                <w:noProof/>
                <w:webHidden/>
              </w:rPr>
              <w:instrText xml:space="preserve"> PAGEREF _Toc211076910 \h </w:instrText>
            </w:r>
            <w:r>
              <w:rPr>
                <w:noProof/>
                <w:webHidden/>
              </w:rPr>
            </w:r>
            <w:r>
              <w:rPr>
                <w:noProof/>
                <w:webHidden/>
              </w:rPr>
              <w:fldChar w:fldCharType="separate"/>
            </w:r>
            <w:r>
              <w:rPr>
                <w:noProof/>
                <w:webHidden/>
              </w:rPr>
              <w:t>6</w:t>
            </w:r>
            <w:r>
              <w:rPr>
                <w:noProof/>
                <w:webHidden/>
              </w:rPr>
              <w:fldChar w:fldCharType="end"/>
            </w:r>
          </w:hyperlink>
        </w:p>
        <w:p w14:paraId="15999089" w14:textId="5EC5D05C" w:rsidR="00D02319" w:rsidRDefault="00D02319">
          <w:pPr>
            <w:pStyle w:val="TOC2"/>
            <w:tabs>
              <w:tab w:val="right" w:leader="dot" w:pos="9016"/>
            </w:tabs>
            <w:rPr>
              <w:rFonts w:eastAsiaTheme="minorEastAsia"/>
              <w:noProof/>
              <w:lang w:eastAsia="en-GB"/>
            </w:rPr>
          </w:pPr>
          <w:hyperlink w:anchor="_Toc211076911" w:history="1">
            <w:r w:rsidRPr="0031282D">
              <w:rPr>
                <w:rStyle w:val="Hyperlink"/>
                <w:rFonts w:eastAsia="Times New Roman"/>
                <w:noProof/>
                <w:lang w:eastAsia="en-GB"/>
              </w:rPr>
              <w:t>8. Reporting and Dashboard Solutions</w:t>
            </w:r>
            <w:r>
              <w:rPr>
                <w:noProof/>
                <w:webHidden/>
              </w:rPr>
              <w:tab/>
            </w:r>
            <w:r>
              <w:rPr>
                <w:noProof/>
                <w:webHidden/>
              </w:rPr>
              <w:fldChar w:fldCharType="begin"/>
            </w:r>
            <w:r>
              <w:rPr>
                <w:noProof/>
                <w:webHidden/>
              </w:rPr>
              <w:instrText xml:space="preserve"> PAGEREF _Toc211076911 \h </w:instrText>
            </w:r>
            <w:r>
              <w:rPr>
                <w:noProof/>
                <w:webHidden/>
              </w:rPr>
            </w:r>
            <w:r>
              <w:rPr>
                <w:noProof/>
                <w:webHidden/>
              </w:rPr>
              <w:fldChar w:fldCharType="separate"/>
            </w:r>
            <w:r>
              <w:rPr>
                <w:noProof/>
                <w:webHidden/>
              </w:rPr>
              <w:t>7</w:t>
            </w:r>
            <w:r>
              <w:rPr>
                <w:noProof/>
                <w:webHidden/>
              </w:rPr>
              <w:fldChar w:fldCharType="end"/>
            </w:r>
          </w:hyperlink>
        </w:p>
        <w:p w14:paraId="3F4AA35F" w14:textId="0B6927EE" w:rsidR="00D02319" w:rsidRDefault="00D02319">
          <w:pPr>
            <w:pStyle w:val="TOC2"/>
            <w:tabs>
              <w:tab w:val="right" w:leader="dot" w:pos="9016"/>
            </w:tabs>
            <w:rPr>
              <w:rFonts w:eastAsiaTheme="minorEastAsia"/>
              <w:noProof/>
              <w:lang w:eastAsia="en-GB"/>
            </w:rPr>
          </w:pPr>
          <w:hyperlink w:anchor="_Toc211076912" w:history="1">
            <w:r w:rsidRPr="0031282D">
              <w:rPr>
                <w:rStyle w:val="Hyperlink"/>
                <w:rFonts w:eastAsia="Times New Roman"/>
                <w:noProof/>
                <w:lang w:eastAsia="en-GB"/>
              </w:rPr>
              <w:t>9. Case Studies</w:t>
            </w:r>
            <w:r>
              <w:rPr>
                <w:noProof/>
                <w:webHidden/>
              </w:rPr>
              <w:tab/>
            </w:r>
            <w:r>
              <w:rPr>
                <w:noProof/>
                <w:webHidden/>
              </w:rPr>
              <w:fldChar w:fldCharType="begin"/>
            </w:r>
            <w:r>
              <w:rPr>
                <w:noProof/>
                <w:webHidden/>
              </w:rPr>
              <w:instrText xml:space="preserve"> PAGEREF _Toc211076912 \h </w:instrText>
            </w:r>
            <w:r>
              <w:rPr>
                <w:noProof/>
                <w:webHidden/>
              </w:rPr>
            </w:r>
            <w:r>
              <w:rPr>
                <w:noProof/>
                <w:webHidden/>
              </w:rPr>
              <w:fldChar w:fldCharType="separate"/>
            </w:r>
            <w:r>
              <w:rPr>
                <w:noProof/>
                <w:webHidden/>
              </w:rPr>
              <w:t>7</w:t>
            </w:r>
            <w:r>
              <w:rPr>
                <w:noProof/>
                <w:webHidden/>
              </w:rPr>
              <w:fldChar w:fldCharType="end"/>
            </w:r>
          </w:hyperlink>
        </w:p>
        <w:p w14:paraId="2D6A57EB" w14:textId="5A52AC34" w:rsidR="00D02319" w:rsidRDefault="00D02319">
          <w:pPr>
            <w:pStyle w:val="TOC2"/>
            <w:tabs>
              <w:tab w:val="right" w:leader="dot" w:pos="9016"/>
            </w:tabs>
            <w:rPr>
              <w:rFonts w:eastAsiaTheme="minorEastAsia"/>
              <w:noProof/>
              <w:lang w:eastAsia="en-GB"/>
            </w:rPr>
          </w:pPr>
          <w:hyperlink w:anchor="_Toc211076913" w:history="1">
            <w:r w:rsidRPr="0031282D">
              <w:rPr>
                <w:rStyle w:val="Hyperlink"/>
                <w:rFonts w:eastAsia="Times New Roman"/>
                <w:noProof/>
                <w:lang w:eastAsia="en-GB"/>
              </w:rPr>
              <w:t>10. Conclusion</w:t>
            </w:r>
            <w:r>
              <w:rPr>
                <w:noProof/>
                <w:webHidden/>
              </w:rPr>
              <w:tab/>
            </w:r>
            <w:r>
              <w:rPr>
                <w:noProof/>
                <w:webHidden/>
              </w:rPr>
              <w:fldChar w:fldCharType="begin"/>
            </w:r>
            <w:r>
              <w:rPr>
                <w:noProof/>
                <w:webHidden/>
              </w:rPr>
              <w:instrText xml:space="preserve"> PAGEREF _Toc211076913 \h </w:instrText>
            </w:r>
            <w:r>
              <w:rPr>
                <w:noProof/>
                <w:webHidden/>
              </w:rPr>
            </w:r>
            <w:r>
              <w:rPr>
                <w:noProof/>
                <w:webHidden/>
              </w:rPr>
              <w:fldChar w:fldCharType="separate"/>
            </w:r>
            <w:r>
              <w:rPr>
                <w:noProof/>
                <w:webHidden/>
              </w:rPr>
              <w:t>7</w:t>
            </w:r>
            <w:r>
              <w:rPr>
                <w:noProof/>
                <w:webHidden/>
              </w:rPr>
              <w:fldChar w:fldCharType="end"/>
            </w:r>
          </w:hyperlink>
        </w:p>
        <w:p w14:paraId="63BB9521" w14:textId="4A97AF96" w:rsidR="00D02319" w:rsidRDefault="00D02319">
          <w:pPr>
            <w:pStyle w:val="TOC2"/>
            <w:tabs>
              <w:tab w:val="right" w:leader="dot" w:pos="9016"/>
            </w:tabs>
            <w:rPr>
              <w:rFonts w:eastAsiaTheme="minorEastAsia"/>
              <w:noProof/>
              <w:lang w:eastAsia="en-GB"/>
            </w:rPr>
          </w:pPr>
          <w:hyperlink w:anchor="_Toc211076914" w:history="1">
            <w:r w:rsidRPr="0031282D">
              <w:rPr>
                <w:rStyle w:val="Hyperlink"/>
                <w:rFonts w:eastAsia="Times New Roman"/>
                <w:noProof/>
                <w:lang w:eastAsia="en-GB"/>
              </w:rPr>
              <w:t>11. References</w:t>
            </w:r>
            <w:r>
              <w:rPr>
                <w:noProof/>
                <w:webHidden/>
              </w:rPr>
              <w:tab/>
            </w:r>
            <w:r>
              <w:rPr>
                <w:noProof/>
                <w:webHidden/>
              </w:rPr>
              <w:fldChar w:fldCharType="begin"/>
            </w:r>
            <w:r>
              <w:rPr>
                <w:noProof/>
                <w:webHidden/>
              </w:rPr>
              <w:instrText xml:space="preserve"> PAGEREF _Toc211076914 \h </w:instrText>
            </w:r>
            <w:r>
              <w:rPr>
                <w:noProof/>
                <w:webHidden/>
              </w:rPr>
            </w:r>
            <w:r>
              <w:rPr>
                <w:noProof/>
                <w:webHidden/>
              </w:rPr>
              <w:fldChar w:fldCharType="separate"/>
            </w:r>
            <w:r>
              <w:rPr>
                <w:noProof/>
                <w:webHidden/>
              </w:rPr>
              <w:t>8</w:t>
            </w:r>
            <w:r>
              <w:rPr>
                <w:noProof/>
                <w:webHidden/>
              </w:rPr>
              <w:fldChar w:fldCharType="end"/>
            </w:r>
          </w:hyperlink>
        </w:p>
        <w:p w14:paraId="28AA8DAC" w14:textId="2E550D1F" w:rsidR="00E61759" w:rsidRDefault="00E61759">
          <w:r>
            <w:rPr>
              <w:b/>
              <w:bCs/>
            </w:rPr>
            <w:fldChar w:fldCharType="end"/>
          </w:r>
        </w:p>
      </w:sdtContent>
    </w:sdt>
    <w:p w14:paraId="312D83DF" w14:textId="54209FB5" w:rsidR="00AA6ECB" w:rsidRDefault="00AA6ECB">
      <w:pPr>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br w:type="page"/>
      </w:r>
    </w:p>
    <w:p w14:paraId="74C9F6F8" w14:textId="77777777" w:rsidR="009B5C4F" w:rsidRDefault="009B5C4F">
      <w:pPr>
        <w:rPr>
          <w:rFonts w:ascii="Times New Roman" w:eastAsia="Times New Roman" w:hAnsi="Times New Roman" w:cs="Times New Roman"/>
          <w:b/>
          <w:bCs/>
          <w:kern w:val="0"/>
          <w:sz w:val="36"/>
          <w:szCs w:val="36"/>
          <w:lang w:eastAsia="en-GB"/>
          <w14:ligatures w14:val="none"/>
        </w:rPr>
      </w:pPr>
    </w:p>
    <w:p w14:paraId="7E26E6F0" w14:textId="4452C92C" w:rsidR="00925E98" w:rsidRPr="009B5C4F" w:rsidRDefault="00925E98" w:rsidP="00450FFE">
      <w:pPr>
        <w:pStyle w:val="Heading2"/>
        <w:numPr>
          <w:ilvl w:val="0"/>
          <w:numId w:val="10"/>
        </w:numPr>
        <w:rPr>
          <w:rFonts w:eastAsia="Times New Roman"/>
          <w:lang w:eastAsia="en-GB"/>
        </w:rPr>
      </w:pPr>
      <w:bookmarkStart w:id="1" w:name="_Toc211076904"/>
      <w:r w:rsidRPr="009B5C4F">
        <w:rPr>
          <w:rFonts w:eastAsia="Times New Roman"/>
          <w:lang w:eastAsia="en-GB"/>
        </w:rPr>
        <w:t>Executive Summary</w:t>
      </w:r>
      <w:bookmarkEnd w:id="1"/>
    </w:p>
    <w:p w14:paraId="3576907B" w14:textId="4352DF0B" w:rsid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This report investigates how Business Intelligence (BI), Data Warehousing (DW), and Data Mining (DM) influence operational efficiency, strategic decision-making, and sustainability in Unilever, one of the leading multinational FMCG companies. The report explores emerging trends in BI, including cloud adoption, artificial intelligence, and real</w:t>
      </w:r>
      <w:r w:rsidR="00033FC2">
        <w:rPr>
          <w:rFonts w:ascii="Times New Roman" w:eastAsia="Times New Roman" w:hAnsi="Times New Roman" w:cs="Times New Roman"/>
          <w:kern w:val="0"/>
          <w:lang w:eastAsia="en-GB"/>
          <w14:ligatures w14:val="none"/>
        </w:rPr>
        <w:t xml:space="preserve"> </w:t>
      </w:r>
      <w:r w:rsidRPr="00925E98">
        <w:rPr>
          <w:rFonts w:ascii="Times New Roman" w:eastAsia="Times New Roman" w:hAnsi="Times New Roman" w:cs="Times New Roman"/>
          <w:kern w:val="0"/>
          <w:lang w:eastAsia="en-GB"/>
          <w14:ligatures w14:val="none"/>
        </w:rPr>
        <w:t>time analytics, and examines how Unilever integrates these technologies to optimise supply chains, enhance consumer engagement, and achieve ESG targets. Various predictive analytics methods, such as linear, polynomial, logistic, ridge, and lasso regression, are analysed in relation to demand forecasting, marketing optimisation, and financial planning. Ethical and data security considerations are critically assessed to ensure compliance with GDPR, mitigate bias, and strengthen cybersecurity. Finally, reporting and dashboard solutions are discussed to demonstrate how Unilever transforms complex data into actionable insights. The findings suggest that an integrated, ethically governed BI ecosystem allows Unilever to improve competitiveness, drive sustainable operations, and reinforce its global market leadership.</w:t>
      </w:r>
    </w:p>
    <w:p w14:paraId="176FA2A3" w14:textId="77777777" w:rsid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D27E17F" w14:textId="77777777" w:rsid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1F37885" w14:textId="77777777" w:rsid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89CB488" w14:textId="77777777" w:rsid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23483F4"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0918BF0" w14:textId="5142D385" w:rsidR="00925E98" w:rsidRPr="00925E98" w:rsidRDefault="00925E98" w:rsidP="00925E98">
      <w:pPr>
        <w:spacing w:after="0" w:line="240" w:lineRule="auto"/>
        <w:rPr>
          <w:rFonts w:ascii="Times New Roman" w:eastAsia="Times New Roman" w:hAnsi="Times New Roman" w:cs="Times New Roman"/>
          <w:kern w:val="0"/>
          <w:lang w:eastAsia="en-GB"/>
          <w14:ligatures w14:val="none"/>
        </w:rPr>
      </w:pPr>
    </w:p>
    <w:p w14:paraId="0AB23415" w14:textId="77777777" w:rsidR="00925E98" w:rsidRPr="00AA6ECB" w:rsidRDefault="00925E98" w:rsidP="00AA6ECB">
      <w:pPr>
        <w:pStyle w:val="Heading2"/>
        <w:ind w:left="720"/>
        <w:rPr>
          <w:rFonts w:eastAsia="Times New Roman"/>
          <w:lang w:eastAsia="en-GB"/>
        </w:rPr>
      </w:pPr>
      <w:bookmarkStart w:id="2" w:name="_Toc211076905"/>
      <w:r w:rsidRPr="00AA6ECB">
        <w:rPr>
          <w:rFonts w:eastAsia="Times New Roman"/>
          <w:lang w:eastAsia="en-GB"/>
        </w:rPr>
        <w:t>2. Introduction</w:t>
      </w:r>
      <w:bookmarkEnd w:id="2"/>
    </w:p>
    <w:p w14:paraId="7184BE73" w14:textId="0EA2DD99"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Unilever operates in over 190 countries with a diverse portfolio of over 400 brands, including Dove, Persil, Magnum, Hellmann’s, and Ben &amp; Jerry’s. The global scale of its operations present’s challenges in supply chain management, consumer analytics, and sustainability reporting. Increasing consumer demand for ethically produced, environmentally sustainable products, coupled with a shift to e-commerce, requires robust data management systems. Business Intelligence, Data Warehousing, and Data Mining provide the tools to address these challenges, allowing Unilever to anticipate market trends, optimise resources, and make data-driven strategic decisions.</w:t>
      </w:r>
    </w:p>
    <w:p w14:paraId="0C8B4428" w14:textId="3CE81D6B"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This report examines the application of BI, DW, and DM in Unilever, highlighting trends, practical applications, predictive analytics techniques, ethical considerations, and dashboard reporting solutions. Case studies are integrated throughout to illustrate real</w:t>
      </w:r>
      <w:r w:rsidR="00946538">
        <w:rPr>
          <w:rFonts w:ascii="Times New Roman" w:eastAsia="Times New Roman" w:hAnsi="Times New Roman" w:cs="Times New Roman"/>
          <w:kern w:val="0"/>
          <w:lang w:eastAsia="en-GB"/>
          <w14:ligatures w14:val="none"/>
        </w:rPr>
        <w:t xml:space="preserve"> </w:t>
      </w:r>
      <w:r w:rsidRPr="00925E98">
        <w:rPr>
          <w:rFonts w:ascii="Times New Roman" w:eastAsia="Times New Roman" w:hAnsi="Times New Roman" w:cs="Times New Roman"/>
          <w:kern w:val="0"/>
          <w:lang w:eastAsia="en-GB"/>
          <w14:ligatures w14:val="none"/>
        </w:rPr>
        <w:t>world implementation, while pie chart examples are included to demonstrate data visualisation approaches that Unilever might employ.</w:t>
      </w:r>
    </w:p>
    <w:p w14:paraId="55C2681B" w14:textId="4F9ED42C" w:rsidR="00925E98" w:rsidRPr="00925E98" w:rsidRDefault="00925E98" w:rsidP="00925E98">
      <w:pPr>
        <w:spacing w:after="0" w:line="240" w:lineRule="auto"/>
        <w:rPr>
          <w:rFonts w:ascii="Times New Roman" w:eastAsia="Times New Roman" w:hAnsi="Times New Roman" w:cs="Times New Roman"/>
          <w:kern w:val="0"/>
          <w:lang w:eastAsia="en-GB"/>
          <w14:ligatures w14:val="none"/>
        </w:rPr>
      </w:pPr>
    </w:p>
    <w:p w14:paraId="1E20A8C8" w14:textId="77777777" w:rsidR="00925E98" w:rsidRPr="00AA6ECB" w:rsidRDefault="00925E98" w:rsidP="00AA6ECB">
      <w:pPr>
        <w:pStyle w:val="Heading2"/>
        <w:ind w:left="720"/>
        <w:rPr>
          <w:rFonts w:eastAsia="Times New Roman"/>
          <w:lang w:eastAsia="en-GB"/>
        </w:rPr>
      </w:pPr>
      <w:bookmarkStart w:id="3" w:name="_Toc211076906"/>
      <w:r w:rsidRPr="00AA6ECB">
        <w:rPr>
          <w:rFonts w:eastAsia="Times New Roman"/>
          <w:lang w:eastAsia="en-GB"/>
        </w:rPr>
        <w:lastRenderedPageBreak/>
        <w:t>3. Trends in Business Intelligence, Data Warehousing, and Data Mining</w:t>
      </w:r>
      <w:bookmarkEnd w:id="3"/>
    </w:p>
    <w:p w14:paraId="65F7B361" w14:textId="601CE58A"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Business Intelligence transforms raw data into actionable insights that guide strategic and operational decisions (Ranjan, 2019). In the FMCG sector, where consumer preferences shift rapidly, BI, DW, and DM is essential.</w:t>
      </w:r>
    </w:p>
    <w:p w14:paraId="6AA98F50" w14:textId="29ACF783"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Real</w:t>
      </w:r>
      <w:r>
        <w:rPr>
          <w:rFonts w:ascii="Times New Roman" w:eastAsia="Times New Roman" w:hAnsi="Times New Roman" w:cs="Times New Roman"/>
          <w:b/>
          <w:bCs/>
          <w:kern w:val="0"/>
          <w:lang w:eastAsia="en-GB"/>
          <w14:ligatures w14:val="none"/>
        </w:rPr>
        <w:t xml:space="preserve"> </w:t>
      </w:r>
      <w:r w:rsidRPr="00925E98">
        <w:rPr>
          <w:rFonts w:ascii="Times New Roman" w:eastAsia="Times New Roman" w:hAnsi="Times New Roman" w:cs="Times New Roman"/>
          <w:b/>
          <w:bCs/>
          <w:kern w:val="0"/>
          <w:lang w:eastAsia="en-GB"/>
          <w14:ligatures w14:val="none"/>
        </w:rPr>
        <w:t>Time Analytics:</w:t>
      </w:r>
      <w:r w:rsidRPr="00925E98">
        <w:rPr>
          <w:rFonts w:ascii="Times New Roman" w:eastAsia="Times New Roman" w:hAnsi="Times New Roman" w:cs="Times New Roman"/>
          <w:kern w:val="0"/>
          <w:lang w:eastAsia="en-GB"/>
          <w14:ligatures w14:val="none"/>
        </w:rPr>
        <w:t xml:space="preserve"> Unilever leverages real</w:t>
      </w:r>
      <w:r w:rsidR="00F4187C">
        <w:rPr>
          <w:rFonts w:ascii="Times New Roman" w:eastAsia="Times New Roman" w:hAnsi="Times New Roman" w:cs="Times New Roman"/>
          <w:kern w:val="0"/>
          <w:lang w:eastAsia="en-GB"/>
          <w14:ligatures w14:val="none"/>
        </w:rPr>
        <w:t xml:space="preserve"> </w:t>
      </w:r>
      <w:r w:rsidRPr="00925E98">
        <w:rPr>
          <w:rFonts w:ascii="Times New Roman" w:eastAsia="Times New Roman" w:hAnsi="Times New Roman" w:cs="Times New Roman"/>
          <w:kern w:val="0"/>
          <w:lang w:eastAsia="en-GB"/>
          <w14:ligatures w14:val="none"/>
        </w:rPr>
        <w:t>time analytics to monitor supply chain performance, track product demand, and manage logistics across multiple countries. For instance, during summer peaks, real-time monitoring allows Unilever to anticipate ice cream demand, preventing stock-outs or overproduction (Chen et al., 2020).</w:t>
      </w:r>
    </w:p>
    <w:p w14:paraId="05EBF2AB"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Cloud Data Warehousing:</w:t>
      </w:r>
      <w:r w:rsidRPr="00925E98">
        <w:rPr>
          <w:rFonts w:ascii="Times New Roman" w:eastAsia="Times New Roman" w:hAnsi="Times New Roman" w:cs="Times New Roman"/>
          <w:kern w:val="0"/>
          <w:lang w:eastAsia="en-GB"/>
          <w14:ligatures w14:val="none"/>
        </w:rPr>
        <w:t xml:space="preserve"> Cloud solutions such as Snowflake and Amazon Redshift allow Unilever to integrate data from multiple markets, enabling global reporting and collaboration. This flexibility ensures that subsidiaries in Asia, Europe, and the Americas can access up-to-date sales, inventory, and customer insights (Kimball &amp; Ross, 2016).</w:t>
      </w:r>
    </w:p>
    <w:p w14:paraId="47C92E3D"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Artificial Intelligence and Machine Learning:</w:t>
      </w:r>
      <w:r w:rsidRPr="00925E98">
        <w:rPr>
          <w:rFonts w:ascii="Times New Roman" w:eastAsia="Times New Roman" w:hAnsi="Times New Roman" w:cs="Times New Roman"/>
          <w:kern w:val="0"/>
          <w:lang w:eastAsia="en-GB"/>
          <w14:ligatures w14:val="none"/>
        </w:rPr>
        <w:t xml:space="preserve"> AI and ML enable predictive and prescriptive analytics, supporting decisions from marketing campaign optimisation to inventory management. For example, machine learning algorithms at Unilever analyse historical sales, weather data, and social media trends to forecast demand for products like Magnum ice cream (Davenport &amp; </w:t>
      </w:r>
      <w:proofErr w:type="spellStart"/>
      <w:r w:rsidRPr="00925E98">
        <w:rPr>
          <w:rFonts w:ascii="Times New Roman" w:eastAsia="Times New Roman" w:hAnsi="Times New Roman" w:cs="Times New Roman"/>
          <w:kern w:val="0"/>
          <w:lang w:eastAsia="en-GB"/>
          <w14:ligatures w14:val="none"/>
        </w:rPr>
        <w:t>Ronanki</w:t>
      </w:r>
      <w:proofErr w:type="spellEnd"/>
      <w:r w:rsidRPr="00925E98">
        <w:rPr>
          <w:rFonts w:ascii="Times New Roman" w:eastAsia="Times New Roman" w:hAnsi="Times New Roman" w:cs="Times New Roman"/>
          <w:kern w:val="0"/>
          <w:lang w:eastAsia="en-GB"/>
          <w14:ligatures w14:val="none"/>
        </w:rPr>
        <w:t>, 2018).</w:t>
      </w:r>
    </w:p>
    <w:p w14:paraId="0BFFA2C5"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Big Data and IoT Integration:</w:t>
      </w:r>
      <w:r w:rsidRPr="00925E98">
        <w:rPr>
          <w:rFonts w:ascii="Times New Roman" w:eastAsia="Times New Roman" w:hAnsi="Times New Roman" w:cs="Times New Roman"/>
          <w:kern w:val="0"/>
          <w:lang w:eastAsia="en-GB"/>
          <w14:ligatures w14:val="none"/>
        </w:rPr>
        <w:t xml:space="preserve"> IoT sensors in manufacturing plants, smart fridges, and supply chain vehicles generate vast amounts of operational data. Unilever can leverage this information to optimise energy use, reduce packaging waste, and monitor logistics efficiency.</w:t>
      </w:r>
    </w:p>
    <w:p w14:paraId="6914136A"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Sustainability and ESG Reporting:</w:t>
      </w:r>
      <w:r w:rsidRPr="00925E98">
        <w:rPr>
          <w:rFonts w:ascii="Times New Roman" w:eastAsia="Times New Roman" w:hAnsi="Times New Roman" w:cs="Times New Roman"/>
          <w:kern w:val="0"/>
          <w:lang w:eastAsia="en-GB"/>
          <w14:ligatures w14:val="none"/>
        </w:rPr>
        <w:t xml:space="preserve"> BI tools now integrate ESG metrics into dashboards, allowing Unilever to track carbon emissions, water usage, and ethical sourcing compliance. This ensures accountability and aligns with consumer expectations for corporate sustainability (Chen et al., 2020).</w:t>
      </w:r>
    </w:p>
    <w:p w14:paraId="4239BE06"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Pie Chart Example Suggestion:</w:t>
      </w:r>
      <w:r w:rsidRPr="00925E98">
        <w:rPr>
          <w:rFonts w:ascii="Times New Roman" w:eastAsia="Times New Roman" w:hAnsi="Times New Roman" w:cs="Times New Roman"/>
          <w:kern w:val="0"/>
          <w:lang w:eastAsia="en-GB"/>
          <w14:ligatures w14:val="none"/>
        </w:rPr>
        <w:t xml:space="preserve"> A pie chart could illustrate Unilever’s energy consumption by production site, highlighting the contribution of renewable vs. non-renewable energy sources.</w:t>
      </w:r>
    </w:p>
    <w:p w14:paraId="3C3BB0F7"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These trends indicate that BI is both a strategic and operational necessity in the highly competitive FMCG industry.</w:t>
      </w:r>
    </w:p>
    <w:p w14:paraId="5900C3D4" w14:textId="1B3E6B30" w:rsidR="00925E98" w:rsidRPr="00925E98" w:rsidRDefault="00925E98" w:rsidP="00925E98">
      <w:pPr>
        <w:spacing w:after="0" w:line="240" w:lineRule="auto"/>
        <w:rPr>
          <w:rFonts w:ascii="Times New Roman" w:eastAsia="Times New Roman" w:hAnsi="Times New Roman" w:cs="Times New Roman"/>
          <w:kern w:val="0"/>
          <w:lang w:eastAsia="en-GB"/>
          <w14:ligatures w14:val="none"/>
        </w:rPr>
      </w:pPr>
    </w:p>
    <w:p w14:paraId="0D657C87" w14:textId="77777777" w:rsidR="00925E98" w:rsidRPr="00AA6ECB" w:rsidRDefault="00925E98" w:rsidP="00AA6ECB">
      <w:pPr>
        <w:pStyle w:val="Heading2"/>
        <w:ind w:left="720"/>
        <w:rPr>
          <w:rFonts w:eastAsia="Times New Roman"/>
          <w:lang w:eastAsia="en-GB"/>
        </w:rPr>
      </w:pPr>
      <w:bookmarkStart w:id="4" w:name="_Toc211076907"/>
      <w:r w:rsidRPr="00AA6ECB">
        <w:rPr>
          <w:rFonts w:eastAsia="Times New Roman"/>
          <w:lang w:eastAsia="en-GB"/>
        </w:rPr>
        <w:t>4. Data Warehousing in Organisational Applications</w:t>
      </w:r>
      <w:bookmarkEnd w:id="4"/>
    </w:p>
    <w:p w14:paraId="0966F8B9"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A Data Warehouse consolidates data from multiple sources into a central repository, facilitating analysis, forecasting, and decision-making (Inmon, 2005).</w:t>
      </w:r>
    </w:p>
    <w:p w14:paraId="4E609517"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Operational Efficiency:</w:t>
      </w:r>
      <w:r w:rsidRPr="00925E98">
        <w:rPr>
          <w:rFonts w:ascii="Times New Roman" w:eastAsia="Times New Roman" w:hAnsi="Times New Roman" w:cs="Times New Roman"/>
          <w:kern w:val="0"/>
          <w:lang w:eastAsia="en-GB"/>
          <w14:ligatures w14:val="none"/>
        </w:rPr>
        <w:t xml:space="preserve"> Unilever integrates sales, inventory, and production data from global operations, enabling accurate demand forecasts and reducing perishable goods </w:t>
      </w:r>
      <w:r w:rsidRPr="00925E98">
        <w:rPr>
          <w:rFonts w:ascii="Times New Roman" w:eastAsia="Times New Roman" w:hAnsi="Times New Roman" w:cs="Times New Roman"/>
          <w:kern w:val="0"/>
          <w:lang w:eastAsia="en-GB"/>
          <w14:ligatures w14:val="none"/>
        </w:rPr>
        <w:lastRenderedPageBreak/>
        <w:t>wastage. For instance, real-time inventory tracking allows adjustments to production schedules for seasonal products like ice cream and tea (Kimball &amp; Ross, 2016).</w:t>
      </w:r>
    </w:p>
    <w:p w14:paraId="6A4482EC"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Strategic Insights:</w:t>
      </w:r>
      <w:r w:rsidRPr="00925E98">
        <w:rPr>
          <w:rFonts w:ascii="Times New Roman" w:eastAsia="Times New Roman" w:hAnsi="Times New Roman" w:cs="Times New Roman"/>
          <w:kern w:val="0"/>
          <w:lang w:eastAsia="en-GB"/>
          <w14:ligatures w14:val="none"/>
        </w:rPr>
        <w:t xml:space="preserve"> By analysing brand performance and regional demand, Unilever can allocate resources efficiently. For example, the growing market for plant-based products can be identified through DW analytics, supporting strategic investments in brands like Ben &amp; Jerry’s non-dairy range.</w:t>
      </w:r>
    </w:p>
    <w:p w14:paraId="615F8354"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Scenario Planning:</w:t>
      </w:r>
      <w:r w:rsidRPr="00925E98">
        <w:rPr>
          <w:rFonts w:ascii="Times New Roman" w:eastAsia="Times New Roman" w:hAnsi="Times New Roman" w:cs="Times New Roman"/>
          <w:kern w:val="0"/>
          <w:lang w:eastAsia="en-GB"/>
          <w14:ligatures w14:val="none"/>
        </w:rPr>
        <w:t xml:space="preserve"> Data Warehouses enable predictive simulations of raw material costs, market disruptions, or launch outcomes. If a raw material price spike occurs, DW analytics allow Unilever to forecast financial impact and adjust sourcing strategies proactively.</w:t>
      </w:r>
    </w:p>
    <w:p w14:paraId="283E276D"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Cloud vs On-Premises:</w:t>
      </w:r>
      <w:r w:rsidRPr="00925E98">
        <w:rPr>
          <w:rFonts w:ascii="Times New Roman" w:eastAsia="Times New Roman" w:hAnsi="Times New Roman" w:cs="Times New Roman"/>
          <w:kern w:val="0"/>
          <w:lang w:eastAsia="en-GB"/>
          <w14:ligatures w14:val="none"/>
        </w:rPr>
        <w:t xml:space="preserve"> A hybrid model balances the agility of cloud systems with the security of on-premises solutions, ensuring Unilever can manage sensitive operational data while remaining flexible.</w:t>
      </w:r>
    </w:p>
    <w:p w14:paraId="737B4860"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Compliance and ESG Reporting:</w:t>
      </w:r>
      <w:r w:rsidRPr="00925E98">
        <w:rPr>
          <w:rFonts w:ascii="Times New Roman" w:eastAsia="Times New Roman" w:hAnsi="Times New Roman" w:cs="Times New Roman"/>
          <w:kern w:val="0"/>
          <w:lang w:eastAsia="en-GB"/>
          <w14:ligatures w14:val="none"/>
        </w:rPr>
        <w:t xml:space="preserve"> DW supports transparent ESG reporting, helping Unilever demonstrate compliance with corporate social responsibility objectives.</w:t>
      </w:r>
    </w:p>
    <w:p w14:paraId="5B948B87" w14:textId="44A2C3B0" w:rsidR="00925E98" w:rsidRPr="00925E98" w:rsidRDefault="00925E98" w:rsidP="00925E98">
      <w:pPr>
        <w:spacing w:after="0" w:line="240" w:lineRule="auto"/>
        <w:rPr>
          <w:rFonts w:ascii="Times New Roman" w:eastAsia="Times New Roman" w:hAnsi="Times New Roman" w:cs="Times New Roman"/>
          <w:kern w:val="0"/>
          <w:lang w:eastAsia="en-GB"/>
          <w14:ligatures w14:val="none"/>
        </w:rPr>
      </w:pPr>
    </w:p>
    <w:p w14:paraId="6CB98F3C" w14:textId="77777777" w:rsidR="00925E98" w:rsidRPr="00AA6ECB" w:rsidRDefault="00925E98" w:rsidP="00AA6ECB">
      <w:pPr>
        <w:pStyle w:val="Heading2"/>
        <w:ind w:left="720"/>
        <w:rPr>
          <w:rFonts w:eastAsia="Times New Roman"/>
          <w:lang w:eastAsia="en-GB"/>
        </w:rPr>
      </w:pPr>
      <w:bookmarkStart w:id="5" w:name="_Toc211076908"/>
      <w:r w:rsidRPr="00AA6ECB">
        <w:rPr>
          <w:rFonts w:eastAsia="Times New Roman"/>
          <w:lang w:eastAsia="en-GB"/>
        </w:rPr>
        <w:t>5. Data Mining Techniques for Unilever</w:t>
      </w:r>
      <w:bookmarkEnd w:id="5"/>
    </w:p>
    <w:p w14:paraId="25B8DECB"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Data mining uncovers hidden patterns in large datasets, providing insights into consumer behaviour and operational performance (Han et al., 2022).</w:t>
      </w:r>
    </w:p>
    <w:p w14:paraId="4047DE19" w14:textId="2A056BD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Consumer Segmentation:</w:t>
      </w:r>
      <w:r w:rsidRPr="00925E98">
        <w:rPr>
          <w:rFonts w:ascii="Times New Roman" w:eastAsia="Times New Roman" w:hAnsi="Times New Roman" w:cs="Times New Roman"/>
          <w:kern w:val="0"/>
          <w:lang w:eastAsia="en-GB"/>
          <w14:ligatures w14:val="none"/>
        </w:rPr>
        <w:t xml:space="preserve"> Clustering techniques group consumers into segments based on buying habits, lifestyle, or preferences. For instance, </w:t>
      </w:r>
      <w:proofErr w:type="gramStart"/>
      <w:r w:rsidRPr="00925E98">
        <w:rPr>
          <w:rFonts w:ascii="Times New Roman" w:eastAsia="Times New Roman" w:hAnsi="Times New Roman" w:cs="Times New Roman"/>
          <w:kern w:val="0"/>
          <w:lang w:eastAsia="en-GB"/>
          <w14:ligatures w14:val="none"/>
        </w:rPr>
        <w:t>health</w:t>
      </w:r>
      <w:r w:rsidR="008B2A30">
        <w:rPr>
          <w:rFonts w:ascii="Times New Roman" w:eastAsia="Times New Roman" w:hAnsi="Times New Roman" w:cs="Times New Roman"/>
          <w:kern w:val="0"/>
          <w:lang w:eastAsia="en-GB"/>
          <w14:ligatures w14:val="none"/>
        </w:rPr>
        <w:t xml:space="preserve"> </w:t>
      </w:r>
      <w:r w:rsidRPr="00925E98">
        <w:rPr>
          <w:rFonts w:ascii="Times New Roman" w:eastAsia="Times New Roman" w:hAnsi="Times New Roman" w:cs="Times New Roman"/>
          <w:kern w:val="0"/>
          <w:lang w:eastAsia="en-GB"/>
          <w14:ligatures w14:val="none"/>
        </w:rPr>
        <w:t>conscious</w:t>
      </w:r>
      <w:proofErr w:type="gramEnd"/>
      <w:r w:rsidRPr="00925E98">
        <w:rPr>
          <w:rFonts w:ascii="Times New Roman" w:eastAsia="Times New Roman" w:hAnsi="Times New Roman" w:cs="Times New Roman"/>
          <w:kern w:val="0"/>
          <w:lang w:eastAsia="en-GB"/>
          <w14:ligatures w14:val="none"/>
        </w:rPr>
        <w:t xml:space="preserve"> consumers may be targeted with Hellmann’s organic products, while budget</w:t>
      </w:r>
      <w:r w:rsidR="008B2A30">
        <w:rPr>
          <w:rFonts w:ascii="Times New Roman" w:eastAsia="Times New Roman" w:hAnsi="Times New Roman" w:cs="Times New Roman"/>
          <w:kern w:val="0"/>
          <w:lang w:eastAsia="en-GB"/>
          <w14:ligatures w14:val="none"/>
        </w:rPr>
        <w:t xml:space="preserve"> </w:t>
      </w:r>
      <w:r w:rsidRPr="00925E98">
        <w:rPr>
          <w:rFonts w:ascii="Times New Roman" w:eastAsia="Times New Roman" w:hAnsi="Times New Roman" w:cs="Times New Roman"/>
          <w:kern w:val="0"/>
          <w:lang w:eastAsia="en-GB"/>
          <w14:ligatures w14:val="none"/>
        </w:rPr>
        <w:t>conscious buyers receive promotions on bulk purchases of household goods.</w:t>
      </w:r>
    </w:p>
    <w:p w14:paraId="20204272"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Association Rule Mining:</w:t>
      </w:r>
      <w:r w:rsidRPr="00925E98">
        <w:rPr>
          <w:rFonts w:ascii="Times New Roman" w:eastAsia="Times New Roman" w:hAnsi="Times New Roman" w:cs="Times New Roman"/>
          <w:kern w:val="0"/>
          <w:lang w:eastAsia="en-GB"/>
          <w14:ligatures w14:val="none"/>
        </w:rPr>
        <w:t xml:space="preserve"> By identifying products that are frequently bought together, Unilever can optimise product placement and promotions. For example, consumers purchasing Dove shampoo often buy Dove conditioner, allowing for bundled offers (Agrawal et al., 1993).</w:t>
      </w:r>
    </w:p>
    <w:p w14:paraId="10A1CF55"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Sentiment Analysis:</w:t>
      </w:r>
      <w:r w:rsidRPr="00925E98">
        <w:rPr>
          <w:rFonts w:ascii="Times New Roman" w:eastAsia="Times New Roman" w:hAnsi="Times New Roman" w:cs="Times New Roman"/>
          <w:kern w:val="0"/>
          <w:lang w:eastAsia="en-GB"/>
          <w14:ligatures w14:val="none"/>
        </w:rPr>
        <w:t xml:space="preserve"> Text mining reviews and social media posts helps gauge brand perception. A sentiment analysis of online feedback on Dove beauty products revealed consumer concerns over packaging sustainability, prompting product redesign.</w:t>
      </w:r>
    </w:p>
    <w:p w14:paraId="2A9BA109"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Churn Prediction:</w:t>
      </w:r>
      <w:r w:rsidRPr="00925E98">
        <w:rPr>
          <w:rFonts w:ascii="Times New Roman" w:eastAsia="Times New Roman" w:hAnsi="Times New Roman" w:cs="Times New Roman"/>
          <w:kern w:val="0"/>
          <w:lang w:eastAsia="en-GB"/>
          <w14:ligatures w14:val="none"/>
        </w:rPr>
        <w:t xml:space="preserve"> Data mining models predict customer attrition based on purchase history and engagement. For example, Unilever can offer incentives to retain lapsed customers in loyalty programmes.</w:t>
      </w:r>
    </w:p>
    <w:p w14:paraId="2F7D8FBE"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Case Study Reference:</w:t>
      </w:r>
      <w:r w:rsidRPr="00925E98">
        <w:rPr>
          <w:rFonts w:ascii="Times New Roman" w:eastAsia="Times New Roman" w:hAnsi="Times New Roman" w:cs="Times New Roman"/>
          <w:kern w:val="0"/>
          <w:lang w:eastAsia="en-GB"/>
          <w14:ligatures w14:val="none"/>
        </w:rPr>
        <w:t xml:space="preserve"> Tan et al. (2018) highlight how FMCG companies like Procter &amp; Gamble employ clustering and association mining to refine marketing strategies. Unilever’s adoption of similar techniques enables targeted campaigns and reduces marketing waste.</w:t>
      </w:r>
    </w:p>
    <w:p w14:paraId="7F002BB5" w14:textId="333A1A12" w:rsidR="00925E98" w:rsidRPr="00925E98" w:rsidRDefault="00925E98" w:rsidP="00925E98">
      <w:pPr>
        <w:spacing w:after="0" w:line="240" w:lineRule="auto"/>
        <w:rPr>
          <w:rFonts w:ascii="Times New Roman" w:eastAsia="Times New Roman" w:hAnsi="Times New Roman" w:cs="Times New Roman"/>
          <w:kern w:val="0"/>
          <w:lang w:eastAsia="en-GB"/>
          <w14:ligatures w14:val="none"/>
        </w:rPr>
      </w:pPr>
    </w:p>
    <w:p w14:paraId="4499CE17" w14:textId="77777777" w:rsidR="00925E98" w:rsidRPr="00AA6ECB" w:rsidRDefault="00925E98" w:rsidP="00AA6ECB">
      <w:pPr>
        <w:pStyle w:val="Heading2"/>
        <w:ind w:left="720"/>
        <w:rPr>
          <w:rFonts w:eastAsia="Times New Roman"/>
          <w:lang w:eastAsia="en-GB"/>
        </w:rPr>
      </w:pPr>
      <w:bookmarkStart w:id="6" w:name="_Toc211076909"/>
      <w:r w:rsidRPr="00AA6ECB">
        <w:rPr>
          <w:rFonts w:eastAsia="Times New Roman"/>
          <w:lang w:eastAsia="en-GB"/>
        </w:rPr>
        <w:lastRenderedPageBreak/>
        <w:t>6. Predictive Analytics in Decision-Making</w:t>
      </w:r>
      <w:bookmarkEnd w:id="6"/>
    </w:p>
    <w:p w14:paraId="5B8434A0"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Predictive analytics uses statistical models and historical data to forecast outcomes, guiding resource allocation and strategic planning (Shmueli &amp; Koppius, 2019).</w:t>
      </w:r>
    </w:p>
    <w:p w14:paraId="79E3CA05"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6.1 Demand Forecasting:</w:t>
      </w:r>
      <w:r w:rsidRPr="00925E98">
        <w:rPr>
          <w:rFonts w:ascii="Times New Roman" w:eastAsia="Times New Roman" w:hAnsi="Times New Roman" w:cs="Times New Roman"/>
          <w:kern w:val="0"/>
          <w:lang w:eastAsia="en-GB"/>
          <w14:ligatures w14:val="none"/>
        </w:rPr>
        <w:t xml:space="preserve"> Predictive models anticipate seasonal demand, such as increased ice cream sales in summer, allowing Unilever to optimise inventory and production schedules. Regression models incorporating temperature, holiday periods, and historical sales data enhance forecast accuracy.</w:t>
      </w:r>
    </w:p>
    <w:p w14:paraId="32CA113C"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6.2 Supply Chain Optimisation:</w:t>
      </w:r>
      <w:r w:rsidRPr="00925E98">
        <w:rPr>
          <w:rFonts w:ascii="Times New Roman" w:eastAsia="Times New Roman" w:hAnsi="Times New Roman" w:cs="Times New Roman"/>
          <w:kern w:val="0"/>
          <w:lang w:eastAsia="en-GB"/>
          <w14:ligatures w14:val="none"/>
        </w:rPr>
        <w:t xml:space="preserve"> Predictive tools identify potential disruptions in sourcing or logistics, enabling proactive interventions that reduce delays in raw material supply.</w:t>
      </w:r>
    </w:p>
    <w:p w14:paraId="0D040889"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6.3 Marketing ROI:</w:t>
      </w:r>
      <w:r w:rsidRPr="00925E98">
        <w:rPr>
          <w:rFonts w:ascii="Times New Roman" w:eastAsia="Times New Roman" w:hAnsi="Times New Roman" w:cs="Times New Roman"/>
          <w:kern w:val="0"/>
          <w:lang w:eastAsia="en-GB"/>
          <w14:ligatures w14:val="none"/>
        </w:rPr>
        <w:t xml:space="preserve"> Analytics assess channel effectiveness, helping Unilever allocate budgets to campaigns that maximise return on investment, such as targeted digital advertising for Dove skincare.</w:t>
      </w:r>
    </w:p>
    <w:p w14:paraId="6EC82C29"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6.4 Financial Forecasting:</w:t>
      </w:r>
      <w:r w:rsidRPr="00925E98">
        <w:rPr>
          <w:rFonts w:ascii="Times New Roman" w:eastAsia="Times New Roman" w:hAnsi="Times New Roman" w:cs="Times New Roman"/>
          <w:kern w:val="0"/>
          <w:lang w:eastAsia="en-GB"/>
          <w14:ligatures w14:val="none"/>
        </w:rPr>
        <w:t xml:space="preserve"> Predictive models aid in budgeting, revenue projections, and currency risk management across international markets.</w:t>
      </w:r>
    </w:p>
    <w:p w14:paraId="10530A2C"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6.5 Regression Techniques:</w:t>
      </w:r>
    </w:p>
    <w:p w14:paraId="5CB9F567"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Linear regression predicts continuous outcomes such as monthly sales from marketing spend and seasonal factors. Polynomial regression captures non-linear patterns, e.g., the impact of festive seasons on ice cream sales. Logistic regression estimates the probability of success for product launches, while binary regression predicts churn vs retention. Ridge and Lasso regression reduce overfitting in complex models, improving generalisation.</w:t>
      </w:r>
    </w:p>
    <w:p w14:paraId="65084BD4"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Application in Unilever:</w:t>
      </w:r>
      <w:r w:rsidRPr="00925E98">
        <w:rPr>
          <w:rFonts w:ascii="Times New Roman" w:eastAsia="Times New Roman" w:hAnsi="Times New Roman" w:cs="Times New Roman"/>
          <w:kern w:val="0"/>
          <w:lang w:eastAsia="en-GB"/>
          <w14:ligatures w14:val="none"/>
        </w:rPr>
        <w:t xml:space="preserve"> Ridge regression may model correlated marketing spend and demand patterns, while Lasso regression identifies key drivers of product sales. Logistic regression helps forecast new product acceptance, guiding investment decisions.</w:t>
      </w:r>
    </w:p>
    <w:p w14:paraId="0A51F4F0"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Pie Chart Example Suggestion:</w:t>
      </w:r>
      <w:r w:rsidRPr="00925E98">
        <w:rPr>
          <w:rFonts w:ascii="Times New Roman" w:eastAsia="Times New Roman" w:hAnsi="Times New Roman" w:cs="Times New Roman"/>
          <w:kern w:val="0"/>
          <w:lang w:eastAsia="en-GB"/>
          <w14:ligatures w14:val="none"/>
        </w:rPr>
        <w:t xml:space="preserve"> A pie chart illustrating the proportion of product sales predicted by different regression models could visualise the contribution of predictive analytics in decision-making.</w:t>
      </w:r>
    </w:p>
    <w:p w14:paraId="052E4467" w14:textId="5706E3ED" w:rsidR="00925E98" w:rsidRPr="00925E98" w:rsidRDefault="00925E98" w:rsidP="00925E98">
      <w:pPr>
        <w:spacing w:after="0" w:line="240" w:lineRule="auto"/>
        <w:rPr>
          <w:rFonts w:ascii="Times New Roman" w:eastAsia="Times New Roman" w:hAnsi="Times New Roman" w:cs="Times New Roman"/>
          <w:kern w:val="0"/>
          <w:lang w:eastAsia="en-GB"/>
          <w14:ligatures w14:val="none"/>
        </w:rPr>
      </w:pPr>
    </w:p>
    <w:p w14:paraId="5B02D325" w14:textId="77777777" w:rsidR="00925E98" w:rsidRPr="00AA6ECB" w:rsidRDefault="00925E98" w:rsidP="00AA6ECB">
      <w:pPr>
        <w:pStyle w:val="Heading2"/>
        <w:ind w:left="720"/>
        <w:rPr>
          <w:rFonts w:eastAsia="Times New Roman"/>
          <w:lang w:eastAsia="en-GB"/>
        </w:rPr>
      </w:pPr>
      <w:bookmarkStart w:id="7" w:name="_Toc211076910"/>
      <w:r w:rsidRPr="00AA6ECB">
        <w:rPr>
          <w:rFonts w:eastAsia="Times New Roman"/>
          <w:lang w:eastAsia="en-GB"/>
        </w:rPr>
        <w:t>7. Ethical and Data Security Considerations</w:t>
      </w:r>
      <w:bookmarkEnd w:id="7"/>
    </w:p>
    <w:p w14:paraId="166B2755"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 xml:space="preserve">Unilever must comply with GDPR, ensuring lawful processing of personal data and transparent retention policies (Voigt &amp; Von </w:t>
      </w:r>
      <w:proofErr w:type="spellStart"/>
      <w:r w:rsidRPr="00925E98">
        <w:rPr>
          <w:rFonts w:ascii="Times New Roman" w:eastAsia="Times New Roman" w:hAnsi="Times New Roman" w:cs="Times New Roman"/>
          <w:kern w:val="0"/>
          <w:lang w:eastAsia="en-GB"/>
          <w14:ligatures w14:val="none"/>
        </w:rPr>
        <w:t>dem</w:t>
      </w:r>
      <w:proofErr w:type="spellEnd"/>
      <w:r w:rsidRPr="00925E98">
        <w:rPr>
          <w:rFonts w:ascii="Times New Roman" w:eastAsia="Times New Roman" w:hAnsi="Times New Roman" w:cs="Times New Roman"/>
          <w:kern w:val="0"/>
          <w:lang w:eastAsia="en-GB"/>
          <w14:ligatures w14:val="none"/>
        </w:rPr>
        <w:t xml:space="preserve"> </w:t>
      </w:r>
      <w:proofErr w:type="spellStart"/>
      <w:r w:rsidRPr="00925E98">
        <w:rPr>
          <w:rFonts w:ascii="Times New Roman" w:eastAsia="Times New Roman" w:hAnsi="Times New Roman" w:cs="Times New Roman"/>
          <w:kern w:val="0"/>
          <w:lang w:eastAsia="en-GB"/>
          <w14:ligatures w14:val="none"/>
        </w:rPr>
        <w:t>Bussche</w:t>
      </w:r>
      <w:proofErr w:type="spellEnd"/>
      <w:r w:rsidRPr="00925E98">
        <w:rPr>
          <w:rFonts w:ascii="Times New Roman" w:eastAsia="Times New Roman" w:hAnsi="Times New Roman" w:cs="Times New Roman"/>
          <w:kern w:val="0"/>
          <w:lang w:eastAsia="en-GB"/>
          <w14:ligatures w14:val="none"/>
        </w:rPr>
        <w:t>, 2017). Algorithmic bias in consumer segmentation or pricing models must be monitored to prevent unfair outcomes. Cybersecurity measures, including encryption, access control, and intrusion detection, protect sensitive operational and consumer data. Integrating ESG and sustainability reporting ensures credibility and accountability in line with consumer and investor expectations.</w:t>
      </w:r>
    </w:p>
    <w:p w14:paraId="27D0A925" w14:textId="3E62EE90" w:rsidR="00925E98" w:rsidRPr="00925E98" w:rsidRDefault="00925E98" w:rsidP="00925E98">
      <w:pPr>
        <w:spacing w:after="0" w:line="240" w:lineRule="auto"/>
        <w:rPr>
          <w:rFonts w:ascii="Times New Roman" w:eastAsia="Times New Roman" w:hAnsi="Times New Roman" w:cs="Times New Roman"/>
          <w:kern w:val="0"/>
          <w:lang w:eastAsia="en-GB"/>
          <w14:ligatures w14:val="none"/>
        </w:rPr>
      </w:pPr>
    </w:p>
    <w:p w14:paraId="0AF5ABF0" w14:textId="77777777" w:rsidR="00925E98" w:rsidRPr="00AA6ECB" w:rsidRDefault="00925E98" w:rsidP="00AA6ECB">
      <w:pPr>
        <w:pStyle w:val="Heading2"/>
        <w:ind w:left="720"/>
        <w:rPr>
          <w:rFonts w:eastAsia="Times New Roman"/>
          <w:lang w:eastAsia="en-GB"/>
        </w:rPr>
      </w:pPr>
      <w:bookmarkStart w:id="8" w:name="_Toc211076911"/>
      <w:r w:rsidRPr="00AA6ECB">
        <w:rPr>
          <w:rFonts w:eastAsia="Times New Roman"/>
          <w:lang w:eastAsia="en-GB"/>
        </w:rPr>
        <w:lastRenderedPageBreak/>
        <w:t>8. Reporting and Dashboard Solutions</w:t>
      </w:r>
      <w:bookmarkEnd w:id="8"/>
    </w:p>
    <w:p w14:paraId="0DD1D235"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Dashboards consolidate KPIs and support decision-making. Unilever uses dashboards to monitor sales, brand performance, carbon emissions, and customer satisfaction. Drill-down features allow managers to analyse data at the brand, region, or SKU level. Mobile BI ensures that executives can make timely decisions regardless of location, while AI-driven alerts highlight anomalies in production, supply chain, or sales data. Linking dashboards to ESG targets ensures corporate responsibility and transparency.</w:t>
      </w:r>
    </w:p>
    <w:p w14:paraId="749F8CE2" w14:textId="2C893F3D"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Case Study Reference:</w:t>
      </w:r>
      <w:r w:rsidRPr="00925E98">
        <w:rPr>
          <w:rFonts w:ascii="Times New Roman" w:eastAsia="Times New Roman" w:hAnsi="Times New Roman" w:cs="Times New Roman"/>
          <w:kern w:val="0"/>
          <w:lang w:eastAsia="en-GB"/>
          <w14:ligatures w14:val="none"/>
        </w:rPr>
        <w:t xml:space="preserve"> A Deloitte (2020) report demonstrates how FMCG companies use dashboards to integrate financial, operational, and sustainability KPIs, which mirrors Unilever’s approach to integrated reporting.</w:t>
      </w:r>
    </w:p>
    <w:p w14:paraId="27ECB30A" w14:textId="77777777" w:rsidR="00925E98" w:rsidRPr="00AA6ECB" w:rsidRDefault="00925E98" w:rsidP="00AA6ECB">
      <w:pPr>
        <w:pStyle w:val="Heading2"/>
        <w:ind w:left="720"/>
        <w:rPr>
          <w:rFonts w:eastAsia="Times New Roman"/>
          <w:lang w:eastAsia="en-GB"/>
        </w:rPr>
      </w:pPr>
      <w:bookmarkStart w:id="9" w:name="_Toc211076912"/>
      <w:r w:rsidRPr="00AA6ECB">
        <w:rPr>
          <w:rFonts w:eastAsia="Times New Roman"/>
          <w:lang w:eastAsia="en-GB"/>
        </w:rPr>
        <w:t>9. Case Studies</w:t>
      </w:r>
      <w:bookmarkEnd w:id="9"/>
    </w:p>
    <w:p w14:paraId="3E9D40B4"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Unilever Ice Cream Seasonal Forecasting:</w:t>
      </w:r>
      <w:r w:rsidRPr="00925E98">
        <w:rPr>
          <w:rFonts w:ascii="Times New Roman" w:eastAsia="Times New Roman" w:hAnsi="Times New Roman" w:cs="Times New Roman"/>
          <w:kern w:val="0"/>
          <w:lang w:eastAsia="en-GB"/>
          <w14:ligatures w14:val="none"/>
        </w:rPr>
        <w:t xml:space="preserve"> By combining weather data, historical sales, and social media trends, Unilever accurately forecasts summer ice cream demand, reducing overproduction and ensuring timely product availability.</w:t>
      </w:r>
    </w:p>
    <w:p w14:paraId="31C80A77" w14:textId="77777777"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Ben &amp; Jerry’s Non-Dairy Product Launch:</w:t>
      </w:r>
      <w:r w:rsidRPr="00925E98">
        <w:rPr>
          <w:rFonts w:ascii="Times New Roman" w:eastAsia="Times New Roman" w:hAnsi="Times New Roman" w:cs="Times New Roman"/>
          <w:kern w:val="0"/>
          <w:lang w:eastAsia="en-GB"/>
          <w14:ligatures w14:val="none"/>
        </w:rPr>
        <w:t xml:space="preserve"> Predictive analytics and clustering helped identify target markets for non-dairy ice cream, improving adoption rates and reducing marketing costs.</w:t>
      </w:r>
    </w:p>
    <w:p w14:paraId="62463F3C" w14:textId="77777777" w:rsid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b/>
          <w:bCs/>
          <w:kern w:val="0"/>
          <w:lang w:eastAsia="en-GB"/>
          <w14:ligatures w14:val="none"/>
        </w:rPr>
        <w:t>Supply Chain Risk Management:</w:t>
      </w:r>
      <w:r w:rsidRPr="00925E98">
        <w:rPr>
          <w:rFonts w:ascii="Times New Roman" w:eastAsia="Times New Roman" w:hAnsi="Times New Roman" w:cs="Times New Roman"/>
          <w:kern w:val="0"/>
          <w:lang w:eastAsia="en-GB"/>
          <w14:ligatures w14:val="none"/>
        </w:rPr>
        <w:t xml:space="preserve"> During the COVID-19 pandemic, Unilever used real-time BI and DW analytics to anticipate logistics disruptions, adjust procurement strategies, and maintain product availability globally.</w:t>
      </w:r>
    </w:p>
    <w:p w14:paraId="3BF4CFFE" w14:textId="7466E0A1" w:rsidR="00925E98" w:rsidRPr="00925E98" w:rsidRDefault="00925E98" w:rsidP="00925E98">
      <w:pPr>
        <w:spacing w:after="0" w:line="240" w:lineRule="auto"/>
        <w:rPr>
          <w:rFonts w:ascii="Times New Roman" w:eastAsia="Times New Roman" w:hAnsi="Times New Roman" w:cs="Times New Roman"/>
          <w:kern w:val="0"/>
          <w:lang w:eastAsia="en-GB"/>
          <w14:ligatures w14:val="none"/>
        </w:rPr>
      </w:pPr>
    </w:p>
    <w:p w14:paraId="39DC0C08" w14:textId="77777777" w:rsidR="00925E98" w:rsidRPr="00AA6ECB" w:rsidRDefault="00925E98" w:rsidP="00AA6ECB">
      <w:pPr>
        <w:pStyle w:val="Heading2"/>
        <w:ind w:left="720"/>
        <w:rPr>
          <w:rFonts w:eastAsia="Times New Roman"/>
          <w:lang w:eastAsia="en-GB"/>
        </w:rPr>
      </w:pPr>
      <w:bookmarkStart w:id="10" w:name="_Toc211076913"/>
      <w:r w:rsidRPr="00AA6ECB">
        <w:rPr>
          <w:rFonts w:eastAsia="Times New Roman"/>
          <w:lang w:eastAsia="en-GB"/>
        </w:rPr>
        <w:t>10. Conclusion</w:t>
      </w:r>
      <w:bookmarkEnd w:id="10"/>
    </w:p>
    <w:p w14:paraId="49C650B1" w14:textId="6E3A09B5" w:rsid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BI, DW, and DM is integral to Unilever’s global strategy. Emerging trends, including AI, cloud-based data warehousing, and ESG-focused BI, enhance operational efficiency, strategic foresight, and sustainability. Predictive analytics, particularly regression techniques, support accurate forecasting, marketing optimisation, and risk management. Ethical and data security considerations ensure compliance with GDPR, fairness, and cybersecurity. Dashboards provide actionable insights, enabling agile and informed decision-making. By embedding BI responsibly, Unilever strengthens its competitive advantage, improves consumer engagement, and advances sustainability objectives, ensuring continued leadership in the FMCG sector.</w:t>
      </w:r>
    </w:p>
    <w:p w14:paraId="00758A00" w14:textId="77777777" w:rsidR="00CB470C" w:rsidRDefault="00CB470C"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A1D7F21" w14:textId="77777777" w:rsidR="00CB470C" w:rsidRDefault="00CB470C"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1DB7CB4" w14:textId="77777777" w:rsidR="00CB470C" w:rsidRDefault="00CB470C"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C45C0F7" w14:textId="77777777" w:rsidR="00CB470C" w:rsidRDefault="00CB470C"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8128292" w14:textId="43934EB4" w:rsidR="00925E98" w:rsidRPr="00925E98" w:rsidRDefault="00925E98" w:rsidP="00925E98">
      <w:pPr>
        <w:spacing w:after="0" w:line="240" w:lineRule="auto"/>
        <w:rPr>
          <w:rFonts w:ascii="Times New Roman" w:eastAsia="Times New Roman" w:hAnsi="Times New Roman" w:cs="Times New Roman"/>
          <w:kern w:val="0"/>
          <w:lang w:eastAsia="en-GB"/>
          <w14:ligatures w14:val="none"/>
        </w:rPr>
      </w:pPr>
    </w:p>
    <w:p w14:paraId="592806EF" w14:textId="77777777" w:rsidR="00925E98" w:rsidRPr="00AA6ECB" w:rsidRDefault="00925E98" w:rsidP="00AA6ECB">
      <w:pPr>
        <w:pStyle w:val="Heading2"/>
        <w:ind w:left="720"/>
        <w:rPr>
          <w:rFonts w:eastAsia="Times New Roman"/>
          <w:lang w:eastAsia="en-GB"/>
        </w:rPr>
      </w:pPr>
      <w:bookmarkStart w:id="11" w:name="_Toc211076914"/>
      <w:r w:rsidRPr="00AA6ECB">
        <w:rPr>
          <w:rFonts w:eastAsia="Times New Roman"/>
          <w:lang w:eastAsia="en-GB"/>
        </w:rPr>
        <w:t>11. References</w:t>
      </w:r>
      <w:bookmarkEnd w:id="11"/>
    </w:p>
    <w:p w14:paraId="38E510FA" w14:textId="77777777" w:rsidR="00B809B6"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Agrawal, R., Imieliński, T. &amp; Swami, A. (1993) ‘Mining association rules between sets of items in large databases’, ACM SIGMOD Record, 22(2), pp. 207–216.</w:t>
      </w:r>
    </w:p>
    <w:p w14:paraId="2964AE32" w14:textId="77777777" w:rsidR="00B809B6"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br/>
        <w:t>Chen, H., Chiang, R. &amp; Storey, V. (2020) ‘Business intelligence and analytics: From big data to big impact’, MIS Quarterly, 36(4), pp. 1165–1188.</w:t>
      </w:r>
    </w:p>
    <w:p w14:paraId="181E466D" w14:textId="77777777" w:rsidR="00B809B6"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br/>
        <w:t xml:space="preserve">Davenport, T. &amp; </w:t>
      </w:r>
      <w:proofErr w:type="spellStart"/>
      <w:r w:rsidRPr="00925E98">
        <w:rPr>
          <w:rFonts w:ascii="Times New Roman" w:eastAsia="Times New Roman" w:hAnsi="Times New Roman" w:cs="Times New Roman"/>
          <w:kern w:val="0"/>
          <w:lang w:eastAsia="en-GB"/>
          <w14:ligatures w14:val="none"/>
        </w:rPr>
        <w:t>Ronanki</w:t>
      </w:r>
      <w:proofErr w:type="spellEnd"/>
      <w:r w:rsidRPr="00925E98">
        <w:rPr>
          <w:rFonts w:ascii="Times New Roman" w:eastAsia="Times New Roman" w:hAnsi="Times New Roman" w:cs="Times New Roman"/>
          <w:kern w:val="0"/>
          <w:lang w:eastAsia="en-GB"/>
          <w14:ligatures w14:val="none"/>
        </w:rPr>
        <w:t>, R. (2018) ‘Artificial intelligence for the real world’, Harvard Business Review, 96(1), pp. 108–116.</w:t>
      </w:r>
    </w:p>
    <w:p w14:paraId="19774171" w14:textId="63D097E7" w:rsidR="00D02319" w:rsidRDefault="00D02319"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 xml:space="preserve">Deloitte (2020) ‘Integrated reporting for the FMCG sector: Connecting performance and sustainability’, Deloitte Insights. Available at: </w:t>
      </w:r>
      <w:hyperlink r:id="rId8" w:history="1">
        <w:r w:rsidRPr="001946F8">
          <w:rPr>
            <w:rStyle w:val="Hyperlink"/>
            <w:rFonts w:ascii="Times New Roman" w:eastAsia="Times New Roman" w:hAnsi="Times New Roman" w:cs="Times New Roman"/>
            <w:kern w:val="0"/>
            <w:lang w:eastAsia="en-GB"/>
            <w14:ligatures w14:val="none"/>
          </w:rPr>
          <w:t>https://www2.deloitte.co</w:t>
        </w:r>
      </w:hyperlink>
    </w:p>
    <w:p w14:paraId="46623137" w14:textId="622DFE07" w:rsidR="00B809B6"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br/>
        <w:t xml:space="preserve">Han, J., Pei, J. &amp; Kamber, M. (2022) Data Mining: Concepts and Techniques. 4th </w:t>
      </w:r>
      <w:proofErr w:type="spellStart"/>
      <w:r w:rsidRPr="00925E98">
        <w:rPr>
          <w:rFonts w:ascii="Times New Roman" w:eastAsia="Times New Roman" w:hAnsi="Times New Roman" w:cs="Times New Roman"/>
          <w:kern w:val="0"/>
          <w:lang w:eastAsia="en-GB"/>
          <w14:ligatures w14:val="none"/>
        </w:rPr>
        <w:t>edn</w:t>
      </w:r>
      <w:proofErr w:type="spellEnd"/>
      <w:r w:rsidRPr="00925E98">
        <w:rPr>
          <w:rFonts w:ascii="Times New Roman" w:eastAsia="Times New Roman" w:hAnsi="Times New Roman" w:cs="Times New Roman"/>
          <w:kern w:val="0"/>
          <w:lang w:eastAsia="en-GB"/>
          <w14:ligatures w14:val="none"/>
        </w:rPr>
        <w:t>. Cambridge, MA: Morgan Kaufmann.</w:t>
      </w:r>
    </w:p>
    <w:p w14:paraId="25B2A004" w14:textId="77777777" w:rsidR="00B809B6"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br/>
        <w:t xml:space="preserve">Inmon, W. (2005) Building the Data Warehouse. 4th </w:t>
      </w:r>
      <w:proofErr w:type="spellStart"/>
      <w:r w:rsidRPr="00925E98">
        <w:rPr>
          <w:rFonts w:ascii="Times New Roman" w:eastAsia="Times New Roman" w:hAnsi="Times New Roman" w:cs="Times New Roman"/>
          <w:kern w:val="0"/>
          <w:lang w:eastAsia="en-GB"/>
          <w14:ligatures w14:val="none"/>
        </w:rPr>
        <w:t>edn</w:t>
      </w:r>
      <w:proofErr w:type="spellEnd"/>
      <w:r w:rsidRPr="00925E98">
        <w:rPr>
          <w:rFonts w:ascii="Times New Roman" w:eastAsia="Times New Roman" w:hAnsi="Times New Roman" w:cs="Times New Roman"/>
          <w:kern w:val="0"/>
          <w:lang w:eastAsia="en-GB"/>
          <w14:ligatures w14:val="none"/>
        </w:rPr>
        <w:t>. New York: Wiley.</w:t>
      </w:r>
      <w:r w:rsidRPr="00925E98">
        <w:rPr>
          <w:rFonts w:ascii="Times New Roman" w:eastAsia="Times New Roman" w:hAnsi="Times New Roman" w:cs="Times New Roman"/>
          <w:kern w:val="0"/>
          <w:lang w:eastAsia="en-GB"/>
          <w14:ligatures w14:val="none"/>
        </w:rPr>
        <w:br/>
      </w:r>
    </w:p>
    <w:p w14:paraId="618B34B8" w14:textId="34727300" w:rsidR="00B809B6"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t xml:space="preserve">Kimball, R. &amp; Ross, M. (2016) The Data Warehouse Toolkit: The Definitive Guide to Dimensional </w:t>
      </w:r>
      <w:proofErr w:type="spellStart"/>
      <w:r w:rsidRPr="00925E98">
        <w:rPr>
          <w:rFonts w:ascii="Times New Roman" w:eastAsia="Times New Roman" w:hAnsi="Times New Roman" w:cs="Times New Roman"/>
          <w:kern w:val="0"/>
          <w:lang w:eastAsia="en-GB"/>
          <w14:ligatures w14:val="none"/>
        </w:rPr>
        <w:t>Modeling</w:t>
      </w:r>
      <w:proofErr w:type="spellEnd"/>
      <w:r w:rsidRPr="00925E98">
        <w:rPr>
          <w:rFonts w:ascii="Times New Roman" w:eastAsia="Times New Roman" w:hAnsi="Times New Roman" w:cs="Times New Roman"/>
          <w:kern w:val="0"/>
          <w:lang w:eastAsia="en-GB"/>
          <w14:ligatures w14:val="none"/>
        </w:rPr>
        <w:t xml:space="preserve">. 3rd </w:t>
      </w:r>
      <w:proofErr w:type="spellStart"/>
      <w:r w:rsidRPr="00925E98">
        <w:rPr>
          <w:rFonts w:ascii="Times New Roman" w:eastAsia="Times New Roman" w:hAnsi="Times New Roman" w:cs="Times New Roman"/>
          <w:kern w:val="0"/>
          <w:lang w:eastAsia="en-GB"/>
          <w14:ligatures w14:val="none"/>
        </w:rPr>
        <w:t>edn</w:t>
      </w:r>
      <w:proofErr w:type="spellEnd"/>
      <w:r w:rsidRPr="00925E98">
        <w:rPr>
          <w:rFonts w:ascii="Times New Roman" w:eastAsia="Times New Roman" w:hAnsi="Times New Roman" w:cs="Times New Roman"/>
          <w:kern w:val="0"/>
          <w:lang w:eastAsia="en-GB"/>
          <w14:ligatures w14:val="none"/>
        </w:rPr>
        <w:t>. New Jersey: Wiley.</w:t>
      </w:r>
    </w:p>
    <w:p w14:paraId="463603E3" w14:textId="77777777" w:rsidR="00B809B6"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br/>
        <w:t>Ranjan, J. (2019) ‘Business intelligence: Concepts, components, techniques and benefits’, Journal of Theoretical and Applied Information Technology, 9(1), pp. 60–70.</w:t>
      </w:r>
    </w:p>
    <w:p w14:paraId="2B56DE2B" w14:textId="77777777" w:rsidR="00B809B6"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br/>
        <w:t>Shmueli, G. &amp; Koppius, O. (2019) ‘Predictive analytics in information systems research’, MIS Quarterly, 35(3), pp. 553–572.</w:t>
      </w:r>
    </w:p>
    <w:p w14:paraId="16C22B8C" w14:textId="77777777" w:rsidR="00B809B6"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br/>
        <w:t xml:space="preserve">Tan, P., Steinbach, M. &amp; Kumar, V. (2018) Introduction to Data Mining. 2nd </w:t>
      </w:r>
      <w:proofErr w:type="spellStart"/>
      <w:r w:rsidRPr="00925E98">
        <w:rPr>
          <w:rFonts w:ascii="Times New Roman" w:eastAsia="Times New Roman" w:hAnsi="Times New Roman" w:cs="Times New Roman"/>
          <w:kern w:val="0"/>
          <w:lang w:eastAsia="en-GB"/>
          <w14:ligatures w14:val="none"/>
        </w:rPr>
        <w:t>edn</w:t>
      </w:r>
      <w:proofErr w:type="spellEnd"/>
      <w:r w:rsidRPr="00925E98">
        <w:rPr>
          <w:rFonts w:ascii="Times New Roman" w:eastAsia="Times New Roman" w:hAnsi="Times New Roman" w:cs="Times New Roman"/>
          <w:kern w:val="0"/>
          <w:lang w:eastAsia="en-GB"/>
          <w14:ligatures w14:val="none"/>
        </w:rPr>
        <w:t>. Boston: Pearson.</w:t>
      </w:r>
    </w:p>
    <w:p w14:paraId="42D873DD" w14:textId="77777777" w:rsidR="00B809B6"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br/>
        <w:t xml:space="preserve">Voigt, P. &amp; Von </w:t>
      </w:r>
      <w:proofErr w:type="spellStart"/>
      <w:r w:rsidRPr="00925E98">
        <w:rPr>
          <w:rFonts w:ascii="Times New Roman" w:eastAsia="Times New Roman" w:hAnsi="Times New Roman" w:cs="Times New Roman"/>
          <w:kern w:val="0"/>
          <w:lang w:eastAsia="en-GB"/>
          <w14:ligatures w14:val="none"/>
        </w:rPr>
        <w:t>dem</w:t>
      </w:r>
      <w:proofErr w:type="spellEnd"/>
      <w:r w:rsidRPr="00925E98">
        <w:rPr>
          <w:rFonts w:ascii="Times New Roman" w:eastAsia="Times New Roman" w:hAnsi="Times New Roman" w:cs="Times New Roman"/>
          <w:kern w:val="0"/>
          <w:lang w:eastAsia="en-GB"/>
          <w14:ligatures w14:val="none"/>
        </w:rPr>
        <w:t xml:space="preserve"> </w:t>
      </w:r>
      <w:proofErr w:type="spellStart"/>
      <w:r w:rsidRPr="00925E98">
        <w:rPr>
          <w:rFonts w:ascii="Times New Roman" w:eastAsia="Times New Roman" w:hAnsi="Times New Roman" w:cs="Times New Roman"/>
          <w:kern w:val="0"/>
          <w:lang w:eastAsia="en-GB"/>
          <w14:ligatures w14:val="none"/>
        </w:rPr>
        <w:t>Bussche</w:t>
      </w:r>
      <w:proofErr w:type="spellEnd"/>
      <w:r w:rsidRPr="00925E98">
        <w:rPr>
          <w:rFonts w:ascii="Times New Roman" w:eastAsia="Times New Roman" w:hAnsi="Times New Roman" w:cs="Times New Roman"/>
          <w:kern w:val="0"/>
          <w:lang w:eastAsia="en-GB"/>
          <w14:ligatures w14:val="none"/>
        </w:rPr>
        <w:t>, A. (2017) The EU General Data Protection Regulation (GDPR): A Practical Guide. Cham: Springer.</w:t>
      </w:r>
    </w:p>
    <w:p w14:paraId="478F4D03" w14:textId="12DA613F" w:rsidR="00925E98" w:rsidRPr="00925E98" w:rsidRDefault="00925E98" w:rsidP="00925E98">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5E98">
        <w:rPr>
          <w:rFonts w:ascii="Times New Roman" w:eastAsia="Times New Roman" w:hAnsi="Times New Roman" w:cs="Times New Roman"/>
          <w:kern w:val="0"/>
          <w:lang w:eastAsia="en-GB"/>
          <w14:ligatures w14:val="none"/>
        </w:rPr>
        <w:br/>
      </w:r>
    </w:p>
    <w:p w14:paraId="7DE9BDBD" w14:textId="77777777" w:rsidR="00925E98" w:rsidRPr="00925E98" w:rsidRDefault="00925E98" w:rsidP="00925E98"/>
    <w:sectPr w:rsidR="00925E98" w:rsidRPr="00925E9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E6705" w14:textId="77777777" w:rsidR="00E12C8E" w:rsidRDefault="00E12C8E" w:rsidP="00E12C8E">
      <w:pPr>
        <w:spacing w:after="0" w:line="240" w:lineRule="auto"/>
      </w:pPr>
      <w:r>
        <w:separator/>
      </w:r>
    </w:p>
  </w:endnote>
  <w:endnote w:type="continuationSeparator" w:id="0">
    <w:p w14:paraId="0BC2A2B8" w14:textId="77777777" w:rsidR="00E12C8E" w:rsidRDefault="00E12C8E" w:rsidP="00E12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5150887"/>
      <w:docPartObj>
        <w:docPartGallery w:val="Page Numbers (Bottom of Page)"/>
        <w:docPartUnique/>
      </w:docPartObj>
    </w:sdtPr>
    <w:sdtContent>
      <w:p w14:paraId="0F83C552" w14:textId="5C751E78" w:rsidR="00500DCE" w:rsidRDefault="00500DCE">
        <w:pPr>
          <w:pStyle w:val="Footer"/>
        </w:pPr>
        <w:r>
          <w:fldChar w:fldCharType="begin"/>
        </w:r>
        <w:r>
          <w:instrText>PAGE   \* MERGEFORMAT</w:instrText>
        </w:r>
        <w:r>
          <w:fldChar w:fldCharType="separate"/>
        </w:r>
        <w:r>
          <w:t>2</w:t>
        </w:r>
        <w:r>
          <w:fldChar w:fldCharType="end"/>
        </w:r>
      </w:p>
    </w:sdtContent>
  </w:sdt>
  <w:p w14:paraId="4C040A22" w14:textId="77777777" w:rsidR="00E12C8E" w:rsidRDefault="00E12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9A170" w14:textId="77777777" w:rsidR="00E12C8E" w:rsidRDefault="00E12C8E" w:rsidP="00E12C8E">
      <w:pPr>
        <w:spacing w:after="0" w:line="240" w:lineRule="auto"/>
      </w:pPr>
      <w:r>
        <w:separator/>
      </w:r>
    </w:p>
  </w:footnote>
  <w:footnote w:type="continuationSeparator" w:id="0">
    <w:p w14:paraId="6F663809" w14:textId="77777777" w:rsidR="00E12C8E" w:rsidRDefault="00E12C8E" w:rsidP="00E12C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6A41"/>
    <w:multiLevelType w:val="multilevel"/>
    <w:tmpl w:val="FC46A8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543C76"/>
    <w:multiLevelType w:val="multilevel"/>
    <w:tmpl w:val="7D243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B66DC9"/>
    <w:multiLevelType w:val="hybridMultilevel"/>
    <w:tmpl w:val="9D7C1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370E71"/>
    <w:multiLevelType w:val="multilevel"/>
    <w:tmpl w:val="6EDC7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6B4441"/>
    <w:multiLevelType w:val="hybridMultilevel"/>
    <w:tmpl w:val="20DCE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B96382"/>
    <w:multiLevelType w:val="multilevel"/>
    <w:tmpl w:val="658A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807578"/>
    <w:multiLevelType w:val="multilevel"/>
    <w:tmpl w:val="BE7291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383E81"/>
    <w:multiLevelType w:val="multilevel"/>
    <w:tmpl w:val="3B545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E74D83"/>
    <w:multiLevelType w:val="multilevel"/>
    <w:tmpl w:val="BA0C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FC3797"/>
    <w:multiLevelType w:val="multilevel"/>
    <w:tmpl w:val="BEC28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9752614">
    <w:abstractNumId w:val="0"/>
  </w:num>
  <w:num w:numId="2" w16cid:durableId="2130853546">
    <w:abstractNumId w:val="9"/>
  </w:num>
  <w:num w:numId="3" w16cid:durableId="1205632710">
    <w:abstractNumId w:val="5"/>
  </w:num>
  <w:num w:numId="4" w16cid:durableId="835151513">
    <w:abstractNumId w:val="3"/>
  </w:num>
  <w:num w:numId="5" w16cid:durableId="1299458532">
    <w:abstractNumId w:val="7"/>
  </w:num>
  <w:num w:numId="6" w16cid:durableId="551162484">
    <w:abstractNumId w:val="8"/>
  </w:num>
  <w:num w:numId="7" w16cid:durableId="742221314">
    <w:abstractNumId w:val="1"/>
  </w:num>
  <w:num w:numId="8" w16cid:durableId="367947829">
    <w:abstractNumId w:val="6"/>
  </w:num>
  <w:num w:numId="9" w16cid:durableId="2067796429">
    <w:abstractNumId w:val="4"/>
  </w:num>
  <w:num w:numId="10" w16cid:durableId="13083615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38E"/>
    <w:rsid w:val="00033FC2"/>
    <w:rsid w:val="002A52FA"/>
    <w:rsid w:val="002F6624"/>
    <w:rsid w:val="003F130A"/>
    <w:rsid w:val="00431BD0"/>
    <w:rsid w:val="00450FFE"/>
    <w:rsid w:val="00454982"/>
    <w:rsid w:val="0049038E"/>
    <w:rsid w:val="00500DCE"/>
    <w:rsid w:val="00573C63"/>
    <w:rsid w:val="00810FCB"/>
    <w:rsid w:val="00887438"/>
    <w:rsid w:val="008B2A30"/>
    <w:rsid w:val="00925E98"/>
    <w:rsid w:val="00946538"/>
    <w:rsid w:val="009B5C4F"/>
    <w:rsid w:val="00AA6ECB"/>
    <w:rsid w:val="00B809B6"/>
    <w:rsid w:val="00BF7B3F"/>
    <w:rsid w:val="00CB470C"/>
    <w:rsid w:val="00D02319"/>
    <w:rsid w:val="00DD5D1F"/>
    <w:rsid w:val="00E12C8E"/>
    <w:rsid w:val="00E61759"/>
    <w:rsid w:val="00E77180"/>
    <w:rsid w:val="00F4187C"/>
    <w:rsid w:val="00F91B73"/>
    <w:rsid w:val="00FA237B"/>
    <w:rsid w:val="00FF68CD"/>
    <w:rsid w:val="00FF6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CF601"/>
  <w15:chartTrackingRefBased/>
  <w15:docId w15:val="{E5462DD3-76D4-445E-BC7A-24E3D92F2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03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03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03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03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03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03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03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03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03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3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03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03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03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03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03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03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03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038E"/>
    <w:rPr>
      <w:rFonts w:eastAsiaTheme="majorEastAsia" w:cstheme="majorBidi"/>
      <w:color w:val="272727" w:themeColor="text1" w:themeTint="D8"/>
    </w:rPr>
  </w:style>
  <w:style w:type="paragraph" w:styleId="Title">
    <w:name w:val="Title"/>
    <w:basedOn w:val="Normal"/>
    <w:next w:val="Normal"/>
    <w:link w:val="TitleChar"/>
    <w:uiPriority w:val="10"/>
    <w:qFormat/>
    <w:rsid w:val="004903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03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03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03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038E"/>
    <w:pPr>
      <w:spacing w:before="160"/>
      <w:jc w:val="center"/>
    </w:pPr>
    <w:rPr>
      <w:i/>
      <w:iCs/>
      <w:color w:val="404040" w:themeColor="text1" w:themeTint="BF"/>
    </w:rPr>
  </w:style>
  <w:style w:type="character" w:customStyle="1" w:styleId="QuoteChar">
    <w:name w:val="Quote Char"/>
    <w:basedOn w:val="DefaultParagraphFont"/>
    <w:link w:val="Quote"/>
    <w:uiPriority w:val="29"/>
    <w:rsid w:val="0049038E"/>
    <w:rPr>
      <w:i/>
      <w:iCs/>
      <w:color w:val="404040" w:themeColor="text1" w:themeTint="BF"/>
    </w:rPr>
  </w:style>
  <w:style w:type="paragraph" w:styleId="ListParagraph">
    <w:name w:val="List Paragraph"/>
    <w:basedOn w:val="Normal"/>
    <w:uiPriority w:val="34"/>
    <w:qFormat/>
    <w:rsid w:val="0049038E"/>
    <w:pPr>
      <w:ind w:left="720"/>
      <w:contextualSpacing/>
    </w:pPr>
  </w:style>
  <w:style w:type="character" w:styleId="IntenseEmphasis">
    <w:name w:val="Intense Emphasis"/>
    <w:basedOn w:val="DefaultParagraphFont"/>
    <w:uiPriority w:val="21"/>
    <w:qFormat/>
    <w:rsid w:val="0049038E"/>
    <w:rPr>
      <w:i/>
      <w:iCs/>
      <w:color w:val="0F4761" w:themeColor="accent1" w:themeShade="BF"/>
    </w:rPr>
  </w:style>
  <w:style w:type="paragraph" w:styleId="IntenseQuote">
    <w:name w:val="Intense Quote"/>
    <w:basedOn w:val="Normal"/>
    <w:next w:val="Normal"/>
    <w:link w:val="IntenseQuoteChar"/>
    <w:uiPriority w:val="30"/>
    <w:qFormat/>
    <w:rsid w:val="004903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038E"/>
    <w:rPr>
      <w:i/>
      <w:iCs/>
      <w:color w:val="0F4761" w:themeColor="accent1" w:themeShade="BF"/>
    </w:rPr>
  </w:style>
  <w:style w:type="character" w:styleId="IntenseReference">
    <w:name w:val="Intense Reference"/>
    <w:basedOn w:val="DefaultParagraphFont"/>
    <w:uiPriority w:val="32"/>
    <w:qFormat/>
    <w:rsid w:val="0049038E"/>
    <w:rPr>
      <w:b/>
      <w:bCs/>
      <w:smallCaps/>
      <w:color w:val="0F4761" w:themeColor="accent1" w:themeShade="BF"/>
      <w:spacing w:val="5"/>
    </w:rPr>
  </w:style>
  <w:style w:type="paragraph" w:styleId="Header">
    <w:name w:val="header"/>
    <w:basedOn w:val="Normal"/>
    <w:link w:val="HeaderChar"/>
    <w:uiPriority w:val="99"/>
    <w:unhideWhenUsed/>
    <w:rsid w:val="00E12C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C8E"/>
  </w:style>
  <w:style w:type="paragraph" w:styleId="Footer">
    <w:name w:val="footer"/>
    <w:basedOn w:val="Normal"/>
    <w:link w:val="FooterChar"/>
    <w:uiPriority w:val="99"/>
    <w:unhideWhenUsed/>
    <w:rsid w:val="00E12C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C8E"/>
  </w:style>
  <w:style w:type="paragraph" w:styleId="TOCHeading">
    <w:name w:val="TOC Heading"/>
    <w:basedOn w:val="Heading1"/>
    <w:next w:val="Normal"/>
    <w:uiPriority w:val="39"/>
    <w:unhideWhenUsed/>
    <w:qFormat/>
    <w:rsid w:val="00E6175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61759"/>
    <w:pPr>
      <w:spacing w:after="100"/>
    </w:pPr>
  </w:style>
  <w:style w:type="paragraph" w:styleId="TOC2">
    <w:name w:val="toc 2"/>
    <w:basedOn w:val="Normal"/>
    <w:next w:val="Normal"/>
    <w:autoRedefine/>
    <w:uiPriority w:val="39"/>
    <w:unhideWhenUsed/>
    <w:rsid w:val="00E61759"/>
    <w:pPr>
      <w:spacing w:after="100"/>
      <w:ind w:left="240"/>
    </w:pPr>
  </w:style>
  <w:style w:type="character" w:styleId="Hyperlink">
    <w:name w:val="Hyperlink"/>
    <w:basedOn w:val="DefaultParagraphFont"/>
    <w:uiPriority w:val="99"/>
    <w:unhideWhenUsed/>
    <w:rsid w:val="00E61759"/>
    <w:rPr>
      <w:color w:val="467886" w:themeColor="hyperlink"/>
      <w:u w:val="single"/>
    </w:rPr>
  </w:style>
  <w:style w:type="character" w:styleId="UnresolvedMention">
    <w:name w:val="Unresolved Mention"/>
    <w:basedOn w:val="DefaultParagraphFont"/>
    <w:uiPriority w:val="99"/>
    <w:semiHidden/>
    <w:unhideWhenUsed/>
    <w:rsid w:val="00D023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7FC85-1D14-4F94-B076-C5DCBEFE4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Pages>
  <Words>2253</Words>
  <Characters>12847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Walker</dc:creator>
  <cp:keywords/>
  <dc:description/>
  <cp:lastModifiedBy>Andrea Walker</cp:lastModifiedBy>
  <cp:revision>23</cp:revision>
  <dcterms:created xsi:type="dcterms:W3CDTF">2025-10-11T09:40:00Z</dcterms:created>
  <dcterms:modified xsi:type="dcterms:W3CDTF">2025-10-11T11:08:00Z</dcterms:modified>
</cp:coreProperties>
</file>