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9B5E8" w14:textId="77777777" w:rsidR="00AB2F52" w:rsidRDefault="00AB2F52" w:rsidP="00AB2F52">
      <w:pPr>
        <w:spacing w:line="360" w:lineRule="auto"/>
        <w:jc w:val="center"/>
        <w:rPr>
          <w:rFonts w:ascii="Times New Roman" w:hAnsi="Times New Roman" w:cs="Times New Roman"/>
          <w:b/>
          <w:bCs/>
        </w:rPr>
      </w:pPr>
      <w:r>
        <w:rPr>
          <w:noProof/>
        </w:rPr>
        <w:drawing>
          <wp:inline distT="0" distB="0" distL="0" distR="0" wp14:anchorId="78294C81" wp14:editId="6368F69C">
            <wp:extent cx="4429125" cy="1200150"/>
            <wp:effectExtent l="0" t="0" r="9525" b="0"/>
            <wp:docPr id="9560162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016201" name="Picture 2"/>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29125" cy="1200150"/>
                    </a:xfrm>
                    <a:prstGeom prst="rect">
                      <a:avLst/>
                    </a:prstGeom>
                    <a:noFill/>
                    <a:ln>
                      <a:noFill/>
                    </a:ln>
                  </pic:spPr>
                </pic:pic>
              </a:graphicData>
            </a:graphic>
          </wp:inline>
        </w:drawing>
      </w:r>
    </w:p>
    <w:p w14:paraId="30F45E99" w14:textId="77777777" w:rsidR="00AB2F52" w:rsidRDefault="00AB2F52" w:rsidP="00AB2F52">
      <w:pPr>
        <w:spacing w:line="360" w:lineRule="auto"/>
        <w:jc w:val="center"/>
        <w:rPr>
          <w:rFonts w:ascii="Times New Roman" w:hAnsi="Times New Roman" w:cs="Times New Roman"/>
          <w:b/>
          <w:bCs/>
        </w:rPr>
      </w:pPr>
    </w:p>
    <w:p w14:paraId="29DDDAD7" w14:textId="77777777" w:rsidR="00AB2F52" w:rsidRPr="00BB0E62" w:rsidRDefault="00AB2F52" w:rsidP="00AB2F52">
      <w:pPr>
        <w:spacing w:line="360" w:lineRule="auto"/>
        <w:jc w:val="center"/>
        <w:rPr>
          <w:rFonts w:ascii="Times New Roman" w:hAnsi="Times New Roman" w:cs="Times New Roman"/>
        </w:rPr>
      </w:pPr>
      <w:r w:rsidRPr="00BB0E62">
        <w:rPr>
          <w:rFonts w:ascii="Times New Roman" w:hAnsi="Times New Roman" w:cs="Times New Roman"/>
          <w:b/>
          <w:bCs/>
        </w:rPr>
        <w:t>Programme:</w:t>
      </w:r>
      <w:r w:rsidRPr="00BB0E62">
        <w:rPr>
          <w:rFonts w:ascii="Times New Roman" w:hAnsi="Times New Roman" w:cs="Times New Roman"/>
        </w:rPr>
        <w:t xml:space="preserve"> MSc Public Health and Social Care in Practice</w:t>
      </w:r>
    </w:p>
    <w:p w14:paraId="3F2139FB" w14:textId="4AA3736F" w:rsidR="00AB2F52" w:rsidRPr="00AB2F52" w:rsidRDefault="00AB2F52" w:rsidP="00AB2F52">
      <w:pPr>
        <w:spacing w:line="360" w:lineRule="auto"/>
        <w:jc w:val="center"/>
        <w:rPr>
          <w:rFonts w:ascii="Times New Roman" w:hAnsi="Times New Roman" w:cs="Times New Roman"/>
          <w:lang w:val="en-IN"/>
        </w:rPr>
      </w:pPr>
      <w:r w:rsidRPr="00BB0E62">
        <w:rPr>
          <w:rFonts w:ascii="Times New Roman" w:hAnsi="Times New Roman" w:cs="Times New Roman"/>
          <w:b/>
          <w:bCs/>
        </w:rPr>
        <w:t>Module Name:</w:t>
      </w:r>
      <w:r w:rsidRPr="00BB0E62">
        <w:rPr>
          <w:rFonts w:ascii="Times New Roman" w:hAnsi="Times New Roman" w:cs="Times New Roman"/>
        </w:rPr>
        <w:t xml:space="preserve"> </w:t>
      </w:r>
      <w:r w:rsidRPr="00AB2F52">
        <w:rPr>
          <w:rFonts w:ascii="Times New Roman" w:hAnsi="Times New Roman" w:cs="Times New Roman"/>
          <w:b/>
          <w:bCs/>
          <w:lang w:val="en-IN"/>
        </w:rPr>
        <w:t>Social Epidemiology and Public Health Development</w:t>
      </w:r>
    </w:p>
    <w:p w14:paraId="78BA1DC8" w14:textId="13385A20" w:rsidR="00AB2F52" w:rsidRPr="00BB0E62" w:rsidRDefault="00AB2F52" w:rsidP="00AB2F52">
      <w:pPr>
        <w:spacing w:line="360" w:lineRule="auto"/>
        <w:jc w:val="center"/>
        <w:rPr>
          <w:rFonts w:ascii="Times New Roman" w:hAnsi="Times New Roman" w:cs="Times New Roman"/>
        </w:rPr>
      </w:pPr>
      <w:r w:rsidRPr="00BB0E62">
        <w:rPr>
          <w:rFonts w:ascii="Times New Roman" w:hAnsi="Times New Roman" w:cs="Times New Roman"/>
          <w:b/>
          <w:bCs/>
        </w:rPr>
        <w:t>Module Code:</w:t>
      </w:r>
      <w:r w:rsidRPr="00BB0E62">
        <w:rPr>
          <w:rFonts w:ascii="Times New Roman" w:hAnsi="Times New Roman" w:cs="Times New Roman"/>
        </w:rPr>
        <w:t xml:space="preserve"> LCHS700</w:t>
      </w:r>
      <w:r>
        <w:rPr>
          <w:rFonts w:ascii="Times New Roman" w:hAnsi="Times New Roman" w:cs="Times New Roman"/>
        </w:rPr>
        <w:t>0</w:t>
      </w:r>
    </w:p>
    <w:p w14:paraId="1F1C8566" w14:textId="77777777" w:rsidR="00C744CA" w:rsidRPr="00C744CA" w:rsidRDefault="00AB2F52" w:rsidP="00C744CA">
      <w:pPr>
        <w:spacing w:line="360" w:lineRule="auto"/>
        <w:jc w:val="center"/>
        <w:rPr>
          <w:rFonts w:ascii="Times New Roman" w:hAnsi="Times New Roman" w:cs="Times New Roman"/>
          <w:lang w:val="en-IN"/>
        </w:rPr>
      </w:pPr>
      <w:r w:rsidRPr="00BB0E62">
        <w:rPr>
          <w:rFonts w:ascii="Times New Roman" w:hAnsi="Times New Roman" w:cs="Times New Roman"/>
          <w:b/>
          <w:bCs/>
        </w:rPr>
        <w:t>Assignment Title:</w:t>
      </w:r>
      <w:r w:rsidRPr="00BB0E62">
        <w:rPr>
          <w:rFonts w:ascii="Times New Roman" w:hAnsi="Times New Roman" w:cs="Times New Roman"/>
        </w:rPr>
        <w:t xml:space="preserve"> </w:t>
      </w:r>
      <w:r w:rsidR="00C744CA" w:rsidRPr="00C744CA">
        <w:rPr>
          <w:rFonts w:ascii="Times New Roman" w:hAnsi="Times New Roman" w:cs="Times New Roman"/>
          <w:b/>
          <w:bCs/>
          <w:lang w:val="en-IN"/>
        </w:rPr>
        <w:t>Component 2</w:t>
      </w:r>
    </w:p>
    <w:p w14:paraId="2D7762C9" w14:textId="545D2E82" w:rsidR="000B139F" w:rsidRPr="000B139F" w:rsidRDefault="00C744CA" w:rsidP="000B139F">
      <w:pPr>
        <w:spacing w:line="360" w:lineRule="auto"/>
        <w:jc w:val="center"/>
        <w:rPr>
          <w:rFonts w:ascii="Times New Roman" w:hAnsi="Times New Roman" w:cs="Times New Roman"/>
          <w:b/>
          <w:bCs/>
          <w:u w:val="single"/>
        </w:rPr>
      </w:pPr>
      <w:r w:rsidRPr="00C744CA">
        <w:rPr>
          <w:rFonts w:ascii="Times New Roman" w:hAnsi="Times New Roman" w:cs="Times New Roman"/>
          <w:b/>
          <w:bCs/>
          <w:lang w:val="en-IN"/>
        </w:rPr>
        <w:t>Analytical Report</w:t>
      </w:r>
      <w:r w:rsidRPr="00C744CA">
        <w:rPr>
          <w:rFonts w:ascii="Times New Roman" w:hAnsi="Times New Roman" w:cs="Times New Roman"/>
          <w:lang w:val="en-IN"/>
        </w:rPr>
        <w:t> </w:t>
      </w:r>
    </w:p>
    <w:p w14:paraId="30B8F45C" w14:textId="77777777" w:rsidR="00AB2F52" w:rsidRPr="00BB0E62" w:rsidRDefault="00AB2F52" w:rsidP="00AB2F52">
      <w:pPr>
        <w:spacing w:line="360" w:lineRule="auto"/>
        <w:jc w:val="center"/>
        <w:rPr>
          <w:rFonts w:ascii="Times New Roman" w:hAnsi="Times New Roman" w:cs="Times New Roman"/>
        </w:rPr>
      </w:pPr>
      <w:r w:rsidRPr="00BB0E62">
        <w:rPr>
          <w:rFonts w:ascii="Times New Roman" w:hAnsi="Times New Roman" w:cs="Times New Roman"/>
          <w:b/>
          <w:bCs/>
        </w:rPr>
        <w:t>Student Name:</w:t>
      </w:r>
      <w:r w:rsidRPr="00BB0E62">
        <w:rPr>
          <w:rFonts w:ascii="Times New Roman" w:hAnsi="Times New Roman" w:cs="Times New Roman"/>
        </w:rPr>
        <w:t xml:space="preserve"> </w:t>
      </w:r>
      <w:r>
        <w:rPr>
          <w:rFonts w:ascii="Times New Roman" w:hAnsi="Times New Roman" w:cs="Times New Roman"/>
        </w:rPr>
        <w:t>FUAANSHA DADABHAI PIMPALE</w:t>
      </w:r>
    </w:p>
    <w:p w14:paraId="42834131" w14:textId="77777777" w:rsidR="00AB2F52" w:rsidRPr="00BB0E62" w:rsidRDefault="00AB2F52" w:rsidP="00AB2F52">
      <w:pPr>
        <w:spacing w:line="360" w:lineRule="auto"/>
        <w:jc w:val="center"/>
        <w:rPr>
          <w:rFonts w:ascii="Times New Roman" w:hAnsi="Times New Roman" w:cs="Times New Roman"/>
        </w:rPr>
      </w:pPr>
      <w:r w:rsidRPr="00BB0E62">
        <w:rPr>
          <w:rFonts w:ascii="Times New Roman" w:hAnsi="Times New Roman" w:cs="Times New Roman"/>
          <w:b/>
          <w:bCs/>
        </w:rPr>
        <w:t xml:space="preserve">Student </w:t>
      </w:r>
      <w:r>
        <w:rPr>
          <w:rFonts w:ascii="Times New Roman" w:hAnsi="Times New Roman" w:cs="Times New Roman"/>
          <w:b/>
          <w:bCs/>
        </w:rPr>
        <w:t>ID: 2530082</w:t>
      </w:r>
    </w:p>
    <w:p w14:paraId="6D00DD93" w14:textId="77777777" w:rsidR="00AB2F52" w:rsidRPr="00AB2F52" w:rsidRDefault="00AB2F52" w:rsidP="00AB2F52">
      <w:pPr>
        <w:spacing w:line="360" w:lineRule="auto"/>
        <w:jc w:val="center"/>
        <w:rPr>
          <w:rFonts w:ascii="Times New Roman" w:hAnsi="Times New Roman" w:cs="Times New Roman"/>
          <w:lang w:val="en-IN"/>
        </w:rPr>
      </w:pPr>
      <w:r w:rsidRPr="00BB0E62">
        <w:rPr>
          <w:rFonts w:ascii="Times New Roman" w:hAnsi="Times New Roman" w:cs="Times New Roman"/>
          <w:b/>
          <w:bCs/>
        </w:rPr>
        <w:t>Lecturer:</w:t>
      </w:r>
      <w:r w:rsidRPr="00BB0E62">
        <w:rPr>
          <w:rFonts w:ascii="Times New Roman" w:hAnsi="Times New Roman" w:cs="Times New Roman"/>
        </w:rPr>
        <w:t xml:space="preserve"> </w:t>
      </w:r>
      <w:r w:rsidRPr="00AB2F52">
        <w:rPr>
          <w:rFonts w:ascii="Times New Roman" w:hAnsi="Times New Roman" w:cs="Times New Roman"/>
          <w:b/>
          <w:bCs/>
          <w:lang w:val="en-IN"/>
        </w:rPr>
        <w:t>Itse Olaoye</w:t>
      </w:r>
    </w:p>
    <w:p w14:paraId="4068D17D" w14:textId="33C9C5B2" w:rsidR="00AB2F52" w:rsidRPr="00AB2F52" w:rsidRDefault="00AB2F52" w:rsidP="00AB2F52">
      <w:pPr>
        <w:spacing w:line="360" w:lineRule="auto"/>
        <w:jc w:val="center"/>
        <w:rPr>
          <w:rFonts w:ascii="Times New Roman" w:hAnsi="Times New Roman" w:cs="Times New Roman"/>
          <w:lang w:val="en-IN"/>
        </w:rPr>
      </w:pPr>
      <w:r w:rsidRPr="00AB2F52">
        <w:rPr>
          <w:rFonts w:ascii="Times New Roman" w:hAnsi="Times New Roman" w:cs="Times New Roman"/>
          <w:b/>
          <w:bCs/>
          <w:lang w:val="en-IN"/>
        </w:rPr>
        <w:t>Brian Mashumba</w:t>
      </w:r>
    </w:p>
    <w:p w14:paraId="10397657" w14:textId="3056DB82" w:rsidR="00AB2F52" w:rsidRPr="00BB0E62" w:rsidRDefault="00AB2F52" w:rsidP="00AB2F52">
      <w:pPr>
        <w:spacing w:line="360" w:lineRule="auto"/>
        <w:jc w:val="center"/>
        <w:rPr>
          <w:rFonts w:ascii="Times New Roman" w:hAnsi="Times New Roman" w:cs="Times New Roman"/>
        </w:rPr>
      </w:pPr>
      <w:r w:rsidRPr="00BB0E62">
        <w:rPr>
          <w:rFonts w:ascii="Times New Roman" w:hAnsi="Times New Roman" w:cs="Times New Roman"/>
          <w:b/>
          <w:bCs/>
        </w:rPr>
        <w:t>Word Count:</w:t>
      </w:r>
      <w:r w:rsidRPr="00BB0E62">
        <w:rPr>
          <w:rFonts w:ascii="Times New Roman" w:hAnsi="Times New Roman" w:cs="Times New Roman"/>
        </w:rPr>
        <w:t xml:space="preserve"> </w:t>
      </w:r>
      <w:r>
        <w:rPr>
          <w:rFonts w:ascii="Times New Roman" w:hAnsi="Times New Roman" w:cs="Times New Roman"/>
        </w:rPr>
        <w:t>2,500</w:t>
      </w:r>
      <w:r w:rsidR="001E4F93">
        <w:rPr>
          <w:rFonts w:ascii="Times New Roman" w:hAnsi="Times New Roman" w:cs="Times New Roman"/>
        </w:rPr>
        <w:t xml:space="preserve"> words </w:t>
      </w:r>
    </w:p>
    <w:p w14:paraId="077D977D" w14:textId="09252385" w:rsidR="00AB2F52" w:rsidRPr="00BB0E62" w:rsidRDefault="00AB2F52" w:rsidP="00AB2F52">
      <w:pPr>
        <w:spacing w:line="360" w:lineRule="auto"/>
        <w:jc w:val="center"/>
        <w:rPr>
          <w:rFonts w:ascii="Times New Roman" w:hAnsi="Times New Roman" w:cs="Times New Roman"/>
        </w:rPr>
      </w:pPr>
      <w:r w:rsidRPr="00BB0E62">
        <w:rPr>
          <w:rFonts w:ascii="Times New Roman" w:hAnsi="Times New Roman" w:cs="Times New Roman"/>
          <w:b/>
          <w:bCs/>
        </w:rPr>
        <w:t>Date of Submission:</w:t>
      </w:r>
      <w:r w:rsidRPr="00BB0E62">
        <w:rPr>
          <w:rFonts w:ascii="Times New Roman" w:hAnsi="Times New Roman" w:cs="Times New Roman"/>
        </w:rPr>
        <w:t xml:space="preserve"> </w:t>
      </w:r>
      <w:r>
        <w:rPr>
          <w:rFonts w:ascii="Times New Roman" w:hAnsi="Times New Roman" w:cs="Times New Roman"/>
        </w:rPr>
        <w:t xml:space="preserve">01 may </w:t>
      </w:r>
      <w:r w:rsidRPr="00D560A7">
        <w:rPr>
          <w:rFonts w:ascii="Times New Roman" w:hAnsi="Times New Roman" w:cs="Times New Roman"/>
        </w:rPr>
        <w:t>2026</w:t>
      </w:r>
    </w:p>
    <w:p w14:paraId="135BA98B" w14:textId="23D8EDEE" w:rsidR="00C84C36" w:rsidRDefault="00C84C36"/>
    <w:p w14:paraId="542C9462" w14:textId="77777777" w:rsidR="00C84C36" w:rsidRDefault="00C84C36">
      <w:pPr>
        <w:spacing w:line="278" w:lineRule="auto"/>
      </w:pPr>
      <w:r>
        <w:br w:type="page"/>
      </w:r>
    </w:p>
    <w:sdt>
      <w:sdtPr>
        <w:id w:val="1488745584"/>
        <w:docPartObj>
          <w:docPartGallery w:val="Table of Contents"/>
          <w:docPartUnique/>
        </w:docPartObj>
      </w:sdtPr>
      <w:sdtEndPr>
        <w:rPr>
          <w:rFonts w:asciiTheme="minorHAnsi" w:eastAsiaTheme="minorHAnsi" w:hAnsiTheme="minorHAnsi" w:cstheme="minorBidi"/>
          <w:b w:val="0"/>
          <w:bCs w:val="0"/>
          <w:noProof/>
          <w:color w:val="auto"/>
          <w:sz w:val="26"/>
          <w:szCs w:val="26"/>
          <w:lang w:val="en-GB"/>
        </w:rPr>
      </w:sdtEndPr>
      <w:sdtContent>
        <w:p w14:paraId="30138B37" w14:textId="517C6F58" w:rsidR="00885E83" w:rsidRDefault="00885E83">
          <w:pPr>
            <w:pStyle w:val="TOCHeading"/>
          </w:pPr>
          <w:r>
            <w:t>Table of Contents</w:t>
          </w:r>
          <w:r w:rsidR="004F7404">
            <w:t xml:space="preserve">  </w:t>
          </w:r>
        </w:p>
        <w:p w14:paraId="6D424382" w14:textId="714D4B16" w:rsidR="00BA4193" w:rsidRPr="004F7404" w:rsidRDefault="00885E83" w:rsidP="00087854">
          <w:pPr>
            <w:pStyle w:val="TOC1"/>
            <w:numPr>
              <w:ilvl w:val="0"/>
              <w:numId w:val="54"/>
            </w:numPr>
            <w:tabs>
              <w:tab w:val="right" w:leader="dot" w:pos="9016"/>
            </w:tabs>
            <w:jc w:val="both"/>
            <w:rPr>
              <w:rFonts w:eastAsiaTheme="minorEastAsia" w:cs="Mangal"/>
              <w:b w:val="0"/>
              <w:bCs w:val="0"/>
              <w:caps w:val="0"/>
              <w:noProof/>
              <w:kern w:val="2"/>
              <w:sz w:val="26"/>
              <w:u w:val="none"/>
              <w:lang w:val="en-IN" w:eastAsia="en-GB" w:bidi="mr-IN"/>
              <w14:ligatures w14:val="standardContextual"/>
            </w:rPr>
          </w:pPr>
          <w:r w:rsidRPr="004F7404">
            <w:rPr>
              <w:b w:val="0"/>
              <w:bCs w:val="0"/>
              <w:sz w:val="26"/>
            </w:rPr>
            <w:fldChar w:fldCharType="begin"/>
          </w:r>
          <w:r w:rsidRPr="004F7404">
            <w:rPr>
              <w:sz w:val="26"/>
            </w:rPr>
            <w:instrText xml:space="preserve"> TOC \o "1-3" \h \z \u </w:instrText>
          </w:r>
          <w:r w:rsidRPr="004F7404">
            <w:rPr>
              <w:b w:val="0"/>
              <w:bCs w:val="0"/>
              <w:sz w:val="26"/>
            </w:rPr>
            <w:fldChar w:fldCharType="separate"/>
          </w:r>
          <w:hyperlink w:anchor="_Toc228488296" w:history="1">
            <w:r w:rsidR="00BA4193" w:rsidRPr="004F7404">
              <w:rPr>
                <w:rStyle w:val="Hyperlink"/>
                <w:noProof/>
                <w:sz w:val="26"/>
              </w:rPr>
              <w:t>Addressing Health Inequality in Young Adults (Aged 17–30)</w:t>
            </w:r>
            <w:r w:rsidR="00BA4193" w:rsidRPr="004F7404">
              <w:rPr>
                <w:noProof/>
                <w:webHidden/>
                <w:sz w:val="26"/>
              </w:rPr>
              <w:tab/>
            </w:r>
            <w:r w:rsidR="00BA4193" w:rsidRPr="004F7404">
              <w:rPr>
                <w:noProof/>
                <w:webHidden/>
                <w:sz w:val="26"/>
              </w:rPr>
              <w:fldChar w:fldCharType="begin"/>
            </w:r>
            <w:r w:rsidR="00BA4193" w:rsidRPr="004F7404">
              <w:rPr>
                <w:noProof/>
                <w:webHidden/>
                <w:sz w:val="26"/>
              </w:rPr>
              <w:instrText xml:space="preserve"> PAGEREF _Toc228488296 \h </w:instrText>
            </w:r>
            <w:r w:rsidR="00BA4193" w:rsidRPr="004F7404">
              <w:rPr>
                <w:noProof/>
                <w:webHidden/>
                <w:sz w:val="26"/>
              </w:rPr>
            </w:r>
            <w:r w:rsidR="00BA4193" w:rsidRPr="004F7404">
              <w:rPr>
                <w:noProof/>
                <w:webHidden/>
                <w:sz w:val="26"/>
              </w:rPr>
              <w:fldChar w:fldCharType="separate"/>
            </w:r>
            <w:r w:rsidR="00BA4193" w:rsidRPr="004F7404">
              <w:rPr>
                <w:noProof/>
                <w:webHidden/>
                <w:sz w:val="26"/>
              </w:rPr>
              <w:t>2</w:t>
            </w:r>
            <w:r w:rsidR="00BA4193" w:rsidRPr="004F7404">
              <w:rPr>
                <w:noProof/>
                <w:webHidden/>
                <w:sz w:val="26"/>
              </w:rPr>
              <w:fldChar w:fldCharType="end"/>
            </w:r>
          </w:hyperlink>
        </w:p>
        <w:p w14:paraId="2224D61A" w14:textId="54F25EF2" w:rsidR="00BA4193" w:rsidRPr="004F7404" w:rsidRDefault="00BA4193" w:rsidP="00087854">
          <w:pPr>
            <w:pStyle w:val="TOC2"/>
            <w:numPr>
              <w:ilvl w:val="0"/>
              <w:numId w:val="54"/>
            </w:numPr>
            <w:tabs>
              <w:tab w:val="right" w:leader="dot" w:pos="9016"/>
            </w:tabs>
            <w:jc w:val="both"/>
            <w:rPr>
              <w:rFonts w:eastAsiaTheme="minorEastAsia" w:cs="Mangal"/>
              <w:b w:val="0"/>
              <w:bCs w:val="0"/>
              <w:smallCaps w:val="0"/>
              <w:noProof/>
              <w:kern w:val="2"/>
              <w:sz w:val="26"/>
              <w:lang w:val="en-IN" w:eastAsia="en-GB" w:bidi="mr-IN"/>
              <w14:ligatures w14:val="standardContextual"/>
            </w:rPr>
          </w:pPr>
          <w:hyperlink w:anchor="_Toc228488297" w:history="1">
            <w:r w:rsidRPr="004F7404">
              <w:rPr>
                <w:rStyle w:val="Hyperlink"/>
                <w:noProof/>
                <w:sz w:val="26"/>
              </w:rPr>
              <w:t>Introduction</w:t>
            </w:r>
            <w:r w:rsidRPr="004F7404">
              <w:rPr>
                <w:noProof/>
                <w:webHidden/>
                <w:sz w:val="26"/>
              </w:rPr>
              <w:tab/>
            </w:r>
            <w:r w:rsidRPr="004F7404">
              <w:rPr>
                <w:noProof/>
                <w:webHidden/>
                <w:sz w:val="26"/>
              </w:rPr>
              <w:fldChar w:fldCharType="begin"/>
            </w:r>
            <w:r w:rsidRPr="004F7404">
              <w:rPr>
                <w:noProof/>
                <w:webHidden/>
                <w:sz w:val="26"/>
              </w:rPr>
              <w:instrText xml:space="preserve"> PAGEREF _Toc228488297 \h </w:instrText>
            </w:r>
            <w:r w:rsidRPr="004F7404">
              <w:rPr>
                <w:noProof/>
                <w:webHidden/>
                <w:sz w:val="26"/>
              </w:rPr>
            </w:r>
            <w:r w:rsidRPr="004F7404">
              <w:rPr>
                <w:noProof/>
                <w:webHidden/>
                <w:sz w:val="26"/>
              </w:rPr>
              <w:fldChar w:fldCharType="separate"/>
            </w:r>
            <w:r w:rsidRPr="004F7404">
              <w:rPr>
                <w:noProof/>
                <w:webHidden/>
                <w:sz w:val="26"/>
              </w:rPr>
              <w:t>2</w:t>
            </w:r>
            <w:r w:rsidRPr="004F7404">
              <w:rPr>
                <w:noProof/>
                <w:webHidden/>
                <w:sz w:val="26"/>
              </w:rPr>
              <w:fldChar w:fldCharType="end"/>
            </w:r>
          </w:hyperlink>
        </w:p>
        <w:p w14:paraId="7A36714B" w14:textId="0CD29454" w:rsidR="00BA4193" w:rsidRPr="004F7404" w:rsidRDefault="00BA4193" w:rsidP="00087854">
          <w:pPr>
            <w:pStyle w:val="TOC2"/>
            <w:numPr>
              <w:ilvl w:val="0"/>
              <w:numId w:val="54"/>
            </w:numPr>
            <w:tabs>
              <w:tab w:val="right" w:leader="dot" w:pos="9016"/>
            </w:tabs>
            <w:jc w:val="both"/>
            <w:rPr>
              <w:rFonts w:eastAsiaTheme="minorEastAsia" w:cs="Mangal"/>
              <w:b w:val="0"/>
              <w:bCs w:val="0"/>
              <w:smallCaps w:val="0"/>
              <w:noProof/>
              <w:kern w:val="2"/>
              <w:sz w:val="26"/>
              <w:lang w:val="en-IN" w:eastAsia="en-GB" w:bidi="mr-IN"/>
              <w14:ligatures w14:val="standardContextual"/>
            </w:rPr>
          </w:pPr>
          <w:hyperlink w:anchor="_Toc228488298" w:history="1">
            <w:r w:rsidRPr="004F7404">
              <w:rPr>
                <w:rStyle w:val="Hyperlink"/>
                <w:noProof/>
                <w:sz w:val="26"/>
              </w:rPr>
              <w:t>The Six Most Important Health Inequality Issues for Young Adults</w:t>
            </w:r>
            <w:r w:rsidRPr="004F7404">
              <w:rPr>
                <w:noProof/>
                <w:webHidden/>
                <w:sz w:val="26"/>
              </w:rPr>
              <w:tab/>
            </w:r>
            <w:r w:rsidRPr="004F7404">
              <w:rPr>
                <w:noProof/>
                <w:webHidden/>
                <w:sz w:val="26"/>
              </w:rPr>
              <w:fldChar w:fldCharType="begin"/>
            </w:r>
            <w:r w:rsidRPr="004F7404">
              <w:rPr>
                <w:noProof/>
                <w:webHidden/>
                <w:sz w:val="26"/>
              </w:rPr>
              <w:instrText xml:space="preserve"> PAGEREF _Toc228488298 \h </w:instrText>
            </w:r>
            <w:r w:rsidRPr="004F7404">
              <w:rPr>
                <w:noProof/>
                <w:webHidden/>
                <w:sz w:val="26"/>
              </w:rPr>
            </w:r>
            <w:r w:rsidRPr="004F7404">
              <w:rPr>
                <w:noProof/>
                <w:webHidden/>
                <w:sz w:val="26"/>
              </w:rPr>
              <w:fldChar w:fldCharType="separate"/>
            </w:r>
            <w:r w:rsidRPr="004F7404">
              <w:rPr>
                <w:noProof/>
                <w:webHidden/>
                <w:sz w:val="26"/>
              </w:rPr>
              <w:t>3</w:t>
            </w:r>
            <w:r w:rsidRPr="004F7404">
              <w:rPr>
                <w:noProof/>
                <w:webHidden/>
                <w:sz w:val="26"/>
              </w:rPr>
              <w:fldChar w:fldCharType="end"/>
            </w:r>
          </w:hyperlink>
        </w:p>
        <w:p w14:paraId="15A53FE3" w14:textId="28FAD923" w:rsidR="00BA4193" w:rsidRPr="004F7404" w:rsidRDefault="00BA4193" w:rsidP="00087854">
          <w:pPr>
            <w:pStyle w:val="TOC3"/>
            <w:numPr>
              <w:ilvl w:val="0"/>
              <w:numId w:val="54"/>
            </w:numPr>
            <w:tabs>
              <w:tab w:val="right" w:leader="dot" w:pos="9016"/>
            </w:tabs>
            <w:jc w:val="both"/>
            <w:rPr>
              <w:rFonts w:eastAsiaTheme="minorEastAsia" w:cs="Mangal"/>
              <w:smallCaps w:val="0"/>
              <w:noProof/>
              <w:kern w:val="2"/>
              <w:sz w:val="26"/>
              <w:lang w:val="en-IN" w:eastAsia="en-GB" w:bidi="mr-IN"/>
              <w14:ligatures w14:val="standardContextual"/>
            </w:rPr>
          </w:pPr>
          <w:hyperlink w:anchor="_Toc228488299" w:history="1">
            <w:r w:rsidRPr="004F7404">
              <w:rPr>
                <w:rStyle w:val="Hyperlink"/>
                <w:noProof/>
                <w:sz w:val="26"/>
              </w:rPr>
              <w:t>1. High Rates of Mental Health Conditions</w:t>
            </w:r>
            <w:r w:rsidRPr="004F7404">
              <w:rPr>
                <w:noProof/>
                <w:webHidden/>
                <w:sz w:val="26"/>
              </w:rPr>
              <w:tab/>
            </w:r>
            <w:r w:rsidRPr="004F7404">
              <w:rPr>
                <w:noProof/>
                <w:webHidden/>
                <w:sz w:val="26"/>
              </w:rPr>
              <w:fldChar w:fldCharType="begin"/>
            </w:r>
            <w:r w:rsidRPr="004F7404">
              <w:rPr>
                <w:noProof/>
                <w:webHidden/>
                <w:sz w:val="26"/>
              </w:rPr>
              <w:instrText xml:space="preserve"> PAGEREF _Toc228488299 \h </w:instrText>
            </w:r>
            <w:r w:rsidRPr="004F7404">
              <w:rPr>
                <w:noProof/>
                <w:webHidden/>
                <w:sz w:val="26"/>
              </w:rPr>
            </w:r>
            <w:r w:rsidRPr="004F7404">
              <w:rPr>
                <w:noProof/>
                <w:webHidden/>
                <w:sz w:val="26"/>
              </w:rPr>
              <w:fldChar w:fldCharType="separate"/>
            </w:r>
            <w:r w:rsidRPr="004F7404">
              <w:rPr>
                <w:noProof/>
                <w:webHidden/>
                <w:sz w:val="26"/>
              </w:rPr>
              <w:t>3</w:t>
            </w:r>
            <w:r w:rsidRPr="004F7404">
              <w:rPr>
                <w:noProof/>
                <w:webHidden/>
                <w:sz w:val="26"/>
              </w:rPr>
              <w:fldChar w:fldCharType="end"/>
            </w:r>
          </w:hyperlink>
        </w:p>
        <w:p w14:paraId="7F90A1AE" w14:textId="63775466" w:rsidR="00BA4193" w:rsidRPr="004F7404" w:rsidRDefault="00BA4193" w:rsidP="00087854">
          <w:pPr>
            <w:pStyle w:val="TOC3"/>
            <w:numPr>
              <w:ilvl w:val="0"/>
              <w:numId w:val="54"/>
            </w:numPr>
            <w:tabs>
              <w:tab w:val="right" w:leader="dot" w:pos="9016"/>
            </w:tabs>
            <w:jc w:val="both"/>
            <w:rPr>
              <w:rFonts w:eastAsiaTheme="minorEastAsia" w:cs="Mangal"/>
              <w:smallCaps w:val="0"/>
              <w:noProof/>
              <w:kern w:val="2"/>
              <w:sz w:val="26"/>
              <w:lang w:val="en-IN" w:eastAsia="en-GB" w:bidi="mr-IN"/>
              <w14:ligatures w14:val="standardContextual"/>
            </w:rPr>
          </w:pPr>
          <w:hyperlink w:anchor="_Toc228488300" w:history="1">
            <w:r w:rsidRPr="004F7404">
              <w:rPr>
                <w:rStyle w:val="Hyperlink"/>
                <w:noProof/>
                <w:sz w:val="26"/>
              </w:rPr>
              <w:t>2. Prevalence of Substance Misuse and Vaping</w:t>
            </w:r>
            <w:r w:rsidRPr="004F7404">
              <w:rPr>
                <w:noProof/>
                <w:webHidden/>
                <w:sz w:val="26"/>
              </w:rPr>
              <w:tab/>
            </w:r>
            <w:r w:rsidRPr="004F7404">
              <w:rPr>
                <w:noProof/>
                <w:webHidden/>
                <w:sz w:val="26"/>
              </w:rPr>
              <w:fldChar w:fldCharType="begin"/>
            </w:r>
            <w:r w:rsidRPr="004F7404">
              <w:rPr>
                <w:noProof/>
                <w:webHidden/>
                <w:sz w:val="26"/>
              </w:rPr>
              <w:instrText xml:space="preserve"> PAGEREF _Toc228488300 \h </w:instrText>
            </w:r>
            <w:r w:rsidRPr="004F7404">
              <w:rPr>
                <w:noProof/>
                <w:webHidden/>
                <w:sz w:val="26"/>
              </w:rPr>
            </w:r>
            <w:r w:rsidRPr="004F7404">
              <w:rPr>
                <w:noProof/>
                <w:webHidden/>
                <w:sz w:val="26"/>
              </w:rPr>
              <w:fldChar w:fldCharType="separate"/>
            </w:r>
            <w:r w:rsidRPr="004F7404">
              <w:rPr>
                <w:noProof/>
                <w:webHidden/>
                <w:sz w:val="26"/>
              </w:rPr>
              <w:t>3</w:t>
            </w:r>
            <w:r w:rsidRPr="004F7404">
              <w:rPr>
                <w:noProof/>
                <w:webHidden/>
                <w:sz w:val="26"/>
              </w:rPr>
              <w:fldChar w:fldCharType="end"/>
            </w:r>
          </w:hyperlink>
        </w:p>
        <w:p w14:paraId="6A979595" w14:textId="012819D9" w:rsidR="00BA4193" w:rsidRPr="004F7404" w:rsidRDefault="00BA4193" w:rsidP="00087854">
          <w:pPr>
            <w:pStyle w:val="TOC3"/>
            <w:numPr>
              <w:ilvl w:val="0"/>
              <w:numId w:val="54"/>
            </w:numPr>
            <w:tabs>
              <w:tab w:val="right" w:leader="dot" w:pos="9016"/>
            </w:tabs>
            <w:jc w:val="both"/>
            <w:rPr>
              <w:rFonts w:eastAsiaTheme="minorEastAsia" w:cs="Mangal"/>
              <w:smallCaps w:val="0"/>
              <w:noProof/>
              <w:kern w:val="2"/>
              <w:sz w:val="26"/>
              <w:lang w:val="en-IN" w:eastAsia="en-GB" w:bidi="mr-IN"/>
              <w14:ligatures w14:val="standardContextual"/>
            </w:rPr>
          </w:pPr>
          <w:hyperlink w:anchor="_Toc228488301" w:history="1">
            <w:r w:rsidRPr="004F7404">
              <w:rPr>
                <w:rStyle w:val="Hyperlink"/>
                <w:noProof/>
                <w:sz w:val="26"/>
              </w:rPr>
              <w:t xml:space="preserve">3. Rising </w:t>
            </w:r>
            <w:r w:rsidRPr="004F7404">
              <w:rPr>
                <w:rStyle w:val="Hyperlink"/>
                <w:noProof/>
                <w:sz w:val="26"/>
              </w:rPr>
              <w:t>R</w:t>
            </w:r>
            <w:r w:rsidRPr="004F7404">
              <w:rPr>
                <w:rStyle w:val="Hyperlink"/>
                <w:noProof/>
                <w:sz w:val="26"/>
              </w:rPr>
              <w:t>ates of Obesity and Poor Nutrition</w:t>
            </w:r>
            <w:r w:rsidRPr="004F7404">
              <w:rPr>
                <w:noProof/>
                <w:webHidden/>
                <w:sz w:val="26"/>
              </w:rPr>
              <w:tab/>
            </w:r>
            <w:r w:rsidRPr="004F7404">
              <w:rPr>
                <w:noProof/>
                <w:webHidden/>
                <w:sz w:val="26"/>
              </w:rPr>
              <w:fldChar w:fldCharType="begin"/>
            </w:r>
            <w:r w:rsidRPr="004F7404">
              <w:rPr>
                <w:noProof/>
                <w:webHidden/>
                <w:sz w:val="26"/>
              </w:rPr>
              <w:instrText xml:space="preserve"> PAGEREF _Toc228488301 \h </w:instrText>
            </w:r>
            <w:r w:rsidRPr="004F7404">
              <w:rPr>
                <w:noProof/>
                <w:webHidden/>
                <w:sz w:val="26"/>
              </w:rPr>
            </w:r>
            <w:r w:rsidRPr="004F7404">
              <w:rPr>
                <w:noProof/>
                <w:webHidden/>
                <w:sz w:val="26"/>
              </w:rPr>
              <w:fldChar w:fldCharType="separate"/>
            </w:r>
            <w:r w:rsidRPr="004F7404">
              <w:rPr>
                <w:noProof/>
                <w:webHidden/>
                <w:sz w:val="26"/>
              </w:rPr>
              <w:t>3</w:t>
            </w:r>
            <w:r w:rsidRPr="004F7404">
              <w:rPr>
                <w:noProof/>
                <w:webHidden/>
                <w:sz w:val="26"/>
              </w:rPr>
              <w:fldChar w:fldCharType="end"/>
            </w:r>
          </w:hyperlink>
        </w:p>
        <w:p w14:paraId="54525B41" w14:textId="5A032A2A" w:rsidR="00BA4193" w:rsidRPr="004F7404" w:rsidRDefault="00BA4193" w:rsidP="00087854">
          <w:pPr>
            <w:pStyle w:val="TOC3"/>
            <w:numPr>
              <w:ilvl w:val="0"/>
              <w:numId w:val="54"/>
            </w:numPr>
            <w:tabs>
              <w:tab w:val="right" w:leader="dot" w:pos="9016"/>
            </w:tabs>
            <w:jc w:val="both"/>
            <w:rPr>
              <w:rFonts w:eastAsiaTheme="minorEastAsia" w:cs="Mangal"/>
              <w:smallCaps w:val="0"/>
              <w:noProof/>
              <w:kern w:val="2"/>
              <w:sz w:val="26"/>
              <w:lang w:val="en-IN" w:eastAsia="en-GB" w:bidi="mr-IN"/>
              <w14:ligatures w14:val="standardContextual"/>
            </w:rPr>
          </w:pPr>
          <w:hyperlink w:anchor="_Toc228488302" w:history="1">
            <w:r w:rsidRPr="004F7404">
              <w:rPr>
                <w:rStyle w:val="Hyperlink"/>
                <w:noProof/>
                <w:sz w:val="26"/>
              </w:rPr>
              <w:t>4. Precarious Employment and Financial Stress</w:t>
            </w:r>
            <w:r w:rsidRPr="004F7404">
              <w:rPr>
                <w:noProof/>
                <w:webHidden/>
                <w:sz w:val="26"/>
              </w:rPr>
              <w:tab/>
            </w:r>
            <w:r w:rsidRPr="004F7404">
              <w:rPr>
                <w:noProof/>
                <w:webHidden/>
                <w:sz w:val="26"/>
              </w:rPr>
              <w:fldChar w:fldCharType="begin"/>
            </w:r>
            <w:r w:rsidRPr="004F7404">
              <w:rPr>
                <w:noProof/>
                <w:webHidden/>
                <w:sz w:val="26"/>
              </w:rPr>
              <w:instrText xml:space="preserve"> PAGEREF _Toc228488302 \h </w:instrText>
            </w:r>
            <w:r w:rsidRPr="004F7404">
              <w:rPr>
                <w:noProof/>
                <w:webHidden/>
                <w:sz w:val="26"/>
              </w:rPr>
            </w:r>
            <w:r w:rsidRPr="004F7404">
              <w:rPr>
                <w:noProof/>
                <w:webHidden/>
                <w:sz w:val="26"/>
              </w:rPr>
              <w:fldChar w:fldCharType="separate"/>
            </w:r>
            <w:r w:rsidRPr="004F7404">
              <w:rPr>
                <w:noProof/>
                <w:webHidden/>
                <w:sz w:val="26"/>
              </w:rPr>
              <w:t>3</w:t>
            </w:r>
            <w:r w:rsidRPr="004F7404">
              <w:rPr>
                <w:noProof/>
                <w:webHidden/>
                <w:sz w:val="26"/>
              </w:rPr>
              <w:fldChar w:fldCharType="end"/>
            </w:r>
          </w:hyperlink>
        </w:p>
        <w:p w14:paraId="7683BC8E" w14:textId="246AD471" w:rsidR="00BA4193" w:rsidRPr="004F7404" w:rsidRDefault="00BA4193" w:rsidP="00087854">
          <w:pPr>
            <w:pStyle w:val="TOC3"/>
            <w:numPr>
              <w:ilvl w:val="0"/>
              <w:numId w:val="54"/>
            </w:numPr>
            <w:tabs>
              <w:tab w:val="right" w:leader="dot" w:pos="9016"/>
            </w:tabs>
            <w:jc w:val="both"/>
            <w:rPr>
              <w:rFonts w:eastAsiaTheme="minorEastAsia" w:cs="Mangal"/>
              <w:smallCaps w:val="0"/>
              <w:noProof/>
              <w:kern w:val="2"/>
              <w:sz w:val="26"/>
              <w:lang w:val="en-IN" w:eastAsia="en-GB" w:bidi="mr-IN"/>
              <w14:ligatures w14:val="standardContextual"/>
            </w:rPr>
          </w:pPr>
          <w:r w:rsidRPr="004F7404">
            <w:rPr>
              <w:rStyle w:val="Hyperlink"/>
              <w:noProof/>
              <w:sz w:val="26"/>
            </w:rPr>
            <w:fldChar w:fldCharType="begin"/>
          </w:r>
          <w:r w:rsidRPr="004F7404">
            <w:rPr>
              <w:rStyle w:val="Hyperlink"/>
              <w:noProof/>
              <w:sz w:val="26"/>
            </w:rPr>
            <w:instrText xml:space="preserve"> </w:instrText>
          </w:r>
          <w:r w:rsidRPr="004F7404">
            <w:rPr>
              <w:noProof/>
              <w:sz w:val="26"/>
            </w:rPr>
            <w:instrText>HYPERLINK \l "_Toc228488303"</w:instrText>
          </w:r>
          <w:r w:rsidRPr="004F7404">
            <w:rPr>
              <w:rStyle w:val="Hyperlink"/>
              <w:noProof/>
              <w:sz w:val="26"/>
            </w:rPr>
            <w:instrText xml:space="preserve"> </w:instrText>
          </w:r>
          <w:r w:rsidRPr="004F7404">
            <w:rPr>
              <w:rStyle w:val="Hyperlink"/>
              <w:noProof/>
              <w:sz w:val="26"/>
            </w:rPr>
          </w:r>
          <w:r w:rsidRPr="004F7404">
            <w:rPr>
              <w:rStyle w:val="Hyperlink"/>
              <w:noProof/>
              <w:sz w:val="26"/>
            </w:rPr>
            <w:fldChar w:fldCharType="separate"/>
          </w:r>
          <w:r w:rsidRPr="004F7404">
            <w:rPr>
              <w:rStyle w:val="Hyperlink"/>
              <w:noProof/>
              <w:sz w:val="26"/>
            </w:rPr>
            <w:t>5. Housing Instability and Poor Quality Accommodation</w:t>
          </w:r>
          <w:r w:rsidRPr="004F7404">
            <w:rPr>
              <w:noProof/>
              <w:webHidden/>
              <w:sz w:val="26"/>
            </w:rPr>
            <w:tab/>
          </w:r>
          <w:r w:rsidRPr="004F7404">
            <w:rPr>
              <w:noProof/>
              <w:webHidden/>
              <w:sz w:val="26"/>
            </w:rPr>
            <w:fldChar w:fldCharType="begin"/>
          </w:r>
          <w:r w:rsidRPr="004F7404">
            <w:rPr>
              <w:noProof/>
              <w:webHidden/>
              <w:sz w:val="26"/>
            </w:rPr>
            <w:instrText xml:space="preserve"> PAGEREF _Toc228488303 \h </w:instrText>
          </w:r>
          <w:r w:rsidRPr="004F7404">
            <w:rPr>
              <w:noProof/>
              <w:webHidden/>
              <w:sz w:val="26"/>
            </w:rPr>
          </w:r>
          <w:r w:rsidRPr="004F7404">
            <w:rPr>
              <w:noProof/>
              <w:webHidden/>
              <w:sz w:val="26"/>
            </w:rPr>
            <w:fldChar w:fldCharType="separate"/>
          </w:r>
          <w:r w:rsidRPr="004F7404">
            <w:rPr>
              <w:noProof/>
              <w:webHidden/>
              <w:sz w:val="26"/>
            </w:rPr>
            <w:t>4</w:t>
          </w:r>
          <w:r w:rsidRPr="004F7404">
            <w:rPr>
              <w:noProof/>
              <w:webHidden/>
              <w:sz w:val="26"/>
            </w:rPr>
            <w:fldChar w:fldCharType="end"/>
          </w:r>
          <w:r w:rsidRPr="004F7404">
            <w:rPr>
              <w:rStyle w:val="Hyperlink"/>
              <w:noProof/>
              <w:sz w:val="26"/>
            </w:rPr>
            <w:fldChar w:fldCharType="end"/>
          </w:r>
        </w:p>
        <w:p w14:paraId="36E57BAA" w14:textId="7F3E04BA" w:rsidR="00BA4193" w:rsidRPr="004F7404" w:rsidRDefault="00BA4193" w:rsidP="00087854">
          <w:pPr>
            <w:pStyle w:val="TOC3"/>
            <w:numPr>
              <w:ilvl w:val="0"/>
              <w:numId w:val="54"/>
            </w:numPr>
            <w:tabs>
              <w:tab w:val="right" w:leader="dot" w:pos="9016"/>
            </w:tabs>
            <w:jc w:val="both"/>
            <w:rPr>
              <w:rFonts w:eastAsiaTheme="minorEastAsia" w:cs="Mangal"/>
              <w:smallCaps w:val="0"/>
              <w:noProof/>
              <w:kern w:val="2"/>
              <w:sz w:val="26"/>
              <w:lang w:val="en-IN" w:eastAsia="en-GB" w:bidi="mr-IN"/>
              <w14:ligatures w14:val="standardContextual"/>
            </w:rPr>
          </w:pPr>
          <w:hyperlink w:anchor="_Toc228488304" w:history="1">
            <w:r w:rsidRPr="004F7404">
              <w:rPr>
                <w:rStyle w:val="Hyperlink"/>
                <w:noProof/>
                <w:sz w:val="26"/>
              </w:rPr>
              <w:t>6. Soc</w:t>
            </w:r>
            <w:r w:rsidRPr="004F7404">
              <w:rPr>
                <w:rStyle w:val="Hyperlink"/>
                <w:noProof/>
                <w:sz w:val="26"/>
              </w:rPr>
              <w:t>i</w:t>
            </w:r>
            <w:r w:rsidRPr="004F7404">
              <w:rPr>
                <w:rStyle w:val="Hyperlink"/>
                <w:noProof/>
                <w:sz w:val="26"/>
              </w:rPr>
              <w:t>al Isolation and Loneliness</w:t>
            </w:r>
            <w:r w:rsidRPr="004F7404">
              <w:rPr>
                <w:noProof/>
                <w:webHidden/>
                <w:sz w:val="26"/>
              </w:rPr>
              <w:tab/>
            </w:r>
            <w:r w:rsidRPr="004F7404">
              <w:rPr>
                <w:noProof/>
                <w:webHidden/>
                <w:sz w:val="26"/>
              </w:rPr>
              <w:fldChar w:fldCharType="begin"/>
            </w:r>
            <w:r w:rsidRPr="004F7404">
              <w:rPr>
                <w:noProof/>
                <w:webHidden/>
                <w:sz w:val="26"/>
              </w:rPr>
              <w:instrText xml:space="preserve"> PAGEREF _Toc228488304 \h </w:instrText>
            </w:r>
            <w:r w:rsidRPr="004F7404">
              <w:rPr>
                <w:noProof/>
                <w:webHidden/>
                <w:sz w:val="26"/>
              </w:rPr>
            </w:r>
            <w:r w:rsidRPr="004F7404">
              <w:rPr>
                <w:noProof/>
                <w:webHidden/>
                <w:sz w:val="26"/>
              </w:rPr>
              <w:fldChar w:fldCharType="separate"/>
            </w:r>
            <w:r w:rsidRPr="004F7404">
              <w:rPr>
                <w:noProof/>
                <w:webHidden/>
                <w:sz w:val="26"/>
              </w:rPr>
              <w:t>4</w:t>
            </w:r>
            <w:r w:rsidRPr="004F7404">
              <w:rPr>
                <w:noProof/>
                <w:webHidden/>
                <w:sz w:val="26"/>
              </w:rPr>
              <w:fldChar w:fldCharType="end"/>
            </w:r>
          </w:hyperlink>
        </w:p>
        <w:p w14:paraId="1CC5E7C6" w14:textId="353036C8" w:rsidR="00BA4193" w:rsidRPr="004F7404" w:rsidRDefault="00BA4193" w:rsidP="00087854">
          <w:pPr>
            <w:pStyle w:val="TOC2"/>
            <w:numPr>
              <w:ilvl w:val="0"/>
              <w:numId w:val="54"/>
            </w:numPr>
            <w:tabs>
              <w:tab w:val="right" w:leader="dot" w:pos="9016"/>
            </w:tabs>
            <w:jc w:val="both"/>
            <w:rPr>
              <w:rFonts w:eastAsiaTheme="minorEastAsia" w:cs="Mangal"/>
              <w:b w:val="0"/>
              <w:bCs w:val="0"/>
              <w:smallCaps w:val="0"/>
              <w:noProof/>
              <w:kern w:val="2"/>
              <w:sz w:val="26"/>
              <w:lang w:val="en-IN" w:eastAsia="en-GB" w:bidi="mr-IN"/>
              <w14:ligatures w14:val="standardContextual"/>
            </w:rPr>
          </w:pPr>
          <w:hyperlink w:anchor="_Toc228488305" w:history="1">
            <w:r w:rsidRPr="004F7404">
              <w:rPr>
                <w:rStyle w:val="Hyperlink"/>
                <w:noProof/>
                <w:sz w:val="26"/>
              </w:rPr>
              <w:t>National Response to Reduce Health Inequalities</w:t>
            </w:r>
            <w:r w:rsidRPr="004F7404">
              <w:rPr>
                <w:noProof/>
                <w:webHidden/>
                <w:sz w:val="26"/>
              </w:rPr>
              <w:tab/>
            </w:r>
            <w:r w:rsidRPr="004F7404">
              <w:rPr>
                <w:noProof/>
                <w:webHidden/>
                <w:sz w:val="26"/>
              </w:rPr>
              <w:fldChar w:fldCharType="begin"/>
            </w:r>
            <w:r w:rsidRPr="004F7404">
              <w:rPr>
                <w:noProof/>
                <w:webHidden/>
                <w:sz w:val="26"/>
              </w:rPr>
              <w:instrText xml:space="preserve"> PAGEREF _Toc228488305 \h </w:instrText>
            </w:r>
            <w:r w:rsidRPr="004F7404">
              <w:rPr>
                <w:noProof/>
                <w:webHidden/>
                <w:sz w:val="26"/>
              </w:rPr>
            </w:r>
            <w:r w:rsidRPr="004F7404">
              <w:rPr>
                <w:noProof/>
                <w:webHidden/>
                <w:sz w:val="26"/>
              </w:rPr>
              <w:fldChar w:fldCharType="separate"/>
            </w:r>
            <w:r w:rsidRPr="004F7404">
              <w:rPr>
                <w:noProof/>
                <w:webHidden/>
                <w:sz w:val="26"/>
              </w:rPr>
              <w:t>4</w:t>
            </w:r>
            <w:r w:rsidRPr="004F7404">
              <w:rPr>
                <w:noProof/>
                <w:webHidden/>
                <w:sz w:val="26"/>
              </w:rPr>
              <w:fldChar w:fldCharType="end"/>
            </w:r>
          </w:hyperlink>
        </w:p>
        <w:p w14:paraId="6F59678D" w14:textId="7AC61BF8" w:rsidR="00BA4193" w:rsidRPr="004F7404" w:rsidRDefault="00BA4193" w:rsidP="00087854">
          <w:pPr>
            <w:pStyle w:val="TOC2"/>
            <w:numPr>
              <w:ilvl w:val="0"/>
              <w:numId w:val="54"/>
            </w:numPr>
            <w:tabs>
              <w:tab w:val="right" w:leader="dot" w:pos="9016"/>
            </w:tabs>
            <w:jc w:val="both"/>
            <w:rPr>
              <w:rFonts w:eastAsiaTheme="minorEastAsia" w:cs="Mangal"/>
              <w:b w:val="0"/>
              <w:bCs w:val="0"/>
              <w:smallCaps w:val="0"/>
              <w:noProof/>
              <w:kern w:val="2"/>
              <w:sz w:val="26"/>
              <w:lang w:val="en-IN" w:eastAsia="en-GB" w:bidi="mr-IN"/>
              <w14:ligatures w14:val="standardContextual"/>
            </w:rPr>
          </w:pPr>
          <w:hyperlink w:anchor="_Toc228488306" w:history="1">
            <w:r w:rsidRPr="004F7404">
              <w:rPr>
                <w:rStyle w:val="Hyperlink"/>
                <w:noProof/>
                <w:sz w:val="26"/>
              </w:rPr>
              <w:t>Organisations That Support Young Adults</w:t>
            </w:r>
            <w:r w:rsidRPr="004F7404">
              <w:rPr>
                <w:noProof/>
                <w:webHidden/>
                <w:sz w:val="26"/>
              </w:rPr>
              <w:tab/>
            </w:r>
            <w:r w:rsidRPr="004F7404">
              <w:rPr>
                <w:noProof/>
                <w:webHidden/>
                <w:sz w:val="26"/>
              </w:rPr>
              <w:fldChar w:fldCharType="begin"/>
            </w:r>
            <w:r w:rsidRPr="004F7404">
              <w:rPr>
                <w:noProof/>
                <w:webHidden/>
                <w:sz w:val="26"/>
              </w:rPr>
              <w:instrText xml:space="preserve"> PAGEREF _Toc228488306 \h </w:instrText>
            </w:r>
            <w:r w:rsidRPr="004F7404">
              <w:rPr>
                <w:noProof/>
                <w:webHidden/>
                <w:sz w:val="26"/>
              </w:rPr>
            </w:r>
            <w:r w:rsidRPr="004F7404">
              <w:rPr>
                <w:noProof/>
                <w:webHidden/>
                <w:sz w:val="26"/>
              </w:rPr>
              <w:fldChar w:fldCharType="separate"/>
            </w:r>
            <w:r w:rsidRPr="004F7404">
              <w:rPr>
                <w:noProof/>
                <w:webHidden/>
                <w:sz w:val="26"/>
              </w:rPr>
              <w:t>4</w:t>
            </w:r>
            <w:r w:rsidRPr="004F7404">
              <w:rPr>
                <w:noProof/>
                <w:webHidden/>
                <w:sz w:val="26"/>
              </w:rPr>
              <w:fldChar w:fldCharType="end"/>
            </w:r>
          </w:hyperlink>
        </w:p>
        <w:p w14:paraId="53E67725" w14:textId="381F2BC7" w:rsidR="00BA4193" w:rsidRPr="004F7404" w:rsidRDefault="00BA4193" w:rsidP="00087854">
          <w:pPr>
            <w:pStyle w:val="TOC2"/>
            <w:numPr>
              <w:ilvl w:val="0"/>
              <w:numId w:val="54"/>
            </w:numPr>
            <w:tabs>
              <w:tab w:val="right" w:leader="dot" w:pos="9016"/>
            </w:tabs>
            <w:jc w:val="both"/>
            <w:rPr>
              <w:rFonts w:eastAsiaTheme="minorEastAsia" w:cs="Mangal"/>
              <w:b w:val="0"/>
              <w:bCs w:val="0"/>
              <w:smallCaps w:val="0"/>
              <w:noProof/>
              <w:kern w:val="2"/>
              <w:sz w:val="26"/>
              <w:lang w:val="en-IN" w:eastAsia="en-GB" w:bidi="mr-IN"/>
              <w14:ligatures w14:val="standardContextual"/>
            </w:rPr>
          </w:pPr>
          <w:hyperlink w:anchor="_Toc228488307" w:history="1">
            <w:r w:rsidRPr="004F7404">
              <w:rPr>
                <w:rStyle w:val="Hyperlink"/>
                <w:noProof/>
                <w:sz w:val="26"/>
              </w:rPr>
              <w:t>Conclusion</w:t>
            </w:r>
            <w:r w:rsidRPr="004F7404">
              <w:rPr>
                <w:noProof/>
                <w:webHidden/>
                <w:sz w:val="26"/>
              </w:rPr>
              <w:tab/>
            </w:r>
            <w:r w:rsidRPr="004F7404">
              <w:rPr>
                <w:noProof/>
                <w:webHidden/>
                <w:sz w:val="26"/>
              </w:rPr>
              <w:fldChar w:fldCharType="begin"/>
            </w:r>
            <w:r w:rsidRPr="004F7404">
              <w:rPr>
                <w:noProof/>
                <w:webHidden/>
                <w:sz w:val="26"/>
              </w:rPr>
              <w:instrText xml:space="preserve"> PAGEREF _Toc228488307 \h </w:instrText>
            </w:r>
            <w:r w:rsidRPr="004F7404">
              <w:rPr>
                <w:noProof/>
                <w:webHidden/>
                <w:sz w:val="26"/>
              </w:rPr>
            </w:r>
            <w:r w:rsidRPr="004F7404">
              <w:rPr>
                <w:noProof/>
                <w:webHidden/>
                <w:sz w:val="26"/>
              </w:rPr>
              <w:fldChar w:fldCharType="separate"/>
            </w:r>
            <w:r w:rsidRPr="004F7404">
              <w:rPr>
                <w:noProof/>
                <w:webHidden/>
                <w:sz w:val="26"/>
              </w:rPr>
              <w:t>5</w:t>
            </w:r>
            <w:r w:rsidRPr="004F7404">
              <w:rPr>
                <w:noProof/>
                <w:webHidden/>
                <w:sz w:val="26"/>
              </w:rPr>
              <w:fldChar w:fldCharType="end"/>
            </w:r>
          </w:hyperlink>
        </w:p>
        <w:p w14:paraId="4B75A813" w14:textId="1A5DE35E" w:rsidR="00BA4193" w:rsidRPr="004F7404" w:rsidRDefault="00BA4193" w:rsidP="00087854">
          <w:pPr>
            <w:pStyle w:val="TOC1"/>
            <w:numPr>
              <w:ilvl w:val="0"/>
              <w:numId w:val="54"/>
            </w:numPr>
            <w:tabs>
              <w:tab w:val="right" w:leader="dot" w:pos="9016"/>
            </w:tabs>
            <w:jc w:val="both"/>
            <w:rPr>
              <w:rFonts w:eastAsiaTheme="minorEastAsia" w:cs="Mangal"/>
              <w:b w:val="0"/>
              <w:bCs w:val="0"/>
              <w:caps w:val="0"/>
              <w:noProof/>
              <w:kern w:val="2"/>
              <w:sz w:val="26"/>
              <w:u w:val="none"/>
              <w:lang w:val="en-IN" w:eastAsia="en-GB" w:bidi="mr-IN"/>
              <w14:ligatures w14:val="standardContextual"/>
            </w:rPr>
          </w:pPr>
          <w:hyperlink w:anchor="_Toc228488308" w:history="1">
            <w:r w:rsidRPr="004F7404">
              <w:rPr>
                <w:rStyle w:val="Hyperlink"/>
                <w:noProof/>
                <w:sz w:val="26"/>
              </w:rPr>
              <w:t xml:space="preserve">Epidemiological Analysis: Childhood Obesity in the London </w:t>
            </w:r>
            <w:r w:rsidR="004F7404">
              <w:rPr>
                <w:rStyle w:val="Hyperlink"/>
                <w:noProof/>
                <w:sz w:val="26"/>
              </w:rPr>
              <w:t xml:space="preserve">  </w:t>
            </w:r>
            <w:r w:rsidRPr="004F7404">
              <w:rPr>
                <w:rStyle w:val="Hyperlink"/>
                <w:noProof/>
                <w:sz w:val="26"/>
              </w:rPr>
              <w:t>Borough of Tower Hamlets</w:t>
            </w:r>
            <w:r w:rsidRPr="004F7404">
              <w:rPr>
                <w:noProof/>
                <w:webHidden/>
                <w:sz w:val="26"/>
              </w:rPr>
              <w:tab/>
            </w:r>
            <w:r w:rsidRPr="004F7404">
              <w:rPr>
                <w:noProof/>
                <w:webHidden/>
                <w:sz w:val="26"/>
              </w:rPr>
              <w:fldChar w:fldCharType="begin"/>
            </w:r>
            <w:r w:rsidRPr="004F7404">
              <w:rPr>
                <w:noProof/>
                <w:webHidden/>
                <w:sz w:val="26"/>
              </w:rPr>
              <w:instrText xml:space="preserve"> PAGEREF _Toc228488308 \h </w:instrText>
            </w:r>
            <w:r w:rsidRPr="004F7404">
              <w:rPr>
                <w:noProof/>
                <w:webHidden/>
                <w:sz w:val="26"/>
              </w:rPr>
            </w:r>
            <w:r w:rsidRPr="004F7404">
              <w:rPr>
                <w:noProof/>
                <w:webHidden/>
                <w:sz w:val="26"/>
              </w:rPr>
              <w:fldChar w:fldCharType="separate"/>
            </w:r>
            <w:r w:rsidRPr="004F7404">
              <w:rPr>
                <w:noProof/>
                <w:webHidden/>
                <w:sz w:val="26"/>
              </w:rPr>
              <w:t>5</w:t>
            </w:r>
            <w:r w:rsidRPr="004F7404">
              <w:rPr>
                <w:noProof/>
                <w:webHidden/>
                <w:sz w:val="26"/>
              </w:rPr>
              <w:fldChar w:fldCharType="end"/>
            </w:r>
          </w:hyperlink>
        </w:p>
        <w:p w14:paraId="7BBDAE60" w14:textId="2857DF99" w:rsidR="00BA4193" w:rsidRPr="004F7404" w:rsidRDefault="00BA4193" w:rsidP="00087854">
          <w:pPr>
            <w:pStyle w:val="TOC2"/>
            <w:numPr>
              <w:ilvl w:val="0"/>
              <w:numId w:val="54"/>
            </w:numPr>
            <w:tabs>
              <w:tab w:val="right" w:leader="dot" w:pos="9016"/>
            </w:tabs>
            <w:jc w:val="both"/>
            <w:rPr>
              <w:rFonts w:eastAsiaTheme="minorEastAsia" w:cs="Mangal"/>
              <w:b w:val="0"/>
              <w:bCs w:val="0"/>
              <w:smallCaps w:val="0"/>
              <w:noProof/>
              <w:kern w:val="2"/>
              <w:sz w:val="26"/>
              <w:lang w:val="en-IN" w:eastAsia="en-GB" w:bidi="mr-IN"/>
              <w14:ligatures w14:val="standardContextual"/>
            </w:rPr>
          </w:pPr>
          <w:hyperlink w:anchor="_Toc228488309" w:history="1">
            <w:r w:rsidRPr="004F7404">
              <w:rPr>
                <w:rStyle w:val="Hyperlink"/>
                <w:noProof/>
                <w:sz w:val="26"/>
              </w:rPr>
              <w:t>Introduction</w:t>
            </w:r>
            <w:r w:rsidRPr="004F7404">
              <w:rPr>
                <w:noProof/>
                <w:webHidden/>
                <w:sz w:val="26"/>
              </w:rPr>
              <w:tab/>
            </w:r>
            <w:r w:rsidRPr="004F7404">
              <w:rPr>
                <w:noProof/>
                <w:webHidden/>
                <w:sz w:val="26"/>
              </w:rPr>
              <w:fldChar w:fldCharType="begin"/>
            </w:r>
            <w:r w:rsidRPr="004F7404">
              <w:rPr>
                <w:noProof/>
                <w:webHidden/>
                <w:sz w:val="26"/>
              </w:rPr>
              <w:instrText xml:space="preserve"> PAGEREF _Toc228488309 \h </w:instrText>
            </w:r>
            <w:r w:rsidRPr="004F7404">
              <w:rPr>
                <w:noProof/>
                <w:webHidden/>
                <w:sz w:val="26"/>
              </w:rPr>
            </w:r>
            <w:r w:rsidRPr="004F7404">
              <w:rPr>
                <w:noProof/>
                <w:webHidden/>
                <w:sz w:val="26"/>
              </w:rPr>
              <w:fldChar w:fldCharType="separate"/>
            </w:r>
            <w:r w:rsidRPr="004F7404">
              <w:rPr>
                <w:noProof/>
                <w:webHidden/>
                <w:sz w:val="26"/>
              </w:rPr>
              <w:t>5</w:t>
            </w:r>
            <w:r w:rsidRPr="004F7404">
              <w:rPr>
                <w:noProof/>
                <w:webHidden/>
                <w:sz w:val="26"/>
              </w:rPr>
              <w:fldChar w:fldCharType="end"/>
            </w:r>
          </w:hyperlink>
        </w:p>
        <w:p w14:paraId="36D79209" w14:textId="319E218F" w:rsidR="00BA4193" w:rsidRPr="004F7404" w:rsidRDefault="00BA4193" w:rsidP="00087854">
          <w:pPr>
            <w:pStyle w:val="TOC3"/>
            <w:numPr>
              <w:ilvl w:val="0"/>
              <w:numId w:val="54"/>
            </w:numPr>
            <w:tabs>
              <w:tab w:val="right" w:leader="dot" w:pos="9016"/>
            </w:tabs>
            <w:jc w:val="both"/>
            <w:rPr>
              <w:rFonts w:eastAsiaTheme="minorEastAsia" w:cs="Mangal"/>
              <w:smallCaps w:val="0"/>
              <w:noProof/>
              <w:kern w:val="2"/>
              <w:sz w:val="26"/>
              <w:lang w:val="en-IN" w:eastAsia="en-GB" w:bidi="mr-IN"/>
              <w14:ligatures w14:val="standardContextual"/>
            </w:rPr>
          </w:pPr>
          <w:hyperlink w:anchor="_Toc228488310" w:history="1">
            <w:r w:rsidRPr="004F7404">
              <w:rPr>
                <w:rStyle w:val="Hyperlink"/>
                <w:b/>
                <w:bCs/>
                <w:noProof/>
                <w:sz w:val="26"/>
              </w:rPr>
              <w:t>Definition and Socio-Cultural Consequences</w:t>
            </w:r>
            <w:r w:rsidRPr="004F7404">
              <w:rPr>
                <w:noProof/>
                <w:webHidden/>
                <w:sz w:val="26"/>
              </w:rPr>
              <w:tab/>
            </w:r>
            <w:r w:rsidRPr="004F7404">
              <w:rPr>
                <w:noProof/>
                <w:webHidden/>
                <w:sz w:val="26"/>
              </w:rPr>
              <w:fldChar w:fldCharType="begin"/>
            </w:r>
            <w:r w:rsidRPr="004F7404">
              <w:rPr>
                <w:noProof/>
                <w:webHidden/>
                <w:sz w:val="26"/>
              </w:rPr>
              <w:instrText xml:space="preserve"> PAGEREF _Toc228488310 \h </w:instrText>
            </w:r>
            <w:r w:rsidRPr="004F7404">
              <w:rPr>
                <w:noProof/>
                <w:webHidden/>
                <w:sz w:val="26"/>
              </w:rPr>
            </w:r>
            <w:r w:rsidRPr="004F7404">
              <w:rPr>
                <w:noProof/>
                <w:webHidden/>
                <w:sz w:val="26"/>
              </w:rPr>
              <w:fldChar w:fldCharType="separate"/>
            </w:r>
            <w:r w:rsidRPr="004F7404">
              <w:rPr>
                <w:noProof/>
                <w:webHidden/>
                <w:sz w:val="26"/>
              </w:rPr>
              <w:t>5</w:t>
            </w:r>
            <w:r w:rsidRPr="004F7404">
              <w:rPr>
                <w:noProof/>
                <w:webHidden/>
                <w:sz w:val="26"/>
              </w:rPr>
              <w:fldChar w:fldCharType="end"/>
            </w:r>
          </w:hyperlink>
        </w:p>
        <w:p w14:paraId="070A322C" w14:textId="5C804FA7" w:rsidR="00BA4193" w:rsidRPr="004F7404" w:rsidRDefault="00BA4193" w:rsidP="00087854">
          <w:pPr>
            <w:pStyle w:val="TOC3"/>
            <w:numPr>
              <w:ilvl w:val="0"/>
              <w:numId w:val="54"/>
            </w:numPr>
            <w:tabs>
              <w:tab w:val="right" w:leader="dot" w:pos="9016"/>
            </w:tabs>
            <w:jc w:val="both"/>
            <w:rPr>
              <w:rFonts w:eastAsiaTheme="minorEastAsia" w:cs="Mangal"/>
              <w:smallCaps w:val="0"/>
              <w:noProof/>
              <w:kern w:val="2"/>
              <w:sz w:val="26"/>
              <w:lang w:val="en-IN" w:eastAsia="en-GB" w:bidi="mr-IN"/>
              <w14:ligatures w14:val="standardContextual"/>
            </w:rPr>
          </w:pPr>
          <w:hyperlink w:anchor="_Toc228488311" w:history="1">
            <w:r w:rsidRPr="004F7404">
              <w:rPr>
                <w:rStyle w:val="Hyperlink"/>
                <w:b/>
                <w:bCs/>
                <w:noProof/>
                <w:sz w:val="26"/>
              </w:rPr>
              <w:t>Epidemiological Severity: Worldwide vs. UK</w:t>
            </w:r>
            <w:r w:rsidRPr="004F7404">
              <w:rPr>
                <w:noProof/>
                <w:webHidden/>
                <w:sz w:val="26"/>
              </w:rPr>
              <w:tab/>
            </w:r>
            <w:r w:rsidRPr="004F7404">
              <w:rPr>
                <w:noProof/>
                <w:webHidden/>
                <w:sz w:val="26"/>
              </w:rPr>
              <w:fldChar w:fldCharType="begin"/>
            </w:r>
            <w:r w:rsidRPr="004F7404">
              <w:rPr>
                <w:noProof/>
                <w:webHidden/>
                <w:sz w:val="26"/>
              </w:rPr>
              <w:instrText xml:space="preserve"> PAGEREF _Toc228488311 \h </w:instrText>
            </w:r>
            <w:r w:rsidRPr="004F7404">
              <w:rPr>
                <w:noProof/>
                <w:webHidden/>
                <w:sz w:val="26"/>
              </w:rPr>
            </w:r>
            <w:r w:rsidRPr="004F7404">
              <w:rPr>
                <w:noProof/>
                <w:webHidden/>
                <w:sz w:val="26"/>
              </w:rPr>
              <w:fldChar w:fldCharType="separate"/>
            </w:r>
            <w:r w:rsidRPr="004F7404">
              <w:rPr>
                <w:noProof/>
                <w:webHidden/>
                <w:sz w:val="26"/>
              </w:rPr>
              <w:t>5</w:t>
            </w:r>
            <w:r w:rsidRPr="004F7404">
              <w:rPr>
                <w:noProof/>
                <w:webHidden/>
                <w:sz w:val="26"/>
              </w:rPr>
              <w:fldChar w:fldCharType="end"/>
            </w:r>
          </w:hyperlink>
        </w:p>
        <w:p w14:paraId="2D337FBA" w14:textId="656FBA29" w:rsidR="00BA4193" w:rsidRPr="004F7404" w:rsidRDefault="00BA4193" w:rsidP="00087854">
          <w:pPr>
            <w:pStyle w:val="TOC3"/>
            <w:numPr>
              <w:ilvl w:val="0"/>
              <w:numId w:val="54"/>
            </w:numPr>
            <w:tabs>
              <w:tab w:val="right" w:leader="dot" w:pos="9016"/>
            </w:tabs>
            <w:jc w:val="both"/>
            <w:rPr>
              <w:rFonts w:eastAsiaTheme="minorEastAsia" w:cs="Mangal"/>
              <w:smallCaps w:val="0"/>
              <w:noProof/>
              <w:kern w:val="2"/>
              <w:sz w:val="26"/>
              <w:lang w:val="en-IN" w:eastAsia="en-GB" w:bidi="mr-IN"/>
              <w14:ligatures w14:val="standardContextual"/>
            </w:rPr>
          </w:pPr>
          <w:hyperlink w:anchor="_Toc228488312" w:history="1">
            <w:r w:rsidRPr="004F7404">
              <w:rPr>
                <w:rStyle w:val="Hyperlink"/>
                <w:b/>
                <w:bCs/>
                <w:noProof/>
                <w:sz w:val="26"/>
              </w:rPr>
              <w:t>Specific defined Population: Tower Hamlets</w:t>
            </w:r>
            <w:r w:rsidRPr="004F7404">
              <w:rPr>
                <w:noProof/>
                <w:webHidden/>
                <w:sz w:val="26"/>
              </w:rPr>
              <w:tab/>
            </w:r>
            <w:r w:rsidRPr="004F7404">
              <w:rPr>
                <w:noProof/>
                <w:webHidden/>
                <w:sz w:val="26"/>
              </w:rPr>
              <w:fldChar w:fldCharType="begin"/>
            </w:r>
            <w:r w:rsidRPr="004F7404">
              <w:rPr>
                <w:noProof/>
                <w:webHidden/>
                <w:sz w:val="26"/>
              </w:rPr>
              <w:instrText xml:space="preserve"> PAGEREF _Toc228488312 \h </w:instrText>
            </w:r>
            <w:r w:rsidRPr="004F7404">
              <w:rPr>
                <w:noProof/>
                <w:webHidden/>
                <w:sz w:val="26"/>
              </w:rPr>
            </w:r>
            <w:r w:rsidRPr="004F7404">
              <w:rPr>
                <w:noProof/>
                <w:webHidden/>
                <w:sz w:val="26"/>
              </w:rPr>
              <w:fldChar w:fldCharType="separate"/>
            </w:r>
            <w:r w:rsidRPr="004F7404">
              <w:rPr>
                <w:noProof/>
                <w:webHidden/>
                <w:sz w:val="26"/>
              </w:rPr>
              <w:t>5</w:t>
            </w:r>
            <w:r w:rsidRPr="004F7404">
              <w:rPr>
                <w:noProof/>
                <w:webHidden/>
                <w:sz w:val="26"/>
              </w:rPr>
              <w:fldChar w:fldCharType="end"/>
            </w:r>
          </w:hyperlink>
        </w:p>
        <w:p w14:paraId="2BB7CFD3" w14:textId="2D52057E" w:rsidR="00BA4193" w:rsidRPr="004F7404" w:rsidRDefault="00BA4193" w:rsidP="00087854">
          <w:pPr>
            <w:pStyle w:val="TOC3"/>
            <w:numPr>
              <w:ilvl w:val="0"/>
              <w:numId w:val="54"/>
            </w:numPr>
            <w:tabs>
              <w:tab w:val="right" w:leader="dot" w:pos="9016"/>
            </w:tabs>
            <w:jc w:val="both"/>
            <w:rPr>
              <w:rFonts w:eastAsiaTheme="minorEastAsia" w:cs="Mangal"/>
              <w:smallCaps w:val="0"/>
              <w:noProof/>
              <w:kern w:val="2"/>
              <w:sz w:val="26"/>
              <w:lang w:val="en-IN" w:eastAsia="en-GB" w:bidi="mr-IN"/>
              <w14:ligatures w14:val="standardContextual"/>
            </w:rPr>
          </w:pPr>
          <w:hyperlink w:anchor="_Toc228488313" w:history="1">
            <w:r w:rsidRPr="004F7404">
              <w:rPr>
                <w:rStyle w:val="Hyperlink"/>
                <w:b/>
                <w:bCs/>
                <w:noProof/>
                <w:sz w:val="26"/>
              </w:rPr>
              <w:t>Key Determinants and Risk Factors: An Epidemiological Analysis</w:t>
            </w:r>
            <w:r w:rsidRPr="004F7404">
              <w:rPr>
                <w:noProof/>
                <w:webHidden/>
                <w:sz w:val="26"/>
              </w:rPr>
              <w:tab/>
            </w:r>
            <w:r w:rsidRPr="004F7404">
              <w:rPr>
                <w:noProof/>
                <w:webHidden/>
                <w:sz w:val="26"/>
              </w:rPr>
              <w:fldChar w:fldCharType="begin"/>
            </w:r>
            <w:r w:rsidRPr="004F7404">
              <w:rPr>
                <w:noProof/>
                <w:webHidden/>
                <w:sz w:val="26"/>
              </w:rPr>
              <w:instrText xml:space="preserve"> PAGEREF _Toc228488313 \h </w:instrText>
            </w:r>
            <w:r w:rsidRPr="004F7404">
              <w:rPr>
                <w:noProof/>
                <w:webHidden/>
                <w:sz w:val="26"/>
              </w:rPr>
            </w:r>
            <w:r w:rsidRPr="004F7404">
              <w:rPr>
                <w:noProof/>
                <w:webHidden/>
                <w:sz w:val="26"/>
              </w:rPr>
              <w:fldChar w:fldCharType="separate"/>
            </w:r>
            <w:r w:rsidRPr="004F7404">
              <w:rPr>
                <w:noProof/>
                <w:webHidden/>
                <w:sz w:val="26"/>
              </w:rPr>
              <w:t>6</w:t>
            </w:r>
            <w:r w:rsidRPr="004F7404">
              <w:rPr>
                <w:noProof/>
                <w:webHidden/>
                <w:sz w:val="26"/>
              </w:rPr>
              <w:fldChar w:fldCharType="end"/>
            </w:r>
          </w:hyperlink>
        </w:p>
        <w:p w14:paraId="45AC8F8B" w14:textId="05DDFEBE" w:rsidR="00BA4193" w:rsidRPr="004F7404" w:rsidRDefault="00BA4193" w:rsidP="00087854">
          <w:pPr>
            <w:pStyle w:val="TOC3"/>
            <w:numPr>
              <w:ilvl w:val="0"/>
              <w:numId w:val="54"/>
            </w:numPr>
            <w:tabs>
              <w:tab w:val="right" w:leader="dot" w:pos="9016"/>
            </w:tabs>
            <w:jc w:val="both"/>
            <w:rPr>
              <w:rFonts w:eastAsiaTheme="minorEastAsia" w:cs="Mangal"/>
              <w:smallCaps w:val="0"/>
              <w:noProof/>
              <w:kern w:val="2"/>
              <w:sz w:val="26"/>
              <w:lang w:val="en-IN" w:eastAsia="en-GB" w:bidi="mr-IN"/>
              <w14:ligatures w14:val="standardContextual"/>
            </w:rPr>
          </w:pPr>
          <w:hyperlink w:anchor="_Toc228488314" w:history="1">
            <w:r w:rsidRPr="004F7404">
              <w:rPr>
                <w:rStyle w:val="Hyperlink"/>
                <w:b/>
                <w:bCs/>
                <w:noProof/>
                <w:sz w:val="26"/>
              </w:rPr>
              <w:t>Public Health Measures: The 3 P’s</w:t>
            </w:r>
            <w:r w:rsidRPr="004F7404">
              <w:rPr>
                <w:noProof/>
                <w:webHidden/>
                <w:sz w:val="26"/>
              </w:rPr>
              <w:tab/>
            </w:r>
            <w:r w:rsidRPr="004F7404">
              <w:rPr>
                <w:noProof/>
                <w:webHidden/>
                <w:sz w:val="26"/>
              </w:rPr>
              <w:fldChar w:fldCharType="begin"/>
            </w:r>
            <w:r w:rsidRPr="004F7404">
              <w:rPr>
                <w:noProof/>
                <w:webHidden/>
                <w:sz w:val="26"/>
              </w:rPr>
              <w:instrText xml:space="preserve"> PAGEREF _Toc228488314 \h </w:instrText>
            </w:r>
            <w:r w:rsidRPr="004F7404">
              <w:rPr>
                <w:noProof/>
                <w:webHidden/>
                <w:sz w:val="26"/>
              </w:rPr>
            </w:r>
            <w:r w:rsidRPr="004F7404">
              <w:rPr>
                <w:noProof/>
                <w:webHidden/>
                <w:sz w:val="26"/>
              </w:rPr>
              <w:fldChar w:fldCharType="separate"/>
            </w:r>
            <w:r w:rsidRPr="004F7404">
              <w:rPr>
                <w:noProof/>
                <w:webHidden/>
                <w:sz w:val="26"/>
              </w:rPr>
              <w:t>7</w:t>
            </w:r>
            <w:r w:rsidRPr="004F7404">
              <w:rPr>
                <w:noProof/>
                <w:webHidden/>
                <w:sz w:val="26"/>
              </w:rPr>
              <w:fldChar w:fldCharType="end"/>
            </w:r>
          </w:hyperlink>
        </w:p>
        <w:p w14:paraId="080BA2B0" w14:textId="16DCD0C5" w:rsidR="00BA4193" w:rsidRPr="004F7404" w:rsidRDefault="00BA4193" w:rsidP="00087854">
          <w:pPr>
            <w:pStyle w:val="TOC3"/>
            <w:numPr>
              <w:ilvl w:val="0"/>
              <w:numId w:val="54"/>
            </w:numPr>
            <w:tabs>
              <w:tab w:val="right" w:leader="dot" w:pos="9016"/>
            </w:tabs>
            <w:jc w:val="both"/>
            <w:rPr>
              <w:rFonts w:eastAsiaTheme="minorEastAsia" w:cs="Mangal"/>
              <w:smallCaps w:val="0"/>
              <w:noProof/>
              <w:kern w:val="2"/>
              <w:sz w:val="26"/>
              <w:lang w:val="en-IN" w:eastAsia="en-GB" w:bidi="mr-IN"/>
              <w14:ligatures w14:val="standardContextual"/>
            </w:rPr>
          </w:pPr>
          <w:hyperlink w:anchor="_Toc228488315" w:history="1">
            <w:r w:rsidRPr="004F7404">
              <w:rPr>
                <w:rStyle w:val="Hyperlink"/>
                <w:b/>
                <w:bCs/>
                <w:noProof/>
                <w:sz w:val="26"/>
              </w:rPr>
              <w:t>Health Needs Assessment (HNA) and Risk Identification</w:t>
            </w:r>
            <w:r w:rsidRPr="004F7404">
              <w:rPr>
                <w:noProof/>
                <w:webHidden/>
                <w:sz w:val="26"/>
              </w:rPr>
              <w:tab/>
            </w:r>
            <w:r w:rsidRPr="004F7404">
              <w:rPr>
                <w:noProof/>
                <w:webHidden/>
                <w:sz w:val="26"/>
              </w:rPr>
              <w:fldChar w:fldCharType="begin"/>
            </w:r>
            <w:r w:rsidRPr="004F7404">
              <w:rPr>
                <w:noProof/>
                <w:webHidden/>
                <w:sz w:val="26"/>
              </w:rPr>
              <w:instrText xml:space="preserve"> PAGEREF _Toc228488315 \h </w:instrText>
            </w:r>
            <w:r w:rsidRPr="004F7404">
              <w:rPr>
                <w:noProof/>
                <w:webHidden/>
                <w:sz w:val="26"/>
              </w:rPr>
            </w:r>
            <w:r w:rsidRPr="004F7404">
              <w:rPr>
                <w:noProof/>
                <w:webHidden/>
                <w:sz w:val="26"/>
              </w:rPr>
              <w:fldChar w:fldCharType="separate"/>
            </w:r>
            <w:r w:rsidRPr="004F7404">
              <w:rPr>
                <w:noProof/>
                <w:webHidden/>
                <w:sz w:val="26"/>
              </w:rPr>
              <w:t>7</w:t>
            </w:r>
            <w:r w:rsidRPr="004F7404">
              <w:rPr>
                <w:noProof/>
                <w:webHidden/>
                <w:sz w:val="26"/>
              </w:rPr>
              <w:fldChar w:fldCharType="end"/>
            </w:r>
          </w:hyperlink>
        </w:p>
        <w:p w14:paraId="416CEF96" w14:textId="69797DC2" w:rsidR="00BA4193" w:rsidRPr="004F7404" w:rsidRDefault="00BA4193" w:rsidP="00087854">
          <w:pPr>
            <w:pStyle w:val="TOC3"/>
            <w:numPr>
              <w:ilvl w:val="0"/>
              <w:numId w:val="54"/>
            </w:numPr>
            <w:tabs>
              <w:tab w:val="right" w:leader="dot" w:pos="9016"/>
            </w:tabs>
            <w:jc w:val="both"/>
            <w:rPr>
              <w:rFonts w:eastAsiaTheme="minorEastAsia" w:cs="Mangal"/>
              <w:smallCaps w:val="0"/>
              <w:noProof/>
              <w:kern w:val="2"/>
              <w:sz w:val="26"/>
              <w:lang w:val="en-IN" w:eastAsia="en-GB" w:bidi="mr-IN"/>
              <w14:ligatures w14:val="standardContextual"/>
            </w:rPr>
          </w:pPr>
          <w:hyperlink w:anchor="_Toc228488316" w:history="1">
            <w:r w:rsidRPr="004F7404">
              <w:rPr>
                <w:rStyle w:val="Hyperlink"/>
                <w:b/>
                <w:bCs/>
                <w:noProof/>
                <w:sz w:val="26"/>
              </w:rPr>
              <w:t>Monitoring and Surveillance Systems</w:t>
            </w:r>
            <w:r w:rsidRPr="004F7404">
              <w:rPr>
                <w:noProof/>
                <w:webHidden/>
                <w:sz w:val="26"/>
              </w:rPr>
              <w:tab/>
            </w:r>
            <w:r w:rsidRPr="004F7404">
              <w:rPr>
                <w:noProof/>
                <w:webHidden/>
                <w:sz w:val="26"/>
              </w:rPr>
              <w:fldChar w:fldCharType="begin"/>
            </w:r>
            <w:r w:rsidRPr="004F7404">
              <w:rPr>
                <w:noProof/>
                <w:webHidden/>
                <w:sz w:val="26"/>
              </w:rPr>
              <w:instrText xml:space="preserve"> PAGEREF _Toc228488316 \h </w:instrText>
            </w:r>
            <w:r w:rsidRPr="004F7404">
              <w:rPr>
                <w:noProof/>
                <w:webHidden/>
                <w:sz w:val="26"/>
              </w:rPr>
            </w:r>
            <w:r w:rsidRPr="004F7404">
              <w:rPr>
                <w:noProof/>
                <w:webHidden/>
                <w:sz w:val="26"/>
              </w:rPr>
              <w:fldChar w:fldCharType="separate"/>
            </w:r>
            <w:r w:rsidRPr="004F7404">
              <w:rPr>
                <w:noProof/>
                <w:webHidden/>
                <w:sz w:val="26"/>
              </w:rPr>
              <w:t>7</w:t>
            </w:r>
            <w:r w:rsidRPr="004F7404">
              <w:rPr>
                <w:noProof/>
                <w:webHidden/>
                <w:sz w:val="26"/>
              </w:rPr>
              <w:fldChar w:fldCharType="end"/>
            </w:r>
          </w:hyperlink>
        </w:p>
        <w:p w14:paraId="0B30296F" w14:textId="78D6A146" w:rsidR="00BA4193" w:rsidRPr="004F7404" w:rsidRDefault="00BA4193" w:rsidP="00087854">
          <w:pPr>
            <w:pStyle w:val="TOC3"/>
            <w:numPr>
              <w:ilvl w:val="0"/>
              <w:numId w:val="54"/>
            </w:numPr>
            <w:tabs>
              <w:tab w:val="right" w:leader="dot" w:pos="9016"/>
            </w:tabs>
            <w:jc w:val="both"/>
            <w:rPr>
              <w:rFonts w:eastAsiaTheme="minorEastAsia" w:cs="Mangal"/>
              <w:smallCaps w:val="0"/>
              <w:noProof/>
              <w:kern w:val="2"/>
              <w:sz w:val="26"/>
              <w:lang w:val="en-IN" w:eastAsia="en-GB" w:bidi="mr-IN"/>
              <w14:ligatures w14:val="standardContextual"/>
            </w:rPr>
          </w:pPr>
          <w:hyperlink w:anchor="_Toc228488317" w:history="1">
            <w:r w:rsidRPr="004F7404">
              <w:rPr>
                <w:rStyle w:val="Hyperlink"/>
                <w:b/>
                <w:bCs/>
                <w:noProof/>
                <w:sz w:val="26"/>
              </w:rPr>
              <w:t>Public Health Impact: Short- and Long-Term</w:t>
            </w:r>
            <w:r w:rsidRPr="004F7404">
              <w:rPr>
                <w:noProof/>
                <w:webHidden/>
                <w:sz w:val="26"/>
              </w:rPr>
              <w:tab/>
            </w:r>
            <w:r w:rsidRPr="004F7404">
              <w:rPr>
                <w:noProof/>
                <w:webHidden/>
                <w:sz w:val="26"/>
              </w:rPr>
              <w:fldChar w:fldCharType="begin"/>
            </w:r>
            <w:r w:rsidRPr="004F7404">
              <w:rPr>
                <w:noProof/>
                <w:webHidden/>
                <w:sz w:val="26"/>
              </w:rPr>
              <w:instrText xml:space="preserve"> PAGEREF _Toc228488317 \h </w:instrText>
            </w:r>
            <w:r w:rsidRPr="004F7404">
              <w:rPr>
                <w:noProof/>
                <w:webHidden/>
                <w:sz w:val="26"/>
              </w:rPr>
            </w:r>
            <w:r w:rsidRPr="004F7404">
              <w:rPr>
                <w:noProof/>
                <w:webHidden/>
                <w:sz w:val="26"/>
              </w:rPr>
              <w:fldChar w:fldCharType="separate"/>
            </w:r>
            <w:r w:rsidRPr="004F7404">
              <w:rPr>
                <w:noProof/>
                <w:webHidden/>
                <w:sz w:val="26"/>
              </w:rPr>
              <w:t>8</w:t>
            </w:r>
            <w:r w:rsidRPr="004F7404">
              <w:rPr>
                <w:noProof/>
                <w:webHidden/>
                <w:sz w:val="26"/>
              </w:rPr>
              <w:fldChar w:fldCharType="end"/>
            </w:r>
          </w:hyperlink>
        </w:p>
        <w:p w14:paraId="51B235EE" w14:textId="61DC7EC5" w:rsidR="00BA4193" w:rsidRPr="004F7404" w:rsidRDefault="00BA4193" w:rsidP="00087854">
          <w:pPr>
            <w:pStyle w:val="TOC3"/>
            <w:numPr>
              <w:ilvl w:val="0"/>
              <w:numId w:val="54"/>
            </w:numPr>
            <w:tabs>
              <w:tab w:val="right" w:leader="dot" w:pos="9016"/>
            </w:tabs>
            <w:jc w:val="both"/>
            <w:rPr>
              <w:rFonts w:eastAsiaTheme="minorEastAsia" w:cs="Mangal"/>
              <w:smallCaps w:val="0"/>
              <w:noProof/>
              <w:kern w:val="2"/>
              <w:sz w:val="26"/>
              <w:lang w:val="en-IN" w:eastAsia="en-GB" w:bidi="mr-IN"/>
              <w14:ligatures w14:val="standardContextual"/>
            </w:rPr>
          </w:pPr>
          <w:hyperlink w:anchor="_Toc228488318" w:history="1">
            <w:r w:rsidRPr="004F7404">
              <w:rPr>
                <w:rStyle w:val="Hyperlink"/>
                <w:b/>
                <w:bCs/>
                <w:noProof/>
                <w:sz w:val="26"/>
              </w:rPr>
              <w:t>Proposed Intervention and Ev</w:t>
            </w:r>
            <w:r w:rsidRPr="004F7404">
              <w:rPr>
                <w:rStyle w:val="Hyperlink"/>
                <w:b/>
                <w:bCs/>
                <w:noProof/>
                <w:sz w:val="26"/>
              </w:rPr>
              <w:t>a</w:t>
            </w:r>
            <w:r w:rsidRPr="004F7404">
              <w:rPr>
                <w:rStyle w:val="Hyperlink"/>
                <w:b/>
                <w:bCs/>
                <w:noProof/>
                <w:sz w:val="26"/>
              </w:rPr>
              <w:t>luation</w:t>
            </w:r>
            <w:r w:rsidRPr="004F7404">
              <w:rPr>
                <w:noProof/>
                <w:webHidden/>
                <w:sz w:val="26"/>
              </w:rPr>
              <w:tab/>
            </w:r>
            <w:r w:rsidRPr="004F7404">
              <w:rPr>
                <w:noProof/>
                <w:webHidden/>
                <w:sz w:val="26"/>
              </w:rPr>
              <w:fldChar w:fldCharType="begin"/>
            </w:r>
            <w:r w:rsidRPr="004F7404">
              <w:rPr>
                <w:noProof/>
                <w:webHidden/>
                <w:sz w:val="26"/>
              </w:rPr>
              <w:instrText xml:space="preserve"> PAGEREF _Toc228488318 \h </w:instrText>
            </w:r>
            <w:r w:rsidRPr="004F7404">
              <w:rPr>
                <w:noProof/>
                <w:webHidden/>
                <w:sz w:val="26"/>
              </w:rPr>
            </w:r>
            <w:r w:rsidRPr="004F7404">
              <w:rPr>
                <w:noProof/>
                <w:webHidden/>
                <w:sz w:val="26"/>
              </w:rPr>
              <w:fldChar w:fldCharType="separate"/>
            </w:r>
            <w:r w:rsidRPr="004F7404">
              <w:rPr>
                <w:noProof/>
                <w:webHidden/>
                <w:sz w:val="26"/>
              </w:rPr>
              <w:t>8</w:t>
            </w:r>
            <w:r w:rsidRPr="004F7404">
              <w:rPr>
                <w:noProof/>
                <w:webHidden/>
                <w:sz w:val="26"/>
              </w:rPr>
              <w:fldChar w:fldCharType="end"/>
            </w:r>
          </w:hyperlink>
        </w:p>
        <w:p w14:paraId="3CCBC48D" w14:textId="6A153B05" w:rsidR="00BA4193" w:rsidRPr="004F7404" w:rsidRDefault="00BA4193" w:rsidP="00087854">
          <w:pPr>
            <w:pStyle w:val="TOC3"/>
            <w:numPr>
              <w:ilvl w:val="0"/>
              <w:numId w:val="54"/>
            </w:numPr>
            <w:tabs>
              <w:tab w:val="right" w:leader="dot" w:pos="9016"/>
            </w:tabs>
            <w:jc w:val="both"/>
            <w:rPr>
              <w:rFonts w:eastAsiaTheme="minorEastAsia" w:cs="Mangal"/>
              <w:smallCaps w:val="0"/>
              <w:noProof/>
              <w:kern w:val="2"/>
              <w:sz w:val="26"/>
              <w:lang w:val="en-IN" w:eastAsia="en-GB" w:bidi="mr-IN"/>
              <w14:ligatures w14:val="standardContextual"/>
            </w:rPr>
          </w:pPr>
          <w:hyperlink w:anchor="_Toc228488319" w:history="1">
            <w:r w:rsidRPr="004F7404">
              <w:rPr>
                <w:rStyle w:val="Hyperlink"/>
                <w:b/>
                <w:bCs/>
                <w:noProof/>
                <w:sz w:val="26"/>
              </w:rPr>
              <w:t>Strengths and We</w:t>
            </w:r>
            <w:r w:rsidRPr="004F7404">
              <w:rPr>
                <w:rStyle w:val="Hyperlink"/>
                <w:b/>
                <w:bCs/>
                <w:noProof/>
                <w:sz w:val="26"/>
              </w:rPr>
              <w:t>a</w:t>
            </w:r>
            <w:r w:rsidRPr="004F7404">
              <w:rPr>
                <w:rStyle w:val="Hyperlink"/>
                <w:b/>
                <w:bCs/>
                <w:noProof/>
                <w:sz w:val="26"/>
              </w:rPr>
              <w:t>knesses of the Epidemiological Approach</w:t>
            </w:r>
            <w:r w:rsidRPr="004F7404">
              <w:rPr>
                <w:noProof/>
                <w:webHidden/>
                <w:sz w:val="26"/>
              </w:rPr>
              <w:tab/>
            </w:r>
            <w:r w:rsidRPr="004F7404">
              <w:rPr>
                <w:noProof/>
                <w:webHidden/>
                <w:sz w:val="26"/>
              </w:rPr>
              <w:fldChar w:fldCharType="begin"/>
            </w:r>
            <w:r w:rsidRPr="004F7404">
              <w:rPr>
                <w:noProof/>
                <w:webHidden/>
                <w:sz w:val="26"/>
              </w:rPr>
              <w:instrText xml:space="preserve"> PAGEREF _Toc228488319 \h </w:instrText>
            </w:r>
            <w:r w:rsidRPr="004F7404">
              <w:rPr>
                <w:noProof/>
                <w:webHidden/>
                <w:sz w:val="26"/>
              </w:rPr>
            </w:r>
            <w:r w:rsidRPr="004F7404">
              <w:rPr>
                <w:noProof/>
                <w:webHidden/>
                <w:sz w:val="26"/>
              </w:rPr>
              <w:fldChar w:fldCharType="separate"/>
            </w:r>
            <w:r w:rsidRPr="004F7404">
              <w:rPr>
                <w:noProof/>
                <w:webHidden/>
                <w:sz w:val="26"/>
              </w:rPr>
              <w:t>8</w:t>
            </w:r>
            <w:r w:rsidRPr="004F7404">
              <w:rPr>
                <w:noProof/>
                <w:webHidden/>
                <w:sz w:val="26"/>
              </w:rPr>
              <w:fldChar w:fldCharType="end"/>
            </w:r>
          </w:hyperlink>
        </w:p>
        <w:p w14:paraId="78D08F8C" w14:textId="2E2B5548" w:rsidR="00885E83" w:rsidRPr="004F7404" w:rsidRDefault="00885E83" w:rsidP="00087854">
          <w:pPr>
            <w:pStyle w:val="ListParagraph"/>
            <w:numPr>
              <w:ilvl w:val="0"/>
              <w:numId w:val="54"/>
            </w:numPr>
            <w:jc w:val="both"/>
            <w:rPr>
              <w:sz w:val="26"/>
              <w:szCs w:val="26"/>
            </w:rPr>
          </w:pPr>
          <w:r w:rsidRPr="004F7404">
            <w:rPr>
              <w:noProof/>
              <w:sz w:val="26"/>
              <w:szCs w:val="26"/>
            </w:rPr>
            <w:fldChar w:fldCharType="end"/>
          </w:r>
          <w:r w:rsidR="003771C5" w:rsidRPr="004F7404">
            <w:rPr>
              <w:noProof/>
              <w:sz w:val="26"/>
              <w:szCs w:val="26"/>
            </w:rPr>
            <w:t>References………………………</w:t>
          </w:r>
          <w:r w:rsidR="004F7404">
            <w:rPr>
              <w:noProof/>
              <w:sz w:val="26"/>
              <w:szCs w:val="26"/>
            </w:rPr>
            <w:t>….</w:t>
          </w:r>
          <w:r w:rsidR="003771C5" w:rsidRPr="004F7404">
            <w:rPr>
              <w:noProof/>
              <w:sz w:val="26"/>
              <w:szCs w:val="26"/>
            </w:rPr>
            <w:t>…………………………………………………………9</w:t>
          </w:r>
        </w:p>
      </w:sdtContent>
    </w:sdt>
    <w:p w14:paraId="5C8938B0" w14:textId="77777777" w:rsidR="00B14114" w:rsidRDefault="00B14114" w:rsidP="002663C0">
      <w:pPr>
        <w:pStyle w:val="Title"/>
        <w:jc w:val="both"/>
        <w:rPr>
          <w:b/>
          <w:bCs/>
          <w:sz w:val="38"/>
          <w:szCs w:val="38"/>
          <w:u w:val="single"/>
        </w:rPr>
      </w:pPr>
    </w:p>
    <w:p w14:paraId="7A2E5AFD" w14:textId="77777777" w:rsidR="0084710D" w:rsidRDefault="0084710D" w:rsidP="0084710D"/>
    <w:p w14:paraId="7A3E2E21" w14:textId="77777777" w:rsidR="00E702DF" w:rsidRDefault="00E702DF" w:rsidP="00FE58C9">
      <w:pPr>
        <w:pStyle w:val="Heading1"/>
        <w:rPr>
          <w:color w:val="000000"/>
        </w:rPr>
      </w:pPr>
      <w:bookmarkStart w:id="0" w:name="_Toc228488296"/>
    </w:p>
    <w:p w14:paraId="2247FC2D" w14:textId="5FD7F0CF" w:rsidR="00FE58C9" w:rsidRDefault="00FE58C9" w:rsidP="00FE58C9">
      <w:pPr>
        <w:pStyle w:val="Heading1"/>
        <w:rPr>
          <w:color w:val="000000"/>
          <w:sz w:val="48"/>
          <w:szCs w:val="48"/>
          <w:lang w:val="en-IN" w:bidi="mr-IN"/>
        </w:rPr>
      </w:pPr>
      <w:r>
        <w:rPr>
          <w:color w:val="000000"/>
        </w:rPr>
        <w:t>Addressing Health Inequality in Young Adults (Aged 17–30)</w:t>
      </w:r>
      <w:bookmarkEnd w:id="0"/>
    </w:p>
    <w:p w14:paraId="3EA21F2B" w14:textId="77777777" w:rsidR="00FE58C9" w:rsidRDefault="00FE58C9" w:rsidP="00FE58C9">
      <w:pPr>
        <w:pStyle w:val="Heading2"/>
        <w:rPr>
          <w:color w:val="000000"/>
        </w:rPr>
      </w:pPr>
      <w:bookmarkStart w:id="1" w:name="_Toc228488297"/>
      <w:r>
        <w:rPr>
          <w:color w:val="000000"/>
        </w:rPr>
        <w:t>Introduction</w:t>
      </w:r>
      <w:bookmarkEnd w:id="1"/>
    </w:p>
    <w:p w14:paraId="6C927FC6" w14:textId="77777777" w:rsidR="00FE58C9" w:rsidRDefault="00FE58C9" w:rsidP="002839EF">
      <w:pPr>
        <w:pStyle w:val="NormalWeb"/>
        <w:jc w:val="both"/>
        <w:rPr>
          <w:color w:val="000000"/>
        </w:rPr>
      </w:pPr>
      <w:r>
        <w:rPr>
          <w:color w:val="000000"/>
        </w:rPr>
        <w:t>The chosen target group is</w:t>
      </w:r>
      <w:r>
        <w:rPr>
          <w:rStyle w:val="apple-converted-space"/>
          <w:rFonts w:eastAsiaTheme="majorEastAsia"/>
          <w:color w:val="000000"/>
        </w:rPr>
        <w:t> </w:t>
      </w:r>
      <w:r>
        <w:rPr>
          <w:b/>
          <w:bCs/>
          <w:color w:val="000000"/>
        </w:rPr>
        <w:t>young adults aged 17–30</w:t>
      </w:r>
      <w:r>
        <w:rPr>
          <w:rStyle w:val="apple-converted-space"/>
          <w:rFonts w:eastAsiaTheme="majorEastAsia"/>
          <w:color w:val="000000"/>
        </w:rPr>
        <w:t> </w:t>
      </w:r>
      <w:r>
        <w:rPr>
          <w:color w:val="000000"/>
        </w:rPr>
        <w:t>in the UK. This demographic represents a critical transition phase from adolescence to independent adulthood. They are at high risk of health inequalities because they often fall into a "service gap" between pediatric and adult healthcare (AYPH, 2025). Additionally, this group is disproportionately affected by precarious employment, the rising cost of living, and the housing crisis, all of which act as social determinants that undermine long-term health outcomes (Young Minds, 2023).</w:t>
      </w:r>
    </w:p>
    <w:p w14:paraId="4B3CAFE3" w14:textId="77777777" w:rsidR="00FE58C9" w:rsidRDefault="00A03035" w:rsidP="00FE58C9">
      <w:r>
        <w:rPr>
          <w:noProof/>
        </w:rPr>
      </w:r>
      <w:r>
        <w:pict w14:anchorId="16A5DCB9">
          <v:rect id="Horizontal Line 11" o:spid="_x0000_s1030"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" filled="f">
            <o:lock v:ext="edit" rotation="t" aspectratio="t" verticies="t" text="t" shapetype="t"/>
            <w10:anchorlock/>
          </v:rect>
        </w:pict>
      </w:r>
    </w:p>
    <w:p w14:paraId="723472F3" w14:textId="77777777" w:rsidR="00FE58C9" w:rsidRPr="00625A78" w:rsidRDefault="00FE58C9" w:rsidP="00FE58C9">
      <w:pPr>
        <w:pStyle w:val="Heading2"/>
        <w:rPr>
          <w:b/>
          <w:bCs/>
          <w:color w:val="000000"/>
        </w:rPr>
      </w:pPr>
      <w:bookmarkStart w:id="2" w:name="_Toc228488298"/>
      <w:r w:rsidRPr="00625A78">
        <w:rPr>
          <w:b/>
          <w:bCs/>
          <w:color w:val="000000"/>
        </w:rPr>
        <w:t>The Six Most Important Health Inequality Issues for Young Adults</w:t>
      </w:r>
      <w:bookmarkEnd w:id="2"/>
    </w:p>
    <w:p w14:paraId="612ACC29" w14:textId="77777777" w:rsidR="00FE58C9" w:rsidRDefault="00FE58C9" w:rsidP="00FE58C9">
      <w:pPr>
        <w:pStyle w:val="Heading3"/>
        <w:rPr>
          <w:color w:val="000000"/>
        </w:rPr>
      </w:pPr>
      <w:bookmarkStart w:id="3" w:name="_Toc228488299"/>
      <w:r>
        <w:rPr>
          <w:color w:val="000000"/>
        </w:rPr>
        <w:t>1. High Rates of Mental Health Conditions</w:t>
      </w:r>
      <w:bookmarkEnd w:id="3"/>
    </w:p>
    <w:p w14:paraId="41E732B6" w14:textId="77777777" w:rsidR="00FE58C9" w:rsidRDefault="00FE58C9" w:rsidP="002839EF">
      <w:pPr>
        <w:pStyle w:val="NormalWeb"/>
        <w:jc w:val="both"/>
        <w:rPr>
          <w:color w:val="000000"/>
        </w:rPr>
      </w:pPr>
      <w:r>
        <w:rPr>
          <w:color w:val="000000"/>
        </w:rPr>
        <w:t>The 17–30 age group has seen a sharp increase in mental health issues, with approximately</w:t>
      </w:r>
      <w:r>
        <w:rPr>
          <w:rStyle w:val="apple-converted-space"/>
          <w:rFonts w:eastAsiaTheme="majorEastAsia"/>
          <w:color w:val="000000"/>
        </w:rPr>
        <w:t> </w:t>
      </w:r>
      <w:r>
        <w:rPr>
          <w:b/>
          <w:bCs/>
          <w:color w:val="000000"/>
        </w:rPr>
        <w:t>one in four (25.7%)</w:t>
      </w:r>
      <w:r>
        <w:rPr>
          <w:rStyle w:val="apple-converted-space"/>
          <w:rFonts w:eastAsiaTheme="majorEastAsia"/>
          <w:color w:val="000000"/>
        </w:rPr>
        <w:t> </w:t>
      </w:r>
      <w:r>
        <w:rPr>
          <w:color w:val="000000"/>
        </w:rPr>
        <w:t>young people aged 17–19 having a probable mental disorder in recent years (NHS Digital, 2023).</w:t>
      </w:r>
    </w:p>
    <w:p w14:paraId="5D914695" w14:textId="77777777" w:rsidR="00FE58C9" w:rsidRDefault="00FE58C9" w:rsidP="002839EF">
      <w:pPr>
        <w:pStyle w:val="NormalWeb"/>
        <w:numPr>
          <w:ilvl w:val="0"/>
          <w:numId w:val="28"/>
        </w:numPr>
        <w:jc w:val="both"/>
        <w:rPr>
          <w:color w:val="000000"/>
        </w:rPr>
      </w:pPr>
      <w:r>
        <w:rPr>
          <w:b/>
          <w:bCs/>
          <w:color w:val="000000"/>
        </w:rPr>
        <w:t>Risk Factors:</w:t>
      </w:r>
      <w:r>
        <w:rPr>
          <w:rStyle w:val="apple-converted-space"/>
          <w:rFonts w:eastAsiaTheme="majorEastAsia"/>
          <w:color w:val="000000"/>
        </w:rPr>
        <w:t> </w:t>
      </w:r>
      <w:r>
        <w:rPr>
          <w:color w:val="000000"/>
        </w:rPr>
        <w:t>Academic pressure, social media influence, and the "cliff-edge" of transitioning from child to adult mental health services (CAMHS), where nearly 39% of referrals are closed before accessing treatment (CYPMHC, 2024).</w:t>
      </w:r>
    </w:p>
    <w:p w14:paraId="294DB37F" w14:textId="77777777" w:rsidR="00FE58C9" w:rsidRDefault="00FE58C9" w:rsidP="002839EF">
      <w:pPr>
        <w:pStyle w:val="NormalWeb"/>
        <w:numPr>
          <w:ilvl w:val="0"/>
          <w:numId w:val="28"/>
        </w:numPr>
        <w:jc w:val="both"/>
        <w:rPr>
          <w:color w:val="000000"/>
        </w:rPr>
      </w:pPr>
      <w:r>
        <w:rPr>
          <w:b/>
          <w:bCs/>
          <w:color w:val="000000"/>
        </w:rPr>
        <w:t>Solutions:</w:t>
      </w:r>
      <w:r>
        <w:rPr>
          <w:rStyle w:val="apple-converted-space"/>
          <w:rFonts w:eastAsiaTheme="majorEastAsia"/>
          <w:color w:val="000000"/>
        </w:rPr>
        <w:t> </w:t>
      </w:r>
      <w:r>
        <w:rPr>
          <w:color w:val="000000"/>
        </w:rPr>
        <w:t>Expanding "Early Support Hubs" that offer drop-in mental health care without a GP referral to catch issues before they escalate to a crisis (Local Government Association, 2023).</w:t>
      </w:r>
    </w:p>
    <w:p w14:paraId="24EBE229" w14:textId="77777777" w:rsidR="00FE58C9" w:rsidRDefault="00FE58C9" w:rsidP="00FE58C9">
      <w:pPr>
        <w:pStyle w:val="Heading3"/>
        <w:rPr>
          <w:color w:val="000000"/>
        </w:rPr>
      </w:pPr>
      <w:bookmarkStart w:id="4" w:name="_Toc228488300"/>
      <w:r>
        <w:rPr>
          <w:color w:val="000000"/>
        </w:rPr>
        <w:t>2. Prevalence of Substance Misuse and Vaping</w:t>
      </w:r>
      <w:bookmarkEnd w:id="4"/>
    </w:p>
    <w:p w14:paraId="084FFC44" w14:textId="77777777" w:rsidR="00FE58C9" w:rsidRDefault="00FE58C9" w:rsidP="002839EF">
      <w:pPr>
        <w:pStyle w:val="NormalWeb"/>
        <w:jc w:val="both"/>
        <w:rPr>
          <w:color w:val="000000"/>
        </w:rPr>
      </w:pPr>
      <w:r>
        <w:rPr>
          <w:color w:val="000000"/>
        </w:rPr>
        <w:t>Nicotine use patterns have shifted dramatically; vaping prevalence among 18–24-year-olds increased fivefold from 5% in 2014 to</w:t>
      </w:r>
      <w:r>
        <w:rPr>
          <w:rStyle w:val="apple-converted-space"/>
          <w:rFonts w:eastAsiaTheme="majorEastAsia"/>
          <w:color w:val="000000"/>
        </w:rPr>
        <w:t> </w:t>
      </w:r>
      <w:r>
        <w:rPr>
          <w:b/>
          <w:bCs/>
          <w:color w:val="000000"/>
        </w:rPr>
        <w:t>25% in 2024</w:t>
      </w:r>
      <w:r>
        <w:rPr>
          <w:color w:val="000000"/>
        </w:rPr>
        <w:t>, surpassing traditional smoking (McNeill et al., 2024).</w:t>
      </w:r>
    </w:p>
    <w:p w14:paraId="7F8D671C" w14:textId="77777777" w:rsidR="00FE58C9" w:rsidRDefault="00FE58C9" w:rsidP="002839EF">
      <w:pPr>
        <w:pStyle w:val="NormalWeb"/>
        <w:numPr>
          <w:ilvl w:val="0"/>
          <w:numId w:val="29"/>
        </w:numPr>
        <w:jc w:val="both"/>
        <w:rPr>
          <w:color w:val="000000"/>
        </w:rPr>
      </w:pPr>
      <w:r>
        <w:rPr>
          <w:b/>
          <w:bCs/>
          <w:color w:val="000000"/>
        </w:rPr>
        <w:t>Risk Factors:</w:t>
      </w:r>
      <w:r>
        <w:rPr>
          <w:rStyle w:val="apple-converted-space"/>
          <w:rFonts w:eastAsiaTheme="majorEastAsia"/>
          <w:color w:val="000000"/>
        </w:rPr>
        <w:t> </w:t>
      </w:r>
      <w:r>
        <w:rPr>
          <w:color w:val="000000"/>
        </w:rPr>
        <w:t>Marketing targeted at youth and the normalization of vaping in social circles, with 34.3% of 18–24-year-old vapers having never regularly smoked (McNeill et al., 2024).</w:t>
      </w:r>
    </w:p>
    <w:p w14:paraId="6EB99607" w14:textId="77777777" w:rsidR="00FE58C9" w:rsidRDefault="00FE58C9" w:rsidP="002839EF">
      <w:pPr>
        <w:pStyle w:val="NormalWeb"/>
        <w:numPr>
          <w:ilvl w:val="0"/>
          <w:numId w:val="29"/>
        </w:numPr>
        <w:jc w:val="both"/>
        <w:rPr>
          <w:color w:val="000000"/>
        </w:rPr>
      </w:pPr>
      <w:r>
        <w:rPr>
          <w:b/>
          <w:bCs/>
          <w:color w:val="000000"/>
        </w:rPr>
        <w:t>Solutions:</w:t>
      </w:r>
      <w:r>
        <w:rPr>
          <w:rStyle w:val="apple-converted-space"/>
          <w:rFonts w:eastAsiaTheme="majorEastAsia"/>
          <w:color w:val="000000"/>
        </w:rPr>
        <w:t> </w:t>
      </w:r>
      <w:r>
        <w:rPr>
          <w:color w:val="000000"/>
        </w:rPr>
        <w:t>Implementing stricter regulations on vape branding and increasing funding for youth-specific addiction services that prioritize harm reduction (AYPH, 2026).</w:t>
      </w:r>
    </w:p>
    <w:p w14:paraId="60BD8A4B" w14:textId="77777777" w:rsidR="00FE58C9" w:rsidRDefault="00FE58C9" w:rsidP="00FE58C9">
      <w:pPr>
        <w:pStyle w:val="Heading3"/>
        <w:rPr>
          <w:color w:val="000000"/>
        </w:rPr>
      </w:pPr>
      <w:bookmarkStart w:id="5" w:name="_Toc228488301"/>
      <w:r>
        <w:rPr>
          <w:color w:val="000000"/>
        </w:rPr>
        <w:lastRenderedPageBreak/>
        <w:t>3. Rising Rates of Obesity and Poor Nutrition</w:t>
      </w:r>
      <w:bookmarkEnd w:id="5"/>
    </w:p>
    <w:p w14:paraId="626F53E8" w14:textId="77777777" w:rsidR="00FE58C9" w:rsidRDefault="00FE58C9" w:rsidP="002839EF">
      <w:pPr>
        <w:pStyle w:val="NormalWeb"/>
        <w:jc w:val="both"/>
        <w:rPr>
          <w:color w:val="000000"/>
        </w:rPr>
      </w:pPr>
      <w:r>
        <w:rPr>
          <w:color w:val="000000"/>
        </w:rPr>
        <w:t>In 2024, the prevalence of obesity among adults aged 16–24 was</w:t>
      </w:r>
      <w:r>
        <w:rPr>
          <w:rStyle w:val="apple-converted-space"/>
          <w:rFonts w:eastAsiaTheme="majorEastAsia"/>
          <w:color w:val="000000"/>
        </w:rPr>
        <w:t> </w:t>
      </w:r>
      <w:r>
        <w:rPr>
          <w:b/>
          <w:bCs/>
          <w:color w:val="000000"/>
        </w:rPr>
        <w:t>18%</w:t>
      </w:r>
      <w:r>
        <w:rPr>
          <w:color w:val="000000"/>
        </w:rPr>
        <w:t>, but this demographic faces the steepest trajectory of weight gain as they enter their late 20s (NHS England, 2024).</w:t>
      </w:r>
    </w:p>
    <w:p w14:paraId="63F2E45D" w14:textId="77777777" w:rsidR="00FE58C9" w:rsidRDefault="00FE58C9" w:rsidP="002839EF">
      <w:pPr>
        <w:pStyle w:val="NormalWeb"/>
        <w:numPr>
          <w:ilvl w:val="0"/>
          <w:numId w:val="30"/>
        </w:numPr>
        <w:jc w:val="both"/>
        <w:rPr>
          <w:color w:val="000000"/>
        </w:rPr>
      </w:pPr>
      <w:r>
        <w:rPr>
          <w:b/>
          <w:bCs/>
          <w:color w:val="000000"/>
        </w:rPr>
        <w:t>Risk Factors:</w:t>
      </w:r>
      <w:r>
        <w:rPr>
          <w:rStyle w:val="apple-converted-space"/>
          <w:rFonts w:eastAsiaTheme="majorEastAsia"/>
          <w:color w:val="000000"/>
        </w:rPr>
        <w:t> </w:t>
      </w:r>
      <w:r>
        <w:rPr>
          <w:color w:val="000000"/>
        </w:rPr>
        <w:t>The "food desert" phenomenon where healthy, fresh food is more expensive; notably, children from the poorest households are significantly more likely to face health difficulties (Davie, 2022).</w:t>
      </w:r>
    </w:p>
    <w:p w14:paraId="782FB200" w14:textId="77777777" w:rsidR="00FE58C9" w:rsidRDefault="00FE58C9" w:rsidP="002839EF">
      <w:pPr>
        <w:pStyle w:val="NormalWeb"/>
        <w:numPr>
          <w:ilvl w:val="0"/>
          <w:numId w:val="30"/>
        </w:numPr>
        <w:jc w:val="both"/>
        <w:rPr>
          <w:color w:val="000000"/>
        </w:rPr>
      </w:pPr>
      <w:r>
        <w:rPr>
          <w:b/>
          <w:bCs/>
          <w:color w:val="000000"/>
        </w:rPr>
        <w:t>Solutions:</w:t>
      </w:r>
      <w:r>
        <w:rPr>
          <w:rStyle w:val="apple-converted-space"/>
          <w:rFonts w:eastAsiaTheme="majorEastAsia"/>
          <w:color w:val="000000"/>
        </w:rPr>
        <w:t> </w:t>
      </w:r>
      <w:r>
        <w:rPr>
          <w:color w:val="000000"/>
        </w:rPr>
        <w:t>National "Healthy Start" expansion and subsidies for fresh produce, combined with better nutrition education in higher education and vocational training (NHS England, 2024).</w:t>
      </w:r>
    </w:p>
    <w:p w14:paraId="58CCB19E" w14:textId="77777777" w:rsidR="00FE58C9" w:rsidRDefault="00FE58C9" w:rsidP="00FE58C9">
      <w:pPr>
        <w:pStyle w:val="Heading3"/>
        <w:rPr>
          <w:color w:val="000000"/>
        </w:rPr>
      </w:pPr>
      <w:bookmarkStart w:id="6" w:name="_Toc228488302"/>
      <w:r>
        <w:rPr>
          <w:color w:val="000000"/>
        </w:rPr>
        <w:t>4. Precarious Employment and Financial Stress</w:t>
      </w:r>
      <w:bookmarkEnd w:id="6"/>
    </w:p>
    <w:p w14:paraId="3FC6F1C2" w14:textId="77777777" w:rsidR="00FE58C9" w:rsidRDefault="00FE58C9" w:rsidP="002839EF">
      <w:pPr>
        <w:pStyle w:val="NormalWeb"/>
        <w:jc w:val="both"/>
        <w:rPr>
          <w:color w:val="000000"/>
        </w:rPr>
      </w:pPr>
      <w:r>
        <w:rPr>
          <w:color w:val="000000"/>
        </w:rPr>
        <w:t>A major social issue is the prevalence of insecure work; research indicates those on zero-hours contracts are</w:t>
      </w:r>
      <w:r>
        <w:rPr>
          <w:rStyle w:val="apple-converted-space"/>
          <w:rFonts w:eastAsiaTheme="majorEastAsia"/>
          <w:color w:val="000000"/>
        </w:rPr>
        <w:t> </w:t>
      </w:r>
      <w:r>
        <w:rPr>
          <w:b/>
          <w:bCs/>
          <w:color w:val="000000"/>
        </w:rPr>
        <w:t>1.5 times more likely</w:t>
      </w:r>
      <w:r>
        <w:rPr>
          <w:rStyle w:val="apple-converted-space"/>
          <w:rFonts w:eastAsiaTheme="majorEastAsia"/>
          <w:color w:val="000000"/>
        </w:rPr>
        <w:t> </w:t>
      </w:r>
      <w:r>
        <w:rPr>
          <w:color w:val="000000"/>
        </w:rPr>
        <w:t>to report mental health problems than those in secure employment (SpunOut, 2024).</w:t>
      </w:r>
    </w:p>
    <w:p w14:paraId="4E3586E1" w14:textId="77777777" w:rsidR="00FE58C9" w:rsidRDefault="00FE58C9" w:rsidP="002839EF">
      <w:pPr>
        <w:pStyle w:val="NormalWeb"/>
        <w:numPr>
          <w:ilvl w:val="0"/>
          <w:numId w:val="31"/>
        </w:numPr>
        <w:jc w:val="both"/>
        <w:rPr>
          <w:color w:val="000000"/>
        </w:rPr>
      </w:pPr>
      <w:r>
        <w:rPr>
          <w:b/>
          <w:bCs/>
          <w:color w:val="000000"/>
        </w:rPr>
        <w:t>Risk Factors:</w:t>
      </w:r>
      <w:r>
        <w:rPr>
          <w:rStyle w:val="apple-converted-space"/>
          <w:rFonts w:eastAsiaTheme="majorEastAsia"/>
          <w:color w:val="000000"/>
        </w:rPr>
        <w:t> </w:t>
      </w:r>
      <w:r>
        <w:rPr>
          <w:color w:val="000000"/>
        </w:rPr>
        <w:t>Financial instability leads to chronic stress, with</w:t>
      </w:r>
      <w:r>
        <w:rPr>
          <w:rStyle w:val="apple-converted-space"/>
          <w:rFonts w:eastAsiaTheme="majorEastAsia"/>
          <w:color w:val="000000"/>
        </w:rPr>
        <w:t> </w:t>
      </w:r>
      <w:r>
        <w:rPr>
          <w:b/>
          <w:bCs/>
          <w:color w:val="000000"/>
        </w:rPr>
        <w:t>90% of young people</w:t>
      </w:r>
      <w:r>
        <w:rPr>
          <w:rStyle w:val="apple-converted-space"/>
          <w:rFonts w:eastAsiaTheme="majorEastAsia"/>
          <w:color w:val="000000"/>
        </w:rPr>
        <w:t> </w:t>
      </w:r>
      <w:r>
        <w:rPr>
          <w:color w:val="000000"/>
        </w:rPr>
        <w:t>currently worried about earning enough to support themselves (Young Minds, 2023).</w:t>
      </w:r>
    </w:p>
    <w:p w14:paraId="768432B0" w14:textId="77777777" w:rsidR="00FE58C9" w:rsidRDefault="00FE58C9" w:rsidP="002839EF">
      <w:pPr>
        <w:pStyle w:val="NormalWeb"/>
        <w:numPr>
          <w:ilvl w:val="0"/>
          <w:numId w:val="31"/>
        </w:numPr>
        <w:jc w:val="both"/>
        <w:rPr>
          <w:color w:val="000000"/>
        </w:rPr>
      </w:pPr>
      <w:r>
        <w:rPr>
          <w:b/>
          <w:bCs/>
          <w:color w:val="000000"/>
        </w:rPr>
        <w:t>Solutions:</w:t>
      </w:r>
      <w:r>
        <w:rPr>
          <w:rStyle w:val="apple-converted-space"/>
          <w:rFonts w:eastAsiaTheme="majorEastAsia"/>
          <w:color w:val="000000"/>
        </w:rPr>
        <w:t> </w:t>
      </w:r>
      <w:r>
        <w:rPr>
          <w:color w:val="000000"/>
        </w:rPr>
        <w:t>Strengthening labor laws to provide predictable working hours and ensuring the "National Living Wage" reduces the "working poor" phenomenon (SpunOut, 2024).</w:t>
      </w:r>
    </w:p>
    <w:p w14:paraId="489978AE" w14:textId="77777777" w:rsidR="00FE58C9" w:rsidRDefault="00FE58C9" w:rsidP="00FE58C9">
      <w:pPr>
        <w:pStyle w:val="Heading3"/>
        <w:rPr>
          <w:color w:val="000000"/>
        </w:rPr>
      </w:pPr>
      <w:bookmarkStart w:id="7" w:name="_Toc228488303"/>
      <w:r>
        <w:rPr>
          <w:color w:val="000000"/>
        </w:rPr>
        <w:t>5. Housing Instability and Poor Quality Accommodation</w:t>
      </w:r>
      <w:bookmarkEnd w:id="7"/>
    </w:p>
    <w:p w14:paraId="42B796E2" w14:textId="77777777" w:rsidR="00FE58C9" w:rsidRDefault="00FE58C9" w:rsidP="002839EF">
      <w:pPr>
        <w:pStyle w:val="NormalWeb"/>
        <w:jc w:val="both"/>
        <w:rPr>
          <w:color w:val="000000"/>
        </w:rPr>
      </w:pPr>
      <w:r>
        <w:rPr>
          <w:color w:val="000000"/>
        </w:rPr>
        <w:t>England is experiencing a housing crisis where record numbers of young people and families are trapped in temporary accommodation, such as B&amp;Bs or hostels (NIHR, 2026).</w:t>
      </w:r>
    </w:p>
    <w:p w14:paraId="1824369E" w14:textId="77777777" w:rsidR="00FE58C9" w:rsidRDefault="00FE58C9" w:rsidP="002839EF">
      <w:pPr>
        <w:pStyle w:val="NormalWeb"/>
        <w:numPr>
          <w:ilvl w:val="0"/>
          <w:numId w:val="32"/>
        </w:numPr>
        <w:jc w:val="both"/>
        <w:rPr>
          <w:color w:val="000000"/>
        </w:rPr>
      </w:pPr>
      <w:r>
        <w:rPr>
          <w:b/>
          <w:bCs/>
          <w:color w:val="000000"/>
        </w:rPr>
        <w:t>Risk Factors:</w:t>
      </w:r>
      <w:r>
        <w:rPr>
          <w:rStyle w:val="apple-converted-space"/>
          <w:rFonts w:eastAsiaTheme="majorEastAsia"/>
          <w:color w:val="000000"/>
        </w:rPr>
        <w:t> </w:t>
      </w:r>
      <w:r>
        <w:rPr>
          <w:color w:val="000000"/>
        </w:rPr>
        <w:t>Overcrowding and damp conditions in the private rental sector are linked to chronic stress, respiratory issues, and disrupted sleep (NIHR, 2026).</w:t>
      </w:r>
    </w:p>
    <w:p w14:paraId="40500F0F" w14:textId="77777777" w:rsidR="00FE58C9" w:rsidRDefault="00FE58C9" w:rsidP="002839EF">
      <w:pPr>
        <w:pStyle w:val="NormalWeb"/>
        <w:numPr>
          <w:ilvl w:val="0"/>
          <w:numId w:val="32"/>
        </w:numPr>
        <w:jc w:val="both"/>
        <w:rPr>
          <w:color w:val="000000"/>
        </w:rPr>
      </w:pPr>
      <w:r>
        <w:rPr>
          <w:b/>
          <w:bCs/>
          <w:color w:val="000000"/>
        </w:rPr>
        <w:t>Solutions:</w:t>
      </w:r>
      <w:r>
        <w:rPr>
          <w:rStyle w:val="apple-converted-space"/>
          <w:rFonts w:eastAsiaTheme="majorEastAsia"/>
          <w:color w:val="000000"/>
        </w:rPr>
        <w:t> </w:t>
      </w:r>
      <w:r>
        <w:rPr>
          <w:color w:val="000000"/>
        </w:rPr>
        <w:t>Introducing stricter national "Decent Homes Standards" and increasing the supply of social housing specifically for young workers (NIHR, 2026).</w:t>
      </w:r>
    </w:p>
    <w:p w14:paraId="5A5E8D1C" w14:textId="77777777" w:rsidR="00FE58C9" w:rsidRDefault="00FE58C9" w:rsidP="00FE58C9">
      <w:pPr>
        <w:pStyle w:val="Heading3"/>
        <w:rPr>
          <w:color w:val="000000"/>
        </w:rPr>
      </w:pPr>
      <w:bookmarkStart w:id="8" w:name="_Toc228488304"/>
      <w:r>
        <w:rPr>
          <w:color w:val="000000"/>
        </w:rPr>
        <w:t>6. Social Isolation and Loneliness</w:t>
      </w:r>
      <w:bookmarkEnd w:id="8"/>
    </w:p>
    <w:p w14:paraId="78586321" w14:textId="77777777" w:rsidR="00FE58C9" w:rsidRDefault="00FE58C9" w:rsidP="002839EF">
      <w:pPr>
        <w:pStyle w:val="NormalWeb"/>
        <w:jc w:val="both"/>
        <w:rPr>
          <w:color w:val="000000"/>
        </w:rPr>
      </w:pPr>
      <w:r>
        <w:rPr>
          <w:color w:val="000000"/>
        </w:rPr>
        <w:t>Younger adults (16–29) are the loneliest demographic in Great Britain, with</w:t>
      </w:r>
      <w:r>
        <w:rPr>
          <w:rStyle w:val="apple-converted-space"/>
          <w:rFonts w:eastAsiaTheme="majorEastAsia"/>
          <w:color w:val="000000"/>
        </w:rPr>
        <w:t> </w:t>
      </w:r>
      <w:r>
        <w:rPr>
          <w:b/>
          <w:bCs/>
          <w:color w:val="000000"/>
        </w:rPr>
        <w:t>27%</w:t>
      </w:r>
      <w:r>
        <w:rPr>
          <w:rStyle w:val="apple-converted-space"/>
          <w:rFonts w:eastAsiaTheme="majorEastAsia"/>
          <w:color w:val="000000"/>
        </w:rPr>
        <w:t> </w:t>
      </w:r>
      <w:r>
        <w:rPr>
          <w:color w:val="000000"/>
        </w:rPr>
        <w:t>reporting they feel lonely often or always, compared to just 16% of those over 70 (ONS, 2026).</w:t>
      </w:r>
    </w:p>
    <w:p w14:paraId="71DFE1C5" w14:textId="77777777" w:rsidR="00FE58C9" w:rsidRDefault="00FE58C9" w:rsidP="002839EF">
      <w:pPr>
        <w:pStyle w:val="NormalWeb"/>
        <w:numPr>
          <w:ilvl w:val="0"/>
          <w:numId w:val="33"/>
        </w:numPr>
        <w:jc w:val="both"/>
        <w:rPr>
          <w:color w:val="000000"/>
        </w:rPr>
      </w:pPr>
      <w:r>
        <w:rPr>
          <w:b/>
          <w:bCs/>
          <w:color w:val="000000"/>
        </w:rPr>
        <w:t>Risk Factors:</w:t>
      </w:r>
      <w:r>
        <w:rPr>
          <w:rStyle w:val="apple-converted-space"/>
          <w:rFonts w:eastAsiaTheme="majorEastAsia"/>
          <w:color w:val="000000"/>
        </w:rPr>
        <w:t> </w:t>
      </w:r>
      <w:r>
        <w:rPr>
          <w:color w:val="000000"/>
        </w:rPr>
        <w:t>Frequent life transitions, such as moving for university or work, and the erosion of physical "third spaces" (ONS, 2026).</w:t>
      </w:r>
    </w:p>
    <w:p w14:paraId="34E53B47" w14:textId="77777777" w:rsidR="00FE58C9" w:rsidRDefault="00FE58C9" w:rsidP="002839EF">
      <w:pPr>
        <w:pStyle w:val="NormalWeb"/>
        <w:numPr>
          <w:ilvl w:val="0"/>
          <w:numId w:val="33"/>
        </w:numPr>
        <w:jc w:val="both"/>
        <w:rPr>
          <w:color w:val="000000"/>
        </w:rPr>
      </w:pPr>
      <w:r>
        <w:rPr>
          <w:b/>
          <w:bCs/>
          <w:color w:val="000000"/>
        </w:rPr>
        <w:t>Solutions:</w:t>
      </w:r>
      <w:r>
        <w:rPr>
          <w:rStyle w:val="apple-converted-space"/>
          <w:rFonts w:eastAsiaTheme="majorEastAsia"/>
          <w:color w:val="000000"/>
        </w:rPr>
        <w:t> </w:t>
      </w:r>
      <w:r>
        <w:rPr>
          <w:color w:val="000000"/>
        </w:rPr>
        <w:t>Investing in community-led youth programs and "social prescribing," where GPs refer lonely young adults to local interest groups (ONS, 2026).</w:t>
      </w:r>
    </w:p>
    <w:p w14:paraId="591FDE3F" w14:textId="77777777" w:rsidR="00FE58C9" w:rsidRDefault="00A03035" w:rsidP="00FE58C9">
      <w:r>
        <w:rPr>
          <w:noProof/>
        </w:rPr>
      </w:r>
      <w:r>
        <w:pict w14:anchorId="24AF71E1">
          <v:rect id="Horizontal Line 12" o:spid="_x0000_s1029"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" filled="f">
            <o:lock v:ext="edit" rotation="t" aspectratio="t" verticies="t" text="t" shapetype="t"/>
            <w10:anchorlock/>
          </v:rect>
        </w:pict>
      </w:r>
    </w:p>
    <w:p w14:paraId="369DED5B" w14:textId="77777777" w:rsidR="00FE58C9" w:rsidRPr="00625A78" w:rsidRDefault="00FE58C9" w:rsidP="00FE58C9">
      <w:pPr>
        <w:pStyle w:val="Heading2"/>
        <w:rPr>
          <w:b/>
          <w:bCs/>
          <w:color w:val="000000"/>
        </w:rPr>
      </w:pPr>
      <w:bookmarkStart w:id="9" w:name="_Toc228488305"/>
      <w:r w:rsidRPr="00625A78">
        <w:rPr>
          <w:b/>
          <w:bCs/>
          <w:color w:val="000000"/>
        </w:rPr>
        <w:lastRenderedPageBreak/>
        <w:t>National Response to Reduce Health Inequalities</w:t>
      </w:r>
      <w:bookmarkEnd w:id="9"/>
    </w:p>
    <w:p w14:paraId="63A7870F" w14:textId="77777777" w:rsidR="00FE58C9" w:rsidRPr="00625A78" w:rsidRDefault="00FE58C9" w:rsidP="00FE58C9">
      <w:pPr>
        <w:pStyle w:val="NormalWeb"/>
        <w:rPr>
          <w:b/>
          <w:bCs/>
          <w:color w:val="000000"/>
          <w:sz w:val="28"/>
          <w:szCs w:val="28"/>
        </w:rPr>
      </w:pPr>
      <w:r w:rsidRPr="00625A78">
        <w:rPr>
          <w:b/>
          <w:bCs/>
          <w:color w:val="000000"/>
          <w:sz w:val="28"/>
          <w:szCs w:val="28"/>
        </w:rPr>
        <w:t>The UK government has taken several steps to address these injustices:</w:t>
      </w:r>
    </w:p>
    <w:p w14:paraId="2CF543D6" w14:textId="77777777" w:rsidR="00FE58C9" w:rsidRDefault="00FE58C9" w:rsidP="00FC3BFF">
      <w:pPr>
        <w:pStyle w:val="NormalWeb"/>
        <w:numPr>
          <w:ilvl w:val="0"/>
          <w:numId w:val="34"/>
        </w:numPr>
        <w:jc w:val="both"/>
        <w:rPr>
          <w:color w:val="000000"/>
        </w:rPr>
      </w:pPr>
      <w:r>
        <w:rPr>
          <w:b/>
          <w:bCs/>
          <w:color w:val="000000"/>
        </w:rPr>
        <w:t>The Tobacco and Vapes Act (2026):</w:t>
      </w:r>
      <w:r>
        <w:rPr>
          <w:rStyle w:val="apple-converted-space"/>
          <w:rFonts w:eastAsiaTheme="majorEastAsia"/>
          <w:color w:val="000000"/>
        </w:rPr>
        <w:t> </w:t>
      </w:r>
      <w:r>
        <w:rPr>
          <w:color w:val="000000"/>
        </w:rPr>
        <w:t>A landmark piece of legislation designed to create a "smoke-free generation" by making it illegal to sell tobacco to anyone born after 2008 (McNeill et al., 2024).</w:t>
      </w:r>
    </w:p>
    <w:p w14:paraId="5838261B" w14:textId="77777777" w:rsidR="00FE58C9" w:rsidRDefault="00FE58C9" w:rsidP="00FC3BFF">
      <w:pPr>
        <w:pStyle w:val="NormalWeb"/>
        <w:numPr>
          <w:ilvl w:val="0"/>
          <w:numId w:val="34"/>
        </w:numPr>
        <w:jc w:val="both"/>
        <w:rPr>
          <w:color w:val="000000"/>
        </w:rPr>
      </w:pPr>
      <w:r>
        <w:rPr>
          <w:b/>
          <w:bCs/>
          <w:color w:val="000000"/>
        </w:rPr>
        <w:t>The NHS Long Term Plan – Transition Support:</w:t>
      </w:r>
      <w:r>
        <w:rPr>
          <w:rStyle w:val="apple-converted-space"/>
          <w:rFonts w:eastAsiaTheme="majorEastAsia"/>
          <w:color w:val="000000"/>
        </w:rPr>
        <w:t> </w:t>
      </w:r>
      <w:r>
        <w:rPr>
          <w:color w:val="000000"/>
        </w:rPr>
        <w:t>The government has committed to creating a</w:t>
      </w:r>
      <w:r>
        <w:rPr>
          <w:rStyle w:val="apple-converted-space"/>
          <w:rFonts w:eastAsiaTheme="majorEastAsia"/>
          <w:color w:val="000000"/>
        </w:rPr>
        <w:t> </w:t>
      </w:r>
      <w:r>
        <w:rPr>
          <w:b/>
          <w:bCs/>
          <w:color w:val="000000"/>
        </w:rPr>
        <w:t>0–25 integrated service model</w:t>
      </w:r>
      <w:r>
        <w:rPr>
          <w:rStyle w:val="apple-converted-space"/>
          <w:rFonts w:eastAsiaTheme="majorEastAsia"/>
          <w:color w:val="000000"/>
        </w:rPr>
        <w:t> </w:t>
      </w:r>
      <w:r>
        <w:rPr>
          <w:color w:val="000000"/>
        </w:rPr>
        <w:t>to prevent young people from being "lost" in the system when they transition to adult care (AYPH, 2025).</w:t>
      </w:r>
    </w:p>
    <w:p w14:paraId="7D1AD0F1" w14:textId="77777777" w:rsidR="00FE58C9" w:rsidRDefault="00A03035" w:rsidP="00FE58C9">
      <w:r>
        <w:rPr>
          <w:noProof/>
        </w:rPr>
      </w:r>
      <w:r>
        <w:pict w14:anchorId="60FAEF6A">
          <v:rect id="Horizontal Line 13" o:spid="_x0000_s1028"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" filled="f">
            <o:lock v:ext="edit" rotation="t" aspectratio="t" verticies="t" text="t" shapetype="t"/>
            <w10:anchorlock/>
          </v:rect>
        </w:pict>
      </w:r>
    </w:p>
    <w:p w14:paraId="08CEA66A" w14:textId="77777777" w:rsidR="00FE58C9" w:rsidRPr="00741A76" w:rsidRDefault="00FE58C9" w:rsidP="00FE58C9">
      <w:pPr>
        <w:pStyle w:val="Heading2"/>
        <w:rPr>
          <w:b/>
          <w:bCs/>
          <w:color w:val="000000"/>
        </w:rPr>
      </w:pPr>
      <w:bookmarkStart w:id="10" w:name="_Toc228488306"/>
      <w:r w:rsidRPr="00741A76">
        <w:rPr>
          <w:b/>
          <w:bCs/>
          <w:color w:val="000000"/>
        </w:rPr>
        <w:t>Organisations That Support Young Adults</w:t>
      </w:r>
      <w:bookmarkEnd w:id="10"/>
    </w:p>
    <w:p w14:paraId="7AD2E388" w14:textId="77777777" w:rsidR="00FE58C9" w:rsidRDefault="00FE58C9" w:rsidP="00FC3BFF">
      <w:pPr>
        <w:pStyle w:val="NormalWeb"/>
        <w:jc w:val="both"/>
        <w:rPr>
          <w:color w:val="000000"/>
        </w:rPr>
      </w:pPr>
      <w:r>
        <w:rPr>
          <w:b/>
          <w:bCs/>
          <w:color w:val="000000"/>
        </w:rPr>
        <w:t>The Association for Young People’s Health (AYPH)</w:t>
      </w:r>
      <w:r>
        <w:rPr>
          <w:rStyle w:val="apple-converted-space"/>
          <w:rFonts w:eastAsiaTheme="majorEastAsia"/>
          <w:color w:val="000000"/>
        </w:rPr>
        <w:t> </w:t>
      </w:r>
      <w:r>
        <w:rPr>
          <w:color w:val="000000"/>
        </w:rPr>
        <w:t>is a leading UK charity dedicated to improving the health of 10–25-year-olds (AYPH, 2025).</w:t>
      </w:r>
    </w:p>
    <w:p w14:paraId="076FCD00" w14:textId="77777777" w:rsidR="00FE58C9" w:rsidRDefault="00FE58C9" w:rsidP="00FC3BFF">
      <w:pPr>
        <w:pStyle w:val="NormalWeb"/>
        <w:numPr>
          <w:ilvl w:val="0"/>
          <w:numId w:val="35"/>
        </w:numPr>
        <w:jc w:val="both"/>
        <w:rPr>
          <w:color w:val="000000"/>
        </w:rPr>
      </w:pPr>
      <w:r>
        <w:rPr>
          <w:b/>
          <w:bCs/>
          <w:color w:val="000000"/>
        </w:rPr>
        <w:t>Wider Role:</w:t>
      </w:r>
      <w:r>
        <w:rPr>
          <w:rStyle w:val="apple-converted-space"/>
          <w:rFonts w:eastAsiaTheme="majorEastAsia"/>
          <w:color w:val="000000"/>
        </w:rPr>
        <w:t> </w:t>
      </w:r>
      <w:r>
        <w:rPr>
          <w:color w:val="000000"/>
        </w:rPr>
        <w:t>AYPH acts as a bridge between policy and evidence, advocating for "youth-friendly" health services that account for the unique needs of young adults (AYPH, 2025).</w:t>
      </w:r>
    </w:p>
    <w:p w14:paraId="67181E63" w14:textId="77777777" w:rsidR="00FE58C9" w:rsidRDefault="00FE58C9" w:rsidP="00FC3BFF">
      <w:pPr>
        <w:pStyle w:val="NormalWeb"/>
        <w:numPr>
          <w:ilvl w:val="0"/>
          <w:numId w:val="35"/>
        </w:numPr>
        <w:jc w:val="both"/>
        <w:rPr>
          <w:color w:val="000000"/>
        </w:rPr>
      </w:pPr>
      <w:r>
        <w:rPr>
          <w:b/>
          <w:bCs/>
          <w:color w:val="000000"/>
        </w:rPr>
        <w:t>Support &amp; Goals:</w:t>
      </w:r>
      <w:r>
        <w:rPr>
          <w:rStyle w:val="apple-converted-space"/>
          <w:rFonts w:eastAsiaTheme="majorEastAsia"/>
          <w:color w:val="000000"/>
        </w:rPr>
        <w:t> </w:t>
      </w:r>
      <w:r>
        <w:rPr>
          <w:color w:val="000000"/>
        </w:rPr>
        <w:t>They conduct extensive research, such as the</w:t>
      </w:r>
      <w:r>
        <w:rPr>
          <w:rStyle w:val="apple-converted-space"/>
          <w:rFonts w:eastAsiaTheme="majorEastAsia"/>
          <w:color w:val="000000"/>
        </w:rPr>
        <w:t> </w:t>
      </w:r>
      <w:r>
        <w:rPr>
          <w:i/>
          <w:iCs/>
          <w:color w:val="000000"/>
        </w:rPr>
        <w:t>Key Data on Young People</w:t>
      </w:r>
      <w:r>
        <w:rPr>
          <w:rStyle w:val="apple-converted-space"/>
          <w:rFonts w:eastAsiaTheme="majorEastAsia"/>
          <w:color w:val="000000"/>
        </w:rPr>
        <w:t> </w:t>
      </w:r>
      <w:r>
        <w:rPr>
          <w:color w:val="000000"/>
        </w:rPr>
        <w:t>report, which highlights disparities in healthcare access and amplifies the voices of marginalized groups (AYPH, 2025).</w:t>
      </w:r>
    </w:p>
    <w:p w14:paraId="2352AE4F" w14:textId="77777777" w:rsidR="00FE58C9" w:rsidRDefault="00A03035" w:rsidP="00FE58C9">
      <w:r>
        <w:rPr>
          <w:noProof/>
        </w:rPr>
      </w:r>
      <w:r>
        <w:pict w14:anchorId="31A0B10D">
          <v:rect id="Horizontal Line 14" o:spid="_x0000_s1027"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" filled="f">
            <o:lock v:ext="edit" rotation="t" aspectratio="t" verticies="t" text="t" shapetype="t"/>
            <w10:anchorlock/>
          </v:rect>
        </w:pict>
      </w:r>
    </w:p>
    <w:p w14:paraId="35F5C738" w14:textId="77777777" w:rsidR="00FE58C9" w:rsidRPr="00741A76" w:rsidRDefault="00FE58C9" w:rsidP="00FE58C9">
      <w:pPr>
        <w:pStyle w:val="Heading2"/>
        <w:rPr>
          <w:b/>
          <w:bCs/>
          <w:color w:val="000000"/>
        </w:rPr>
      </w:pPr>
      <w:bookmarkStart w:id="11" w:name="_Toc228488307"/>
      <w:r w:rsidRPr="00741A76">
        <w:rPr>
          <w:b/>
          <w:bCs/>
          <w:color w:val="000000"/>
        </w:rPr>
        <w:t>Conclusion</w:t>
      </w:r>
      <w:bookmarkEnd w:id="11"/>
    </w:p>
    <w:p w14:paraId="30E883DD" w14:textId="77777777" w:rsidR="00FE58C9" w:rsidRDefault="00FE58C9" w:rsidP="00FC3BFF">
      <w:pPr>
        <w:pStyle w:val="NormalWeb"/>
        <w:jc w:val="both"/>
        <w:rPr>
          <w:color w:val="000000"/>
        </w:rPr>
      </w:pPr>
      <w:r>
        <w:rPr>
          <w:color w:val="000000"/>
        </w:rPr>
        <w:t>In summary, health</w:t>
      </w:r>
      <w:r>
        <w:rPr>
          <w:rStyle w:val="apple-converted-space"/>
          <w:rFonts w:eastAsiaTheme="majorEastAsia"/>
          <w:color w:val="000000"/>
        </w:rPr>
        <w:t> </w:t>
      </w:r>
      <w:r>
        <w:rPr>
          <w:b/>
          <w:bCs/>
          <w:color w:val="000000"/>
        </w:rPr>
        <w:t>inequality</w:t>
      </w:r>
      <w:r>
        <w:rPr>
          <w:rStyle w:val="apple-converted-space"/>
          <w:rFonts w:eastAsiaTheme="majorEastAsia"/>
          <w:color w:val="000000"/>
        </w:rPr>
        <w:t> </w:t>
      </w:r>
      <w:r>
        <w:rPr>
          <w:color w:val="000000"/>
        </w:rPr>
        <w:t>in the 17–30 age group is driven by a complex mix of clinical transition gaps (AYPH, 2025) and severe social pressures like housing and financial instability (NIHR, 2026). Addressing these requires more than just medical intervention; it demands national policies that stabilize the "wider determinants of health" and support from specialist charities like AYPH to ensure the healthcare system meets the specific needs of the next generation.</w:t>
      </w:r>
    </w:p>
    <w:p w14:paraId="63178AED" w14:textId="77777777" w:rsidR="00FE58C9" w:rsidRDefault="00A03035" w:rsidP="00FE58C9">
      <w:r>
        <w:rPr>
          <w:noProof/>
        </w:rPr>
      </w:r>
      <w:r>
        <w:pict w14:anchorId="67E4F4AB">
          <v:rect id="Horizontal Line 1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" filled="f">
            <o:lock v:ext="edit" rotation="t" aspectratio="t" verticies="t" text="t" shapetype="t"/>
            <w10:anchorlock/>
          </v:rect>
        </w:pict>
      </w:r>
    </w:p>
    <w:p w14:paraId="61687AF6" w14:textId="77777777" w:rsidR="00B14114" w:rsidRDefault="00B14114" w:rsidP="00FE58C9">
      <w:pPr>
        <w:pStyle w:val="Title"/>
        <w:jc w:val="both"/>
        <w:rPr>
          <w:sz w:val="24"/>
          <w:szCs w:val="24"/>
        </w:rPr>
      </w:pPr>
    </w:p>
    <w:p w14:paraId="6ED2CAC9" w14:textId="77777777" w:rsidR="00F41D53" w:rsidRPr="00741A76" w:rsidRDefault="00F41D53" w:rsidP="008037A5">
      <w:pPr>
        <w:pStyle w:val="Heading1"/>
        <w:jc w:val="both"/>
        <w:rPr>
          <w:b/>
          <w:bCs/>
          <w:color w:val="000000"/>
          <w:sz w:val="30"/>
          <w:szCs w:val="30"/>
          <w:lang w:val="en-IN" w:bidi="mr-IN"/>
        </w:rPr>
      </w:pPr>
      <w:bookmarkStart w:id="12" w:name="_Toc228488308"/>
      <w:r w:rsidRPr="00741A76">
        <w:rPr>
          <w:b/>
          <w:bCs/>
          <w:color w:val="000000"/>
          <w:sz w:val="30"/>
          <w:szCs w:val="30"/>
        </w:rPr>
        <w:lastRenderedPageBreak/>
        <w:t>Epidemiological Analysis: Childhood Obesity in the London Borough of Tower Hamlets</w:t>
      </w:r>
      <w:bookmarkEnd w:id="12"/>
    </w:p>
    <w:p w14:paraId="27BA70BD" w14:textId="77777777" w:rsidR="00F41D53" w:rsidRPr="00741A76" w:rsidRDefault="00F41D53" w:rsidP="008037A5">
      <w:pPr>
        <w:pStyle w:val="Heading2"/>
        <w:jc w:val="both"/>
        <w:rPr>
          <w:b/>
          <w:bCs/>
          <w:color w:val="000000"/>
          <w:sz w:val="30"/>
          <w:szCs w:val="30"/>
        </w:rPr>
      </w:pPr>
      <w:bookmarkStart w:id="13" w:name="_Toc228488309"/>
      <w:r w:rsidRPr="00741A76">
        <w:rPr>
          <w:b/>
          <w:bCs/>
          <w:color w:val="000000"/>
          <w:sz w:val="30"/>
          <w:szCs w:val="30"/>
        </w:rPr>
        <w:t>Introduction</w:t>
      </w:r>
      <w:bookmarkEnd w:id="13"/>
    </w:p>
    <w:p w14:paraId="3683D5E8" w14:textId="77777777" w:rsidR="00F41D53" w:rsidRPr="00741A76" w:rsidRDefault="00F41D53" w:rsidP="008037A5">
      <w:pPr>
        <w:pStyle w:val="Heading3"/>
        <w:jc w:val="both"/>
        <w:rPr>
          <w:b/>
          <w:bCs/>
          <w:color w:val="000000"/>
          <w:sz w:val="30"/>
          <w:szCs w:val="30"/>
        </w:rPr>
      </w:pPr>
      <w:bookmarkStart w:id="14" w:name="_Toc228488310"/>
      <w:r w:rsidRPr="00741A76">
        <w:rPr>
          <w:b/>
          <w:bCs/>
          <w:color w:val="000000"/>
          <w:sz w:val="30"/>
          <w:szCs w:val="30"/>
        </w:rPr>
        <w:t>Definition and Socio-Cultural Consequences</w:t>
      </w:r>
      <w:bookmarkEnd w:id="14"/>
    </w:p>
    <w:p w14:paraId="7AB1F78D" w14:textId="77777777" w:rsidR="00F41D53" w:rsidRPr="00EF0893" w:rsidRDefault="00F41D53" w:rsidP="008037A5">
      <w:pPr>
        <w:pStyle w:val="NormalWeb"/>
        <w:jc w:val="both"/>
        <w:rPr>
          <w:color w:val="000000"/>
        </w:rPr>
      </w:pPr>
      <w:r w:rsidRPr="00EF0893">
        <w:rPr>
          <w:color w:val="000000"/>
        </w:rPr>
        <w:t>Childhood obesity is a complex, multi-factorial health problem defined by an accumulation of excess body fat to the extent that health is impaired. Epidemiologically, it is tracked using the Body Mass Index (BMI) adjusted for age and sex, with the 95th centile serving as the clinical threshold (NHS England, 2024). The consequences of this epidemic extend far beyond physical morbidity. Socially, children living with obesity face high rates of weight-biased stigmatization, leading to "educational scarring" where lower self-esteem correlates with reduced academic attainment. Culturally, the problem is often misunderstood through a lens of individual choice, which ignores the systemic marginalization of healthy dietary options in urban environments (Tower Hamlets Council, 2024).</w:t>
      </w:r>
    </w:p>
    <w:p w14:paraId="1872C700" w14:textId="77777777" w:rsidR="00F41D53" w:rsidRPr="00EC531C" w:rsidRDefault="00F41D53" w:rsidP="008037A5">
      <w:pPr>
        <w:pStyle w:val="Heading3"/>
        <w:jc w:val="both"/>
        <w:rPr>
          <w:b/>
          <w:bCs/>
          <w:color w:val="000000"/>
          <w:sz w:val="30"/>
          <w:szCs w:val="30"/>
        </w:rPr>
      </w:pPr>
      <w:bookmarkStart w:id="15" w:name="_Toc228488311"/>
      <w:r w:rsidRPr="00EC531C">
        <w:rPr>
          <w:b/>
          <w:bCs/>
          <w:color w:val="000000"/>
          <w:sz w:val="30"/>
          <w:szCs w:val="30"/>
        </w:rPr>
        <w:t>Epidemiological Severity: Worldwide vs. UK</w:t>
      </w:r>
      <w:bookmarkEnd w:id="15"/>
    </w:p>
    <w:p w14:paraId="0648F856" w14:textId="77777777" w:rsidR="00F41D53" w:rsidRPr="00EF0893" w:rsidRDefault="00F41D53" w:rsidP="008037A5">
      <w:pPr>
        <w:pStyle w:val="NormalWeb"/>
        <w:jc w:val="both"/>
        <w:rPr>
          <w:color w:val="000000"/>
        </w:rPr>
      </w:pPr>
      <w:r w:rsidRPr="00EF0893">
        <w:rPr>
          <w:color w:val="000000"/>
        </w:rPr>
        <w:t>The severity of the issue is reflected in current global data. The</w:t>
      </w:r>
      <w:r w:rsidRPr="00EF0893">
        <w:rPr>
          <w:rStyle w:val="apple-converted-space"/>
          <w:rFonts w:eastAsiaTheme="majorEastAsia"/>
          <w:color w:val="000000"/>
        </w:rPr>
        <w:t> </w:t>
      </w:r>
      <w:r w:rsidRPr="00EF0893">
        <w:rPr>
          <w:i/>
          <w:iCs/>
          <w:color w:val="000000"/>
        </w:rPr>
        <w:t>World Obesity Atlas 2026</w:t>
      </w:r>
      <w:r w:rsidRPr="00EF0893">
        <w:rPr>
          <w:rStyle w:val="apple-converted-space"/>
          <w:rFonts w:eastAsiaTheme="majorEastAsia"/>
          <w:color w:val="000000"/>
        </w:rPr>
        <w:t> </w:t>
      </w:r>
      <w:r w:rsidRPr="00EF0893">
        <w:rPr>
          <w:color w:val="000000"/>
        </w:rPr>
        <w:t>reports that over</w:t>
      </w:r>
      <w:r w:rsidRPr="00EF0893">
        <w:rPr>
          <w:rStyle w:val="apple-converted-space"/>
          <w:rFonts w:eastAsiaTheme="majorEastAsia"/>
          <w:color w:val="000000"/>
        </w:rPr>
        <w:t> </w:t>
      </w:r>
      <w:r w:rsidRPr="00EF0893">
        <w:rPr>
          <w:b/>
          <w:bCs/>
          <w:color w:val="000000"/>
        </w:rPr>
        <w:t>180 million children</w:t>
      </w:r>
      <w:r w:rsidRPr="00EF0893">
        <w:rPr>
          <w:rStyle w:val="apple-converted-space"/>
          <w:rFonts w:eastAsiaTheme="majorEastAsia"/>
          <w:color w:val="000000"/>
        </w:rPr>
        <w:t> </w:t>
      </w:r>
      <w:r w:rsidRPr="00EF0893">
        <w:rPr>
          <w:color w:val="000000"/>
        </w:rPr>
        <w:t>are currently living with obesity. Projections suggest that without radical intervention,</w:t>
      </w:r>
      <w:r w:rsidRPr="00EF0893">
        <w:rPr>
          <w:rStyle w:val="apple-converted-space"/>
          <w:rFonts w:eastAsiaTheme="majorEastAsia"/>
          <w:color w:val="000000"/>
        </w:rPr>
        <w:t> </w:t>
      </w:r>
      <w:r w:rsidRPr="00EF0893">
        <w:rPr>
          <w:b/>
          <w:bCs/>
          <w:color w:val="000000"/>
        </w:rPr>
        <w:t>227 million children</w:t>
      </w:r>
      <w:r w:rsidRPr="00EF0893">
        <w:rPr>
          <w:color w:val="000000"/>
        </w:rPr>
        <w:t>aged 5–19 will be obese by 2040 (World Obesity Federation, 2026). In the UK, the national prevalence for Year 6 children (ages 10–11) remains high at approximately</w:t>
      </w:r>
      <w:r w:rsidRPr="00EF0893">
        <w:rPr>
          <w:rStyle w:val="apple-converted-space"/>
          <w:rFonts w:eastAsiaTheme="majorEastAsia"/>
          <w:color w:val="000000"/>
        </w:rPr>
        <w:t> </w:t>
      </w:r>
      <w:r w:rsidRPr="00EF0893">
        <w:rPr>
          <w:b/>
          <w:bCs/>
          <w:color w:val="000000"/>
        </w:rPr>
        <w:t>25%</w:t>
      </w:r>
      <w:r w:rsidRPr="00EF0893">
        <w:rPr>
          <w:rStyle w:val="apple-converted-space"/>
          <w:rFonts w:eastAsiaTheme="majorEastAsia"/>
          <w:color w:val="000000"/>
        </w:rPr>
        <w:t> </w:t>
      </w:r>
      <w:r w:rsidRPr="00EF0893">
        <w:rPr>
          <w:color w:val="000000"/>
        </w:rPr>
        <w:t>(NHS England, 2024).</w:t>
      </w:r>
    </w:p>
    <w:p w14:paraId="386BAA99" w14:textId="77777777" w:rsidR="00F41D53" w:rsidRPr="00741A76" w:rsidRDefault="00F41D53" w:rsidP="008037A5">
      <w:pPr>
        <w:pStyle w:val="Heading3"/>
        <w:jc w:val="both"/>
        <w:rPr>
          <w:b/>
          <w:bCs/>
          <w:color w:val="000000"/>
          <w:sz w:val="24"/>
          <w:szCs w:val="24"/>
        </w:rPr>
      </w:pPr>
      <w:bookmarkStart w:id="16" w:name="_Toc228488312"/>
      <w:r w:rsidRPr="00741A76">
        <w:rPr>
          <w:b/>
          <w:bCs/>
          <w:color w:val="000000"/>
          <w:sz w:val="24"/>
          <w:szCs w:val="24"/>
        </w:rPr>
        <w:t>Specific defined Population: Tower Hamlets</w:t>
      </w:r>
      <w:bookmarkEnd w:id="16"/>
    </w:p>
    <w:p w14:paraId="157C81A2" w14:textId="77777777" w:rsidR="00F41D53" w:rsidRPr="00EF0893" w:rsidRDefault="00F41D53" w:rsidP="008037A5">
      <w:pPr>
        <w:pStyle w:val="NormalWeb"/>
        <w:jc w:val="both"/>
        <w:rPr>
          <w:color w:val="000000"/>
        </w:rPr>
      </w:pPr>
      <w:r w:rsidRPr="00EF0893">
        <w:rPr>
          <w:color w:val="000000"/>
        </w:rPr>
        <w:t>The London Borough of Tower Hamlets serves as a critical case study for regional epidemiology. It exhibits a "doubling effect" that is a hallmark of urban health inequality: while</w:t>
      </w:r>
      <w:r w:rsidRPr="00EF0893">
        <w:rPr>
          <w:rStyle w:val="apple-converted-space"/>
          <w:rFonts w:eastAsiaTheme="majorEastAsia"/>
          <w:color w:val="000000"/>
        </w:rPr>
        <w:t> </w:t>
      </w:r>
      <w:r w:rsidRPr="00EF0893">
        <w:rPr>
          <w:b/>
          <w:bCs/>
          <w:color w:val="000000"/>
        </w:rPr>
        <w:t>21.2%</w:t>
      </w:r>
      <w:r w:rsidRPr="00EF0893">
        <w:rPr>
          <w:rStyle w:val="apple-converted-space"/>
          <w:rFonts w:eastAsiaTheme="majorEastAsia"/>
          <w:color w:val="000000"/>
        </w:rPr>
        <w:t> </w:t>
      </w:r>
      <w:r w:rsidRPr="00EF0893">
        <w:rPr>
          <w:color w:val="000000"/>
        </w:rPr>
        <w:t>of children enter school (Reception) with excess weight, this figure rises to</w:t>
      </w:r>
      <w:r w:rsidRPr="00EF0893">
        <w:rPr>
          <w:rStyle w:val="apple-converted-space"/>
          <w:rFonts w:eastAsiaTheme="majorEastAsia"/>
          <w:color w:val="000000"/>
        </w:rPr>
        <w:t> </w:t>
      </w:r>
      <w:r w:rsidRPr="00EF0893">
        <w:rPr>
          <w:b/>
          <w:bCs/>
          <w:color w:val="000000"/>
        </w:rPr>
        <w:t>44.3%</w:t>
      </w:r>
      <w:r w:rsidRPr="00EF0893">
        <w:rPr>
          <w:rStyle w:val="apple-converted-space"/>
          <w:rFonts w:eastAsiaTheme="majorEastAsia"/>
          <w:color w:val="000000"/>
        </w:rPr>
        <w:t> </w:t>
      </w:r>
      <w:r w:rsidRPr="00EF0893">
        <w:rPr>
          <w:color w:val="000000"/>
        </w:rPr>
        <w:t>by Year 6 (Tower Hamlets Council, 2024). This steep trajectory suggests that the local environment acts as a catalyst for weight gain during the primary school years.</w:t>
      </w:r>
    </w:p>
    <w:p w14:paraId="6485D35B" w14:textId="77777777" w:rsidR="00F41D53" w:rsidRPr="00EF0893" w:rsidRDefault="00A03035" w:rsidP="008037A5">
      <w:pPr>
        <w:jc w:val="both"/>
        <w:rPr>
          <w:sz w:val="24"/>
          <w:szCs w:val="24"/>
        </w:rPr>
      </w:pPr>
      <w:r w:rsidRPr="00A03035">
        <w:rPr>
          <w:noProof/>
          <w:sz w:val="24"/>
          <w:szCs w:val="24"/>
          <w14:ligatures w14:val="standardContextual"/>
        </w:rPr>
        <w:pict w14:anchorId="6CEAB815">
          <v:rect id="_x0000_i1026" style="width:0;height:1.5pt" o:hralign="center" o:hrstd="t" o:hr="t" fillcolor="#a0a0a0" stroked="f"/>
        </w:pict>
      </w:r>
    </w:p>
    <w:p w14:paraId="64295760" w14:textId="77777777" w:rsidR="008F138A" w:rsidRPr="00EC531C" w:rsidRDefault="008F138A" w:rsidP="008F138A">
      <w:pPr>
        <w:pStyle w:val="Heading3"/>
        <w:spacing w:line="240" w:lineRule="auto"/>
        <w:jc w:val="both"/>
        <w:rPr>
          <w:b/>
          <w:bCs/>
          <w:color w:val="000000"/>
          <w:sz w:val="30"/>
          <w:szCs w:val="30"/>
          <w:lang w:val="en-IN" w:bidi="mr-IN"/>
        </w:rPr>
      </w:pPr>
      <w:bookmarkStart w:id="17" w:name="_Toc228488313"/>
      <w:r w:rsidRPr="00EC531C">
        <w:rPr>
          <w:b/>
          <w:bCs/>
          <w:color w:val="000000"/>
          <w:sz w:val="30"/>
          <w:szCs w:val="30"/>
        </w:rPr>
        <w:t>Key Determinants and Risk Factors: An Epidemiological Analysis</w:t>
      </w:r>
      <w:bookmarkEnd w:id="17"/>
    </w:p>
    <w:p w14:paraId="2109D82A" w14:textId="77777777" w:rsidR="008F138A" w:rsidRPr="008F138A" w:rsidRDefault="008F138A" w:rsidP="008F138A">
      <w:pPr>
        <w:pStyle w:val="NormalWeb"/>
        <w:jc w:val="both"/>
        <w:rPr>
          <w:color w:val="000000"/>
        </w:rPr>
      </w:pPr>
      <w:r w:rsidRPr="008F138A">
        <w:rPr>
          <w:color w:val="000000"/>
        </w:rPr>
        <w:t>The epidemiology of obesity in Tower Hamlets is characterized by a "social gradient," where the prevalence of the condition is driven by</w:t>
      </w:r>
      <w:r w:rsidRPr="008F138A">
        <w:rPr>
          <w:rStyle w:val="apple-converted-space"/>
          <w:rFonts w:eastAsiaTheme="majorEastAsia"/>
          <w:color w:val="000000"/>
        </w:rPr>
        <w:t> </w:t>
      </w:r>
      <w:r w:rsidRPr="008F138A">
        <w:rPr>
          <w:b/>
          <w:bCs/>
          <w:color w:val="000000"/>
        </w:rPr>
        <w:t>obesogenic determinants</w:t>
      </w:r>
      <w:r w:rsidRPr="008F138A">
        <w:rPr>
          <w:rStyle w:val="apple-converted-space"/>
          <w:rFonts w:eastAsiaTheme="majorEastAsia"/>
          <w:color w:val="000000"/>
        </w:rPr>
        <w:t> </w:t>
      </w:r>
      <w:r w:rsidRPr="008F138A">
        <w:rPr>
          <w:color w:val="000000"/>
        </w:rPr>
        <w:t>rather than mere biological inevitability. As a Regional Epidemiologist, it is essential to move beyond the "lifestyle choice" narrative and examine the structural drivers that make health an unattainable luxury for many families in East London.</w:t>
      </w:r>
    </w:p>
    <w:p w14:paraId="11B69861" w14:textId="77777777" w:rsidR="008F138A" w:rsidRPr="00EC531C" w:rsidRDefault="008F138A" w:rsidP="008F138A">
      <w:pPr>
        <w:pStyle w:val="Heading4"/>
        <w:spacing w:line="240" w:lineRule="auto"/>
        <w:jc w:val="both"/>
        <w:rPr>
          <w:b/>
          <w:bCs/>
          <w:color w:val="000000"/>
          <w:sz w:val="30"/>
          <w:szCs w:val="30"/>
        </w:rPr>
      </w:pPr>
      <w:r w:rsidRPr="00EC531C">
        <w:rPr>
          <w:b/>
          <w:bCs/>
          <w:color w:val="000000"/>
          <w:sz w:val="30"/>
          <w:szCs w:val="30"/>
        </w:rPr>
        <w:t>1. Socioeconomic Driving Factors and the Deprivation Gap</w:t>
      </w:r>
    </w:p>
    <w:p w14:paraId="250081E7" w14:textId="77777777" w:rsidR="008F138A" w:rsidRPr="008F138A" w:rsidRDefault="008F138A" w:rsidP="008F138A">
      <w:pPr>
        <w:pStyle w:val="NormalWeb"/>
        <w:jc w:val="both"/>
        <w:rPr>
          <w:color w:val="000000"/>
        </w:rPr>
      </w:pPr>
      <w:r w:rsidRPr="008F138A">
        <w:rPr>
          <w:color w:val="000000"/>
        </w:rPr>
        <w:t>A multi-factor analysis reveals that</w:t>
      </w:r>
      <w:r w:rsidRPr="008F138A">
        <w:rPr>
          <w:rStyle w:val="apple-converted-space"/>
          <w:rFonts w:eastAsiaTheme="majorEastAsia"/>
          <w:color w:val="000000"/>
        </w:rPr>
        <w:t> </w:t>
      </w:r>
      <w:r w:rsidRPr="008F138A">
        <w:rPr>
          <w:b/>
          <w:bCs/>
          <w:color w:val="000000"/>
        </w:rPr>
        <w:t>poverty and income inequality</w:t>
      </w:r>
      <w:r w:rsidRPr="008F138A">
        <w:rPr>
          <w:rStyle w:val="apple-converted-space"/>
          <w:rFonts w:eastAsiaTheme="majorEastAsia"/>
          <w:color w:val="000000"/>
        </w:rPr>
        <w:t> </w:t>
      </w:r>
      <w:r w:rsidRPr="008F138A">
        <w:rPr>
          <w:color w:val="000000"/>
        </w:rPr>
        <w:t>are the strongest statistical predictors of childhood obesity in East London (ResearchGate, 2026). In the UK, the "deprivation gap" has widened significantly over the last decade. Data from</w:t>
      </w:r>
      <w:r w:rsidRPr="008F138A">
        <w:rPr>
          <w:rStyle w:val="apple-converted-space"/>
          <w:rFonts w:eastAsiaTheme="majorEastAsia"/>
          <w:color w:val="000000"/>
        </w:rPr>
        <w:t> </w:t>
      </w:r>
      <w:r w:rsidRPr="008F138A">
        <w:rPr>
          <w:b/>
          <w:bCs/>
          <w:color w:val="000000"/>
        </w:rPr>
        <w:t xml:space="preserve">NHS England </w:t>
      </w:r>
      <w:r w:rsidRPr="008F138A">
        <w:rPr>
          <w:b/>
          <w:bCs/>
          <w:color w:val="000000"/>
        </w:rPr>
        <w:lastRenderedPageBreak/>
        <w:t>(2024)</w:t>
      </w:r>
      <w:r w:rsidRPr="008F138A">
        <w:rPr>
          <w:rStyle w:val="apple-converted-space"/>
          <w:rFonts w:eastAsiaTheme="majorEastAsia"/>
          <w:color w:val="000000"/>
        </w:rPr>
        <w:t> </w:t>
      </w:r>
      <w:r w:rsidRPr="008F138A">
        <w:rPr>
          <w:color w:val="000000"/>
        </w:rPr>
        <w:t>indicates that children residing in the most deprived 10% of areas are</w:t>
      </w:r>
      <w:r w:rsidRPr="008F138A">
        <w:rPr>
          <w:rStyle w:val="apple-converted-space"/>
          <w:rFonts w:eastAsiaTheme="majorEastAsia"/>
          <w:color w:val="000000"/>
        </w:rPr>
        <w:t> </w:t>
      </w:r>
      <w:r w:rsidRPr="008F138A">
        <w:rPr>
          <w:b/>
          <w:bCs/>
          <w:color w:val="000000"/>
        </w:rPr>
        <w:t>three times more likely</w:t>
      </w:r>
      <w:r w:rsidRPr="008F138A">
        <w:rPr>
          <w:rStyle w:val="apple-converted-space"/>
          <w:rFonts w:eastAsiaTheme="majorEastAsia"/>
          <w:color w:val="000000"/>
        </w:rPr>
        <w:t> </w:t>
      </w:r>
      <w:r w:rsidRPr="008F138A">
        <w:rPr>
          <w:color w:val="000000"/>
        </w:rPr>
        <w:t>to be classified as obese (30.2%) compared to those in the least deprived 10% (8.1%).</w:t>
      </w:r>
    </w:p>
    <w:p w14:paraId="1F844B65" w14:textId="77777777" w:rsidR="008F138A" w:rsidRPr="008F138A" w:rsidRDefault="008F138A" w:rsidP="008F138A">
      <w:pPr>
        <w:pStyle w:val="NormalWeb"/>
        <w:jc w:val="both"/>
        <w:rPr>
          <w:color w:val="000000"/>
        </w:rPr>
      </w:pPr>
      <w:r w:rsidRPr="008F138A">
        <w:rPr>
          <w:color w:val="000000"/>
        </w:rPr>
        <w:t>In Tower Hamlets, this is not merely a matter of low income but of</w:t>
      </w:r>
      <w:r w:rsidRPr="008F138A">
        <w:rPr>
          <w:rStyle w:val="apple-converted-space"/>
          <w:rFonts w:eastAsiaTheme="majorEastAsia"/>
          <w:color w:val="000000"/>
        </w:rPr>
        <w:t> </w:t>
      </w:r>
      <w:r w:rsidRPr="008F138A">
        <w:rPr>
          <w:b/>
          <w:bCs/>
          <w:color w:val="000000"/>
        </w:rPr>
        <w:t>"food poverty."</w:t>
      </w:r>
      <w:r w:rsidRPr="008F138A">
        <w:rPr>
          <w:rStyle w:val="apple-converted-space"/>
          <w:rFonts w:eastAsiaTheme="majorEastAsia"/>
          <w:color w:val="000000"/>
        </w:rPr>
        <w:t> </w:t>
      </w:r>
      <w:r w:rsidRPr="008F138A">
        <w:rPr>
          <w:color w:val="000000"/>
        </w:rPr>
        <w:t>When household budgets are squeezed by the rising cost of living, families are often forced to transition from nutrient-dense fresh foods to "calorie-dense, nutrient-poor" alternatives. These ultra-processed foods are statistically cheaper per calorie, making them a rational economic choice for those in precarious financial positions, despite their long-term health costs. This socioeconomic reality creates a systemic barrier where the "healthiest choice" is frequently the most expensive and least accessible.</w:t>
      </w:r>
    </w:p>
    <w:p w14:paraId="314D1851" w14:textId="77777777" w:rsidR="008F138A" w:rsidRPr="008F138A" w:rsidRDefault="008F138A" w:rsidP="008F138A">
      <w:pPr>
        <w:pStyle w:val="Heading4"/>
        <w:spacing w:line="240" w:lineRule="auto"/>
        <w:jc w:val="both"/>
        <w:rPr>
          <w:color w:val="000000"/>
          <w:sz w:val="24"/>
          <w:szCs w:val="24"/>
        </w:rPr>
      </w:pPr>
      <w:r w:rsidRPr="00EC531C">
        <w:rPr>
          <w:b/>
          <w:bCs/>
          <w:color w:val="000000"/>
          <w:sz w:val="30"/>
          <w:szCs w:val="30"/>
        </w:rPr>
        <w:t>2. The Built Environment: Commercial Determinants and "Food Mirages</w:t>
      </w:r>
      <w:r w:rsidRPr="008F138A">
        <w:rPr>
          <w:color w:val="000000"/>
          <w:sz w:val="24"/>
          <w:szCs w:val="24"/>
        </w:rPr>
        <w:t>"</w:t>
      </w:r>
    </w:p>
    <w:p w14:paraId="75AA9EDC" w14:textId="77777777" w:rsidR="008F138A" w:rsidRPr="008F138A" w:rsidRDefault="008F138A" w:rsidP="008F138A">
      <w:pPr>
        <w:pStyle w:val="NormalWeb"/>
        <w:jc w:val="both"/>
        <w:rPr>
          <w:color w:val="000000"/>
        </w:rPr>
      </w:pPr>
      <w:r w:rsidRPr="008F138A">
        <w:rPr>
          <w:color w:val="000000"/>
        </w:rPr>
        <w:t>The physical landscape of Tower Hamlets serves as a primary driver of the obesity trajectory. The borough possesses one of the highest densities of fast-food outlets in the United Kingdom, often clustered around transport hubs and school gates. Epidemiological</w:t>
      </w:r>
      <w:r w:rsidRPr="008F138A">
        <w:rPr>
          <w:rStyle w:val="apple-converted-space"/>
          <w:rFonts w:eastAsiaTheme="majorEastAsia"/>
          <w:color w:val="000000"/>
        </w:rPr>
        <w:t> </w:t>
      </w:r>
      <w:r w:rsidRPr="008F138A">
        <w:rPr>
          <w:b/>
          <w:bCs/>
          <w:color w:val="000000"/>
        </w:rPr>
        <w:t>"Point of Interest" (POI) mapping</w:t>
      </w:r>
      <w:r w:rsidRPr="008F138A">
        <w:rPr>
          <w:rStyle w:val="apple-converted-space"/>
          <w:rFonts w:eastAsiaTheme="majorEastAsia"/>
          <w:color w:val="000000"/>
        </w:rPr>
        <w:t> </w:t>
      </w:r>
      <w:r w:rsidRPr="008F138A">
        <w:rPr>
          <w:color w:val="000000"/>
        </w:rPr>
        <w:t>indicates that</w:t>
      </w:r>
      <w:r w:rsidRPr="008F138A">
        <w:rPr>
          <w:rStyle w:val="apple-converted-space"/>
          <w:rFonts w:eastAsiaTheme="majorEastAsia"/>
          <w:color w:val="000000"/>
        </w:rPr>
        <w:t> </w:t>
      </w:r>
      <w:r w:rsidRPr="008F138A">
        <w:rPr>
          <w:b/>
          <w:bCs/>
          <w:color w:val="000000"/>
        </w:rPr>
        <w:t>68%</w:t>
      </w:r>
      <w:r w:rsidRPr="008F138A">
        <w:rPr>
          <w:rStyle w:val="apple-converted-space"/>
          <w:rFonts w:eastAsiaTheme="majorEastAsia"/>
          <w:color w:val="000000"/>
        </w:rPr>
        <w:t> </w:t>
      </w:r>
      <w:r w:rsidRPr="008F138A">
        <w:rPr>
          <w:color w:val="000000"/>
        </w:rPr>
        <w:t>of outdoor advertisements in the borough promote high fat, salt, and sugar (HFSS) products (Tower Hamlets Council, 2024).</w:t>
      </w:r>
    </w:p>
    <w:p w14:paraId="2D9D4A0B" w14:textId="77777777" w:rsidR="008F138A" w:rsidRPr="008F138A" w:rsidRDefault="008F138A" w:rsidP="008F138A">
      <w:pPr>
        <w:pStyle w:val="NormalWeb"/>
        <w:jc w:val="both"/>
        <w:rPr>
          <w:color w:val="000000"/>
        </w:rPr>
      </w:pPr>
      <w:r w:rsidRPr="008F138A">
        <w:rPr>
          <w:color w:val="000000"/>
        </w:rPr>
        <w:t>This creates what epidemiologists term a</w:t>
      </w:r>
      <w:r w:rsidRPr="008F138A">
        <w:rPr>
          <w:rStyle w:val="apple-converted-space"/>
          <w:rFonts w:eastAsiaTheme="majorEastAsia"/>
          <w:color w:val="000000"/>
        </w:rPr>
        <w:t> </w:t>
      </w:r>
      <w:r w:rsidRPr="008F138A">
        <w:rPr>
          <w:b/>
          <w:bCs/>
          <w:color w:val="000000"/>
        </w:rPr>
        <w:t>"food mirage"</w:t>
      </w:r>
      <w:r w:rsidRPr="008F138A">
        <w:rPr>
          <w:color w:val="000000"/>
        </w:rPr>
        <w:t>—an area where food is plentiful but healthy options are either priced out of reach or physically obscured by the sheer volume of unhealthy marketing. This environment exploits "automatic" or "impulse" eating behaviors. When a child's journey to school is saturated with visual cues for low-cost, high-calorie meals, the cognitive load required to make a healthy choice becomes an unfair burden on the individual. Furthermore, the lack of safe, accessible green spaces in high-density urban wards limits "incidental physical activity," forcing children into sedentary indoor environments which further exacerbates the energy imbalance.</w:t>
      </w:r>
    </w:p>
    <w:p w14:paraId="062E6609" w14:textId="77777777" w:rsidR="008F138A" w:rsidRPr="00EC531C" w:rsidRDefault="008F138A" w:rsidP="008F138A">
      <w:pPr>
        <w:pStyle w:val="Heading4"/>
        <w:spacing w:line="240" w:lineRule="auto"/>
        <w:jc w:val="both"/>
        <w:rPr>
          <w:b/>
          <w:bCs/>
          <w:color w:val="000000"/>
          <w:sz w:val="30"/>
          <w:szCs w:val="30"/>
        </w:rPr>
      </w:pPr>
      <w:r w:rsidRPr="00EC531C">
        <w:rPr>
          <w:b/>
          <w:bCs/>
          <w:color w:val="000000"/>
          <w:sz w:val="30"/>
          <w:szCs w:val="30"/>
        </w:rPr>
        <w:t>3. Parental, Home Factors, and Intergenerational Risk</w:t>
      </w:r>
    </w:p>
    <w:p w14:paraId="3D0D192C" w14:textId="77777777" w:rsidR="008F138A" w:rsidRPr="008F138A" w:rsidRDefault="008F138A" w:rsidP="008F138A">
      <w:pPr>
        <w:pStyle w:val="NormalWeb"/>
        <w:jc w:val="both"/>
        <w:rPr>
          <w:color w:val="000000"/>
        </w:rPr>
      </w:pPr>
      <w:r w:rsidRPr="008F138A">
        <w:rPr>
          <w:color w:val="000000"/>
        </w:rPr>
        <w:t>The home environment acts as the third pillar of this epidemiological crisis. Data indicates that</w:t>
      </w:r>
      <w:r w:rsidRPr="008F138A">
        <w:rPr>
          <w:rStyle w:val="apple-converted-space"/>
          <w:rFonts w:eastAsiaTheme="majorEastAsia"/>
          <w:color w:val="000000"/>
        </w:rPr>
        <w:t> </w:t>
      </w:r>
      <w:r w:rsidRPr="008F138A">
        <w:rPr>
          <w:b/>
          <w:bCs/>
          <w:color w:val="000000"/>
        </w:rPr>
        <w:t>20%</w:t>
      </w:r>
      <w:r w:rsidRPr="008F138A">
        <w:rPr>
          <w:rStyle w:val="apple-converted-space"/>
          <w:rFonts w:eastAsiaTheme="majorEastAsia"/>
          <w:color w:val="000000"/>
        </w:rPr>
        <w:t> </w:t>
      </w:r>
      <w:r w:rsidRPr="008F138A">
        <w:rPr>
          <w:color w:val="000000"/>
        </w:rPr>
        <w:t>of children whose mothers have obesity are likely to live with the condition themselves, compared to only 8% for children of healthy-weight mothers (NHS England, 2024). This suggests a cycle of</w:t>
      </w:r>
      <w:r w:rsidRPr="008F138A">
        <w:rPr>
          <w:rStyle w:val="apple-converted-space"/>
          <w:rFonts w:eastAsiaTheme="majorEastAsia"/>
          <w:color w:val="000000"/>
        </w:rPr>
        <w:t> </w:t>
      </w:r>
      <w:r w:rsidRPr="008F138A">
        <w:rPr>
          <w:b/>
          <w:bCs/>
          <w:color w:val="000000"/>
        </w:rPr>
        <w:t>intergenerational risk</w:t>
      </w:r>
      <w:r w:rsidRPr="008F138A">
        <w:rPr>
          <w:rStyle w:val="apple-converted-space"/>
          <w:rFonts w:eastAsiaTheme="majorEastAsia"/>
          <w:color w:val="000000"/>
        </w:rPr>
        <w:t> </w:t>
      </w:r>
      <w:r w:rsidRPr="008F138A">
        <w:rPr>
          <w:color w:val="000000"/>
        </w:rPr>
        <w:t>that is both biological and environmental.</w:t>
      </w:r>
    </w:p>
    <w:p w14:paraId="41FE77F8" w14:textId="7B860AE9" w:rsidR="008F138A" w:rsidRPr="008F138A" w:rsidRDefault="008F138A" w:rsidP="008F138A">
      <w:pPr>
        <w:pStyle w:val="NormalWeb"/>
        <w:jc w:val="both"/>
        <w:rPr>
          <w:color w:val="000000"/>
        </w:rPr>
      </w:pPr>
      <w:r w:rsidRPr="008F138A">
        <w:rPr>
          <w:color w:val="000000"/>
        </w:rPr>
        <w:t>Epigenetic research suggests that maternal nutrition and stress during pregnancy can "prime" a child’s metabolism for fat storage. When this biological predisposition meets a home environment where "active play" is restricted by overcrowded housing—a significant issue in Tower Hamlets—the risk of rapid BMI acceleration in early childhood increases. Furthermore, parental time-poverty, often caused by the need to work multiple low-wage jobs, reduces the capacity for home-cooked meals, leading to a higher reliance on convenient, processed food. Addressing these factors requires family-centered interventions that acknowledge the time and space constraints faced by urban parents (NIHR, 2026).</w:t>
      </w:r>
    </w:p>
    <w:p w14:paraId="45EBF9D1" w14:textId="77777777" w:rsidR="008F138A" w:rsidRDefault="008F138A" w:rsidP="008F138A">
      <w:pPr>
        <w:pStyle w:val="NormalWeb"/>
        <w:rPr>
          <w:color w:val="000000"/>
        </w:rPr>
      </w:pPr>
    </w:p>
    <w:p w14:paraId="7A1EF65E" w14:textId="3155C1F4" w:rsidR="00F41D53" w:rsidRPr="00EC531C" w:rsidRDefault="00F41D53" w:rsidP="008037A5">
      <w:pPr>
        <w:pStyle w:val="Heading3"/>
        <w:jc w:val="both"/>
        <w:rPr>
          <w:b/>
          <w:bCs/>
          <w:color w:val="000000"/>
          <w:sz w:val="30"/>
          <w:szCs w:val="30"/>
        </w:rPr>
      </w:pPr>
      <w:bookmarkStart w:id="18" w:name="_Toc228488314"/>
      <w:r w:rsidRPr="00EC531C">
        <w:rPr>
          <w:b/>
          <w:bCs/>
          <w:color w:val="000000"/>
          <w:sz w:val="30"/>
          <w:szCs w:val="30"/>
        </w:rPr>
        <w:lastRenderedPageBreak/>
        <w:t>Public Health Measures: The 3 P’s</w:t>
      </w:r>
      <w:bookmarkEnd w:id="18"/>
    </w:p>
    <w:p w14:paraId="10DE7CF8" w14:textId="77777777" w:rsidR="00F41D53" w:rsidRPr="00EC531C" w:rsidRDefault="00F41D53" w:rsidP="008037A5">
      <w:pPr>
        <w:pStyle w:val="NormalWeb"/>
        <w:jc w:val="both"/>
        <w:rPr>
          <w:b/>
          <w:bCs/>
          <w:color w:val="000000"/>
          <w:sz w:val="30"/>
          <w:szCs w:val="30"/>
        </w:rPr>
      </w:pPr>
      <w:r w:rsidRPr="00EC531C">
        <w:rPr>
          <w:b/>
          <w:bCs/>
          <w:color w:val="000000"/>
          <w:sz w:val="30"/>
          <w:szCs w:val="30"/>
        </w:rPr>
        <w:t>The management of this crisis utilizes the</w:t>
      </w:r>
      <w:r w:rsidRPr="00EC531C">
        <w:rPr>
          <w:rStyle w:val="apple-converted-space"/>
          <w:rFonts w:eastAsiaTheme="majorEastAsia"/>
          <w:b/>
          <w:bCs/>
          <w:color w:val="000000"/>
          <w:sz w:val="30"/>
          <w:szCs w:val="30"/>
        </w:rPr>
        <w:t> </w:t>
      </w:r>
      <w:r w:rsidRPr="00EC531C">
        <w:rPr>
          <w:b/>
          <w:bCs/>
          <w:color w:val="000000"/>
          <w:sz w:val="30"/>
          <w:szCs w:val="30"/>
        </w:rPr>
        <w:t>3 P's framework:</w:t>
      </w:r>
    </w:p>
    <w:p w14:paraId="426D037F" w14:textId="77777777" w:rsidR="00F41D53" w:rsidRPr="00EF0893" w:rsidRDefault="00F41D53" w:rsidP="008037A5">
      <w:pPr>
        <w:pStyle w:val="NormalWeb"/>
        <w:numPr>
          <w:ilvl w:val="0"/>
          <w:numId w:val="48"/>
        </w:numPr>
        <w:jc w:val="both"/>
        <w:rPr>
          <w:color w:val="000000"/>
        </w:rPr>
      </w:pPr>
      <w:r w:rsidRPr="00EF0893">
        <w:rPr>
          <w:b/>
          <w:bCs/>
          <w:color w:val="000000"/>
        </w:rPr>
        <w:t>Prevention (Primary):</w:t>
      </w:r>
      <w:r w:rsidRPr="00EF0893">
        <w:rPr>
          <w:rStyle w:val="apple-converted-space"/>
          <w:rFonts w:eastAsiaTheme="majorEastAsia"/>
          <w:color w:val="000000"/>
        </w:rPr>
        <w:t> </w:t>
      </w:r>
      <w:r w:rsidRPr="00EF0893">
        <w:rPr>
          <w:color w:val="000000"/>
        </w:rPr>
        <w:t>The</w:t>
      </w:r>
      <w:r w:rsidRPr="00EF0893">
        <w:rPr>
          <w:rStyle w:val="apple-converted-space"/>
          <w:rFonts w:eastAsiaTheme="majorEastAsia"/>
          <w:color w:val="000000"/>
        </w:rPr>
        <w:t> </w:t>
      </w:r>
      <w:r w:rsidRPr="00EF0893">
        <w:rPr>
          <w:b/>
          <w:bCs/>
          <w:color w:val="000000"/>
        </w:rPr>
        <w:t>HAPPY Programme</w:t>
      </w:r>
      <w:r w:rsidRPr="00EF0893">
        <w:rPr>
          <w:rStyle w:val="apple-converted-space"/>
          <w:rFonts w:eastAsiaTheme="majorEastAsia"/>
          <w:color w:val="000000"/>
        </w:rPr>
        <w:t> </w:t>
      </w:r>
      <w:r w:rsidRPr="00EF0893">
        <w:rPr>
          <w:color w:val="000000"/>
        </w:rPr>
        <w:t>targets the "First 1,000 Days" of life. By focusing on culturally appropriate weaning and infant nutrition, the program aims to halt the development of obesity before it begins (Born in Bradford, 2013).</w:t>
      </w:r>
    </w:p>
    <w:p w14:paraId="6B2BEAF6" w14:textId="77777777" w:rsidR="00F41D53" w:rsidRPr="00EF0893" w:rsidRDefault="00F41D53" w:rsidP="008037A5">
      <w:pPr>
        <w:pStyle w:val="NormalWeb"/>
        <w:numPr>
          <w:ilvl w:val="0"/>
          <w:numId w:val="48"/>
        </w:numPr>
        <w:jc w:val="both"/>
        <w:rPr>
          <w:color w:val="000000"/>
        </w:rPr>
      </w:pPr>
      <w:r w:rsidRPr="00EF0893">
        <w:rPr>
          <w:b/>
          <w:bCs/>
          <w:color w:val="000000"/>
        </w:rPr>
        <w:t>Protection (Secondary):</w:t>
      </w:r>
      <w:r w:rsidRPr="00EF0893">
        <w:rPr>
          <w:rStyle w:val="apple-converted-space"/>
          <w:rFonts w:eastAsiaTheme="majorEastAsia"/>
          <w:color w:val="000000"/>
        </w:rPr>
        <w:t> </w:t>
      </w:r>
      <w:r w:rsidRPr="00EF0893">
        <w:rPr>
          <w:color w:val="000000"/>
        </w:rPr>
        <w:t>The</w:t>
      </w:r>
      <w:r w:rsidRPr="00EF0893">
        <w:rPr>
          <w:rStyle w:val="apple-converted-space"/>
          <w:rFonts w:eastAsiaTheme="majorEastAsia"/>
          <w:color w:val="000000"/>
        </w:rPr>
        <w:t> </w:t>
      </w:r>
      <w:r w:rsidRPr="00EF0893">
        <w:rPr>
          <w:b/>
          <w:bCs/>
          <w:color w:val="000000"/>
        </w:rPr>
        <w:t>Healthier Food Advertising Policy</w:t>
      </w:r>
      <w:r w:rsidRPr="00EF0893">
        <w:rPr>
          <w:rStyle w:val="apple-converted-space"/>
          <w:rFonts w:eastAsiaTheme="majorEastAsia"/>
          <w:color w:val="000000"/>
        </w:rPr>
        <w:t> </w:t>
      </w:r>
      <w:r w:rsidRPr="00EF0893">
        <w:rPr>
          <w:color w:val="000000"/>
        </w:rPr>
        <w:t>acts as a protective shield. By removing HFSS advertisements from all council-owned sites—including 1,000+ bus stops—the borough reduces the "visual cues" that drive unhealthy consumption (Greater London Authority, 2023).</w:t>
      </w:r>
    </w:p>
    <w:p w14:paraId="0EE1D8AE" w14:textId="126C3C22" w:rsidR="00F41D53" w:rsidRPr="00891FA4" w:rsidRDefault="00F41D53" w:rsidP="00891FA4">
      <w:pPr>
        <w:pStyle w:val="NormalWeb"/>
        <w:numPr>
          <w:ilvl w:val="0"/>
          <w:numId w:val="48"/>
        </w:numPr>
        <w:jc w:val="both"/>
        <w:rPr>
          <w:color w:val="000000"/>
        </w:rPr>
      </w:pPr>
      <w:r w:rsidRPr="00891FA4">
        <w:rPr>
          <w:b/>
          <w:bCs/>
          <w:color w:val="000000"/>
        </w:rPr>
        <w:t>Promotion (Tertiary):</w:t>
      </w:r>
      <w:r w:rsidRPr="00891FA4">
        <w:rPr>
          <w:rStyle w:val="apple-converted-space"/>
          <w:rFonts w:eastAsiaTheme="majorEastAsia"/>
          <w:color w:val="000000"/>
        </w:rPr>
        <w:t> </w:t>
      </w:r>
      <w:r w:rsidRPr="00891FA4">
        <w:rPr>
          <w:b/>
          <w:bCs/>
          <w:color w:val="000000"/>
        </w:rPr>
        <w:t>Social Prescribing</w:t>
      </w:r>
      <w:r w:rsidRPr="00891FA4">
        <w:rPr>
          <w:rStyle w:val="apple-converted-space"/>
          <w:rFonts w:eastAsiaTheme="majorEastAsia"/>
          <w:color w:val="000000"/>
        </w:rPr>
        <w:t> </w:t>
      </w:r>
      <w:r w:rsidRPr="00891FA4">
        <w:rPr>
          <w:color w:val="000000"/>
        </w:rPr>
        <w:t>initiatives allow GPs to refer families to local sports clubs and community kitchens. This "promotes" health by connecting the medical system to local assets like "Healthy Schools London" (GP Care Group, 2023).</w:t>
      </w:r>
    </w:p>
    <w:p w14:paraId="094241B0" w14:textId="77777777" w:rsidR="00F41D53" w:rsidRPr="00F04AF6" w:rsidRDefault="00F41D53" w:rsidP="008037A5">
      <w:pPr>
        <w:pStyle w:val="Heading3"/>
        <w:jc w:val="both"/>
        <w:rPr>
          <w:b/>
          <w:bCs/>
          <w:color w:val="000000"/>
          <w:sz w:val="30"/>
          <w:szCs w:val="30"/>
        </w:rPr>
      </w:pPr>
      <w:bookmarkStart w:id="19" w:name="_Toc228488315"/>
      <w:r w:rsidRPr="00F04AF6">
        <w:rPr>
          <w:b/>
          <w:bCs/>
          <w:color w:val="000000"/>
          <w:sz w:val="30"/>
          <w:szCs w:val="30"/>
        </w:rPr>
        <w:t>Health Needs Assessment (HNA) and Risk Identification</w:t>
      </w:r>
      <w:bookmarkEnd w:id="19"/>
    </w:p>
    <w:p w14:paraId="4DDEB270" w14:textId="77777777" w:rsidR="00F41D53" w:rsidRPr="00EF0893" w:rsidRDefault="00F41D53" w:rsidP="008037A5">
      <w:pPr>
        <w:pStyle w:val="NormalWeb"/>
        <w:jc w:val="both"/>
        <w:rPr>
          <w:color w:val="000000"/>
        </w:rPr>
      </w:pPr>
      <w:r w:rsidRPr="00EF0893">
        <w:rPr>
          <w:color w:val="000000"/>
        </w:rPr>
        <w:t>A</w:t>
      </w:r>
      <w:r w:rsidRPr="00EF0893">
        <w:rPr>
          <w:rStyle w:val="apple-converted-space"/>
          <w:rFonts w:eastAsiaTheme="majorEastAsia"/>
          <w:color w:val="000000"/>
        </w:rPr>
        <w:t> </w:t>
      </w:r>
      <w:r w:rsidRPr="00EF0893">
        <w:rPr>
          <w:b/>
          <w:bCs/>
          <w:color w:val="000000"/>
        </w:rPr>
        <w:t>Joint Strategic Needs Assessment (JSNA)</w:t>
      </w:r>
      <w:r w:rsidRPr="00EF0893">
        <w:rPr>
          <w:rStyle w:val="apple-converted-space"/>
          <w:rFonts w:eastAsiaTheme="majorEastAsia"/>
          <w:color w:val="000000"/>
        </w:rPr>
        <w:t> </w:t>
      </w:r>
      <w:r w:rsidRPr="00EF0893">
        <w:rPr>
          <w:color w:val="000000"/>
        </w:rPr>
        <w:t>conducted in Tower Hamlets identifies significant ethnic disparities. Children of</w:t>
      </w:r>
      <w:r w:rsidRPr="00EF0893">
        <w:rPr>
          <w:rStyle w:val="apple-converted-space"/>
          <w:rFonts w:eastAsiaTheme="majorEastAsia"/>
          <w:color w:val="000000"/>
        </w:rPr>
        <w:t> </w:t>
      </w:r>
      <w:r w:rsidRPr="00EF0893">
        <w:rPr>
          <w:b/>
          <w:bCs/>
          <w:color w:val="000000"/>
        </w:rPr>
        <w:t>Bangladeshi and Black African/Caribbean heritage</w:t>
      </w:r>
      <w:r w:rsidRPr="00EF0893">
        <w:rPr>
          <w:rStyle w:val="apple-converted-space"/>
          <w:rFonts w:eastAsiaTheme="majorEastAsia"/>
          <w:color w:val="000000"/>
        </w:rPr>
        <w:t> </w:t>
      </w:r>
      <w:r w:rsidRPr="00EF0893">
        <w:rPr>
          <w:color w:val="000000"/>
        </w:rPr>
        <w:t>are disproportionately affected, with Year 6 prevalence rates far exceeding the London average (Tower Hamlets Council, 2024). The HNA identifies that these risks are compounded by</w:t>
      </w:r>
      <w:r w:rsidRPr="00EF0893">
        <w:rPr>
          <w:rStyle w:val="apple-converted-space"/>
          <w:rFonts w:eastAsiaTheme="majorEastAsia"/>
          <w:color w:val="000000"/>
        </w:rPr>
        <w:t> </w:t>
      </w:r>
      <w:r w:rsidRPr="00EF0893">
        <w:rPr>
          <w:b/>
          <w:bCs/>
          <w:color w:val="000000"/>
        </w:rPr>
        <w:t>housing instability</w:t>
      </w:r>
      <w:r w:rsidRPr="00EF0893">
        <w:rPr>
          <w:rStyle w:val="apple-converted-space"/>
          <w:rFonts w:eastAsiaTheme="majorEastAsia"/>
          <w:color w:val="000000"/>
        </w:rPr>
        <w:t> </w:t>
      </w:r>
      <w:r w:rsidRPr="00EF0893">
        <w:rPr>
          <w:color w:val="000000"/>
        </w:rPr>
        <w:t>and overcrowded conditions, which limit opportunities for active play and home cooking (NIHR, 2026).</w:t>
      </w:r>
    </w:p>
    <w:p w14:paraId="737040AF" w14:textId="77777777" w:rsidR="00F41D53" w:rsidRPr="00F04AF6" w:rsidRDefault="00F41D53" w:rsidP="008037A5">
      <w:pPr>
        <w:pStyle w:val="Heading3"/>
        <w:jc w:val="both"/>
        <w:rPr>
          <w:b/>
          <w:bCs/>
          <w:color w:val="000000"/>
          <w:sz w:val="30"/>
          <w:szCs w:val="30"/>
        </w:rPr>
      </w:pPr>
      <w:bookmarkStart w:id="20" w:name="_Toc228488316"/>
      <w:r w:rsidRPr="00F04AF6">
        <w:rPr>
          <w:b/>
          <w:bCs/>
          <w:color w:val="000000"/>
          <w:sz w:val="30"/>
          <w:szCs w:val="30"/>
        </w:rPr>
        <w:t>Monitoring and Surveillance Systems</w:t>
      </w:r>
      <w:bookmarkEnd w:id="20"/>
    </w:p>
    <w:p w14:paraId="346E7D26" w14:textId="77777777" w:rsidR="00F41D53" w:rsidRPr="00741A76" w:rsidRDefault="00F41D53" w:rsidP="008037A5">
      <w:pPr>
        <w:pStyle w:val="NormalWeb"/>
        <w:jc w:val="both"/>
        <w:rPr>
          <w:rFonts w:asciiTheme="minorHAnsi" w:hAnsiTheme="minorHAnsi"/>
          <w:b/>
          <w:bCs/>
          <w:color w:val="000000"/>
        </w:rPr>
      </w:pPr>
      <w:r w:rsidRPr="00741A76">
        <w:rPr>
          <w:rFonts w:asciiTheme="minorHAnsi" w:hAnsiTheme="minorHAnsi"/>
          <w:b/>
          <w:bCs/>
          <w:color w:val="000000"/>
        </w:rPr>
        <w:t>Effective epidemiology requires robust data streams. Tower Hamlets utilizes three types of monitoring:</w:t>
      </w:r>
    </w:p>
    <w:p w14:paraId="0DC3F326" w14:textId="77777777" w:rsidR="00F41D53" w:rsidRPr="00EF0893" w:rsidRDefault="00F41D53" w:rsidP="008037A5">
      <w:pPr>
        <w:pStyle w:val="NormalWeb"/>
        <w:numPr>
          <w:ilvl w:val="0"/>
          <w:numId w:val="49"/>
        </w:numPr>
        <w:jc w:val="both"/>
        <w:rPr>
          <w:color w:val="000000"/>
        </w:rPr>
      </w:pPr>
      <w:r w:rsidRPr="00EF0893">
        <w:rPr>
          <w:b/>
          <w:bCs/>
          <w:color w:val="000000"/>
        </w:rPr>
        <w:t>Passive Surveillance (NCMP):</w:t>
      </w:r>
      <w:r w:rsidRPr="00EF0893">
        <w:rPr>
          <w:rStyle w:val="apple-converted-space"/>
          <w:rFonts w:eastAsiaTheme="majorEastAsia"/>
          <w:color w:val="000000"/>
        </w:rPr>
        <w:t> </w:t>
      </w:r>
      <w:r w:rsidRPr="00EF0893">
        <w:rPr>
          <w:color w:val="000000"/>
        </w:rPr>
        <w:t>The</w:t>
      </w:r>
      <w:r w:rsidRPr="00EF0893">
        <w:rPr>
          <w:rStyle w:val="apple-converted-space"/>
          <w:rFonts w:eastAsiaTheme="majorEastAsia"/>
          <w:color w:val="000000"/>
        </w:rPr>
        <w:t> </w:t>
      </w:r>
      <w:r w:rsidRPr="00EF0893">
        <w:rPr>
          <w:b/>
          <w:bCs/>
          <w:color w:val="000000"/>
        </w:rPr>
        <w:t>National Child Measurement Programme (NCMP)</w:t>
      </w:r>
      <w:r w:rsidRPr="00EF0893">
        <w:rPr>
          <w:rStyle w:val="apple-converted-space"/>
          <w:rFonts w:eastAsiaTheme="majorEastAsia"/>
          <w:color w:val="000000"/>
        </w:rPr>
        <w:t> </w:t>
      </w:r>
      <w:r w:rsidRPr="00EF0893">
        <w:rPr>
          <w:color w:val="000000"/>
        </w:rPr>
        <w:t>is the mandatory "gold standard" surveillance tool. Every year, heights and weights are recorded for nearly all state-school children in Reception and Year 6, providing high-quality longitudinal data (NHS England, 2024).</w:t>
      </w:r>
    </w:p>
    <w:p w14:paraId="3153B233" w14:textId="77777777" w:rsidR="00F41D53" w:rsidRPr="00EF0893" w:rsidRDefault="00F41D53" w:rsidP="008037A5">
      <w:pPr>
        <w:pStyle w:val="NormalWeb"/>
        <w:numPr>
          <w:ilvl w:val="0"/>
          <w:numId w:val="49"/>
        </w:numPr>
        <w:jc w:val="both"/>
        <w:rPr>
          <w:color w:val="000000"/>
        </w:rPr>
      </w:pPr>
      <w:r w:rsidRPr="00EF0893">
        <w:rPr>
          <w:b/>
          <w:bCs/>
          <w:color w:val="000000"/>
        </w:rPr>
        <w:t>Active Surveillance:</w:t>
      </w:r>
      <w:r w:rsidRPr="00EF0893">
        <w:rPr>
          <w:rStyle w:val="apple-converted-space"/>
          <w:rFonts w:eastAsiaTheme="majorEastAsia"/>
          <w:color w:val="000000"/>
        </w:rPr>
        <w:t> </w:t>
      </w:r>
      <w:r w:rsidRPr="00EF0893">
        <w:rPr>
          <w:color w:val="000000"/>
        </w:rPr>
        <w:t>The</w:t>
      </w:r>
      <w:r w:rsidRPr="00EF0893">
        <w:rPr>
          <w:rStyle w:val="apple-converted-space"/>
          <w:rFonts w:eastAsiaTheme="majorEastAsia"/>
          <w:color w:val="000000"/>
        </w:rPr>
        <w:t> </w:t>
      </w:r>
      <w:r w:rsidRPr="00EF0893">
        <w:rPr>
          <w:b/>
          <w:bCs/>
          <w:color w:val="000000"/>
        </w:rPr>
        <w:t>Active Lives Children and Young People Survey</w:t>
      </w:r>
      <w:r w:rsidRPr="00EF0893">
        <w:rPr>
          <w:rStyle w:val="apple-converted-space"/>
          <w:rFonts w:eastAsiaTheme="majorEastAsia"/>
          <w:color w:val="000000"/>
        </w:rPr>
        <w:t> </w:t>
      </w:r>
      <w:r w:rsidRPr="00EF0893">
        <w:rPr>
          <w:color w:val="000000"/>
        </w:rPr>
        <w:t>actively gathers data on behaviors such as screen time and fruit/vegetable intake to identify trends in sedentary lifestyles (Sport England, 2026).</w:t>
      </w:r>
    </w:p>
    <w:p w14:paraId="72E82D9C" w14:textId="77777777" w:rsidR="00F41D53" w:rsidRPr="00EF0893" w:rsidRDefault="00F41D53" w:rsidP="008037A5">
      <w:pPr>
        <w:pStyle w:val="NormalWeb"/>
        <w:numPr>
          <w:ilvl w:val="0"/>
          <w:numId w:val="49"/>
        </w:numPr>
        <w:jc w:val="both"/>
        <w:rPr>
          <w:color w:val="000000"/>
        </w:rPr>
      </w:pPr>
      <w:r w:rsidRPr="00EF0893">
        <w:rPr>
          <w:b/>
          <w:bCs/>
          <w:color w:val="000000"/>
        </w:rPr>
        <w:t>Environmental Monitoring:</w:t>
      </w:r>
      <w:r w:rsidRPr="00EF0893">
        <w:rPr>
          <w:rStyle w:val="apple-converted-space"/>
          <w:rFonts w:eastAsiaTheme="majorEastAsia"/>
          <w:color w:val="000000"/>
        </w:rPr>
        <w:t> </w:t>
      </w:r>
      <w:r w:rsidRPr="00EF0893">
        <w:rPr>
          <w:color w:val="000000"/>
        </w:rPr>
        <w:t>The borough uses</w:t>
      </w:r>
      <w:r w:rsidRPr="00EF0893">
        <w:rPr>
          <w:rStyle w:val="apple-converted-space"/>
          <w:rFonts w:eastAsiaTheme="majorEastAsia"/>
          <w:color w:val="000000"/>
        </w:rPr>
        <w:t> </w:t>
      </w:r>
      <w:r w:rsidRPr="00EF0893">
        <w:rPr>
          <w:b/>
          <w:bCs/>
          <w:color w:val="000000"/>
        </w:rPr>
        <w:t>Spatial Mapping</w:t>
      </w:r>
      <w:r w:rsidRPr="00EF0893">
        <w:rPr>
          <w:rStyle w:val="apple-converted-space"/>
          <w:rFonts w:eastAsiaTheme="majorEastAsia"/>
          <w:color w:val="000000"/>
        </w:rPr>
        <w:t> </w:t>
      </w:r>
      <w:r w:rsidRPr="00EF0893">
        <w:rPr>
          <w:color w:val="000000"/>
        </w:rPr>
        <w:t>to monitor the "saturation" of hot-food takeaways within 400m of school gates, allowing planners to use public health data to inform licensing decisions (UK Parliament, 2023).</w:t>
      </w:r>
    </w:p>
    <w:p w14:paraId="502AA6C4" w14:textId="77777777" w:rsidR="00F41D53" w:rsidRPr="00F04AF6" w:rsidRDefault="00F41D53" w:rsidP="008037A5">
      <w:pPr>
        <w:pStyle w:val="Heading3"/>
        <w:jc w:val="both"/>
        <w:rPr>
          <w:b/>
          <w:bCs/>
          <w:color w:val="000000"/>
          <w:sz w:val="30"/>
          <w:szCs w:val="30"/>
        </w:rPr>
      </w:pPr>
      <w:bookmarkStart w:id="21" w:name="_Toc228488317"/>
      <w:r w:rsidRPr="00F04AF6">
        <w:rPr>
          <w:b/>
          <w:bCs/>
          <w:color w:val="000000"/>
          <w:sz w:val="30"/>
          <w:szCs w:val="30"/>
        </w:rPr>
        <w:t>Public Health Impact: Short- and Long-Term</w:t>
      </w:r>
      <w:bookmarkEnd w:id="21"/>
    </w:p>
    <w:p w14:paraId="0F4C9907" w14:textId="77777777" w:rsidR="00F41D53" w:rsidRPr="00EF0893" w:rsidRDefault="00F41D53" w:rsidP="008037A5">
      <w:pPr>
        <w:pStyle w:val="NormalWeb"/>
        <w:jc w:val="both"/>
        <w:rPr>
          <w:color w:val="000000"/>
        </w:rPr>
      </w:pPr>
      <w:r w:rsidRPr="00EF0893">
        <w:rPr>
          <w:color w:val="000000"/>
        </w:rPr>
        <w:t>The "tracking" effect of childhood obesity is the most significant long-term risk.</w:t>
      </w:r>
    </w:p>
    <w:p w14:paraId="089763A2" w14:textId="77777777" w:rsidR="00F41D53" w:rsidRPr="00EF0893" w:rsidRDefault="00F41D53" w:rsidP="008037A5">
      <w:pPr>
        <w:pStyle w:val="NormalWeb"/>
        <w:numPr>
          <w:ilvl w:val="0"/>
          <w:numId w:val="50"/>
        </w:numPr>
        <w:jc w:val="both"/>
        <w:rPr>
          <w:color w:val="000000"/>
        </w:rPr>
      </w:pPr>
      <w:r w:rsidRPr="00EF0893">
        <w:rPr>
          <w:b/>
          <w:bCs/>
          <w:color w:val="000000"/>
        </w:rPr>
        <w:t>Short-Term:</w:t>
      </w:r>
      <w:r w:rsidRPr="00EF0893">
        <w:rPr>
          <w:rStyle w:val="apple-converted-space"/>
          <w:rFonts w:eastAsiaTheme="majorEastAsia"/>
          <w:color w:val="000000"/>
        </w:rPr>
        <w:t> </w:t>
      </w:r>
      <w:r w:rsidRPr="00EF0893">
        <w:rPr>
          <w:color w:val="000000"/>
        </w:rPr>
        <w:t>Immediate clinical impacts include pediatric hypertension and sleep apnea. Psychologically, children living with obesity are</w:t>
      </w:r>
      <w:r w:rsidRPr="00EF0893">
        <w:rPr>
          <w:rStyle w:val="apple-converted-space"/>
          <w:rFonts w:eastAsiaTheme="majorEastAsia"/>
          <w:color w:val="000000"/>
        </w:rPr>
        <w:t> </w:t>
      </w:r>
      <w:r w:rsidRPr="00EF0893">
        <w:rPr>
          <w:b/>
          <w:bCs/>
          <w:color w:val="000000"/>
        </w:rPr>
        <w:t>four times more likely</w:t>
      </w:r>
      <w:r w:rsidRPr="00EF0893">
        <w:rPr>
          <w:rStyle w:val="apple-converted-space"/>
          <w:rFonts w:eastAsiaTheme="majorEastAsia"/>
          <w:color w:val="000000"/>
        </w:rPr>
        <w:t> </w:t>
      </w:r>
      <w:r w:rsidRPr="00EF0893">
        <w:rPr>
          <w:color w:val="000000"/>
        </w:rPr>
        <w:t>to report low self-esteem (NHD Mag, 2026).</w:t>
      </w:r>
    </w:p>
    <w:p w14:paraId="32D5F945" w14:textId="77777777" w:rsidR="00F41D53" w:rsidRPr="00EF0893" w:rsidRDefault="00F41D53" w:rsidP="008037A5">
      <w:pPr>
        <w:pStyle w:val="NormalWeb"/>
        <w:numPr>
          <w:ilvl w:val="0"/>
          <w:numId w:val="50"/>
        </w:numPr>
        <w:jc w:val="both"/>
        <w:rPr>
          <w:color w:val="000000"/>
        </w:rPr>
      </w:pPr>
      <w:r w:rsidRPr="00EF0893">
        <w:rPr>
          <w:b/>
          <w:bCs/>
          <w:color w:val="000000"/>
        </w:rPr>
        <w:lastRenderedPageBreak/>
        <w:t>Long-Term:</w:t>
      </w:r>
      <w:r w:rsidRPr="00EF0893">
        <w:rPr>
          <w:rStyle w:val="apple-converted-space"/>
          <w:rFonts w:eastAsiaTheme="majorEastAsia"/>
          <w:color w:val="000000"/>
        </w:rPr>
        <w:t> </w:t>
      </w:r>
      <w:r w:rsidRPr="00EF0893">
        <w:rPr>
          <w:color w:val="000000"/>
        </w:rPr>
        <w:t>Over</w:t>
      </w:r>
      <w:r w:rsidRPr="00EF0893">
        <w:rPr>
          <w:rStyle w:val="apple-converted-space"/>
          <w:rFonts w:eastAsiaTheme="majorEastAsia"/>
          <w:color w:val="000000"/>
        </w:rPr>
        <w:t> </w:t>
      </w:r>
      <w:r w:rsidRPr="00EF0893">
        <w:rPr>
          <w:b/>
          <w:bCs/>
          <w:color w:val="000000"/>
        </w:rPr>
        <w:t>80% of children</w:t>
      </w:r>
      <w:r w:rsidRPr="00EF0893">
        <w:rPr>
          <w:rStyle w:val="apple-converted-space"/>
          <w:rFonts w:eastAsiaTheme="majorEastAsia"/>
          <w:color w:val="000000"/>
        </w:rPr>
        <w:t> </w:t>
      </w:r>
      <w:r w:rsidRPr="00EF0893">
        <w:rPr>
          <w:color w:val="000000"/>
        </w:rPr>
        <w:t>with obesity will remain obese into adulthood. By 2040, it is estimated that</w:t>
      </w:r>
      <w:r w:rsidRPr="00EF0893">
        <w:rPr>
          <w:rStyle w:val="apple-converted-space"/>
          <w:rFonts w:eastAsiaTheme="majorEastAsia"/>
          <w:color w:val="000000"/>
        </w:rPr>
        <w:t> </w:t>
      </w:r>
      <w:r w:rsidRPr="00EF0893">
        <w:rPr>
          <w:b/>
          <w:bCs/>
          <w:color w:val="000000"/>
        </w:rPr>
        <w:t>271,000 UK children</w:t>
      </w:r>
      <w:r w:rsidRPr="00EF0893">
        <w:rPr>
          <w:rStyle w:val="apple-converted-space"/>
          <w:rFonts w:eastAsiaTheme="majorEastAsia"/>
          <w:color w:val="000000"/>
        </w:rPr>
        <w:t> </w:t>
      </w:r>
      <w:r w:rsidRPr="00EF0893">
        <w:rPr>
          <w:color w:val="000000"/>
        </w:rPr>
        <w:t>will show signs of hypertension, placing a</w:t>
      </w:r>
      <w:r w:rsidRPr="00EF0893">
        <w:rPr>
          <w:rStyle w:val="apple-converted-space"/>
          <w:rFonts w:eastAsiaTheme="majorEastAsia"/>
          <w:color w:val="000000"/>
        </w:rPr>
        <w:t> </w:t>
      </w:r>
      <w:r w:rsidRPr="00EF0893">
        <w:rPr>
          <w:b/>
          <w:bCs/>
          <w:color w:val="000000"/>
        </w:rPr>
        <w:t>£340 million annual burden</w:t>
      </w:r>
      <w:r w:rsidRPr="00EF0893">
        <w:rPr>
          <w:rStyle w:val="apple-converted-space"/>
          <w:rFonts w:eastAsiaTheme="majorEastAsia"/>
          <w:color w:val="000000"/>
        </w:rPr>
        <w:t> </w:t>
      </w:r>
      <w:r w:rsidRPr="00EF0893">
        <w:rPr>
          <w:color w:val="000000"/>
        </w:rPr>
        <w:t>on the NHS for weight-related support in primary care alone (University of Oxford, 2025; World Obesity Federation, 2026).</w:t>
      </w:r>
    </w:p>
    <w:p w14:paraId="55C8A77A" w14:textId="77777777" w:rsidR="00F41D53" w:rsidRPr="00F04AF6" w:rsidRDefault="00F41D53" w:rsidP="008037A5">
      <w:pPr>
        <w:pStyle w:val="Heading3"/>
        <w:jc w:val="both"/>
        <w:rPr>
          <w:b/>
          <w:bCs/>
          <w:color w:val="000000"/>
          <w:sz w:val="30"/>
          <w:szCs w:val="30"/>
        </w:rPr>
      </w:pPr>
      <w:bookmarkStart w:id="22" w:name="_Toc228488318"/>
      <w:r w:rsidRPr="00F04AF6">
        <w:rPr>
          <w:b/>
          <w:bCs/>
          <w:color w:val="000000"/>
          <w:sz w:val="30"/>
          <w:szCs w:val="30"/>
        </w:rPr>
        <w:t>Proposed Intervention and Evaluation</w:t>
      </w:r>
      <w:bookmarkEnd w:id="22"/>
    </w:p>
    <w:p w14:paraId="0DCDE43E" w14:textId="77777777" w:rsidR="00F41D53" w:rsidRPr="00F04AF6" w:rsidRDefault="00F41D53" w:rsidP="008037A5">
      <w:pPr>
        <w:pStyle w:val="NormalWeb"/>
        <w:jc w:val="both"/>
        <w:rPr>
          <w:color w:val="000000"/>
          <w:sz w:val="30"/>
          <w:szCs w:val="30"/>
        </w:rPr>
      </w:pPr>
      <w:r w:rsidRPr="00F04AF6">
        <w:rPr>
          <w:b/>
          <w:bCs/>
          <w:color w:val="000000"/>
          <w:sz w:val="30"/>
          <w:szCs w:val="30"/>
        </w:rPr>
        <w:t>Intervention: The "Whole Systems Food Zone"</w:t>
      </w:r>
    </w:p>
    <w:p w14:paraId="2EB9C7BC" w14:textId="77777777" w:rsidR="00F41D53" w:rsidRPr="00EF0893" w:rsidRDefault="00F41D53" w:rsidP="008037A5">
      <w:pPr>
        <w:pStyle w:val="NormalWeb"/>
        <w:numPr>
          <w:ilvl w:val="0"/>
          <w:numId w:val="51"/>
        </w:numPr>
        <w:jc w:val="both"/>
        <w:rPr>
          <w:color w:val="000000"/>
        </w:rPr>
      </w:pPr>
      <w:r w:rsidRPr="00EF0893">
        <w:rPr>
          <w:b/>
          <w:bCs/>
          <w:color w:val="000000"/>
        </w:rPr>
        <w:t>Design:</w:t>
      </w:r>
      <w:r w:rsidRPr="00EF0893">
        <w:rPr>
          <w:rStyle w:val="apple-converted-space"/>
          <w:rFonts w:eastAsiaTheme="majorEastAsia"/>
          <w:color w:val="000000"/>
        </w:rPr>
        <w:t> </w:t>
      </w:r>
      <w:r w:rsidRPr="00EF0893">
        <w:rPr>
          <w:color w:val="000000"/>
        </w:rPr>
        <w:t>This program implements a 400-meter "no-fry zone" around all schools, coupled with a "Healthy Start" voucher scheme that provides subsidized fresh produce to families in the most deprived wards (GP Care Group, 2023).</w:t>
      </w:r>
    </w:p>
    <w:p w14:paraId="28304D64" w14:textId="77777777" w:rsidR="00F41D53" w:rsidRPr="00EF0893" w:rsidRDefault="00F41D53" w:rsidP="008037A5">
      <w:pPr>
        <w:pStyle w:val="NormalWeb"/>
        <w:numPr>
          <w:ilvl w:val="0"/>
          <w:numId w:val="51"/>
        </w:numPr>
        <w:jc w:val="both"/>
        <w:rPr>
          <w:color w:val="000000"/>
        </w:rPr>
      </w:pPr>
      <w:r w:rsidRPr="00EF0893">
        <w:rPr>
          <w:b/>
          <w:bCs/>
          <w:color w:val="000000"/>
        </w:rPr>
        <w:t>Evaluation:</w:t>
      </w:r>
      <w:r w:rsidRPr="00EF0893">
        <w:rPr>
          <w:rStyle w:val="apple-converted-space"/>
          <w:rFonts w:eastAsiaTheme="majorEastAsia"/>
          <w:color w:val="000000"/>
        </w:rPr>
        <w:t> </w:t>
      </w:r>
      <w:r w:rsidRPr="00EF0893">
        <w:rPr>
          <w:color w:val="000000"/>
        </w:rPr>
        <w:t>The intervention will be evaluated using</w:t>
      </w:r>
      <w:r w:rsidRPr="00EF0893">
        <w:rPr>
          <w:rStyle w:val="apple-converted-space"/>
          <w:rFonts w:eastAsiaTheme="majorEastAsia"/>
          <w:color w:val="000000"/>
        </w:rPr>
        <w:t> </w:t>
      </w:r>
      <w:r w:rsidRPr="00EF0893">
        <w:rPr>
          <w:b/>
          <w:bCs/>
          <w:color w:val="000000"/>
        </w:rPr>
        <w:t>NCMP outcome data</w:t>
      </w:r>
      <w:r w:rsidRPr="00EF0893">
        <w:rPr>
          <w:color w:val="000000"/>
        </w:rPr>
        <w:t>. Success is defined by a</w:t>
      </w:r>
      <w:r w:rsidRPr="00EF0893">
        <w:rPr>
          <w:rStyle w:val="apple-converted-space"/>
          <w:rFonts w:eastAsiaTheme="majorEastAsia"/>
          <w:color w:val="000000"/>
        </w:rPr>
        <w:t> </w:t>
      </w:r>
      <w:r w:rsidRPr="00EF0893">
        <w:rPr>
          <w:b/>
          <w:bCs/>
          <w:color w:val="000000"/>
        </w:rPr>
        <w:t>3% reduction</w:t>
      </w:r>
      <w:r w:rsidRPr="00EF0893">
        <w:rPr>
          <w:color w:val="000000"/>
        </w:rPr>
        <w:t>in Year 6 obesity prevalence over five years. Process evaluation will also measure the "density change" of HFSS outlets using POI mapping (NCBI, 2020).</w:t>
      </w:r>
    </w:p>
    <w:p w14:paraId="6015C3DA" w14:textId="77777777" w:rsidR="00F41D53" w:rsidRPr="00F04AF6" w:rsidRDefault="00F41D53" w:rsidP="008037A5">
      <w:pPr>
        <w:pStyle w:val="Heading3"/>
        <w:jc w:val="both"/>
        <w:rPr>
          <w:b/>
          <w:bCs/>
          <w:color w:val="000000"/>
          <w:sz w:val="30"/>
          <w:szCs w:val="30"/>
        </w:rPr>
      </w:pPr>
      <w:bookmarkStart w:id="23" w:name="_Toc228488319"/>
      <w:r w:rsidRPr="00F04AF6">
        <w:rPr>
          <w:b/>
          <w:bCs/>
          <w:color w:val="000000"/>
          <w:sz w:val="30"/>
          <w:szCs w:val="30"/>
        </w:rPr>
        <w:t>Strengths and Weaknesses of the Epidemiological Approach</w:t>
      </w:r>
      <w:bookmarkEnd w:id="23"/>
    </w:p>
    <w:p w14:paraId="3D737F25" w14:textId="77777777" w:rsidR="00F41D53" w:rsidRPr="001B076C" w:rsidRDefault="00F41D53" w:rsidP="008037A5">
      <w:pPr>
        <w:pStyle w:val="NormalWeb"/>
        <w:numPr>
          <w:ilvl w:val="0"/>
          <w:numId w:val="52"/>
        </w:numPr>
        <w:jc w:val="both"/>
        <w:rPr>
          <w:rFonts w:asciiTheme="minorHAnsi" w:hAnsiTheme="minorHAnsi"/>
          <w:color w:val="000000"/>
        </w:rPr>
      </w:pPr>
      <w:r w:rsidRPr="001B076C">
        <w:rPr>
          <w:rFonts w:asciiTheme="minorHAnsi" w:hAnsiTheme="minorHAnsi"/>
          <w:b/>
          <w:bCs/>
          <w:color w:val="000000"/>
        </w:rPr>
        <w:t>Strengths:</w:t>
      </w:r>
      <w:r w:rsidRPr="001B076C">
        <w:rPr>
          <w:rStyle w:val="apple-converted-space"/>
          <w:rFonts w:asciiTheme="minorHAnsi" w:eastAsiaTheme="majorEastAsia" w:hAnsiTheme="minorHAnsi"/>
          <w:color w:val="000000"/>
        </w:rPr>
        <w:t> </w:t>
      </w:r>
      <w:r w:rsidRPr="001B076C">
        <w:rPr>
          <w:rFonts w:asciiTheme="minorHAnsi" w:hAnsiTheme="minorHAnsi"/>
          <w:color w:val="000000"/>
        </w:rPr>
        <w:t>The NCMP provides a</w:t>
      </w:r>
      <w:r w:rsidRPr="001B076C">
        <w:rPr>
          <w:rStyle w:val="apple-converted-space"/>
          <w:rFonts w:asciiTheme="minorHAnsi" w:eastAsiaTheme="majorEastAsia" w:hAnsiTheme="minorHAnsi"/>
          <w:color w:val="000000"/>
        </w:rPr>
        <w:t> </w:t>
      </w:r>
      <w:r w:rsidRPr="001B076C">
        <w:rPr>
          <w:rFonts w:asciiTheme="minorHAnsi" w:hAnsiTheme="minorHAnsi"/>
          <w:b/>
          <w:bCs/>
          <w:color w:val="000000"/>
        </w:rPr>
        <w:t>95%+ participation rate</w:t>
      </w:r>
      <w:r w:rsidRPr="001B076C">
        <w:rPr>
          <w:rFonts w:asciiTheme="minorHAnsi" w:hAnsiTheme="minorHAnsi"/>
          <w:color w:val="000000"/>
        </w:rPr>
        <w:t>, which virtually eliminates selection bias and allows for granular borough-level planning (Suffolk Observatory, 2026).</w:t>
      </w:r>
    </w:p>
    <w:p w14:paraId="12E190D3" w14:textId="2DC74B09" w:rsidR="00F41D53" w:rsidRPr="005F613A" w:rsidRDefault="00F41D53" w:rsidP="005F613A">
      <w:pPr>
        <w:pStyle w:val="NormalWeb"/>
        <w:numPr>
          <w:ilvl w:val="0"/>
          <w:numId w:val="52"/>
        </w:numPr>
        <w:jc w:val="both"/>
        <w:rPr>
          <w:rFonts w:asciiTheme="minorHAnsi" w:hAnsiTheme="minorHAnsi"/>
          <w:color w:val="000000"/>
        </w:rPr>
      </w:pPr>
      <w:r w:rsidRPr="001B076C">
        <w:rPr>
          <w:rFonts w:asciiTheme="minorHAnsi" w:hAnsiTheme="minorHAnsi"/>
          <w:b/>
          <w:bCs/>
          <w:color w:val="000000"/>
        </w:rPr>
        <w:t>Weaknesses:</w:t>
      </w:r>
      <w:r w:rsidRPr="001B076C">
        <w:rPr>
          <w:rStyle w:val="apple-converted-space"/>
          <w:rFonts w:asciiTheme="minorHAnsi" w:eastAsiaTheme="majorEastAsia" w:hAnsiTheme="minorHAnsi"/>
          <w:color w:val="000000"/>
        </w:rPr>
        <w:t> </w:t>
      </w:r>
      <w:r w:rsidRPr="001B076C">
        <w:rPr>
          <w:rFonts w:asciiTheme="minorHAnsi" w:hAnsiTheme="minorHAnsi"/>
          <w:color w:val="000000"/>
        </w:rPr>
        <w:t>BMI is a</w:t>
      </w:r>
      <w:r w:rsidRPr="001B076C">
        <w:rPr>
          <w:rStyle w:val="apple-converted-space"/>
          <w:rFonts w:asciiTheme="minorHAnsi" w:eastAsiaTheme="majorEastAsia" w:hAnsiTheme="minorHAnsi"/>
          <w:color w:val="000000"/>
        </w:rPr>
        <w:t> </w:t>
      </w:r>
      <w:r w:rsidRPr="001B076C">
        <w:rPr>
          <w:rFonts w:asciiTheme="minorHAnsi" w:hAnsiTheme="minorHAnsi"/>
          <w:b/>
          <w:bCs/>
          <w:color w:val="000000"/>
        </w:rPr>
        <w:t>proxy measure</w:t>
      </w:r>
      <w:r w:rsidRPr="001B076C">
        <w:rPr>
          <w:rFonts w:asciiTheme="minorHAnsi" w:hAnsiTheme="minorHAnsi"/>
          <w:color w:val="000000"/>
        </w:rPr>
        <w:t xml:space="preserve">. It does not distinguish between muscle and fat mass, which may lead to inaccuracies in diverse populations. Furthermore, NCMP data is often "lagged" by 12–18 months, meaning policy responses may not reflect real-time shifts in the local food economy (Suffolk </w:t>
      </w:r>
      <w:r w:rsidRPr="005F613A">
        <w:rPr>
          <w:color w:val="000000"/>
        </w:rPr>
        <w:t>Observatory, 2026).</w:t>
      </w:r>
    </w:p>
    <w:p w14:paraId="727DB515" w14:textId="77777777" w:rsidR="00F41D53" w:rsidRPr="00EF0893" w:rsidRDefault="00A03035" w:rsidP="008037A5">
      <w:pPr>
        <w:jc w:val="both"/>
        <w:rPr>
          <w:sz w:val="24"/>
          <w:szCs w:val="24"/>
        </w:rPr>
      </w:pPr>
      <w:r w:rsidRPr="00A03035">
        <w:rPr>
          <w:noProof/>
          <w:sz w:val="24"/>
          <w:szCs w:val="24"/>
          <w14:ligatures w14:val="standardContextual"/>
        </w:rPr>
        <w:pict w14:anchorId="23C04F28">
          <v:rect id="_x0000_i1025" style="width:0;height:1.5pt" o:hralign="center" o:hrstd="t" o:hr="t" fillcolor="#a0a0a0" stroked="f"/>
        </w:pict>
      </w:r>
    </w:p>
    <w:p w14:paraId="261552B5" w14:textId="77777777" w:rsidR="003B5486" w:rsidRPr="003B5486" w:rsidRDefault="003B5486" w:rsidP="003B5486">
      <w:pPr>
        <w:rPr>
          <w:b/>
          <w:bCs/>
          <w:sz w:val="30"/>
          <w:szCs w:val="30"/>
          <w:lang w:val="en-IN"/>
        </w:rPr>
      </w:pPr>
      <w:r w:rsidRPr="003B5486">
        <w:rPr>
          <w:b/>
          <w:bCs/>
          <w:sz w:val="30"/>
          <w:szCs w:val="30"/>
          <w:lang w:val="en-IN"/>
        </w:rPr>
        <w:t>Conclusion: A Call for Systemic Reform</w:t>
      </w:r>
    </w:p>
    <w:p w14:paraId="1B12C2C5" w14:textId="77777777" w:rsidR="003B5486" w:rsidRPr="003B5486" w:rsidRDefault="003B5486" w:rsidP="001B076C">
      <w:pPr>
        <w:jc w:val="both"/>
        <w:rPr>
          <w:sz w:val="24"/>
          <w:szCs w:val="24"/>
          <w:lang w:val="en-IN"/>
        </w:rPr>
      </w:pPr>
      <w:r w:rsidRPr="003B5486">
        <w:rPr>
          <w:sz w:val="24"/>
          <w:szCs w:val="24"/>
          <w:lang w:val="en-IN"/>
        </w:rPr>
        <w:t>In summary, the epidemic of childhood obesity within the London Borough of Tower Hamlets must be viewed not as a collection of individual lifestyle failures, but as a predictable systemic consequence of a compromised urban environment. The epidemiological data provided by the National Child Measurement Programme (NCMP) offers a robust and sobering diagnostic of the borough’s health, yet data alone cannot solve the crisis. While surveillance identifies the "who" and the "where," the "why" remains firmly rooted in "upstream" determinants—specifically the pervasive influence of socioeconomic deprivation and the aggressive commercial determinants of health.</w:t>
      </w:r>
    </w:p>
    <w:p w14:paraId="39C6D150" w14:textId="77777777" w:rsidR="003B5486" w:rsidRPr="003B5486" w:rsidRDefault="003B5486" w:rsidP="001B076C">
      <w:pPr>
        <w:jc w:val="both"/>
        <w:rPr>
          <w:sz w:val="24"/>
          <w:szCs w:val="24"/>
          <w:lang w:val="en-IN"/>
        </w:rPr>
      </w:pPr>
      <w:r w:rsidRPr="003B5486">
        <w:rPr>
          <w:sz w:val="24"/>
          <w:szCs w:val="24"/>
          <w:lang w:val="en-IN"/>
        </w:rPr>
        <w:t xml:space="preserve">As this analysis has demonstrated, the trajectory of weight gain in Tower Hamlets children is accelerated by an environment that makes calorie-dense, nutrient-poor food the most rational economic and physical choice for families under financial strain. Therefore, the future of public health management in East London must undergo a paradigm shift. We must move away from ineffective, victim-blaming strategies focused solely on individual behavior change and instead pivot toward radical environmental </w:t>
      </w:r>
      <w:r w:rsidRPr="003B5486">
        <w:rPr>
          <w:sz w:val="24"/>
          <w:szCs w:val="24"/>
          <w:lang w:val="en-IN"/>
        </w:rPr>
        <w:lastRenderedPageBreak/>
        <w:t>protection through the "3 P’s" framework. By prioritizing structural interventions—such as stricter planning regulations for fast-food outlets, the elimination of predatory HFSS advertising, and the expansion of green social prescribing—we can dismantle the obesogenic scaffolding of the borough. Only by addressing these root causes can we secure the long-term health, equity, and vitality of future generations in Tower Hamlets.</w:t>
      </w:r>
    </w:p>
    <w:p w14:paraId="479AF0AE" w14:textId="1FA2BBC7" w:rsidR="00AE54C1" w:rsidRDefault="00AE54C1" w:rsidP="00CD6300"/>
    <w:p w14:paraId="410A7777" w14:textId="77777777" w:rsidR="00AE54C1" w:rsidRDefault="00AE54C1">
      <w:pPr>
        <w:spacing w:line="278" w:lineRule="auto"/>
      </w:pPr>
      <w:r>
        <w:br w:type="page"/>
      </w:r>
    </w:p>
    <w:p w14:paraId="0C3B1EE4" w14:textId="77777777" w:rsidR="00F900FE" w:rsidRPr="00F900FE" w:rsidRDefault="00F900FE" w:rsidP="00F900FE">
      <w:pPr>
        <w:rPr>
          <w:rFonts w:asciiTheme="majorHAnsi" w:hAnsiTheme="majorHAnsi"/>
          <w:b/>
          <w:bCs/>
          <w:sz w:val="30"/>
          <w:szCs w:val="30"/>
          <w:lang w:val="en-IN"/>
        </w:rPr>
      </w:pPr>
      <w:r w:rsidRPr="00F900FE">
        <w:rPr>
          <w:rFonts w:asciiTheme="majorHAnsi" w:hAnsiTheme="majorHAnsi"/>
          <w:b/>
          <w:bCs/>
          <w:sz w:val="30"/>
          <w:szCs w:val="30"/>
          <w:lang w:val="en-IN"/>
        </w:rPr>
        <w:lastRenderedPageBreak/>
        <w:t>References</w:t>
      </w:r>
    </w:p>
    <w:p w14:paraId="531CC667" w14:textId="77777777" w:rsidR="00F900FE" w:rsidRPr="00F900FE" w:rsidRDefault="00F900FE" w:rsidP="00F900FE">
      <w:pPr>
        <w:spacing w:line="240" w:lineRule="auto"/>
        <w:jc w:val="both"/>
        <w:rPr>
          <w:sz w:val="24"/>
          <w:szCs w:val="24"/>
          <w:lang w:val="en-IN"/>
        </w:rPr>
      </w:pPr>
      <w:r w:rsidRPr="00F900FE">
        <w:rPr>
          <w:sz w:val="24"/>
          <w:szCs w:val="24"/>
          <w:lang w:val="en-IN"/>
        </w:rPr>
        <w:t>Association for Young People’s Health (AYPH). (2025). </w:t>
      </w:r>
      <w:r w:rsidRPr="00F900FE">
        <w:rPr>
          <w:i/>
          <w:iCs/>
          <w:sz w:val="24"/>
          <w:szCs w:val="24"/>
          <w:lang w:val="en-IN"/>
        </w:rPr>
        <w:t>Where is the young adult care?</w:t>
      </w:r>
      <w:r w:rsidRPr="00F900FE">
        <w:rPr>
          <w:sz w:val="24"/>
          <w:szCs w:val="24"/>
          <w:lang w:val="en-IN"/>
        </w:rPr>
        <w:t>. Available at: </w:t>
      </w:r>
      <w:hyperlink r:id="rId7" w:tgtFrame="_blank" w:history="1">
        <w:r w:rsidRPr="00F900FE">
          <w:rPr>
            <w:rStyle w:val="Hyperlink"/>
            <w:sz w:val="24"/>
            <w:szCs w:val="24"/>
            <w:lang w:val="en-IN"/>
          </w:rPr>
          <w:t>https://ayph.org.uk/</w:t>
        </w:r>
      </w:hyperlink>
      <w:r w:rsidRPr="00F900FE">
        <w:rPr>
          <w:sz w:val="24"/>
          <w:szCs w:val="24"/>
          <w:lang w:val="en-IN"/>
        </w:rPr>
        <w:t>(Accessed: 30 April 2026).</w:t>
      </w:r>
    </w:p>
    <w:p w14:paraId="11F43264" w14:textId="77777777" w:rsidR="00F900FE" w:rsidRPr="00F900FE" w:rsidRDefault="00F900FE" w:rsidP="00F900FE">
      <w:pPr>
        <w:spacing w:line="240" w:lineRule="auto"/>
        <w:jc w:val="both"/>
        <w:rPr>
          <w:sz w:val="24"/>
          <w:szCs w:val="24"/>
          <w:lang w:val="en-IN"/>
        </w:rPr>
      </w:pPr>
      <w:r w:rsidRPr="00F900FE">
        <w:rPr>
          <w:sz w:val="24"/>
          <w:szCs w:val="24"/>
          <w:lang w:val="en-IN"/>
        </w:rPr>
        <w:t>Association for Young People’s Health (AYPH). (2026). </w:t>
      </w:r>
      <w:r w:rsidRPr="00F900FE">
        <w:rPr>
          <w:i/>
          <w:iCs/>
          <w:sz w:val="24"/>
          <w:szCs w:val="24"/>
          <w:lang w:val="en-IN"/>
        </w:rPr>
        <w:t>Supporting Young People with Alcohol Use: What the New Clinical Guidelines Mean for Practice</w:t>
      </w:r>
      <w:r w:rsidRPr="00F900FE">
        <w:rPr>
          <w:sz w:val="24"/>
          <w:szCs w:val="24"/>
          <w:lang w:val="en-IN"/>
        </w:rPr>
        <w:t>. Available at: </w:t>
      </w:r>
      <w:hyperlink r:id="rId8" w:tgtFrame="_blank" w:history="1">
        <w:r w:rsidRPr="00F900FE">
          <w:rPr>
            <w:rStyle w:val="Hyperlink"/>
            <w:sz w:val="24"/>
            <w:szCs w:val="24"/>
            <w:lang w:val="en-IN"/>
          </w:rPr>
          <w:t>https://ayph.org.uk/</w:t>
        </w:r>
      </w:hyperlink>
      <w:r w:rsidRPr="00F900FE">
        <w:rPr>
          <w:sz w:val="24"/>
          <w:szCs w:val="24"/>
          <w:lang w:val="en-IN"/>
        </w:rPr>
        <w:t> (Accessed: 30 April 2026).</w:t>
      </w:r>
    </w:p>
    <w:p w14:paraId="603DD90E" w14:textId="77777777" w:rsidR="00F900FE" w:rsidRPr="00F900FE" w:rsidRDefault="00F900FE" w:rsidP="00F900FE">
      <w:pPr>
        <w:spacing w:line="240" w:lineRule="auto"/>
        <w:jc w:val="both"/>
        <w:rPr>
          <w:sz w:val="24"/>
          <w:szCs w:val="24"/>
          <w:lang w:val="en-IN"/>
        </w:rPr>
      </w:pPr>
      <w:r w:rsidRPr="00F900FE">
        <w:rPr>
          <w:sz w:val="24"/>
          <w:szCs w:val="24"/>
          <w:lang w:val="en-IN"/>
        </w:rPr>
        <w:t>Children and Young People’s Mental Health Coalition (CYPMHC). (2024). </w:t>
      </w:r>
      <w:r w:rsidRPr="00F900FE">
        <w:rPr>
          <w:i/>
          <w:iCs/>
          <w:sz w:val="24"/>
          <w:szCs w:val="24"/>
          <w:lang w:val="en-IN"/>
        </w:rPr>
        <w:t>Facts and Figures</w:t>
      </w:r>
      <w:r w:rsidRPr="00F900FE">
        <w:rPr>
          <w:sz w:val="24"/>
          <w:szCs w:val="24"/>
          <w:lang w:val="en-IN"/>
        </w:rPr>
        <w:t>. Available at: </w:t>
      </w:r>
      <w:hyperlink r:id="rId9" w:tgtFrame="_blank" w:history="1">
        <w:r w:rsidRPr="00F900FE">
          <w:rPr>
            <w:rStyle w:val="Hyperlink"/>
            <w:sz w:val="24"/>
            <w:szCs w:val="24"/>
            <w:lang w:val="en-IN"/>
          </w:rPr>
          <w:t>https://cypmhc.org.uk/resources/facts-and-figures/</w:t>
        </w:r>
      </w:hyperlink>
      <w:r w:rsidRPr="00F900FE">
        <w:rPr>
          <w:sz w:val="24"/>
          <w:szCs w:val="24"/>
          <w:lang w:val="en-IN"/>
        </w:rPr>
        <w:t> (Accessed: 30 April 2026).</w:t>
      </w:r>
    </w:p>
    <w:p w14:paraId="3FBCC6CD" w14:textId="77777777" w:rsidR="00F900FE" w:rsidRPr="00F900FE" w:rsidRDefault="00F900FE" w:rsidP="00F900FE">
      <w:pPr>
        <w:spacing w:line="240" w:lineRule="auto"/>
        <w:jc w:val="both"/>
        <w:rPr>
          <w:sz w:val="24"/>
          <w:szCs w:val="24"/>
          <w:lang w:val="en-IN"/>
        </w:rPr>
      </w:pPr>
      <w:r w:rsidRPr="00F900FE">
        <w:rPr>
          <w:sz w:val="24"/>
          <w:szCs w:val="24"/>
          <w:lang w:val="en-IN"/>
        </w:rPr>
        <w:t>Davie, P. (2022). </w:t>
      </w:r>
      <w:r w:rsidRPr="00F900FE">
        <w:rPr>
          <w:i/>
          <w:iCs/>
          <w:sz w:val="24"/>
          <w:szCs w:val="24"/>
          <w:lang w:val="en-IN"/>
        </w:rPr>
        <w:t>Mental health of children and young people in England 2022</w:t>
      </w:r>
      <w:r w:rsidRPr="00F900FE">
        <w:rPr>
          <w:sz w:val="24"/>
          <w:szCs w:val="24"/>
          <w:lang w:val="en-IN"/>
        </w:rPr>
        <w:t>. NHS Digital.</w:t>
      </w:r>
    </w:p>
    <w:p w14:paraId="482382B6" w14:textId="77777777" w:rsidR="00F900FE" w:rsidRPr="00F900FE" w:rsidRDefault="00F900FE" w:rsidP="00F900FE">
      <w:pPr>
        <w:spacing w:line="240" w:lineRule="auto"/>
        <w:jc w:val="both"/>
        <w:rPr>
          <w:sz w:val="24"/>
          <w:szCs w:val="24"/>
          <w:lang w:val="en-IN"/>
        </w:rPr>
      </w:pPr>
      <w:r w:rsidRPr="00F900FE">
        <w:rPr>
          <w:sz w:val="24"/>
          <w:szCs w:val="24"/>
          <w:lang w:val="en-IN"/>
        </w:rPr>
        <w:t>McNeill, A., et al. (2024). The changing face of nicotine use in England: Age</w:t>
      </w:r>
      <w:r w:rsidRPr="00F900FE">
        <w:rPr>
          <w:rFonts w:ascii="Cambria Math" w:hAnsi="Cambria Math" w:cs="Cambria Math"/>
          <w:sz w:val="24"/>
          <w:szCs w:val="24"/>
          <w:lang w:val="en-IN"/>
        </w:rPr>
        <w:t>‐</w:t>
      </w:r>
      <w:r w:rsidRPr="00F900FE">
        <w:rPr>
          <w:sz w:val="24"/>
          <w:szCs w:val="24"/>
          <w:lang w:val="en-IN"/>
        </w:rPr>
        <w:t>specific annual trends, 2014 to 2024. </w:t>
      </w:r>
      <w:r w:rsidRPr="00F900FE">
        <w:rPr>
          <w:i/>
          <w:iCs/>
          <w:sz w:val="24"/>
          <w:szCs w:val="24"/>
          <w:lang w:val="en-IN"/>
        </w:rPr>
        <w:t>Addiction</w:t>
      </w:r>
      <w:r w:rsidRPr="00F900FE">
        <w:rPr>
          <w:sz w:val="24"/>
          <w:szCs w:val="24"/>
          <w:lang w:val="en-IN"/>
        </w:rPr>
        <w:t>. </w:t>
      </w:r>
      <w:hyperlink r:id="rId10" w:tgtFrame="_blank" w:history="1">
        <w:r w:rsidRPr="00F900FE">
          <w:rPr>
            <w:rStyle w:val="Hyperlink"/>
            <w:sz w:val="24"/>
            <w:szCs w:val="24"/>
            <w:lang w:val="en-IN"/>
          </w:rPr>
          <w:t>https://doi.org/10.1111/add.16624</w:t>
        </w:r>
      </w:hyperlink>
    </w:p>
    <w:p w14:paraId="155A4A99" w14:textId="77777777" w:rsidR="00F900FE" w:rsidRPr="00F900FE" w:rsidRDefault="00F900FE" w:rsidP="00F900FE">
      <w:pPr>
        <w:spacing w:line="240" w:lineRule="auto"/>
        <w:jc w:val="both"/>
        <w:rPr>
          <w:sz w:val="24"/>
          <w:szCs w:val="24"/>
          <w:lang w:val="en-IN"/>
        </w:rPr>
      </w:pPr>
      <w:r w:rsidRPr="00F900FE">
        <w:rPr>
          <w:sz w:val="24"/>
          <w:szCs w:val="24"/>
          <w:lang w:val="en-IN"/>
        </w:rPr>
        <w:t>NHS Digital. (2023). </w:t>
      </w:r>
      <w:r w:rsidRPr="00F900FE">
        <w:rPr>
          <w:i/>
          <w:iCs/>
          <w:sz w:val="24"/>
          <w:szCs w:val="24"/>
          <w:lang w:val="en-IN"/>
        </w:rPr>
        <w:t>Mental Health of Children and Young People in England, 2023</w:t>
      </w:r>
      <w:r w:rsidRPr="00F900FE">
        <w:rPr>
          <w:sz w:val="24"/>
          <w:szCs w:val="24"/>
          <w:lang w:val="en-IN"/>
        </w:rPr>
        <w:t>. Available at: </w:t>
      </w:r>
      <w:hyperlink w:tgtFrame="_blank" w:history="1">
        <w:r w:rsidRPr="00F900FE">
          <w:rPr>
            <w:rStyle w:val="Hyperlink"/>
            <w:sz w:val="24"/>
            <w:szCs w:val="24"/>
            <w:lang w:val="en-IN"/>
          </w:rPr>
          <w:t>https://digital.nhs.uk/</w:t>
        </w:r>
      </w:hyperlink>
      <w:r w:rsidRPr="00F900FE">
        <w:rPr>
          <w:sz w:val="24"/>
          <w:szCs w:val="24"/>
          <w:lang w:val="en-IN"/>
        </w:rPr>
        <w:t>(Accessed: 30 April 2026).</w:t>
      </w:r>
    </w:p>
    <w:p w14:paraId="43EC9830" w14:textId="77777777" w:rsidR="00F900FE" w:rsidRPr="00F900FE" w:rsidRDefault="00F900FE" w:rsidP="00F900FE">
      <w:pPr>
        <w:spacing w:line="240" w:lineRule="auto"/>
        <w:jc w:val="both"/>
        <w:rPr>
          <w:sz w:val="24"/>
          <w:szCs w:val="24"/>
          <w:lang w:val="en-IN"/>
        </w:rPr>
      </w:pPr>
      <w:r w:rsidRPr="00F900FE">
        <w:rPr>
          <w:sz w:val="24"/>
          <w:szCs w:val="24"/>
          <w:lang w:val="en-IN"/>
        </w:rPr>
        <w:t>NHS England. (2024). </w:t>
      </w:r>
      <w:r w:rsidRPr="00F900FE">
        <w:rPr>
          <w:i/>
          <w:iCs/>
          <w:sz w:val="24"/>
          <w:szCs w:val="24"/>
          <w:lang w:val="en-IN"/>
        </w:rPr>
        <w:t>Adults’ overweight and obesity - Health Survey for England 2024</w:t>
      </w:r>
      <w:r w:rsidRPr="00F900FE">
        <w:rPr>
          <w:sz w:val="24"/>
          <w:szCs w:val="24"/>
          <w:lang w:val="en-IN"/>
        </w:rPr>
        <w:t>. Available at: </w:t>
      </w:r>
      <w:hyperlink w:tgtFrame="_blank" w:history="1">
        <w:r w:rsidRPr="00F900FE">
          <w:rPr>
            <w:rStyle w:val="Hyperlink"/>
            <w:sz w:val="24"/>
            <w:szCs w:val="24"/>
            <w:lang w:val="en-IN"/>
          </w:rPr>
          <w:t>https://digital.nhs.uk/</w:t>
        </w:r>
      </w:hyperlink>
      <w:r w:rsidRPr="00F900FE">
        <w:rPr>
          <w:sz w:val="24"/>
          <w:szCs w:val="24"/>
          <w:lang w:val="en-IN"/>
        </w:rPr>
        <w:t> (Accessed: 30 April 2026).</w:t>
      </w:r>
    </w:p>
    <w:p w14:paraId="669743A6" w14:textId="77777777" w:rsidR="00F900FE" w:rsidRPr="00F900FE" w:rsidRDefault="00F900FE" w:rsidP="00F900FE">
      <w:pPr>
        <w:spacing w:line="240" w:lineRule="auto"/>
        <w:jc w:val="both"/>
        <w:rPr>
          <w:sz w:val="24"/>
          <w:szCs w:val="24"/>
          <w:lang w:val="en-IN"/>
        </w:rPr>
      </w:pPr>
      <w:r w:rsidRPr="00F900FE">
        <w:rPr>
          <w:sz w:val="24"/>
          <w:szCs w:val="24"/>
          <w:lang w:val="en-IN"/>
        </w:rPr>
        <w:t>National Institute for Health and Care Research (NIHR). (2026). </w:t>
      </w:r>
      <w:r w:rsidRPr="00F900FE">
        <w:rPr>
          <w:i/>
          <w:iCs/>
          <w:sz w:val="24"/>
          <w:szCs w:val="24"/>
          <w:lang w:val="en-IN"/>
        </w:rPr>
        <w:t>Research highlights the often hidden systemic harm facing families in England’s housing crisis</w:t>
      </w:r>
      <w:r w:rsidRPr="00F900FE">
        <w:rPr>
          <w:sz w:val="24"/>
          <w:szCs w:val="24"/>
          <w:lang w:val="en-IN"/>
        </w:rPr>
        <w:t>. Available at: </w:t>
      </w:r>
      <w:hyperlink w:tgtFrame="_blank" w:history="1">
        <w:r w:rsidRPr="00F900FE">
          <w:rPr>
            <w:rStyle w:val="Hyperlink"/>
            <w:sz w:val="24"/>
            <w:szCs w:val="24"/>
            <w:lang w:val="en-IN"/>
          </w:rPr>
          <w:t>https://sphr.nihr.ac.uk/</w:t>
        </w:r>
      </w:hyperlink>
      <w:r w:rsidRPr="00F900FE">
        <w:rPr>
          <w:sz w:val="24"/>
          <w:szCs w:val="24"/>
          <w:lang w:val="en-IN"/>
        </w:rPr>
        <w:t> (Accessed: 30 April 2026).</w:t>
      </w:r>
    </w:p>
    <w:p w14:paraId="540B2BD1" w14:textId="77777777" w:rsidR="00F900FE" w:rsidRPr="00F900FE" w:rsidRDefault="00F900FE" w:rsidP="00F900FE">
      <w:pPr>
        <w:spacing w:line="240" w:lineRule="auto"/>
        <w:jc w:val="both"/>
        <w:rPr>
          <w:sz w:val="24"/>
          <w:szCs w:val="24"/>
          <w:lang w:val="en-IN"/>
        </w:rPr>
      </w:pPr>
      <w:r w:rsidRPr="00F900FE">
        <w:rPr>
          <w:sz w:val="24"/>
          <w:szCs w:val="24"/>
          <w:lang w:val="en-IN"/>
        </w:rPr>
        <w:t>Office for National Statistics (ONS). (2026). </w:t>
      </w:r>
      <w:r w:rsidRPr="00F900FE">
        <w:rPr>
          <w:i/>
          <w:iCs/>
          <w:sz w:val="24"/>
          <w:szCs w:val="24"/>
          <w:lang w:val="en-IN"/>
        </w:rPr>
        <w:t>Public opinions and social trends, Great Britain: January 2026</w:t>
      </w:r>
      <w:r w:rsidRPr="00F900FE">
        <w:rPr>
          <w:sz w:val="24"/>
          <w:szCs w:val="24"/>
          <w:lang w:val="en-IN"/>
        </w:rPr>
        <w:t>. Available at: </w:t>
      </w:r>
      <w:hyperlink w:tgtFrame="_blank" w:history="1">
        <w:r w:rsidRPr="00F900FE">
          <w:rPr>
            <w:rStyle w:val="Hyperlink"/>
            <w:sz w:val="24"/>
            <w:szCs w:val="24"/>
            <w:lang w:val="en-IN"/>
          </w:rPr>
          <w:t>https://www.ons.gov.uk/</w:t>
        </w:r>
      </w:hyperlink>
      <w:r w:rsidRPr="00F900FE">
        <w:rPr>
          <w:sz w:val="24"/>
          <w:szCs w:val="24"/>
          <w:lang w:val="en-IN"/>
        </w:rPr>
        <w:t> (Accessed: 30 April 2026).</w:t>
      </w:r>
    </w:p>
    <w:p w14:paraId="4B9CDC13" w14:textId="77777777" w:rsidR="00F900FE" w:rsidRPr="00F900FE" w:rsidRDefault="00F900FE" w:rsidP="00F900FE">
      <w:pPr>
        <w:spacing w:line="240" w:lineRule="auto"/>
        <w:jc w:val="both"/>
        <w:rPr>
          <w:sz w:val="24"/>
          <w:szCs w:val="24"/>
          <w:lang w:val="en-IN"/>
        </w:rPr>
      </w:pPr>
      <w:r w:rsidRPr="00F900FE">
        <w:rPr>
          <w:sz w:val="24"/>
          <w:szCs w:val="24"/>
          <w:lang w:val="en-IN"/>
        </w:rPr>
        <w:t>SpunOut. (2024). </w:t>
      </w:r>
      <w:r w:rsidRPr="00F900FE">
        <w:rPr>
          <w:i/>
          <w:iCs/>
          <w:sz w:val="24"/>
          <w:szCs w:val="24"/>
          <w:lang w:val="en-IN"/>
        </w:rPr>
        <w:t>New research finds that zero-hours contracts affect young people’s health</w:t>
      </w:r>
      <w:r w:rsidRPr="00F900FE">
        <w:rPr>
          <w:sz w:val="24"/>
          <w:szCs w:val="24"/>
          <w:lang w:val="en-IN"/>
        </w:rPr>
        <w:t>. Available at: </w:t>
      </w:r>
      <w:hyperlink w:tgtFrame="_blank" w:history="1">
        <w:r w:rsidRPr="00F900FE">
          <w:rPr>
            <w:rStyle w:val="Hyperlink"/>
            <w:sz w:val="24"/>
            <w:szCs w:val="24"/>
            <w:lang w:val="en-IN"/>
          </w:rPr>
          <w:t>https://spunout.ie/</w:t>
        </w:r>
      </w:hyperlink>
      <w:r w:rsidRPr="00F900FE">
        <w:rPr>
          <w:sz w:val="24"/>
          <w:szCs w:val="24"/>
          <w:lang w:val="en-IN"/>
        </w:rPr>
        <w:t> (Accessed: 30 April 2026).</w:t>
      </w:r>
    </w:p>
    <w:p w14:paraId="5BB39500" w14:textId="77777777" w:rsidR="00F900FE" w:rsidRPr="00F900FE" w:rsidRDefault="00F900FE" w:rsidP="00F900FE">
      <w:pPr>
        <w:spacing w:line="240" w:lineRule="auto"/>
        <w:jc w:val="both"/>
        <w:rPr>
          <w:sz w:val="24"/>
          <w:szCs w:val="24"/>
          <w:lang w:val="en-IN"/>
        </w:rPr>
      </w:pPr>
      <w:r w:rsidRPr="00F900FE">
        <w:rPr>
          <w:sz w:val="24"/>
          <w:szCs w:val="24"/>
          <w:lang w:val="en-IN"/>
        </w:rPr>
        <w:t>Young Minds. (2023). </w:t>
      </w:r>
      <w:r w:rsidRPr="00F900FE">
        <w:rPr>
          <w:i/>
          <w:iCs/>
          <w:sz w:val="24"/>
          <w:szCs w:val="24"/>
          <w:lang w:val="en-IN"/>
        </w:rPr>
        <w:t>Mental health statistics</w:t>
      </w:r>
      <w:r w:rsidRPr="00F900FE">
        <w:rPr>
          <w:sz w:val="24"/>
          <w:szCs w:val="24"/>
          <w:lang w:val="en-IN"/>
        </w:rPr>
        <w:t>. Available at: </w:t>
      </w:r>
      <w:hyperlink w:tgtFrame="_blank" w:history="1">
        <w:r w:rsidRPr="00F900FE">
          <w:rPr>
            <w:rStyle w:val="Hyperlink"/>
            <w:sz w:val="24"/>
            <w:szCs w:val="24"/>
            <w:lang w:val="en-IN"/>
          </w:rPr>
          <w:t>https://www.youngminds.org.uk/</w:t>
        </w:r>
      </w:hyperlink>
      <w:r w:rsidRPr="00F900FE">
        <w:rPr>
          <w:sz w:val="24"/>
          <w:szCs w:val="24"/>
          <w:lang w:val="en-IN"/>
        </w:rPr>
        <w:t> (Accessed: 30 April 2026).</w:t>
      </w:r>
    </w:p>
    <w:p w14:paraId="68A6CEE8" w14:textId="4861E6EB" w:rsidR="000E599F" w:rsidRDefault="000E599F" w:rsidP="005A0635">
      <w:pPr>
        <w:pStyle w:val="NormalWeb"/>
        <w:jc w:val="both"/>
      </w:pPr>
      <w:r>
        <w:rPr>
          <w:b/>
          <w:bCs/>
        </w:rPr>
        <w:t>Association for Young People’s Health (AYPH).</w:t>
      </w:r>
      <w:r>
        <w:rPr>
          <w:rStyle w:val="apple-converted-space"/>
          <w:rFonts w:eastAsiaTheme="majorEastAsia"/>
        </w:rPr>
        <w:t> </w:t>
      </w:r>
      <w:r>
        <w:t>(2025).</w:t>
      </w:r>
      <w:r>
        <w:rPr>
          <w:rStyle w:val="apple-converted-space"/>
          <w:rFonts w:eastAsiaTheme="majorEastAsia"/>
        </w:rPr>
        <w:t> </w:t>
      </w:r>
      <w:r>
        <w:rPr>
          <w:i/>
          <w:iCs/>
        </w:rPr>
        <w:t>Where is the young adult care?</w:t>
      </w:r>
      <w:r>
        <w:t>. Available at:</w:t>
      </w:r>
      <w:r>
        <w:rPr>
          <w:rStyle w:val="apple-converted-space"/>
          <w:rFonts w:eastAsiaTheme="majorEastAsia"/>
        </w:rPr>
        <w:t> </w:t>
      </w:r>
      <w:hyperlink r:id="rId11" w:tgtFrame="_blank" w:history="1">
        <w:r>
          <w:rPr>
            <w:rStyle w:val="Hyperlink"/>
            <w:rFonts w:eastAsiaTheme="majorEastAsia"/>
          </w:rPr>
          <w:t>https://ayph.org.uk/</w:t>
        </w:r>
      </w:hyperlink>
    </w:p>
    <w:p w14:paraId="625C9503" w14:textId="6EE48FFF" w:rsidR="000E599F" w:rsidRDefault="000E599F" w:rsidP="005A0635">
      <w:pPr>
        <w:pStyle w:val="NormalWeb"/>
        <w:jc w:val="both"/>
      </w:pPr>
      <w:r>
        <w:rPr>
          <w:b/>
          <w:bCs/>
        </w:rPr>
        <w:t>Born in Bradford.</w:t>
      </w:r>
      <w:r>
        <w:rPr>
          <w:rStyle w:val="apple-converted-space"/>
          <w:rFonts w:eastAsiaTheme="majorEastAsia"/>
        </w:rPr>
        <w:t> </w:t>
      </w:r>
      <w:r>
        <w:t>(2013). Using intervention mapping to develop a culturally appropriate intervention to prevent childhood obesity.</w:t>
      </w:r>
      <w:r>
        <w:rPr>
          <w:rStyle w:val="apple-converted-space"/>
          <w:rFonts w:eastAsiaTheme="majorEastAsia"/>
        </w:rPr>
        <w:t> </w:t>
      </w:r>
      <w:r>
        <w:rPr>
          <w:i/>
          <w:iCs/>
        </w:rPr>
        <w:t>International Journal of Behavioral Nutrition and Physical Activity</w:t>
      </w:r>
      <w:r>
        <w:t>, 10(1).</w:t>
      </w:r>
      <w:r>
        <w:rPr>
          <w:rStyle w:val="apple-converted-space"/>
          <w:rFonts w:eastAsiaTheme="majorEastAsia"/>
        </w:rPr>
        <w:t> </w:t>
      </w:r>
      <w:hyperlink w:tgtFrame="_blank" w:history="1">
        <w:r>
          <w:rPr>
            <w:rStyle w:val="Hyperlink"/>
            <w:rFonts w:eastAsiaTheme="majorEastAsia"/>
          </w:rPr>
          <w:t>https://doi.org/10.1186/1479-5868-10-142</w:t>
        </w:r>
      </w:hyperlink>
    </w:p>
    <w:p w14:paraId="14CD822A" w14:textId="5175268B" w:rsidR="000E599F" w:rsidRDefault="000E599F" w:rsidP="005A0635">
      <w:pPr>
        <w:pStyle w:val="NormalWeb"/>
        <w:jc w:val="both"/>
      </w:pPr>
      <w:r>
        <w:rPr>
          <w:b/>
          <w:bCs/>
        </w:rPr>
        <w:t>Children and Young People’s Mental Health Coalition (CYPMHC).</w:t>
      </w:r>
      <w:r>
        <w:rPr>
          <w:rStyle w:val="apple-converted-space"/>
          <w:rFonts w:eastAsiaTheme="majorEastAsia"/>
        </w:rPr>
        <w:t> </w:t>
      </w:r>
      <w:r>
        <w:t>(2024).</w:t>
      </w:r>
      <w:r>
        <w:rPr>
          <w:rStyle w:val="apple-converted-space"/>
          <w:rFonts w:eastAsiaTheme="majorEastAsia"/>
        </w:rPr>
        <w:t> </w:t>
      </w:r>
      <w:r>
        <w:rPr>
          <w:i/>
          <w:iCs/>
        </w:rPr>
        <w:t>Facts and Figures</w:t>
      </w:r>
      <w:r>
        <w:t>.</w:t>
      </w:r>
    </w:p>
    <w:p w14:paraId="2B073237" w14:textId="1654748C" w:rsidR="000E599F" w:rsidRDefault="000E599F" w:rsidP="005A0635">
      <w:pPr>
        <w:pStyle w:val="NormalWeb"/>
        <w:jc w:val="both"/>
      </w:pPr>
      <w:r>
        <w:rPr>
          <w:b/>
          <w:bCs/>
        </w:rPr>
        <w:t>GP Care Group.</w:t>
      </w:r>
      <w:r>
        <w:rPr>
          <w:rStyle w:val="apple-converted-space"/>
          <w:rFonts w:eastAsiaTheme="majorEastAsia"/>
        </w:rPr>
        <w:t> </w:t>
      </w:r>
      <w:r>
        <w:t>(2023).</w:t>
      </w:r>
      <w:r>
        <w:rPr>
          <w:rStyle w:val="apple-converted-space"/>
          <w:rFonts w:eastAsiaTheme="majorEastAsia"/>
        </w:rPr>
        <w:t> </w:t>
      </w:r>
      <w:r>
        <w:rPr>
          <w:i/>
          <w:iCs/>
        </w:rPr>
        <w:t>Launching the Tower Hamlets Child Healthy Weight Directory</w:t>
      </w:r>
      <w:r>
        <w:t>. Available at:</w:t>
      </w:r>
      <w:r>
        <w:rPr>
          <w:rStyle w:val="apple-converted-space"/>
          <w:rFonts w:eastAsiaTheme="majorEastAsia"/>
        </w:rPr>
        <w:t> </w:t>
      </w:r>
      <w:hyperlink w:tgtFrame="_blank" w:history="1">
        <w:r>
          <w:rPr>
            <w:rStyle w:val="Hyperlink"/>
            <w:rFonts w:eastAsiaTheme="majorEastAsia"/>
          </w:rPr>
          <w:t>https://www.gpcaregroup.org/</w:t>
        </w:r>
      </w:hyperlink>
    </w:p>
    <w:p w14:paraId="4E1E4138" w14:textId="4107CE5D" w:rsidR="000E599F" w:rsidRDefault="000E599F" w:rsidP="005A0635">
      <w:pPr>
        <w:pStyle w:val="NormalWeb"/>
        <w:jc w:val="both"/>
      </w:pPr>
      <w:r>
        <w:rPr>
          <w:b/>
          <w:bCs/>
        </w:rPr>
        <w:t>Greater London Authority.</w:t>
      </w:r>
      <w:r>
        <w:rPr>
          <w:rStyle w:val="apple-converted-space"/>
          <w:rFonts w:eastAsiaTheme="majorEastAsia"/>
        </w:rPr>
        <w:t> </w:t>
      </w:r>
      <w:r>
        <w:t>(2023).</w:t>
      </w:r>
      <w:r>
        <w:rPr>
          <w:rStyle w:val="apple-converted-space"/>
          <w:rFonts w:eastAsiaTheme="majorEastAsia"/>
        </w:rPr>
        <w:t> </w:t>
      </w:r>
      <w:r>
        <w:rPr>
          <w:i/>
          <w:iCs/>
        </w:rPr>
        <w:t>Healthier food advertising policy evaluation</w:t>
      </w:r>
      <w:r>
        <w:t>.</w:t>
      </w:r>
    </w:p>
    <w:p w14:paraId="79B8E7FE" w14:textId="6384A5C4" w:rsidR="000E599F" w:rsidRDefault="000E599F" w:rsidP="005A0635">
      <w:pPr>
        <w:pStyle w:val="NormalWeb"/>
        <w:jc w:val="both"/>
      </w:pPr>
      <w:r>
        <w:rPr>
          <w:b/>
          <w:bCs/>
        </w:rPr>
        <w:lastRenderedPageBreak/>
        <w:t>McNeill, A., et al.</w:t>
      </w:r>
      <w:r>
        <w:rPr>
          <w:rStyle w:val="apple-converted-space"/>
          <w:rFonts w:eastAsiaTheme="majorEastAsia"/>
        </w:rPr>
        <w:t> </w:t>
      </w:r>
      <w:r>
        <w:t>(2024). The changing face of nicotine use in England: Age‐specific annual trends, 2014 to 2024.</w:t>
      </w:r>
      <w:r>
        <w:rPr>
          <w:rStyle w:val="apple-converted-space"/>
          <w:rFonts w:eastAsiaTheme="majorEastAsia"/>
        </w:rPr>
        <w:t> </w:t>
      </w:r>
      <w:r>
        <w:rPr>
          <w:i/>
          <w:iCs/>
        </w:rPr>
        <w:t>Addiction</w:t>
      </w:r>
      <w:r>
        <w:t>.</w:t>
      </w:r>
      <w:r>
        <w:rPr>
          <w:rStyle w:val="apple-converted-space"/>
          <w:rFonts w:eastAsiaTheme="majorEastAsia"/>
        </w:rPr>
        <w:t> </w:t>
      </w:r>
      <w:hyperlink w:tgtFrame="_blank" w:history="1">
        <w:r>
          <w:rPr>
            <w:rStyle w:val="Hyperlink"/>
            <w:rFonts w:eastAsiaTheme="majorEastAsia"/>
          </w:rPr>
          <w:t>https://doi.org/10.1111/add.16624</w:t>
        </w:r>
      </w:hyperlink>
    </w:p>
    <w:p w14:paraId="45A8F5A2" w14:textId="72D84430" w:rsidR="000E599F" w:rsidRDefault="000E599F" w:rsidP="005A0635">
      <w:pPr>
        <w:pStyle w:val="NormalWeb"/>
        <w:jc w:val="both"/>
      </w:pPr>
      <w:r>
        <w:rPr>
          <w:b/>
          <w:bCs/>
        </w:rPr>
        <w:t>National Center for Biotechnology Information (NCBI).</w:t>
      </w:r>
      <w:r>
        <w:rPr>
          <w:rStyle w:val="apple-converted-space"/>
          <w:rFonts w:eastAsiaTheme="majorEastAsia"/>
        </w:rPr>
        <w:t> </w:t>
      </w:r>
      <w:r>
        <w:t>(2020).</w:t>
      </w:r>
      <w:r>
        <w:rPr>
          <w:rStyle w:val="apple-converted-space"/>
          <w:rFonts w:eastAsiaTheme="majorEastAsia"/>
        </w:rPr>
        <w:t> </w:t>
      </w:r>
      <w:r>
        <w:rPr>
          <w:i/>
          <w:iCs/>
        </w:rPr>
        <w:t>Scoping the impact of the National Child Measurement Programme</w:t>
      </w:r>
      <w:r>
        <w:t>.</w:t>
      </w:r>
    </w:p>
    <w:p w14:paraId="7DE41327" w14:textId="6DBCEC88" w:rsidR="000E599F" w:rsidRDefault="000E599F" w:rsidP="005A0635">
      <w:pPr>
        <w:pStyle w:val="NormalWeb"/>
        <w:jc w:val="both"/>
      </w:pPr>
      <w:r>
        <w:rPr>
          <w:b/>
          <w:bCs/>
        </w:rPr>
        <w:t>NHD Mag.</w:t>
      </w:r>
      <w:r>
        <w:rPr>
          <w:rStyle w:val="apple-converted-space"/>
          <w:rFonts w:eastAsiaTheme="majorEastAsia"/>
        </w:rPr>
        <w:t> </w:t>
      </w:r>
      <w:r>
        <w:t>(2026).</w:t>
      </w:r>
      <w:r>
        <w:rPr>
          <w:rStyle w:val="apple-converted-space"/>
          <w:rFonts w:eastAsiaTheme="majorEastAsia"/>
        </w:rPr>
        <w:t> </w:t>
      </w:r>
      <w:r>
        <w:rPr>
          <w:i/>
          <w:iCs/>
        </w:rPr>
        <w:t>Childhood obesity beyond the scales: rethinking prevention through environment</w:t>
      </w:r>
      <w:r>
        <w:t>. Available at:</w:t>
      </w:r>
      <w:r>
        <w:rPr>
          <w:rStyle w:val="apple-converted-space"/>
          <w:rFonts w:eastAsiaTheme="majorEastAsia"/>
        </w:rPr>
        <w:t> </w:t>
      </w:r>
      <w:hyperlink w:tgtFrame="_blank" w:history="1">
        <w:r>
          <w:rPr>
            <w:rStyle w:val="Hyperlink"/>
            <w:rFonts w:eastAsiaTheme="majorEastAsia"/>
          </w:rPr>
          <w:t>https://www.nhdmag.co.uk/</w:t>
        </w:r>
      </w:hyperlink>
    </w:p>
    <w:p w14:paraId="31BFAE10" w14:textId="03CB0A6E" w:rsidR="000E599F" w:rsidRDefault="000E599F" w:rsidP="005A0635">
      <w:pPr>
        <w:pStyle w:val="NormalWeb"/>
        <w:jc w:val="both"/>
      </w:pPr>
      <w:r>
        <w:rPr>
          <w:b/>
          <w:bCs/>
        </w:rPr>
        <w:t>NHS England.</w:t>
      </w:r>
      <w:r>
        <w:rPr>
          <w:rStyle w:val="apple-converted-space"/>
          <w:rFonts w:eastAsiaTheme="majorEastAsia"/>
        </w:rPr>
        <w:t> </w:t>
      </w:r>
      <w:r>
        <w:t>(2024).</w:t>
      </w:r>
      <w:r>
        <w:rPr>
          <w:rStyle w:val="apple-converted-space"/>
          <w:rFonts w:eastAsiaTheme="majorEastAsia"/>
        </w:rPr>
        <w:t> </w:t>
      </w:r>
      <w:r>
        <w:rPr>
          <w:i/>
          <w:iCs/>
        </w:rPr>
        <w:t>Children's overweight and obesity - Health Survey for England 2024</w:t>
      </w:r>
      <w:r>
        <w:t>. Available at:</w:t>
      </w:r>
      <w:r>
        <w:rPr>
          <w:rStyle w:val="apple-converted-space"/>
          <w:rFonts w:eastAsiaTheme="majorEastAsia"/>
        </w:rPr>
        <w:t> </w:t>
      </w:r>
      <w:hyperlink w:tgtFrame="_blank" w:history="1">
        <w:r>
          <w:rPr>
            <w:rStyle w:val="Hyperlink"/>
            <w:rFonts w:eastAsiaTheme="majorEastAsia"/>
          </w:rPr>
          <w:t>https://digital.nhs.uk/</w:t>
        </w:r>
      </w:hyperlink>
    </w:p>
    <w:p w14:paraId="21856F0F" w14:textId="1F5BDC87" w:rsidR="000E599F" w:rsidRDefault="000E599F" w:rsidP="005A0635">
      <w:pPr>
        <w:pStyle w:val="NormalWeb"/>
        <w:jc w:val="both"/>
      </w:pPr>
      <w:r>
        <w:rPr>
          <w:b/>
          <w:bCs/>
        </w:rPr>
        <w:t>Office for National Statistics (ONS).</w:t>
      </w:r>
      <w:r>
        <w:rPr>
          <w:rStyle w:val="apple-converted-space"/>
          <w:rFonts w:eastAsiaTheme="majorEastAsia"/>
        </w:rPr>
        <w:t> </w:t>
      </w:r>
      <w:r>
        <w:t>(2026).</w:t>
      </w:r>
      <w:r>
        <w:rPr>
          <w:rStyle w:val="apple-converted-space"/>
          <w:rFonts w:eastAsiaTheme="majorEastAsia"/>
        </w:rPr>
        <w:t> </w:t>
      </w:r>
      <w:r>
        <w:rPr>
          <w:i/>
          <w:iCs/>
        </w:rPr>
        <w:t>Public opinions and social trends, Great Britain: January 2026</w:t>
      </w:r>
      <w:r>
        <w:t>.</w:t>
      </w:r>
    </w:p>
    <w:p w14:paraId="170264B9" w14:textId="2227F439" w:rsidR="000E599F" w:rsidRDefault="000E599F" w:rsidP="005A0635">
      <w:pPr>
        <w:pStyle w:val="NormalWeb"/>
        <w:jc w:val="both"/>
      </w:pPr>
      <w:r>
        <w:rPr>
          <w:b/>
          <w:bCs/>
        </w:rPr>
        <w:t>Simmonds, M., et al.</w:t>
      </w:r>
      <w:r>
        <w:rPr>
          <w:rStyle w:val="apple-converted-space"/>
          <w:rFonts w:eastAsiaTheme="majorEastAsia"/>
        </w:rPr>
        <w:t> </w:t>
      </w:r>
      <w:r>
        <w:t>(2016). Predicting adult obesity from childhood and adolescent weight.</w:t>
      </w:r>
      <w:r>
        <w:rPr>
          <w:rStyle w:val="apple-converted-space"/>
          <w:rFonts w:eastAsiaTheme="majorEastAsia"/>
        </w:rPr>
        <w:t> </w:t>
      </w:r>
      <w:r>
        <w:rPr>
          <w:i/>
          <w:iCs/>
        </w:rPr>
        <w:t>Health Technology Assessment</w:t>
      </w:r>
      <w:r>
        <w:t>.</w:t>
      </w:r>
    </w:p>
    <w:p w14:paraId="51DED19E" w14:textId="71D0E5A0" w:rsidR="000E599F" w:rsidRDefault="000E599F" w:rsidP="005A0635">
      <w:pPr>
        <w:pStyle w:val="NormalWeb"/>
        <w:jc w:val="both"/>
      </w:pPr>
      <w:r>
        <w:rPr>
          <w:b/>
          <w:bCs/>
        </w:rPr>
        <w:t>Sport England.</w:t>
      </w:r>
      <w:r>
        <w:rPr>
          <w:rStyle w:val="apple-converted-space"/>
          <w:rFonts w:eastAsiaTheme="majorEastAsia"/>
        </w:rPr>
        <w:t> </w:t>
      </w:r>
      <w:r>
        <w:t>(2026).</w:t>
      </w:r>
      <w:r>
        <w:rPr>
          <w:rStyle w:val="apple-converted-space"/>
          <w:rFonts w:eastAsiaTheme="majorEastAsia"/>
        </w:rPr>
        <w:t> </w:t>
      </w:r>
      <w:r>
        <w:rPr>
          <w:i/>
          <w:iCs/>
        </w:rPr>
        <w:t>Active Lives Children and Young People Survey</w:t>
      </w:r>
      <w:r>
        <w:t>.</w:t>
      </w:r>
    </w:p>
    <w:p w14:paraId="6C1C6E04" w14:textId="760630CB" w:rsidR="000E599F" w:rsidRDefault="000E599F" w:rsidP="005A0635">
      <w:pPr>
        <w:pStyle w:val="NormalWeb"/>
        <w:jc w:val="both"/>
      </w:pPr>
      <w:r>
        <w:rPr>
          <w:b/>
          <w:bCs/>
        </w:rPr>
        <w:t>Suffolk Observatory.</w:t>
      </w:r>
      <w:r>
        <w:rPr>
          <w:rStyle w:val="apple-converted-space"/>
          <w:rFonts w:eastAsiaTheme="majorEastAsia"/>
        </w:rPr>
        <w:t> </w:t>
      </w:r>
      <w:r>
        <w:t>(2026).</w:t>
      </w:r>
      <w:r>
        <w:rPr>
          <w:rStyle w:val="apple-converted-space"/>
          <w:rFonts w:eastAsiaTheme="majorEastAsia"/>
        </w:rPr>
        <w:t> </w:t>
      </w:r>
      <w:r>
        <w:rPr>
          <w:i/>
          <w:iCs/>
        </w:rPr>
        <w:t>National Child Measurement Programme Surveillance</w:t>
      </w:r>
      <w:r>
        <w:t>.</w:t>
      </w:r>
    </w:p>
    <w:p w14:paraId="19B58492" w14:textId="668ADDBF" w:rsidR="000E599F" w:rsidRDefault="000E599F" w:rsidP="005A0635">
      <w:pPr>
        <w:pStyle w:val="NormalWeb"/>
        <w:jc w:val="both"/>
      </w:pPr>
      <w:r>
        <w:rPr>
          <w:b/>
          <w:bCs/>
        </w:rPr>
        <w:t>Tower Hamlets Council.</w:t>
      </w:r>
      <w:r>
        <w:rPr>
          <w:rStyle w:val="apple-converted-space"/>
          <w:rFonts w:eastAsiaTheme="majorEastAsia"/>
        </w:rPr>
        <w:t> </w:t>
      </w:r>
      <w:r>
        <w:t>(2024).</w:t>
      </w:r>
      <w:r>
        <w:rPr>
          <w:rStyle w:val="apple-converted-space"/>
          <w:rFonts w:eastAsiaTheme="majorEastAsia"/>
        </w:rPr>
        <w:t> </w:t>
      </w:r>
      <w:r>
        <w:rPr>
          <w:i/>
          <w:iCs/>
        </w:rPr>
        <w:t>Cabinet report: Healthy Weight Action Plan</w:t>
      </w:r>
      <w:r>
        <w:t>. Available at:</w:t>
      </w:r>
      <w:r>
        <w:rPr>
          <w:rStyle w:val="apple-converted-space"/>
          <w:rFonts w:eastAsiaTheme="majorEastAsia"/>
        </w:rPr>
        <w:t> </w:t>
      </w:r>
      <w:hyperlink w:tgtFrame="_blank" w:history="1">
        <w:r>
          <w:rPr>
            <w:rStyle w:val="Hyperlink"/>
            <w:rFonts w:eastAsiaTheme="majorEastAsia"/>
          </w:rPr>
          <w:t>https://democracy.towerhamlets.gov.uk/</w:t>
        </w:r>
      </w:hyperlink>
    </w:p>
    <w:p w14:paraId="63AB84EB" w14:textId="7869C7EB" w:rsidR="000E599F" w:rsidRDefault="000E599F" w:rsidP="005A0635">
      <w:pPr>
        <w:pStyle w:val="NormalWeb"/>
        <w:jc w:val="both"/>
      </w:pPr>
      <w:r>
        <w:rPr>
          <w:b/>
          <w:bCs/>
        </w:rPr>
        <w:t>Tower Hamlets Council.</w:t>
      </w:r>
      <w:r>
        <w:rPr>
          <w:rStyle w:val="apple-converted-space"/>
          <w:rFonts w:eastAsiaTheme="majorEastAsia"/>
        </w:rPr>
        <w:t> </w:t>
      </w:r>
      <w:r>
        <w:t>(2026).</w:t>
      </w:r>
      <w:r>
        <w:rPr>
          <w:rStyle w:val="apple-converted-space"/>
          <w:rFonts w:eastAsiaTheme="majorEastAsia"/>
        </w:rPr>
        <w:t> </w:t>
      </w:r>
      <w:r>
        <w:rPr>
          <w:i/>
          <w:iCs/>
        </w:rPr>
        <w:t>Board Meeting: Child Healthy Weight Progress</w:t>
      </w:r>
      <w:r>
        <w:t>.</w:t>
      </w:r>
    </w:p>
    <w:p w14:paraId="461707D5" w14:textId="0D2772EB" w:rsidR="000E599F" w:rsidRDefault="000E599F" w:rsidP="005A0635">
      <w:pPr>
        <w:pStyle w:val="NormalWeb"/>
        <w:jc w:val="both"/>
      </w:pPr>
      <w:r>
        <w:rPr>
          <w:b/>
          <w:bCs/>
        </w:rPr>
        <w:t>UK Parliament.</w:t>
      </w:r>
      <w:r>
        <w:rPr>
          <w:rStyle w:val="apple-converted-space"/>
          <w:rFonts w:eastAsiaTheme="majorEastAsia"/>
        </w:rPr>
        <w:t> </w:t>
      </w:r>
      <w:r>
        <w:t>(2023).</w:t>
      </w:r>
      <w:r>
        <w:rPr>
          <w:rStyle w:val="apple-converted-space"/>
          <w:rFonts w:eastAsiaTheme="majorEastAsia"/>
        </w:rPr>
        <w:t> </w:t>
      </w:r>
      <w:r>
        <w:rPr>
          <w:i/>
          <w:iCs/>
        </w:rPr>
        <w:t>Evidence on Childhood obesity - London</w:t>
      </w:r>
      <w:r>
        <w:t>. Health and Social Care Committee.</w:t>
      </w:r>
    </w:p>
    <w:p w14:paraId="7C9455C2" w14:textId="3D704E1B" w:rsidR="000E599F" w:rsidRDefault="000E599F" w:rsidP="005A0635">
      <w:pPr>
        <w:pStyle w:val="NormalWeb"/>
        <w:jc w:val="both"/>
      </w:pPr>
      <w:r>
        <w:rPr>
          <w:b/>
          <w:bCs/>
        </w:rPr>
        <w:t>World Obesity Federation.</w:t>
      </w:r>
      <w:r>
        <w:rPr>
          <w:rStyle w:val="apple-converted-space"/>
          <w:rFonts w:eastAsiaTheme="majorEastAsia"/>
        </w:rPr>
        <w:t> </w:t>
      </w:r>
      <w:r>
        <w:t>(2026).</w:t>
      </w:r>
      <w:r>
        <w:rPr>
          <w:rStyle w:val="apple-converted-space"/>
          <w:rFonts w:eastAsiaTheme="majorEastAsia"/>
        </w:rPr>
        <w:t> </w:t>
      </w:r>
      <w:r>
        <w:rPr>
          <w:i/>
          <w:iCs/>
        </w:rPr>
        <w:t>World Obesity Atlas 2026</w:t>
      </w:r>
      <w:r>
        <w:t>. Available at:</w:t>
      </w:r>
      <w:r>
        <w:rPr>
          <w:rStyle w:val="apple-converted-space"/>
          <w:rFonts w:eastAsiaTheme="majorEastAsia"/>
        </w:rPr>
        <w:t> </w:t>
      </w:r>
      <w:hyperlink w:tgtFrame="_blank" w:history="1">
        <w:r>
          <w:rPr>
            <w:rStyle w:val="Hyperlink"/>
            <w:rFonts w:eastAsiaTheme="majorEastAsia"/>
          </w:rPr>
          <w:t>https://www.worldobesity.org/</w:t>
        </w:r>
      </w:hyperlink>
    </w:p>
    <w:p w14:paraId="61AAFC72" w14:textId="18712625" w:rsidR="000E599F" w:rsidRDefault="000E599F" w:rsidP="005A0635">
      <w:pPr>
        <w:pStyle w:val="NormalWeb"/>
        <w:jc w:val="both"/>
      </w:pPr>
      <w:r>
        <w:rPr>
          <w:b/>
          <w:bCs/>
        </w:rPr>
        <w:t>Young Minds.</w:t>
      </w:r>
      <w:r>
        <w:rPr>
          <w:rStyle w:val="apple-converted-space"/>
          <w:rFonts w:eastAsiaTheme="majorEastAsia"/>
        </w:rPr>
        <w:t> </w:t>
      </w:r>
      <w:r>
        <w:t>(2023).</w:t>
      </w:r>
      <w:r>
        <w:rPr>
          <w:rStyle w:val="apple-converted-space"/>
          <w:rFonts w:eastAsiaTheme="majorEastAsia"/>
        </w:rPr>
        <w:t> </w:t>
      </w:r>
      <w:r>
        <w:rPr>
          <w:i/>
          <w:iCs/>
        </w:rPr>
        <w:t>Mental health statistics</w:t>
      </w:r>
      <w:r>
        <w:t>.</w:t>
      </w:r>
    </w:p>
    <w:p w14:paraId="77A37CC0" w14:textId="47D12618" w:rsidR="000E599F" w:rsidRDefault="000E599F" w:rsidP="005A0635">
      <w:pPr>
        <w:pStyle w:val="NormalWeb"/>
        <w:jc w:val="both"/>
      </w:pPr>
      <w:r>
        <w:rPr>
          <w:b/>
          <w:bCs/>
        </w:rPr>
        <w:t>Local Government Association.</w:t>
      </w:r>
      <w:r>
        <w:rPr>
          <w:rStyle w:val="apple-converted-space"/>
          <w:rFonts w:eastAsiaTheme="majorEastAsia"/>
        </w:rPr>
        <w:t> </w:t>
      </w:r>
      <w:r>
        <w:t>(2023).</w:t>
      </w:r>
      <w:r>
        <w:rPr>
          <w:rStyle w:val="apple-converted-space"/>
          <w:rFonts w:eastAsiaTheme="majorEastAsia"/>
        </w:rPr>
        <w:t> </w:t>
      </w:r>
      <w:r>
        <w:rPr>
          <w:i/>
          <w:iCs/>
        </w:rPr>
        <w:t>Early Support Hubs for Mental Health</w:t>
      </w:r>
      <w:r>
        <w:t>.</w:t>
      </w:r>
    </w:p>
    <w:p w14:paraId="55F5BBB3" w14:textId="3DAF3997" w:rsidR="000E599F" w:rsidRDefault="000E599F" w:rsidP="005A0635">
      <w:pPr>
        <w:pStyle w:val="NormalWeb"/>
        <w:jc w:val="both"/>
      </w:pPr>
      <w:r>
        <w:rPr>
          <w:b/>
          <w:bCs/>
        </w:rPr>
        <w:t>NIHR.</w:t>
      </w:r>
      <w:r>
        <w:rPr>
          <w:rStyle w:val="apple-converted-space"/>
          <w:rFonts w:eastAsiaTheme="majorEastAsia"/>
        </w:rPr>
        <w:t> </w:t>
      </w:r>
      <w:r>
        <w:t>(2026).</w:t>
      </w:r>
      <w:r>
        <w:rPr>
          <w:rStyle w:val="apple-converted-space"/>
          <w:rFonts w:eastAsiaTheme="majorEastAsia"/>
        </w:rPr>
        <w:t> </w:t>
      </w:r>
      <w:r>
        <w:rPr>
          <w:i/>
          <w:iCs/>
        </w:rPr>
        <w:t>Systemic harm in England’s housing crisis</w:t>
      </w:r>
      <w:r>
        <w:t>.</w:t>
      </w:r>
    </w:p>
    <w:p w14:paraId="424D0417" w14:textId="77777777" w:rsidR="009F2452" w:rsidRPr="00F900FE" w:rsidRDefault="009F2452" w:rsidP="00F900FE">
      <w:pPr>
        <w:spacing w:line="240" w:lineRule="auto"/>
        <w:jc w:val="both"/>
        <w:rPr>
          <w:sz w:val="24"/>
          <w:szCs w:val="24"/>
        </w:rPr>
      </w:pPr>
    </w:p>
    <w:sectPr w:rsidR="009F2452" w:rsidRPr="00F900FE" w:rsidSect="00FE58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Mangal">
    <w:panose1 w:val="02040503050203030202"/>
    <w:charset w:val="01"/>
    <w:family w:val="roman"/>
    <w:pitch w:val="variable"/>
    <w:sig w:usb0="0000A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A730E"/>
    <w:multiLevelType w:val="multilevel"/>
    <w:tmpl w:val="5E88E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8211AD"/>
    <w:multiLevelType w:val="multilevel"/>
    <w:tmpl w:val="7A047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81517A"/>
    <w:multiLevelType w:val="multilevel"/>
    <w:tmpl w:val="FAF2B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A41D1A"/>
    <w:multiLevelType w:val="multilevel"/>
    <w:tmpl w:val="46F24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A73F48"/>
    <w:multiLevelType w:val="multilevel"/>
    <w:tmpl w:val="DB88A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EA0FF3"/>
    <w:multiLevelType w:val="multilevel"/>
    <w:tmpl w:val="4322E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BD07FE"/>
    <w:multiLevelType w:val="multilevel"/>
    <w:tmpl w:val="8954D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2C5B93"/>
    <w:multiLevelType w:val="multilevel"/>
    <w:tmpl w:val="B5BCA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714C9D"/>
    <w:multiLevelType w:val="multilevel"/>
    <w:tmpl w:val="B9069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112D47"/>
    <w:multiLevelType w:val="multilevel"/>
    <w:tmpl w:val="8D208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F26ED5"/>
    <w:multiLevelType w:val="hybridMultilevel"/>
    <w:tmpl w:val="3FE49E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BB3F38"/>
    <w:multiLevelType w:val="multilevel"/>
    <w:tmpl w:val="2D487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CB340B"/>
    <w:multiLevelType w:val="multilevel"/>
    <w:tmpl w:val="A9A82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232F80"/>
    <w:multiLevelType w:val="multilevel"/>
    <w:tmpl w:val="DC206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F42348"/>
    <w:multiLevelType w:val="multilevel"/>
    <w:tmpl w:val="7ACEC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367DF1"/>
    <w:multiLevelType w:val="hybridMultilevel"/>
    <w:tmpl w:val="B06A70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9E57AD4"/>
    <w:multiLevelType w:val="multilevel"/>
    <w:tmpl w:val="CD7A5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A3025DF"/>
    <w:multiLevelType w:val="multilevel"/>
    <w:tmpl w:val="05248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E0620A"/>
    <w:multiLevelType w:val="multilevel"/>
    <w:tmpl w:val="B16E4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EC2626"/>
    <w:multiLevelType w:val="multilevel"/>
    <w:tmpl w:val="5212F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E46FD0"/>
    <w:multiLevelType w:val="multilevel"/>
    <w:tmpl w:val="8EA0F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EBC1468"/>
    <w:multiLevelType w:val="multilevel"/>
    <w:tmpl w:val="26B8A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DD4054"/>
    <w:multiLevelType w:val="multilevel"/>
    <w:tmpl w:val="241E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03596E"/>
    <w:multiLevelType w:val="multilevel"/>
    <w:tmpl w:val="53AE8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F46B74"/>
    <w:multiLevelType w:val="multilevel"/>
    <w:tmpl w:val="349CC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7A08E6"/>
    <w:multiLevelType w:val="multilevel"/>
    <w:tmpl w:val="026EB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4E27F2F"/>
    <w:multiLevelType w:val="multilevel"/>
    <w:tmpl w:val="1F544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61E4CE1"/>
    <w:multiLevelType w:val="hybridMultilevel"/>
    <w:tmpl w:val="2BBAC5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36701A99"/>
    <w:multiLevelType w:val="multilevel"/>
    <w:tmpl w:val="41A85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B9B658E"/>
    <w:multiLevelType w:val="multilevel"/>
    <w:tmpl w:val="8E469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E6E3952"/>
    <w:multiLevelType w:val="multilevel"/>
    <w:tmpl w:val="7E46B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00A0125"/>
    <w:multiLevelType w:val="multilevel"/>
    <w:tmpl w:val="224E5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48723B8"/>
    <w:multiLevelType w:val="multilevel"/>
    <w:tmpl w:val="1A6AB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66273B7"/>
    <w:multiLevelType w:val="hybridMultilevel"/>
    <w:tmpl w:val="10F276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95B6E70"/>
    <w:multiLevelType w:val="multilevel"/>
    <w:tmpl w:val="3FA4D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C2B4319"/>
    <w:multiLevelType w:val="multilevel"/>
    <w:tmpl w:val="B532D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1270ADC"/>
    <w:multiLevelType w:val="hybridMultilevel"/>
    <w:tmpl w:val="B2363C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1CF42C3"/>
    <w:multiLevelType w:val="multilevel"/>
    <w:tmpl w:val="EECEF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4562774"/>
    <w:multiLevelType w:val="multilevel"/>
    <w:tmpl w:val="9F4ED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7035B1C"/>
    <w:multiLevelType w:val="multilevel"/>
    <w:tmpl w:val="11928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7FF2971"/>
    <w:multiLevelType w:val="multilevel"/>
    <w:tmpl w:val="314CB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973698F"/>
    <w:multiLevelType w:val="multilevel"/>
    <w:tmpl w:val="6B947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AE25255"/>
    <w:multiLevelType w:val="multilevel"/>
    <w:tmpl w:val="903CB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B1B6AE0"/>
    <w:multiLevelType w:val="multilevel"/>
    <w:tmpl w:val="C6AC7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CAF6D28"/>
    <w:multiLevelType w:val="multilevel"/>
    <w:tmpl w:val="AFAA7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FBF76DC"/>
    <w:multiLevelType w:val="multilevel"/>
    <w:tmpl w:val="29A88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6313126"/>
    <w:multiLevelType w:val="multilevel"/>
    <w:tmpl w:val="6B947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13A0453"/>
    <w:multiLevelType w:val="multilevel"/>
    <w:tmpl w:val="099AD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3BA75CE"/>
    <w:multiLevelType w:val="multilevel"/>
    <w:tmpl w:val="4D9CD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3C92B95"/>
    <w:multiLevelType w:val="multilevel"/>
    <w:tmpl w:val="8022F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6957E47"/>
    <w:multiLevelType w:val="multilevel"/>
    <w:tmpl w:val="6B8C4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9725484"/>
    <w:multiLevelType w:val="multilevel"/>
    <w:tmpl w:val="17069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9D779AA"/>
    <w:multiLevelType w:val="multilevel"/>
    <w:tmpl w:val="8EB88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FD5595E"/>
    <w:multiLevelType w:val="multilevel"/>
    <w:tmpl w:val="43D24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4953531">
    <w:abstractNumId w:val="33"/>
  </w:num>
  <w:num w:numId="2" w16cid:durableId="288782081">
    <w:abstractNumId w:val="27"/>
  </w:num>
  <w:num w:numId="3" w16cid:durableId="1740714344">
    <w:abstractNumId w:val="10"/>
  </w:num>
  <w:num w:numId="4" w16cid:durableId="2003657306">
    <w:abstractNumId w:val="36"/>
  </w:num>
  <w:num w:numId="5" w16cid:durableId="1984699662">
    <w:abstractNumId w:val="28"/>
  </w:num>
  <w:num w:numId="6" w16cid:durableId="1078942160">
    <w:abstractNumId w:val="44"/>
  </w:num>
  <w:num w:numId="7" w16cid:durableId="2020540745">
    <w:abstractNumId w:val="29"/>
  </w:num>
  <w:num w:numId="8" w16cid:durableId="922254519">
    <w:abstractNumId w:val="1"/>
  </w:num>
  <w:num w:numId="9" w16cid:durableId="1831628001">
    <w:abstractNumId w:val="32"/>
  </w:num>
  <w:num w:numId="10" w16cid:durableId="1692225870">
    <w:abstractNumId w:val="24"/>
  </w:num>
  <w:num w:numId="11" w16cid:durableId="1142575860">
    <w:abstractNumId w:val="46"/>
  </w:num>
  <w:num w:numId="12" w16cid:durableId="1253316565">
    <w:abstractNumId w:val="18"/>
  </w:num>
  <w:num w:numId="13" w16cid:durableId="949124435">
    <w:abstractNumId w:val="2"/>
  </w:num>
  <w:num w:numId="14" w16cid:durableId="993484424">
    <w:abstractNumId w:val="19"/>
  </w:num>
  <w:num w:numId="15" w16cid:durableId="807359506">
    <w:abstractNumId w:val="34"/>
  </w:num>
  <w:num w:numId="16" w16cid:durableId="1234240816">
    <w:abstractNumId w:val="52"/>
  </w:num>
  <w:num w:numId="17" w16cid:durableId="297491437">
    <w:abstractNumId w:val="0"/>
  </w:num>
  <w:num w:numId="18" w16cid:durableId="500391157">
    <w:abstractNumId w:val="25"/>
  </w:num>
  <w:num w:numId="19" w16cid:durableId="1736273994">
    <w:abstractNumId w:val="50"/>
  </w:num>
  <w:num w:numId="20" w16cid:durableId="1904368991">
    <w:abstractNumId w:val="12"/>
  </w:num>
  <w:num w:numId="21" w16cid:durableId="543635785">
    <w:abstractNumId w:val="37"/>
  </w:num>
  <w:num w:numId="22" w16cid:durableId="1489982763">
    <w:abstractNumId w:val="49"/>
  </w:num>
  <w:num w:numId="23" w16cid:durableId="216741858">
    <w:abstractNumId w:val="11"/>
  </w:num>
  <w:num w:numId="24" w16cid:durableId="379091162">
    <w:abstractNumId w:val="16"/>
  </w:num>
  <w:num w:numId="25" w16cid:durableId="1067799959">
    <w:abstractNumId w:val="9"/>
  </w:num>
  <w:num w:numId="26" w16cid:durableId="1854877542">
    <w:abstractNumId w:val="30"/>
  </w:num>
  <w:num w:numId="27" w16cid:durableId="1604915710">
    <w:abstractNumId w:val="4"/>
  </w:num>
  <w:num w:numId="28" w16cid:durableId="772625095">
    <w:abstractNumId w:val="3"/>
  </w:num>
  <w:num w:numId="29" w16cid:durableId="1426851723">
    <w:abstractNumId w:val="45"/>
  </w:num>
  <w:num w:numId="30" w16cid:durableId="1210141878">
    <w:abstractNumId w:val="8"/>
  </w:num>
  <w:num w:numId="31" w16cid:durableId="995573279">
    <w:abstractNumId w:val="21"/>
  </w:num>
  <w:num w:numId="32" w16cid:durableId="1066420715">
    <w:abstractNumId w:val="43"/>
  </w:num>
  <w:num w:numId="33" w16cid:durableId="276913855">
    <w:abstractNumId w:val="51"/>
  </w:num>
  <w:num w:numId="34" w16cid:durableId="1798405220">
    <w:abstractNumId w:val="5"/>
  </w:num>
  <w:num w:numId="35" w16cid:durableId="1745830402">
    <w:abstractNumId w:val="35"/>
  </w:num>
  <w:num w:numId="36" w16cid:durableId="279336885">
    <w:abstractNumId w:val="40"/>
  </w:num>
  <w:num w:numId="37" w16cid:durableId="1669792225">
    <w:abstractNumId w:val="53"/>
  </w:num>
  <w:num w:numId="38" w16cid:durableId="1368986960">
    <w:abstractNumId w:val="38"/>
  </w:num>
  <w:num w:numId="39" w16cid:durableId="1897810167">
    <w:abstractNumId w:val="42"/>
  </w:num>
  <w:num w:numId="40" w16cid:durableId="1868640153">
    <w:abstractNumId w:val="48"/>
  </w:num>
  <w:num w:numId="41" w16cid:durableId="1701661501">
    <w:abstractNumId w:val="31"/>
  </w:num>
  <w:num w:numId="42" w16cid:durableId="944120447">
    <w:abstractNumId w:val="22"/>
  </w:num>
  <w:num w:numId="43" w16cid:durableId="1120880168">
    <w:abstractNumId w:val="20"/>
  </w:num>
  <w:num w:numId="44" w16cid:durableId="2038506074">
    <w:abstractNumId w:val="26"/>
  </w:num>
  <w:num w:numId="45" w16cid:durableId="703864596">
    <w:abstractNumId w:val="6"/>
  </w:num>
  <w:num w:numId="46" w16cid:durableId="1594363240">
    <w:abstractNumId w:val="47"/>
  </w:num>
  <w:num w:numId="47" w16cid:durableId="737900175">
    <w:abstractNumId w:val="13"/>
  </w:num>
  <w:num w:numId="48" w16cid:durableId="955060196">
    <w:abstractNumId w:val="7"/>
  </w:num>
  <w:num w:numId="49" w16cid:durableId="476411395">
    <w:abstractNumId w:val="39"/>
  </w:num>
  <w:num w:numId="50" w16cid:durableId="991519694">
    <w:abstractNumId w:val="23"/>
  </w:num>
  <w:num w:numId="51" w16cid:durableId="1681739908">
    <w:abstractNumId w:val="14"/>
  </w:num>
  <w:num w:numId="52" w16cid:durableId="1112748124">
    <w:abstractNumId w:val="17"/>
  </w:num>
  <w:num w:numId="53" w16cid:durableId="733311542">
    <w:abstractNumId w:val="41"/>
  </w:num>
  <w:num w:numId="54" w16cid:durableId="96419055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F52"/>
    <w:rsid w:val="00067E35"/>
    <w:rsid w:val="00087854"/>
    <w:rsid w:val="000B139F"/>
    <w:rsid w:val="000B69EC"/>
    <w:rsid w:val="000E599F"/>
    <w:rsid w:val="000E7BA6"/>
    <w:rsid w:val="001220E4"/>
    <w:rsid w:val="001835D2"/>
    <w:rsid w:val="001949A4"/>
    <w:rsid w:val="001B076C"/>
    <w:rsid w:val="001C4D47"/>
    <w:rsid w:val="001E4F93"/>
    <w:rsid w:val="002032C4"/>
    <w:rsid w:val="002663C0"/>
    <w:rsid w:val="002839EF"/>
    <w:rsid w:val="003276CA"/>
    <w:rsid w:val="00361936"/>
    <w:rsid w:val="00365DE4"/>
    <w:rsid w:val="00370EB4"/>
    <w:rsid w:val="00373E72"/>
    <w:rsid w:val="003771C5"/>
    <w:rsid w:val="00395378"/>
    <w:rsid w:val="00397BAD"/>
    <w:rsid w:val="003B5486"/>
    <w:rsid w:val="003F078F"/>
    <w:rsid w:val="003F6064"/>
    <w:rsid w:val="004237C7"/>
    <w:rsid w:val="004978F4"/>
    <w:rsid w:val="004A5C58"/>
    <w:rsid w:val="004F7404"/>
    <w:rsid w:val="005862E8"/>
    <w:rsid w:val="005A0635"/>
    <w:rsid w:val="005F613A"/>
    <w:rsid w:val="00625A78"/>
    <w:rsid w:val="006C0139"/>
    <w:rsid w:val="00701214"/>
    <w:rsid w:val="00704B2D"/>
    <w:rsid w:val="00721703"/>
    <w:rsid w:val="007305BA"/>
    <w:rsid w:val="0074126F"/>
    <w:rsid w:val="00741A76"/>
    <w:rsid w:val="007465A4"/>
    <w:rsid w:val="0079399E"/>
    <w:rsid w:val="007A3374"/>
    <w:rsid w:val="007F1BE3"/>
    <w:rsid w:val="008037A5"/>
    <w:rsid w:val="008331F9"/>
    <w:rsid w:val="0084710D"/>
    <w:rsid w:val="00885E83"/>
    <w:rsid w:val="00891FA4"/>
    <w:rsid w:val="008F138A"/>
    <w:rsid w:val="00977EE7"/>
    <w:rsid w:val="009F2452"/>
    <w:rsid w:val="00A03035"/>
    <w:rsid w:val="00A1268B"/>
    <w:rsid w:val="00A63909"/>
    <w:rsid w:val="00AB2F52"/>
    <w:rsid w:val="00AE54C1"/>
    <w:rsid w:val="00B12CC2"/>
    <w:rsid w:val="00B14114"/>
    <w:rsid w:val="00B2056E"/>
    <w:rsid w:val="00BA4193"/>
    <w:rsid w:val="00C04E01"/>
    <w:rsid w:val="00C744CA"/>
    <w:rsid w:val="00C84C36"/>
    <w:rsid w:val="00CD6300"/>
    <w:rsid w:val="00D0532F"/>
    <w:rsid w:val="00D10B57"/>
    <w:rsid w:val="00D412AF"/>
    <w:rsid w:val="00D5335F"/>
    <w:rsid w:val="00E17371"/>
    <w:rsid w:val="00E34895"/>
    <w:rsid w:val="00E702DF"/>
    <w:rsid w:val="00EC531C"/>
    <w:rsid w:val="00ED5B2C"/>
    <w:rsid w:val="00ED605E"/>
    <w:rsid w:val="00EF0893"/>
    <w:rsid w:val="00F04AF6"/>
    <w:rsid w:val="00F066F8"/>
    <w:rsid w:val="00F41D53"/>
    <w:rsid w:val="00F446BC"/>
    <w:rsid w:val="00F75674"/>
    <w:rsid w:val="00F900FE"/>
    <w:rsid w:val="00FA17A4"/>
    <w:rsid w:val="00FA25FA"/>
    <w:rsid w:val="00FB53F9"/>
    <w:rsid w:val="00FC3BFF"/>
    <w:rsid w:val="00FE48B3"/>
    <w:rsid w:val="00FE58C9"/>
  </w:rsids>
  <m:mathPr>
    <m:mathFont m:val="Cambria Math"/>
    <m:brkBin m:val="before"/>
    <m:brkBinSub m:val="--"/>
    <m:smallFrac m:val="0"/>
    <m:dispDef/>
    <m:lMargin m:val="0"/>
    <m:rMargin m:val="0"/>
    <m:defJc m:val="centerGroup"/>
    <m:wrapIndent m:val="1440"/>
    <m:intLim m:val="subSup"/>
    <m:naryLim m:val="undOvr"/>
  </m:mathPr>
  <w:themeFontLang w:val="en-IN" w:bidi="mr-IN"/>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2F51648A"/>
  <w15:chartTrackingRefBased/>
  <w15:docId w15:val="{F3E849F5-5F2F-7B41-A15A-5CE1D34E2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IN" w:eastAsia="en-US" w:bidi="mr-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2F52"/>
    <w:pPr>
      <w:spacing w:line="259" w:lineRule="auto"/>
    </w:pPr>
    <w:rPr>
      <w:kern w:val="0"/>
      <w:sz w:val="22"/>
      <w:szCs w:val="22"/>
      <w:lang w:val="en-GB" w:bidi="ar-SA"/>
      <w14:ligatures w14:val="none"/>
    </w:rPr>
  </w:style>
  <w:style w:type="paragraph" w:styleId="Heading1">
    <w:name w:val="heading 1"/>
    <w:basedOn w:val="Normal"/>
    <w:next w:val="Normal"/>
    <w:link w:val="Heading1Char"/>
    <w:uiPriority w:val="9"/>
    <w:qFormat/>
    <w:rsid w:val="00AB2F52"/>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AB2F52"/>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AB2F52"/>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AB2F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2F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2F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2F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2F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2F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2F52"/>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AB2F52"/>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AB2F52"/>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AB2F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2F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2F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2F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2F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2F52"/>
    <w:rPr>
      <w:rFonts w:eastAsiaTheme="majorEastAsia" w:cstheme="majorBidi"/>
      <w:color w:val="272727" w:themeColor="text1" w:themeTint="D8"/>
    </w:rPr>
  </w:style>
  <w:style w:type="paragraph" w:styleId="Title">
    <w:name w:val="Title"/>
    <w:basedOn w:val="Normal"/>
    <w:next w:val="Normal"/>
    <w:link w:val="TitleChar"/>
    <w:uiPriority w:val="10"/>
    <w:qFormat/>
    <w:rsid w:val="00AB2F52"/>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AB2F52"/>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AB2F52"/>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AB2F52"/>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AB2F52"/>
    <w:pPr>
      <w:spacing w:before="160"/>
      <w:jc w:val="center"/>
    </w:pPr>
    <w:rPr>
      <w:i/>
      <w:iCs/>
      <w:color w:val="404040" w:themeColor="text1" w:themeTint="BF"/>
    </w:rPr>
  </w:style>
  <w:style w:type="character" w:customStyle="1" w:styleId="QuoteChar">
    <w:name w:val="Quote Char"/>
    <w:basedOn w:val="DefaultParagraphFont"/>
    <w:link w:val="Quote"/>
    <w:uiPriority w:val="29"/>
    <w:rsid w:val="00AB2F52"/>
    <w:rPr>
      <w:rFonts w:cs="Mangal"/>
      <w:i/>
      <w:iCs/>
      <w:color w:val="404040" w:themeColor="text1" w:themeTint="BF"/>
    </w:rPr>
  </w:style>
  <w:style w:type="paragraph" w:styleId="ListParagraph">
    <w:name w:val="List Paragraph"/>
    <w:basedOn w:val="Normal"/>
    <w:uiPriority w:val="34"/>
    <w:qFormat/>
    <w:rsid w:val="00AB2F52"/>
    <w:pPr>
      <w:ind w:left="720"/>
      <w:contextualSpacing/>
    </w:pPr>
  </w:style>
  <w:style w:type="character" w:styleId="IntenseEmphasis">
    <w:name w:val="Intense Emphasis"/>
    <w:basedOn w:val="DefaultParagraphFont"/>
    <w:uiPriority w:val="21"/>
    <w:qFormat/>
    <w:rsid w:val="00AB2F52"/>
    <w:rPr>
      <w:i/>
      <w:iCs/>
      <w:color w:val="0F4761" w:themeColor="accent1" w:themeShade="BF"/>
    </w:rPr>
  </w:style>
  <w:style w:type="paragraph" w:styleId="IntenseQuote">
    <w:name w:val="Intense Quote"/>
    <w:basedOn w:val="Normal"/>
    <w:next w:val="Normal"/>
    <w:link w:val="IntenseQuoteChar"/>
    <w:uiPriority w:val="30"/>
    <w:qFormat/>
    <w:rsid w:val="00AB2F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2F52"/>
    <w:rPr>
      <w:rFonts w:cs="Mangal"/>
      <w:i/>
      <w:iCs/>
      <w:color w:val="0F4761" w:themeColor="accent1" w:themeShade="BF"/>
    </w:rPr>
  </w:style>
  <w:style w:type="character" w:styleId="IntenseReference">
    <w:name w:val="Intense Reference"/>
    <w:basedOn w:val="DefaultParagraphFont"/>
    <w:uiPriority w:val="32"/>
    <w:qFormat/>
    <w:rsid w:val="00AB2F52"/>
    <w:rPr>
      <w:b/>
      <w:bCs/>
      <w:smallCaps/>
      <w:color w:val="0F4761" w:themeColor="accent1" w:themeShade="BF"/>
      <w:spacing w:val="5"/>
    </w:rPr>
  </w:style>
  <w:style w:type="paragraph" w:styleId="NoSpacing">
    <w:name w:val="No Spacing"/>
    <w:uiPriority w:val="1"/>
    <w:qFormat/>
    <w:rsid w:val="00A63909"/>
    <w:pPr>
      <w:spacing w:after="0" w:line="240" w:lineRule="auto"/>
    </w:pPr>
    <w:rPr>
      <w:kern w:val="0"/>
      <w:sz w:val="22"/>
      <w:szCs w:val="22"/>
      <w:lang w:val="en-GB" w:bidi="ar-SA"/>
      <w14:ligatures w14:val="none"/>
    </w:rPr>
  </w:style>
  <w:style w:type="paragraph" w:styleId="TOCHeading">
    <w:name w:val="TOC Heading"/>
    <w:basedOn w:val="Heading1"/>
    <w:next w:val="Normal"/>
    <w:uiPriority w:val="39"/>
    <w:unhideWhenUsed/>
    <w:qFormat/>
    <w:rsid w:val="001E4F93"/>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1E4F93"/>
    <w:pPr>
      <w:spacing w:before="360" w:after="360"/>
    </w:pPr>
    <w:rPr>
      <w:rFonts w:cs="Times New Roman"/>
      <w:b/>
      <w:bCs/>
      <w:caps/>
      <w:szCs w:val="26"/>
      <w:u w:val="single"/>
    </w:rPr>
  </w:style>
  <w:style w:type="paragraph" w:styleId="TOC2">
    <w:name w:val="toc 2"/>
    <w:basedOn w:val="Normal"/>
    <w:next w:val="Normal"/>
    <w:autoRedefine/>
    <w:uiPriority w:val="39"/>
    <w:unhideWhenUsed/>
    <w:rsid w:val="001E4F93"/>
    <w:pPr>
      <w:spacing w:after="0"/>
    </w:pPr>
    <w:rPr>
      <w:rFonts w:cs="Times New Roman"/>
      <w:b/>
      <w:bCs/>
      <w:smallCaps/>
      <w:szCs w:val="26"/>
    </w:rPr>
  </w:style>
  <w:style w:type="paragraph" w:styleId="TOC3">
    <w:name w:val="toc 3"/>
    <w:basedOn w:val="Normal"/>
    <w:next w:val="Normal"/>
    <w:autoRedefine/>
    <w:uiPriority w:val="39"/>
    <w:unhideWhenUsed/>
    <w:rsid w:val="001E4F93"/>
    <w:pPr>
      <w:spacing w:after="0"/>
    </w:pPr>
    <w:rPr>
      <w:rFonts w:cs="Times New Roman"/>
      <w:smallCaps/>
      <w:szCs w:val="26"/>
    </w:rPr>
  </w:style>
  <w:style w:type="paragraph" w:styleId="TOC4">
    <w:name w:val="toc 4"/>
    <w:basedOn w:val="Normal"/>
    <w:next w:val="Normal"/>
    <w:autoRedefine/>
    <w:uiPriority w:val="39"/>
    <w:semiHidden/>
    <w:unhideWhenUsed/>
    <w:rsid w:val="001E4F93"/>
    <w:pPr>
      <w:spacing w:after="0"/>
    </w:pPr>
    <w:rPr>
      <w:rFonts w:cs="Times New Roman"/>
      <w:szCs w:val="26"/>
    </w:rPr>
  </w:style>
  <w:style w:type="paragraph" w:styleId="TOC5">
    <w:name w:val="toc 5"/>
    <w:basedOn w:val="Normal"/>
    <w:next w:val="Normal"/>
    <w:autoRedefine/>
    <w:uiPriority w:val="39"/>
    <w:semiHidden/>
    <w:unhideWhenUsed/>
    <w:rsid w:val="001E4F93"/>
    <w:pPr>
      <w:spacing w:after="0"/>
    </w:pPr>
    <w:rPr>
      <w:rFonts w:cs="Times New Roman"/>
      <w:szCs w:val="26"/>
    </w:rPr>
  </w:style>
  <w:style w:type="paragraph" w:styleId="TOC6">
    <w:name w:val="toc 6"/>
    <w:basedOn w:val="Normal"/>
    <w:next w:val="Normal"/>
    <w:autoRedefine/>
    <w:uiPriority w:val="39"/>
    <w:semiHidden/>
    <w:unhideWhenUsed/>
    <w:rsid w:val="001E4F93"/>
    <w:pPr>
      <w:spacing w:after="0"/>
    </w:pPr>
    <w:rPr>
      <w:rFonts w:cs="Times New Roman"/>
      <w:szCs w:val="26"/>
    </w:rPr>
  </w:style>
  <w:style w:type="paragraph" w:styleId="TOC7">
    <w:name w:val="toc 7"/>
    <w:basedOn w:val="Normal"/>
    <w:next w:val="Normal"/>
    <w:autoRedefine/>
    <w:uiPriority w:val="39"/>
    <w:semiHidden/>
    <w:unhideWhenUsed/>
    <w:rsid w:val="001E4F93"/>
    <w:pPr>
      <w:spacing w:after="0"/>
    </w:pPr>
    <w:rPr>
      <w:rFonts w:cs="Times New Roman"/>
      <w:szCs w:val="26"/>
    </w:rPr>
  </w:style>
  <w:style w:type="paragraph" w:styleId="TOC8">
    <w:name w:val="toc 8"/>
    <w:basedOn w:val="Normal"/>
    <w:next w:val="Normal"/>
    <w:autoRedefine/>
    <w:uiPriority w:val="39"/>
    <w:semiHidden/>
    <w:unhideWhenUsed/>
    <w:rsid w:val="001E4F93"/>
    <w:pPr>
      <w:spacing w:after="0"/>
    </w:pPr>
    <w:rPr>
      <w:rFonts w:cs="Times New Roman"/>
      <w:szCs w:val="26"/>
    </w:rPr>
  </w:style>
  <w:style w:type="paragraph" w:styleId="TOC9">
    <w:name w:val="toc 9"/>
    <w:basedOn w:val="Normal"/>
    <w:next w:val="Normal"/>
    <w:autoRedefine/>
    <w:uiPriority w:val="39"/>
    <w:semiHidden/>
    <w:unhideWhenUsed/>
    <w:rsid w:val="001E4F93"/>
    <w:pPr>
      <w:spacing w:after="0"/>
    </w:pPr>
    <w:rPr>
      <w:rFonts w:cs="Times New Roman"/>
      <w:szCs w:val="26"/>
    </w:rPr>
  </w:style>
  <w:style w:type="character" w:customStyle="1" w:styleId="apple-converted-space">
    <w:name w:val="apple-converted-space"/>
    <w:basedOn w:val="DefaultParagraphFont"/>
    <w:rsid w:val="00F446BC"/>
  </w:style>
  <w:style w:type="character" w:customStyle="1" w:styleId="citation-145">
    <w:name w:val="citation-145"/>
    <w:basedOn w:val="DefaultParagraphFont"/>
    <w:rsid w:val="00F446BC"/>
  </w:style>
  <w:style w:type="paragraph" w:styleId="NormalWeb">
    <w:name w:val="Normal (Web)"/>
    <w:basedOn w:val="Normal"/>
    <w:uiPriority w:val="99"/>
    <w:unhideWhenUsed/>
    <w:rsid w:val="0079399E"/>
    <w:pPr>
      <w:spacing w:before="100" w:beforeAutospacing="1" w:after="100" w:afterAutospacing="1" w:line="240" w:lineRule="auto"/>
    </w:pPr>
    <w:rPr>
      <w:rFonts w:ascii="Times New Roman" w:eastAsia="Times New Roman" w:hAnsi="Times New Roman" w:cs="Times New Roman"/>
      <w:sz w:val="24"/>
      <w:szCs w:val="24"/>
      <w:lang w:val="en-IN" w:eastAsia="en-GB" w:bidi="mr-IN"/>
    </w:rPr>
  </w:style>
  <w:style w:type="character" w:customStyle="1" w:styleId="citation-144">
    <w:name w:val="citation-144"/>
    <w:basedOn w:val="DefaultParagraphFont"/>
    <w:rsid w:val="00704B2D"/>
  </w:style>
  <w:style w:type="character" w:customStyle="1" w:styleId="citation-143">
    <w:name w:val="citation-143"/>
    <w:basedOn w:val="DefaultParagraphFont"/>
    <w:rsid w:val="00704B2D"/>
  </w:style>
  <w:style w:type="character" w:styleId="LineNumber">
    <w:name w:val="line number"/>
    <w:basedOn w:val="DefaultParagraphFont"/>
    <w:uiPriority w:val="99"/>
    <w:semiHidden/>
    <w:unhideWhenUsed/>
    <w:rsid w:val="007465A4"/>
  </w:style>
  <w:style w:type="character" w:styleId="Hyperlink">
    <w:name w:val="Hyperlink"/>
    <w:basedOn w:val="DefaultParagraphFont"/>
    <w:uiPriority w:val="99"/>
    <w:unhideWhenUsed/>
    <w:rsid w:val="004237C7"/>
    <w:rPr>
      <w:color w:val="467886" w:themeColor="hyperlink"/>
      <w:u w:val="single"/>
    </w:rPr>
  </w:style>
  <w:style w:type="character" w:styleId="UnresolvedMention">
    <w:name w:val="Unresolved Mention"/>
    <w:basedOn w:val="DefaultParagraphFont"/>
    <w:uiPriority w:val="99"/>
    <w:semiHidden/>
    <w:unhideWhenUsed/>
    <w:rsid w:val="00F900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yph.org.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ayph.org.uk/"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ayph.org.uk/" TargetMode="External"/><Relationship Id="rId5" Type="http://schemas.openxmlformats.org/officeDocument/2006/relationships/webSettings" Target="webSettings.xml"/><Relationship Id="rId10" Type="http://schemas.openxmlformats.org/officeDocument/2006/relationships/hyperlink" Target="https://www.google.com/search?q=https://doi.org/10.1111/add.16624" TargetMode="External"/><Relationship Id="rId4" Type="http://schemas.openxmlformats.org/officeDocument/2006/relationships/settings" Target="settings.xml"/><Relationship Id="rId9" Type="http://schemas.openxmlformats.org/officeDocument/2006/relationships/hyperlink" Target="https://cypmhc.org.uk/resources/facts-and-fig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A774E1-9F22-1942-B79E-F36BCE95B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12</Pages>
  <Words>3425</Words>
  <Characters>21681</Characters>
  <Application>Microsoft Office Word</Application>
  <DocSecurity>0</DocSecurity>
  <Lines>542</Lines>
  <Paragraphs>210</Paragraphs>
  <ScaleCrop>false</ScaleCrop>
  <Company/>
  <LinksUpToDate>false</LinksUpToDate>
  <CharactersWithSpaces>24896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Fuaansha Dadabhai Pimpale (2530082)</dc:creator>
  <cp:keywords/>
  <dc:description/>
  <cp:lastModifiedBy>Fuaansha Dadabhai Pimpale (2530082)</cp:lastModifiedBy>
  <cp:revision>87</cp:revision>
  <dcterms:created xsi:type="dcterms:W3CDTF">2026-04-28T01:15:00Z</dcterms:created>
  <dcterms:modified xsi:type="dcterms:W3CDTF">2026-04-30T23:41:00Z</dcterms:modified>
</cp:coreProperties>
</file>