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969D0"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 Introduction</w:t>
      </w:r>
    </w:p>
    <w:p w14:paraId="3C7D344B"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As the final work of martial arts master Jin Yong, "The Deer and the Cauldron" began to be published in Hong Kong's "Ming Newspaper" on October 24, 1969, and was serialized for a total of 2 years and 11 months, in which the protagonist in this novel is different from the protagonists of Jin Yong's previous works.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the protagonist, is a greedy, lustful, unscrupulous, and lazy anti-hero who does not have superb martial arts but is full of tricks. John Minford, as the English translator to this novel, has translated many Chinese masterpieces such as "A Dream of Red Mansions" (the last forty chapters) and "The Art of War" into English. However, compared with the little attention received by most English translations of these translation arts, "The Deer and the Cauldron" has received a good response from both Chinese and Western readers as soon as the translation version was released. Jin Yong, the author of this novel, also displayed satisfaction with this translation.</w:t>
      </w:r>
    </w:p>
    <w:p w14:paraId="2A4BF218"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E935C2F" w14:textId="7F8BA874"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this article, I will select "The Deer and the Cauldron" to comment on its translation. I will firstly discuss the reasons of selecting this translation from three </w:t>
      </w:r>
      <w:r>
        <w:rPr>
          <w:rFonts w:ascii="Times New Roman Regular" w:hAnsi="Times New Roman Regular" w:cs="Times New Roman Regular"/>
          <w:sz w:val="24"/>
          <w:szCs w:val="24"/>
        </w:rPr>
        <w:lastRenderedPageBreak/>
        <w:t xml:space="preserve">perspectives, namely form and content, cultural capital and poetics. Then I will analyze the strategies applied by translator, John Minford, and how he </w:t>
      </w:r>
      <w:r w:rsidR="00DA018B">
        <w:rPr>
          <w:rFonts w:ascii="Times New Roman Regular" w:hAnsi="Times New Roman Regular" w:cs="Times New Roman Regular"/>
          <w:sz w:val="24"/>
          <w:szCs w:val="24"/>
        </w:rPr>
        <w:t>affects</w:t>
      </w:r>
      <w:r>
        <w:rPr>
          <w:rFonts w:ascii="Times New Roman Regular" w:hAnsi="Times New Roman Regular" w:cs="Times New Roman Regular"/>
          <w:sz w:val="24"/>
          <w:szCs w:val="24"/>
        </w:rPr>
        <w:t xml:space="preserve"> the final text. Also, I will illustrate some problems as well as the strengthens in the translation. In the final section, I will briefly point out my own interests to this translation work.</w:t>
      </w:r>
    </w:p>
    <w:p w14:paraId="36444C4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752EBAB2"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 Form and Content of The Translation.</w:t>
      </w:r>
    </w:p>
    <w:p w14:paraId="1CBD3162"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Wuxia, also being referred as Chinese martial arts, is a traditional genre in Chinese novel. One of the common feature in Chinese martial art is the protagonist who adheres to a certain standard of his own values, which we always call them ‘Xia’ (</w:t>
      </w:r>
      <w:r>
        <w:rPr>
          <w:rFonts w:ascii="宋体" w:hAnsi="宋体" w:cs="Times New Roman Regular"/>
          <w:sz w:val="24"/>
          <w:szCs w:val="24"/>
        </w:rPr>
        <w:t>侠</w:t>
      </w:r>
      <w:r>
        <w:rPr>
          <w:rFonts w:ascii="Times New Roman Regular" w:hAnsi="Times New Roman Regular" w:cs="Times New Roman Regular"/>
          <w:sz w:val="24"/>
          <w:szCs w:val="24"/>
        </w:rPr>
        <w:t>), which is also depicted as hero in Chinese cultural contexts. In the world of martial arts, people in the martial arts world have common values based on traditional Chinese culture and ethics. For example, we must eliminate violence in society and promote good and positive behavior, and we must be loyal. Many readers, according to Yu-</w:t>
      </w:r>
      <w:proofErr w:type="spellStart"/>
      <w:proofErr w:type="gramStart"/>
      <w:r>
        <w:rPr>
          <w:rFonts w:ascii="Times New Roman Regular" w:hAnsi="Times New Roman Regular" w:cs="Times New Roman Regular"/>
          <w:sz w:val="24"/>
          <w:szCs w:val="24"/>
        </w:rPr>
        <w:t>guang</w:t>
      </w:r>
      <w:proofErr w:type="spellEnd"/>
      <w:r>
        <w:rPr>
          <w:rFonts w:ascii="Times New Roman Regular" w:hAnsi="Times New Roman Regular" w:cs="Times New Roman Regular"/>
          <w:sz w:val="24"/>
          <w:szCs w:val="24"/>
        </w:rPr>
        <w:t>(</w:t>
      </w:r>
      <w:proofErr w:type="gramEnd"/>
      <w:r>
        <w:rPr>
          <w:rFonts w:ascii="Times New Roman Regular" w:hAnsi="Times New Roman Regular" w:cs="Times New Roman Regular"/>
          <w:sz w:val="24"/>
          <w:szCs w:val="24"/>
        </w:rPr>
        <w:t xml:space="preserve">2010), after reading the Chinese martial novels, have experienced a </w:t>
      </w:r>
      <w:proofErr w:type="spellStart"/>
      <w:r>
        <w:rPr>
          <w:rFonts w:ascii="Times New Roman Regular" w:hAnsi="Times New Roman Regular" w:cs="Times New Roman Regular"/>
          <w:sz w:val="24"/>
          <w:szCs w:val="24"/>
        </w:rPr>
        <w:t>deja</w:t>
      </w:r>
      <w:proofErr w:type="spellEnd"/>
      <w:r>
        <w:rPr>
          <w:rFonts w:ascii="Times New Roman Regular" w:hAnsi="Times New Roman Regular" w:cs="Times New Roman Regular"/>
          <w:sz w:val="24"/>
          <w:szCs w:val="24"/>
        </w:rPr>
        <w:t xml:space="preserve">` vu-like reminder, to some western heroic literature, and the content of heroic Chinese martial arts is similar to the genre of Western chivalric stories and heroic fantasies </w:t>
      </w:r>
      <w:r>
        <w:rPr>
          <w:rFonts w:ascii="Times New Roman Regular" w:hAnsi="Times New Roman Regular" w:cs="Times New Roman Regular"/>
          <w:sz w:val="24"/>
          <w:szCs w:val="24"/>
        </w:rPr>
        <w:lastRenderedPageBreak/>
        <w:t xml:space="preserve">(Xu, 2006), which as Honegger, (2010) said, is two sub-categories of heroic literature originating from medieval background in western nations. Firstly, when it comes to the plot development, the character, usually as hero in Chinese martial arts and chivalry in Western literature, has driven the plots further, and both feature complicated and dynamic figures who have developed and changed over the course of the storyline. For example, In the wuxia novel "The Deer and the Cauldron”, the protagonist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undergoes many important personal </w:t>
      </w:r>
      <w:proofErr w:type="gramStart"/>
      <w:r>
        <w:rPr>
          <w:rFonts w:ascii="Times New Roman Regular" w:hAnsi="Times New Roman Regular" w:cs="Times New Roman Regular"/>
          <w:sz w:val="24"/>
          <w:szCs w:val="24"/>
        </w:rPr>
        <w:t>growth</w:t>
      </w:r>
      <w:proofErr w:type="gramEnd"/>
      <w:r>
        <w:rPr>
          <w:rFonts w:ascii="Times New Roman Regular" w:hAnsi="Times New Roman Regular" w:cs="Times New Roman Regular"/>
          <w:sz w:val="24"/>
          <w:szCs w:val="24"/>
        </w:rPr>
        <w:t xml:space="preserve"> as he learns to deal with many forces and encountering strange dangers many times with the political and social forces around him. In Western literature, a similar instance could be illustrated by the novel "To Kill a Mockingbird" by Harper Lee, where the protagonist Scout learns valuable lessons about empathy, justice, and understanding as story goes by. Secondly, both Chinese martial novels and Western literature often present social and political issues at that time, including class inequality, power abuse, and identity struggling. In “The Deer and the Cauldron”,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struggles with questions of identity and loyalty in a world with complicated political intrigue and violence. Likewise, the Western story "The Catcher in the Rye" by J.D. Salinger (1991) presents </w:t>
      </w:r>
      <w:r>
        <w:rPr>
          <w:rFonts w:ascii="Times New Roman Regular" w:hAnsi="Times New Roman Regular" w:cs="Times New Roman Regular"/>
          <w:sz w:val="24"/>
          <w:szCs w:val="24"/>
        </w:rPr>
        <w:lastRenderedPageBreak/>
        <w:t>the themes of alienation, identity, and adolescence in a complex and changing society. Also, the application of description language in “The Deer and the Cauldron” and other English chivalry stories are always featured with detailed and rich descriptions in a bid to evoke readers’ feeling to deep relate with the characters. Narration could also be summarized with one similar feature------ various narrative structures such as flashbacks, multiple points of views, non-linear narration in a bid to build a complex, multi-layered, and captivating stories (Yu-</w:t>
      </w:r>
      <w:proofErr w:type="spellStart"/>
      <w:r>
        <w:rPr>
          <w:rFonts w:ascii="Times New Roman Regular" w:hAnsi="Times New Roman Regular" w:cs="Times New Roman Regular"/>
          <w:sz w:val="24"/>
          <w:szCs w:val="24"/>
        </w:rPr>
        <w:t>guang</w:t>
      </w:r>
      <w:proofErr w:type="spellEnd"/>
      <w:r>
        <w:rPr>
          <w:rFonts w:ascii="Times New Roman Regular" w:hAnsi="Times New Roman Regular" w:cs="Times New Roman Regular"/>
          <w:sz w:val="24"/>
          <w:szCs w:val="24"/>
        </w:rPr>
        <w:t xml:space="preserve">, 2010). Specifically, the selected Chinese martial art "The Deer and the Cauldron" has applying massive non-linear arrangement, which we could also discover in "Dracula" by Bram Stoker. </w:t>
      </w:r>
    </w:p>
    <w:p w14:paraId="211C33AD"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51F73ABB"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However, there are also many differences. For example, "The Deer and the Cauldron" apply the first-person narrative style, with the main character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telling his own story, which is a common narrative style in Chinese martial arts, but this is less common in western chivalry stories (Ma, 2016). Besides, in "The Deer and the Cauldron" has largely emphasized on the complicated relationships with each other, from complicated family relationships and dynamics, complex alliances, </w:t>
      </w:r>
      <w:r>
        <w:rPr>
          <w:rFonts w:ascii="Times New Roman Regular" w:hAnsi="Times New Roman Regular" w:cs="Times New Roman Regular"/>
          <w:sz w:val="24"/>
          <w:szCs w:val="24"/>
        </w:rPr>
        <w:lastRenderedPageBreak/>
        <w:t xml:space="preserve">whereas western literature mainly pay attention to the personal character’s development and focus less on the family impact and other social relationships. Supernatural and spiritual content is another important difference. "The Deer and the Cauldron" involves many supernatural contents including qigong, exorcisms, and divination, just like other Chinese martial arts </w:t>
      </w:r>
      <w:proofErr w:type="gramStart"/>
      <w:r>
        <w:rPr>
          <w:rFonts w:ascii="Times New Roman Regular" w:hAnsi="Times New Roman Regular" w:cs="Times New Roman Regular"/>
          <w:sz w:val="24"/>
          <w:szCs w:val="24"/>
        </w:rPr>
        <w:t>novel(</w:t>
      </w:r>
      <w:proofErr w:type="gramEnd"/>
      <w:r>
        <w:rPr>
          <w:rFonts w:ascii="Times New Roman Regular" w:hAnsi="Times New Roman Regular" w:cs="Times New Roman Regular"/>
          <w:sz w:val="24"/>
          <w:szCs w:val="24"/>
        </w:rPr>
        <w:t xml:space="preserve">Ma, 2016). Though other English novels have similar elements include magic, Chinese wuxia novels have less </w:t>
      </w:r>
      <w:proofErr w:type="gramStart"/>
      <w:r>
        <w:rPr>
          <w:rFonts w:ascii="Times New Roman Regular" w:hAnsi="Times New Roman Regular" w:cs="Times New Roman Regular"/>
          <w:sz w:val="24"/>
          <w:szCs w:val="24"/>
        </w:rPr>
        <w:t>standing</w:t>
      </w:r>
      <w:proofErr w:type="gramEnd"/>
      <w:r>
        <w:rPr>
          <w:rFonts w:ascii="Times New Roman Regular" w:hAnsi="Times New Roman Regular" w:cs="Times New Roman Regular"/>
          <w:sz w:val="24"/>
          <w:szCs w:val="24"/>
        </w:rPr>
        <w:t xml:space="preserve"> around and just casting spells and moves around often. For example, in this novel, we have seen the appearance of ‘pills’ instead of ‘</w:t>
      </w:r>
      <w:proofErr w:type="gramStart"/>
      <w:r>
        <w:rPr>
          <w:rFonts w:ascii="Times New Roman Regular" w:hAnsi="Times New Roman Regular" w:cs="Times New Roman Regular"/>
          <w:sz w:val="24"/>
          <w:szCs w:val="24"/>
        </w:rPr>
        <w:t>potions’</w:t>
      </w:r>
      <w:proofErr w:type="gramEnd"/>
      <w:r>
        <w:rPr>
          <w:rFonts w:ascii="Times New Roman Regular" w:hAnsi="Times New Roman Regular" w:cs="Times New Roman Regular"/>
          <w:sz w:val="24"/>
          <w:szCs w:val="24"/>
        </w:rPr>
        <w:t>.</w:t>
      </w:r>
    </w:p>
    <w:p w14:paraId="1494EB5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014D5BA"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 Cultural Capital of The Novel</w:t>
      </w:r>
    </w:p>
    <w:p w14:paraId="2A57FCBD"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 Deer and the Cauldron" conveys important cultural meaning since it depicts the essence of Chinese culture during the Ming dynasty and reflects the current values and beliefs of Ming dynasty. In this section, I will illustrate the cultural significance of this novel for Chinese martial arts. Firstly, "The Deer and the Cauldron" is set based on Ming dynasty, which is an important period of time in Chinese history for its rapid development of cultural and artistic achievement (Yu, 1998), including the </w:t>
      </w:r>
      <w:r>
        <w:rPr>
          <w:rFonts w:ascii="Times New Roman Regular" w:hAnsi="Times New Roman Regular" w:cs="Times New Roman Regular"/>
          <w:sz w:val="24"/>
          <w:szCs w:val="24"/>
        </w:rPr>
        <w:lastRenderedPageBreak/>
        <w:t>building of the Forbidden City in Beijing. This novel starts with one of the most influential Emperor Kangxi, from which we can see Jin Yong’s attitude towards the integration of Manchu and Han cultures. The author himself said that in the early novels he wrote, the orthodoxy of the Han Dynasty was very strong whereas in the later period, the concept of treating all ethnic groups equally in the Chinese nation became more popular (Kan, 2021). This is because his view of history has made some progress and is especially obvious in "The Deer and the Cauldron". Besides, this novel reflects the values and beliefs of Chinese society during the Ming dynasty, including the significance of loyalty, honor, and justice, which has been emphasized throughout the whole storyline. These values are recognized as an essential to maintaining social harmony and stability during Ming dynasty, as Shen (2020) pointed out.</w:t>
      </w:r>
    </w:p>
    <w:p w14:paraId="0C87B308"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CEC019D" w14:textId="0F980122"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There </w:t>
      </w:r>
      <w:r w:rsidR="00DA018B">
        <w:rPr>
          <w:rFonts w:ascii="Times New Roman Regular" w:hAnsi="Times New Roman Regular" w:cs="Times New Roman Regular"/>
          <w:sz w:val="24"/>
          <w:szCs w:val="24"/>
        </w:rPr>
        <w:t>is</w:t>
      </w:r>
      <w:r>
        <w:rPr>
          <w:rFonts w:ascii="Times New Roman Regular" w:hAnsi="Times New Roman Regular" w:cs="Times New Roman Regular"/>
          <w:sz w:val="24"/>
          <w:szCs w:val="24"/>
        </w:rPr>
        <w:t xml:space="preserve"> other cultural significance in this novel, just as other Chinese martial art works. Like other novels, "The Deer and the Cauldron" explores martial arts philosophy, the long history in Chinese culture. Martial arts, including are considered </w:t>
      </w:r>
      <w:r>
        <w:rPr>
          <w:rFonts w:ascii="Times New Roman Regular" w:hAnsi="Times New Roman Regular" w:cs="Times New Roman Regular"/>
          <w:sz w:val="24"/>
          <w:szCs w:val="24"/>
        </w:rPr>
        <w:lastRenderedPageBreak/>
        <w:t>a form of physical and mental discipline that fosters self-discipline, focus, and inner strength (Li, 2015). The most obvious in this novel is the idea of harmonious</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 xml:space="preserve">coexistence of all ethnic groups and the unity of the country and the nation, which is the concept in closely relationship with the teachings of Confucianism and Taoism. </w:t>
      </w:r>
    </w:p>
    <w:p w14:paraId="1506B75C"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 </w:t>
      </w:r>
    </w:p>
    <w:p w14:paraId="3DB4F74C"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Language is another important cultural reflection in "The Deer and the Cauldron". Language, according to Zhen and Qing (2020), is the product with reflection of cultural authenticity. As a result, we can see, Chinese martial arts, as the specific product of Chinese culture, has applied many cultural loaded expressions, classical Chinese language, and one of them is idioms in "The Deer and the Cauldron", which can be difficult for non-native people to translate, and may also difficult for non-native speakers to understand. The application of idioms, literary references, and cultural practices which are unique to Chinese culture, especially in martial arts (Olivia, 2001) which is one of the defining features in Chinese literature. According to Zeng (2001), idioms has been defined as set phrases or sentences, whose structure is often established and cannot be easily changed, including set phrase</w:t>
      </w:r>
      <w:r>
        <w:rPr>
          <w:rFonts w:ascii="宋体" w:hAnsi="宋体" w:cs="Times New Roman Regular"/>
          <w:sz w:val="24"/>
          <w:szCs w:val="24"/>
        </w:rPr>
        <w:t>，</w:t>
      </w:r>
      <w:r>
        <w:rPr>
          <w:rFonts w:ascii="Times New Roman Regular" w:hAnsi="Times New Roman Regular" w:cs="Times New Roman Regular"/>
          <w:sz w:val="24"/>
          <w:szCs w:val="24"/>
        </w:rPr>
        <w:lastRenderedPageBreak/>
        <w:t>proverb</w:t>
      </w:r>
      <w:r>
        <w:rPr>
          <w:rFonts w:ascii="宋体" w:hAnsi="宋体" w:cs="Times New Roman Regular"/>
          <w:sz w:val="24"/>
          <w:szCs w:val="24"/>
        </w:rPr>
        <w:t>，</w:t>
      </w:r>
      <w:r>
        <w:rPr>
          <w:rFonts w:ascii="Times New Roman Regular" w:hAnsi="Times New Roman Regular" w:cs="Times New Roman Regular"/>
          <w:sz w:val="24"/>
          <w:szCs w:val="24"/>
        </w:rPr>
        <w:t>maxim</w:t>
      </w:r>
      <w:r>
        <w:rPr>
          <w:rFonts w:ascii="宋体" w:hAnsi="宋体" w:cs="Times New Roman Regular"/>
          <w:sz w:val="24"/>
          <w:szCs w:val="24"/>
        </w:rPr>
        <w:t>，</w:t>
      </w:r>
      <w:r>
        <w:rPr>
          <w:rFonts w:ascii="Times New Roman Regular" w:hAnsi="Times New Roman Regular" w:cs="Times New Roman Regular"/>
          <w:sz w:val="24"/>
          <w:szCs w:val="24"/>
        </w:rPr>
        <w:t>Chinese common saying</w:t>
      </w:r>
      <w:r>
        <w:rPr>
          <w:rFonts w:ascii="宋体" w:hAnsi="宋体" w:cs="Times New Roman Regular"/>
          <w:sz w:val="24"/>
          <w:szCs w:val="24"/>
        </w:rPr>
        <w:t>，</w:t>
      </w:r>
      <w:r>
        <w:rPr>
          <w:rFonts w:ascii="Times New Roman Regular" w:hAnsi="Times New Roman Regular" w:cs="Times New Roman Regular"/>
          <w:sz w:val="24"/>
          <w:szCs w:val="24"/>
        </w:rPr>
        <w:t xml:space="preserve">and a two-part allegorical saying, as a language form carrying rich cultural meanings, further sublimate language and are the essence of language. In the process of translating Chinese martial arts into English, idioms serve as an important role, containing extremely rich and profound cultural meanings (Earnshaw, 2004). </w:t>
      </w:r>
    </w:p>
    <w:p w14:paraId="62800542"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6456AF55"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 Poetic Perspective of The Novel.</w:t>
      </w:r>
    </w:p>
    <w:p w14:paraId="6C914178" w14:textId="35B93188" w:rsidR="00097B97" w:rsidRDefault="00097B97" w:rsidP="00097B97">
      <w:pPr>
        <w:kinsoku w:val="0"/>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Jin Yong's previous novels all depicted the world of martial arts such as ''The Legend of the Condor Heroes'', ''The Heaven Sword and Dragon Saber'', which all depict a fictious and fake world. Jin Yong, according to himself, said he finally recognized problem and would like to create something different, writing a ''real'' world (Hamm,2005).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the protagonist in "The Deer and the Cauldron" is more 'real' than Qiao Feng, Guo Jing, Yang Guo and others character in his martial novels (Hamm,2005). From my own perspective, many of the people we meet in reality have the shadow of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who is not </w:t>
      </w:r>
      <w:proofErr w:type="spellStart"/>
      <w:proofErr w:type="gramStart"/>
      <w:r>
        <w:rPr>
          <w:rFonts w:ascii="Times New Roman Regular" w:hAnsi="Times New Roman Regular" w:cs="Times New Roman Regular"/>
          <w:sz w:val="24"/>
          <w:szCs w:val="24"/>
        </w:rPr>
        <w:t>a</w:t>
      </w:r>
      <w:proofErr w:type="spellEnd"/>
      <w:proofErr w:type="gramEnd"/>
      <w:r>
        <w:rPr>
          <w:rFonts w:ascii="Times New Roman Regular" w:hAnsi="Times New Roman Regular" w:cs="Times New Roman Regular"/>
          <w:sz w:val="24"/>
          <w:szCs w:val="24"/>
        </w:rPr>
        <w:t xml:space="preserve"> ambitious, integrity, diligent in martial arts, totally different than other </w:t>
      </w:r>
      <w:proofErr w:type="spellStart"/>
      <w:r>
        <w:rPr>
          <w:rFonts w:ascii="Times New Roman Regular" w:hAnsi="Times New Roman Regular" w:cs="Times New Roman Regular"/>
          <w:sz w:val="24"/>
          <w:szCs w:val="24"/>
        </w:rPr>
        <w:t>heros</w:t>
      </w:r>
      <w:proofErr w:type="spellEnd"/>
      <w:r>
        <w:rPr>
          <w:rFonts w:ascii="Times New Roman Regular" w:hAnsi="Times New Roman Regular" w:cs="Times New Roman Regular"/>
          <w:sz w:val="24"/>
          <w:szCs w:val="24"/>
        </w:rPr>
        <w:t xml:space="preserve"> in traditional martial arts. As a matter of </w:t>
      </w:r>
      <w:r>
        <w:rPr>
          <w:rFonts w:ascii="Times New Roman Regular" w:hAnsi="Times New Roman Regular" w:cs="Times New Roman Regular"/>
          <w:sz w:val="24"/>
          <w:szCs w:val="24"/>
        </w:rPr>
        <w:lastRenderedPageBreak/>
        <w:t xml:space="preserve">fact, "The Deer and the Cauldron is a creation of the martial arts in more real world, just as Shen (2010), </w:t>
      </w:r>
      <w:proofErr w:type="gramStart"/>
      <w:r>
        <w:rPr>
          <w:rFonts w:ascii="Times New Roman Regular" w:hAnsi="Times New Roman Regular" w:cs="Times New Roman Regular"/>
          <w:sz w:val="24"/>
          <w:szCs w:val="24"/>
        </w:rPr>
        <w:t>Kan(</w:t>
      </w:r>
      <w:proofErr w:type="gramEnd"/>
      <w:r>
        <w:rPr>
          <w:rFonts w:ascii="Times New Roman Regular" w:hAnsi="Times New Roman Regular" w:cs="Times New Roman Regular"/>
          <w:sz w:val="24"/>
          <w:szCs w:val="24"/>
        </w:rPr>
        <w:t xml:space="preserve">2021) have commented on this novel.  Though "The Deer and the Cauldron" still has the shadow of martial </w:t>
      </w:r>
      <w:r w:rsidR="00DA018B">
        <w:rPr>
          <w:rFonts w:ascii="Times New Roman Regular" w:hAnsi="Times New Roman Regular" w:cs="Times New Roman Regular"/>
          <w:sz w:val="24"/>
          <w:szCs w:val="24"/>
        </w:rPr>
        <w:t>arts, it</w:t>
      </w:r>
      <w:r>
        <w:rPr>
          <w:rFonts w:ascii="Times New Roman Regular" w:hAnsi="Times New Roman Regular" w:cs="Times New Roman Regular"/>
          <w:sz w:val="24"/>
          <w:szCs w:val="24"/>
        </w:rPr>
        <w:t xml:space="preserve"> could only be recognized as the work with half of martial literature, and half in the real world. In summary, it's a </w:t>
      </w:r>
      <w:r w:rsidR="00DA018B">
        <w:rPr>
          <w:rFonts w:ascii="Times New Roman Regular" w:hAnsi="Times New Roman Regular" w:cs="Times New Roman Regular"/>
          <w:sz w:val="24"/>
          <w:szCs w:val="24"/>
        </w:rPr>
        <w:t>creative martial art</w:t>
      </w:r>
      <w:r>
        <w:rPr>
          <w:rFonts w:ascii="Times New Roman Regular" w:hAnsi="Times New Roman Regular" w:cs="Times New Roman Regular"/>
          <w:sz w:val="24"/>
          <w:szCs w:val="24"/>
        </w:rPr>
        <w:t xml:space="preserve">, compared to </w:t>
      </w:r>
      <w:r w:rsidR="00DA018B">
        <w:rPr>
          <w:rFonts w:ascii="Times New Roman Regular" w:hAnsi="Times New Roman Regular" w:cs="Times New Roman Regular"/>
          <w:sz w:val="24"/>
          <w:szCs w:val="24"/>
        </w:rPr>
        <w:t>those</w:t>
      </w:r>
      <w:r>
        <w:rPr>
          <w:rFonts w:ascii="Times New Roman Regular" w:hAnsi="Times New Roman Regular" w:cs="Times New Roman Regular"/>
          <w:sz w:val="24"/>
          <w:szCs w:val="24"/>
        </w:rPr>
        <w:t xml:space="preserve"> previous traditional martial arts. </w:t>
      </w:r>
    </w:p>
    <w:p w14:paraId="1B898086"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051445C3" w14:textId="65C77589"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Besides, in Jin Yong's previous novels, he displayed a narrow nationalist </w:t>
      </w:r>
      <w:r w:rsidR="00DA018B">
        <w:rPr>
          <w:rFonts w:ascii="Times New Roman Regular" w:hAnsi="Times New Roman Regular" w:cs="Times New Roman Regular"/>
          <w:sz w:val="24"/>
          <w:szCs w:val="24"/>
        </w:rPr>
        <w:t>tendency (</w:t>
      </w:r>
      <w:r>
        <w:rPr>
          <w:rFonts w:ascii="Times New Roman Regular" w:hAnsi="Times New Roman Regular" w:cs="Times New Roman Regular"/>
          <w:sz w:val="24"/>
          <w:szCs w:val="24"/>
        </w:rPr>
        <w:t xml:space="preserve">Tang,2019), to some extent, but in the end, Jin Yong's thoughts also changed. He pointed out that he would create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this character to abandon narrow nationalism (Hong,2019), no matter what nationality the ruler </w:t>
      </w:r>
      <w:r w:rsidR="00DA018B">
        <w:rPr>
          <w:rFonts w:ascii="Times New Roman Regular" w:hAnsi="Times New Roman Regular" w:cs="Times New Roman Regular"/>
          <w:sz w:val="24"/>
          <w:szCs w:val="24"/>
        </w:rPr>
        <w:t>belongs</w:t>
      </w:r>
      <w:r>
        <w:rPr>
          <w:rFonts w:ascii="Times New Roman Regular" w:hAnsi="Times New Roman Regular" w:cs="Times New Roman Regular"/>
          <w:sz w:val="24"/>
          <w:szCs w:val="24"/>
        </w:rPr>
        <w:t xml:space="preserve"> to. In this novel, Kangxi wanted to bombard Chen </w:t>
      </w:r>
      <w:proofErr w:type="spellStart"/>
      <w:r>
        <w:rPr>
          <w:rFonts w:ascii="Times New Roman Regular" w:hAnsi="Times New Roman Regular" w:cs="Times New Roman Regular"/>
          <w:sz w:val="24"/>
          <w:szCs w:val="24"/>
        </w:rPr>
        <w:t>Jinnan</w:t>
      </w:r>
      <w:proofErr w:type="spellEnd"/>
      <w:r>
        <w:rPr>
          <w:rFonts w:ascii="Times New Roman Regular" w:hAnsi="Times New Roman Regular" w:cs="Times New Roman Regular"/>
          <w:sz w:val="24"/>
          <w:szCs w:val="24"/>
        </w:rPr>
        <w:t xml:space="preserve">, and later wanted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to eliminate the </w:t>
      </w:r>
      <w:proofErr w:type="spellStart"/>
      <w:r>
        <w:rPr>
          <w:rFonts w:ascii="Times New Roman Regular" w:hAnsi="Times New Roman Regular" w:cs="Times New Roman Regular"/>
          <w:sz w:val="24"/>
          <w:szCs w:val="24"/>
        </w:rPr>
        <w:t>Tiandihui</w:t>
      </w:r>
      <w:proofErr w:type="spellEnd"/>
      <w:r>
        <w:rPr>
          <w:rFonts w:ascii="Times New Roman Regular" w:hAnsi="Times New Roman Regular" w:cs="Times New Roman Regular"/>
          <w:sz w:val="24"/>
          <w:szCs w:val="24"/>
        </w:rPr>
        <w:t xml:space="preserve">, and the </w:t>
      </w:r>
      <w:proofErr w:type="spellStart"/>
      <w:r>
        <w:rPr>
          <w:rFonts w:ascii="Times New Roman Regular" w:hAnsi="Times New Roman Regular" w:cs="Times New Roman Regular"/>
          <w:sz w:val="24"/>
          <w:szCs w:val="24"/>
        </w:rPr>
        <w:t>Tiandihui</w:t>
      </w:r>
      <w:proofErr w:type="spellEnd"/>
      <w:r>
        <w:rPr>
          <w:rFonts w:ascii="Times New Roman Regular" w:hAnsi="Times New Roman Regular" w:cs="Times New Roman Regular"/>
          <w:sz w:val="24"/>
          <w:szCs w:val="24"/>
        </w:rPr>
        <w:t xml:space="preserve"> wanted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to assassinate Kangxi, Huang </w:t>
      </w:r>
      <w:proofErr w:type="spellStart"/>
      <w:r>
        <w:rPr>
          <w:rFonts w:ascii="Times New Roman Regular" w:hAnsi="Times New Roman Regular" w:cs="Times New Roman Regular"/>
          <w:sz w:val="24"/>
          <w:szCs w:val="24"/>
        </w:rPr>
        <w:t>Zongxi</w:t>
      </w:r>
      <w:proofErr w:type="spellEnd"/>
      <w:r>
        <w:rPr>
          <w:rFonts w:ascii="Times New Roman Regular" w:hAnsi="Times New Roman Regular" w:cs="Times New Roman Regular"/>
          <w:sz w:val="24"/>
          <w:szCs w:val="24"/>
        </w:rPr>
        <w:t xml:space="preserve"> and others to persuade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to become emperor, etc.</w:t>
      </w:r>
      <w:r w:rsidR="00DA018B">
        <w:rPr>
          <w:rFonts w:ascii="Times New Roman Regular" w:hAnsi="Times New Roman Regular" w:cs="Times New Roman Regular"/>
          <w:sz w:val="24"/>
          <w:szCs w:val="24"/>
        </w:rPr>
        <w:t>, These</w:t>
      </w:r>
      <w:r>
        <w:rPr>
          <w:rFonts w:ascii="Times New Roman Regular" w:hAnsi="Times New Roman Regular" w:cs="Times New Roman Regular"/>
          <w:sz w:val="24"/>
          <w:szCs w:val="24"/>
        </w:rPr>
        <w:t xml:space="preserve"> contradictions are all vividly imply the changes in Jin Yong's thoughts.</w:t>
      </w:r>
    </w:p>
    <w:p w14:paraId="75C4FC57"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21117FC8"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summary, Jin Yong combined his idea regarding creative martial arts and </w:t>
      </w:r>
      <w:r>
        <w:rPr>
          <w:rFonts w:ascii="Times New Roman Regular" w:hAnsi="Times New Roman Regular" w:cs="Times New Roman Regular"/>
          <w:sz w:val="24"/>
          <w:szCs w:val="24"/>
        </w:rPr>
        <w:lastRenderedPageBreak/>
        <w:t>nationalism and thus produced this relatively less-martial arts novel "The Deer and the Cauldron". This novel, as inspected by many Chinese scholars, including (Kan, 2021), is the work reflecting his hope to break out of the world of martial arts.</w:t>
      </w:r>
    </w:p>
    <w:p w14:paraId="375FDDF8"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73D3436A"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5. Translation Strategy Applied by Minford.</w:t>
      </w:r>
    </w:p>
    <w:p w14:paraId="0ACE2EED" w14:textId="62751785"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According to Arrowsmith, (1975), Jerome model proposes that translation should be </w:t>
      </w:r>
      <w:r w:rsidR="00DA018B">
        <w:rPr>
          <w:rFonts w:ascii="Times New Roman Regular" w:hAnsi="Times New Roman Regular" w:cs="Times New Roman Regular"/>
          <w:sz w:val="24"/>
          <w:szCs w:val="24"/>
        </w:rPr>
        <w:t>equal,</w:t>
      </w:r>
      <w:r>
        <w:rPr>
          <w:rFonts w:ascii="Times New Roman Regular" w:hAnsi="Times New Roman Regular" w:cs="Times New Roman Regular"/>
          <w:sz w:val="24"/>
          <w:szCs w:val="24"/>
        </w:rPr>
        <w:t xml:space="preserve"> not matter for the meaning but also for the quality of style, proposing “sense for sense” rather than “word for word”, which is known as dynamic equivalence. Nida (1993), also pointed out that rather than focusing on format comparison between the source language and target language, has mainly focused on the equivalence between target audiences’ receptions towards translation and original audience’s receptions towards the original texts. We should understand that there is no total equivalence, but only equivalence to some degree. What translators seek is the maximum equivalence for the target reader.</w:t>
      </w:r>
    </w:p>
    <w:p w14:paraId="22EADF7D"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278C8A64" w14:textId="4091F94B"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This translation strategy is applied by Minford in "The Deer and the Cauldron", </w:t>
      </w:r>
      <w:r>
        <w:rPr>
          <w:rFonts w:ascii="Times New Roman Regular" w:hAnsi="Times New Roman Regular" w:cs="Times New Roman Regular"/>
          <w:sz w:val="24"/>
          <w:szCs w:val="24"/>
        </w:rPr>
        <w:lastRenderedPageBreak/>
        <w:t xml:space="preserve">which is the work full of culture-loaded expression, including idioms, allusions, idioms, etc. For Western readers who are not familiar with Chinese history, it is almost impossible to fully understand these culturally loaded words with rich connotations (Liu, 1997). Minford hopes to reproduce the original appearance of Jin </w:t>
      </w:r>
      <w:r>
        <w:rPr>
          <w:rFonts w:ascii="Times New Roman Regular" w:hAnsi="Times New Roman Regular" w:cs="Times New Roman Regular" w:hint="eastAsia"/>
          <w:sz w:val="24"/>
          <w:szCs w:val="24"/>
        </w:rPr>
        <w:t>Yong</w:t>
      </w:r>
      <w:r>
        <w:rPr>
          <w:rFonts w:ascii="Times New Roman Regular" w:hAnsi="Times New Roman Regular" w:cs="Times New Roman Regular"/>
          <w:sz w:val="24"/>
          <w:szCs w:val="24"/>
        </w:rPr>
        <w:t xml:space="preserve">'s novel, and be faithful to the original text as well as conveys the Chinese cultural. This purpose, in turn, dominated Professor Minford's choice of translation strategies. He has applied several translation methods in this strategy to realize the dynamic equivalence. In the following section, I will illustrate on the methods regarding the application of functional equivalence theory applied by Minford in English translation </w:t>
      </w:r>
      <w:r w:rsidR="00DA018B">
        <w:rPr>
          <w:rFonts w:ascii="Times New Roman Regular" w:hAnsi="Times New Roman Regular" w:cs="Times New Roman Regular"/>
          <w:sz w:val="24"/>
          <w:szCs w:val="24"/>
        </w:rPr>
        <w:t>of “</w:t>
      </w:r>
      <w:r>
        <w:rPr>
          <w:rFonts w:ascii="Times New Roman Regular" w:hAnsi="Times New Roman Regular" w:cs="Times New Roman Regular"/>
          <w:sz w:val="24"/>
          <w:szCs w:val="24"/>
        </w:rPr>
        <w:t xml:space="preserve">The Deer and the Cauldron". </w:t>
      </w:r>
    </w:p>
    <w:p w14:paraId="55A5D8D9"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567CD15A"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5.1 Literal Translation</w:t>
      </w:r>
    </w:p>
    <w:p w14:paraId="0D783F57" w14:textId="43D4635D"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Literal translation, as one of the important translation methods, requires the translation to be faithful to the source text as well as keep the same form as the source text </w:t>
      </w:r>
      <w:r w:rsidR="00DA018B">
        <w:rPr>
          <w:rFonts w:ascii="Times New Roman Regular" w:hAnsi="Times New Roman Regular" w:cs="Times New Roman Regular"/>
          <w:sz w:val="24"/>
          <w:szCs w:val="24"/>
        </w:rPr>
        <w:t>(Li</w:t>
      </w:r>
      <w:r>
        <w:rPr>
          <w:rFonts w:ascii="Times New Roman Regular" w:hAnsi="Times New Roman Regular" w:cs="Times New Roman Regular"/>
          <w:sz w:val="24"/>
          <w:szCs w:val="24"/>
        </w:rPr>
        <w:t>, 2021). Minford applied several kinds of literal translation including direct translation.</w:t>
      </w:r>
    </w:p>
    <w:p w14:paraId="5922B7AF"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 </w:t>
      </w:r>
    </w:p>
    <w:p w14:paraId="23ED8E91" w14:textId="59D0A8D2" w:rsidR="00097B97" w:rsidRDefault="00DA018B"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w:t>
      </w:r>
      <w:r w:rsidR="00097B97">
        <w:rPr>
          <w:rFonts w:ascii="Times New Roman Regular" w:hAnsi="Times New Roman Regular" w:cs="Times New Roman Regular"/>
          <w:sz w:val="24"/>
          <w:szCs w:val="24"/>
        </w:rPr>
        <w:t xml:space="preserve"> Source Text</w:t>
      </w:r>
      <w:r w:rsidR="00097B97">
        <w:rPr>
          <w:rFonts w:ascii="宋体" w:hAnsi="宋体" w:cs="Times New Roman Regular"/>
          <w:sz w:val="24"/>
          <w:szCs w:val="24"/>
        </w:rPr>
        <w:t>：那好极了，武当派的武功一遇上咱们少林派，那便是落花流水，夹着尾巴就逃</w:t>
      </w:r>
      <w:r w:rsidR="00097B97">
        <w:rPr>
          <w:rFonts w:ascii="Times New Roman Regular" w:hAnsi="Times New Roman Regular" w:cs="Times New Roman Regular"/>
          <w:sz w:val="24"/>
          <w:szCs w:val="24"/>
        </w:rPr>
        <w:t>(Jin, p. 443)</w:t>
      </w:r>
      <w:r w:rsidR="00097B97">
        <w:rPr>
          <w:rFonts w:ascii="宋体" w:hAnsi="宋体" w:cs="Times New Roman Regular"/>
          <w:sz w:val="24"/>
          <w:szCs w:val="24"/>
        </w:rPr>
        <w:t>。</w:t>
      </w:r>
    </w:p>
    <w:p w14:paraId="6B8309EB"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 xml:space="preserve">Shaolin Versus </w:t>
      </w:r>
      <w:proofErr w:type="spellStart"/>
      <w:r>
        <w:rPr>
          <w:rFonts w:ascii="Times New Roman Regular" w:hAnsi="Times New Roman Regular" w:cs="Times New Roman Regular"/>
          <w:sz w:val="24"/>
          <w:szCs w:val="24"/>
        </w:rPr>
        <w:t>Wudang</w:t>
      </w:r>
      <w:proofErr w:type="spellEnd"/>
      <w:r>
        <w:rPr>
          <w:rFonts w:ascii="Times New Roman Regular" w:hAnsi="Times New Roman Regular" w:cs="Times New Roman Regular"/>
          <w:sz w:val="24"/>
          <w:szCs w:val="24"/>
        </w:rPr>
        <w:t>: it’s got to be a walk-over! They will run away from us with their tails between their legs (Minford, p. 592)!</w:t>
      </w:r>
    </w:p>
    <w:p w14:paraId="1D2073E2"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010A7428"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 expression of "running away with one's tail between legs" is rhetorical and also very literary, which is difficult to find a matching expression in English-speaking countries. But even so, Minford still adopted the translation strategy of literal translation. Because tail between legs is generally used to describe a dog's natural reaction when encountering danger, here he uses it literal translation to describe the Wu-Tang’s fleeing appearance. Audience from English-speaking countries can also easily understand this. In this way, it not only keeps the original form of this idiom, but also vividly convey the original images and figurative meaning. In the meantime, it is acceptable to the English readers, who will not lead to any misunderstanding.</w:t>
      </w:r>
    </w:p>
    <w:p w14:paraId="0916C7D9"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9FD94D8"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lastRenderedPageBreak/>
        <w:t xml:space="preserve">5.2 Free Translation </w:t>
      </w:r>
    </w:p>
    <w:p w14:paraId="2043EC9D"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Due to the cultural differences between China and the English-speaking countries, there is often no matching metaphorical intention in English-speaking countries. At this time, the metaphorical intention needs to be replaced in order to conform to the reading and understanding habits of the target language readers as much as possible. And under this circumstance, free translation is applied. Free translation is effective in the following situations: </w:t>
      </w:r>
    </w:p>
    <w:p w14:paraId="68D8FF6D" w14:textId="77777777" w:rsidR="00097B97" w:rsidRDefault="00097B97" w:rsidP="00097B97">
      <w:pPr>
        <w:autoSpaceDE w:val="0"/>
        <w:spacing w:line="480" w:lineRule="auto"/>
        <w:jc w:val="left"/>
        <w:rPr>
          <w:rFonts w:ascii="Times New Roman Regular" w:hAnsi="Times New Roman Regular" w:cs="Times New Roman Regular"/>
          <w:sz w:val="24"/>
          <w:szCs w:val="24"/>
        </w:rPr>
      </w:pPr>
      <w:proofErr w:type="spellStart"/>
      <w:r>
        <w:rPr>
          <w:rFonts w:ascii="Times New Roman Regular" w:hAnsi="Times New Roman Regular" w:cs="Times New Roman Regular"/>
          <w:sz w:val="24"/>
          <w:szCs w:val="24"/>
        </w:rPr>
        <w:t>i</w:t>
      </w:r>
      <w:proofErr w:type="spellEnd"/>
      <w:r>
        <w:rPr>
          <w:rFonts w:ascii="Times New Roman Regular" w:hAnsi="Times New Roman Regular" w:cs="Times New Roman Regular"/>
          <w:sz w:val="24"/>
          <w:szCs w:val="24"/>
        </w:rPr>
        <w:t xml:space="preserve">)When the restrictions regarding the structures of source language occurs; </w:t>
      </w:r>
    </w:p>
    <w:p w14:paraId="67CBE1DF"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ii)When it is impossible to translate idioms by pertaining the original images due to the potential misunderstanding or incomprehension among the readers (Chun, 2014).</w:t>
      </w:r>
    </w:p>
    <w:p w14:paraId="13A509B9"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D72AC4A" w14:textId="7A2D3363" w:rsidR="00097B97" w:rsidRDefault="00DA018B"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w:t>
      </w:r>
      <w:r w:rsidR="00097B97">
        <w:rPr>
          <w:rFonts w:ascii="Times New Roman Regular" w:hAnsi="Times New Roman Regular" w:cs="Times New Roman Regular"/>
          <w:sz w:val="24"/>
          <w:szCs w:val="24"/>
        </w:rPr>
        <w:t xml:space="preserve"> Source Text</w:t>
      </w:r>
      <w:r w:rsidR="00097B97">
        <w:rPr>
          <w:rFonts w:ascii="宋体" w:hAnsi="宋体" w:cs="Times New Roman Regular"/>
          <w:sz w:val="24"/>
          <w:szCs w:val="24"/>
        </w:rPr>
        <w:t>：昨日和金超，已逮去了三十几人，都是我们浙江有名的读书人，个个都是无辜珠连</w:t>
      </w:r>
      <w:r w:rsidR="00097B97">
        <w:rPr>
          <w:rFonts w:ascii="Times New Roman Regular" w:hAnsi="Times New Roman Regular" w:cs="Times New Roman Regular"/>
          <w:sz w:val="24"/>
          <w:szCs w:val="24"/>
        </w:rPr>
        <w:t>(Ji</w:t>
      </w:r>
      <w:r w:rsidR="00097B97">
        <w:rPr>
          <w:rFonts w:ascii="宋体" w:hAnsi="宋体" w:cs="Times New Roman Regular"/>
          <w:sz w:val="24"/>
          <w:szCs w:val="24"/>
        </w:rPr>
        <w:t>，</w:t>
      </w:r>
      <w:r w:rsidR="00097B97">
        <w:rPr>
          <w:rFonts w:ascii="Times New Roman Regular" w:hAnsi="Times New Roman Regular" w:cs="Times New Roman Regular"/>
          <w:sz w:val="24"/>
          <w:szCs w:val="24"/>
        </w:rPr>
        <w:t>P</w:t>
      </w:r>
      <w:r w:rsidR="00097B97">
        <w:rPr>
          <w:rFonts w:ascii="Times New Roman Regular" w:hAnsi="Times New Roman Regular" w:cs="Times New Roman Regular" w:hint="eastAsia"/>
          <w:sz w:val="24"/>
          <w:szCs w:val="24"/>
        </w:rPr>
        <w:t>.</w:t>
      </w:r>
      <w:r w:rsidR="00097B97">
        <w:rPr>
          <w:rFonts w:ascii="Times New Roman Regular" w:hAnsi="Times New Roman Regular" w:cs="Times New Roman Regular"/>
          <w:sz w:val="24"/>
          <w:szCs w:val="24"/>
        </w:rPr>
        <w:t>2)</w:t>
      </w:r>
      <w:r w:rsidR="00097B97">
        <w:rPr>
          <w:rFonts w:ascii="宋体" w:hAnsi="宋体" w:cs="Times New Roman Regular"/>
          <w:sz w:val="24"/>
          <w:szCs w:val="24"/>
        </w:rPr>
        <w:t>。</w:t>
      </w:r>
    </w:p>
    <w:p w14:paraId="7348618E"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During these last two days they must have made more than thirty arrests. All out best scholars. And all of them innocents, caught up in the net (Minford, p. 31).</w:t>
      </w:r>
    </w:p>
    <w:p w14:paraId="3AD37A26"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 </w:t>
      </w:r>
    </w:p>
    <w:p w14:paraId="5E01DD7E"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In Chinese, people use the word "</w:t>
      </w:r>
      <w:r>
        <w:rPr>
          <w:rFonts w:ascii="宋体" w:hAnsi="宋体" w:cs="Times New Roman Regular"/>
          <w:sz w:val="24"/>
          <w:szCs w:val="24"/>
        </w:rPr>
        <w:t>株连</w:t>
      </w:r>
      <w:r>
        <w:rPr>
          <w:rFonts w:ascii="Times New Roman Regular" w:hAnsi="Times New Roman Regular" w:cs="Times New Roman Regular"/>
          <w:sz w:val="24"/>
          <w:szCs w:val="24"/>
        </w:rPr>
        <w:t xml:space="preserve">" to express </w:t>
      </w:r>
      <w:proofErr w:type="gramStart"/>
      <w:r>
        <w:rPr>
          <w:rFonts w:ascii="Times New Roman Regular" w:hAnsi="Times New Roman Regular" w:cs="Times New Roman Regular"/>
          <w:sz w:val="24"/>
          <w:szCs w:val="24"/>
        </w:rPr>
        <w:t>‘</w:t>
      </w:r>
      <w:proofErr w:type="gramEnd"/>
      <w:r>
        <w:rPr>
          <w:rFonts w:ascii="Times New Roman Regular" w:hAnsi="Times New Roman Regular" w:cs="Times New Roman Regular"/>
          <w:sz w:val="24"/>
          <w:szCs w:val="24"/>
        </w:rPr>
        <w:t>being involved</w:t>
      </w:r>
      <w:proofErr w:type="gramStart"/>
      <w:r>
        <w:rPr>
          <w:rFonts w:ascii="Times New Roman Regular" w:hAnsi="Times New Roman Regular" w:cs="Times New Roman Regular"/>
          <w:sz w:val="24"/>
          <w:szCs w:val="24"/>
        </w:rPr>
        <w:t>‘’</w:t>
      </w:r>
      <w:proofErr w:type="gramEnd"/>
      <w:r>
        <w:rPr>
          <w:rFonts w:ascii="Times New Roman Regular" w:hAnsi="Times New Roman Regular" w:cs="Times New Roman Regular"/>
          <w:sz w:val="24"/>
          <w:szCs w:val="24"/>
        </w:rPr>
        <w:t xml:space="preserve"> and the behind image used here is that the roots of plants are connected. But English readers don</w:t>
      </w:r>
      <w:proofErr w:type="gramStart"/>
      <w:r>
        <w:rPr>
          <w:rFonts w:ascii="Times New Roman Regular" w:hAnsi="Times New Roman Regular" w:cs="Times New Roman Regular"/>
          <w:sz w:val="24"/>
          <w:szCs w:val="24"/>
        </w:rPr>
        <w:t>’</w:t>
      </w:r>
      <w:proofErr w:type="gramEnd"/>
      <w:r>
        <w:rPr>
          <w:rFonts w:ascii="Times New Roman Regular" w:hAnsi="Times New Roman Regular" w:cs="Times New Roman Regular"/>
          <w:sz w:val="24"/>
          <w:szCs w:val="24"/>
        </w:rPr>
        <w:t>t translat</w:t>
      </w:r>
      <w:r>
        <w:rPr>
          <w:rFonts w:ascii="Times New Roman Regular" w:hAnsi="Times New Roman Regular" w:cs="Times New Roman Regular" w:hint="eastAsia"/>
          <w:sz w:val="24"/>
          <w:szCs w:val="24"/>
        </w:rPr>
        <w:t>e</w:t>
      </w:r>
      <w:r>
        <w:rPr>
          <w:rFonts w:ascii="Times New Roman Regular" w:hAnsi="Times New Roman Regular" w:cs="Times New Roman Regular"/>
          <w:sz w:val="24"/>
          <w:szCs w:val="24"/>
        </w:rPr>
        <w:t xml:space="preserve"> idioms in this way, the picture, flavor and sound-effect of the original might be different, but the sense can be successfully communicated.</w:t>
      </w:r>
    </w:p>
    <w:p w14:paraId="089B14E0"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07C90A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b/>
          <w:bCs/>
          <w:sz w:val="24"/>
          <w:szCs w:val="24"/>
        </w:rPr>
        <w:t>5.3 Other Feasible Translation Methods to Increase Readers’ Accessibility.</w:t>
      </w:r>
    </w:p>
    <w:p w14:paraId="05C5D76C" w14:textId="6C57CC20"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Sometimes, if the images of the Chinese idioms </w:t>
      </w:r>
      <w:r w:rsidR="00DA018B">
        <w:rPr>
          <w:rFonts w:ascii="Times New Roman Regular" w:hAnsi="Times New Roman Regular" w:cs="Times New Roman Regular"/>
          <w:sz w:val="24"/>
          <w:szCs w:val="24"/>
        </w:rPr>
        <w:t>cannot</w:t>
      </w:r>
      <w:r>
        <w:rPr>
          <w:rFonts w:ascii="Times New Roman Regular" w:hAnsi="Times New Roman Regular" w:cs="Times New Roman Regular"/>
          <w:sz w:val="24"/>
          <w:szCs w:val="24"/>
        </w:rPr>
        <w:t xml:space="preserve"> be retained or transferred in the translation, we usually leave out the images. In this case, the best method for a translator is to choose omission.</w:t>
      </w:r>
    </w:p>
    <w:p w14:paraId="11E5F6AC"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E34CCF2"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hint="eastAsia"/>
          <w:sz w:val="24"/>
          <w:szCs w:val="24"/>
        </w:rPr>
        <w:t>Original</w:t>
      </w:r>
      <w:r>
        <w:rPr>
          <w:rFonts w:ascii="Times New Roman Regular" w:hAnsi="Times New Roman Regular" w:cs="Times New Roman Regular"/>
          <w:sz w:val="24"/>
          <w:szCs w:val="24"/>
        </w:rPr>
        <w:t xml:space="preserve"> Source Text</w:t>
      </w:r>
      <w:r>
        <w:rPr>
          <w:rFonts w:ascii="宋体" w:hAnsi="宋体" w:cs="Times New Roman Regular"/>
          <w:sz w:val="24"/>
          <w:szCs w:val="24"/>
        </w:rPr>
        <w:t>：</w:t>
      </w:r>
      <w:proofErr w:type="gramStart"/>
      <w:r>
        <w:rPr>
          <w:rFonts w:ascii="宋体" w:hAnsi="宋体" w:cs="Times New Roman Regular"/>
          <w:sz w:val="24"/>
          <w:szCs w:val="24"/>
        </w:rPr>
        <w:t>韦</w:t>
      </w:r>
      <w:proofErr w:type="gramEnd"/>
      <w:r>
        <w:rPr>
          <w:rFonts w:ascii="宋体" w:hAnsi="宋体" w:cs="Times New Roman Regular"/>
          <w:sz w:val="24"/>
          <w:szCs w:val="24"/>
        </w:rPr>
        <w:t>小宝吓得魂不附体，险些掉下马来，双手牢牢抓住马尾，两只脚挟住了马鞍，身子伏在马背之上，但觉耳旁生风，身子不住倒退</w:t>
      </w:r>
      <w:r>
        <w:rPr>
          <w:rFonts w:ascii="Times New Roman Regular" w:hAnsi="Times New Roman Regular" w:cs="Times New Roman Regular"/>
          <w:sz w:val="24"/>
          <w:szCs w:val="24"/>
        </w:rPr>
        <w:t>(Jin</w:t>
      </w:r>
      <w:r>
        <w:rPr>
          <w:rFonts w:ascii="宋体" w:hAnsi="宋体" w:cs="Times New Roman Regular"/>
          <w:sz w:val="24"/>
          <w:szCs w:val="24"/>
        </w:rPr>
        <w:t>，</w:t>
      </w:r>
      <w:r>
        <w:rPr>
          <w:rFonts w:ascii="Times New Roman Regular" w:hAnsi="Times New Roman Regular" w:cs="Times New Roman Regular"/>
          <w:sz w:val="24"/>
          <w:szCs w:val="24"/>
        </w:rPr>
        <w:t>p. 71)</w:t>
      </w:r>
      <w:r>
        <w:rPr>
          <w:rFonts w:ascii="宋体" w:hAnsi="宋体" w:cs="Times New Roman Regular"/>
          <w:sz w:val="24"/>
          <w:szCs w:val="24"/>
        </w:rPr>
        <w:t>。</w:t>
      </w:r>
    </w:p>
    <w:p w14:paraId="0AA73D0E"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CDDED18" w14:textId="7E15EE9E"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 xml:space="preserve">Off it cantered, with the terrifies Trinket clinging desperately to its tail, </w:t>
      </w:r>
      <w:r>
        <w:rPr>
          <w:rFonts w:ascii="Times New Roman Regular" w:hAnsi="Times New Roman Regular" w:cs="Times New Roman Regular"/>
          <w:sz w:val="24"/>
          <w:szCs w:val="24"/>
        </w:rPr>
        <w:lastRenderedPageBreak/>
        <w:t xml:space="preserve">clamping his legs frantically on to the saddle and lying as low as possible along the horses </w:t>
      </w:r>
      <w:r w:rsidR="00DA018B">
        <w:rPr>
          <w:rFonts w:ascii="Times New Roman Regular" w:hAnsi="Times New Roman Regular" w:cs="Times New Roman Regular"/>
          <w:sz w:val="24"/>
          <w:szCs w:val="24"/>
        </w:rPr>
        <w:t>back (</w:t>
      </w:r>
      <w:r>
        <w:rPr>
          <w:rFonts w:ascii="Times New Roman Regular" w:hAnsi="Times New Roman Regular" w:cs="Times New Roman Regular"/>
          <w:sz w:val="24"/>
          <w:szCs w:val="24"/>
        </w:rPr>
        <w:t>Minford, p</w:t>
      </w:r>
      <w:r>
        <w:rPr>
          <w:rFonts w:ascii="Times New Roman Regular" w:hAnsi="Times New Roman Regular" w:cs="Times New Roman Regular" w:hint="eastAsia"/>
          <w:sz w:val="24"/>
          <w:szCs w:val="24"/>
        </w:rPr>
        <w:t>.</w:t>
      </w:r>
      <w:r>
        <w:rPr>
          <w:rFonts w:ascii="Times New Roman Regular" w:hAnsi="Times New Roman Regular" w:cs="Times New Roman Regular"/>
          <w:sz w:val="24"/>
          <w:szCs w:val="24"/>
        </w:rPr>
        <w:t>91).</w:t>
      </w:r>
    </w:p>
    <w:p w14:paraId="78DD9598"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67C0ED4A"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 metaphor of soul possession has strong Chinese characteristics and is related to the soul's out-of-body experience as well as the feudal superstition of the Chinese people. But in English-speaking countries, words that represent fear are usually associated with hell. Therefore, Minford does not apply direct translation. Instead, the word "terrified" is used to explain the meaning, which more suits to the culture of English readers.</w:t>
      </w:r>
    </w:p>
    <w:p w14:paraId="6F5C207F"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C57A890" w14:textId="0801D7C5"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summary, when Minford translated this novel, he centered the dynamic function. As we can see, in many cases, he did not faithfully translate the original intention of the metaphor. These metaphors only exist for Chinese culture. With the aim to reduce the readers' burden, he </w:t>
      </w:r>
      <w:r w:rsidR="00DA018B">
        <w:rPr>
          <w:rFonts w:ascii="Times New Roman Regular" w:hAnsi="Times New Roman Regular" w:cs="Times New Roman Regular"/>
          <w:sz w:val="24"/>
          <w:szCs w:val="24"/>
        </w:rPr>
        <w:t>adopts</w:t>
      </w:r>
      <w:r>
        <w:rPr>
          <w:rFonts w:ascii="Times New Roman Regular" w:hAnsi="Times New Roman Regular" w:cs="Times New Roman Regular"/>
          <w:sz w:val="24"/>
          <w:szCs w:val="24"/>
        </w:rPr>
        <w:t xml:space="preserve"> different translation strategies to minimize the sense of confusion of English-speaking audience. </w:t>
      </w:r>
    </w:p>
    <w:p w14:paraId="09EA830B"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04B1F19A"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lastRenderedPageBreak/>
        <w:t>5.4 Cultural Context of Source Text</w:t>
      </w:r>
    </w:p>
    <w:p w14:paraId="398E41B1"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When it comes to the translation in relation to cultural context, Minford applied some techniques including rewriting (sometimes even the meaning of the text is obviously rewritten), and reversing the narrative perspective, etc. For example, Ku</w:t>
      </w:r>
      <w:r>
        <w:rPr>
          <w:rFonts w:ascii="Times New Roman Regular" w:hAnsi="Times New Roman Regular" w:cs="Times New Roman Regular" w:hint="eastAsia"/>
          <w:sz w:val="24"/>
          <w:szCs w:val="24"/>
        </w:rPr>
        <w:t xml:space="preserve">ng </w:t>
      </w:r>
      <w:r>
        <w:rPr>
          <w:rFonts w:ascii="Times New Roman Regular" w:hAnsi="Times New Roman Regular" w:cs="Times New Roman Regular"/>
          <w:sz w:val="24"/>
          <w:szCs w:val="24"/>
        </w:rPr>
        <w:t xml:space="preserve">fu, in Chinese, is popular in Ming </w:t>
      </w:r>
      <w:r>
        <w:rPr>
          <w:rFonts w:ascii="Times New Roman Regular" w:hAnsi="Times New Roman Regular" w:cs="Times New Roman Regular" w:hint="eastAsia"/>
          <w:sz w:val="24"/>
          <w:szCs w:val="24"/>
        </w:rPr>
        <w:t>Dynasty</w:t>
      </w:r>
      <w:r>
        <w:rPr>
          <w:rFonts w:ascii="Times New Roman Regular" w:hAnsi="Times New Roman Regular" w:cs="Times New Roman Regular"/>
          <w:sz w:val="24"/>
          <w:szCs w:val="24"/>
        </w:rPr>
        <w:t xml:space="preserve">, especially under the emperor of Kangxi, has been largely promoted in that period. </w:t>
      </w:r>
    </w:p>
    <w:p w14:paraId="217AE53D"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02B92902"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 Source Text</w:t>
      </w:r>
      <w:r>
        <w:rPr>
          <w:rFonts w:ascii="宋体" w:hAnsi="宋体" w:cs="Times New Roman Regular"/>
          <w:sz w:val="24"/>
          <w:szCs w:val="24"/>
        </w:rPr>
        <w:t>： 虽然西洋火器厉害，但以他武功，也自不</w:t>
      </w:r>
      <w:proofErr w:type="gramStart"/>
      <w:r>
        <w:rPr>
          <w:rFonts w:ascii="宋体" w:hAnsi="宋体" w:cs="Times New Roman Regular"/>
          <w:sz w:val="24"/>
          <w:szCs w:val="24"/>
        </w:rPr>
        <w:t>懼</w:t>
      </w:r>
      <w:proofErr w:type="gramEnd"/>
      <w:r>
        <w:rPr>
          <w:rFonts w:ascii="宋体" w:hAnsi="宋体" w:cs="Times New Roman Regular"/>
          <w:sz w:val="24"/>
          <w:szCs w:val="24"/>
        </w:rPr>
        <w:t>，只是正當圖謀大事之際，要倚仗</w:t>
      </w:r>
      <w:proofErr w:type="gramStart"/>
      <w:r>
        <w:rPr>
          <w:rFonts w:ascii="宋体" w:hAnsi="宋体" w:cs="Times New Roman Regular"/>
          <w:sz w:val="24"/>
          <w:szCs w:val="24"/>
        </w:rPr>
        <w:t>罗刹国</w:t>
      </w:r>
      <w:proofErr w:type="gramEnd"/>
      <w:r>
        <w:rPr>
          <w:rFonts w:ascii="宋体" w:hAnsi="宋体" w:cs="Times New Roman Regular"/>
          <w:sz w:val="24"/>
          <w:szCs w:val="24"/>
        </w:rPr>
        <w:t>大力支撑，不能因</w:t>
      </w:r>
      <w:proofErr w:type="gramStart"/>
      <w:r>
        <w:rPr>
          <w:rFonts w:ascii="宋体" w:hAnsi="宋体" w:cs="Times New Roman Regular"/>
          <w:sz w:val="24"/>
          <w:szCs w:val="24"/>
        </w:rPr>
        <w:t>一</w:t>
      </w:r>
      <w:proofErr w:type="gramEnd"/>
      <w:r>
        <w:rPr>
          <w:rFonts w:ascii="宋体" w:hAnsi="宋体" w:cs="Times New Roman Regular"/>
          <w:sz w:val="24"/>
          <w:szCs w:val="24"/>
        </w:rPr>
        <w:t>時之愤而得罪了总督，当下慢慢退到门边，並不反抗。（</w:t>
      </w:r>
      <w:r>
        <w:rPr>
          <w:rFonts w:ascii="Times New Roman Regular" w:hAnsi="Times New Roman Regular" w:cs="Times New Roman Regular"/>
          <w:sz w:val="24"/>
          <w:szCs w:val="24"/>
        </w:rPr>
        <w:t xml:space="preserve">Jin, p. 1492 </w:t>
      </w:r>
      <w:r>
        <w:rPr>
          <w:rFonts w:ascii="宋体" w:hAnsi="宋体" w:cs="Times New Roman Regular"/>
          <w:sz w:val="24"/>
          <w:szCs w:val="24"/>
        </w:rPr>
        <w:t xml:space="preserve">） </w:t>
      </w:r>
    </w:p>
    <w:p w14:paraId="1466EF0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BEC5C9F" w14:textId="4972D96A"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 xml:space="preserve">The Leader knew that, against a firearm, all his great strength and skill were of no avail and retreated to the door. (Minford, p. </w:t>
      </w:r>
      <w:r w:rsidR="00DA018B">
        <w:rPr>
          <w:rFonts w:ascii="Times New Roman Regular" w:hAnsi="Times New Roman Regular" w:cs="Times New Roman Regular"/>
          <w:sz w:val="24"/>
          <w:szCs w:val="24"/>
        </w:rPr>
        <w:t>171)</w:t>
      </w:r>
    </w:p>
    <w:p w14:paraId="45AA2D62"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2C9BD87A"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Besides, in almost every martial arts novel, when Chinese people are attacked by foreigners, they can use kung fu to repel their enemy. This is also the case in other </w:t>
      </w:r>
      <w:r>
        <w:rPr>
          <w:rFonts w:ascii="Times New Roman Regular" w:hAnsi="Times New Roman Regular" w:cs="Times New Roman Regular"/>
          <w:sz w:val="24"/>
          <w:szCs w:val="24"/>
        </w:rPr>
        <w:lastRenderedPageBreak/>
        <w:t>martial arts films. In the Chinese cultural background, people are probably very proud of Chinese kung fu, which is an important national quintessence of China. However, in the translation, this national quintessence is defeated by foreign firearms, which we can see that the source text has been obviously rewritten.</w:t>
      </w:r>
    </w:p>
    <w:p w14:paraId="71CC8BEC"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4F20C123"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Additionally, under the cultural context in this novel, the society in the source text displays the negative attitudes towards foreign countries, and convey the bad images of, such as Russian and Hollanders to promote Chinese image, displaying strong image of nationality. For example, </w:t>
      </w:r>
    </w:p>
    <w:p w14:paraId="369E44D7"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70C3BFDF"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hint="eastAsia"/>
          <w:sz w:val="24"/>
          <w:szCs w:val="24"/>
        </w:rPr>
        <w:t>Original</w:t>
      </w:r>
      <w:r>
        <w:rPr>
          <w:rFonts w:ascii="Times New Roman Regular" w:hAnsi="Times New Roman Regular" w:cs="Times New Roman Regular"/>
          <w:sz w:val="24"/>
          <w:szCs w:val="24"/>
        </w:rPr>
        <w:t xml:space="preserve"> Source Text</w:t>
      </w:r>
      <w:r>
        <w:rPr>
          <w:rFonts w:ascii="宋体" w:hAnsi="宋体" w:cs="Times New Roman Regular"/>
          <w:sz w:val="24"/>
          <w:szCs w:val="24"/>
        </w:rPr>
        <w:t>：</w:t>
      </w:r>
      <w:proofErr w:type="gramStart"/>
      <w:r>
        <w:rPr>
          <w:rFonts w:ascii="宋体" w:hAnsi="宋体" w:cs="Times New Roman Regular"/>
          <w:sz w:val="24"/>
          <w:szCs w:val="24"/>
        </w:rPr>
        <w:t>罗刹国</w:t>
      </w:r>
      <w:proofErr w:type="gramEnd"/>
      <w:r>
        <w:rPr>
          <w:rFonts w:ascii="宋体" w:hAnsi="宋体" w:cs="Times New Roman Regular"/>
          <w:sz w:val="24"/>
          <w:szCs w:val="24"/>
        </w:rPr>
        <w:t>气候最寒冷，人人好酒。小宝虽然不喜欢，军中所备却是极品高粱，一端出</w:t>
      </w:r>
      <w:proofErr w:type="gramStart"/>
      <w:r>
        <w:rPr>
          <w:rFonts w:ascii="宋体" w:hAnsi="宋体" w:cs="Times New Roman Regular"/>
          <w:sz w:val="24"/>
          <w:szCs w:val="24"/>
        </w:rPr>
        <w:t>來便满帐皆香</w:t>
      </w:r>
      <w:proofErr w:type="gramEnd"/>
      <w:r>
        <w:rPr>
          <w:rFonts w:ascii="宋体" w:hAnsi="宋体" w:cs="Times New Roman Regular"/>
          <w:sz w:val="24"/>
          <w:szCs w:val="24"/>
        </w:rPr>
        <w:t>。剩下四名兵</w:t>
      </w:r>
      <w:proofErr w:type="gramStart"/>
      <w:r>
        <w:rPr>
          <w:rFonts w:ascii="宋体" w:hAnsi="宋体" w:cs="Times New Roman Regular"/>
          <w:sz w:val="24"/>
          <w:szCs w:val="24"/>
        </w:rPr>
        <w:t>一</w:t>
      </w:r>
      <w:proofErr w:type="gramEnd"/>
      <w:r>
        <w:rPr>
          <w:rFonts w:ascii="宋体" w:hAnsi="宋体" w:cs="Times New Roman Regular"/>
          <w:sz w:val="24"/>
          <w:szCs w:val="24"/>
        </w:rPr>
        <w:t>闻到酒香，早已垂涎欲滴，待见那兵喝得眉花眼笑，更是心痒难搔，都纷纷说道：「投降，投降！要喝酒。」（</w:t>
      </w:r>
      <w:r>
        <w:rPr>
          <w:rFonts w:ascii="Times New Roman Regular" w:hAnsi="Times New Roman Regular" w:cs="Times New Roman Regular"/>
          <w:sz w:val="24"/>
          <w:szCs w:val="24"/>
        </w:rPr>
        <w:t>Jin, p. 1962</w:t>
      </w:r>
      <w:r>
        <w:rPr>
          <w:rFonts w:ascii="宋体" w:hAnsi="宋体" w:cs="Times New Roman Regular"/>
          <w:sz w:val="24"/>
          <w:szCs w:val="24"/>
        </w:rPr>
        <w:t xml:space="preserve">） </w:t>
      </w:r>
    </w:p>
    <w:p w14:paraId="20A4D110"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6DF520CF"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However, in the translation, the meaning is different from the original text. In the </w:t>
      </w:r>
      <w:r>
        <w:rPr>
          <w:rFonts w:ascii="Times New Roman Regular" w:hAnsi="Times New Roman Regular" w:cs="Times New Roman Regular"/>
          <w:sz w:val="24"/>
          <w:szCs w:val="24"/>
        </w:rPr>
        <w:lastRenderedPageBreak/>
        <w:t>original text, only one Russian soldier surrendered at first and then was rewarded with wine and meat. Seeing him drinking wine, his fellow soldiers could not resist the temptation, so they surrendered one after another. But in the translation, the officers surrendered one after another, and then were rewarded with meat and wine. The image of the Russian army addicting to drunk and easily being tempted was reversed.</w:t>
      </w:r>
    </w:p>
    <w:p w14:paraId="6FF8A8C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16F8C4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The guards had to lift the man and carry him out. Soon there were seven heads on the table facing the five ashen-faced survivors, who were all visibly shaking with fear. ‘What about you lot?” said Trinket. ‘Mercy!’ said one of them ‘I’ll do whatever you want.’ ‘And so will I.” ‘And so will I,’ said the others. ‘Good!’ said Trinket. ‘Now, give these men something to eat,’ he said to the guards. ‘And drink. And treat them well. Look after them. We’re going to need them.’</w:t>
      </w:r>
      <w:r>
        <w:rPr>
          <w:rFonts w:ascii="宋体" w:hAnsi="宋体" w:cs="Times New Roman Regular"/>
          <w:sz w:val="24"/>
          <w:szCs w:val="24"/>
        </w:rPr>
        <w:t>（</w:t>
      </w:r>
      <w:r>
        <w:rPr>
          <w:rFonts w:ascii="Times New Roman Regular" w:hAnsi="Times New Roman Regular" w:cs="Times New Roman Regular"/>
          <w:sz w:val="24"/>
          <w:szCs w:val="24"/>
        </w:rPr>
        <w:t xml:space="preserve">Minford, p. 462 </w:t>
      </w:r>
      <w:r>
        <w:rPr>
          <w:rFonts w:ascii="宋体" w:hAnsi="宋体" w:cs="Times New Roman Regular"/>
          <w:sz w:val="24"/>
          <w:szCs w:val="24"/>
        </w:rPr>
        <w:t>）</w:t>
      </w:r>
    </w:p>
    <w:p w14:paraId="1F6512E7"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0392E79C"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35CC0E49"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6. Strengthen</w:t>
      </w:r>
    </w:p>
    <w:p w14:paraId="704CCC5A" w14:textId="6AB6D9CF"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Professor Minford made great efforts to preserve the original writing style of the work, and as a result, English-spoken audience can greatly feel the elegant and popular writing style of the novel, which is exactly what Jin Yong's original martial art reveals. For example, when it comes to translation of name in "The Deer and the Cauldron", Minford avoids using Chinese pinyin to translation a person’s name, which has implied many cultural </w:t>
      </w:r>
      <w:r w:rsidR="00DA018B">
        <w:rPr>
          <w:rFonts w:ascii="Times New Roman Regular" w:hAnsi="Times New Roman Regular" w:cs="Times New Roman Regular"/>
          <w:sz w:val="24"/>
          <w:szCs w:val="24"/>
        </w:rPr>
        <w:t>connotations</w:t>
      </w:r>
      <w:r>
        <w:rPr>
          <w:rFonts w:ascii="Times New Roman Regular" w:hAnsi="Times New Roman Regular" w:cs="Times New Roman Regular"/>
          <w:sz w:val="24"/>
          <w:szCs w:val="24"/>
        </w:rPr>
        <w:t xml:space="preserve"> hidden in one’s name. In order to better preserve the connection between the one’s name and Chinese culture as well as the unfamiliarity of English-speaking audience to Chinese pinyin, Minford </w:t>
      </w:r>
      <w:r>
        <w:rPr>
          <w:rFonts w:ascii="Times New Roman Regular" w:hAnsi="Times New Roman Regular" w:cs="Times New Roman Regular" w:hint="eastAsia"/>
          <w:sz w:val="24"/>
          <w:szCs w:val="24"/>
        </w:rPr>
        <w:t>does</w:t>
      </w:r>
      <w:r>
        <w:rPr>
          <w:rFonts w:ascii="Times New Roman Regular" w:hAnsi="Times New Roman Regular" w:cs="Times New Roman Regular"/>
          <w:sz w:val="24"/>
          <w:szCs w:val="24"/>
        </w:rPr>
        <w:t xml:space="preserve"> not choose to direct translate one’s name. For example,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the protagonist, whose name in Chinese means "small ornaments, cheap jewelry</w:t>
      </w:r>
      <w:proofErr w:type="gramStart"/>
      <w:r>
        <w:rPr>
          <w:rFonts w:ascii="Times New Roman Regular" w:hAnsi="Times New Roman Regular" w:cs="Times New Roman Regular"/>
          <w:sz w:val="24"/>
          <w:szCs w:val="24"/>
        </w:rPr>
        <w:t>" ,</w:t>
      </w:r>
      <w:proofErr w:type="gramEnd"/>
      <w:r>
        <w:rPr>
          <w:rFonts w:ascii="Times New Roman Regular" w:hAnsi="Times New Roman Regular" w:cs="Times New Roman Regular"/>
          <w:sz w:val="24"/>
          <w:szCs w:val="24"/>
        </w:rPr>
        <w:t xml:space="preserve"> is translated into "Trinket". In this way, the cultural meaning of the name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in the original work was well preserved. A corresponding title has also been found in the English language system. For another example, after entering the palace,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changed his name to Xiao </w:t>
      </w:r>
      <w:proofErr w:type="spellStart"/>
      <w:r>
        <w:rPr>
          <w:rFonts w:ascii="Times New Roman Regular" w:hAnsi="Times New Roman Regular" w:cs="Times New Roman Regular"/>
          <w:sz w:val="24"/>
          <w:szCs w:val="24"/>
        </w:rPr>
        <w:t>Guizi</w:t>
      </w:r>
      <w:proofErr w:type="spellEnd"/>
      <w:r>
        <w:rPr>
          <w:rFonts w:ascii="Times New Roman Regular" w:hAnsi="Times New Roman Regular" w:cs="Times New Roman Regular"/>
          <w:sz w:val="24"/>
          <w:szCs w:val="24"/>
        </w:rPr>
        <w:t xml:space="preserve">, meaning the laurel tree in </w:t>
      </w:r>
      <w:r>
        <w:rPr>
          <w:rFonts w:ascii="Times New Roman Regular" w:hAnsi="Times New Roman Regular" w:cs="Times New Roman Regular" w:hint="eastAsia"/>
          <w:sz w:val="24"/>
          <w:szCs w:val="24"/>
        </w:rPr>
        <w:t>Chinese</w:t>
      </w:r>
      <w:r>
        <w:rPr>
          <w:rFonts w:ascii="Times New Roman Regular" w:hAnsi="Times New Roman Regular" w:cs="Times New Roman Regular"/>
          <w:sz w:val="24"/>
          <w:szCs w:val="24"/>
        </w:rPr>
        <w:t>, which Professor Minford translated as "laurel" to help audience better remember the name.</w:t>
      </w:r>
    </w:p>
    <w:p w14:paraId="4D487DA0"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71083060" w14:textId="77777777" w:rsidR="00097B97" w:rsidRDefault="00097B97" w:rsidP="00097B97">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lastRenderedPageBreak/>
        <w:t>7. The Problems in Translation</w:t>
      </w:r>
    </w:p>
    <w:p w14:paraId="1B624854" w14:textId="2CDD89CC" w:rsidR="00097B97" w:rsidRDefault="00097B97" w:rsidP="00DA018B">
      <w:pPr>
        <w:autoSpaceDE w:val="0"/>
        <w:spacing w:line="480" w:lineRule="auto"/>
        <w:ind w:firstLineChars="200" w:firstLine="480"/>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However, the translation of Wei </w:t>
      </w:r>
      <w:proofErr w:type="spellStart"/>
      <w:r>
        <w:rPr>
          <w:rFonts w:ascii="Times New Roman Regular" w:hAnsi="Times New Roman Regular" w:cs="Times New Roman Regular"/>
          <w:sz w:val="24"/>
          <w:szCs w:val="24"/>
        </w:rPr>
        <w:t>Xiaobao's</w:t>
      </w:r>
      <w:proofErr w:type="spellEnd"/>
      <w:r>
        <w:rPr>
          <w:rFonts w:ascii="Times New Roman Regular" w:hAnsi="Times New Roman Regular" w:cs="Times New Roman Regular"/>
          <w:sz w:val="24"/>
          <w:szCs w:val="24"/>
        </w:rPr>
        <w:t xml:space="preserve"> personality in Professor Minford's translation does not fully reach the level of the original work.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as a matter of fact, is not the traditional image of hero, like those in martial arts novels. Although Wei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has many Chinese characteristics,</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 xml:space="preserve">he is not a typical hero in Chinese culture. However, one of the important of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being loved by so many Chinese readers is the dramatic conflicts within this character (Tang, 2019), which has been developed due to his legendary experience in this life. Grown up in Goulan </w:t>
      </w:r>
      <w:r>
        <w:rPr>
          <w:rFonts w:ascii="Times New Roman Regular" w:hAnsi="Times New Roman Regular" w:cs="Times New Roman Regular" w:hint="eastAsia"/>
          <w:sz w:val="24"/>
          <w:szCs w:val="24"/>
        </w:rPr>
        <w:t>Courtyard</w:t>
      </w:r>
      <w:r>
        <w:rPr>
          <w:rFonts w:ascii="Times New Roman Regular" w:hAnsi="Times New Roman Regular" w:cs="Times New Roman Regular"/>
          <w:sz w:val="24"/>
          <w:szCs w:val="24"/>
        </w:rPr>
        <w:t xml:space="preserve">, he did not have any prominent background or unparalleled martial arts. However, he always used his cleverness to avoid dangers and escaped disasters from the dilemma. In the novel,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is often in a weak position and falls into a very helpless situation, which arouses readers' pity for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However, he always gets money or women. In addition, the very generous and optimistic side of </w:t>
      </w:r>
      <w:proofErr w:type="spellStart"/>
      <w:r>
        <w:rPr>
          <w:rFonts w:ascii="Times New Roman Regular" w:hAnsi="Times New Roman Regular" w:cs="Times New Roman Regular"/>
          <w:sz w:val="24"/>
          <w:szCs w:val="24"/>
        </w:rPr>
        <w:t>Xiaobao's</w:t>
      </w:r>
      <w:proofErr w:type="spellEnd"/>
      <w:r>
        <w:rPr>
          <w:rFonts w:ascii="Times New Roman Regular" w:hAnsi="Times New Roman Regular" w:cs="Times New Roman Regular"/>
          <w:sz w:val="24"/>
          <w:szCs w:val="24"/>
        </w:rPr>
        <w:t xml:space="preserve"> character also enriches this image. When Jin Yong wrote this novel, he knew how to hold the readers' psychological expectations and lure them into his martial arts world to accept this little man.</w:t>
      </w:r>
    </w:p>
    <w:p w14:paraId="247D821A" w14:textId="77777777" w:rsidR="00097B97" w:rsidRDefault="00097B97" w:rsidP="00097B97">
      <w:pPr>
        <w:autoSpaceDE w:val="0"/>
        <w:spacing w:line="480" w:lineRule="auto"/>
        <w:ind w:firstLineChars="200" w:firstLine="48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However, Minford fails to fully develop </w:t>
      </w:r>
      <w:proofErr w:type="spellStart"/>
      <w:r>
        <w:rPr>
          <w:rFonts w:ascii="Times New Roman Regular" w:hAnsi="Times New Roman Regular" w:cs="Times New Roman Regular"/>
          <w:sz w:val="24"/>
          <w:szCs w:val="24"/>
        </w:rPr>
        <w:t>Xiaobao’s</w:t>
      </w:r>
      <w:proofErr w:type="spellEnd"/>
      <w:r>
        <w:rPr>
          <w:rFonts w:ascii="Times New Roman Regular" w:hAnsi="Times New Roman Regular" w:cs="Times New Roman Regular"/>
          <w:sz w:val="24"/>
          <w:szCs w:val="24"/>
        </w:rPr>
        <w:t xml:space="preserve"> personality conflict. He did not comprehensively translate the narrative technique in the original work. Therefore, English readers may not be able to feel </w:t>
      </w:r>
      <w:proofErr w:type="spellStart"/>
      <w:r>
        <w:rPr>
          <w:rFonts w:ascii="Times New Roman Regular" w:hAnsi="Times New Roman Regular" w:cs="Times New Roman Regular"/>
          <w:sz w:val="24"/>
          <w:szCs w:val="24"/>
        </w:rPr>
        <w:t>Xiaobao's</w:t>
      </w:r>
      <w:proofErr w:type="spellEnd"/>
      <w:r>
        <w:rPr>
          <w:rFonts w:ascii="Times New Roman Regular" w:hAnsi="Times New Roman Regular" w:cs="Times New Roman Regular"/>
          <w:sz w:val="24"/>
          <w:szCs w:val="24"/>
        </w:rPr>
        <w:t xml:space="preserve"> dramatic character like Chinese readers. Comparing the original text and the translated text, we can find that in the original text the author used emotional words to describe </w:t>
      </w:r>
      <w:proofErr w:type="spellStart"/>
      <w:r>
        <w:rPr>
          <w:rFonts w:ascii="Times New Roman Regular" w:hAnsi="Times New Roman Regular" w:cs="Times New Roman Regular"/>
          <w:sz w:val="24"/>
          <w:szCs w:val="24"/>
        </w:rPr>
        <w:t>Xiaobao's</w:t>
      </w:r>
      <w:proofErr w:type="spellEnd"/>
      <w:r>
        <w:rPr>
          <w:rFonts w:ascii="Times New Roman Regular" w:hAnsi="Times New Roman Regular" w:cs="Times New Roman Regular"/>
          <w:sz w:val="24"/>
          <w:szCs w:val="24"/>
        </w:rPr>
        <w:t xml:space="preserve"> daily life and reveal his humble figures, such as "get in and get out (</w:t>
      </w:r>
      <w:r>
        <w:rPr>
          <w:rFonts w:ascii="宋体" w:hAnsi="宋体" w:cs="Times New Roman Regular"/>
          <w:sz w:val="24"/>
          <w:szCs w:val="24"/>
        </w:rPr>
        <w:t>鬼鬼祟祟</w:t>
      </w:r>
      <w:r>
        <w:rPr>
          <w:rFonts w:ascii="Times New Roman Regular" w:hAnsi="Times New Roman Regular" w:cs="Times New Roman Regular"/>
          <w:sz w:val="24"/>
          <w:szCs w:val="24"/>
        </w:rPr>
        <w:t>)", "wipe some oil and water(</w:t>
      </w:r>
      <w:r>
        <w:rPr>
          <w:rFonts w:ascii="宋体" w:hAnsi="宋体" w:cs="Times New Roman Regular"/>
          <w:sz w:val="24"/>
          <w:szCs w:val="24"/>
        </w:rPr>
        <w:t>揩点油水</w:t>
      </w:r>
      <w:r>
        <w:rPr>
          <w:rFonts w:ascii="Times New Roman Regular" w:hAnsi="Times New Roman Regular" w:cs="Times New Roman Regular"/>
          <w:sz w:val="24"/>
          <w:szCs w:val="24"/>
        </w:rPr>
        <w:t>) and " Ask for some reward money (</w:t>
      </w:r>
      <w:r>
        <w:rPr>
          <w:rFonts w:ascii="宋体" w:hAnsi="宋体" w:cs="Times New Roman Regular"/>
          <w:sz w:val="24"/>
          <w:szCs w:val="24"/>
        </w:rPr>
        <w:t>讨几个赏钱</w:t>
      </w:r>
      <w:r>
        <w:rPr>
          <w:rFonts w:ascii="Times New Roman Regular" w:hAnsi="Times New Roman Regular" w:cs="Times New Roman Regular"/>
          <w:sz w:val="24"/>
          <w:szCs w:val="24"/>
        </w:rPr>
        <w:t xml:space="preserve">)." However, in the translation, Professor Minford's narrative tone is very plain and objective, and </w:t>
      </w:r>
      <w:proofErr w:type="spellStart"/>
      <w:r>
        <w:rPr>
          <w:rFonts w:ascii="Times New Roman Regular" w:hAnsi="Times New Roman Regular" w:cs="Times New Roman Regular"/>
          <w:sz w:val="24"/>
          <w:szCs w:val="24"/>
        </w:rPr>
        <w:t>Xiaobao</w:t>
      </w:r>
      <w:proofErr w:type="spellEnd"/>
      <w:r>
        <w:rPr>
          <w:rFonts w:ascii="Times New Roman Regular" w:hAnsi="Times New Roman Regular" w:cs="Times New Roman Regular"/>
          <w:sz w:val="24"/>
          <w:szCs w:val="24"/>
        </w:rPr>
        <w:t xml:space="preserve"> is even directly described as a little boy who worships heroes, which may make English readers feel very abrupt.</w:t>
      </w:r>
    </w:p>
    <w:p w14:paraId="7DF4F323"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2F204128" w14:textId="67A471D7" w:rsidR="00097B97" w:rsidRDefault="00097B97" w:rsidP="00DA018B">
      <w:pPr>
        <w:autoSpaceDE w:val="0"/>
        <w:spacing w:line="480" w:lineRule="auto"/>
        <w:ind w:firstLineChars="200" w:firstLine="480"/>
        <w:jc w:val="left"/>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Professor Minford has been translating and proofreading "The Deer and the Cauldron" for ten years, but there are still many mistranslations in it. Let’s take a look at a few examples from the micro level of language. Looking at Professor Minford’s mistranslation, the first is the mistranslation caused by polyphonic characters in Chinese.</w:t>
      </w:r>
    </w:p>
    <w:p w14:paraId="03707167"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w:t>
      </w:r>
      <w:r>
        <w:rPr>
          <w:rFonts w:ascii="宋体" w:hAnsi="宋体" w:cs="Times New Roman Regular"/>
          <w:sz w:val="24"/>
          <w:szCs w:val="24"/>
        </w:rPr>
        <w:t>苏克萨哈的田地财产，是没入了内库的。不过</w:t>
      </w:r>
      <w:r>
        <w:rPr>
          <w:rFonts w:ascii="Times New Roman Regular" w:hAnsi="Times New Roman Regular" w:cs="Times New Roman Regular"/>
          <w:sz w:val="24"/>
          <w:szCs w:val="24"/>
        </w:rPr>
        <w:t>……</w:t>
      </w:r>
      <w:r>
        <w:rPr>
          <w:rFonts w:ascii="宋体" w:hAnsi="宋体" w:cs="Times New Roman Regular"/>
          <w:sz w:val="24"/>
          <w:szCs w:val="24"/>
        </w:rPr>
        <w:t>金银珠宝等物，都饱入了鳌拜私囊。</w:t>
      </w:r>
      <w:r>
        <w:rPr>
          <w:rFonts w:ascii="Times New Roman Regular" w:hAnsi="Times New Roman Regular" w:cs="Times New Roman Regular"/>
          <w:sz w:val="24"/>
          <w:szCs w:val="24"/>
        </w:rPr>
        <w:t>”</w:t>
      </w:r>
      <w:r>
        <w:rPr>
          <w:rFonts w:ascii="宋体" w:hAnsi="宋体" w:cs="Times New Roman Regular"/>
          <w:sz w:val="24"/>
          <w:szCs w:val="24"/>
        </w:rPr>
        <w:t>（</w:t>
      </w:r>
      <w:r>
        <w:rPr>
          <w:rFonts w:ascii="Times New Roman Regular" w:hAnsi="Times New Roman Regular" w:cs="Times New Roman Regular"/>
          <w:sz w:val="24"/>
          <w:szCs w:val="24"/>
        </w:rPr>
        <w:t>Jin, p.197</w:t>
      </w:r>
      <w:r>
        <w:rPr>
          <w:rFonts w:ascii="宋体" w:hAnsi="宋体" w:cs="Times New Roman Regular"/>
          <w:sz w:val="24"/>
          <w:szCs w:val="24"/>
        </w:rPr>
        <w:t>）</w:t>
      </w:r>
    </w:p>
    <w:p w14:paraId="0BBB360B"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2814EB43" w14:textId="2AE72662"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“Neither </w:t>
      </w:r>
      <w:proofErr w:type="spellStart"/>
      <w:r>
        <w:rPr>
          <w:rFonts w:ascii="Times New Roman Regular" w:hAnsi="Times New Roman Regular" w:cs="Times New Roman Regular"/>
          <w:sz w:val="24"/>
          <w:szCs w:val="24"/>
        </w:rPr>
        <w:t>Suksaha’s</w:t>
      </w:r>
      <w:proofErr w:type="spellEnd"/>
      <w:r>
        <w:rPr>
          <w:rFonts w:ascii="Times New Roman Regular" w:hAnsi="Times New Roman Regular" w:cs="Times New Roman Regular"/>
          <w:sz w:val="24"/>
          <w:szCs w:val="24"/>
        </w:rPr>
        <w:t xml:space="preserve"> land nor his property was impounded</w:t>
      </w:r>
      <w:r w:rsidR="00DA018B">
        <w:rPr>
          <w:rFonts w:ascii="Times New Roman Regular" w:hAnsi="Times New Roman Regular" w:cs="Times New Roman Regular"/>
          <w:sz w:val="24"/>
          <w:szCs w:val="24"/>
        </w:rPr>
        <w:t>.”</w:t>
      </w:r>
      <w:r w:rsidR="00DA018B">
        <w:rPr>
          <w:rFonts w:ascii="宋体" w:hAnsi="宋体" w:cs="Times New Roman Regular" w:hint="eastAsia"/>
          <w:sz w:val="24"/>
          <w:szCs w:val="24"/>
        </w:rPr>
        <w:t xml:space="preserve"> （</w:t>
      </w:r>
      <w:r>
        <w:rPr>
          <w:rFonts w:ascii="Times New Roman Regular" w:hAnsi="Times New Roman Regular" w:cs="Times New Roman Regular"/>
          <w:sz w:val="24"/>
          <w:szCs w:val="24"/>
        </w:rPr>
        <w:t>Minford</w:t>
      </w:r>
      <w:r>
        <w:rPr>
          <w:rFonts w:ascii="宋体" w:hAnsi="宋体" w:cs="Times New Roman Regular"/>
          <w:sz w:val="24"/>
          <w:szCs w:val="24"/>
        </w:rPr>
        <w:t>，</w:t>
      </w:r>
      <w:r>
        <w:rPr>
          <w:rFonts w:ascii="Times New Roman Regular" w:hAnsi="Times New Roman Regular" w:cs="Times New Roman Regular"/>
          <w:sz w:val="24"/>
          <w:szCs w:val="24"/>
        </w:rPr>
        <w:t>p. 213</w:t>
      </w:r>
      <w:r>
        <w:rPr>
          <w:rFonts w:ascii="宋体" w:hAnsi="宋体" w:cs="Times New Roman Regular"/>
          <w:sz w:val="24"/>
          <w:szCs w:val="24"/>
        </w:rPr>
        <w:t>）</w:t>
      </w:r>
    </w:p>
    <w:p w14:paraId="459223B5" w14:textId="77777777" w:rsidR="00097B97" w:rsidRDefault="00097B97" w:rsidP="00097B97">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14:paraId="1270C3B4" w14:textId="77777777" w:rsidR="00097B97" w:rsidRDefault="00097B97" w:rsidP="00097B97">
      <w:pPr>
        <w:autoSpaceDE w:val="0"/>
        <w:spacing w:line="480" w:lineRule="auto"/>
        <w:ind w:firstLineChars="200" w:firstLine="480"/>
        <w:jc w:val="left"/>
        <w:rPr>
          <w:rFonts w:ascii="Times New Roman Regular" w:hAnsi="Times New Roman Regular" w:cs="Times New Roman Regular"/>
          <w:b/>
          <w:bCs/>
          <w:sz w:val="24"/>
          <w:szCs w:val="24"/>
        </w:rPr>
      </w:pPr>
      <w:r>
        <w:rPr>
          <w:rFonts w:ascii="Times New Roman Regular" w:hAnsi="Times New Roman Regular" w:cs="Times New Roman Regular"/>
          <w:sz w:val="24"/>
          <w:szCs w:val="24"/>
        </w:rPr>
        <w:t>Professor Minford translated it as "neither the land property nor the gold, silver and jewelry were put into the treasury." There are two reasons for this mistranslation. The most critical one is probably that Professor Minford pronounced the word "</w:t>
      </w:r>
      <w:r>
        <w:rPr>
          <w:rFonts w:ascii="宋体" w:hAnsi="宋体" w:cs="Times New Roman Regular"/>
          <w:sz w:val="24"/>
          <w:szCs w:val="24"/>
        </w:rPr>
        <w:t>没</w:t>
      </w:r>
      <w:r>
        <w:rPr>
          <w:rFonts w:ascii="Times New Roman Regular" w:hAnsi="Times New Roman Regular" w:cs="Times New Roman Regular"/>
          <w:sz w:val="24"/>
          <w:szCs w:val="24"/>
        </w:rPr>
        <w:t>" as "</w:t>
      </w:r>
      <w:proofErr w:type="spellStart"/>
      <w:r>
        <w:rPr>
          <w:rFonts w:ascii="Times New Roman Regular" w:hAnsi="Times New Roman Regular" w:cs="Times New Roman Regular"/>
          <w:sz w:val="24"/>
          <w:szCs w:val="24"/>
        </w:rPr>
        <w:t>mei</w:t>
      </w:r>
      <w:proofErr w:type="spellEnd"/>
      <w:r>
        <w:rPr>
          <w:rFonts w:ascii="Times New Roman Regular" w:hAnsi="Times New Roman Regular" w:cs="Times New Roman Regular"/>
          <w:sz w:val="24"/>
          <w:szCs w:val="24"/>
        </w:rPr>
        <w:t>", which implies the meaning of ‘nothing’ and forgot its other pronunciation, and in this case, it should be pronounced as "</w:t>
      </w:r>
      <w:proofErr w:type="spellStart"/>
      <w:r>
        <w:rPr>
          <w:rFonts w:ascii="Times New Roman Regular" w:hAnsi="Times New Roman Regular" w:cs="Times New Roman Regular"/>
          <w:sz w:val="24"/>
          <w:szCs w:val="24"/>
        </w:rPr>
        <w:t>mo</w:t>
      </w:r>
      <w:proofErr w:type="spellEnd"/>
      <w:r>
        <w:rPr>
          <w:rFonts w:ascii="Times New Roman Regular" w:hAnsi="Times New Roman Regular" w:cs="Times New Roman Regular"/>
          <w:sz w:val="24"/>
          <w:szCs w:val="24"/>
        </w:rPr>
        <w:t>" which conveys the meaning of penetrating or entering quickly.</w:t>
      </w:r>
    </w:p>
    <w:p w14:paraId="0B1087EB" w14:textId="77777777" w:rsidR="00097B97" w:rsidRDefault="00097B97" w:rsidP="00097B97">
      <w:pPr>
        <w:jc w:val="left"/>
        <w:rPr>
          <w:b/>
          <w:bCs/>
        </w:rPr>
      </w:pPr>
      <w:r>
        <w:rPr>
          <w:b/>
          <w:bCs/>
        </w:rPr>
        <w:t xml:space="preserve"> </w:t>
      </w:r>
    </w:p>
    <w:p w14:paraId="143AE657" w14:textId="77777777" w:rsidR="00097B97" w:rsidRDefault="00097B97" w:rsidP="00097B97">
      <w:pPr>
        <w:jc w:val="left"/>
        <w:rPr>
          <w:b/>
          <w:bCs/>
        </w:rPr>
      </w:pPr>
      <w:r>
        <w:rPr>
          <w:b/>
          <w:bCs/>
        </w:rPr>
        <w:t xml:space="preserve"> </w:t>
      </w:r>
    </w:p>
    <w:p w14:paraId="32A35247" w14:textId="77777777" w:rsidR="00097B97" w:rsidRDefault="00097B97" w:rsidP="00097B97">
      <w:pPr>
        <w:jc w:val="left"/>
        <w:rPr>
          <w:b/>
          <w:bCs/>
        </w:rPr>
      </w:pPr>
      <w:r>
        <w:rPr>
          <w:b/>
          <w:bCs/>
        </w:rPr>
        <w:t xml:space="preserve"> </w:t>
      </w:r>
    </w:p>
    <w:p w14:paraId="3E9829E3" w14:textId="77777777" w:rsidR="00097B97" w:rsidRDefault="00097B97" w:rsidP="00097B97">
      <w:pPr>
        <w:jc w:val="left"/>
        <w:rPr>
          <w:b/>
          <w:bCs/>
        </w:rPr>
      </w:pPr>
      <w:r>
        <w:rPr>
          <w:b/>
          <w:bCs/>
        </w:rPr>
        <w:t xml:space="preserve"> </w:t>
      </w:r>
    </w:p>
    <w:p w14:paraId="6E8BB6DD" w14:textId="77777777" w:rsidR="00097B97" w:rsidRDefault="00097B97" w:rsidP="00097B97">
      <w:pPr>
        <w:jc w:val="left"/>
        <w:rPr>
          <w:b/>
          <w:bCs/>
        </w:rPr>
      </w:pPr>
      <w:r>
        <w:rPr>
          <w:b/>
          <w:bCs/>
        </w:rPr>
        <w:t xml:space="preserve"> </w:t>
      </w:r>
    </w:p>
    <w:p w14:paraId="00F32E7B" w14:textId="77777777" w:rsidR="00097B97" w:rsidRDefault="00097B97" w:rsidP="00097B97">
      <w:pPr>
        <w:jc w:val="left"/>
        <w:rPr>
          <w:b/>
          <w:bCs/>
        </w:rPr>
      </w:pPr>
      <w:r>
        <w:rPr>
          <w:b/>
          <w:bCs/>
        </w:rPr>
        <w:t xml:space="preserve"> </w:t>
      </w:r>
    </w:p>
    <w:p w14:paraId="75725F70" w14:textId="4B7A6C26" w:rsidR="00097B97" w:rsidRDefault="00097B97" w:rsidP="002B3CFF">
      <w:pPr>
        <w:jc w:val="left"/>
        <w:rPr>
          <w:b/>
          <w:bCs/>
        </w:rPr>
      </w:pPr>
      <w:r>
        <w:rPr>
          <w:b/>
          <w:bCs/>
        </w:rPr>
        <w:t xml:space="preserve"> </w:t>
      </w:r>
    </w:p>
    <w:p w14:paraId="3A4A43DF" w14:textId="77777777" w:rsidR="00DA018B" w:rsidRDefault="00DA018B" w:rsidP="002B3CFF">
      <w:pPr>
        <w:jc w:val="left"/>
        <w:rPr>
          <w:b/>
          <w:bCs/>
        </w:rPr>
      </w:pPr>
    </w:p>
    <w:p w14:paraId="6C72877F" w14:textId="77777777" w:rsidR="00DA018B" w:rsidRDefault="00DA018B" w:rsidP="002B3CFF">
      <w:pPr>
        <w:jc w:val="left"/>
        <w:rPr>
          <w:b/>
          <w:bCs/>
        </w:rPr>
      </w:pPr>
    </w:p>
    <w:p w14:paraId="1EF4B6DC" w14:textId="77777777" w:rsidR="00DA018B" w:rsidRPr="002B3CFF" w:rsidRDefault="00DA018B" w:rsidP="002B3CFF">
      <w:pPr>
        <w:jc w:val="left"/>
        <w:rPr>
          <w:rFonts w:hint="eastAsia"/>
          <w:b/>
          <w:bCs/>
        </w:rPr>
      </w:pPr>
    </w:p>
    <w:p w14:paraId="3FC43ACE" w14:textId="4C511644" w:rsidR="00097B97" w:rsidRDefault="00097B97" w:rsidP="00097B97">
      <w:pPr>
        <w:pStyle w:val="1"/>
        <w:autoSpaceDE w:val="0"/>
        <w:spacing w:line="480" w:lineRule="auto"/>
        <w:ind w:leftChars="-150" w:left="-315" w:firstLine="482"/>
        <w:jc w:val="center"/>
        <w:rPr>
          <w:b/>
          <w:bCs/>
          <w:sz w:val="24"/>
          <w:szCs w:val="24"/>
        </w:rPr>
      </w:pPr>
      <w:r>
        <w:rPr>
          <w:rFonts w:hint="eastAsia"/>
          <w:b/>
          <w:bCs/>
          <w:sz w:val="24"/>
          <w:szCs w:val="24"/>
        </w:rPr>
        <w:lastRenderedPageBreak/>
        <w:t>Reference</w:t>
      </w:r>
      <w:r w:rsidR="00DA018B">
        <w:rPr>
          <w:rFonts w:hint="eastAsia"/>
          <w:b/>
          <w:bCs/>
          <w:sz w:val="24"/>
          <w:szCs w:val="24"/>
        </w:rPr>
        <w:t>s</w:t>
      </w:r>
    </w:p>
    <w:p w14:paraId="6610D90F" w14:textId="77777777" w:rsidR="00097B97" w:rsidRDefault="00097B97" w:rsidP="00097B97">
      <w:pPr>
        <w:pStyle w:val="1"/>
        <w:numPr>
          <w:ilvl w:val="0"/>
          <w:numId w:val="1"/>
        </w:numPr>
        <w:autoSpaceDE w:val="0"/>
        <w:spacing w:line="480" w:lineRule="auto"/>
        <w:ind w:left="360" w:hangingChars="150" w:hanging="360"/>
        <w:rPr>
          <w:sz w:val="24"/>
          <w:szCs w:val="24"/>
        </w:rPr>
      </w:pPr>
      <w:r>
        <w:rPr>
          <w:sz w:val="24"/>
          <w:szCs w:val="24"/>
        </w:rPr>
        <w:t xml:space="preserve">Minford, J. (1997) </w:t>
      </w:r>
      <w:r>
        <w:rPr>
          <w:i/>
          <w:iCs/>
          <w:sz w:val="24"/>
          <w:szCs w:val="24"/>
        </w:rPr>
        <w:t>The Deer and the Cauldron.</w:t>
      </w:r>
      <w:r>
        <w:rPr>
          <w:sz w:val="24"/>
          <w:szCs w:val="24"/>
        </w:rPr>
        <w:t xml:space="preserve"> Oxford: Oxford University Press.</w:t>
      </w:r>
    </w:p>
    <w:p w14:paraId="2F6407B1" w14:textId="77777777" w:rsidR="00097B97" w:rsidRDefault="00097B97" w:rsidP="00097B97">
      <w:pPr>
        <w:pStyle w:val="1"/>
        <w:autoSpaceDE w:val="0"/>
        <w:spacing w:line="480" w:lineRule="auto"/>
        <w:ind w:leftChars="-150" w:left="-315" w:firstLine="480"/>
        <w:rPr>
          <w:sz w:val="24"/>
          <w:szCs w:val="24"/>
        </w:rPr>
      </w:pPr>
      <w:r>
        <w:rPr>
          <w:sz w:val="24"/>
          <w:szCs w:val="24"/>
        </w:rPr>
        <w:t xml:space="preserve"> </w:t>
      </w:r>
    </w:p>
    <w:p w14:paraId="2B87D2B7" w14:textId="3CBBE43A" w:rsidR="00097B97" w:rsidRDefault="00097B97" w:rsidP="00097B97">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2. Jin, Y. (2013</w:t>
      </w:r>
      <w:r w:rsidR="00DA018B">
        <w:rPr>
          <w:rFonts w:ascii="Helvetica Neue" w:hAnsi="Helvetica Neue"/>
          <w:sz w:val="24"/>
          <w:szCs w:val="24"/>
          <w:shd w:val="clear" w:color="auto" w:fill="FFFFFF"/>
        </w:rPr>
        <w:t>).</w:t>
      </w:r>
      <w:r w:rsidR="00DA018B">
        <w:rPr>
          <w:rFonts w:ascii="宋体" w:hAnsi="宋体" w:hint="eastAsia"/>
          <w:sz w:val="24"/>
          <w:szCs w:val="24"/>
          <w:shd w:val="clear" w:color="auto" w:fill="FFFFFF"/>
        </w:rPr>
        <w:t xml:space="preserve"> 《</w:t>
      </w:r>
      <w:r>
        <w:rPr>
          <w:rFonts w:ascii="宋体" w:hAnsi="宋体" w:hint="eastAsia"/>
          <w:sz w:val="24"/>
          <w:szCs w:val="24"/>
          <w:shd w:val="clear" w:color="auto" w:fill="FFFFFF"/>
        </w:rPr>
        <w:t>鹿鼎记》</w:t>
      </w:r>
      <w:r>
        <w:rPr>
          <w:rFonts w:ascii="Helvetica Neue" w:hAnsi="Helvetica Neue"/>
          <w:sz w:val="24"/>
          <w:szCs w:val="24"/>
          <w:shd w:val="clear" w:color="auto" w:fill="FFFFFF"/>
        </w:rPr>
        <w:t>. Guangzhou: Guangzhou Press.</w:t>
      </w:r>
    </w:p>
    <w:p w14:paraId="14AB7FEA" w14:textId="77777777" w:rsidR="00097B97" w:rsidRDefault="00097B97" w:rsidP="00097B97">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14:paraId="1256E7C9" w14:textId="77777777" w:rsidR="00097B97" w:rsidRDefault="00097B97" w:rsidP="00097B97">
      <w:pPr>
        <w:pStyle w:val="1"/>
        <w:autoSpaceDE w:val="0"/>
        <w:spacing w:line="480" w:lineRule="auto"/>
        <w:ind w:left="360" w:hangingChars="150" w:hanging="360"/>
        <w:rPr>
          <w:rFonts w:ascii="Helvetica Neue" w:hAnsi="Helvetica Neue"/>
          <w:sz w:val="24"/>
          <w:szCs w:val="24"/>
          <w:shd w:val="clear" w:color="auto" w:fill="FFFFFF"/>
        </w:rPr>
      </w:pPr>
      <w:r>
        <w:rPr>
          <w:sz w:val="24"/>
          <w:szCs w:val="24"/>
        </w:rPr>
        <w:t xml:space="preserve">3. Xu J. (2006) ‘Chinese Chivalry and Western Knight Spirit’, </w:t>
      </w:r>
      <w:r>
        <w:rPr>
          <w:i/>
          <w:iCs/>
          <w:sz w:val="24"/>
          <w:szCs w:val="24"/>
        </w:rPr>
        <w:t xml:space="preserve">Journal of Huangshan University, </w:t>
      </w:r>
      <w:r>
        <w:rPr>
          <w:sz w:val="24"/>
          <w:szCs w:val="24"/>
        </w:rPr>
        <w:t>8(2), pp. 65-68.</w:t>
      </w:r>
    </w:p>
    <w:p w14:paraId="2B06D134" w14:textId="77777777" w:rsidR="00097B97" w:rsidRDefault="00097B97" w:rsidP="00097B97">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14:paraId="3F9480CC" w14:textId="77777777" w:rsidR="00097B97" w:rsidRDefault="00097B97" w:rsidP="00097B97">
      <w:pPr>
        <w:pStyle w:val="1"/>
        <w:autoSpaceDE w:val="0"/>
        <w:spacing w:line="480" w:lineRule="auto"/>
        <w:ind w:left="360" w:hangingChars="150" w:hanging="360"/>
        <w:rPr>
          <w:rFonts w:ascii="Helvetica Neue" w:hAnsi="Helvetica Neue"/>
          <w:sz w:val="24"/>
          <w:szCs w:val="24"/>
          <w:shd w:val="clear" w:color="auto" w:fill="FFFFFF"/>
        </w:rPr>
      </w:pPr>
      <w:r>
        <w:rPr>
          <w:sz w:val="24"/>
          <w:szCs w:val="24"/>
        </w:rPr>
        <w:t>4. Yu-</w:t>
      </w:r>
      <w:proofErr w:type="spellStart"/>
      <w:r>
        <w:rPr>
          <w:sz w:val="24"/>
          <w:szCs w:val="24"/>
        </w:rPr>
        <w:t>guang</w:t>
      </w:r>
      <w:proofErr w:type="spellEnd"/>
      <w:r>
        <w:rPr>
          <w:sz w:val="24"/>
          <w:szCs w:val="24"/>
        </w:rPr>
        <w:t xml:space="preserve">, W. (2010). ‘On the English Version of The Deer and the Cauldron from the Perspective of Semantic Translation and Communicative Translation’. </w:t>
      </w:r>
      <w:r>
        <w:rPr>
          <w:i/>
          <w:iCs/>
          <w:sz w:val="24"/>
          <w:szCs w:val="24"/>
        </w:rPr>
        <w:t xml:space="preserve">Journal of </w:t>
      </w:r>
      <w:proofErr w:type="spellStart"/>
      <w:r>
        <w:rPr>
          <w:i/>
          <w:iCs/>
          <w:sz w:val="24"/>
          <w:szCs w:val="24"/>
        </w:rPr>
        <w:t>Huaihua</w:t>
      </w:r>
      <w:proofErr w:type="spellEnd"/>
      <w:r>
        <w:rPr>
          <w:i/>
          <w:iCs/>
          <w:sz w:val="24"/>
          <w:szCs w:val="24"/>
        </w:rPr>
        <w:t xml:space="preserve"> University</w:t>
      </w:r>
      <w:r>
        <w:rPr>
          <w:sz w:val="24"/>
          <w:szCs w:val="24"/>
        </w:rPr>
        <w:t>. 6(3), pp. 77-96.</w:t>
      </w:r>
    </w:p>
    <w:p w14:paraId="3F1DE1D5" w14:textId="77777777" w:rsidR="00097B97" w:rsidRDefault="00097B97" w:rsidP="00097B97">
      <w:pPr>
        <w:pStyle w:val="1"/>
        <w:autoSpaceDE w:val="0"/>
        <w:spacing w:line="480" w:lineRule="auto"/>
        <w:ind w:firstLine="480"/>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14:paraId="786D8C68" w14:textId="77777777" w:rsidR="00097B97" w:rsidRDefault="00097B97" w:rsidP="00097B97">
      <w:pPr>
        <w:pStyle w:val="1"/>
        <w:autoSpaceDE w:val="0"/>
        <w:spacing w:line="480" w:lineRule="auto"/>
        <w:ind w:left="240" w:hangingChars="100" w:hanging="240"/>
        <w:rPr>
          <w:sz w:val="24"/>
          <w:szCs w:val="24"/>
        </w:rPr>
      </w:pPr>
      <w:r>
        <w:rPr>
          <w:sz w:val="24"/>
          <w:szCs w:val="24"/>
        </w:rPr>
        <w:t xml:space="preserve">5. Salinger, J. (1991). </w:t>
      </w:r>
      <w:r>
        <w:rPr>
          <w:i/>
          <w:iCs/>
          <w:sz w:val="24"/>
          <w:szCs w:val="24"/>
        </w:rPr>
        <w:t>The Catcher in the Rye. New York</w:t>
      </w:r>
      <w:r>
        <w:rPr>
          <w:sz w:val="24"/>
          <w:szCs w:val="24"/>
        </w:rPr>
        <w:t>, NY: Little, Brown and Company.</w:t>
      </w:r>
    </w:p>
    <w:p w14:paraId="1DB05E6E" w14:textId="77777777" w:rsidR="00097B97" w:rsidRDefault="00097B97" w:rsidP="00097B97">
      <w:pPr>
        <w:pStyle w:val="1"/>
        <w:autoSpaceDE w:val="0"/>
        <w:spacing w:line="480" w:lineRule="auto"/>
        <w:ind w:firstLine="480"/>
        <w:rPr>
          <w:rFonts w:ascii="Helvetica Neue" w:hAnsi="Helvetica Neue"/>
          <w:sz w:val="24"/>
          <w:szCs w:val="24"/>
          <w:shd w:val="clear" w:color="auto" w:fill="FFFFFF"/>
        </w:rPr>
      </w:pPr>
      <w:r>
        <w:rPr>
          <w:rFonts w:ascii="Helvetica Neue" w:hAnsi="Helvetica Neue" w:hint="eastAsia"/>
          <w:sz w:val="24"/>
          <w:szCs w:val="24"/>
          <w:shd w:val="clear" w:color="auto" w:fill="FFFFFF"/>
        </w:rPr>
        <w:t xml:space="preserve"> </w:t>
      </w:r>
    </w:p>
    <w:p w14:paraId="12236420" w14:textId="53649E30" w:rsidR="00097B97" w:rsidRDefault="00097B97" w:rsidP="00097B97">
      <w:pPr>
        <w:pStyle w:val="1"/>
        <w:numPr>
          <w:ilvl w:val="0"/>
          <w:numId w:val="2"/>
        </w:numPr>
        <w:autoSpaceDE w:val="0"/>
        <w:spacing w:line="480" w:lineRule="auto"/>
        <w:ind w:left="360" w:hangingChars="150" w:hanging="360"/>
        <w:rPr>
          <w:rFonts w:ascii="Helvetica Neue" w:hAnsi="Helvetica Neue"/>
          <w:sz w:val="24"/>
          <w:szCs w:val="24"/>
          <w:shd w:val="clear" w:color="auto" w:fill="FFFFFF"/>
        </w:rPr>
      </w:pPr>
      <w:r>
        <w:rPr>
          <w:sz w:val="24"/>
          <w:szCs w:val="24"/>
        </w:rPr>
        <w:t>Ma, H</w:t>
      </w:r>
      <w:r>
        <w:rPr>
          <w:rFonts w:hint="eastAsia"/>
          <w:sz w:val="24"/>
          <w:szCs w:val="24"/>
        </w:rPr>
        <w:t>.</w:t>
      </w:r>
      <w:r>
        <w:rPr>
          <w:sz w:val="24"/>
          <w:szCs w:val="24"/>
        </w:rPr>
        <w:t xml:space="preserve"> (2016) ‘Survival through Laughter: A Fun </w:t>
      </w:r>
      <w:r w:rsidR="00DA018B">
        <w:rPr>
          <w:sz w:val="24"/>
          <w:szCs w:val="24"/>
        </w:rPr>
        <w:t>Kungfu</w:t>
      </w:r>
      <w:r>
        <w:rPr>
          <w:sz w:val="24"/>
          <w:szCs w:val="24"/>
        </w:rPr>
        <w:t xml:space="preserve">: The Story of the Deer and the Cauldron. In: </w:t>
      </w:r>
      <w:proofErr w:type="spellStart"/>
      <w:r>
        <w:rPr>
          <w:sz w:val="24"/>
          <w:szCs w:val="24"/>
        </w:rPr>
        <w:t>Ruru</w:t>
      </w:r>
      <w:proofErr w:type="spellEnd"/>
      <w:r>
        <w:rPr>
          <w:sz w:val="24"/>
          <w:szCs w:val="24"/>
        </w:rPr>
        <w:t xml:space="preserve">, L, (ed.) Staging China: New Theatres in the Twenty-First </w:t>
      </w:r>
      <w:r>
        <w:rPr>
          <w:sz w:val="24"/>
          <w:szCs w:val="24"/>
        </w:rPr>
        <w:lastRenderedPageBreak/>
        <w:t xml:space="preserve">Century’, </w:t>
      </w:r>
      <w:r>
        <w:rPr>
          <w:i/>
          <w:iCs/>
          <w:sz w:val="24"/>
          <w:szCs w:val="24"/>
        </w:rPr>
        <w:t xml:space="preserve">Chinese Literature and Culture in the </w:t>
      </w:r>
      <w:r w:rsidR="00DA018B">
        <w:rPr>
          <w:i/>
          <w:iCs/>
          <w:sz w:val="24"/>
          <w:szCs w:val="24"/>
        </w:rPr>
        <w:t>World:</w:t>
      </w:r>
      <w:r>
        <w:rPr>
          <w:sz w:val="24"/>
          <w:szCs w:val="24"/>
        </w:rPr>
        <w:t xml:space="preserve"> Hampshire, UK, pp. 141-158. </w:t>
      </w:r>
    </w:p>
    <w:p w14:paraId="72C4E202" w14:textId="77777777" w:rsidR="00097B97" w:rsidRDefault="00097B97" w:rsidP="00097B97">
      <w:pPr>
        <w:autoSpaceDE w:val="0"/>
        <w:spacing w:line="480" w:lineRule="auto"/>
        <w:rPr>
          <w:sz w:val="24"/>
          <w:szCs w:val="24"/>
        </w:rPr>
      </w:pPr>
      <w:r>
        <w:rPr>
          <w:sz w:val="24"/>
          <w:szCs w:val="24"/>
        </w:rPr>
        <w:t xml:space="preserve"> </w:t>
      </w:r>
    </w:p>
    <w:p w14:paraId="061F6463" w14:textId="77777777" w:rsidR="00097B97" w:rsidRDefault="00097B97" w:rsidP="00097B97">
      <w:pPr>
        <w:pStyle w:val="1"/>
        <w:autoSpaceDE w:val="0"/>
        <w:spacing w:line="480" w:lineRule="auto"/>
        <w:ind w:left="240" w:hangingChars="100" w:hanging="240"/>
        <w:rPr>
          <w:sz w:val="24"/>
          <w:szCs w:val="24"/>
        </w:rPr>
      </w:pPr>
      <w:r>
        <w:rPr>
          <w:sz w:val="24"/>
          <w:szCs w:val="24"/>
        </w:rPr>
        <w:t xml:space="preserve">7. Yu Y. (2018) </w:t>
      </w:r>
      <w:r>
        <w:rPr>
          <w:i/>
          <w:iCs/>
          <w:sz w:val="24"/>
          <w:szCs w:val="24"/>
        </w:rPr>
        <w:t xml:space="preserve">‘Xia and Chinese Culture, Liu </w:t>
      </w:r>
      <w:proofErr w:type="spellStart"/>
      <w:r>
        <w:rPr>
          <w:i/>
          <w:iCs/>
          <w:sz w:val="24"/>
          <w:szCs w:val="24"/>
        </w:rPr>
        <w:t>Shaoming</w:t>
      </w:r>
      <w:proofErr w:type="spellEnd"/>
      <w:r>
        <w:rPr>
          <w:i/>
          <w:iCs/>
          <w:sz w:val="24"/>
          <w:szCs w:val="24"/>
        </w:rPr>
        <w:t xml:space="preserve">, Chen Yongming eds’. </w:t>
      </w:r>
      <w:r>
        <w:rPr>
          <w:sz w:val="24"/>
          <w:szCs w:val="24"/>
        </w:rPr>
        <w:t xml:space="preserve">Papers on Martial Arts Fictions. [A]. Hong Kong: </w:t>
      </w:r>
      <w:proofErr w:type="spellStart"/>
      <w:r>
        <w:rPr>
          <w:sz w:val="24"/>
          <w:szCs w:val="24"/>
        </w:rPr>
        <w:t>Mingheshe</w:t>
      </w:r>
      <w:proofErr w:type="spellEnd"/>
      <w:r>
        <w:rPr>
          <w:sz w:val="24"/>
          <w:szCs w:val="24"/>
        </w:rPr>
        <w:t>.</w:t>
      </w:r>
    </w:p>
    <w:p w14:paraId="7D5ACE9A" w14:textId="77777777" w:rsidR="00097B97" w:rsidRDefault="00097B97" w:rsidP="00097B97">
      <w:pPr>
        <w:autoSpaceDE w:val="0"/>
        <w:spacing w:line="480" w:lineRule="auto"/>
        <w:rPr>
          <w:sz w:val="24"/>
          <w:szCs w:val="24"/>
        </w:rPr>
      </w:pPr>
      <w:r>
        <w:rPr>
          <w:rFonts w:hint="eastAsia"/>
          <w:sz w:val="24"/>
          <w:szCs w:val="24"/>
        </w:rPr>
        <w:t xml:space="preserve"> </w:t>
      </w:r>
    </w:p>
    <w:p w14:paraId="1FB4E355" w14:textId="77777777" w:rsidR="00097B97" w:rsidRDefault="00097B97" w:rsidP="00097B97">
      <w:pPr>
        <w:pStyle w:val="1"/>
        <w:autoSpaceDE w:val="0"/>
        <w:spacing w:line="480" w:lineRule="auto"/>
        <w:ind w:left="240" w:hangingChars="100" w:hanging="240"/>
        <w:rPr>
          <w:sz w:val="24"/>
          <w:szCs w:val="24"/>
        </w:rPr>
      </w:pPr>
      <w:r>
        <w:rPr>
          <w:sz w:val="24"/>
          <w:szCs w:val="24"/>
        </w:rPr>
        <w:t>8. Cong-</w:t>
      </w:r>
      <w:proofErr w:type="spellStart"/>
      <w:r>
        <w:rPr>
          <w:sz w:val="24"/>
          <w:szCs w:val="24"/>
        </w:rPr>
        <w:t>ming</w:t>
      </w:r>
      <w:proofErr w:type="spellEnd"/>
      <w:r>
        <w:rPr>
          <w:sz w:val="24"/>
          <w:szCs w:val="24"/>
        </w:rPr>
        <w:t>, W. (2011) ‘Translation limitation of foul language in The Deer and the Cauldron’.</w:t>
      </w:r>
    </w:p>
    <w:p w14:paraId="7981F13E" w14:textId="77777777" w:rsidR="00097B97" w:rsidRDefault="00097B97" w:rsidP="00097B97">
      <w:pPr>
        <w:autoSpaceDE w:val="0"/>
        <w:spacing w:line="480" w:lineRule="auto"/>
        <w:rPr>
          <w:rFonts w:ascii="Courier New" w:hAnsi="Courier New" w:cs="Courier New"/>
          <w:sz w:val="24"/>
          <w:szCs w:val="24"/>
          <w:shd w:val="clear" w:color="auto" w:fill="EFF2F4"/>
        </w:rPr>
      </w:pPr>
      <w:r>
        <w:rPr>
          <w:rFonts w:ascii="Courier New" w:hAnsi="Courier New" w:cs="Courier New"/>
          <w:sz w:val="24"/>
          <w:szCs w:val="24"/>
          <w:shd w:val="clear" w:color="auto" w:fill="EFF2F4"/>
        </w:rPr>
        <w:t xml:space="preserve"> </w:t>
      </w:r>
    </w:p>
    <w:p w14:paraId="0910CEAA" w14:textId="77777777" w:rsidR="00097B97" w:rsidRDefault="00097B97" w:rsidP="00097B97">
      <w:pPr>
        <w:pStyle w:val="1"/>
        <w:autoSpaceDE w:val="0"/>
        <w:spacing w:line="480" w:lineRule="auto"/>
        <w:ind w:left="360" w:hangingChars="150" w:hanging="360"/>
        <w:rPr>
          <w:sz w:val="24"/>
          <w:szCs w:val="24"/>
        </w:rPr>
      </w:pPr>
      <w:r>
        <w:rPr>
          <w:sz w:val="24"/>
          <w:szCs w:val="24"/>
        </w:rPr>
        <w:t>9. Kan, W. (2021) ‘Reception of Jin Yong’s Wuxia Novels in English and French: A Sentiment Analysis with Reflection’.</w:t>
      </w:r>
      <w:r>
        <w:rPr>
          <w:i/>
          <w:iCs/>
          <w:sz w:val="24"/>
          <w:szCs w:val="24"/>
        </w:rPr>
        <w:t xml:space="preserve"> International Journal of Linguistics, Literature and Translation, </w:t>
      </w:r>
      <w:r>
        <w:rPr>
          <w:sz w:val="24"/>
          <w:szCs w:val="24"/>
        </w:rPr>
        <w:t xml:space="preserve">4(2). pp. 117~123. </w:t>
      </w:r>
      <w:proofErr w:type="spellStart"/>
      <w:r>
        <w:rPr>
          <w:sz w:val="24"/>
          <w:szCs w:val="24"/>
        </w:rPr>
        <w:t>doi</w:t>
      </w:r>
      <w:proofErr w:type="spellEnd"/>
      <w:r>
        <w:rPr>
          <w:sz w:val="24"/>
          <w:szCs w:val="24"/>
        </w:rPr>
        <w:t xml:space="preserve"> 10.32996/</w:t>
      </w:r>
      <w:proofErr w:type="spellStart"/>
      <w:r>
        <w:rPr>
          <w:sz w:val="24"/>
          <w:szCs w:val="24"/>
        </w:rPr>
        <w:t>ijllt</w:t>
      </w:r>
      <w:proofErr w:type="spellEnd"/>
    </w:p>
    <w:p w14:paraId="64D4FC0A" w14:textId="77777777" w:rsidR="00097B97" w:rsidRDefault="00097B97" w:rsidP="00097B97">
      <w:pPr>
        <w:autoSpaceDE w:val="0"/>
        <w:spacing w:line="480" w:lineRule="auto"/>
        <w:rPr>
          <w:sz w:val="24"/>
          <w:szCs w:val="24"/>
        </w:rPr>
      </w:pPr>
      <w:r>
        <w:rPr>
          <w:sz w:val="24"/>
          <w:szCs w:val="24"/>
        </w:rPr>
        <w:t xml:space="preserve"> </w:t>
      </w:r>
    </w:p>
    <w:p w14:paraId="59D5F2E2" w14:textId="77777777" w:rsidR="00097B97" w:rsidRDefault="00097B97" w:rsidP="00097B97">
      <w:pPr>
        <w:pStyle w:val="1"/>
        <w:autoSpaceDE w:val="0"/>
        <w:spacing w:line="480" w:lineRule="auto"/>
        <w:ind w:left="480" w:hangingChars="200" w:hanging="480"/>
        <w:rPr>
          <w:rFonts w:ascii="Times New Roman" w:hAnsi="Times New Roman"/>
          <w:sz w:val="24"/>
          <w:szCs w:val="24"/>
        </w:rPr>
      </w:pPr>
      <w:r>
        <w:rPr>
          <w:rFonts w:ascii="Times New Roman" w:hAnsi="Times New Roman"/>
          <w:sz w:val="24"/>
          <w:szCs w:val="24"/>
        </w:rPr>
        <w:t xml:space="preserve">10. Zeng Qi. (2001). On Chinese-English Translation of Chinese Idioms from the View of Culture Translation Theory. </w:t>
      </w:r>
      <w:r>
        <w:rPr>
          <w:rFonts w:ascii="Times New Roman" w:hAnsi="Times New Roman"/>
          <w:i/>
          <w:iCs/>
          <w:sz w:val="24"/>
          <w:szCs w:val="24"/>
        </w:rPr>
        <w:t>Journal of Hubei Institute for Nationalities</w:t>
      </w:r>
      <w:r>
        <w:rPr>
          <w:rFonts w:ascii="Times New Roman" w:hAnsi="Times New Roman"/>
          <w:sz w:val="24"/>
          <w:szCs w:val="24"/>
        </w:rPr>
        <w:t xml:space="preserve"> 3, 70-73</w:t>
      </w:r>
    </w:p>
    <w:p w14:paraId="7FD3AD7A" w14:textId="77777777" w:rsidR="00097B97" w:rsidRDefault="00097B97" w:rsidP="00097B97">
      <w:pPr>
        <w:autoSpaceDE w:val="0"/>
        <w:spacing w:line="480" w:lineRule="auto"/>
        <w:rPr>
          <w:sz w:val="24"/>
          <w:szCs w:val="24"/>
        </w:rPr>
      </w:pPr>
      <w:r>
        <w:rPr>
          <w:rFonts w:hint="eastAsia"/>
          <w:sz w:val="24"/>
          <w:szCs w:val="24"/>
        </w:rPr>
        <w:t xml:space="preserve"> </w:t>
      </w:r>
    </w:p>
    <w:p w14:paraId="76B3184E" w14:textId="77777777" w:rsidR="00097B97" w:rsidRDefault="00097B97" w:rsidP="00097B97">
      <w:pPr>
        <w:pStyle w:val="1"/>
        <w:autoSpaceDE w:val="0"/>
        <w:spacing w:line="480" w:lineRule="auto"/>
        <w:ind w:left="360" w:hangingChars="150" w:hanging="360"/>
        <w:rPr>
          <w:i/>
          <w:iCs/>
          <w:sz w:val="24"/>
          <w:szCs w:val="24"/>
        </w:rPr>
      </w:pPr>
      <w:r>
        <w:rPr>
          <w:sz w:val="24"/>
          <w:szCs w:val="24"/>
        </w:rPr>
        <w:lastRenderedPageBreak/>
        <w:t xml:space="preserve">11. Shen (2020). On the Translation of Xia Culture in Chinese Martial Arts Novels under the Background of Cultural Confidence based on Legends of the Condor Heroes. </w:t>
      </w:r>
      <w:r>
        <w:rPr>
          <w:i/>
          <w:iCs/>
          <w:sz w:val="24"/>
          <w:szCs w:val="24"/>
        </w:rPr>
        <w:t>International Journal of English Literature and Social Sciences Vol6</w:t>
      </w:r>
      <w:r>
        <w:rPr>
          <w:sz w:val="24"/>
          <w:szCs w:val="24"/>
        </w:rPr>
        <w:t xml:space="preserve"> (1) PP. 33~40. 10.22161/</w:t>
      </w:r>
      <w:proofErr w:type="spellStart"/>
      <w:r>
        <w:rPr>
          <w:sz w:val="24"/>
          <w:szCs w:val="24"/>
        </w:rPr>
        <w:t>ijels</w:t>
      </w:r>
      <w:proofErr w:type="spellEnd"/>
    </w:p>
    <w:p w14:paraId="4FB85342" w14:textId="77777777" w:rsidR="00097B97" w:rsidRDefault="00097B97" w:rsidP="00097B97">
      <w:pPr>
        <w:pStyle w:val="1"/>
        <w:autoSpaceDE w:val="0"/>
        <w:spacing w:line="480" w:lineRule="auto"/>
        <w:ind w:firstLine="480"/>
        <w:rPr>
          <w:i/>
          <w:iCs/>
          <w:sz w:val="24"/>
          <w:szCs w:val="24"/>
        </w:rPr>
      </w:pPr>
      <w:r>
        <w:rPr>
          <w:rFonts w:hint="eastAsia"/>
          <w:i/>
          <w:iCs/>
          <w:sz w:val="24"/>
          <w:szCs w:val="24"/>
        </w:rPr>
        <w:t xml:space="preserve"> </w:t>
      </w:r>
    </w:p>
    <w:p w14:paraId="6D5EEC9B" w14:textId="77777777" w:rsidR="00097B97" w:rsidRDefault="00097B97" w:rsidP="00097B97">
      <w:pPr>
        <w:pStyle w:val="1"/>
        <w:autoSpaceDE w:val="0"/>
        <w:spacing w:line="480" w:lineRule="auto"/>
        <w:ind w:left="480" w:hangingChars="200" w:hanging="480"/>
        <w:rPr>
          <w:rFonts w:ascii="Courier New" w:hAnsi="Courier New" w:cs="Courier New"/>
          <w:sz w:val="24"/>
          <w:szCs w:val="24"/>
          <w:shd w:val="clear" w:color="auto" w:fill="EFF2F4"/>
        </w:rPr>
      </w:pPr>
      <w:r>
        <w:rPr>
          <w:sz w:val="24"/>
          <w:szCs w:val="24"/>
        </w:rPr>
        <w:t xml:space="preserve">12. Hamm, J. (2010). </w:t>
      </w:r>
      <w:r>
        <w:rPr>
          <w:i/>
          <w:iCs/>
          <w:sz w:val="24"/>
          <w:szCs w:val="24"/>
        </w:rPr>
        <w:t xml:space="preserve">Paper Swordsmen: Jin Yong and the Modern Chinese Martial Arts Novel. </w:t>
      </w:r>
      <w:r>
        <w:rPr>
          <w:sz w:val="24"/>
          <w:szCs w:val="24"/>
        </w:rPr>
        <w:t xml:space="preserve">University of Hawai’i Press. </w:t>
      </w:r>
    </w:p>
    <w:p w14:paraId="6DA7EA25" w14:textId="77777777" w:rsidR="00097B97" w:rsidRDefault="00097B97" w:rsidP="00097B97">
      <w:pPr>
        <w:pStyle w:val="1"/>
        <w:autoSpaceDE w:val="0"/>
        <w:spacing w:line="480" w:lineRule="auto"/>
        <w:ind w:firstLine="480"/>
        <w:rPr>
          <w:rFonts w:ascii="Courier New" w:hAnsi="Courier New" w:cs="Courier New"/>
          <w:sz w:val="24"/>
          <w:szCs w:val="24"/>
          <w:shd w:val="clear" w:color="auto" w:fill="EFF2F4"/>
        </w:rPr>
      </w:pPr>
      <w:r>
        <w:rPr>
          <w:rFonts w:ascii="Courier New" w:hAnsi="Courier New" w:cs="Courier New" w:hint="eastAsia"/>
          <w:sz w:val="24"/>
          <w:szCs w:val="24"/>
          <w:shd w:val="clear" w:color="auto" w:fill="EFF2F4"/>
        </w:rPr>
        <w:t xml:space="preserve"> </w:t>
      </w:r>
    </w:p>
    <w:p w14:paraId="5DCE86C0" w14:textId="77777777" w:rsidR="00097B97" w:rsidRDefault="00097B97" w:rsidP="00097B97">
      <w:pPr>
        <w:pStyle w:val="1"/>
        <w:autoSpaceDE w:val="0"/>
        <w:spacing w:line="480" w:lineRule="auto"/>
        <w:ind w:firstLine="480"/>
        <w:rPr>
          <w:rFonts w:ascii="Courier New" w:hAnsi="Courier New" w:cs="Courier New"/>
          <w:sz w:val="24"/>
          <w:szCs w:val="24"/>
          <w:shd w:val="clear" w:color="auto" w:fill="EFF2F4"/>
        </w:rPr>
      </w:pPr>
      <w:r>
        <w:rPr>
          <w:rStyle w:val="20"/>
          <w:rFonts w:ascii="Arial" w:hAnsi="Arial" w:cs="Arial"/>
          <w:sz w:val="24"/>
          <w:szCs w:val="24"/>
          <w:shd w:val="clear" w:color="auto" w:fill="FFFFFF"/>
        </w:rPr>
        <w:t xml:space="preserve">13. </w:t>
      </w:r>
      <w:proofErr w:type="spellStart"/>
      <w:r>
        <w:rPr>
          <w:rStyle w:val="20"/>
          <w:rFonts w:ascii="Arial" w:hAnsi="Arial" w:cs="Arial"/>
          <w:sz w:val="24"/>
          <w:szCs w:val="24"/>
          <w:shd w:val="clear" w:color="auto" w:fill="FFFFFF"/>
        </w:rPr>
        <w:t>Hongtao</w:t>
      </w:r>
      <w:proofErr w:type="spellEnd"/>
      <w:r>
        <w:rPr>
          <w:rStyle w:val="20"/>
          <w:rFonts w:ascii="Arial" w:hAnsi="Arial" w:cs="Arial"/>
          <w:sz w:val="24"/>
          <w:szCs w:val="24"/>
          <w:shd w:val="clear" w:color="auto" w:fill="FFFFFF"/>
        </w:rPr>
        <w:t>,</w:t>
      </w:r>
      <w:r>
        <w:rPr>
          <w:rStyle w:val="18"/>
          <w:rFonts w:ascii="Arial" w:hAnsi="Arial" w:cs="Arial"/>
          <w:sz w:val="24"/>
          <w:szCs w:val="24"/>
          <w:shd w:val="clear" w:color="auto" w:fill="FFFFFF"/>
        </w:rPr>
        <w:t xml:space="preserve"> </w:t>
      </w:r>
      <w:r>
        <w:rPr>
          <w:rStyle w:val="20"/>
          <w:rFonts w:ascii="Arial" w:hAnsi="Arial" w:cs="Arial"/>
          <w:sz w:val="24"/>
          <w:szCs w:val="24"/>
          <w:shd w:val="clear" w:color="auto" w:fill="FFFFFF"/>
        </w:rPr>
        <w:t>L.</w:t>
      </w:r>
      <w:r>
        <w:rPr>
          <w:rFonts w:ascii="Arial" w:hAnsi="Arial" w:cs="Arial"/>
          <w:sz w:val="24"/>
          <w:szCs w:val="24"/>
          <w:shd w:val="clear" w:color="auto" w:fill="FFFFFF"/>
        </w:rPr>
        <w:t xml:space="preserve"> </w:t>
      </w:r>
      <w:r>
        <w:rPr>
          <w:rStyle w:val="19"/>
          <w:rFonts w:ascii="Arial" w:hAnsi="Arial" w:cs="Arial"/>
          <w:sz w:val="24"/>
          <w:szCs w:val="24"/>
          <w:shd w:val="clear" w:color="auto" w:fill="FFFFFF"/>
        </w:rPr>
        <w:t>(2019)</w:t>
      </w:r>
      <w:r>
        <w:rPr>
          <w:rFonts w:ascii="Arial" w:hAnsi="Arial" w:cs="Arial"/>
          <w:sz w:val="24"/>
          <w:szCs w:val="24"/>
          <w:shd w:val="clear" w:color="auto" w:fill="FFFFFF"/>
        </w:rPr>
        <w:t xml:space="preserve"> ‘</w:t>
      </w:r>
      <w:r>
        <w:rPr>
          <w:rStyle w:val="17"/>
          <w:rFonts w:ascii="Arial" w:hAnsi="Arial" w:cs="Arial"/>
          <w:sz w:val="24"/>
          <w:szCs w:val="24"/>
          <w:shd w:val="clear" w:color="auto" w:fill="FFFFFF"/>
        </w:rPr>
        <w:t>Jin Yong’,</w:t>
      </w:r>
      <w:r>
        <w:rPr>
          <w:rFonts w:ascii="Arial" w:hAnsi="Arial" w:cs="Arial"/>
          <w:i/>
          <w:iCs/>
          <w:sz w:val="24"/>
          <w:szCs w:val="24"/>
          <w:shd w:val="clear" w:color="auto" w:fill="FFFFFF"/>
        </w:rPr>
        <w:t xml:space="preserve"> </w:t>
      </w:r>
      <w:r>
        <w:rPr>
          <w:rStyle w:val="16"/>
          <w:rFonts w:ascii="Arial" w:hAnsi="Arial" w:cs="Arial"/>
          <w:i/>
          <w:iCs/>
          <w:sz w:val="24"/>
          <w:szCs w:val="24"/>
          <w:shd w:val="clear" w:color="auto" w:fill="FFFFFF"/>
        </w:rPr>
        <w:t>Chinese Literature Today</w:t>
      </w:r>
      <w:r>
        <w:rPr>
          <w:rStyle w:val="16"/>
          <w:rFonts w:ascii="Arial" w:hAnsi="Arial" w:cs="Arial"/>
          <w:sz w:val="24"/>
          <w:szCs w:val="24"/>
          <w:shd w:val="clear" w:color="auto" w:fill="FFFFFF"/>
        </w:rPr>
        <w:t>,</w:t>
      </w:r>
      <w:r>
        <w:rPr>
          <w:rFonts w:ascii="Arial" w:hAnsi="Arial" w:cs="Arial"/>
          <w:sz w:val="24"/>
          <w:szCs w:val="24"/>
          <w:shd w:val="clear" w:color="auto" w:fill="FFFFFF"/>
        </w:rPr>
        <w:t xml:space="preserve"> </w:t>
      </w:r>
      <w:r>
        <w:rPr>
          <w:rStyle w:val="15"/>
          <w:rFonts w:ascii="Arial" w:hAnsi="Arial" w:cs="Arial"/>
          <w:sz w:val="24"/>
          <w:szCs w:val="24"/>
          <w:shd w:val="clear" w:color="auto" w:fill="FFFFFF"/>
        </w:rPr>
        <w:t>8(2) pp.</w:t>
      </w:r>
      <w:r>
        <w:rPr>
          <w:rFonts w:ascii="Arial" w:hAnsi="Arial" w:cs="Arial"/>
          <w:sz w:val="24"/>
          <w:szCs w:val="24"/>
          <w:shd w:val="clear" w:color="auto" w:fill="FFFFFF"/>
        </w:rPr>
        <w:t xml:space="preserve"> </w:t>
      </w:r>
      <w:r>
        <w:rPr>
          <w:rStyle w:val="21"/>
          <w:rFonts w:ascii="Arial" w:hAnsi="Arial" w:cs="Arial"/>
          <w:sz w:val="24"/>
          <w:szCs w:val="24"/>
          <w:shd w:val="clear" w:color="auto" w:fill="FFFFFF"/>
        </w:rPr>
        <w:t>66-67,</w:t>
      </w:r>
      <w:r>
        <w:rPr>
          <w:rFonts w:ascii="Arial" w:hAnsi="Arial" w:cs="Arial"/>
          <w:sz w:val="24"/>
          <w:szCs w:val="24"/>
          <w:shd w:val="clear" w:color="auto" w:fill="FFFFFF"/>
        </w:rPr>
        <w:t xml:space="preserve"> </w:t>
      </w:r>
      <w:r>
        <w:rPr>
          <w:rFonts w:ascii="Courier New" w:hAnsi="Courier New" w:cs="Courier New" w:hint="eastAsia"/>
          <w:sz w:val="24"/>
          <w:szCs w:val="24"/>
          <w:shd w:val="clear" w:color="auto" w:fill="EFF2F4"/>
        </w:rPr>
        <w:t xml:space="preserve"> </w:t>
      </w:r>
    </w:p>
    <w:p w14:paraId="57145096" w14:textId="77777777" w:rsidR="00097B97" w:rsidRDefault="00097B97" w:rsidP="00097B97">
      <w:pPr>
        <w:pStyle w:val="1"/>
        <w:autoSpaceDE w:val="0"/>
        <w:spacing w:line="480" w:lineRule="auto"/>
        <w:ind w:firstLine="480"/>
        <w:rPr>
          <w:rFonts w:ascii="Courier New" w:hAnsi="Courier New" w:cs="Courier New"/>
          <w:sz w:val="24"/>
          <w:szCs w:val="24"/>
          <w:shd w:val="clear" w:color="auto" w:fill="EFF2F4"/>
        </w:rPr>
      </w:pPr>
      <w:r>
        <w:rPr>
          <w:rFonts w:ascii="Courier New" w:hAnsi="Courier New" w:cs="Courier New" w:hint="eastAsia"/>
          <w:sz w:val="24"/>
          <w:szCs w:val="24"/>
          <w:shd w:val="clear" w:color="auto" w:fill="EFF2F4"/>
        </w:rPr>
        <w:t xml:space="preserve"> </w:t>
      </w:r>
    </w:p>
    <w:p w14:paraId="4164665B" w14:textId="77777777" w:rsidR="00097B97" w:rsidRDefault="00097B97" w:rsidP="00097B97">
      <w:pPr>
        <w:pStyle w:val="1"/>
        <w:widowControl/>
        <w:autoSpaceDE w:val="0"/>
        <w:spacing w:line="480" w:lineRule="auto"/>
        <w:ind w:left="360" w:hangingChars="150" w:hanging="360"/>
        <w:jc w:val="left"/>
        <w:rPr>
          <w:sz w:val="24"/>
          <w:szCs w:val="24"/>
        </w:rPr>
      </w:pPr>
      <w:r>
        <w:rPr>
          <w:sz w:val="24"/>
          <w:szCs w:val="24"/>
        </w:rPr>
        <w:t xml:space="preserve">14. Arrowsmith, W. (1975) ‘Jerome on Translation: A Breviary’ </w:t>
      </w:r>
      <w:r>
        <w:rPr>
          <w:i/>
          <w:iCs/>
          <w:sz w:val="24"/>
          <w:szCs w:val="24"/>
        </w:rPr>
        <w:t>Arion A Journal of Humanities and the Classics</w:t>
      </w:r>
      <w:r>
        <w:rPr>
          <w:sz w:val="24"/>
          <w:szCs w:val="24"/>
        </w:rPr>
        <w:t xml:space="preserve">. 2(3) pp. 358–367. </w:t>
      </w:r>
    </w:p>
    <w:p w14:paraId="43B77F0F" w14:textId="77777777" w:rsidR="00097B97" w:rsidRDefault="00097B97" w:rsidP="00097B97">
      <w:pPr>
        <w:pStyle w:val="1"/>
        <w:autoSpaceDE w:val="0"/>
        <w:spacing w:line="480" w:lineRule="auto"/>
        <w:ind w:firstLine="480"/>
        <w:rPr>
          <w:sz w:val="24"/>
          <w:szCs w:val="24"/>
        </w:rPr>
      </w:pPr>
      <w:r>
        <w:rPr>
          <w:rFonts w:hint="eastAsia"/>
          <w:sz w:val="24"/>
          <w:szCs w:val="24"/>
        </w:rPr>
        <w:t xml:space="preserve"> </w:t>
      </w:r>
    </w:p>
    <w:p w14:paraId="71923FA8" w14:textId="77777777" w:rsidR="00097B97" w:rsidRDefault="00097B97" w:rsidP="00097B97">
      <w:pPr>
        <w:pStyle w:val="a3"/>
        <w:widowControl w:val="0"/>
        <w:autoSpaceDE w:val="0"/>
        <w:spacing w:before="0" w:beforeAutospacing="0" w:after="0" w:afterAutospacing="0" w:line="480" w:lineRule="auto"/>
        <w:ind w:left="360" w:hangingChars="150" w:hanging="360"/>
        <w:rPr>
          <w:rFonts w:ascii="Times New Roman" w:hAnsi="Times New Roman" w:cs="Times New Roman"/>
        </w:rPr>
      </w:pPr>
      <w:r>
        <w:rPr>
          <w:rFonts w:ascii="Times New Roman" w:hAnsi="Times New Roman" w:cs="Times New Roman"/>
          <w:shd w:val="clear" w:color="auto" w:fill="FFFFFF"/>
        </w:rPr>
        <w:t xml:space="preserve">15. Li, Y. (2021) Nida’s Translation Theory of “Functional Equivalence” and Its Application in Chinese Herbal Medicine Translation. </w:t>
      </w:r>
      <w:r>
        <w:rPr>
          <w:rFonts w:ascii="Times New Roman" w:hAnsi="Times New Roman" w:cs="Times New Roman"/>
          <w:i/>
          <w:iCs/>
          <w:shd w:val="clear" w:color="auto" w:fill="FFFFFF"/>
        </w:rPr>
        <w:t>Advances in Literary Study</w:t>
      </w:r>
      <w:r>
        <w:rPr>
          <w:rFonts w:ascii="Times New Roman" w:hAnsi="Times New Roman" w:cs="Times New Roman"/>
          <w:shd w:val="clear" w:color="auto" w:fill="FFFFFF"/>
        </w:rPr>
        <w:t xml:space="preserve">, </w:t>
      </w:r>
      <w:r>
        <w:rPr>
          <w:rFonts w:ascii="Times New Roman" w:hAnsi="Times New Roman" w:cs="Times New Roman"/>
          <w:b/>
          <w:bCs/>
          <w:shd w:val="clear" w:color="auto" w:fill="FFFFFF"/>
        </w:rPr>
        <w:lastRenderedPageBreak/>
        <w:t>9</w:t>
      </w:r>
      <w:r>
        <w:rPr>
          <w:rFonts w:ascii="Times New Roman" w:hAnsi="Times New Roman" w:cs="Times New Roman"/>
          <w:shd w:val="clear" w:color="auto" w:fill="FFFFFF"/>
        </w:rPr>
        <w:t xml:space="preserve">, pp. 11-15. </w:t>
      </w:r>
    </w:p>
    <w:p w14:paraId="12A10EBD" w14:textId="77777777" w:rsidR="00097B97" w:rsidRDefault="00097B97" w:rsidP="00097B97">
      <w:pPr>
        <w:autoSpaceDE w:val="0"/>
        <w:spacing w:line="480" w:lineRule="auto"/>
        <w:rPr>
          <w:rFonts w:ascii="Courier New" w:hAnsi="Courier New" w:cs="Courier New"/>
          <w:sz w:val="24"/>
          <w:szCs w:val="24"/>
          <w:shd w:val="clear" w:color="auto" w:fill="EFF2F4"/>
        </w:rPr>
      </w:pPr>
      <w:r>
        <w:rPr>
          <w:rFonts w:ascii="Courier New" w:hAnsi="Courier New" w:cs="Courier New" w:hint="eastAsia"/>
          <w:sz w:val="24"/>
          <w:szCs w:val="24"/>
          <w:shd w:val="clear" w:color="auto" w:fill="EFF2F4"/>
        </w:rPr>
        <w:t xml:space="preserve"> </w:t>
      </w:r>
    </w:p>
    <w:p w14:paraId="47BF2221" w14:textId="77777777" w:rsidR="00097B97" w:rsidRDefault="00097B97" w:rsidP="00097B97">
      <w:pPr>
        <w:pStyle w:val="1"/>
        <w:autoSpaceDE w:val="0"/>
        <w:spacing w:line="480" w:lineRule="auto"/>
        <w:ind w:left="360" w:hangingChars="150" w:hanging="360"/>
        <w:rPr>
          <w:sz w:val="24"/>
          <w:szCs w:val="24"/>
        </w:rPr>
      </w:pPr>
      <w:r>
        <w:rPr>
          <w:sz w:val="24"/>
          <w:szCs w:val="24"/>
        </w:rPr>
        <w:t xml:space="preserve">16. Chun, W. (2014) </w:t>
      </w:r>
      <w:r>
        <w:rPr>
          <w:i/>
          <w:iCs/>
          <w:sz w:val="24"/>
          <w:szCs w:val="24"/>
        </w:rPr>
        <w:t>A Study of Minford’s English Translation of strange Tales from a Chinese Studios</w:t>
      </w:r>
      <w:r>
        <w:rPr>
          <w:sz w:val="24"/>
          <w:szCs w:val="24"/>
        </w:rPr>
        <w:t xml:space="preserve">. Beijing: Foreign Studies University Press </w:t>
      </w:r>
    </w:p>
    <w:p w14:paraId="0A8D320B" w14:textId="77777777" w:rsidR="00097B97" w:rsidRDefault="00097B97" w:rsidP="00097B97">
      <w:pPr>
        <w:autoSpaceDE w:val="0"/>
        <w:spacing w:line="480" w:lineRule="auto"/>
        <w:rPr>
          <w:sz w:val="24"/>
          <w:szCs w:val="24"/>
        </w:rPr>
      </w:pPr>
      <w:r>
        <w:rPr>
          <w:sz w:val="24"/>
          <w:szCs w:val="24"/>
        </w:rPr>
        <w:t xml:space="preserve"> </w:t>
      </w:r>
    </w:p>
    <w:p w14:paraId="65C5929B" w14:textId="77777777" w:rsidR="00097B97" w:rsidRDefault="00097B97" w:rsidP="00097B97">
      <w:pPr>
        <w:pStyle w:val="1"/>
        <w:autoSpaceDE w:val="0"/>
        <w:spacing w:line="480" w:lineRule="auto"/>
        <w:ind w:left="480" w:hangingChars="200" w:hanging="480"/>
        <w:rPr>
          <w:rFonts w:ascii="Courier New" w:hAnsi="Courier New" w:cs="Courier New"/>
          <w:sz w:val="24"/>
          <w:szCs w:val="24"/>
          <w:shd w:val="clear" w:color="auto" w:fill="EFF2F4"/>
        </w:rPr>
      </w:pPr>
      <w:r>
        <w:rPr>
          <w:sz w:val="24"/>
          <w:szCs w:val="24"/>
        </w:rPr>
        <w:t xml:space="preserve">17. Zhen, Z. &amp; Qing, </w:t>
      </w:r>
      <w:proofErr w:type="gramStart"/>
      <w:r>
        <w:rPr>
          <w:sz w:val="24"/>
          <w:szCs w:val="24"/>
        </w:rPr>
        <w:t>L(</w:t>
      </w:r>
      <w:proofErr w:type="gramEnd"/>
      <w:r>
        <w:rPr>
          <w:sz w:val="24"/>
          <w:szCs w:val="24"/>
        </w:rPr>
        <w:t xml:space="preserve">2020). ‘The influence of cultural transmission on translation from the English translation of Strange Tales from a Chinese Studios—Based on the translation by Minford and Giles’, </w:t>
      </w:r>
      <w:r>
        <w:rPr>
          <w:i/>
          <w:iCs/>
          <w:sz w:val="24"/>
          <w:szCs w:val="24"/>
        </w:rPr>
        <w:t>Industry and Technology Forum</w:t>
      </w:r>
      <w:r>
        <w:rPr>
          <w:sz w:val="24"/>
          <w:szCs w:val="24"/>
        </w:rPr>
        <w:t>, 21 (20</w:t>
      </w:r>
      <w:proofErr w:type="gramStart"/>
      <w:r>
        <w:rPr>
          <w:sz w:val="24"/>
          <w:szCs w:val="24"/>
        </w:rPr>
        <w:t>),pp.</w:t>
      </w:r>
      <w:proofErr w:type="gramEnd"/>
      <w:r>
        <w:rPr>
          <w:sz w:val="24"/>
          <w:szCs w:val="24"/>
        </w:rPr>
        <w:t>66-67.</w:t>
      </w:r>
    </w:p>
    <w:p w14:paraId="67963081" w14:textId="77777777" w:rsidR="00097B97" w:rsidRDefault="00097B97" w:rsidP="00097B97">
      <w:pPr>
        <w:autoSpaceDE w:val="0"/>
        <w:spacing w:line="480" w:lineRule="auto"/>
        <w:rPr>
          <w:rFonts w:ascii="Courier New" w:hAnsi="Courier New" w:cs="Courier New"/>
          <w:sz w:val="24"/>
          <w:szCs w:val="24"/>
          <w:shd w:val="clear" w:color="auto" w:fill="EFF2F4"/>
        </w:rPr>
      </w:pPr>
      <w:r>
        <w:rPr>
          <w:rFonts w:ascii="Courier New" w:hAnsi="Courier New" w:cs="Courier New"/>
          <w:sz w:val="24"/>
          <w:szCs w:val="24"/>
          <w:shd w:val="clear" w:color="auto" w:fill="EFF2F4"/>
        </w:rPr>
        <w:t xml:space="preserve"> </w:t>
      </w:r>
    </w:p>
    <w:p w14:paraId="07CFA9CC" w14:textId="5400C7C3" w:rsidR="00097B97" w:rsidRDefault="00097B97" w:rsidP="00097B97">
      <w:pPr>
        <w:pStyle w:val="1"/>
        <w:autoSpaceDE w:val="0"/>
        <w:spacing w:line="480" w:lineRule="auto"/>
        <w:ind w:left="480" w:hangingChars="200" w:hanging="480"/>
        <w:rPr>
          <w:sz w:val="24"/>
          <w:szCs w:val="24"/>
        </w:rPr>
      </w:pPr>
      <w:r>
        <w:rPr>
          <w:sz w:val="24"/>
          <w:szCs w:val="24"/>
        </w:rPr>
        <w:t>18. Liu, C. (1997). The Question of Reception: Martial Arts Fiction in English Translation. Hong Kong: Elite Business Services Limited.</w:t>
      </w:r>
    </w:p>
    <w:p w14:paraId="44B19DEC" w14:textId="77777777" w:rsidR="00097B97" w:rsidRDefault="00097B97" w:rsidP="00097B97">
      <w:pPr>
        <w:autoSpaceDE w:val="0"/>
        <w:spacing w:line="480" w:lineRule="auto"/>
        <w:rPr>
          <w:rFonts w:ascii="Courier New" w:hAnsi="Courier New" w:cs="Courier New"/>
          <w:sz w:val="24"/>
          <w:szCs w:val="24"/>
          <w:shd w:val="clear" w:color="auto" w:fill="EFF2F4"/>
        </w:rPr>
      </w:pPr>
      <w:r>
        <w:rPr>
          <w:rFonts w:ascii="Courier New" w:hAnsi="Courier New" w:cs="Courier New" w:hint="eastAsia"/>
          <w:sz w:val="24"/>
          <w:szCs w:val="24"/>
          <w:shd w:val="clear" w:color="auto" w:fill="EFF2F4"/>
        </w:rPr>
        <w:t xml:space="preserve"> </w:t>
      </w:r>
    </w:p>
    <w:p w14:paraId="6D044405" w14:textId="77777777" w:rsidR="00097B97" w:rsidRDefault="00097B97" w:rsidP="00097B97">
      <w:pPr>
        <w:pStyle w:val="1"/>
        <w:autoSpaceDE w:val="0"/>
        <w:spacing w:line="480" w:lineRule="auto"/>
        <w:ind w:left="480" w:hangingChars="200" w:hanging="480"/>
        <w:rPr>
          <w:rFonts w:ascii="Courier New" w:hAnsi="Courier New" w:cs="Courier New"/>
          <w:sz w:val="24"/>
          <w:szCs w:val="24"/>
          <w:shd w:val="clear" w:color="auto" w:fill="EFF2F4"/>
        </w:rPr>
      </w:pPr>
      <w:r>
        <w:rPr>
          <w:sz w:val="24"/>
          <w:szCs w:val="24"/>
        </w:rPr>
        <w:t>19. Cha, L. (2007)</w:t>
      </w:r>
      <w:r>
        <w:rPr>
          <w:i/>
          <w:iCs/>
          <w:sz w:val="24"/>
          <w:szCs w:val="24"/>
        </w:rPr>
        <w:t>. The Deer and The Cauldron. translated by Minford John.</w:t>
      </w:r>
      <w:r>
        <w:rPr>
          <w:sz w:val="24"/>
          <w:szCs w:val="24"/>
        </w:rPr>
        <w:t xml:space="preserve"> US: Oxford University Press.</w:t>
      </w:r>
    </w:p>
    <w:p w14:paraId="57B25320" w14:textId="77777777" w:rsidR="00097B97" w:rsidRDefault="00097B97" w:rsidP="00097B97">
      <w:pPr>
        <w:autoSpaceDE w:val="0"/>
        <w:spacing w:line="480" w:lineRule="auto"/>
        <w:rPr>
          <w:sz w:val="24"/>
          <w:szCs w:val="24"/>
        </w:rPr>
      </w:pPr>
      <w:r>
        <w:rPr>
          <w:sz w:val="24"/>
          <w:szCs w:val="24"/>
        </w:rPr>
        <w:t xml:space="preserve"> </w:t>
      </w:r>
    </w:p>
    <w:p w14:paraId="6F2BCE42" w14:textId="77777777" w:rsidR="00097B97" w:rsidRDefault="00097B97" w:rsidP="00097B97">
      <w:pPr>
        <w:pStyle w:val="1"/>
        <w:autoSpaceDE w:val="0"/>
        <w:spacing w:line="480" w:lineRule="auto"/>
        <w:ind w:left="480" w:hangingChars="200" w:hanging="480"/>
        <w:rPr>
          <w:sz w:val="24"/>
          <w:szCs w:val="24"/>
        </w:rPr>
      </w:pPr>
      <w:r>
        <w:rPr>
          <w:sz w:val="24"/>
          <w:szCs w:val="24"/>
        </w:rPr>
        <w:lastRenderedPageBreak/>
        <w:t xml:space="preserve">20. Olivia, M. (2001)’ Strategies of Translating Martial Arts Fiction’. </w:t>
      </w:r>
      <w:r>
        <w:rPr>
          <w:i/>
          <w:iCs/>
          <w:sz w:val="24"/>
          <w:szCs w:val="24"/>
        </w:rPr>
        <w:t>Babel</w:t>
      </w:r>
      <w:r>
        <w:rPr>
          <w:sz w:val="24"/>
          <w:szCs w:val="24"/>
        </w:rPr>
        <w:t>. 47(1). pp. 1-9.</w:t>
      </w:r>
    </w:p>
    <w:p w14:paraId="7E94BFCC" w14:textId="77777777" w:rsidR="00097B97" w:rsidRDefault="00097B97" w:rsidP="00097B97">
      <w:pPr>
        <w:autoSpaceDE w:val="0"/>
        <w:spacing w:line="480" w:lineRule="auto"/>
        <w:rPr>
          <w:sz w:val="24"/>
          <w:szCs w:val="24"/>
        </w:rPr>
      </w:pPr>
      <w:r>
        <w:rPr>
          <w:rFonts w:hint="eastAsia"/>
          <w:sz w:val="24"/>
          <w:szCs w:val="24"/>
        </w:rPr>
        <w:t xml:space="preserve"> </w:t>
      </w:r>
    </w:p>
    <w:p w14:paraId="2B8EDED6" w14:textId="77777777" w:rsidR="00097B97" w:rsidRDefault="00097B97" w:rsidP="00097B97">
      <w:pPr>
        <w:pStyle w:val="1"/>
        <w:autoSpaceDE w:val="0"/>
        <w:spacing w:line="480" w:lineRule="auto"/>
        <w:ind w:left="480" w:hangingChars="200" w:hanging="480"/>
        <w:rPr>
          <w:sz w:val="24"/>
          <w:szCs w:val="24"/>
        </w:rPr>
      </w:pPr>
      <w:r>
        <w:rPr>
          <w:sz w:val="24"/>
          <w:szCs w:val="24"/>
        </w:rPr>
        <w:t xml:space="preserve">21. Earnshaw, G. &amp; Cha, L. (2004). </w:t>
      </w:r>
      <w:r>
        <w:rPr>
          <w:i/>
          <w:iCs/>
          <w:sz w:val="24"/>
          <w:szCs w:val="24"/>
        </w:rPr>
        <w:t>The Book and the S</w:t>
      </w:r>
      <w:r>
        <w:rPr>
          <w:sz w:val="24"/>
          <w:szCs w:val="24"/>
        </w:rPr>
        <w:t>word: A Martial Arts Novel. Oxford: Oxford University Press</w:t>
      </w:r>
    </w:p>
    <w:p w14:paraId="2307769C" w14:textId="77777777" w:rsidR="00097B97" w:rsidRDefault="00097B97" w:rsidP="00097B97">
      <w:pPr>
        <w:autoSpaceDE w:val="0"/>
        <w:spacing w:line="480" w:lineRule="auto"/>
        <w:rPr>
          <w:sz w:val="24"/>
          <w:szCs w:val="24"/>
        </w:rPr>
      </w:pPr>
      <w:r>
        <w:rPr>
          <w:sz w:val="24"/>
          <w:szCs w:val="24"/>
        </w:rPr>
        <w:t xml:space="preserve"> </w:t>
      </w:r>
    </w:p>
    <w:p w14:paraId="705E015B" w14:textId="77777777" w:rsidR="00097B97" w:rsidRDefault="00097B97" w:rsidP="00097B97">
      <w:pPr>
        <w:pStyle w:val="1"/>
        <w:autoSpaceDE w:val="0"/>
        <w:spacing w:line="480" w:lineRule="auto"/>
        <w:ind w:left="360" w:hangingChars="150" w:hanging="360"/>
        <w:rPr>
          <w:sz w:val="24"/>
          <w:szCs w:val="24"/>
        </w:rPr>
      </w:pPr>
      <w:r>
        <w:rPr>
          <w:sz w:val="24"/>
          <w:szCs w:val="24"/>
        </w:rPr>
        <w:t xml:space="preserve">22. Li, Q. (2015) ‘Translation and Research of Jin Yong's Martial Arts Novels in the English World’. </w:t>
      </w:r>
      <w:r>
        <w:rPr>
          <w:i/>
          <w:iCs/>
          <w:sz w:val="24"/>
          <w:szCs w:val="24"/>
        </w:rPr>
        <w:t xml:space="preserve">Guizhou Social Sciences, </w:t>
      </w:r>
      <w:r>
        <w:rPr>
          <w:sz w:val="24"/>
          <w:szCs w:val="24"/>
        </w:rPr>
        <w:t>6 (4), 96-101.</w:t>
      </w:r>
    </w:p>
    <w:p w14:paraId="6166F339" w14:textId="77777777" w:rsidR="00097B97" w:rsidRDefault="00097B97" w:rsidP="00097B97">
      <w:pPr>
        <w:autoSpaceDE w:val="0"/>
        <w:spacing w:line="480" w:lineRule="auto"/>
        <w:rPr>
          <w:sz w:val="24"/>
          <w:szCs w:val="24"/>
        </w:rPr>
      </w:pPr>
      <w:r>
        <w:rPr>
          <w:sz w:val="24"/>
          <w:szCs w:val="24"/>
        </w:rPr>
        <w:t xml:space="preserve"> </w:t>
      </w:r>
    </w:p>
    <w:p w14:paraId="458DB297" w14:textId="77777777" w:rsidR="00097B97" w:rsidRDefault="00097B97" w:rsidP="00097B97">
      <w:pPr>
        <w:pStyle w:val="1"/>
        <w:autoSpaceDE w:val="0"/>
        <w:spacing w:line="480" w:lineRule="auto"/>
        <w:ind w:left="480" w:hangingChars="200" w:hanging="480"/>
        <w:rPr>
          <w:sz w:val="24"/>
          <w:szCs w:val="24"/>
        </w:rPr>
      </w:pPr>
      <w:r>
        <w:rPr>
          <w:sz w:val="24"/>
          <w:szCs w:val="24"/>
        </w:rPr>
        <w:t>23. Tang, Z. (2019) ‘The Cultural Interpretation of Jin Yong’s Novels and the Construction of Cultural Personality’.</w:t>
      </w:r>
      <w:r>
        <w:rPr>
          <w:i/>
          <w:iCs/>
          <w:sz w:val="24"/>
          <w:szCs w:val="24"/>
        </w:rPr>
        <w:t xml:space="preserve"> Shanghai Culture, </w:t>
      </w:r>
      <w:r>
        <w:rPr>
          <w:sz w:val="24"/>
          <w:szCs w:val="24"/>
        </w:rPr>
        <w:t>8: 31-39</w:t>
      </w:r>
    </w:p>
    <w:p w14:paraId="68091F5F" w14:textId="77777777" w:rsidR="00097B97" w:rsidRDefault="00097B97" w:rsidP="00097B97">
      <w:pPr>
        <w:jc w:val="left"/>
        <w:rPr>
          <w:b/>
          <w:bCs/>
        </w:rPr>
      </w:pPr>
      <w:r>
        <w:rPr>
          <w:b/>
          <w:bCs/>
        </w:rPr>
        <w:t xml:space="preserve"> </w:t>
      </w:r>
    </w:p>
    <w:p w14:paraId="41057B85" w14:textId="77777777" w:rsidR="00097B97" w:rsidRDefault="00097B97" w:rsidP="00097B97">
      <w:pPr>
        <w:jc w:val="left"/>
        <w:rPr>
          <w:b/>
          <w:bCs/>
        </w:rPr>
      </w:pPr>
      <w:r>
        <w:rPr>
          <w:b/>
          <w:bCs/>
        </w:rPr>
        <w:t xml:space="preserve"> </w:t>
      </w:r>
    </w:p>
    <w:p w14:paraId="0A606866" w14:textId="77777777" w:rsidR="00097B97" w:rsidRDefault="00097B97" w:rsidP="00097B97">
      <w:pPr>
        <w:jc w:val="left"/>
        <w:rPr>
          <w:b/>
          <w:bCs/>
        </w:rPr>
      </w:pPr>
      <w:r>
        <w:rPr>
          <w:b/>
          <w:bCs/>
        </w:rPr>
        <w:t xml:space="preserve"> </w:t>
      </w:r>
    </w:p>
    <w:p w14:paraId="2F91C4AE" w14:textId="77777777" w:rsidR="00097B97" w:rsidRDefault="00097B97" w:rsidP="00097B97">
      <w:pPr>
        <w:jc w:val="left"/>
        <w:rPr>
          <w:b/>
          <w:bCs/>
        </w:rPr>
      </w:pPr>
      <w:r>
        <w:rPr>
          <w:b/>
          <w:bCs/>
        </w:rPr>
        <w:t xml:space="preserve"> </w:t>
      </w:r>
    </w:p>
    <w:p w14:paraId="063326D3" w14:textId="77777777" w:rsidR="00000000" w:rsidRDefault="00000000"/>
    <w:sectPr w:rsidR="00AC20EE" w:rsidSect="009C664B">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Regular">
    <w:altName w:val="Times New Roman"/>
    <w:charset w:val="00"/>
    <w:family w:val="roman"/>
    <w:pitch w:val="variable"/>
    <w:sig w:usb0="E0002AEF" w:usb1="C0007841" w:usb2="00000009" w:usb3="00000000" w:csb0="000001FF" w:csb1="00000000"/>
  </w:font>
  <w:font w:name="Helvetica Neue">
    <w:altName w:val="Sylfaen"/>
    <w:charset w:val="00"/>
    <w:family w:val="auto"/>
    <w:pitch w:val="variable"/>
    <w:sig w:usb0="E50002FF" w:usb1="500079DB" w:usb2="0000001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D19E5"/>
    <w:multiLevelType w:val="multilevel"/>
    <w:tmpl w:val="47CA7A76"/>
    <w:lvl w:ilvl="0">
      <w:start w:val="6"/>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68A5ECC"/>
    <w:multiLevelType w:val="multilevel"/>
    <w:tmpl w:val="1D0467B8"/>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9685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36832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B97"/>
    <w:rsid w:val="00097B97"/>
    <w:rsid w:val="002B3CFF"/>
    <w:rsid w:val="00595C7F"/>
    <w:rsid w:val="009C664B"/>
    <w:rsid w:val="00DA0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A289E"/>
  <w14:defaultImageDpi w14:val="32767"/>
  <w15:chartTrackingRefBased/>
  <w15:docId w15:val="{9FA8E285-3043-AF4A-862B-9A5A9337F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rsid w:val="00097B97"/>
    <w:pPr>
      <w:widowControl w:val="0"/>
      <w:jc w:val="both"/>
    </w:pPr>
    <w:rPr>
      <w:rFonts w:ascii="Calibri" w:eastAsia="宋体" w:hAnsi="Calibri" w:cs="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7B97"/>
    <w:pPr>
      <w:widowControl/>
      <w:spacing w:before="100" w:beforeAutospacing="1" w:after="100" w:afterAutospacing="1"/>
      <w:jc w:val="left"/>
    </w:pPr>
    <w:rPr>
      <w:rFonts w:ascii="宋体" w:hAnsi="宋体" w:cs="宋体"/>
      <w:kern w:val="0"/>
      <w:sz w:val="24"/>
      <w:szCs w:val="24"/>
    </w:rPr>
  </w:style>
  <w:style w:type="paragraph" w:customStyle="1" w:styleId="1">
    <w:name w:val="列表段落1"/>
    <w:basedOn w:val="a"/>
    <w:rsid w:val="00097B97"/>
    <w:pPr>
      <w:ind w:firstLineChars="200" w:firstLine="420"/>
    </w:pPr>
  </w:style>
  <w:style w:type="character" w:customStyle="1" w:styleId="15">
    <w:name w:val="15"/>
    <w:basedOn w:val="a0"/>
    <w:rsid w:val="00097B97"/>
    <w:rPr>
      <w:rFonts w:ascii="Times New Roman" w:hAnsi="Times New Roman" w:cs="Times New Roman" w:hint="default"/>
    </w:rPr>
  </w:style>
  <w:style w:type="character" w:customStyle="1" w:styleId="16">
    <w:name w:val="16"/>
    <w:basedOn w:val="a0"/>
    <w:rsid w:val="00097B97"/>
    <w:rPr>
      <w:rFonts w:ascii="Times New Roman" w:hAnsi="Times New Roman" w:cs="Times New Roman" w:hint="default"/>
    </w:rPr>
  </w:style>
  <w:style w:type="character" w:customStyle="1" w:styleId="17">
    <w:name w:val="17"/>
    <w:basedOn w:val="a0"/>
    <w:rsid w:val="00097B97"/>
    <w:rPr>
      <w:rFonts w:ascii="Times New Roman" w:hAnsi="Times New Roman" w:cs="Times New Roman" w:hint="default"/>
    </w:rPr>
  </w:style>
  <w:style w:type="character" w:customStyle="1" w:styleId="18">
    <w:name w:val="18"/>
    <w:basedOn w:val="a0"/>
    <w:rsid w:val="00097B97"/>
    <w:rPr>
      <w:rFonts w:ascii="Times New Roman" w:hAnsi="Times New Roman" w:cs="Times New Roman" w:hint="default"/>
    </w:rPr>
  </w:style>
  <w:style w:type="character" w:customStyle="1" w:styleId="19">
    <w:name w:val="19"/>
    <w:basedOn w:val="a0"/>
    <w:rsid w:val="00097B97"/>
    <w:rPr>
      <w:rFonts w:ascii="Times New Roman" w:hAnsi="Times New Roman" w:cs="Times New Roman" w:hint="default"/>
    </w:rPr>
  </w:style>
  <w:style w:type="character" w:customStyle="1" w:styleId="20">
    <w:name w:val="20"/>
    <w:basedOn w:val="a0"/>
    <w:rsid w:val="00097B97"/>
    <w:rPr>
      <w:rFonts w:ascii="Times New Roman" w:hAnsi="Times New Roman" w:cs="Times New Roman" w:hint="default"/>
    </w:rPr>
  </w:style>
  <w:style w:type="character" w:customStyle="1" w:styleId="21">
    <w:name w:val="21"/>
    <w:basedOn w:val="a0"/>
    <w:rsid w:val="00097B97"/>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03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27</Pages>
  <Words>4006</Words>
  <Characters>22835</Characters>
  <Application>Microsoft Office Word</Application>
  <DocSecurity>0</DocSecurity>
  <Lines>190</Lines>
  <Paragraphs>53</Paragraphs>
  <ScaleCrop>false</ScaleCrop>
  <Company/>
  <LinksUpToDate>false</LinksUpToDate>
  <CharactersWithSpaces>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13686475100@163.com</dc:creator>
  <cp:keywords/>
  <dc:description/>
  <cp:lastModifiedBy>Shuai Zeng</cp:lastModifiedBy>
  <cp:revision>3</cp:revision>
  <dcterms:created xsi:type="dcterms:W3CDTF">2023-12-17T05:08:00Z</dcterms:created>
  <dcterms:modified xsi:type="dcterms:W3CDTF">2023-12-17T13:46:00Z</dcterms:modified>
</cp:coreProperties>
</file>