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D9CE5F" w14:textId="77777777" w:rsidR="00206F26" w:rsidRDefault="005E467D" w:rsidP="00A7088B">
      <w:pPr>
        <w:spacing w:before="200" w:after="200" w:line="360" w:lineRule="auto"/>
        <w:jc w:val="center"/>
        <w:rPr>
          <w:sz w:val="24"/>
          <w:szCs w:val="24"/>
        </w:rPr>
      </w:pPr>
      <w:r>
        <w:rPr>
          <w:noProof/>
          <w:sz w:val="24"/>
          <w:szCs w:val="24"/>
        </w:rPr>
        <w:drawing>
          <wp:inline distT="114300" distB="114300" distL="114300" distR="114300" wp14:anchorId="57AE2E0B" wp14:editId="502934DC">
            <wp:extent cx="2819400" cy="1038225"/>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10" name="image7.png"/>
                    <pic:cNvPicPr/>
                  </pic:nvPicPr>
                  <pic:blipFill>
                    <a:blip r:embed="rId8"/>
                    <a:stretch>
                      <a:fillRect/>
                    </a:stretch>
                  </pic:blipFill>
                  <pic:spPr>
                    <a:xfrm>
                      <a:off x="0" y="0"/>
                      <a:ext cx="2819400" cy="1038225"/>
                    </a:xfrm>
                    <a:prstGeom prst="rect">
                      <a:avLst/>
                    </a:prstGeom>
                  </pic:spPr>
                </pic:pic>
              </a:graphicData>
            </a:graphic>
          </wp:inline>
        </w:drawing>
      </w:r>
    </w:p>
    <w:p w14:paraId="50CEEE39" w14:textId="66668EAA" w:rsidR="00206F26" w:rsidRDefault="005E467D" w:rsidP="00A7088B">
      <w:pPr>
        <w:spacing w:before="200" w:after="200" w:line="360" w:lineRule="auto"/>
        <w:jc w:val="center"/>
        <w:rPr>
          <w:b/>
        </w:rPr>
      </w:pPr>
      <w:r>
        <w:rPr>
          <w:b/>
        </w:rPr>
        <w:t>Student name:</w:t>
      </w:r>
      <w:r w:rsidR="00F83D9D">
        <w:rPr>
          <w:b/>
        </w:rPr>
        <w:t xml:space="preserve"> Pati Asha </w:t>
      </w:r>
    </w:p>
    <w:p w14:paraId="2D95E723" w14:textId="2E8CB382" w:rsidR="00206F26" w:rsidRDefault="005E467D" w:rsidP="00A7088B">
      <w:pPr>
        <w:spacing w:before="200" w:after="200" w:line="360" w:lineRule="auto"/>
        <w:jc w:val="center"/>
        <w:rPr>
          <w:b/>
        </w:rPr>
      </w:pPr>
      <w:r>
        <w:rPr>
          <w:b/>
        </w:rPr>
        <w:t>Student ID number:</w:t>
      </w:r>
      <w:r w:rsidR="00F83D9D">
        <w:rPr>
          <w:b/>
        </w:rPr>
        <w:t xml:space="preserve"> 2513192</w:t>
      </w:r>
    </w:p>
    <w:p w14:paraId="6AD0E8CD" w14:textId="77777777" w:rsidR="00206F26" w:rsidRDefault="005E467D" w:rsidP="00A7088B">
      <w:pPr>
        <w:spacing w:before="200" w:after="200" w:line="360" w:lineRule="auto"/>
        <w:jc w:val="center"/>
        <w:rPr>
          <w:b/>
        </w:rPr>
      </w:pPr>
      <w:r>
        <w:rPr>
          <w:b/>
        </w:rPr>
        <w:t>Programme: MSc Public Health and Social Care in Practice</w:t>
      </w:r>
    </w:p>
    <w:p w14:paraId="6B7FFE6D" w14:textId="77777777" w:rsidR="00206F26" w:rsidRDefault="005E467D" w:rsidP="00A7088B">
      <w:pPr>
        <w:spacing w:before="200" w:after="200" w:line="360" w:lineRule="auto"/>
        <w:jc w:val="center"/>
        <w:rPr>
          <w:b/>
        </w:rPr>
      </w:pPr>
      <w:r>
        <w:rPr>
          <w:b/>
        </w:rPr>
        <w:t>Module: Community Care and Management of Longer-term Conditions</w:t>
      </w:r>
    </w:p>
    <w:p w14:paraId="2850827A" w14:textId="77777777" w:rsidR="00206F26" w:rsidRDefault="005E467D" w:rsidP="00A7088B">
      <w:pPr>
        <w:spacing w:before="200" w:after="200" w:line="360" w:lineRule="auto"/>
        <w:jc w:val="center"/>
        <w:rPr>
          <w:b/>
        </w:rPr>
      </w:pPr>
      <w:r>
        <w:rPr>
          <w:b/>
        </w:rPr>
        <w:t>Module code: LCHS7003</w:t>
      </w:r>
    </w:p>
    <w:p w14:paraId="33AA44EF" w14:textId="77777777" w:rsidR="00206F26" w:rsidRDefault="005E467D" w:rsidP="00A7088B">
      <w:pPr>
        <w:spacing w:before="200" w:after="200" w:line="360" w:lineRule="auto"/>
        <w:jc w:val="center"/>
        <w:rPr>
          <w:b/>
        </w:rPr>
      </w:pPr>
      <w:r>
        <w:rPr>
          <w:b/>
        </w:rPr>
        <w:t>Assignment Title: Component 1 Information Booklet of Long-term Condition Management</w:t>
      </w:r>
    </w:p>
    <w:p w14:paraId="26234AA9" w14:textId="77777777" w:rsidR="00206F26" w:rsidRDefault="005E467D" w:rsidP="00A7088B">
      <w:pPr>
        <w:spacing w:before="200" w:after="200" w:line="360" w:lineRule="auto"/>
        <w:jc w:val="center"/>
        <w:rPr>
          <w:b/>
        </w:rPr>
      </w:pPr>
      <w:r>
        <w:rPr>
          <w:b/>
        </w:rPr>
        <w:t>Word count (equivalent): 3,000 words (+/- 10%)</w:t>
      </w:r>
    </w:p>
    <w:p w14:paraId="32F3F3F6" w14:textId="77777777" w:rsidR="00206F26" w:rsidRDefault="005E467D" w:rsidP="00A7088B">
      <w:pPr>
        <w:spacing w:before="240" w:after="240" w:line="360" w:lineRule="auto"/>
        <w:jc w:val="center"/>
        <w:rPr>
          <w:b/>
          <w:i/>
        </w:rPr>
      </w:pPr>
      <w:r>
        <w:rPr>
          <w:b/>
        </w:rPr>
        <w:t xml:space="preserve">Title: </w:t>
      </w:r>
      <w:r>
        <w:rPr>
          <w:b/>
          <w:i/>
        </w:rPr>
        <w:t>Hypertension (High Blood Pressure): A Practical Information Booklet for Service Users and Health Professionals in the UK</w:t>
      </w:r>
    </w:p>
    <w:p w14:paraId="53E2F18B" w14:textId="77777777" w:rsidR="00206F26" w:rsidRDefault="005E467D" w:rsidP="00A7088B">
      <w:pPr>
        <w:spacing w:before="240" w:after="240" w:line="360" w:lineRule="auto"/>
        <w:jc w:val="center"/>
        <w:rPr>
          <w:b/>
          <w:i/>
          <w:sz w:val="28"/>
          <w:szCs w:val="28"/>
        </w:rPr>
      </w:pPr>
      <w:r>
        <w:rPr>
          <w:b/>
          <w:i/>
          <w:noProof/>
          <w:sz w:val="28"/>
          <w:szCs w:val="28"/>
        </w:rPr>
        <w:drawing>
          <wp:inline distT="114300" distB="114300" distL="114300" distR="114300" wp14:anchorId="57DDC618" wp14:editId="72056F51">
            <wp:extent cx="2667000" cy="2528170"/>
            <wp:effectExtent l="25400" t="25400" r="25400" b="25400"/>
            <wp:docPr id="4" name="image12.png"/>
            <wp:cNvGraphicFramePr/>
            <a:graphic xmlns:a="http://schemas.openxmlformats.org/drawingml/2006/main">
              <a:graphicData uri="http://schemas.openxmlformats.org/drawingml/2006/picture">
                <pic:pic xmlns:pic="http://schemas.openxmlformats.org/drawingml/2006/picture">
                  <pic:nvPicPr>
                    <pic:cNvPr id="4" name="image12.png"/>
                    <pic:cNvPicPr/>
                  </pic:nvPicPr>
                  <pic:blipFill>
                    <a:blip r:embed="rId9"/>
                    <a:stretch>
                      <a:fillRect/>
                    </a:stretch>
                  </pic:blipFill>
                  <pic:spPr>
                    <a:xfrm>
                      <a:off x="0" y="0"/>
                      <a:ext cx="2667000" cy="2528170"/>
                    </a:xfrm>
                    <a:prstGeom prst="rect">
                      <a:avLst/>
                    </a:prstGeom>
                    <a:ln w="25400">
                      <a:solidFill>
                        <a:srgbClr val="000000"/>
                      </a:solidFill>
                      <a:prstDash val="solid"/>
                    </a:ln>
                  </pic:spPr>
                </pic:pic>
              </a:graphicData>
            </a:graphic>
          </wp:inline>
        </w:drawing>
      </w:r>
    </w:p>
    <w:p w14:paraId="44593EC8" w14:textId="77777777" w:rsidR="00206F26" w:rsidRDefault="00206F26" w:rsidP="00A7088B">
      <w:pPr>
        <w:spacing w:before="240" w:after="240" w:line="360" w:lineRule="auto"/>
        <w:jc w:val="center"/>
        <w:rPr>
          <w:b/>
          <w:i/>
          <w:sz w:val="28"/>
          <w:szCs w:val="28"/>
        </w:rPr>
      </w:pPr>
    </w:p>
    <w:p w14:paraId="2483A85F" w14:textId="77777777" w:rsidR="00206F26" w:rsidRDefault="005E467D" w:rsidP="00A7088B">
      <w:pPr>
        <w:spacing w:before="240" w:after="240" w:line="360" w:lineRule="auto"/>
        <w:jc w:val="center"/>
        <w:rPr>
          <w:b/>
          <w:sz w:val="28"/>
          <w:szCs w:val="28"/>
        </w:rPr>
      </w:pPr>
      <w:r>
        <w:rPr>
          <w:b/>
          <w:sz w:val="28"/>
          <w:szCs w:val="28"/>
        </w:rPr>
        <w:t>Executive Summary</w:t>
      </w:r>
    </w:p>
    <w:p w14:paraId="69DEFD9B" w14:textId="23D50300" w:rsidR="00206F26" w:rsidRDefault="005E467D" w:rsidP="00A7088B">
      <w:pPr>
        <w:spacing w:line="360" w:lineRule="auto"/>
        <w:jc w:val="both"/>
        <w:rPr>
          <w:b/>
        </w:rPr>
      </w:pPr>
      <w:bookmarkStart w:id="0" w:name="_v76r2oqs95gj" w:colFirst="0" w:colLast="0"/>
      <w:bookmarkEnd w:id="0"/>
      <w:r>
        <w:t>Almost one in three adults in the UK suffers from hypertension, or high blood pressure. This condition is one of the leading causes of heart disease, stroke, kidney failure and vascular dementia. If it shows no symptoms, it is called the ‘silent killer so it is very important to detect, monitor and manage it early. This booklet offers a person-</w:t>
      </w:r>
      <w:r w:rsidR="00A7088B">
        <w:t>centered</w:t>
      </w:r>
      <w:r>
        <w:t xml:space="preserve"> approach to managing and treating high blood pressure, which incorporates evidence-based lifestyle management, self-management, digital tools and holistic care. Culturally appropriate, integrated care is promoted and health inequalities are identified through new ways of thinking, which motivates patients, health practitioners, and communities and saves money while reducing </w:t>
      </w:r>
      <w:r w:rsidR="00A7088B">
        <w:t>cardiovascular disease</w:t>
      </w:r>
      <w:r>
        <w:t xml:space="preserve"> (CVD) risk.</w:t>
      </w:r>
    </w:p>
    <w:p w14:paraId="2AB40CE2" w14:textId="77777777" w:rsidR="00206F26" w:rsidRDefault="00206F26" w:rsidP="00A7088B">
      <w:pPr>
        <w:spacing w:before="240" w:after="240" w:line="360" w:lineRule="auto"/>
        <w:jc w:val="center"/>
        <w:rPr>
          <w:b/>
          <w:sz w:val="28"/>
          <w:szCs w:val="28"/>
        </w:rPr>
      </w:pPr>
    </w:p>
    <w:p w14:paraId="585F1151" w14:textId="77777777" w:rsidR="00206F26" w:rsidRDefault="00206F26" w:rsidP="00A7088B">
      <w:pPr>
        <w:spacing w:before="240" w:after="240" w:line="360" w:lineRule="auto"/>
        <w:jc w:val="center"/>
        <w:rPr>
          <w:b/>
          <w:sz w:val="28"/>
          <w:szCs w:val="28"/>
        </w:rPr>
      </w:pPr>
    </w:p>
    <w:p w14:paraId="52283AC0" w14:textId="77777777" w:rsidR="00206F26" w:rsidRDefault="00206F26" w:rsidP="00A7088B">
      <w:pPr>
        <w:spacing w:before="240" w:after="240" w:line="360" w:lineRule="auto"/>
        <w:jc w:val="center"/>
        <w:rPr>
          <w:b/>
          <w:sz w:val="28"/>
          <w:szCs w:val="28"/>
        </w:rPr>
      </w:pPr>
    </w:p>
    <w:p w14:paraId="6C62A7EC" w14:textId="77777777" w:rsidR="00206F26" w:rsidRDefault="00206F26" w:rsidP="00A7088B">
      <w:pPr>
        <w:spacing w:before="240" w:after="240" w:line="360" w:lineRule="auto"/>
        <w:jc w:val="center"/>
        <w:rPr>
          <w:b/>
          <w:sz w:val="28"/>
          <w:szCs w:val="28"/>
        </w:rPr>
      </w:pPr>
    </w:p>
    <w:p w14:paraId="1FD0F036" w14:textId="77777777" w:rsidR="00206F26" w:rsidRDefault="00206F26" w:rsidP="00A7088B">
      <w:pPr>
        <w:spacing w:before="240" w:after="240" w:line="360" w:lineRule="auto"/>
        <w:jc w:val="center"/>
        <w:rPr>
          <w:b/>
          <w:sz w:val="28"/>
          <w:szCs w:val="28"/>
        </w:rPr>
      </w:pPr>
    </w:p>
    <w:p w14:paraId="2D9C1B9D" w14:textId="77777777" w:rsidR="00206F26" w:rsidRDefault="00206F26" w:rsidP="00A7088B">
      <w:pPr>
        <w:spacing w:before="240" w:after="240" w:line="360" w:lineRule="auto"/>
        <w:jc w:val="center"/>
        <w:rPr>
          <w:b/>
          <w:sz w:val="28"/>
          <w:szCs w:val="28"/>
        </w:rPr>
      </w:pPr>
    </w:p>
    <w:p w14:paraId="58DC2143" w14:textId="77777777" w:rsidR="00206F26" w:rsidRDefault="00206F26" w:rsidP="00A7088B">
      <w:pPr>
        <w:spacing w:before="240" w:after="240" w:line="360" w:lineRule="auto"/>
        <w:jc w:val="center"/>
        <w:rPr>
          <w:b/>
          <w:sz w:val="28"/>
          <w:szCs w:val="28"/>
        </w:rPr>
      </w:pPr>
    </w:p>
    <w:p w14:paraId="0FF4EF45" w14:textId="77777777" w:rsidR="00206F26" w:rsidRDefault="00206F26" w:rsidP="00A7088B">
      <w:pPr>
        <w:spacing w:before="240" w:after="240" w:line="360" w:lineRule="auto"/>
        <w:jc w:val="center"/>
        <w:rPr>
          <w:b/>
          <w:sz w:val="28"/>
          <w:szCs w:val="28"/>
        </w:rPr>
      </w:pPr>
    </w:p>
    <w:p w14:paraId="2FAE332C" w14:textId="77777777" w:rsidR="00A7088B" w:rsidRDefault="00A7088B" w:rsidP="00A7088B">
      <w:pPr>
        <w:spacing w:before="240" w:after="240" w:line="360" w:lineRule="auto"/>
        <w:jc w:val="center"/>
        <w:rPr>
          <w:b/>
          <w:sz w:val="28"/>
          <w:szCs w:val="28"/>
        </w:rPr>
      </w:pPr>
    </w:p>
    <w:p w14:paraId="428BDB12" w14:textId="77777777" w:rsidR="00206F26" w:rsidRDefault="00206F26" w:rsidP="00A7088B">
      <w:pPr>
        <w:spacing w:before="240" w:after="240" w:line="360" w:lineRule="auto"/>
        <w:jc w:val="center"/>
        <w:rPr>
          <w:b/>
          <w:sz w:val="28"/>
          <w:szCs w:val="28"/>
        </w:rPr>
      </w:pPr>
    </w:p>
    <w:p w14:paraId="0A601370" w14:textId="77777777" w:rsidR="00206F26" w:rsidRDefault="00206F26" w:rsidP="00A7088B">
      <w:pPr>
        <w:spacing w:before="240" w:after="240" w:line="360" w:lineRule="auto"/>
        <w:jc w:val="center"/>
        <w:rPr>
          <w:b/>
          <w:sz w:val="28"/>
          <w:szCs w:val="28"/>
        </w:rPr>
      </w:pPr>
    </w:p>
    <w:p w14:paraId="18B7D0A0" w14:textId="50A9D2A6" w:rsidR="00206F26" w:rsidRDefault="00206F26" w:rsidP="00A7088B">
      <w:pPr>
        <w:spacing w:before="240" w:after="240" w:line="360" w:lineRule="auto"/>
        <w:jc w:val="center"/>
        <w:rPr>
          <w:b/>
          <w:sz w:val="28"/>
          <w:szCs w:val="28"/>
        </w:rPr>
      </w:pPr>
    </w:p>
    <w:sdt>
      <w:sdtPr>
        <w:rPr>
          <w:rFonts w:ascii="Arial" w:eastAsia="Arial" w:hAnsi="Arial" w:cs="Arial"/>
          <w:b/>
          <w:bCs/>
          <w:color w:val="auto"/>
          <w:sz w:val="22"/>
          <w:szCs w:val="22"/>
          <w:lang w:val="en"/>
        </w:rPr>
        <w:id w:val="973489534"/>
        <w:docPartObj>
          <w:docPartGallery w:val="Table of Contents"/>
          <w:docPartUnique/>
        </w:docPartObj>
      </w:sdtPr>
      <w:sdtEndPr>
        <w:rPr>
          <w:noProof/>
        </w:rPr>
      </w:sdtEndPr>
      <w:sdtContent>
        <w:p w14:paraId="296AC11F" w14:textId="13AADD95" w:rsidR="00A7088B" w:rsidRPr="00A7088B" w:rsidRDefault="00A7088B" w:rsidP="00A7088B">
          <w:pPr>
            <w:pStyle w:val="TOCHeading"/>
            <w:jc w:val="center"/>
            <w:rPr>
              <w:rFonts w:ascii="Arial" w:hAnsi="Arial" w:cs="Arial"/>
              <w:b/>
              <w:bCs/>
              <w:color w:val="auto"/>
            </w:rPr>
          </w:pPr>
          <w:r w:rsidRPr="00A7088B">
            <w:rPr>
              <w:rFonts w:ascii="Arial" w:hAnsi="Arial" w:cs="Arial"/>
              <w:b/>
              <w:bCs/>
              <w:color w:val="auto"/>
            </w:rPr>
            <w:t>Table of Contents</w:t>
          </w:r>
        </w:p>
        <w:p w14:paraId="4BD2239D" w14:textId="052C6C67" w:rsidR="00A7088B" w:rsidRDefault="00A7088B">
          <w:pPr>
            <w:pStyle w:val="TOC1"/>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r>
            <w:fldChar w:fldCharType="begin"/>
          </w:r>
          <w:r>
            <w:instrText xml:space="preserve"> TOC \o "1-3" \h \z \u </w:instrText>
          </w:r>
          <w:r>
            <w:fldChar w:fldCharType="separate"/>
          </w:r>
          <w:hyperlink w:anchor="_Toc211435216" w:history="1">
            <w:r w:rsidRPr="00B67F1D">
              <w:rPr>
                <w:rStyle w:val="Hyperlink"/>
                <w:noProof/>
              </w:rPr>
              <w:t>1. Introduction.</w:t>
            </w:r>
            <w:r>
              <w:rPr>
                <w:noProof/>
                <w:webHidden/>
              </w:rPr>
              <w:tab/>
            </w:r>
            <w:r>
              <w:rPr>
                <w:noProof/>
                <w:webHidden/>
              </w:rPr>
              <w:fldChar w:fldCharType="begin"/>
            </w:r>
            <w:r>
              <w:rPr>
                <w:noProof/>
                <w:webHidden/>
              </w:rPr>
              <w:instrText xml:space="preserve"> PAGEREF _Toc211435216 \h </w:instrText>
            </w:r>
            <w:r>
              <w:rPr>
                <w:noProof/>
                <w:webHidden/>
              </w:rPr>
            </w:r>
            <w:r>
              <w:rPr>
                <w:noProof/>
                <w:webHidden/>
              </w:rPr>
              <w:fldChar w:fldCharType="separate"/>
            </w:r>
            <w:r>
              <w:rPr>
                <w:noProof/>
                <w:webHidden/>
              </w:rPr>
              <w:t>4</w:t>
            </w:r>
            <w:r>
              <w:rPr>
                <w:noProof/>
                <w:webHidden/>
              </w:rPr>
              <w:fldChar w:fldCharType="end"/>
            </w:r>
          </w:hyperlink>
        </w:p>
        <w:p w14:paraId="57AD268F" w14:textId="10E52ACE" w:rsidR="00A7088B" w:rsidRDefault="00A7088B">
          <w:pPr>
            <w:pStyle w:val="TOC1"/>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hyperlink w:anchor="_Toc211435217" w:history="1">
            <w:r w:rsidRPr="00B67F1D">
              <w:rPr>
                <w:rStyle w:val="Hyperlink"/>
                <w:noProof/>
              </w:rPr>
              <w:t>2. What is Hypertension, Burden and the Prevalence?</w:t>
            </w:r>
            <w:r>
              <w:rPr>
                <w:noProof/>
                <w:webHidden/>
              </w:rPr>
              <w:tab/>
            </w:r>
            <w:r>
              <w:rPr>
                <w:noProof/>
                <w:webHidden/>
              </w:rPr>
              <w:fldChar w:fldCharType="begin"/>
            </w:r>
            <w:r>
              <w:rPr>
                <w:noProof/>
                <w:webHidden/>
              </w:rPr>
              <w:instrText xml:space="preserve"> PAGEREF _Toc211435217 \h </w:instrText>
            </w:r>
            <w:r>
              <w:rPr>
                <w:noProof/>
                <w:webHidden/>
              </w:rPr>
            </w:r>
            <w:r>
              <w:rPr>
                <w:noProof/>
                <w:webHidden/>
              </w:rPr>
              <w:fldChar w:fldCharType="separate"/>
            </w:r>
            <w:r>
              <w:rPr>
                <w:noProof/>
                <w:webHidden/>
              </w:rPr>
              <w:t>5</w:t>
            </w:r>
            <w:r>
              <w:rPr>
                <w:noProof/>
                <w:webHidden/>
              </w:rPr>
              <w:fldChar w:fldCharType="end"/>
            </w:r>
          </w:hyperlink>
        </w:p>
        <w:p w14:paraId="28AD24B3" w14:textId="3EFB4B08" w:rsidR="00A7088B" w:rsidRDefault="00A7088B">
          <w:pPr>
            <w:pStyle w:val="TOC2"/>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hyperlink w:anchor="_Toc211435218" w:history="1">
            <w:r w:rsidRPr="00B67F1D">
              <w:rPr>
                <w:rStyle w:val="Hyperlink"/>
                <w:noProof/>
              </w:rPr>
              <w:t>2.1 What is Hypertension?</w:t>
            </w:r>
            <w:r>
              <w:rPr>
                <w:noProof/>
                <w:webHidden/>
              </w:rPr>
              <w:tab/>
            </w:r>
            <w:r>
              <w:rPr>
                <w:noProof/>
                <w:webHidden/>
              </w:rPr>
              <w:fldChar w:fldCharType="begin"/>
            </w:r>
            <w:r>
              <w:rPr>
                <w:noProof/>
                <w:webHidden/>
              </w:rPr>
              <w:instrText xml:space="preserve"> PAGEREF _Toc211435218 \h </w:instrText>
            </w:r>
            <w:r>
              <w:rPr>
                <w:noProof/>
                <w:webHidden/>
              </w:rPr>
            </w:r>
            <w:r>
              <w:rPr>
                <w:noProof/>
                <w:webHidden/>
              </w:rPr>
              <w:fldChar w:fldCharType="separate"/>
            </w:r>
            <w:r>
              <w:rPr>
                <w:noProof/>
                <w:webHidden/>
              </w:rPr>
              <w:t>5</w:t>
            </w:r>
            <w:r>
              <w:rPr>
                <w:noProof/>
                <w:webHidden/>
              </w:rPr>
              <w:fldChar w:fldCharType="end"/>
            </w:r>
          </w:hyperlink>
        </w:p>
        <w:p w14:paraId="1565BE52" w14:textId="73C70F69" w:rsidR="00A7088B" w:rsidRDefault="00A7088B">
          <w:pPr>
            <w:pStyle w:val="TOC2"/>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hyperlink w:anchor="_Toc211435219" w:history="1">
            <w:r w:rsidRPr="00B67F1D">
              <w:rPr>
                <w:rStyle w:val="Hyperlink"/>
                <w:noProof/>
              </w:rPr>
              <w:t>2.2 Global and UK Burden.</w:t>
            </w:r>
            <w:r>
              <w:rPr>
                <w:noProof/>
                <w:webHidden/>
              </w:rPr>
              <w:tab/>
            </w:r>
            <w:r>
              <w:rPr>
                <w:noProof/>
                <w:webHidden/>
              </w:rPr>
              <w:fldChar w:fldCharType="begin"/>
            </w:r>
            <w:r>
              <w:rPr>
                <w:noProof/>
                <w:webHidden/>
              </w:rPr>
              <w:instrText xml:space="preserve"> PAGEREF _Toc211435219 \h </w:instrText>
            </w:r>
            <w:r>
              <w:rPr>
                <w:noProof/>
                <w:webHidden/>
              </w:rPr>
            </w:r>
            <w:r>
              <w:rPr>
                <w:noProof/>
                <w:webHidden/>
              </w:rPr>
              <w:fldChar w:fldCharType="separate"/>
            </w:r>
            <w:r>
              <w:rPr>
                <w:noProof/>
                <w:webHidden/>
              </w:rPr>
              <w:t>7</w:t>
            </w:r>
            <w:r>
              <w:rPr>
                <w:noProof/>
                <w:webHidden/>
              </w:rPr>
              <w:fldChar w:fldCharType="end"/>
            </w:r>
          </w:hyperlink>
        </w:p>
        <w:p w14:paraId="7B431AB7" w14:textId="43A87F7F" w:rsidR="00A7088B" w:rsidRDefault="00A7088B">
          <w:pPr>
            <w:pStyle w:val="TOC2"/>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hyperlink w:anchor="_Toc211435220" w:history="1">
            <w:r w:rsidRPr="00B67F1D">
              <w:rPr>
                <w:rStyle w:val="Hyperlink"/>
                <w:noProof/>
              </w:rPr>
              <w:t>2.3 Risk Factors and Aetiology.</w:t>
            </w:r>
            <w:r>
              <w:rPr>
                <w:noProof/>
                <w:webHidden/>
              </w:rPr>
              <w:tab/>
            </w:r>
            <w:r>
              <w:rPr>
                <w:noProof/>
                <w:webHidden/>
              </w:rPr>
              <w:fldChar w:fldCharType="begin"/>
            </w:r>
            <w:r>
              <w:rPr>
                <w:noProof/>
                <w:webHidden/>
              </w:rPr>
              <w:instrText xml:space="preserve"> PAGEREF _Toc211435220 \h </w:instrText>
            </w:r>
            <w:r>
              <w:rPr>
                <w:noProof/>
                <w:webHidden/>
              </w:rPr>
            </w:r>
            <w:r>
              <w:rPr>
                <w:noProof/>
                <w:webHidden/>
              </w:rPr>
              <w:fldChar w:fldCharType="separate"/>
            </w:r>
            <w:r>
              <w:rPr>
                <w:noProof/>
                <w:webHidden/>
              </w:rPr>
              <w:t>8</w:t>
            </w:r>
            <w:r>
              <w:rPr>
                <w:noProof/>
                <w:webHidden/>
              </w:rPr>
              <w:fldChar w:fldCharType="end"/>
            </w:r>
          </w:hyperlink>
        </w:p>
        <w:p w14:paraId="5864D0E5" w14:textId="74927B24" w:rsidR="00A7088B" w:rsidRDefault="00A7088B">
          <w:pPr>
            <w:pStyle w:val="TOC1"/>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hyperlink w:anchor="_Toc211435221" w:history="1">
            <w:r w:rsidRPr="00B67F1D">
              <w:rPr>
                <w:rStyle w:val="Hyperlink"/>
                <w:noProof/>
              </w:rPr>
              <w:t>3. The Effect of Hypertension on Physical, Mental and Social Well-being.</w:t>
            </w:r>
            <w:r>
              <w:rPr>
                <w:noProof/>
                <w:webHidden/>
              </w:rPr>
              <w:tab/>
            </w:r>
            <w:r>
              <w:rPr>
                <w:noProof/>
                <w:webHidden/>
              </w:rPr>
              <w:fldChar w:fldCharType="begin"/>
            </w:r>
            <w:r>
              <w:rPr>
                <w:noProof/>
                <w:webHidden/>
              </w:rPr>
              <w:instrText xml:space="preserve"> PAGEREF _Toc211435221 \h </w:instrText>
            </w:r>
            <w:r>
              <w:rPr>
                <w:noProof/>
                <w:webHidden/>
              </w:rPr>
            </w:r>
            <w:r>
              <w:rPr>
                <w:noProof/>
                <w:webHidden/>
              </w:rPr>
              <w:fldChar w:fldCharType="separate"/>
            </w:r>
            <w:r>
              <w:rPr>
                <w:noProof/>
                <w:webHidden/>
              </w:rPr>
              <w:t>9</w:t>
            </w:r>
            <w:r>
              <w:rPr>
                <w:noProof/>
                <w:webHidden/>
              </w:rPr>
              <w:fldChar w:fldCharType="end"/>
            </w:r>
          </w:hyperlink>
        </w:p>
        <w:p w14:paraId="2EAEC91E" w14:textId="1968646E" w:rsidR="00A7088B" w:rsidRDefault="00A7088B">
          <w:pPr>
            <w:pStyle w:val="TOC2"/>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hyperlink w:anchor="_Toc211435222" w:history="1">
            <w:r w:rsidRPr="00B67F1D">
              <w:rPr>
                <w:rStyle w:val="Hyperlink"/>
                <w:noProof/>
              </w:rPr>
              <w:t>3.1 Physical Impact on Individuals.</w:t>
            </w:r>
            <w:r>
              <w:rPr>
                <w:noProof/>
                <w:webHidden/>
              </w:rPr>
              <w:tab/>
            </w:r>
            <w:r>
              <w:rPr>
                <w:noProof/>
                <w:webHidden/>
              </w:rPr>
              <w:fldChar w:fldCharType="begin"/>
            </w:r>
            <w:r>
              <w:rPr>
                <w:noProof/>
                <w:webHidden/>
              </w:rPr>
              <w:instrText xml:space="preserve"> PAGEREF _Toc211435222 \h </w:instrText>
            </w:r>
            <w:r>
              <w:rPr>
                <w:noProof/>
                <w:webHidden/>
              </w:rPr>
            </w:r>
            <w:r>
              <w:rPr>
                <w:noProof/>
                <w:webHidden/>
              </w:rPr>
              <w:fldChar w:fldCharType="separate"/>
            </w:r>
            <w:r>
              <w:rPr>
                <w:noProof/>
                <w:webHidden/>
              </w:rPr>
              <w:t>9</w:t>
            </w:r>
            <w:r>
              <w:rPr>
                <w:noProof/>
                <w:webHidden/>
              </w:rPr>
              <w:fldChar w:fldCharType="end"/>
            </w:r>
          </w:hyperlink>
        </w:p>
        <w:p w14:paraId="02665B45" w14:textId="6CB8379F" w:rsidR="00A7088B" w:rsidRDefault="00A7088B">
          <w:pPr>
            <w:pStyle w:val="TOC2"/>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hyperlink w:anchor="_Toc211435223" w:history="1">
            <w:r w:rsidRPr="00B67F1D">
              <w:rPr>
                <w:rStyle w:val="Hyperlink"/>
                <w:noProof/>
              </w:rPr>
              <w:t>3.2 Psychological Impact.</w:t>
            </w:r>
            <w:r>
              <w:rPr>
                <w:noProof/>
                <w:webHidden/>
              </w:rPr>
              <w:tab/>
            </w:r>
            <w:r>
              <w:rPr>
                <w:noProof/>
                <w:webHidden/>
              </w:rPr>
              <w:fldChar w:fldCharType="begin"/>
            </w:r>
            <w:r>
              <w:rPr>
                <w:noProof/>
                <w:webHidden/>
              </w:rPr>
              <w:instrText xml:space="preserve"> PAGEREF _Toc211435223 \h </w:instrText>
            </w:r>
            <w:r>
              <w:rPr>
                <w:noProof/>
                <w:webHidden/>
              </w:rPr>
            </w:r>
            <w:r>
              <w:rPr>
                <w:noProof/>
                <w:webHidden/>
              </w:rPr>
              <w:fldChar w:fldCharType="separate"/>
            </w:r>
            <w:r>
              <w:rPr>
                <w:noProof/>
                <w:webHidden/>
              </w:rPr>
              <w:t>9</w:t>
            </w:r>
            <w:r>
              <w:rPr>
                <w:noProof/>
                <w:webHidden/>
              </w:rPr>
              <w:fldChar w:fldCharType="end"/>
            </w:r>
          </w:hyperlink>
        </w:p>
        <w:p w14:paraId="2BC8119A" w14:textId="52E6A523" w:rsidR="00A7088B" w:rsidRDefault="00A7088B">
          <w:pPr>
            <w:pStyle w:val="TOC2"/>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hyperlink w:anchor="_Toc211435224" w:history="1">
            <w:r w:rsidRPr="00B67F1D">
              <w:rPr>
                <w:rStyle w:val="Hyperlink"/>
                <w:noProof/>
              </w:rPr>
              <w:t>3.3 Social Implications.</w:t>
            </w:r>
            <w:r>
              <w:rPr>
                <w:noProof/>
                <w:webHidden/>
              </w:rPr>
              <w:tab/>
            </w:r>
            <w:r>
              <w:rPr>
                <w:noProof/>
                <w:webHidden/>
              </w:rPr>
              <w:fldChar w:fldCharType="begin"/>
            </w:r>
            <w:r>
              <w:rPr>
                <w:noProof/>
                <w:webHidden/>
              </w:rPr>
              <w:instrText xml:space="preserve"> PAGEREF _Toc211435224 \h </w:instrText>
            </w:r>
            <w:r>
              <w:rPr>
                <w:noProof/>
                <w:webHidden/>
              </w:rPr>
            </w:r>
            <w:r>
              <w:rPr>
                <w:noProof/>
                <w:webHidden/>
              </w:rPr>
              <w:fldChar w:fldCharType="separate"/>
            </w:r>
            <w:r>
              <w:rPr>
                <w:noProof/>
                <w:webHidden/>
              </w:rPr>
              <w:t>10</w:t>
            </w:r>
            <w:r>
              <w:rPr>
                <w:noProof/>
                <w:webHidden/>
              </w:rPr>
              <w:fldChar w:fldCharType="end"/>
            </w:r>
          </w:hyperlink>
        </w:p>
        <w:p w14:paraId="355808E1" w14:textId="1C49C5F2" w:rsidR="00A7088B" w:rsidRDefault="00A7088B">
          <w:pPr>
            <w:pStyle w:val="TOC2"/>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hyperlink w:anchor="_Toc211435225" w:history="1">
            <w:r w:rsidRPr="00B67F1D">
              <w:rPr>
                <w:rStyle w:val="Hyperlink"/>
                <w:noProof/>
              </w:rPr>
              <w:t>3.4 Impact on Families and Carers</w:t>
            </w:r>
            <w:r>
              <w:rPr>
                <w:noProof/>
                <w:webHidden/>
              </w:rPr>
              <w:tab/>
            </w:r>
            <w:r>
              <w:rPr>
                <w:noProof/>
                <w:webHidden/>
              </w:rPr>
              <w:fldChar w:fldCharType="begin"/>
            </w:r>
            <w:r>
              <w:rPr>
                <w:noProof/>
                <w:webHidden/>
              </w:rPr>
              <w:instrText xml:space="preserve"> PAGEREF _Toc211435225 \h </w:instrText>
            </w:r>
            <w:r>
              <w:rPr>
                <w:noProof/>
                <w:webHidden/>
              </w:rPr>
            </w:r>
            <w:r>
              <w:rPr>
                <w:noProof/>
                <w:webHidden/>
              </w:rPr>
              <w:fldChar w:fldCharType="separate"/>
            </w:r>
            <w:r>
              <w:rPr>
                <w:noProof/>
                <w:webHidden/>
              </w:rPr>
              <w:t>10</w:t>
            </w:r>
            <w:r>
              <w:rPr>
                <w:noProof/>
                <w:webHidden/>
              </w:rPr>
              <w:fldChar w:fldCharType="end"/>
            </w:r>
          </w:hyperlink>
        </w:p>
        <w:p w14:paraId="0D59789B" w14:textId="6C81013C" w:rsidR="00A7088B" w:rsidRDefault="00A7088B">
          <w:pPr>
            <w:pStyle w:val="TOC1"/>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hyperlink w:anchor="_Toc211435226" w:history="1">
            <w:r w:rsidRPr="00B67F1D">
              <w:rPr>
                <w:rStyle w:val="Hyperlink"/>
                <w:noProof/>
              </w:rPr>
              <w:t>4. Evidence-Based Treatment Options Available in the UK</w:t>
            </w:r>
            <w:r>
              <w:rPr>
                <w:noProof/>
                <w:webHidden/>
              </w:rPr>
              <w:tab/>
            </w:r>
            <w:r>
              <w:rPr>
                <w:noProof/>
                <w:webHidden/>
              </w:rPr>
              <w:fldChar w:fldCharType="begin"/>
            </w:r>
            <w:r>
              <w:rPr>
                <w:noProof/>
                <w:webHidden/>
              </w:rPr>
              <w:instrText xml:space="preserve"> PAGEREF _Toc211435226 \h </w:instrText>
            </w:r>
            <w:r>
              <w:rPr>
                <w:noProof/>
                <w:webHidden/>
              </w:rPr>
            </w:r>
            <w:r>
              <w:rPr>
                <w:noProof/>
                <w:webHidden/>
              </w:rPr>
              <w:fldChar w:fldCharType="separate"/>
            </w:r>
            <w:r>
              <w:rPr>
                <w:noProof/>
                <w:webHidden/>
              </w:rPr>
              <w:t>11</w:t>
            </w:r>
            <w:r>
              <w:rPr>
                <w:noProof/>
                <w:webHidden/>
              </w:rPr>
              <w:fldChar w:fldCharType="end"/>
            </w:r>
          </w:hyperlink>
        </w:p>
        <w:p w14:paraId="3C74961F" w14:textId="5EF0D85B" w:rsidR="00A7088B" w:rsidRDefault="00A7088B">
          <w:pPr>
            <w:pStyle w:val="TOC2"/>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hyperlink w:anchor="_Toc211435227" w:history="1">
            <w:r w:rsidRPr="00B67F1D">
              <w:rPr>
                <w:rStyle w:val="Hyperlink"/>
                <w:noProof/>
              </w:rPr>
              <w:t>4.1 Lifestyle Interventions.</w:t>
            </w:r>
            <w:r>
              <w:rPr>
                <w:noProof/>
                <w:webHidden/>
              </w:rPr>
              <w:tab/>
            </w:r>
            <w:r>
              <w:rPr>
                <w:noProof/>
                <w:webHidden/>
              </w:rPr>
              <w:fldChar w:fldCharType="begin"/>
            </w:r>
            <w:r>
              <w:rPr>
                <w:noProof/>
                <w:webHidden/>
              </w:rPr>
              <w:instrText xml:space="preserve"> PAGEREF _Toc211435227 \h </w:instrText>
            </w:r>
            <w:r>
              <w:rPr>
                <w:noProof/>
                <w:webHidden/>
              </w:rPr>
            </w:r>
            <w:r>
              <w:rPr>
                <w:noProof/>
                <w:webHidden/>
              </w:rPr>
              <w:fldChar w:fldCharType="separate"/>
            </w:r>
            <w:r>
              <w:rPr>
                <w:noProof/>
                <w:webHidden/>
              </w:rPr>
              <w:t>11</w:t>
            </w:r>
            <w:r>
              <w:rPr>
                <w:noProof/>
                <w:webHidden/>
              </w:rPr>
              <w:fldChar w:fldCharType="end"/>
            </w:r>
          </w:hyperlink>
        </w:p>
        <w:p w14:paraId="5FAFE57F" w14:textId="66DBB54D" w:rsidR="00A7088B" w:rsidRDefault="00A7088B">
          <w:pPr>
            <w:pStyle w:val="TOC2"/>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hyperlink w:anchor="_Toc211435228" w:history="1">
            <w:r w:rsidRPr="00B67F1D">
              <w:rPr>
                <w:rStyle w:val="Hyperlink"/>
                <w:noProof/>
              </w:rPr>
              <w:t>4.2 Pharmacological Management.</w:t>
            </w:r>
            <w:r>
              <w:rPr>
                <w:noProof/>
                <w:webHidden/>
              </w:rPr>
              <w:tab/>
            </w:r>
            <w:r>
              <w:rPr>
                <w:noProof/>
                <w:webHidden/>
              </w:rPr>
              <w:fldChar w:fldCharType="begin"/>
            </w:r>
            <w:r>
              <w:rPr>
                <w:noProof/>
                <w:webHidden/>
              </w:rPr>
              <w:instrText xml:space="preserve"> PAGEREF _Toc211435228 \h </w:instrText>
            </w:r>
            <w:r>
              <w:rPr>
                <w:noProof/>
                <w:webHidden/>
              </w:rPr>
            </w:r>
            <w:r>
              <w:rPr>
                <w:noProof/>
                <w:webHidden/>
              </w:rPr>
              <w:fldChar w:fldCharType="separate"/>
            </w:r>
            <w:r>
              <w:rPr>
                <w:noProof/>
                <w:webHidden/>
              </w:rPr>
              <w:t>11</w:t>
            </w:r>
            <w:r>
              <w:rPr>
                <w:noProof/>
                <w:webHidden/>
              </w:rPr>
              <w:fldChar w:fldCharType="end"/>
            </w:r>
          </w:hyperlink>
        </w:p>
        <w:p w14:paraId="7A0428DA" w14:textId="1485A99B" w:rsidR="00A7088B" w:rsidRDefault="00A7088B">
          <w:pPr>
            <w:pStyle w:val="TOC2"/>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hyperlink w:anchor="_Toc211435229" w:history="1">
            <w:r w:rsidRPr="00B67F1D">
              <w:rPr>
                <w:rStyle w:val="Hyperlink"/>
                <w:noProof/>
              </w:rPr>
              <w:t>4.3 Monitoring and Follow-up Care.</w:t>
            </w:r>
            <w:r>
              <w:rPr>
                <w:noProof/>
                <w:webHidden/>
              </w:rPr>
              <w:tab/>
            </w:r>
            <w:r>
              <w:rPr>
                <w:noProof/>
                <w:webHidden/>
              </w:rPr>
              <w:fldChar w:fldCharType="begin"/>
            </w:r>
            <w:r>
              <w:rPr>
                <w:noProof/>
                <w:webHidden/>
              </w:rPr>
              <w:instrText xml:space="preserve"> PAGEREF _Toc211435229 \h </w:instrText>
            </w:r>
            <w:r>
              <w:rPr>
                <w:noProof/>
                <w:webHidden/>
              </w:rPr>
            </w:r>
            <w:r>
              <w:rPr>
                <w:noProof/>
                <w:webHidden/>
              </w:rPr>
              <w:fldChar w:fldCharType="separate"/>
            </w:r>
            <w:r>
              <w:rPr>
                <w:noProof/>
                <w:webHidden/>
              </w:rPr>
              <w:t>12</w:t>
            </w:r>
            <w:r>
              <w:rPr>
                <w:noProof/>
                <w:webHidden/>
              </w:rPr>
              <w:fldChar w:fldCharType="end"/>
            </w:r>
          </w:hyperlink>
        </w:p>
        <w:p w14:paraId="0CA02CBC" w14:textId="31D9EFA1" w:rsidR="00A7088B" w:rsidRDefault="00A7088B">
          <w:pPr>
            <w:pStyle w:val="TOC1"/>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hyperlink w:anchor="_Toc211435230" w:history="1">
            <w:r w:rsidRPr="00B67F1D">
              <w:rPr>
                <w:rStyle w:val="Hyperlink"/>
                <w:noProof/>
              </w:rPr>
              <w:t>5. Theoretical models and frameworks for improved outcomes</w:t>
            </w:r>
            <w:r>
              <w:rPr>
                <w:noProof/>
                <w:webHidden/>
              </w:rPr>
              <w:tab/>
            </w:r>
            <w:r>
              <w:rPr>
                <w:noProof/>
                <w:webHidden/>
              </w:rPr>
              <w:fldChar w:fldCharType="begin"/>
            </w:r>
            <w:r>
              <w:rPr>
                <w:noProof/>
                <w:webHidden/>
              </w:rPr>
              <w:instrText xml:space="preserve"> PAGEREF _Toc211435230 \h </w:instrText>
            </w:r>
            <w:r>
              <w:rPr>
                <w:noProof/>
                <w:webHidden/>
              </w:rPr>
            </w:r>
            <w:r>
              <w:rPr>
                <w:noProof/>
                <w:webHidden/>
              </w:rPr>
              <w:fldChar w:fldCharType="separate"/>
            </w:r>
            <w:r>
              <w:rPr>
                <w:noProof/>
                <w:webHidden/>
              </w:rPr>
              <w:t>12</w:t>
            </w:r>
            <w:r>
              <w:rPr>
                <w:noProof/>
                <w:webHidden/>
              </w:rPr>
              <w:fldChar w:fldCharType="end"/>
            </w:r>
          </w:hyperlink>
        </w:p>
        <w:p w14:paraId="77E0CD62" w14:textId="4AB3350C" w:rsidR="00A7088B" w:rsidRDefault="00A7088B">
          <w:pPr>
            <w:pStyle w:val="TOC2"/>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hyperlink w:anchor="_Toc211435231" w:history="1">
            <w:r w:rsidRPr="00B67F1D">
              <w:rPr>
                <w:rStyle w:val="Hyperlink"/>
                <w:noProof/>
              </w:rPr>
              <w:t>5.1 UK Model. The House of Care Framework.</w:t>
            </w:r>
            <w:r>
              <w:rPr>
                <w:noProof/>
                <w:webHidden/>
              </w:rPr>
              <w:tab/>
            </w:r>
            <w:r>
              <w:rPr>
                <w:noProof/>
                <w:webHidden/>
              </w:rPr>
              <w:fldChar w:fldCharType="begin"/>
            </w:r>
            <w:r>
              <w:rPr>
                <w:noProof/>
                <w:webHidden/>
              </w:rPr>
              <w:instrText xml:space="preserve"> PAGEREF _Toc211435231 \h </w:instrText>
            </w:r>
            <w:r>
              <w:rPr>
                <w:noProof/>
                <w:webHidden/>
              </w:rPr>
            </w:r>
            <w:r>
              <w:rPr>
                <w:noProof/>
                <w:webHidden/>
              </w:rPr>
              <w:fldChar w:fldCharType="separate"/>
            </w:r>
            <w:r>
              <w:rPr>
                <w:noProof/>
                <w:webHidden/>
              </w:rPr>
              <w:t>12</w:t>
            </w:r>
            <w:r>
              <w:rPr>
                <w:noProof/>
                <w:webHidden/>
              </w:rPr>
              <w:fldChar w:fldCharType="end"/>
            </w:r>
          </w:hyperlink>
        </w:p>
        <w:p w14:paraId="06342570" w14:textId="1C3F3CEF" w:rsidR="00A7088B" w:rsidRDefault="00A7088B">
          <w:pPr>
            <w:pStyle w:val="TOC2"/>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hyperlink w:anchor="_Toc211435232" w:history="1">
            <w:r w:rsidRPr="00B67F1D">
              <w:rPr>
                <w:rStyle w:val="Hyperlink"/>
                <w:noProof/>
              </w:rPr>
              <w:t>5.2 International Model. Chronic Care Model (CCM).</w:t>
            </w:r>
            <w:r>
              <w:rPr>
                <w:noProof/>
                <w:webHidden/>
              </w:rPr>
              <w:tab/>
            </w:r>
            <w:r>
              <w:rPr>
                <w:noProof/>
                <w:webHidden/>
              </w:rPr>
              <w:fldChar w:fldCharType="begin"/>
            </w:r>
            <w:r>
              <w:rPr>
                <w:noProof/>
                <w:webHidden/>
              </w:rPr>
              <w:instrText xml:space="preserve"> PAGEREF _Toc211435232 \h </w:instrText>
            </w:r>
            <w:r>
              <w:rPr>
                <w:noProof/>
                <w:webHidden/>
              </w:rPr>
            </w:r>
            <w:r>
              <w:rPr>
                <w:noProof/>
                <w:webHidden/>
              </w:rPr>
              <w:fldChar w:fldCharType="separate"/>
            </w:r>
            <w:r>
              <w:rPr>
                <w:noProof/>
                <w:webHidden/>
              </w:rPr>
              <w:t>13</w:t>
            </w:r>
            <w:r>
              <w:rPr>
                <w:noProof/>
                <w:webHidden/>
              </w:rPr>
              <w:fldChar w:fldCharType="end"/>
            </w:r>
          </w:hyperlink>
        </w:p>
        <w:p w14:paraId="198CDE7B" w14:textId="52CEEE49" w:rsidR="00A7088B" w:rsidRDefault="00A7088B">
          <w:pPr>
            <w:pStyle w:val="TOC1"/>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hyperlink w:anchor="_Toc211435233" w:history="1">
            <w:r w:rsidRPr="00B67F1D">
              <w:rPr>
                <w:rStyle w:val="Hyperlink"/>
                <w:noProof/>
              </w:rPr>
              <w:t>6. Policy: Local and National Health and Social Care Agendas</w:t>
            </w:r>
            <w:r>
              <w:rPr>
                <w:noProof/>
                <w:webHidden/>
              </w:rPr>
              <w:tab/>
            </w:r>
            <w:r>
              <w:rPr>
                <w:noProof/>
                <w:webHidden/>
              </w:rPr>
              <w:fldChar w:fldCharType="begin"/>
            </w:r>
            <w:r>
              <w:rPr>
                <w:noProof/>
                <w:webHidden/>
              </w:rPr>
              <w:instrText xml:space="preserve"> PAGEREF _Toc211435233 \h </w:instrText>
            </w:r>
            <w:r>
              <w:rPr>
                <w:noProof/>
                <w:webHidden/>
              </w:rPr>
            </w:r>
            <w:r>
              <w:rPr>
                <w:noProof/>
                <w:webHidden/>
              </w:rPr>
              <w:fldChar w:fldCharType="separate"/>
            </w:r>
            <w:r>
              <w:rPr>
                <w:noProof/>
                <w:webHidden/>
              </w:rPr>
              <w:t>14</w:t>
            </w:r>
            <w:r>
              <w:rPr>
                <w:noProof/>
                <w:webHidden/>
              </w:rPr>
              <w:fldChar w:fldCharType="end"/>
            </w:r>
          </w:hyperlink>
        </w:p>
        <w:p w14:paraId="4C3FCF47" w14:textId="5A621321" w:rsidR="00A7088B" w:rsidRDefault="00A7088B">
          <w:pPr>
            <w:pStyle w:val="TOC1"/>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hyperlink w:anchor="_Toc211435234" w:history="1">
            <w:r w:rsidRPr="00B67F1D">
              <w:rPr>
                <w:rStyle w:val="Hyperlink"/>
                <w:noProof/>
              </w:rPr>
              <w:t>7. Recommendations for Person-Centred Care Approaches.</w:t>
            </w:r>
            <w:r>
              <w:rPr>
                <w:noProof/>
                <w:webHidden/>
              </w:rPr>
              <w:tab/>
            </w:r>
            <w:r>
              <w:rPr>
                <w:noProof/>
                <w:webHidden/>
              </w:rPr>
              <w:fldChar w:fldCharType="begin"/>
            </w:r>
            <w:r>
              <w:rPr>
                <w:noProof/>
                <w:webHidden/>
              </w:rPr>
              <w:instrText xml:space="preserve"> PAGEREF _Toc211435234 \h </w:instrText>
            </w:r>
            <w:r>
              <w:rPr>
                <w:noProof/>
                <w:webHidden/>
              </w:rPr>
            </w:r>
            <w:r>
              <w:rPr>
                <w:noProof/>
                <w:webHidden/>
              </w:rPr>
              <w:fldChar w:fldCharType="separate"/>
            </w:r>
            <w:r>
              <w:rPr>
                <w:noProof/>
                <w:webHidden/>
              </w:rPr>
              <w:t>17</w:t>
            </w:r>
            <w:r>
              <w:rPr>
                <w:noProof/>
                <w:webHidden/>
              </w:rPr>
              <w:fldChar w:fldCharType="end"/>
            </w:r>
          </w:hyperlink>
        </w:p>
        <w:p w14:paraId="46FFB248" w14:textId="255F2C0E" w:rsidR="00A7088B" w:rsidRDefault="00A7088B">
          <w:pPr>
            <w:pStyle w:val="TOC2"/>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hyperlink w:anchor="_Toc211435235" w:history="1">
            <w:r w:rsidRPr="00B67F1D">
              <w:rPr>
                <w:rStyle w:val="Hyperlink"/>
                <w:noProof/>
              </w:rPr>
              <w:t>7.1 Self-Management Support.</w:t>
            </w:r>
            <w:r>
              <w:rPr>
                <w:noProof/>
                <w:webHidden/>
              </w:rPr>
              <w:tab/>
            </w:r>
            <w:r>
              <w:rPr>
                <w:noProof/>
                <w:webHidden/>
              </w:rPr>
              <w:fldChar w:fldCharType="begin"/>
            </w:r>
            <w:r>
              <w:rPr>
                <w:noProof/>
                <w:webHidden/>
              </w:rPr>
              <w:instrText xml:space="preserve"> PAGEREF _Toc211435235 \h </w:instrText>
            </w:r>
            <w:r>
              <w:rPr>
                <w:noProof/>
                <w:webHidden/>
              </w:rPr>
            </w:r>
            <w:r>
              <w:rPr>
                <w:noProof/>
                <w:webHidden/>
              </w:rPr>
              <w:fldChar w:fldCharType="separate"/>
            </w:r>
            <w:r>
              <w:rPr>
                <w:noProof/>
                <w:webHidden/>
              </w:rPr>
              <w:t>17</w:t>
            </w:r>
            <w:r>
              <w:rPr>
                <w:noProof/>
                <w:webHidden/>
              </w:rPr>
              <w:fldChar w:fldCharType="end"/>
            </w:r>
          </w:hyperlink>
        </w:p>
        <w:p w14:paraId="5A6745AD" w14:textId="128CBC24" w:rsidR="00A7088B" w:rsidRDefault="00A7088B">
          <w:pPr>
            <w:pStyle w:val="TOC2"/>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hyperlink w:anchor="_Toc211435236" w:history="1">
            <w:r w:rsidRPr="00B67F1D">
              <w:rPr>
                <w:rStyle w:val="Hyperlink"/>
                <w:noProof/>
              </w:rPr>
              <w:t>7.2 Holistic and Whole-Person Care.</w:t>
            </w:r>
            <w:r>
              <w:rPr>
                <w:noProof/>
                <w:webHidden/>
              </w:rPr>
              <w:tab/>
            </w:r>
            <w:r>
              <w:rPr>
                <w:noProof/>
                <w:webHidden/>
              </w:rPr>
              <w:fldChar w:fldCharType="begin"/>
            </w:r>
            <w:r>
              <w:rPr>
                <w:noProof/>
                <w:webHidden/>
              </w:rPr>
              <w:instrText xml:space="preserve"> PAGEREF _Toc211435236 \h </w:instrText>
            </w:r>
            <w:r>
              <w:rPr>
                <w:noProof/>
                <w:webHidden/>
              </w:rPr>
            </w:r>
            <w:r>
              <w:rPr>
                <w:noProof/>
                <w:webHidden/>
              </w:rPr>
              <w:fldChar w:fldCharType="separate"/>
            </w:r>
            <w:r>
              <w:rPr>
                <w:noProof/>
                <w:webHidden/>
              </w:rPr>
              <w:t>18</w:t>
            </w:r>
            <w:r>
              <w:rPr>
                <w:noProof/>
                <w:webHidden/>
              </w:rPr>
              <w:fldChar w:fldCharType="end"/>
            </w:r>
          </w:hyperlink>
        </w:p>
        <w:p w14:paraId="46E8EFAA" w14:textId="5C81E265" w:rsidR="00A7088B" w:rsidRDefault="00A7088B">
          <w:pPr>
            <w:pStyle w:val="TOC2"/>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hyperlink w:anchor="_Toc211435237" w:history="1">
            <w:r w:rsidRPr="00B67F1D">
              <w:rPr>
                <w:rStyle w:val="Hyperlink"/>
                <w:noProof/>
              </w:rPr>
              <w:t>7.3 End-of-Life Care Considerations.</w:t>
            </w:r>
            <w:r>
              <w:rPr>
                <w:noProof/>
                <w:webHidden/>
              </w:rPr>
              <w:tab/>
            </w:r>
            <w:r>
              <w:rPr>
                <w:noProof/>
                <w:webHidden/>
              </w:rPr>
              <w:fldChar w:fldCharType="begin"/>
            </w:r>
            <w:r>
              <w:rPr>
                <w:noProof/>
                <w:webHidden/>
              </w:rPr>
              <w:instrText xml:space="preserve"> PAGEREF _Toc211435237 \h </w:instrText>
            </w:r>
            <w:r>
              <w:rPr>
                <w:noProof/>
                <w:webHidden/>
              </w:rPr>
            </w:r>
            <w:r>
              <w:rPr>
                <w:noProof/>
                <w:webHidden/>
              </w:rPr>
              <w:fldChar w:fldCharType="separate"/>
            </w:r>
            <w:r>
              <w:rPr>
                <w:noProof/>
                <w:webHidden/>
              </w:rPr>
              <w:t>19</w:t>
            </w:r>
            <w:r>
              <w:rPr>
                <w:noProof/>
                <w:webHidden/>
              </w:rPr>
              <w:fldChar w:fldCharType="end"/>
            </w:r>
          </w:hyperlink>
        </w:p>
        <w:p w14:paraId="713F2339" w14:textId="3F547368" w:rsidR="00A7088B" w:rsidRDefault="00A7088B">
          <w:pPr>
            <w:pStyle w:val="TOC2"/>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hyperlink w:anchor="_Toc211435238" w:history="1">
            <w:r w:rsidRPr="00B67F1D">
              <w:rPr>
                <w:rStyle w:val="Hyperlink"/>
                <w:noProof/>
              </w:rPr>
              <w:t>Implementation Roadmap and Barriers.</w:t>
            </w:r>
            <w:r>
              <w:rPr>
                <w:noProof/>
                <w:webHidden/>
              </w:rPr>
              <w:tab/>
            </w:r>
            <w:r>
              <w:rPr>
                <w:noProof/>
                <w:webHidden/>
              </w:rPr>
              <w:fldChar w:fldCharType="begin"/>
            </w:r>
            <w:r>
              <w:rPr>
                <w:noProof/>
                <w:webHidden/>
              </w:rPr>
              <w:instrText xml:space="preserve"> PAGEREF _Toc211435238 \h </w:instrText>
            </w:r>
            <w:r>
              <w:rPr>
                <w:noProof/>
                <w:webHidden/>
              </w:rPr>
            </w:r>
            <w:r>
              <w:rPr>
                <w:noProof/>
                <w:webHidden/>
              </w:rPr>
              <w:fldChar w:fldCharType="separate"/>
            </w:r>
            <w:r>
              <w:rPr>
                <w:noProof/>
                <w:webHidden/>
              </w:rPr>
              <w:t>19</w:t>
            </w:r>
            <w:r>
              <w:rPr>
                <w:noProof/>
                <w:webHidden/>
              </w:rPr>
              <w:fldChar w:fldCharType="end"/>
            </w:r>
          </w:hyperlink>
        </w:p>
        <w:p w14:paraId="1E373313" w14:textId="0BB5489C" w:rsidR="00A7088B" w:rsidRDefault="00A7088B">
          <w:pPr>
            <w:pStyle w:val="TOC1"/>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hyperlink w:anchor="_Toc211435239" w:history="1">
            <w:r w:rsidRPr="00B67F1D">
              <w:rPr>
                <w:rStyle w:val="Hyperlink"/>
                <w:noProof/>
              </w:rPr>
              <w:t>8. Conclusion.</w:t>
            </w:r>
            <w:r>
              <w:rPr>
                <w:noProof/>
                <w:webHidden/>
              </w:rPr>
              <w:tab/>
            </w:r>
            <w:r>
              <w:rPr>
                <w:noProof/>
                <w:webHidden/>
              </w:rPr>
              <w:fldChar w:fldCharType="begin"/>
            </w:r>
            <w:r>
              <w:rPr>
                <w:noProof/>
                <w:webHidden/>
              </w:rPr>
              <w:instrText xml:space="preserve"> PAGEREF _Toc211435239 \h </w:instrText>
            </w:r>
            <w:r>
              <w:rPr>
                <w:noProof/>
                <w:webHidden/>
              </w:rPr>
            </w:r>
            <w:r>
              <w:rPr>
                <w:noProof/>
                <w:webHidden/>
              </w:rPr>
              <w:fldChar w:fldCharType="separate"/>
            </w:r>
            <w:r>
              <w:rPr>
                <w:noProof/>
                <w:webHidden/>
              </w:rPr>
              <w:t>19</w:t>
            </w:r>
            <w:r>
              <w:rPr>
                <w:noProof/>
                <w:webHidden/>
              </w:rPr>
              <w:fldChar w:fldCharType="end"/>
            </w:r>
          </w:hyperlink>
        </w:p>
        <w:p w14:paraId="46AF32FF" w14:textId="1346FC99" w:rsidR="00A7088B" w:rsidRDefault="00A7088B">
          <w:pPr>
            <w:pStyle w:val="TOC1"/>
            <w:tabs>
              <w:tab w:val="right" w:leader="dot" w:pos="9350"/>
            </w:tabs>
            <w:rPr>
              <w:rFonts w:asciiTheme="minorHAnsi" w:eastAsiaTheme="minorEastAsia" w:hAnsiTheme="minorHAnsi" w:cstheme="minorBidi"/>
              <w:noProof/>
              <w:kern w:val="2"/>
              <w:sz w:val="24"/>
              <w:szCs w:val="21"/>
              <w:lang w:val="en-GB" w:eastAsia="en-GB" w:bidi="hi-IN"/>
              <w14:ligatures w14:val="standardContextual"/>
            </w:rPr>
          </w:pPr>
          <w:hyperlink w:anchor="_Toc211435240" w:history="1">
            <w:r w:rsidRPr="00B67F1D">
              <w:rPr>
                <w:rStyle w:val="Hyperlink"/>
                <w:noProof/>
              </w:rPr>
              <w:t>References</w:t>
            </w:r>
            <w:r>
              <w:rPr>
                <w:noProof/>
                <w:webHidden/>
              </w:rPr>
              <w:tab/>
            </w:r>
            <w:r>
              <w:rPr>
                <w:noProof/>
                <w:webHidden/>
              </w:rPr>
              <w:fldChar w:fldCharType="begin"/>
            </w:r>
            <w:r>
              <w:rPr>
                <w:noProof/>
                <w:webHidden/>
              </w:rPr>
              <w:instrText xml:space="preserve"> PAGEREF _Toc211435240 \h </w:instrText>
            </w:r>
            <w:r>
              <w:rPr>
                <w:noProof/>
                <w:webHidden/>
              </w:rPr>
            </w:r>
            <w:r>
              <w:rPr>
                <w:noProof/>
                <w:webHidden/>
              </w:rPr>
              <w:fldChar w:fldCharType="separate"/>
            </w:r>
            <w:r>
              <w:rPr>
                <w:noProof/>
                <w:webHidden/>
              </w:rPr>
              <w:t>20</w:t>
            </w:r>
            <w:r>
              <w:rPr>
                <w:noProof/>
                <w:webHidden/>
              </w:rPr>
              <w:fldChar w:fldCharType="end"/>
            </w:r>
          </w:hyperlink>
        </w:p>
        <w:p w14:paraId="7F7F7F06" w14:textId="4A444B56" w:rsidR="00A7088B" w:rsidRDefault="00A7088B">
          <w:r>
            <w:rPr>
              <w:b/>
              <w:bCs/>
              <w:noProof/>
            </w:rPr>
            <w:fldChar w:fldCharType="end"/>
          </w:r>
        </w:p>
      </w:sdtContent>
    </w:sdt>
    <w:p w14:paraId="2C63DF63" w14:textId="77777777" w:rsidR="00A7088B" w:rsidRDefault="00A7088B" w:rsidP="00A7088B">
      <w:pPr>
        <w:spacing w:before="240" w:after="240" w:line="360" w:lineRule="auto"/>
        <w:jc w:val="center"/>
        <w:rPr>
          <w:b/>
          <w:sz w:val="28"/>
          <w:szCs w:val="28"/>
        </w:rPr>
      </w:pPr>
    </w:p>
    <w:p w14:paraId="5ECB5700" w14:textId="77777777" w:rsidR="00206F26" w:rsidRDefault="00206F26" w:rsidP="00A7088B">
      <w:pPr>
        <w:spacing w:before="240" w:after="240" w:line="360" w:lineRule="auto"/>
        <w:jc w:val="center"/>
        <w:rPr>
          <w:b/>
          <w:sz w:val="28"/>
          <w:szCs w:val="28"/>
        </w:rPr>
      </w:pPr>
    </w:p>
    <w:p w14:paraId="39D582C7" w14:textId="77777777" w:rsidR="00206F26" w:rsidRDefault="00206F26" w:rsidP="00A7088B">
      <w:pPr>
        <w:spacing w:before="240" w:after="240" w:line="360" w:lineRule="auto"/>
        <w:jc w:val="center"/>
        <w:rPr>
          <w:b/>
          <w:sz w:val="28"/>
          <w:szCs w:val="28"/>
        </w:rPr>
      </w:pPr>
    </w:p>
    <w:p w14:paraId="22E268ED" w14:textId="77777777" w:rsidR="00206F26" w:rsidRDefault="005E467D" w:rsidP="00A7088B">
      <w:pPr>
        <w:pStyle w:val="Heading1"/>
        <w:keepNext w:val="0"/>
        <w:keepLines w:val="0"/>
        <w:spacing w:before="280"/>
      </w:pPr>
      <w:bookmarkStart w:id="1" w:name="_Toc211435216"/>
      <w:r>
        <w:t>1. Introduction.</w:t>
      </w:r>
      <w:bookmarkEnd w:id="1"/>
    </w:p>
    <w:p w14:paraId="62E01620" w14:textId="77777777" w:rsidR="00206F26" w:rsidRDefault="005E467D" w:rsidP="00A7088B">
      <w:pPr>
        <w:pStyle w:val="NoSpacing"/>
        <w:spacing w:line="360" w:lineRule="auto"/>
        <w:jc w:val="both"/>
      </w:pPr>
      <w:r>
        <w:t>This UK publication provides practical, easy-to-read information about hypertension (high blood pressure), handy for service users and health professionals. The goal is to understand the problem better and improve management and coordination between patients and practitioners. In England, approximately one in seven adults suffers from high blood pressure, according to NHS Digital (2024). This is a top cause of stroke, heart disease, and kidney failure. Although a common disease, it often has no symptoms, requiring awareness and monitoring (</w:t>
      </w:r>
      <w:r>
        <w:rPr>
          <w:highlight w:val="white"/>
        </w:rPr>
        <w:t>BloodpressureUK, 2025)</w:t>
      </w:r>
      <w:r>
        <w:t>.</w:t>
      </w:r>
    </w:p>
    <w:p w14:paraId="49BDB526" w14:textId="77777777" w:rsidR="00206F26" w:rsidRDefault="005E467D" w:rsidP="00A7088B">
      <w:pPr>
        <w:spacing w:line="360" w:lineRule="auto"/>
        <w:jc w:val="center"/>
      </w:pPr>
      <w:r>
        <w:rPr>
          <w:noProof/>
        </w:rPr>
        <w:drawing>
          <wp:inline distT="114300" distB="114300" distL="114300" distR="114300" wp14:anchorId="558C6625" wp14:editId="06376CB1">
            <wp:extent cx="5943600" cy="3733800"/>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0"/>
                    <a:stretch>
                      <a:fillRect/>
                    </a:stretch>
                  </pic:blipFill>
                  <pic:spPr>
                    <a:xfrm>
                      <a:off x="0" y="0"/>
                      <a:ext cx="5943600" cy="3733800"/>
                    </a:xfrm>
                    <a:prstGeom prst="rect">
                      <a:avLst/>
                    </a:prstGeom>
                    <a:ln w="25400">
                      <a:solidFill>
                        <a:srgbClr val="000000"/>
                      </a:solidFill>
                      <a:prstDash val="solid"/>
                    </a:ln>
                  </pic:spPr>
                </pic:pic>
              </a:graphicData>
            </a:graphic>
          </wp:inline>
        </w:drawing>
      </w:r>
    </w:p>
    <w:p w14:paraId="0DDB3F63" w14:textId="77777777" w:rsidR="00206F26" w:rsidRDefault="005E467D" w:rsidP="00A7088B">
      <w:pPr>
        <w:spacing w:line="360" w:lineRule="auto"/>
        <w:jc w:val="center"/>
        <w:rPr>
          <w:b/>
          <w:color w:val="0B0C0C"/>
          <w:sz w:val="24"/>
          <w:szCs w:val="24"/>
          <w:highlight w:val="white"/>
        </w:rPr>
      </w:pPr>
      <w:r>
        <w:rPr>
          <w:b/>
          <w:sz w:val="24"/>
          <w:szCs w:val="24"/>
        </w:rPr>
        <w:t xml:space="preserve">Figure 1: </w:t>
      </w:r>
      <w:r>
        <w:rPr>
          <w:b/>
          <w:color w:val="0B0C0C"/>
          <w:sz w:val="24"/>
          <w:szCs w:val="24"/>
          <w:highlight w:val="white"/>
        </w:rPr>
        <w:t>1 in 4 adults worldwide have high blood pressure</w:t>
      </w:r>
    </w:p>
    <w:p w14:paraId="2F1B5E81" w14:textId="77777777" w:rsidR="00206F26" w:rsidRDefault="005E467D" w:rsidP="00A7088B">
      <w:pPr>
        <w:spacing w:line="360" w:lineRule="auto"/>
        <w:jc w:val="center"/>
        <w:rPr>
          <w:b/>
          <w:color w:val="0B0C0C"/>
          <w:sz w:val="24"/>
          <w:szCs w:val="24"/>
          <w:highlight w:val="white"/>
        </w:rPr>
      </w:pPr>
      <w:r>
        <w:rPr>
          <w:b/>
          <w:color w:val="0B0C0C"/>
          <w:sz w:val="24"/>
          <w:szCs w:val="24"/>
          <w:highlight w:val="white"/>
        </w:rPr>
        <w:t xml:space="preserve">(Source: </w:t>
      </w:r>
      <w:hyperlink r:id="rId11">
        <w:r w:rsidR="00206F26">
          <w:rPr>
            <w:b/>
            <w:color w:val="1155CC"/>
            <w:sz w:val="24"/>
            <w:szCs w:val="24"/>
            <w:highlight w:val="white"/>
            <w:u w:val="single"/>
          </w:rPr>
          <w:t>Gov.UK</w:t>
        </w:r>
      </w:hyperlink>
      <w:r>
        <w:rPr>
          <w:b/>
          <w:color w:val="0B0C0C"/>
          <w:sz w:val="24"/>
          <w:szCs w:val="24"/>
          <w:highlight w:val="white"/>
        </w:rPr>
        <w:t>, 2025)</w:t>
      </w:r>
    </w:p>
    <w:p w14:paraId="480554C7" w14:textId="77777777" w:rsidR="00206F26" w:rsidRDefault="005E467D" w:rsidP="00A7088B">
      <w:pPr>
        <w:spacing w:line="360" w:lineRule="auto"/>
        <w:jc w:val="both"/>
      </w:pPr>
      <w:r>
        <w:t>The booklet provides important information about hypertension, including its causes, signs, diagnosis, treatment and lifestyle changes. It also shows the most recent guidelines and statistics in the UK to enhance care based on evidence.</w:t>
      </w:r>
    </w:p>
    <w:p w14:paraId="0F922EF0" w14:textId="77777777" w:rsidR="00206F26" w:rsidRDefault="005E467D" w:rsidP="00A7088B">
      <w:pPr>
        <w:spacing w:line="360" w:lineRule="auto"/>
        <w:jc w:val="both"/>
      </w:pPr>
      <w:r>
        <w:t>The basis of this resource is ensuring approaches are always person-centred, as no two experiences of hypertension are the same.  This guide can, however, help people make decisions together. It can also help them manage health issues.  The aid encourages empowerment, equality and other long-term health outcomes for all.</w:t>
      </w:r>
    </w:p>
    <w:p w14:paraId="761F5C17" w14:textId="77777777" w:rsidR="00206F26" w:rsidRDefault="005E467D" w:rsidP="00A7088B">
      <w:pPr>
        <w:pStyle w:val="Heading1"/>
        <w:keepNext w:val="0"/>
        <w:keepLines w:val="0"/>
        <w:spacing w:before="280"/>
      </w:pPr>
      <w:bookmarkStart w:id="2" w:name="_Toc211435217"/>
      <w:r>
        <w:t>2. What is Hypertension, Burden and the Prevalence?</w:t>
      </w:r>
      <w:bookmarkEnd w:id="2"/>
    </w:p>
    <w:p w14:paraId="2C1CD352" w14:textId="77777777" w:rsidR="00206F26" w:rsidRDefault="005E467D" w:rsidP="00A7088B">
      <w:pPr>
        <w:pStyle w:val="Heading2"/>
        <w:keepNext w:val="0"/>
        <w:keepLines w:val="0"/>
      </w:pPr>
      <w:bookmarkStart w:id="3" w:name="_Toc211435218"/>
      <w:r>
        <w:t>2.1 What is Hypertension?</w:t>
      </w:r>
      <w:bookmarkEnd w:id="3"/>
    </w:p>
    <w:p w14:paraId="68E3B918" w14:textId="77777777" w:rsidR="00206F26" w:rsidRDefault="005E467D" w:rsidP="00A7088B">
      <w:pPr>
        <w:spacing w:line="360" w:lineRule="auto"/>
        <w:jc w:val="both"/>
      </w:pPr>
      <w:r>
        <w:t xml:space="preserve">Hypertension is when blood pressure is elevated over time. It affects the arteries; it happens when blood pressure or pulse narrows or hardens (BHF, 2023).  Clinically, it is defined as a persistent BP ≥140 mmHg systolic and/or ≥90 mmHg diastolic in a clinical setting, on at least 2 readings, which is confirmed by home or ambulatory readings (NICE 2019). Still, there is an ongoing debate about the diagnostic thresholds. For instance, the American Heart Association redefined hypertension ≥130/80 mmHg in 2017. Some experts believe that using lower cut-offs will lead to diagnoses and treatment of lower-risk people (Lay-Flurrie </w:t>
      </w:r>
      <w:r>
        <w:rPr>
          <w:i/>
        </w:rPr>
        <w:t>et al.,</w:t>
      </w:r>
      <w:r>
        <w:t xml:space="preserve"> 2020).  On the other hand, some claim that early diagnosis might provide better long-term prevention (Lewis </w:t>
      </w:r>
      <w:r>
        <w:rPr>
          <w:i/>
        </w:rPr>
        <w:t xml:space="preserve">et al., </w:t>
      </w:r>
      <w:r>
        <w:t xml:space="preserve">2024). It is essential to differentiate primary hypertension, which accounts for more than 90% of cases, from secondary forms like endocrine or renal disorders (Faconti </w:t>
      </w:r>
      <w:r>
        <w:rPr>
          <w:i/>
        </w:rPr>
        <w:t>et al.</w:t>
      </w:r>
      <w:r>
        <w:t xml:space="preserve"> 2024).</w:t>
      </w:r>
    </w:p>
    <w:p w14:paraId="0340B26D" w14:textId="77777777" w:rsidR="00206F26" w:rsidRDefault="005E467D" w:rsidP="00A7088B">
      <w:pPr>
        <w:spacing w:line="360" w:lineRule="auto"/>
        <w:jc w:val="center"/>
        <w:rPr>
          <w:sz w:val="24"/>
          <w:szCs w:val="24"/>
        </w:rPr>
      </w:pPr>
      <w:r>
        <w:rPr>
          <w:noProof/>
          <w:sz w:val="24"/>
          <w:szCs w:val="24"/>
        </w:rPr>
        <w:drawing>
          <wp:inline distT="114300" distB="114300" distL="114300" distR="114300" wp14:anchorId="17516E36" wp14:editId="29FDD207">
            <wp:extent cx="5943600" cy="2345032"/>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12"/>
                    <a:srcRect t="15396"/>
                    <a:stretch>
                      <a:fillRect/>
                    </a:stretch>
                  </pic:blipFill>
                  <pic:spPr>
                    <a:xfrm>
                      <a:off x="0" y="0"/>
                      <a:ext cx="5943600" cy="2345032"/>
                    </a:xfrm>
                    <a:prstGeom prst="rect">
                      <a:avLst/>
                    </a:prstGeom>
                    <a:ln w="25400">
                      <a:solidFill>
                        <a:srgbClr val="000000"/>
                      </a:solidFill>
                      <a:prstDash val="solid"/>
                    </a:ln>
                  </pic:spPr>
                </pic:pic>
              </a:graphicData>
            </a:graphic>
          </wp:inline>
        </w:drawing>
      </w:r>
    </w:p>
    <w:p w14:paraId="6409B7DE" w14:textId="77777777" w:rsidR="00206F26" w:rsidRDefault="005E467D" w:rsidP="00A7088B">
      <w:pPr>
        <w:spacing w:line="360" w:lineRule="auto"/>
        <w:jc w:val="center"/>
        <w:rPr>
          <w:b/>
          <w:sz w:val="24"/>
          <w:szCs w:val="24"/>
        </w:rPr>
      </w:pPr>
      <w:r>
        <w:rPr>
          <w:b/>
          <w:sz w:val="24"/>
          <w:szCs w:val="24"/>
        </w:rPr>
        <w:t>Figure 2: Hypertension</w:t>
      </w:r>
    </w:p>
    <w:p w14:paraId="63DFA94C" w14:textId="77777777" w:rsidR="00206F26" w:rsidRDefault="005E467D" w:rsidP="00A7088B">
      <w:pPr>
        <w:spacing w:line="360" w:lineRule="auto"/>
        <w:jc w:val="center"/>
        <w:rPr>
          <w:b/>
          <w:sz w:val="24"/>
          <w:szCs w:val="24"/>
        </w:rPr>
      </w:pPr>
      <w:r>
        <w:rPr>
          <w:b/>
          <w:sz w:val="24"/>
          <w:szCs w:val="24"/>
        </w:rPr>
        <w:t>(Source: BHF, 2023)</w:t>
      </w:r>
    </w:p>
    <w:p w14:paraId="166EBDCD" w14:textId="77777777" w:rsidR="00206F26" w:rsidRDefault="005E467D" w:rsidP="00A7088B">
      <w:pPr>
        <w:spacing w:line="360" w:lineRule="auto"/>
        <w:jc w:val="center"/>
        <w:rPr>
          <w:b/>
          <w:sz w:val="24"/>
          <w:szCs w:val="24"/>
        </w:rPr>
      </w:pPr>
      <w:r>
        <w:rPr>
          <w:b/>
          <w:noProof/>
          <w:sz w:val="24"/>
          <w:szCs w:val="24"/>
        </w:rPr>
        <w:drawing>
          <wp:inline distT="114300" distB="114300" distL="114300" distR="114300" wp14:anchorId="096F2A2B" wp14:editId="00278B2D">
            <wp:extent cx="5650865" cy="3184304"/>
            <wp:effectExtent l="38100" t="38100" r="45085" b="35560"/>
            <wp:docPr id="7" name="image11.png"/>
            <wp:cNvGraphicFramePr/>
            <a:graphic xmlns:a="http://schemas.openxmlformats.org/drawingml/2006/main">
              <a:graphicData uri="http://schemas.openxmlformats.org/drawingml/2006/picture">
                <pic:pic xmlns:pic="http://schemas.openxmlformats.org/drawingml/2006/picture">
                  <pic:nvPicPr>
                    <pic:cNvPr id="7" name="image11.png"/>
                    <pic:cNvPicPr/>
                  </pic:nvPicPr>
                  <pic:blipFill>
                    <a:blip r:embed="rId13"/>
                    <a:stretch>
                      <a:fillRect/>
                    </a:stretch>
                  </pic:blipFill>
                  <pic:spPr>
                    <a:xfrm>
                      <a:off x="0" y="0"/>
                      <a:ext cx="5676368" cy="3198675"/>
                    </a:xfrm>
                    <a:prstGeom prst="rect">
                      <a:avLst/>
                    </a:prstGeom>
                    <a:ln w="25400">
                      <a:solidFill>
                        <a:srgbClr val="000000"/>
                      </a:solidFill>
                      <a:prstDash val="solid"/>
                    </a:ln>
                  </pic:spPr>
                </pic:pic>
              </a:graphicData>
            </a:graphic>
          </wp:inline>
        </w:drawing>
      </w:r>
    </w:p>
    <w:p w14:paraId="3174183F" w14:textId="77777777" w:rsidR="00206F26" w:rsidRDefault="005E467D" w:rsidP="00A7088B">
      <w:pPr>
        <w:spacing w:line="360" w:lineRule="auto"/>
        <w:jc w:val="center"/>
        <w:rPr>
          <w:b/>
          <w:sz w:val="24"/>
          <w:szCs w:val="24"/>
        </w:rPr>
      </w:pPr>
      <w:r>
        <w:rPr>
          <w:b/>
          <w:sz w:val="24"/>
          <w:szCs w:val="24"/>
        </w:rPr>
        <w:t>Figure 3: The prevalence of untreated hypertension was similar across the area deprivation quintiles</w:t>
      </w:r>
    </w:p>
    <w:p w14:paraId="4DD2FA42" w14:textId="77777777" w:rsidR="00206F26" w:rsidRDefault="005E467D" w:rsidP="00A7088B">
      <w:pPr>
        <w:spacing w:line="360" w:lineRule="auto"/>
        <w:jc w:val="center"/>
        <w:rPr>
          <w:b/>
          <w:sz w:val="24"/>
          <w:szCs w:val="24"/>
        </w:rPr>
      </w:pPr>
      <w:r>
        <w:rPr>
          <w:b/>
          <w:sz w:val="24"/>
          <w:szCs w:val="24"/>
        </w:rPr>
        <w:t>(Source: NHS England, 2025)</w:t>
      </w:r>
    </w:p>
    <w:p w14:paraId="31D799DB" w14:textId="77777777" w:rsidR="00206F26" w:rsidRDefault="005E467D" w:rsidP="00A7088B">
      <w:pPr>
        <w:spacing w:line="360" w:lineRule="auto"/>
        <w:jc w:val="center"/>
        <w:rPr>
          <w:b/>
          <w:sz w:val="24"/>
          <w:szCs w:val="24"/>
        </w:rPr>
      </w:pPr>
      <w:r>
        <w:rPr>
          <w:b/>
          <w:noProof/>
          <w:sz w:val="24"/>
          <w:szCs w:val="24"/>
        </w:rPr>
        <w:drawing>
          <wp:inline distT="114300" distB="114300" distL="114300" distR="114300" wp14:anchorId="17238EE6" wp14:editId="49CD381E">
            <wp:extent cx="5674995" cy="3213644"/>
            <wp:effectExtent l="38100" t="38100" r="40005" b="4445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4"/>
                    <a:stretch>
                      <a:fillRect/>
                    </a:stretch>
                  </pic:blipFill>
                  <pic:spPr>
                    <a:xfrm>
                      <a:off x="0" y="0"/>
                      <a:ext cx="5707638" cy="3232129"/>
                    </a:xfrm>
                    <a:prstGeom prst="rect">
                      <a:avLst/>
                    </a:prstGeom>
                    <a:ln w="25400">
                      <a:solidFill>
                        <a:srgbClr val="000000"/>
                      </a:solidFill>
                      <a:prstDash val="solid"/>
                    </a:ln>
                  </pic:spPr>
                </pic:pic>
              </a:graphicData>
            </a:graphic>
          </wp:inline>
        </w:drawing>
      </w:r>
    </w:p>
    <w:p w14:paraId="37364545" w14:textId="77777777" w:rsidR="00206F26" w:rsidRDefault="005E467D" w:rsidP="00A7088B">
      <w:pPr>
        <w:spacing w:line="360" w:lineRule="auto"/>
        <w:jc w:val="center"/>
        <w:rPr>
          <w:b/>
          <w:sz w:val="24"/>
          <w:szCs w:val="24"/>
        </w:rPr>
      </w:pPr>
      <w:r>
        <w:rPr>
          <w:b/>
          <w:sz w:val="24"/>
          <w:szCs w:val="24"/>
        </w:rPr>
        <w:t>Figure 4: The prevalence of total hypertension increased with age, from 9% of adults aged 16 to 44 to 60% of adults aged 65 and over.</w:t>
      </w:r>
    </w:p>
    <w:p w14:paraId="380C3252" w14:textId="77777777" w:rsidR="00206F26" w:rsidRDefault="005E467D" w:rsidP="00A7088B">
      <w:pPr>
        <w:spacing w:line="360" w:lineRule="auto"/>
        <w:jc w:val="center"/>
        <w:rPr>
          <w:b/>
          <w:sz w:val="24"/>
          <w:szCs w:val="24"/>
        </w:rPr>
      </w:pPr>
      <w:r>
        <w:rPr>
          <w:b/>
          <w:sz w:val="24"/>
          <w:szCs w:val="24"/>
        </w:rPr>
        <w:t>(Source: NHS England, 2025)</w:t>
      </w:r>
    </w:p>
    <w:p w14:paraId="7EFE8AC5" w14:textId="77777777" w:rsidR="00206F26" w:rsidRDefault="005E467D" w:rsidP="00A7088B">
      <w:pPr>
        <w:pStyle w:val="Heading2"/>
        <w:keepNext w:val="0"/>
        <w:keepLines w:val="0"/>
      </w:pPr>
      <w:bookmarkStart w:id="4" w:name="_Toc211435219"/>
      <w:r>
        <w:t>2.2 Global and UK Burden.</w:t>
      </w:r>
      <w:bookmarkEnd w:id="4"/>
    </w:p>
    <w:p w14:paraId="061E9AF6" w14:textId="77777777" w:rsidR="00206F26" w:rsidRDefault="005E467D" w:rsidP="00A7088B">
      <w:pPr>
        <w:spacing w:line="360" w:lineRule="auto"/>
        <w:jc w:val="both"/>
      </w:pPr>
      <w:r>
        <w:t xml:space="preserve">Today, hypertension is recognised as a major global health issue affecting about 1.3 billion adults across the globe (Mills, Stefanescu and He, 2020).  Even if there are interventions that are based on evidence, implementation shows persistent inequalities in detection and management (Schutte </w:t>
      </w:r>
      <w:r>
        <w:rPr>
          <w:i/>
        </w:rPr>
        <w:t>et al.,</w:t>
      </w:r>
      <w:r>
        <w:t xml:space="preserve"> 2023). According to NHS England (2025), 31% of men and 26% of women in the UK have HBP. Almost 5 million adults remain undiagnosed according to the WHO (2023), indicating a massive hidden burden. It causes 75,000 deaths every year and costs £2.1 billion each year to the NHS. The assumption was made that universal access would ensure everyone has equitable control over it, which is not the case. The same paper provided evidence of ethnic and socioeconomic inequalities.  Individuals of Black African and Caribbean descent and those dwelling in deprived communities are shown to experience worse BP control (Eastwood </w:t>
      </w:r>
      <w:r>
        <w:rPr>
          <w:i/>
        </w:rPr>
        <w:t>et al.,</w:t>
      </w:r>
      <w:r>
        <w:t xml:space="preserve"> 2023). </w:t>
      </w:r>
    </w:p>
    <w:p w14:paraId="5F2B785A" w14:textId="77777777" w:rsidR="00206F26" w:rsidRDefault="005E467D" w:rsidP="00A7088B">
      <w:pPr>
        <w:spacing w:line="360" w:lineRule="auto"/>
      </w:pPr>
      <w:r>
        <w:rPr>
          <w:noProof/>
        </w:rPr>
        <w:drawing>
          <wp:inline distT="114300" distB="114300" distL="114300" distR="114300" wp14:anchorId="57AC6914" wp14:editId="40E13887">
            <wp:extent cx="5899702" cy="3624027"/>
            <wp:effectExtent l="38100" t="38100" r="44450" b="33655"/>
            <wp:docPr id="9" name="image9.png"/>
            <wp:cNvGraphicFramePr/>
            <a:graphic xmlns:a="http://schemas.openxmlformats.org/drawingml/2006/main">
              <a:graphicData uri="http://schemas.openxmlformats.org/drawingml/2006/picture">
                <pic:pic xmlns:pic="http://schemas.openxmlformats.org/drawingml/2006/picture">
                  <pic:nvPicPr>
                    <pic:cNvPr id="9" name="image9.png"/>
                    <pic:cNvPicPr/>
                  </pic:nvPicPr>
                  <pic:blipFill>
                    <a:blip r:embed="rId15"/>
                    <a:stretch>
                      <a:fillRect/>
                    </a:stretch>
                  </pic:blipFill>
                  <pic:spPr>
                    <a:xfrm>
                      <a:off x="0" y="0"/>
                      <a:ext cx="6122031" cy="3760598"/>
                    </a:xfrm>
                    <a:prstGeom prst="rect">
                      <a:avLst/>
                    </a:prstGeom>
                    <a:ln w="25400">
                      <a:solidFill>
                        <a:srgbClr val="000000"/>
                      </a:solidFill>
                      <a:prstDash val="solid"/>
                    </a:ln>
                  </pic:spPr>
                </pic:pic>
              </a:graphicData>
            </a:graphic>
          </wp:inline>
        </w:drawing>
      </w:r>
    </w:p>
    <w:p w14:paraId="21B4FC40" w14:textId="77777777" w:rsidR="00206F26" w:rsidRDefault="005E467D" w:rsidP="00A7088B">
      <w:pPr>
        <w:spacing w:line="360" w:lineRule="auto"/>
        <w:jc w:val="center"/>
        <w:rPr>
          <w:b/>
          <w:color w:val="0B0C0C"/>
          <w:sz w:val="24"/>
          <w:szCs w:val="24"/>
          <w:highlight w:val="white"/>
        </w:rPr>
      </w:pPr>
      <w:r>
        <w:rPr>
          <w:b/>
          <w:sz w:val="24"/>
          <w:szCs w:val="24"/>
        </w:rPr>
        <w:t xml:space="preserve">Figure 5: </w:t>
      </w:r>
      <w:r>
        <w:rPr>
          <w:b/>
          <w:color w:val="0B0C0C"/>
          <w:sz w:val="24"/>
          <w:szCs w:val="24"/>
          <w:highlight w:val="white"/>
        </w:rPr>
        <w:t>Robust evidence that action to lower blood pressure does reduce the risk to health</w:t>
      </w:r>
    </w:p>
    <w:p w14:paraId="373DD7C7" w14:textId="77777777" w:rsidR="00206F26" w:rsidRDefault="005E467D" w:rsidP="00A7088B">
      <w:pPr>
        <w:spacing w:line="360" w:lineRule="auto"/>
        <w:jc w:val="center"/>
      </w:pPr>
      <w:r>
        <w:rPr>
          <w:b/>
          <w:color w:val="0B0C0C"/>
          <w:sz w:val="24"/>
          <w:szCs w:val="24"/>
          <w:highlight w:val="white"/>
        </w:rPr>
        <w:t xml:space="preserve">(Source: </w:t>
      </w:r>
      <w:hyperlink r:id="rId16">
        <w:r w:rsidR="00206F26">
          <w:rPr>
            <w:b/>
            <w:color w:val="1155CC"/>
            <w:sz w:val="24"/>
            <w:szCs w:val="24"/>
            <w:highlight w:val="white"/>
            <w:u w:val="single"/>
          </w:rPr>
          <w:t>Gov.UK</w:t>
        </w:r>
      </w:hyperlink>
      <w:r>
        <w:rPr>
          <w:b/>
          <w:color w:val="0B0C0C"/>
          <w:sz w:val="24"/>
          <w:szCs w:val="24"/>
          <w:highlight w:val="white"/>
        </w:rPr>
        <w:t>, 2025)</w:t>
      </w:r>
    </w:p>
    <w:p w14:paraId="5BDF8839" w14:textId="77777777" w:rsidR="000D058E" w:rsidRDefault="000D058E" w:rsidP="00A7088B">
      <w:pPr>
        <w:pStyle w:val="Heading2"/>
        <w:keepNext w:val="0"/>
        <w:keepLines w:val="0"/>
      </w:pPr>
      <w:bookmarkStart w:id="5" w:name="_lcqe888tzpoi" w:colFirst="0" w:colLast="0"/>
      <w:bookmarkStart w:id="6" w:name="_Toc211435220"/>
      <w:bookmarkEnd w:id="5"/>
    </w:p>
    <w:p w14:paraId="5A8BAD6E" w14:textId="1B425C66" w:rsidR="00206F26" w:rsidRDefault="005E467D" w:rsidP="00A7088B">
      <w:pPr>
        <w:pStyle w:val="Heading2"/>
        <w:keepNext w:val="0"/>
        <w:keepLines w:val="0"/>
      </w:pPr>
      <w:r>
        <w:t>2.3 Risk Factors and Aetiology.</w:t>
      </w:r>
      <w:bookmarkEnd w:id="6"/>
    </w:p>
    <w:p w14:paraId="3B894162" w14:textId="77777777" w:rsidR="00206F26" w:rsidRDefault="005E467D" w:rsidP="00A7088B">
      <w:pPr>
        <w:spacing w:line="360" w:lineRule="auto"/>
        <w:jc w:val="both"/>
      </w:pPr>
      <w:bookmarkStart w:id="7" w:name="_apeczadnfcmc" w:colFirst="0" w:colLast="0"/>
      <w:bookmarkEnd w:id="7"/>
      <w:r>
        <w:t xml:space="preserve">According to gov.uk (2025), high salt intake, obesity, physical inactivity, alcohol use and stress are modifiable risk factors.  Age, family history and ethnicity are non-modifiable determinants that contribute together (Cho </w:t>
      </w:r>
      <w:r>
        <w:rPr>
          <w:i/>
        </w:rPr>
        <w:t>et al.,</w:t>
      </w:r>
      <w:r>
        <w:t xml:space="preserve"> 2022). Recent studies indicate that genetic predisposition interacts more dynamically with environmental and lifestyle factors than previously thought (Li </w:t>
      </w:r>
      <w:r>
        <w:rPr>
          <w:i/>
        </w:rPr>
        <w:t>et al.,</w:t>
      </w:r>
      <w:r>
        <w:t xml:space="preserve"> 2024). Difficulties in measuring blood pressure (for example, “white coat” or “masked” hypertension) add to the problem (McManus </w:t>
      </w:r>
      <w:r>
        <w:rPr>
          <w:i/>
        </w:rPr>
        <w:t xml:space="preserve">et al., </w:t>
      </w:r>
      <w:r>
        <w:t>2021). Francisco Vargas 2013 states that a credible concern has been raised regarding whether current surveillances capture prevalence among younger and minority groups within the United States. Hence, blood pressure control is as much a social equity issue as it is a biomedical one.</w:t>
      </w:r>
    </w:p>
    <w:p w14:paraId="1B9E2013" w14:textId="77777777" w:rsidR="00206F26" w:rsidRDefault="005E467D" w:rsidP="00A7088B">
      <w:pPr>
        <w:spacing w:line="360" w:lineRule="auto"/>
        <w:jc w:val="center"/>
      </w:pPr>
      <w:r>
        <w:rPr>
          <w:noProof/>
        </w:rPr>
        <w:drawing>
          <wp:inline distT="114300" distB="114300" distL="114300" distR="114300" wp14:anchorId="422E14FF" wp14:editId="7CE852D3">
            <wp:extent cx="5943600" cy="3810000"/>
            <wp:effectExtent l="25400" t="25400" r="25400" b="25400"/>
            <wp:docPr id="8" name="image3.png"/>
            <wp:cNvGraphicFramePr/>
            <a:graphic xmlns:a="http://schemas.openxmlformats.org/drawingml/2006/main">
              <a:graphicData uri="http://schemas.openxmlformats.org/drawingml/2006/picture">
                <pic:pic xmlns:pic="http://schemas.openxmlformats.org/drawingml/2006/picture">
                  <pic:nvPicPr>
                    <pic:cNvPr id="8" name="image3.png"/>
                    <pic:cNvPicPr/>
                  </pic:nvPicPr>
                  <pic:blipFill>
                    <a:blip r:embed="rId17"/>
                    <a:stretch>
                      <a:fillRect/>
                    </a:stretch>
                  </pic:blipFill>
                  <pic:spPr>
                    <a:xfrm>
                      <a:off x="0" y="0"/>
                      <a:ext cx="5943600" cy="3810000"/>
                    </a:xfrm>
                    <a:prstGeom prst="rect">
                      <a:avLst/>
                    </a:prstGeom>
                    <a:ln w="25400">
                      <a:solidFill>
                        <a:srgbClr val="000000"/>
                      </a:solidFill>
                      <a:prstDash val="solid"/>
                    </a:ln>
                  </pic:spPr>
                </pic:pic>
              </a:graphicData>
            </a:graphic>
          </wp:inline>
        </w:drawing>
      </w:r>
    </w:p>
    <w:p w14:paraId="1C4139B8" w14:textId="77777777" w:rsidR="00206F26" w:rsidRDefault="005E467D" w:rsidP="00A7088B">
      <w:pPr>
        <w:spacing w:line="360" w:lineRule="auto"/>
        <w:jc w:val="center"/>
        <w:rPr>
          <w:b/>
          <w:color w:val="0B0C0C"/>
          <w:sz w:val="24"/>
          <w:szCs w:val="24"/>
          <w:highlight w:val="white"/>
        </w:rPr>
      </w:pPr>
      <w:r>
        <w:rPr>
          <w:b/>
          <w:sz w:val="24"/>
          <w:szCs w:val="24"/>
        </w:rPr>
        <w:t xml:space="preserve">Figure 6: </w:t>
      </w:r>
      <w:r>
        <w:rPr>
          <w:b/>
          <w:color w:val="0B0C0C"/>
          <w:sz w:val="24"/>
          <w:szCs w:val="24"/>
          <w:highlight w:val="white"/>
        </w:rPr>
        <w:t xml:space="preserve">Risk of high blood pressure </w:t>
      </w:r>
    </w:p>
    <w:p w14:paraId="0D4FFFE5" w14:textId="77777777" w:rsidR="00206F26" w:rsidRDefault="005E467D" w:rsidP="00A7088B">
      <w:pPr>
        <w:spacing w:line="360" w:lineRule="auto"/>
        <w:jc w:val="center"/>
      </w:pPr>
      <w:r>
        <w:rPr>
          <w:b/>
          <w:color w:val="0B0C0C"/>
          <w:sz w:val="24"/>
          <w:szCs w:val="24"/>
          <w:highlight w:val="white"/>
        </w:rPr>
        <w:t xml:space="preserve">(Source: </w:t>
      </w:r>
      <w:hyperlink r:id="rId18">
        <w:r w:rsidR="00206F26">
          <w:rPr>
            <w:b/>
            <w:color w:val="1155CC"/>
            <w:sz w:val="24"/>
            <w:szCs w:val="24"/>
            <w:highlight w:val="white"/>
            <w:u w:val="single"/>
          </w:rPr>
          <w:t>Gov.UK</w:t>
        </w:r>
      </w:hyperlink>
      <w:r>
        <w:rPr>
          <w:b/>
          <w:color w:val="0B0C0C"/>
          <w:sz w:val="24"/>
          <w:szCs w:val="24"/>
          <w:highlight w:val="white"/>
        </w:rPr>
        <w:t>, 2025)</w:t>
      </w:r>
    </w:p>
    <w:p w14:paraId="6E2E9323" w14:textId="77777777" w:rsidR="000D058E" w:rsidRDefault="000D058E" w:rsidP="00A7088B">
      <w:pPr>
        <w:pStyle w:val="Heading1"/>
        <w:keepNext w:val="0"/>
        <w:keepLines w:val="0"/>
        <w:spacing w:before="280"/>
      </w:pPr>
      <w:bookmarkStart w:id="8" w:name="_Toc211435221"/>
    </w:p>
    <w:p w14:paraId="36B5AA5C" w14:textId="77777777" w:rsidR="000D058E" w:rsidRDefault="000D058E" w:rsidP="00A7088B">
      <w:pPr>
        <w:pStyle w:val="Heading1"/>
        <w:keepNext w:val="0"/>
        <w:keepLines w:val="0"/>
        <w:spacing w:before="280"/>
      </w:pPr>
    </w:p>
    <w:p w14:paraId="5118A292" w14:textId="0BCF9C8E" w:rsidR="00206F26" w:rsidRDefault="005E467D" w:rsidP="00A7088B">
      <w:pPr>
        <w:pStyle w:val="Heading1"/>
        <w:keepNext w:val="0"/>
        <w:keepLines w:val="0"/>
        <w:spacing w:before="280"/>
      </w:pPr>
      <w:r>
        <w:t>3. The Effect of Hypertension on Physical, Mental and Social Well-being.</w:t>
      </w:r>
      <w:bookmarkEnd w:id="8"/>
    </w:p>
    <w:p w14:paraId="3921A596" w14:textId="77777777" w:rsidR="00206F26" w:rsidRDefault="005E467D" w:rsidP="00A7088B">
      <w:pPr>
        <w:pStyle w:val="Heading2"/>
        <w:keepNext w:val="0"/>
        <w:keepLines w:val="0"/>
      </w:pPr>
      <w:bookmarkStart w:id="9" w:name="_Toc211435222"/>
      <w:r>
        <w:t>3.1 Physical Impact on Individuals.</w:t>
      </w:r>
      <w:bookmarkEnd w:id="9"/>
    </w:p>
    <w:p w14:paraId="5ADA5092" w14:textId="77777777" w:rsidR="00206F26" w:rsidRDefault="005E467D" w:rsidP="00A7088B">
      <w:pPr>
        <w:spacing w:line="360" w:lineRule="auto"/>
        <w:jc w:val="both"/>
      </w:pPr>
      <w:r>
        <w:t xml:space="preserve">Over time, high blood pressure places a lot of strain on the heart, kidneys and brain. High blood pressure is associated with stroke, heart failure and vascular dementia (Cho </w:t>
      </w:r>
      <w:r>
        <w:rPr>
          <w:i/>
        </w:rPr>
        <w:t>et al.,</w:t>
      </w:r>
      <w:r>
        <w:t xml:space="preserve"> 2022; Mills, Stefanescu and He, 2020). Even so, the biomedical framing of hypertension as a “silent killer” often makes universal assumptions about severity when it overlooks differences shaped by ethnicity, gender and social class. Eastwood </w:t>
      </w:r>
      <w:r>
        <w:rPr>
          <w:i/>
        </w:rPr>
        <w:t>et al.</w:t>
      </w:r>
      <w:r>
        <w:t xml:space="preserve"> (2023) reveal that in the UK, two specific ethnic groups, Black African and South Asian, have not seen an improvement in blood pressure, although they have equal access to medication.  The assumption that all members of a social category experience similar effects is undermined by intersectional analyses. Compounding physiological risk, social determinants–such as deprivation and occupational stress are proven to be relevant through an intersectional lens (NHS England, 2025). Patient stories show fatigue, dizziness, and blurred vision often disrupt daily life and sense of self. Patient stories show fatigue, dizziness, and blurred vision often disrupt daily life and sense of self. Scientists don't explore much, but have a big impact. Scientists do not explore much, but have a big impact. The evidence that lifestyle interventions can reduce complications has been provided by Valenzuela </w:t>
      </w:r>
      <w:r>
        <w:rPr>
          <w:i/>
        </w:rPr>
        <w:t>et al.</w:t>
      </w:r>
      <w:r>
        <w:t xml:space="preserve"> (2021). However, their implementation reveals structural barriers in access to affordable, healthy food, especially in deprived communities. This shows that biology and environment come together to produce unequal disease burdens in different communities.</w:t>
      </w:r>
    </w:p>
    <w:p w14:paraId="0451CC28" w14:textId="77777777" w:rsidR="00206F26" w:rsidRDefault="005E467D" w:rsidP="00A7088B">
      <w:pPr>
        <w:pStyle w:val="Heading2"/>
        <w:keepNext w:val="0"/>
        <w:keepLines w:val="0"/>
      </w:pPr>
      <w:bookmarkStart w:id="10" w:name="_Toc211435223"/>
      <w:r>
        <w:t>3.2 Psychological Impact.</w:t>
      </w:r>
      <w:bookmarkEnd w:id="10"/>
    </w:p>
    <w:p w14:paraId="5111C936" w14:textId="77777777" w:rsidR="00206F26" w:rsidRDefault="005E467D" w:rsidP="00A7088B">
      <w:pPr>
        <w:spacing w:line="360" w:lineRule="auto"/>
        <w:jc w:val="both"/>
      </w:pPr>
      <w:r>
        <w:t>Hypertension can cause a lot of stress. Many find that the fear of complications and long-term medication has an impact on their well-being as well as adherence (Sawyer and McManus, 2021).   Nonetheless, critics challenge the notion of 'non-compliance' as it individualises blame and ignores contextual constraints like cost of drugs, cultural beliefs and mistrust in medical institutions. Older adults and women caregivers lose control over their lives and have greater depressive symptoms due to role strain. On the other hand, motivational interviewing and other participatory approaches have been found to help patients regain control (Aizaz, Khattak and Toru, 2023). The idea that rational education alone will produce compliance is thus replaced by a psychosocial health behaviour understanding rooted in empowerment and relational care. However, psychological outcomes are not prioritised using the hypertension pathways, which continue to privilege the biomedical risk reduction rather than emotional support.</w:t>
      </w:r>
    </w:p>
    <w:p w14:paraId="3260FCAD" w14:textId="77777777" w:rsidR="00206F26" w:rsidRDefault="005E467D" w:rsidP="00A7088B">
      <w:pPr>
        <w:pStyle w:val="Heading2"/>
        <w:keepNext w:val="0"/>
        <w:keepLines w:val="0"/>
      </w:pPr>
      <w:bookmarkStart w:id="11" w:name="_Toc211435224"/>
      <w:r>
        <w:t>3.3 Social Implications.</w:t>
      </w:r>
      <w:bookmarkEnd w:id="11"/>
    </w:p>
    <w:p w14:paraId="4DCA4D71" w14:textId="77777777" w:rsidR="00206F26" w:rsidRDefault="005E467D" w:rsidP="00A7088B">
      <w:pPr>
        <w:spacing w:line="360" w:lineRule="auto"/>
        <w:jc w:val="both"/>
        <w:rPr>
          <w:color w:val="000000"/>
          <w:sz w:val="24"/>
          <w:szCs w:val="24"/>
        </w:rPr>
      </w:pPr>
      <w:r w:rsidRPr="00A7088B">
        <w:t>When one is diagnosed with hypertension, it restricts one's lifestyle and identity. It imposes certain dietary restrictions, fails the physical stamina and also requires us to avoid social drinking and so on. Not only this, but it also leads to isolation and lowers the quality of life. However, this impact varies by age, gender and class. Younger adults report frustration and stigma at being perceived as “fragile” or “old.” Working-age older patients experienced unemployment and economic insecurity.  (Tapela et al., 2021) When doctors assign meals or leisure time to a specific time, intimacy may have to be renegotiated around medical regimes. Thus, hypertension has proved to be a social experience that is mediated by relational contexts and not just an individual condition. Those who disagree with the biomedical model claim that measuring only blood-pressure losses prevents recognition of these social losses. In particular, the social model emphasises that community, culture, and environment also play crucial roles in determining outcomes. Even though a lifestyle change is recommended to people all over the world, whether a person can change their lifestyle or not depends on social capital itself (Jeemon et al., 2021). This shows that health promotion may increase inequality instead of decreasing it</w:t>
      </w:r>
      <w:r>
        <w:rPr>
          <w:color w:val="000000"/>
          <w:sz w:val="24"/>
          <w:szCs w:val="24"/>
        </w:rPr>
        <w:t xml:space="preserve">. </w:t>
      </w:r>
    </w:p>
    <w:p w14:paraId="6509C4A9" w14:textId="77777777" w:rsidR="00206F26" w:rsidRDefault="005E467D" w:rsidP="00A7088B">
      <w:pPr>
        <w:pStyle w:val="Heading2"/>
        <w:keepNext w:val="0"/>
        <w:keepLines w:val="0"/>
      </w:pPr>
      <w:bookmarkStart w:id="12" w:name="_Toc211435225"/>
      <w:r>
        <w:t>3.4 Impact on Families and Carers</w:t>
      </w:r>
      <w:bookmarkEnd w:id="12"/>
    </w:p>
    <w:p w14:paraId="42CA74B7" w14:textId="77777777" w:rsidR="00206F26" w:rsidRDefault="005E467D" w:rsidP="00A7088B">
      <w:pPr>
        <w:spacing w:line="360" w:lineRule="auto"/>
        <w:jc w:val="both"/>
      </w:pPr>
      <w:bookmarkStart w:id="13" w:name="_4slk12lgvnyl" w:colFirst="0" w:colLast="0"/>
      <w:bookmarkEnd w:id="13"/>
      <w:r>
        <w:t xml:space="preserve">Hypertension also reshapes family dynamics. Partners are often informal caregivers, affecting them emotionally and financially (Rawlings </w:t>
      </w:r>
      <w:r>
        <w:rPr>
          <w:i/>
        </w:rPr>
        <w:t>et al.,</w:t>
      </w:r>
      <w:r>
        <w:t xml:space="preserve"> 2022). The idea that all families can cope with hardships like the pandemic has been questioned. But women and ethnic minorities, with little help, struggle the most (Eastwood </w:t>
      </w:r>
      <w:r>
        <w:rPr>
          <w:i/>
        </w:rPr>
        <w:t>et al.,</w:t>
      </w:r>
      <w:r>
        <w:t xml:space="preserve"> 2023).  On the other hand, if the family gets involved in the care planning, it can lead to improved monitoring and adherence. Thus, it seems that combined mechanisms might yield better outcomes than solely individualised mechanisms.  Even though this potential is recognised, family-centred education is not consistently provided by UK primary care services (Lay-Flurrie </w:t>
      </w:r>
      <w:r>
        <w:rPr>
          <w:i/>
        </w:rPr>
        <w:t>et al.,</w:t>
      </w:r>
      <w:r>
        <w:t xml:space="preserve"> 2020).</w:t>
      </w:r>
    </w:p>
    <w:p w14:paraId="6BEC6AD7" w14:textId="77777777" w:rsidR="00206F26" w:rsidRDefault="005E467D" w:rsidP="00A7088B">
      <w:pPr>
        <w:spacing w:line="360" w:lineRule="auto"/>
        <w:jc w:val="both"/>
      </w:pPr>
      <w:bookmarkStart w:id="14" w:name="_4fy2a5n0vskw" w:colFirst="0" w:colLast="0"/>
      <w:bookmarkEnd w:id="14"/>
      <w:r>
        <w:t>However, the impact of hypertension is not just physiological. It is a biopsychosocial condition which is embedded in inequality, culture and lived experience.  Hypertension is a complex condition that may mean different things to different people. The biomedical paradigm limits recognition of these complexities. Consequently, a holistic, intersectional and person-centred approach is essential for improving quality of life and equity in hypertension care.</w:t>
      </w:r>
    </w:p>
    <w:p w14:paraId="67CBBC8E" w14:textId="77777777" w:rsidR="00206F26" w:rsidRDefault="005E467D" w:rsidP="00A7088B">
      <w:pPr>
        <w:pStyle w:val="Heading1"/>
      </w:pPr>
      <w:bookmarkStart w:id="15" w:name="_hjyn81sxi78g" w:colFirst="0" w:colLast="0"/>
      <w:bookmarkStart w:id="16" w:name="_Toc211435226"/>
      <w:bookmarkEnd w:id="15"/>
      <w:r>
        <w:t>4. Evidence-Based Treatment Options Available in the UK</w:t>
      </w:r>
      <w:bookmarkEnd w:id="16"/>
    </w:p>
    <w:p w14:paraId="0E0D7692" w14:textId="77777777" w:rsidR="00206F26" w:rsidRDefault="005E467D" w:rsidP="00A7088B">
      <w:pPr>
        <w:pStyle w:val="Heading2"/>
        <w:spacing w:before="240" w:after="240"/>
      </w:pPr>
      <w:bookmarkStart w:id="17" w:name="_arzhlxby7zkn" w:colFirst="0" w:colLast="0"/>
      <w:bookmarkStart w:id="18" w:name="_Toc211435227"/>
      <w:bookmarkEnd w:id="17"/>
      <w:r>
        <w:t>4.1 Lifestyle Interventions.</w:t>
      </w:r>
      <w:bookmarkEnd w:id="18"/>
    </w:p>
    <w:p w14:paraId="358A707E" w14:textId="77777777" w:rsidR="00206F26" w:rsidRDefault="005E467D" w:rsidP="00A7088B">
      <w:pPr>
        <w:spacing w:before="240" w:after="240" w:line="360" w:lineRule="auto"/>
        <w:jc w:val="both"/>
        <w:rPr>
          <w:sz w:val="24"/>
          <w:szCs w:val="24"/>
        </w:rPr>
      </w:pPr>
      <w:r>
        <w:rPr>
          <w:sz w:val="24"/>
          <w:szCs w:val="24"/>
        </w:rPr>
        <w:t xml:space="preserve">Changing your lifestyle is the main treatment for hypertension. Research shows that all of salt reduction, physical activity and weight loss lower blood pressure (Health Survey for England, 2025; Valenzuela </w:t>
      </w:r>
      <w:r>
        <w:rPr>
          <w:i/>
          <w:sz w:val="24"/>
          <w:szCs w:val="24"/>
        </w:rPr>
        <w:t>et al.,</w:t>
      </w:r>
      <w:r>
        <w:rPr>
          <w:sz w:val="24"/>
          <w:szCs w:val="24"/>
        </w:rPr>
        <w:t xml:space="preserve"> 2021). The execution of this is uneven for socioeconomic groups. Due to national programmes to reduce salt intake, which commenced in 2004, the average intake is 8g/day, above the WHO target of 6g/day, and the behaviour change in high-risk groups has been limited. Critics of behaviour change argue that change cannot come from just lifestyle advice, mandatory food reformulation, or community-based exercise schemes (Gov.UK, 2025). </w:t>
      </w:r>
    </w:p>
    <w:p w14:paraId="1B0A671F" w14:textId="77777777" w:rsidR="00206F26" w:rsidRDefault="005E467D" w:rsidP="00A7088B">
      <w:pPr>
        <w:spacing w:before="240" w:after="240" w:line="360" w:lineRule="auto"/>
        <w:jc w:val="both"/>
        <w:rPr>
          <w:sz w:val="24"/>
          <w:szCs w:val="24"/>
        </w:rPr>
      </w:pPr>
      <w:r>
        <w:rPr>
          <w:sz w:val="24"/>
          <w:szCs w:val="24"/>
        </w:rPr>
        <w:t xml:space="preserve">Sawyer and McManus (2021), on the other hand, have shown that motivational interviewing and personal coaching improve adherence to healthy behaviours. This indicates that psychological involvement seems to be key.  Still, lifestyle modifications are less effective in those with treatment-resistant hypertension or deprivation (Schutte </w:t>
      </w:r>
      <w:r>
        <w:rPr>
          <w:i/>
          <w:sz w:val="24"/>
          <w:szCs w:val="24"/>
        </w:rPr>
        <w:t>et al.,</w:t>
      </w:r>
      <w:r>
        <w:rPr>
          <w:sz w:val="24"/>
          <w:szCs w:val="24"/>
        </w:rPr>
        <w:t xml:space="preserve"> 2023). According to a study by Lemp </w:t>
      </w:r>
      <w:r>
        <w:rPr>
          <w:i/>
          <w:sz w:val="24"/>
          <w:szCs w:val="24"/>
        </w:rPr>
        <w:t xml:space="preserve">et al. </w:t>
      </w:r>
      <w:r>
        <w:rPr>
          <w:sz w:val="24"/>
          <w:szCs w:val="24"/>
        </w:rPr>
        <w:t>(2022), not all patients can modify behaviours due to social determinants, greatly limiting the uptake of healthy behaviours in deprived areas of the UK.</w:t>
      </w:r>
    </w:p>
    <w:p w14:paraId="7922BF77" w14:textId="77777777" w:rsidR="00206F26" w:rsidRDefault="005E467D" w:rsidP="00A7088B">
      <w:pPr>
        <w:pStyle w:val="Heading2"/>
        <w:spacing w:before="240" w:after="240"/>
      </w:pPr>
      <w:bookmarkStart w:id="19" w:name="_rshfcyms8noh" w:colFirst="0" w:colLast="0"/>
      <w:bookmarkStart w:id="20" w:name="_Toc211435228"/>
      <w:bookmarkEnd w:id="19"/>
      <w:r>
        <w:t>4.2 Pharmacological Management.</w:t>
      </w:r>
      <w:bookmarkEnd w:id="20"/>
    </w:p>
    <w:p w14:paraId="451822B4" w14:textId="77777777" w:rsidR="00206F26" w:rsidRDefault="005E467D" w:rsidP="00A7088B">
      <w:pPr>
        <w:spacing w:before="240" w:after="240" w:line="360" w:lineRule="auto"/>
        <w:jc w:val="both"/>
        <w:rPr>
          <w:sz w:val="24"/>
          <w:szCs w:val="24"/>
        </w:rPr>
      </w:pPr>
      <w:r>
        <w:rPr>
          <w:sz w:val="24"/>
          <w:szCs w:val="24"/>
        </w:rPr>
        <w:t xml:space="preserve">Pharmacotherapy may be guided by NICE (2019, 2024). First-line therapy includes recommending the first choice: ACE inhibitors, ARBS,  calcium channel blockers, and thiazide-like diuretics.  Optimal control is most often achieved with combination therapy (Jones </w:t>
      </w:r>
      <w:r>
        <w:rPr>
          <w:i/>
          <w:sz w:val="24"/>
          <w:szCs w:val="24"/>
        </w:rPr>
        <w:t xml:space="preserve">et al., </w:t>
      </w:r>
      <w:r>
        <w:rPr>
          <w:sz w:val="24"/>
          <w:szCs w:val="24"/>
        </w:rPr>
        <w:t xml:space="preserve">2020). Yet, despite strong evidence, real-life data from Eastwood </w:t>
      </w:r>
      <w:r>
        <w:rPr>
          <w:i/>
          <w:sz w:val="24"/>
          <w:szCs w:val="24"/>
        </w:rPr>
        <w:t>et al.</w:t>
      </w:r>
      <w:r>
        <w:rPr>
          <w:sz w:val="24"/>
          <w:szCs w:val="24"/>
        </w:rPr>
        <w:t xml:space="preserve"> (2023) show that the ethnic inequalities and poor adherence patterns persist, where 50–80% of patients do not take prescribed drugs consistently (NHS England, 2025). This makes us question whether it's worth it. Medication non-adherence costs the NHS £2.1 billion a year.</w:t>
      </w:r>
    </w:p>
    <w:p w14:paraId="49F83193" w14:textId="77777777" w:rsidR="00206F26" w:rsidRDefault="005E467D" w:rsidP="00A7088B">
      <w:pPr>
        <w:spacing w:before="240" w:after="240" w:line="360" w:lineRule="auto"/>
        <w:jc w:val="both"/>
        <w:rPr>
          <w:sz w:val="24"/>
          <w:szCs w:val="24"/>
        </w:rPr>
      </w:pPr>
      <w:r>
        <w:rPr>
          <w:sz w:val="24"/>
          <w:szCs w:val="24"/>
        </w:rPr>
        <w:t xml:space="preserve">According to the critics, the heavy reliance on medications neglected the essence of education and decision-making. While Faconti </w:t>
      </w:r>
      <w:r>
        <w:rPr>
          <w:i/>
          <w:sz w:val="24"/>
          <w:szCs w:val="24"/>
        </w:rPr>
        <w:t xml:space="preserve">et al. </w:t>
      </w:r>
      <w:r>
        <w:rPr>
          <w:sz w:val="24"/>
          <w:szCs w:val="24"/>
        </w:rPr>
        <w:t xml:space="preserve">(2024) make a case for precision approaches, for example, screening for primary hyperaldosteronism, their value is still being lost due to the cost of diagnosis and lack of staff training. Conversely, international models show how people can stick to the medication in the long run. In Japan, community-based hypertension management is pharmacist-accompanied (Schutte </w:t>
      </w:r>
      <w:r>
        <w:rPr>
          <w:i/>
          <w:sz w:val="24"/>
          <w:szCs w:val="24"/>
        </w:rPr>
        <w:t>et al.,</w:t>
      </w:r>
      <w:r>
        <w:rPr>
          <w:sz w:val="24"/>
          <w:szCs w:val="24"/>
        </w:rPr>
        <w:t xml:space="preserve"> 2023).  The UK can benefit from this kind of partnership. </w:t>
      </w:r>
    </w:p>
    <w:p w14:paraId="5192BA9B" w14:textId="77777777" w:rsidR="00206F26" w:rsidRDefault="005E467D" w:rsidP="00A7088B">
      <w:pPr>
        <w:pStyle w:val="Heading2"/>
        <w:spacing w:before="240" w:after="240"/>
      </w:pPr>
      <w:bookmarkStart w:id="21" w:name="_gz8dvmduwdsc" w:colFirst="0" w:colLast="0"/>
      <w:bookmarkStart w:id="22" w:name="_Toc211435229"/>
      <w:bookmarkEnd w:id="21"/>
      <w:r>
        <w:t>4.3 Monitoring and Follow-up Care.</w:t>
      </w:r>
      <w:bookmarkEnd w:id="22"/>
    </w:p>
    <w:p w14:paraId="050D9CDC" w14:textId="77777777" w:rsidR="00206F26" w:rsidRDefault="005E467D" w:rsidP="00A7088B">
      <w:pPr>
        <w:spacing w:before="240" w:after="240" w:line="360" w:lineRule="auto"/>
        <w:jc w:val="both"/>
        <w:rPr>
          <w:sz w:val="24"/>
          <w:szCs w:val="24"/>
        </w:rPr>
      </w:pPr>
      <w:r>
        <w:rPr>
          <w:sz w:val="24"/>
          <w:szCs w:val="24"/>
        </w:rPr>
        <w:t xml:space="preserve">The use of regular follow-up via home and ambulatory blood pressure monitoring (HBPM and ABPM) revolutionised hypertension management. According to McManus </w:t>
      </w:r>
      <w:r>
        <w:rPr>
          <w:i/>
          <w:sz w:val="24"/>
          <w:szCs w:val="24"/>
        </w:rPr>
        <w:t>et al.</w:t>
      </w:r>
      <w:r>
        <w:rPr>
          <w:sz w:val="24"/>
          <w:szCs w:val="24"/>
        </w:rPr>
        <w:t xml:space="preserve"> (2021) and Hammersley </w:t>
      </w:r>
      <w:r>
        <w:rPr>
          <w:i/>
          <w:sz w:val="24"/>
          <w:szCs w:val="24"/>
        </w:rPr>
        <w:t>et al.</w:t>
      </w:r>
      <w:r>
        <w:rPr>
          <w:sz w:val="24"/>
          <w:szCs w:val="24"/>
        </w:rPr>
        <w:t xml:space="preserve"> (2020), the use of telemonitoring can help to control blood pressure and reduce clinic visits. While evidence exists, the implementation demonstrates inequity, as digital monitoring is less accessible for older adults and deprived populations (Tapela</w:t>
      </w:r>
      <w:r>
        <w:rPr>
          <w:i/>
          <w:sz w:val="24"/>
          <w:szCs w:val="24"/>
        </w:rPr>
        <w:t xml:space="preserve"> et al., </w:t>
      </w:r>
      <w:r>
        <w:rPr>
          <w:sz w:val="24"/>
          <w:szCs w:val="24"/>
        </w:rPr>
        <w:t xml:space="preserve">2021; Fletcher </w:t>
      </w:r>
      <w:r>
        <w:rPr>
          <w:i/>
          <w:sz w:val="24"/>
          <w:szCs w:val="24"/>
        </w:rPr>
        <w:t xml:space="preserve">et al., </w:t>
      </w:r>
      <w:r>
        <w:rPr>
          <w:sz w:val="24"/>
          <w:szCs w:val="24"/>
        </w:rPr>
        <w:t>2021). Burton</w:t>
      </w:r>
      <w:r>
        <w:rPr>
          <w:i/>
          <w:sz w:val="24"/>
          <w:szCs w:val="24"/>
        </w:rPr>
        <w:t xml:space="preserve"> et al.</w:t>
      </w:r>
      <w:r>
        <w:rPr>
          <w:sz w:val="24"/>
          <w:szCs w:val="24"/>
        </w:rPr>
        <w:t xml:space="preserve"> (2021) question the assumption of digital inclusivity, as they indicate a lack of data on care home residents.</w:t>
      </w:r>
    </w:p>
    <w:p w14:paraId="76476183" w14:textId="77777777" w:rsidR="00206F26" w:rsidRDefault="005E467D" w:rsidP="00A7088B">
      <w:pPr>
        <w:spacing w:before="240" w:after="240" w:line="360" w:lineRule="auto"/>
        <w:jc w:val="both"/>
        <w:rPr>
          <w:sz w:val="24"/>
          <w:szCs w:val="24"/>
        </w:rPr>
      </w:pPr>
      <w:r>
        <w:rPr>
          <w:sz w:val="24"/>
          <w:szCs w:val="24"/>
        </w:rPr>
        <w:t xml:space="preserve">The UK does promote remote monitoring, but some critics warn against digital development that happens without integrated human beings. On the opposite end of the spectrum, the Chronic Care Model proposes a holistic, multidisciplinary alternative that aligns with NHS integrated care reform (Ghiyasvandian </w:t>
      </w:r>
      <w:r>
        <w:rPr>
          <w:i/>
          <w:sz w:val="24"/>
          <w:szCs w:val="24"/>
        </w:rPr>
        <w:t>et al.,</w:t>
      </w:r>
      <w:r>
        <w:rPr>
          <w:sz w:val="24"/>
          <w:szCs w:val="24"/>
        </w:rPr>
        <w:t xml:space="preserve"> 2021).</w:t>
      </w:r>
    </w:p>
    <w:p w14:paraId="2B74C445" w14:textId="77777777" w:rsidR="00206F26" w:rsidRDefault="005E467D" w:rsidP="00A7088B">
      <w:pPr>
        <w:pStyle w:val="Heading1"/>
      </w:pPr>
      <w:bookmarkStart w:id="23" w:name="_weklk9esosic" w:colFirst="0" w:colLast="0"/>
      <w:bookmarkStart w:id="24" w:name="_Toc211435230"/>
      <w:bookmarkEnd w:id="23"/>
      <w:r>
        <w:t>5. Theoretical models and frameworks for improved outcomes</w:t>
      </w:r>
      <w:bookmarkEnd w:id="24"/>
    </w:p>
    <w:p w14:paraId="399A5146" w14:textId="77777777" w:rsidR="00206F26" w:rsidRDefault="005E467D" w:rsidP="00A7088B">
      <w:pPr>
        <w:pStyle w:val="Heading2"/>
        <w:spacing w:before="240" w:after="240"/>
      </w:pPr>
      <w:bookmarkStart w:id="25" w:name="_qtk08fa1yt7e" w:colFirst="0" w:colLast="0"/>
      <w:bookmarkStart w:id="26" w:name="_Toc211435231"/>
      <w:bookmarkEnd w:id="25"/>
      <w:r>
        <w:t>5.1 UK Model. The House of Care Framework.</w:t>
      </w:r>
      <w:bookmarkEnd w:id="26"/>
    </w:p>
    <w:p w14:paraId="702CCBD5" w14:textId="77777777" w:rsidR="00206F26" w:rsidRDefault="005E467D" w:rsidP="00A7088B">
      <w:pPr>
        <w:spacing w:before="240" w:after="240" w:line="360" w:lineRule="auto"/>
        <w:jc w:val="both"/>
        <w:rPr>
          <w:sz w:val="24"/>
          <w:szCs w:val="24"/>
        </w:rPr>
      </w:pPr>
      <w:r>
        <w:rPr>
          <w:sz w:val="24"/>
          <w:szCs w:val="24"/>
        </w:rPr>
        <w:t xml:space="preserve">The person-centred approach of the NHS England to manage long-term conditions like hypertension is based on HoC, which refers to the House of Care. It has four pillars that work together. This includes engaged people, collaborative care planning, professional skills, and supportive organisation (NHS England, 2025). Applied to hypertension, it promotes shared decision-making, lifestyle self-management, and consistent monitoring through tools such as Blood Pressure at Home (Hammersley </w:t>
      </w:r>
      <w:r>
        <w:rPr>
          <w:i/>
          <w:sz w:val="24"/>
          <w:szCs w:val="24"/>
        </w:rPr>
        <w:t>et al.,</w:t>
      </w:r>
      <w:r>
        <w:rPr>
          <w:sz w:val="24"/>
          <w:szCs w:val="24"/>
        </w:rPr>
        <w:t xml:space="preserve"> 2020). Studies have shown better adherence and early detection (Tapela </w:t>
      </w:r>
      <w:r>
        <w:rPr>
          <w:i/>
          <w:sz w:val="24"/>
          <w:szCs w:val="24"/>
        </w:rPr>
        <w:t>et al.,</w:t>
      </w:r>
      <w:r>
        <w:rPr>
          <w:sz w:val="24"/>
          <w:szCs w:val="24"/>
        </w:rPr>
        <w:t xml:space="preserve"> 2021) but varied effectiveness in long-term blood pressure control (Eastwood </w:t>
      </w:r>
      <w:r>
        <w:rPr>
          <w:i/>
          <w:sz w:val="24"/>
          <w:szCs w:val="24"/>
        </w:rPr>
        <w:t>et al.,</w:t>
      </w:r>
      <w:r>
        <w:rPr>
          <w:sz w:val="24"/>
          <w:szCs w:val="24"/>
        </w:rPr>
        <w:t xml:space="preserve"> 2023).</w:t>
      </w:r>
    </w:p>
    <w:p w14:paraId="0194AFAE" w14:textId="77777777" w:rsidR="00206F26" w:rsidRDefault="005E467D" w:rsidP="00A7088B">
      <w:pPr>
        <w:spacing w:before="240" w:after="240" w:line="360" w:lineRule="auto"/>
        <w:jc w:val="both"/>
        <w:rPr>
          <w:sz w:val="24"/>
          <w:szCs w:val="24"/>
        </w:rPr>
      </w:pPr>
      <w:r>
        <w:rPr>
          <w:sz w:val="24"/>
          <w:szCs w:val="24"/>
        </w:rPr>
        <w:t xml:space="preserve">Critics assert that the House of Care takes for granted that all patients have the same level of capacity to manage their care  (Eastwood </w:t>
      </w:r>
      <w:r>
        <w:rPr>
          <w:i/>
          <w:sz w:val="24"/>
          <w:szCs w:val="24"/>
        </w:rPr>
        <w:t>et al.,</w:t>
      </w:r>
      <w:r>
        <w:rPr>
          <w:sz w:val="24"/>
          <w:szCs w:val="24"/>
        </w:rPr>
        <w:t xml:space="preserve"> 2023; WHO, 2023). Though there are a lot of promises, the implementation shows varied commitment by GPs, digital literacy and readiness of the workforce. Lay-Flurrie </w:t>
      </w:r>
      <w:r>
        <w:rPr>
          <w:i/>
          <w:sz w:val="24"/>
          <w:szCs w:val="24"/>
        </w:rPr>
        <w:t xml:space="preserve">et al. </w:t>
      </w:r>
      <w:r>
        <w:rPr>
          <w:sz w:val="24"/>
          <w:szCs w:val="24"/>
        </w:rPr>
        <w:t>(2020) demonstrate that up to half of adults suffer from poor control even after national guidelines changes. The notion of universal empowerment is contradicted by evidence of structural deprivation and lack of access to preventive services (Gov.UK, 2025).</w:t>
      </w:r>
    </w:p>
    <w:p w14:paraId="40245F15" w14:textId="77777777" w:rsidR="00206F26" w:rsidRDefault="005E467D" w:rsidP="00A7088B">
      <w:pPr>
        <w:spacing w:before="240" w:after="240" w:line="360" w:lineRule="auto"/>
        <w:jc w:val="both"/>
        <w:rPr>
          <w:sz w:val="24"/>
          <w:szCs w:val="24"/>
        </w:rPr>
      </w:pPr>
      <w:r>
        <w:rPr>
          <w:sz w:val="24"/>
          <w:szCs w:val="24"/>
        </w:rPr>
        <w:t>On the other hand, the model's flexibility allows for the inclusion of behavioural interventions such as motivational interviewing and telemonitoring (Sawyer and McManus, 2021).  It is necessary to improve clinician training and community outreach, especially to deprived and minority groups. While HoC can strengthen personalised care, its effectiveness depends on solid implementation support and equity-focused adaptation.</w:t>
      </w:r>
    </w:p>
    <w:p w14:paraId="4E607D4C" w14:textId="77777777" w:rsidR="00206F26" w:rsidRDefault="005E467D" w:rsidP="00A7088B">
      <w:pPr>
        <w:pStyle w:val="Heading2"/>
        <w:spacing w:before="240" w:after="240"/>
      </w:pPr>
      <w:bookmarkStart w:id="27" w:name="_omaw2nraorpq" w:colFirst="0" w:colLast="0"/>
      <w:bookmarkStart w:id="28" w:name="_Toc211435232"/>
      <w:bookmarkEnd w:id="27"/>
      <w:r>
        <w:t>5.2 International Model. Chronic Care Model (CCM).</w:t>
      </w:r>
      <w:bookmarkEnd w:id="28"/>
    </w:p>
    <w:p w14:paraId="66B3BBA7" w14:textId="40E5146A" w:rsidR="00206F26" w:rsidRDefault="005E467D" w:rsidP="00A7088B">
      <w:pPr>
        <w:spacing w:before="240" w:after="240" w:line="360" w:lineRule="auto"/>
        <w:jc w:val="both"/>
        <w:rPr>
          <w:sz w:val="24"/>
          <w:szCs w:val="24"/>
        </w:rPr>
      </w:pPr>
      <w:r>
        <w:rPr>
          <w:sz w:val="24"/>
          <w:szCs w:val="24"/>
        </w:rPr>
        <w:t>The Chronic Care Model (CCM) developed by Wagner involves six elements, including community resources (CRs), organisation of health system (OHS), self-management support (SMS), delivery design (DD</w:t>
      </w:r>
      <w:r w:rsidR="00A7088B">
        <w:rPr>
          <w:sz w:val="24"/>
          <w:szCs w:val="24"/>
        </w:rPr>
        <w:t>), decision</w:t>
      </w:r>
      <w:r>
        <w:rPr>
          <w:sz w:val="24"/>
          <w:szCs w:val="24"/>
        </w:rPr>
        <w:t xml:space="preserve"> support (DS), and clinical information systems (CIS) (Petrelli </w:t>
      </w:r>
      <w:r>
        <w:rPr>
          <w:i/>
          <w:sz w:val="24"/>
          <w:szCs w:val="24"/>
        </w:rPr>
        <w:t>et al.,</w:t>
      </w:r>
      <w:r>
        <w:rPr>
          <w:sz w:val="24"/>
          <w:szCs w:val="24"/>
        </w:rPr>
        <w:t xml:space="preserve"> 2021). It has shown sustained improvements in chronic disease outcomes worldwide, as in hypertension (Schutte </w:t>
      </w:r>
      <w:r>
        <w:rPr>
          <w:i/>
          <w:sz w:val="24"/>
          <w:szCs w:val="24"/>
        </w:rPr>
        <w:t>et al.,</w:t>
      </w:r>
      <w:r>
        <w:rPr>
          <w:sz w:val="24"/>
          <w:szCs w:val="24"/>
        </w:rPr>
        <w:t xml:space="preserve"> 2023). Its structured, team-based design in the UK context fits with integrated care systems, but success requires system-wide functioning and patient activation.</w:t>
      </w:r>
    </w:p>
    <w:p w14:paraId="1832D6DA" w14:textId="77777777" w:rsidR="00206F26" w:rsidRDefault="005E467D" w:rsidP="00A7088B">
      <w:pPr>
        <w:spacing w:before="240" w:after="240" w:line="360" w:lineRule="auto"/>
        <w:jc w:val="both"/>
        <w:rPr>
          <w:sz w:val="24"/>
          <w:szCs w:val="24"/>
        </w:rPr>
      </w:pPr>
      <w:r>
        <w:rPr>
          <w:sz w:val="24"/>
          <w:szCs w:val="24"/>
        </w:rPr>
        <w:t xml:space="preserve">There is a lack of consistency in the implementation of the Chronic Care Model in NHS primary care due to fragmentation (Faconti </w:t>
      </w:r>
      <w:r>
        <w:rPr>
          <w:i/>
          <w:sz w:val="24"/>
          <w:szCs w:val="24"/>
        </w:rPr>
        <w:t>et al.,</w:t>
      </w:r>
      <w:r>
        <w:rPr>
          <w:sz w:val="24"/>
          <w:szCs w:val="24"/>
        </w:rPr>
        <w:t xml:space="preserve"> 2024). In addition, Eastwood </w:t>
      </w:r>
      <w:r>
        <w:rPr>
          <w:i/>
          <w:sz w:val="24"/>
          <w:szCs w:val="24"/>
        </w:rPr>
        <w:t>et al.</w:t>
      </w:r>
      <w:r>
        <w:rPr>
          <w:sz w:val="24"/>
          <w:szCs w:val="24"/>
        </w:rPr>
        <w:t xml:space="preserve"> (2023) report ethnic and regional inequalities in the management of hypertension, supporting CCM’s dependence on socio-contextual adaptation. Critics argue that while CCM enhances processes of care, it may fail to address psychosocial dimensions vital to patient motivation and lifestyle change (Aizaz </w:t>
      </w:r>
      <w:r>
        <w:rPr>
          <w:i/>
          <w:sz w:val="24"/>
          <w:szCs w:val="24"/>
        </w:rPr>
        <w:t>et al.,</w:t>
      </w:r>
      <w:r>
        <w:rPr>
          <w:sz w:val="24"/>
          <w:szCs w:val="24"/>
        </w:rPr>
        <w:t xml:space="preserve"> 2023). </w:t>
      </w:r>
    </w:p>
    <w:p w14:paraId="71693339" w14:textId="77777777" w:rsidR="00206F26" w:rsidRDefault="005E467D" w:rsidP="00A7088B">
      <w:pPr>
        <w:spacing w:before="240" w:after="240" w:line="360" w:lineRule="auto"/>
        <w:jc w:val="both"/>
        <w:rPr>
          <w:sz w:val="24"/>
          <w:szCs w:val="24"/>
        </w:rPr>
      </w:pPr>
      <w:r>
        <w:rPr>
          <w:sz w:val="24"/>
          <w:szCs w:val="24"/>
        </w:rPr>
        <w:t xml:space="preserve">Despite this, the CCM’s emphasis on multidisciplinary teamwork and health information technology entails far greater scalability than HoC. An example of a digital intervention using CCM principles that enhance continuity is HOME BP (McManus </w:t>
      </w:r>
      <w:r>
        <w:rPr>
          <w:i/>
          <w:sz w:val="24"/>
          <w:szCs w:val="24"/>
        </w:rPr>
        <w:t>et al.,</w:t>
      </w:r>
      <w:r>
        <w:rPr>
          <w:sz w:val="24"/>
          <w:szCs w:val="24"/>
        </w:rPr>
        <w:t xml:space="preserve"> 2021). This intervention reduced systolic blood pressure by 5 mmHg. However, some issues hinder nationwide replication, these are limited data sharing, workforce strain and uneven distribution of resources.</w:t>
      </w:r>
    </w:p>
    <w:p w14:paraId="6BDEFD3A" w14:textId="77777777" w:rsidR="00206F26" w:rsidRDefault="005E467D" w:rsidP="00A7088B">
      <w:pPr>
        <w:spacing w:before="240" w:after="240" w:line="360" w:lineRule="auto"/>
        <w:jc w:val="both"/>
        <w:rPr>
          <w:sz w:val="24"/>
          <w:szCs w:val="24"/>
        </w:rPr>
      </w:pPr>
      <w:r>
        <w:rPr>
          <w:sz w:val="24"/>
          <w:szCs w:val="24"/>
        </w:rPr>
        <w:t>Implementation solutions comprise interoperability between primary and community care systems and incentivising collaborative goal setting. CCM’s system-level and structured approach, despite those constraints, offers better evidence for sustained control of hypertension worldwide. The Chronic Care Model has proven to be more effective for hypertension compared to the Collaborative Care Model as it is more multidisciplinary, integrated and adaptable. By combining HoC’s personalised empowerment with CCM’s structural coordination, a better hybrid model can be created that balances the individual motivation and institutional consistency for the equitable lifelong control of blood pressure.</w:t>
      </w:r>
    </w:p>
    <w:p w14:paraId="64A58D15" w14:textId="77777777" w:rsidR="00206F26" w:rsidRDefault="005E467D" w:rsidP="00A7088B">
      <w:pPr>
        <w:pStyle w:val="Heading1"/>
        <w:spacing w:before="200" w:after="200"/>
      </w:pPr>
      <w:bookmarkStart w:id="29" w:name="_g7umey6netb7" w:colFirst="0" w:colLast="0"/>
      <w:bookmarkStart w:id="30" w:name="_Toc211435233"/>
      <w:bookmarkEnd w:id="29"/>
      <w:r>
        <w:t>6. Policy: Local and National Health and Social Care Agendas</w:t>
      </w:r>
      <w:bookmarkEnd w:id="30"/>
    </w:p>
    <w:p w14:paraId="3E2257F0" w14:textId="77777777" w:rsidR="00206F26" w:rsidRDefault="005E467D" w:rsidP="00A7088B">
      <w:pPr>
        <w:spacing w:before="200" w:after="200" w:line="360" w:lineRule="auto"/>
        <w:jc w:val="both"/>
        <w:rPr>
          <w:sz w:val="24"/>
          <w:szCs w:val="24"/>
        </w:rPr>
      </w:pPr>
      <w:r>
        <w:rPr>
          <w:sz w:val="24"/>
          <w:szCs w:val="24"/>
        </w:rPr>
        <w:t xml:space="preserve">Hypertension is still a very prevalent issue in the UK, but with little to no true results to obtain from it. The NHS Long Term Plan says to detect, treat and make lifestyle changes for heart disease to help save people's lives (NHS England, 2025; Jones </w:t>
      </w:r>
      <w:r>
        <w:rPr>
          <w:i/>
          <w:sz w:val="24"/>
          <w:szCs w:val="24"/>
        </w:rPr>
        <w:t xml:space="preserve">et al., </w:t>
      </w:r>
      <w:r>
        <w:rPr>
          <w:sz w:val="24"/>
          <w:szCs w:val="24"/>
        </w:rPr>
        <w:t xml:space="preserve">2020). This can help several in life. Public Health England’s (PHE) “Know Your Numbers! The UKSA's campaign is encouraging people to get tested during the heart disease season. Many communities are now acting out of line against guidelines; however, this still mainly affects the principals, who are the top officials. Due to this, planners are trying a little better at controlling what they can now (Eastwood </w:t>
      </w:r>
      <w:r>
        <w:rPr>
          <w:i/>
          <w:sz w:val="24"/>
          <w:szCs w:val="24"/>
        </w:rPr>
        <w:t xml:space="preserve">et al., </w:t>
      </w:r>
      <w:r>
        <w:rPr>
          <w:sz w:val="24"/>
          <w:szCs w:val="24"/>
        </w:rPr>
        <w:t xml:space="preserve">2023; Tapela </w:t>
      </w:r>
      <w:r>
        <w:rPr>
          <w:i/>
          <w:sz w:val="24"/>
          <w:szCs w:val="24"/>
        </w:rPr>
        <w:t>et al.,</w:t>
      </w:r>
      <w:r>
        <w:rPr>
          <w:sz w:val="24"/>
          <w:szCs w:val="24"/>
        </w:rPr>
        <w:t xml:space="preserve"> 2021).</w:t>
      </w:r>
    </w:p>
    <w:p w14:paraId="46946EF3" w14:textId="77777777" w:rsidR="00206F26" w:rsidRDefault="005E467D" w:rsidP="00A7088B">
      <w:pPr>
        <w:spacing w:before="200" w:after="200" w:line="360" w:lineRule="auto"/>
        <w:jc w:val="center"/>
        <w:rPr>
          <w:sz w:val="24"/>
          <w:szCs w:val="24"/>
        </w:rPr>
      </w:pPr>
      <w:r>
        <w:rPr>
          <w:noProof/>
          <w:sz w:val="24"/>
          <w:szCs w:val="24"/>
        </w:rPr>
        <w:drawing>
          <wp:inline distT="114300" distB="114300" distL="114300" distR="114300" wp14:anchorId="77BE60D6" wp14:editId="5D95D911">
            <wp:extent cx="5943600" cy="3898900"/>
            <wp:effectExtent l="25400" t="25400" r="25400" b="25400"/>
            <wp:docPr id="6" name="image10.png"/>
            <wp:cNvGraphicFramePr/>
            <a:graphic xmlns:a="http://schemas.openxmlformats.org/drawingml/2006/main">
              <a:graphicData uri="http://schemas.openxmlformats.org/drawingml/2006/picture">
                <pic:pic xmlns:pic="http://schemas.openxmlformats.org/drawingml/2006/picture">
                  <pic:nvPicPr>
                    <pic:cNvPr id="6" name="image10.png"/>
                    <pic:cNvPicPr/>
                  </pic:nvPicPr>
                  <pic:blipFill>
                    <a:blip r:embed="rId19"/>
                    <a:stretch>
                      <a:fillRect/>
                    </a:stretch>
                  </pic:blipFill>
                  <pic:spPr>
                    <a:xfrm>
                      <a:off x="0" y="0"/>
                      <a:ext cx="5943600" cy="3898900"/>
                    </a:xfrm>
                    <a:prstGeom prst="rect">
                      <a:avLst/>
                    </a:prstGeom>
                    <a:ln w="25400">
                      <a:solidFill>
                        <a:srgbClr val="000000"/>
                      </a:solidFill>
                      <a:prstDash val="solid"/>
                    </a:ln>
                  </pic:spPr>
                </pic:pic>
              </a:graphicData>
            </a:graphic>
          </wp:inline>
        </w:drawing>
      </w:r>
    </w:p>
    <w:p w14:paraId="4771352C" w14:textId="77777777" w:rsidR="00206F26" w:rsidRDefault="005E467D" w:rsidP="00A7088B">
      <w:pPr>
        <w:spacing w:before="200" w:after="200" w:line="360" w:lineRule="auto"/>
        <w:jc w:val="center"/>
        <w:rPr>
          <w:b/>
          <w:color w:val="0B0C0C"/>
          <w:sz w:val="24"/>
          <w:szCs w:val="24"/>
          <w:highlight w:val="white"/>
        </w:rPr>
      </w:pPr>
      <w:r>
        <w:rPr>
          <w:b/>
          <w:sz w:val="24"/>
          <w:szCs w:val="24"/>
        </w:rPr>
        <w:t xml:space="preserve">Figure 7: </w:t>
      </w:r>
      <w:r>
        <w:rPr>
          <w:b/>
          <w:color w:val="0B0C0C"/>
          <w:sz w:val="24"/>
          <w:szCs w:val="24"/>
          <w:highlight w:val="white"/>
        </w:rPr>
        <w:t>PHE has published guidance on ways to increase the uptake of the NHS Health Check</w:t>
      </w:r>
    </w:p>
    <w:p w14:paraId="5D11AB1B" w14:textId="77777777" w:rsidR="00206F26" w:rsidRDefault="005E467D" w:rsidP="00A7088B">
      <w:pPr>
        <w:spacing w:before="200" w:after="200" w:line="360" w:lineRule="auto"/>
        <w:jc w:val="center"/>
        <w:rPr>
          <w:b/>
          <w:color w:val="0B0C0C"/>
          <w:sz w:val="24"/>
          <w:szCs w:val="24"/>
          <w:highlight w:val="white"/>
        </w:rPr>
      </w:pPr>
      <w:r>
        <w:rPr>
          <w:b/>
          <w:color w:val="0B0C0C"/>
          <w:sz w:val="24"/>
          <w:szCs w:val="24"/>
          <w:highlight w:val="white"/>
        </w:rPr>
        <w:t xml:space="preserve">(Source: </w:t>
      </w:r>
      <w:hyperlink r:id="rId20">
        <w:r w:rsidR="00206F26">
          <w:rPr>
            <w:b/>
            <w:color w:val="1155CC"/>
            <w:sz w:val="24"/>
            <w:szCs w:val="24"/>
            <w:highlight w:val="white"/>
            <w:u w:val="single"/>
          </w:rPr>
          <w:t>Gov.UK</w:t>
        </w:r>
      </w:hyperlink>
      <w:r>
        <w:rPr>
          <w:b/>
          <w:color w:val="0B0C0C"/>
          <w:sz w:val="24"/>
          <w:szCs w:val="24"/>
          <w:highlight w:val="white"/>
        </w:rPr>
        <w:t>, 2025)</w:t>
      </w:r>
    </w:p>
    <w:p w14:paraId="09DE07A6" w14:textId="77777777" w:rsidR="00206F26" w:rsidRDefault="005E467D" w:rsidP="00A7088B">
      <w:pPr>
        <w:spacing w:before="200" w:after="200" w:line="360" w:lineRule="auto"/>
        <w:jc w:val="both"/>
        <w:rPr>
          <w:sz w:val="24"/>
          <w:szCs w:val="24"/>
        </w:rPr>
      </w:pPr>
      <w:r>
        <w:rPr>
          <w:sz w:val="24"/>
          <w:szCs w:val="24"/>
        </w:rPr>
        <w:t xml:space="preserve">Local initiatives involving Integrated Care Systems, primary care networks, and community-based screening implement nationwide rules on the local level. Maintaining good health is crucial to being healthy and not sick (Valenzuela </w:t>
      </w:r>
      <w:r>
        <w:rPr>
          <w:i/>
          <w:sz w:val="24"/>
          <w:szCs w:val="24"/>
        </w:rPr>
        <w:t>et al.,</w:t>
      </w:r>
      <w:r>
        <w:rPr>
          <w:sz w:val="24"/>
          <w:szCs w:val="24"/>
        </w:rPr>
        <w:t xml:space="preserve"> 2021; Lemp </w:t>
      </w:r>
      <w:r>
        <w:rPr>
          <w:i/>
          <w:sz w:val="24"/>
          <w:szCs w:val="24"/>
        </w:rPr>
        <w:t>et al.,</w:t>
      </w:r>
      <w:r>
        <w:rPr>
          <w:sz w:val="24"/>
          <w:szCs w:val="24"/>
        </w:rPr>
        <w:t xml:space="preserve"> 2022). The people need to lower their percentages of high-sodium diets, and they need to get more exercise. High hopes for policy facilitate a known issue and do not resolve it (Lay-Flurrie </w:t>
      </w:r>
      <w:r>
        <w:rPr>
          <w:i/>
          <w:sz w:val="24"/>
          <w:szCs w:val="24"/>
        </w:rPr>
        <w:t xml:space="preserve">et al., </w:t>
      </w:r>
      <w:r>
        <w:rPr>
          <w:sz w:val="24"/>
          <w:szCs w:val="24"/>
        </w:rPr>
        <w:t xml:space="preserve">2020; Hammersley </w:t>
      </w:r>
      <w:r>
        <w:rPr>
          <w:i/>
          <w:sz w:val="24"/>
          <w:szCs w:val="24"/>
        </w:rPr>
        <w:t>et al.,</w:t>
      </w:r>
      <w:r>
        <w:rPr>
          <w:sz w:val="24"/>
          <w:szCs w:val="24"/>
        </w:rPr>
        <w:t xml:space="preserve"> 2020).</w:t>
      </w:r>
    </w:p>
    <w:p w14:paraId="25D820CE" w14:textId="77777777" w:rsidR="00206F26" w:rsidRDefault="005E467D" w:rsidP="00A7088B">
      <w:pPr>
        <w:spacing w:before="200" w:after="200" w:line="360" w:lineRule="auto"/>
        <w:jc w:val="both"/>
        <w:rPr>
          <w:sz w:val="24"/>
          <w:szCs w:val="24"/>
        </w:rPr>
      </w:pPr>
      <w:r>
        <w:rPr>
          <w:sz w:val="24"/>
          <w:szCs w:val="24"/>
        </w:rPr>
        <w:t>Systems differing in scale may cause inconsistencies that begin in target pressure, small type services being overused, and save bigger things in the central system. Those with too much money have way more power over them, and there is a lot that can cause things that make one sick, making them seriously ill  (Mills</w:t>
      </w:r>
      <w:r>
        <w:rPr>
          <w:i/>
          <w:sz w:val="24"/>
          <w:szCs w:val="24"/>
        </w:rPr>
        <w:t xml:space="preserve"> et al.,</w:t>
      </w:r>
      <w:r>
        <w:rPr>
          <w:sz w:val="24"/>
          <w:szCs w:val="24"/>
        </w:rPr>
        <w:t xml:space="preserve"> 2020; WHO, 2023).</w:t>
      </w:r>
    </w:p>
    <w:p w14:paraId="6F6F4CD5" w14:textId="77777777" w:rsidR="00206F26" w:rsidRDefault="005E467D" w:rsidP="00A7088B">
      <w:pPr>
        <w:spacing w:before="200" w:after="200" w:line="360" w:lineRule="auto"/>
        <w:jc w:val="center"/>
        <w:rPr>
          <w:sz w:val="24"/>
          <w:szCs w:val="24"/>
        </w:rPr>
      </w:pPr>
      <w:r>
        <w:rPr>
          <w:noProof/>
          <w:sz w:val="24"/>
          <w:szCs w:val="24"/>
        </w:rPr>
        <w:drawing>
          <wp:inline distT="114300" distB="114300" distL="114300" distR="114300" wp14:anchorId="58B54D99" wp14:editId="3E6EBA0D">
            <wp:extent cx="5943600" cy="3670300"/>
            <wp:effectExtent l="25400" t="25400" r="25400" b="25400"/>
            <wp:docPr id="12" name="image8.png"/>
            <wp:cNvGraphicFramePr/>
            <a:graphic xmlns:a="http://schemas.openxmlformats.org/drawingml/2006/main">
              <a:graphicData uri="http://schemas.openxmlformats.org/drawingml/2006/picture">
                <pic:pic xmlns:pic="http://schemas.openxmlformats.org/drawingml/2006/picture">
                  <pic:nvPicPr>
                    <pic:cNvPr id="12" name="image8.png"/>
                    <pic:cNvPicPr/>
                  </pic:nvPicPr>
                  <pic:blipFill>
                    <a:blip r:embed="rId21"/>
                    <a:stretch>
                      <a:fillRect/>
                    </a:stretch>
                  </pic:blipFill>
                  <pic:spPr>
                    <a:xfrm>
                      <a:off x="0" y="0"/>
                      <a:ext cx="5943600" cy="3670300"/>
                    </a:xfrm>
                    <a:prstGeom prst="rect">
                      <a:avLst/>
                    </a:prstGeom>
                    <a:ln w="25400">
                      <a:solidFill>
                        <a:srgbClr val="000000"/>
                      </a:solidFill>
                      <a:prstDash val="solid"/>
                    </a:ln>
                  </pic:spPr>
                </pic:pic>
              </a:graphicData>
            </a:graphic>
          </wp:inline>
        </w:drawing>
      </w:r>
    </w:p>
    <w:p w14:paraId="1BE38AF5" w14:textId="77777777" w:rsidR="00206F26" w:rsidRDefault="005E467D" w:rsidP="00A7088B">
      <w:pPr>
        <w:spacing w:before="200" w:after="200" w:line="360" w:lineRule="auto"/>
        <w:jc w:val="center"/>
        <w:rPr>
          <w:b/>
          <w:sz w:val="24"/>
          <w:szCs w:val="24"/>
        </w:rPr>
      </w:pPr>
      <w:r>
        <w:rPr>
          <w:b/>
          <w:sz w:val="24"/>
          <w:szCs w:val="24"/>
        </w:rPr>
        <w:t>Figure 8: Call to action</w:t>
      </w:r>
    </w:p>
    <w:p w14:paraId="03568AFC" w14:textId="77777777" w:rsidR="00206F26" w:rsidRDefault="005E467D" w:rsidP="00A7088B">
      <w:pPr>
        <w:spacing w:before="200" w:after="200" w:line="360" w:lineRule="auto"/>
        <w:jc w:val="center"/>
        <w:rPr>
          <w:b/>
          <w:sz w:val="24"/>
          <w:szCs w:val="24"/>
        </w:rPr>
      </w:pPr>
      <w:r>
        <w:rPr>
          <w:b/>
          <w:sz w:val="24"/>
          <w:szCs w:val="24"/>
        </w:rPr>
        <w:t xml:space="preserve">(Source: </w:t>
      </w:r>
      <w:hyperlink r:id="rId22">
        <w:r w:rsidR="00206F26">
          <w:rPr>
            <w:b/>
            <w:color w:val="1155CC"/>
            <w:sz w:val="24"/>
            <w:szCs w:val="24"/>
            <w:u w:val="single"/>
          </w:rPr>
          <w:t>Gov.UK</w:t>
        </w:r>
      </w:hyperlink>
      <w:r>
        <w:rPr>
          <w:b/>
          <w:sz w:val="24"/>
          <w:szCs w:val="24"/>
        </w:rPr>
        <w:t>, 2025)</w:t>
      </w:r>
    </w:p>
    <w:p w14:paraId="2A1E9EF2" w14:textId="77777777" w:rsidR="00206F26" w:rsidRDefault="005E467D" w:rsidP="00A7088B">
      <w:pPr>
        <w:spacing w:before="200" w:after="200" w:line="360" w:lineRule="auto"/>
        <w:jc w:val="both"/>
        <w:rPr>
          <w:sz w:val="24"/>
          <w:szCs w:val="24"/>
        </w:rPr>
      </w:pPr>
      <w:r>
        <w:rPr>
          <w:sz w:val="24"/>
          <w:szCs w:val="24"/>
        </w:rPr>
        <w:t xml:space="preserve">Effective solutions for this problem must go beyond standard treatment. It is fair to say that including digital monitoring, community-led interventions, and culturally appropriate educational programs in multiple places can improve participation and results(NHS England, 2025). Collaboration in different fields of work must be stressed in order to prevent the causes of high blood pressure and eliminate existing health inequalities (McManus </w:t>
      </w:r>
      <w:r>
        <w:rPr>
          <w:i/>
          <w:sz w:val="24"/>
          <w:szCs w:val="24"/>
        </w:rPr>
        <w:t>et al.,</w:t>
      </w:r>
      <w:r>
        <w:rPr>
          <w:sz w:val="24"/>
          <w:szCs w:val="24"/>
        </w:rPr>
        <w:t xml:space="preserve"> 2021; Sawyer and McManus, 2021).</w:t>
      </w:r>
    </w:p>
    <w:p w14:paraId="73C462A2" w14:textId="77777777" w:rsidR="00206F26" w:rsidRDefault="005E467D" w:rsidP="00A7088B">
      <w:pPr>
        <w:pStyle w:val="Heading1"/>
        <w:spacing w:before="200" w:after="200"/>
      </w:pPr>
      <w:bookmarkStart w:id="31" w:name="_pscg04k1hj8e" w:colFirst="0" w:colLast="0"/>
      <w:bookmarkStart w:id="32" w:name="_Toc211435234"/>
      <w:bookmarkEnd w:id="31"/>
      <w:r>
        <w:t>7. Recommendations for Person-Centred Care Approaches.</w:t>
      </w:r>
      <w:bookmarkEnd w:id="32"/>
    </w:p>
    <w:p w14:paraId="5008CDF2" w14:textId="77777777" w:rsidR="00206F26" w:rsidRDefault="005E467D" w:rsidP="00A7088B">
      <w:pPr>
        <w:spacing w:line="360" w:lineRule="auto"/>
        <w:jc w:val="center"/>
      </w:pPr>
      <w:r>
        <w:rPr>
          <w:noProof/>
        </w:rPr>
        <w:drawing>
          <wp:inline distT="114300" distB="114300" distL="114300" distR="114300" wp14:anchorId="38E46BE6" wp14:editId="2E0C34F7">
            <wp:extent cx="5943600" cy="3898900"/>
            <wp:effectExtent l="25400" t="25400" r="25400" b="2540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23"/>
                    <a:stretch>
                      <a:fillRect/>
                    </a:stretch>
                  </pic:blipFill>
                  <pic:spPr>
                    <a:xfrm>
                      <a:off x="0" y="0"/>
                      <a:ext cx="5943600" cy="3898900"/>
                    </a:xfrm>
                    <a:prstGeom prst="rect">
                      <a:avLst/>
                    </a:prstGeom>
                    <a:ln w="25400">
                      <a:solidFill>
                        <a:srgbClr val="000000"/>
                      </a:solidFill>
                      <a:prstDash val="solid"/>
                    </a:ln>
                  </pic:spPr>
                </pic:pic>
              </a:graphicData>
            </a:graphic>
          </wp:inline>
        </w:drawing>
      </w:r>
    </w:p>
    <w:p w14:paraId="7CD1A8BC" w14:textId="77777777" w:rsidR="00206F26" w:rsidRDefault="005E467D" w:rsidP="00A7088B">
      <w:pPr>
        <w:spacing w:line="360" w:lineRule="auto"/>
        <w:jc w:val="center"/>
        <w:rPr>
          <w:b/>
        </w:rPr>
      </w:pPr>
      <w:r>
        <w:rPr>
          <w:b/>
        </w:rPr>
        <w:t>Figure 9: Prevention of disease</w:t>
      </w:r>
    </w:p>
    <w:p w14:paraId="12431CC0" w14:textId="77777777" w:rsidR="00206F26" w:rsidRDefault="005E467D" w:rsidP="00A7088B">
      <w:pPr>
        <w:spacing w:line="360" w:lineRule="auto"/>
        <w:jc w:val="center"/>
        <w:rPr>
          <w:b/>
        </w:rPr>
      </w:pPr>
      <w:r>
        <w:rPr>
          <w:b/>
        </w:rPr>
        <w:t xml:space="preserve">(Source: </w:t>
      </w:r>
      <w:hyperlink r:id="rId24">
        <w:r w:rsidR="00206F26">
          <w:rPr>
            <w:b/>
            <w:color w:val="1155CC"/>
            <w:u w:val="single"/>
          </w:rPr>
          <w:t>Gov.UK</w:t>
        </w:r>
      </w:hyperlink>
      <w:r>
        <w:rPr>
          <w:b/>
        </w:rPr>
        <w:t>, 2025)</w:t>
      </w:r>
    </w:p>
    <w:p w14:paraId="33B2AD52" w14:textId="77777777" w:rsidR="00206F26" w:rsidRDefault="005E467D" w:rsidP="00A7088B">
      <w:pPr>
        <w:pStyle w:val="Heading2"/>
        <w:spacing w:before="200" w:after="200"/>
      </w:pPr>
      <w:bookmarkStart w:id="33" w:name="_mq4h3yrlxeh2" w:colFirst="0" w:colLast="0"/>
      <w:bookmarkStart w:id="34" w:name="_Toc211435235"/>
      <w:bookmarkEnd w:id="33"/>
      <w:r>
        <w:t>7.1 Self-Management Support.</w:t>
      </w:r>
      <w:bookmarkEnd w:id="34"/>
    </w:p>
    <w:p w14:paraId="68AFE5C6" w14:textId="488EB545" w:rsidR="00206F26" w:rsidRDefault="005E467D" w:rsidP="00A7088B">
      <w:pPr>
        <w:spacing w:before="200" w:after="200" w:line="360" w:lineRule="auto"/>
        <w:jc w:val="both"/>
        <w:rPr>
          <w:sz w:val="24"/>
          <w:szCs w:val="24"/>
        </w:rPr>
      </w:pPr>
      <w:r>
        <w:rPr>
          <w:sz w:val="24"/>
          <w:szCs w:val="24"/>
        </w:rPr>
        <w:t xml:space="preserve">The positive message of patient education is not always factored into actual practice. It does not always work at all for everyone (Eastwood </w:t>
      </w:r>
      <w:r>
        <w:rPr>
          <w:i/>
          <w:sz w:val="24"/>
          <w:szCs w:val="24"/>
        </w:rPr>
        <w:t xml:space="preserve">et al., </w:t>
      </w:r>
      <w:r>
        <w:rPr>
          <w:sz w:val="24"/>
          <w:szCs w:val="24"/>
        </w:rPr>
        <w:t>2023). When education is tailored to individual people's personal needs, appointments and needs engagement will be easy to obtain, and also more available for the students' needs. Common self-monitoring apps lack access to important medical presets, limiting the impact of record keeping entirely (</w:t>
      </w:r>
      <w:r>
        <w:rPr>
          <w:color w:val="222222"/>
          <w:sz w:val="24"/>
          <w:szCs w:val="24"/>
          <w:highlight w:val="white"/>
        </w:rPr>
        <w:t xml:space="preserve">van Oort, </w:t>
      </w:r>
      <w:r>
        <w:rPr>
          <w:i/>
          <w:color w:val="222222"/>
          <w:sz w:val="24"/>
          <w:szCs w:val="24"/>
          <w:highlight w:val="white"/>
        </w:rPr>
        <w:t xml:space="preserve">et al., </w:t>
      </w:r>
      <w:r>
        <w:rPr>
          <w:color w:val="222222"/>
          <w:sz w:val="24"/>
          <w:szCs w:val="24"/>
          <w:highlight w:val="white"/>
        </w:rPr>
        <w:t>2020)</w:t>
      </w:r>
      <w:r>
        <w:rPr>
          <w:sz w:val="24"/>
          <w:szCs w:val="24"/>
        </w:rPr>
        <w:t xml:space="preserve">. Even before symptoms occur throughout the human body, real-time clinician dashboards and patient monitoring can obviously prevent complications in the state of health (Sawyer and McManus, 2021). Virtual communities, together with trained facilitators, are a cheaper and easier way to support people making lifestyle changes. Motivational interviewing over the computer can help people reach better health goals and improve goals that they are up to, with better </w:t>
      </w:r>
      <w:r w:rsidR="00A7088B">
        <w:rPr>
          <w:sz w:val="24"/>
          <w:szCs w:val="24"/>
        </w:rPr>
        <w:t>convenience (</w:t>
      </w:r>
      <w:r>
        <w:rPr>
          <w:sz w:val="24"/>
          <w:szCs w:val="24"/>
        </w:rPr>
        <w:t xml:space="preserve">McManus </w:t>
      </w:r>
      <w:r>
        <w:rPr>
          <w:i/>
          <w:sz w:val="24"/>
          <w:szCs w:val="24"/>
        </w:rPr>
        <w:t>et al.,</w:t>
      </w:r>
      <w:r>
        <w:rPr>
          <w:sz w:val="24"/>
          <w:szCs w:val="24"/>
        </w:rPr>
        <w:t xml:space="preserve"> 2021).</w:t>
      </w:r>
    </w:p>
    <w:p w14:paraId="3F0EC59B" w14:textId="77777777" w:rsidR="00206F26" w:rsidRDefault="005E467D" w:rsidP="00A7088B">
      <w:pPr>
        <w:pStyle w:val="Heading2"/>
        <w:spacing w:before="200" w:after="200"/>
      </w:pPr>
      <w:bookmarkStart w:id="35" w:name="_t3nsa8u0kvkv" w:colFirst="0" w:colLast="0"/>
      <w:bookmarkStart w:id="36" w:name="_Toc211435236"/>
      <w:bookmarkEnd w:id="35"/>
      <w:r>
        <w:t>7.2 Holistic and Whole-Person Care.</w:t>
      </w:r>
      <w:bookmarkEnd w:id="36"/>
    </w:p>
    <w:p w14:paraId="34BF9BA2" w14:textId="77777777" w:rsidR="00206F26" w:rsidRDefault="005E467D" w:rsidP="00A7088B">
      <w:pPr>
        <w:spacing w:before="200" w:after="200" w:line="360" w:lineRule="auto"/>
        <w:jc w:val="both"/>
        <w:rPr>
          <w:sz w:val="24"/>
          <w:szCs w:val="24"/>
        </w:rPr>
      </w:pPr>
      <w:r>
        <w:rPr>
          <w:sz w:val="24"/>
          <w:szCs w:val="24"/>
        </w:rPr>
        <w:t xml:space="preserve">The huge pile of money goes towards pointless health problems, more doctors, and fewer patients. Inconsistently applying the principles of preventing and controlling medical problems caused by an unacceptable way of living helps eliminate a lot of problems. By linking mental and high blood pressure issues, doctors can patch up problems at a lower cost. Healthcare providers can do a great service to the public by teaming up with community leaders to provide top-notch service, the kind that creates a bond between the provider and the patient (Eastwood </w:t>
      </w:r>
      <w:r>
        <w:rPr>
          <w:i/>
          <w:sz w:val="24"/>
          <w:szCs w:val="24"/>
        </w:rPr>
        <w:t>et al.,</w:t>
      </w:r>
      <w:r>
        <w:rPr>
          <w:sz w:val="24"/>
          <w:szCs w:val="24"/>
        </w:rPr>
        <w:t xml:space="preserve"> 2023). This could improve several things, including patient relationships with hospital workers, the quality of service, and patient retention. Digital care systems should be allowed to weigh, check, provide lifestyle care, and consult the doctor for a much happier outcome and life.</w:t>
      </w:r>
    </w:p>
    <w:p w14:paraId="35C264E7" w14:textId="77777777" w:rsidR="00206F26" w:rsidRDefault="005E467D" w:rsidP="00A7088B">
      <w:pPr>
        <w:spacing w:before="200" w:after="200" w:line="360" w:lineRule="auto"/>
        <w:jc w:val="center"/>
        <w:rPr>
          <w:sz w:val="24"/>
          <w:szCs w:val="24"/>
        </w:rPr>
      </w:pPr>
      <w:r>
        <w:rPr>
          <w:noProof/>
          <w:sz w:val="24"/>
          <w:szCs w:val="24"/>
        </w:rPr>
        <w:drawing>
          <wp:inline distT="114300" distB="114300" distL="114300" distR="114300" wp14:anchorId="2558BC7A" wp14:editId="2408E921">
            <wp:extent cx="5943600" cy="3522133"/>
            <wp:effectExtent l="38100" t="38100" r="38100" b="40640"/>
            <wp:docPr id="11" name="image2.png"/>
            <wp:cNvGraphicFramePr/>
            <a:graphic xmlns:a="http://schemas.openxmlformats.org/drawingml/2006/main">
              <a:graphicData uri="http://schemas.openxmlformats.org/drawingml/2006/picture">
                <pic:pic xmlns:pic="http://schemas.openxmlformats.org/drawingml/2006/picture">
                  <pic:nvPicPr>
                    <pic:cNvPr id="11" name="image2.png"/>
                    <pic:cNvPicPr/>
                  </pic:nvPicPr>
                  <pic:blipFill>
                    <a:blip r:embed="rId25"/>
                    <a:stretch>
                      <a:fillRect/>
                    </a:stretch>
                  </pic:blipFill>
                  <pic:spPr>
                    <a:xfrm>
                      <a:off x="0" y="0"/>
                      <a:ext cx="5970645" cy="3538160"/>
                    </a:xfrm>
                    <a:prstGeom prst="rect">
                      <a:avLst/>
                    </a:prstGeom>
                    <a:ln w="25400">
                      <a:solidFill>
                        <a:srgbClr val="000000"/>
                      </a:solidFill>
                      <a:prstDash val="solid"/>
                    </a:ln>
                  </pic:spPr>
                </pic:pic>
              </a:graphicData>
            </a:graphic>
          </wp:inline>
        </w:drawing>
      </w:r>
    </w:p>
    <w:p w14:paraId="7DA5BD98" w14:textId="77777777" w:rsidR="00206F26" w:rsidRDefault="005E467D" w:rsidP="00A7088B">
      <w:pPr>
        <w:spacing w:before="200" w:after="200" w:line="360" w:lineRule="auto"/>
        <w:jc w:val="center"/>
        <w:rPr>
          <w:b/>
          <w:sz w:val="24"/>
          <w:szCs w:val="24"/>
        </w:rPr>
      </w:pPr>
      <w:r>
        <w:rPr>
          <w:b/>
          <w:sz w:val="24"/>
          <w:szCs w:val="24"/>
        </w:rPr>
        <w:t>Figure 10: Improve Medication Adherence</w:t>
      </w:r>
    </w:p>
    <w:p w14:paraId="5A675B97" w14:textId="77777777" w:rsidR="00206F26" w:rsidRDefault="005E467D" w:rsidP="00A7088B">
      <w:pPr>
        <w:spacing w:before="200" w:after="200" w:line="360" w:lineRule="auto"/>
        <w:jc w:val="center"/>
        <w:rPr>
          <w:sz w:val="24"/>
          <w:szCs w:val="24"/>
        </w:rPr>
      </w:pPr>
      <w:r>
        <w:rPr>
          <w:b/>
          <w:sz w:val="24"/>
          <w:szCs w:val="24"/>
        </w:rPr>
        <w:t xml:space="preserve">(Source: </w:t>
      </w:r>
      <w:hyperlink r:id="rId26">
        <w:r w:rsidR="00206F26">
          <w:rPr>
            <w:b/>
            <w:color w:val="1155CC"/>
            <w:sz w:val="24"/>
            <w:szCs w:val="24"/>
            <w:u w:val="single"/>
          </w:rPr>
          <w:t>Gov.UK</w:t>
        </w:r>
      </w:hyperlink>
      <w:r>
        <w:rPr>
          <w:b/>
          <w:sz w:val="24"/>
          <w:szCs w:val="24"/>
        </w:rPr>
        <w:t>, 2025)</w:t>
      </w:r>
    </w:p>
    <w:p w14:paraId="4A3194EF" w14:textId="77777777" w:rsidR="00206F26" w:rsidRDefault="005E467D" w:rsidP="00A7088B">
      <w:pPr>
        <w:pStyle w:val="Heading2"/>
        <w:spacing w:before="200" w:after="200"/>
      </w:pPr>
      <w:bookmarkStart w:id="37" w:name="_szfpmm5hregi" w:colFirst="0" w:colLast="0"/>
      <w:bookmarkStart w:id="38" w:name="_Toc211435237"/>
      <w:bookmarkEnd w:id="37"/>
      <w:r>
        <w:t>7.3 End-of-Life Care Considerations.</w:t>
      </w:r>
      <w:bookmarkEnd w:id="38"/>
    </w:p>
    <w:p w14:paraId="6B2B6FEF" w14:textId="77777777" w:rsidR="00206F26" w:rsidRDefault="005E467D" w:rsidP="00A7088B">
      <w:pPr>
        <w:spacing w:before="200" w:after="200" w:line="360" w:lineRule="auto"/>
        <w:jc w:val="both"/>
        <w:rPr>
          <w:sz w:val="24"/>
          <w:szCs w:val="24"/>
        </w:rPr>
      </w:pPr>
      <w:r>
        <w:rPr>
          <w:sz w:val="24"/>
          <w:szCs w:val="24"/>
        </w:rPr>
        <w:t xml:space="preserve">There is not enough support for people suffering from chronic high blood pressure to be helped by palliative care, meaning not a cure, but to relieve their pain (Constantine </w:t>
      </w:r>
      <w:r>
        <w:rPr>
          <w:i/>
          <w:sz w:val="24"/>
          <w:szCs w:val="24"/>
        </w:rPr>
        <w:t>et al.,</w:t>
      </w:r>
      <w:r>
        <w:rPr>
          <w:sz w:val="24"/>
          <w:szCs w:val="24"/>
        </w:rPr>
        <w:t xml:space="preserve"> 2021). Everyone is better off around the world, so new technologies are implemented to better help prevent a disease. These virtual palliative care consultations can limit our stays in hospitals. Reducing how often we spend time in hospitals lowers all sorts of extra costs for the healthcare system, so it saves money (</w:t>
      </w:r>
      <w:r>
        <w:rPr>
          <w:color w:val="222222"/>
          <w:sz w:val="24"/>
          <w:szCs w:val="24"/>
          <w:highlight w:val="white"/>
        </w:rPr>
        <w:t>England and Improvement, 2020)</w:t>
      </w:r>
      <w:r>
        <w:rPr>
          <w:sz w:val="24"/>
          <w:szCs w:val="24"/>
        </w:rPr>
        <w:t xml:space="preserve">. This change also helps keep our lives with quality, though probably by shortening one's life. The fewer frequent hospital stays are, the less money will be paid by these hospitals to treat patients who already have a terminal disease (Hong and Shan, 2021). All the essentials are put into place to ensure end-of-life care. Quality of life goals right now drive the decisions patients are getting, and in some cases, it would be better to focus on comfort instead of intervention during this difficult time (Eastwood </w:t>
      </w:r>
      <w:r>
        <w:rPr>
          <w:i/>
          <w:sz w:val="24"/>
          <w:szCs w:val="24"/>
        </w:rPr>
        <w:t>et al.,</w:t>
      </w:r>
      <w:r>
        <w:rPr>
          <w:sz w:val="24"/>
          <w:szCs w:val="24"/>
        </w:rPr>
        <w:t xml:space="preserve"> 2023).</w:t>
      </w:r>
    </w:p>
    <w:p w14:paraId="7C721F3A" w14:textId="77777777" w:rsidR="00206F26" w:rsidRDefault="005E467D" w:rsidP="00A7088B">
      <w:pPr>
        <w:pStyle w:val="Heading2"/>
        <w:spacing w:before="200" w:after="200"/>
      </w:pPr>
      <w:bookmarkStart w:id="39" w:name="_xcvfb36p6bpb" w:colFirst="0" w:colLast="0"/>
      <w:bookmarkStart w:id="40" w:name="_Toc211435238"/>
      <w:bookmarkEnd w:id="39"/>
      <w:r>
        <w:t>Implementation Roadmap and Barriers.</w:t>
      </w:r>
      <w:bookmarkEnd w:id="40"/>
    </w:p>
    <w:p w14:paraId="4124FA91" w14:textId="77777777" w:rsidR="00206F26" w:rsidRDefault="005E467D" w:rsidP="00A7088B">
      <w:pPr>
        <w:spacing w:before="200" w:after="200" w:line="360" w:lineRule="auto"/>
        <w:jc w:val="both"/>
        <w:rPr>
          <w:sz w:val="24"/>
          <w:szCs w:val="24"/>
        </w:rPr>
      </w:pPr>
      <w:r>
        <w:rPr>
          <w:sz w:val="24"/>
          <w:szCs w:val="24"/>
        </w:rPr>
        <w:t>Some obstructions are limited digital skills, medical worker training areas and privacy worries. Digital literacy campaigns would deal with this issue, clinicians would need to be trained, and hospital systems would have to be computer safe. The safe and effective adoption alongside the continuous monitoring of outcomes will be the best.</w:t>
      </w:r>
    </w:p>
    <w:p w14:paraId="42AD6850" w14:textId="77777777" w:rsidR="00206F26" w:rsidRDefault="005E467D" w:rsidP="00A7088B">
      <w:pPr>
        <w:pStyle w:val="Heading1"/>
        <w:spacing w:before="200" w:after="200"/>
      </w:pPr>
      <w:bookmarkStart w:id="41" w:name="_bkxhn7ws3hm0" w:colFirst="0" w:colLast="0"/>
      <w:bookmarkStart w:id="42" w:name="_Toc211435239"/>
      <w:bookmarkEnd w:id="41"/>
      <w:r>
        <w:t>8. Conclusion.</w:t>
      </w:r>
      <w:bookmarkEnd w:id="42"/>
    </w:p>
    <w:p w14:paraId="1187A486" w14:textId="77777777" w:rsidR="00206F26" w:rsidRDefault="005E467D" w:rsidP="00A7088B">
      <w:pPr>
        <w:spacing w:before="200" w:after="200" w:line="360" w:lineRule="auto"/>
        <w:jc w:val="both"/>
        <w:rPr>
          <w:sz w:val="24"/>
          <w:szCs w:val="24"/>
        </w:rPr>
      </w:pPr>
      <w:r>
        <w:rPr>
          <w:sz w:val="24"/>
          <w:szCs w:val="24"/>
        </w:rPr>
        <w:t>In conclusion, hypertension care has to move beyond conventional models to much better models that integrate tools, AI, and community support. Early detection and proper management are imperative to reduce instability and medical bills, but something is still missing. In addition to other benefits, this article also discusses a way for everyone to get better health care, even at the end. In the future, research should look into technologies and their cost. To transform health care for high blood pressure, everyone in the healthcare system has to work together to make health care fair for all and sustainable in the long run.</w:t>
      </w:r>
    </w:p>
    <w:p w14:paraId="6796AC8F" w14:textId="77777777" w:rsidR="00206F26" w:rsidRDefault="005E467D" w:rsidP="00A7088B">
      <w:pPr>
        <w:pStyle w:val="Heading1"/>
      </w:pPr>
      <w:bookmarkStart w:id="43" w:name="_chxbu6mv32kz" w:colFirst="0" w:colLast="0"/>
      <w:bookmarkStart w:id="44" w:name="_Toc211435240"/>
      <w:bookmarkEnd w:id="43"/>
      <w:r>
        <w:t>References</w:t>
      </w:r>
      <w:bookmarkEnd w:id="44"/>
    </w:p>
    <w:p w14:paraId="3A5BEDC6"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Aizaz, M., Khattak, A.A. and Toru, H.K., 2023. Holistic Healthcare: Transforming Patient Care in the NHS: ISBN: 9798879213034. </w:t>
      </w:r>
      <w:r w:rsidRPr="00A7088B">
        <w:rPr>
          <w:i/>
          <w:color w:val="222222"/>
          <w:sz w:val="24"/>
          <w:szCs w:val="24"/>
          <w:highlight w:val="white"/>
        </w:rPr>
        <w:t>THE STETHO</w:t>
      </w:r>
      <w:r w:rsidRPr="00A7088B">
        <w:rPr>
          <w:color w:val="222222"/>
          <w:sz w:val="24"/>
          <w:szCs w:val="24"/>
          <w:highlight w:val="white"/>
        </w:rPr>
        <w:t xml:space="preserve">, </w:t>
      </w:r>
      <w:r w:rsidRPr="00A7088B">
        <w:rPr>
          <w:i/>
          <w:color w:val="222222"/>
          <w:sz w:val="24"/>
          <w:szCs w:val="24"/>
          <w:highlight w:val="white"/>
        </w:rPr>
        <w:t>4</w:t>
      </w:r>
      <w:r w:rsidRPr="00A7088B">
        <w:rPr>
          <w:color w:val="222222"/>
          <w:sz w:val="24"/>
          <w:szCs w:val="24"/>
          <w:highlight w:val="white"/>
        </w:rPr>
        <w:t>(4).</w:t>
      </w:r>
    </w:p>
    <w:p w14:paraId="73BD8B82" w14:textId="77777777" w:rsidR="00A7088B" w:rsidRPr="00A7088B" w:rsidRDefault="00A7088B" w:rsidP="00A7088B">
      <w:pPr>
        <w:spacing w:before="240" w:after="240" w:line="360" w:lineRule="auto"/>
        <w:jc w:val="both"/>
        <w:rPr>
          <w:i/>
          <w:sz w:val="24"/>
          <w:szCs w:val="24"/>
        </w:rPr>
      </w:pPr>
      <w:r w:rsidRPr="00A7088B">
        <w:rPr>
          <w:sz w:val="24"/>
          <w:szCs w:val="24"/>
          <w:highlight w:val="white"/>
        </w:rPr>
        <w:t xml:space="preserve">BHF (2023). </w:t>
      </w:r>
      <w:r w:rsidRPr="00A7088B">
        <w:rPr>
          <w:i/>
          <w:sz w:val="24"/>
          <w:szCs w:val="24"/>
        </w:rPr>
        <w:t xml:space="preserve">High blood pressure - causes and symptoms. </w:t>
      </w:r>
      <w:r w:rsidRPr="00A7088B">
        <w:rPr>
          <w:sz w:val="24"/>
          <w:szCs w:val="24"/>
          <w:highlight w:val="white"/>
        </w:rPr>
        <w:t xml:space="preserve">Available at: </w:t>
      </w:r>
      <w:hyperlink r:id="rId27">
        <w:r w:rsidRPr="00A7088B">
          <w:rPr>
            <w:color w:val="1155CC"/>
            <w:sz w:val="24"/>
            <w:szCs w:val="24"/>
            <w:highlight w:val="white"/>
            <w:u w:val="single"/>
          </w:rPr>
          <w:t>https://www.bhf.org.uk/informationsupport/risk-factors/high-blood-pressure</w:t>
        </w:r>
      </w:hyperlink>
      <w:r w:rsidRPr="00A7088B">
        <w:rPr>
          <w:sz w:val="24"/>
          <w:szCs w:val="24"/>
          <w:highlight w:val="white"/>
        </w:rPr>
        <w:t>. [Accessed on: 15.10.2025].</w:t>
      </w:r>
    </w:p>
    <w:p w14:paraId="499DFE7A" w14:textId="77777777" w:rsidR="00A7088B" w:rsidRPr="00A7088B" w:rsidRDefault="00A7088B" w:rsidP="00A7088B">
      <w:pPr>
        <w:spacing w:before="240" w:after="240" w:line="360" w:lineRule="auto"/>
        <w:jc w:val="both"/>
        <w:rPr>
          <w:i/>
          <w:sz w:val="24"/>
          <w:szCs w:val="24"/>
          <w:highlight w:val="white"/>
        </w:rPr>
      </w:pPr>
      <w:r w:rsidRPr="00A7088B">
        <w:rPr>
          <w:sz w:val="24"/>
          <w:szCs w:val="24"/>
          <w:highlight w:val="white"/>
        </w:rPr>
        <w:t xml:space="preserve">BloodpressureUK, (2025). </w:t>
      </w:r>
      <w:r w:rsidRPr="00A7088B">
        <w:rPr>
          <w:i/>
          <w:sz w:val="24"/>
          <w:szCs w:val="24"/>
          <w:highlight w:val="white"/>
        </w:rPr>
        <w:t xml:space="preserve">Blood pressure facts and figures. </w:t>
      </w:r>
      <w:r w:rsidRPr="00A7088B">
        <w:rPr>
          <w:sz w:val="24"/>
          <w:szCs w:val="24"/>
          <w:highlight w:val="white"/>
        </w:rPr>
        <w:t xml:space="preserve">Available at: </w:t>
      </w:r>
      <w:hyperlink r:id="rId28">
        <w:r w:rsidRPr="00A7088B">
          <w:rPr>
            <w:color w:val="1155CC"/>
            <w:sz w:val="24"/>
            <w:szCs w:val="24"/>
            <w:highlight w:val="white"/>
            <w:u w:val="single"/>
          </w:rPr>
          <w:t>https://www.bloodpressureuk.org/news/media-centre/blood-pressure-facts-and-figures/</w:t>
        </w:r>
      </w:hyperlink>
      <w:r w:rsidRPr="00A7088B">
        <w:rPr>
          <w:sz w:val="24"/>
          <w:szCs w:val="24"/>
          <w:highlight w:val="white"/>
        </w:rPr>
        <w:t>. [Accessed on: 15.10.2025].</w:t>
      </w:r>
    </w:p>
    <w:p w14:paraId="4D3858B9"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Burton, J.K., Goodman, C., Guthrie, B., Gordon, A.L., Hanratty, B. and Quinn, T.J., 2021. Closing the UK care home data gap–methodological challenges and solutions. </w:t>
      </w:r>
      <w:r w:rsidRPr="00A7088B">
        <w:rPr>
          <w:i/>
          <w:color w:val="222222"/>
          <w:sz w:val="24"/>
          <w:szCs w:val="24"/>
          <w:highlight w:val="white"/>
        </w:rPr>
        <w:t>International Journal of Population Data Science</w:t>
      </w:r>
      <w:r w:rsidRPr="00A7088B">
        <w:rPr>
          <w:color w:val="222222"/>
          <w:sz w:val="24"/>
          <w:szCs w:val="24"/>
          <w:highlight w:val="white"/>
        </w:rPr>
        <w:t xml:space="preserve">, </w:t>
      </w:r>
      <w:r w:rsidRPr="00A7088B">
        <w:rPr>
          <w:i/>
          <w:color w:val="222222"/>
          <w:sz w:val="24"/>
          <w:szCs w:val="24"/>
          <w:highlight w:val="white"/>
        </w:rPr>
        <w:t>5</w:t>
      </w:r>
      <w:r w:rsidRPr="00A7088B">
        <w:rPr>
          <w:color w:val="222222"/>
          <w:sz w:val="24"/>
          <w:szCs w:val="24"/>
          <w:highlight w:val="white"/>
        </w:rPr>
        <w:t>(4), p.1391.</w:t>
      </w:r>
    </w:p>
    <w:p w14:paraId="05B09936"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Cho, S.M.J., Koyama, S., Ruan, Y., Lannery, K., Wong, M., Ajufo, E., Lee, H., Khera, A.V., Honigberg, M.C. and Natarajan, P., 2022. Measured blood pressure, genetically predicted blood pressure, and cardiovascular disease risk in the UK Biobank. </w:t>
      </w:r>
      <w:r w:rsidRPr="00A7088B">
        <w:rPr>
          <w:i/>
          <w:color w:val="222222"/>
          <w:sz w:val="24"/>
          <w:szCs w:val="24"/>
          <w:highlight w:val="white"/>
        </w:rPr>
        <w:t>JAMA cardiology</w:t>
      </w:r>
      <w:r w:rsidRPr="00A7088B">
        <w:rPr>
          <w:color w:val="222222"/>
          <w:sz w:val="24"/>
          <w:szCs w:val="24"/>
          <w:highlight w:val="white"/>
        </w:rPr>
        <w:t xml:space="preserve">, </w:t>
      </w:r>
      <w:r w:rsidRPr="00A7088B">
        <w:rPr>
          <w:i/>
          <w:color w:val="222222"/>
          <w:sz w:val="24"/>
          <w:szCs w:val="24"/>
          <w:highlight w:val="white"/>
        </w:rPr>
        <w:t>7</w:t>
      </w:r>
      <w:r w:rsidRPr="00A7088B">
        <w:rPr>
          <w:color w:val="222222"/>
          <w:sz w:val="24"/>
          <w:szCs w:val="24"/>
          <w:highlight w:val="white"/>
        </w:rPr>
        <w:t>(11), pp.1129-1137.</w:t>
      </w:r>
    </w:p>
    <w:p w14:paraId="62F26496"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Constantine, A., Condliffe, R., Clift, P., Tulloh, R., Dimopoulos, K. and CHAMPION Steering Committee, 2021. Palliative care in pulmonary hypertension associated with congenital heart disease: systematic review and expert opinion. </w:t>
      </w:r>
      <w:r w:rsidRPr="00A7088B">
        <w:rPr>
          <w:i/>
          <w:color w:val="222222"/>
          <w:sz w:val="24"/>
          <w:szCs w:val="24"/>
          <w:highlight w:val="white"/>
        </w:rPr>
        <w:t>ESC heart failure</w:t>
      </w:r>
      <w:r w:rsidRPr="00A7088B">
        <w:rPr>
          <w:color w:val="222222"/>
          <w:sz w:val="24"/>
          <w:szCs w:val="24"/>
          <w:highlight w:val="white"/>
        </w:rPr>
        <w:t xml:space="preserve">, </w:t>
      </w:r>
      <w:r w:rsidRPr="00A7088B">
        <w:rPr>
          <w:i/>
          <w:color w:val="222222"/>
          <w:sz w:val="24"/>
          <w:szCs w:val="24"/>
          <w:highlight w:val="white"/>
        </w:rPr>
        <w:t>8</w:t>
      </w:r>
      <w:r w:rsidRPr="00A7088B">
        <w:rPr>
          <w:color w:val="222222"/>
          <w:sz w:val="24"/>
          <w:szCs w:val="24"/>
          <w:highlight w:val="white"/>
        </w:rPr>
        <w:t>(3), pp.1901-1914.</w:t>
      </w:r>
    </w:p>
    <w:p w14:paraId="0809C2A3"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Eastwood, S.V., Hughes, A.D., Tomlinson, L., Mathur, R., Smeeth, L., Bhaskaran, K. and Chaturvedi, N., 2023. Ethnic differences in hypertension management, medication use and blood pressure control in UK primary care, 2006–2019: a retrospective cohort study. </w:t>
      </w:r>
      <w:r w:rsidRPr="00A7088B">
        <w:rPr>
          <w:i/>
          <w:color w:val="222222"/>
          <w:sz w:val="24"/>
          <w:szCs w:val="24"/>
          <w:highlight w:val="white"/>
        </w:rPr>
        <w:t>The Lancet Regional Health–Europe</w:t>
      </w:r>
      <w:r w:rsidRPr="00A7088B">
        <w:rPr>
          <w:color w:val="222222"/>
          <w:sz w:val="24"/>
          <w:szCs w:val="24"/>
          <w:highlight w:val="white"/>
        </w:rPr>
        <w:t xml:space="preserve">, </w:t>
      </w:r>
      <w:r w:rsidRPr="00A7088B">
        <w:rPr>
          <w:i/>
          <w:color w:val="222222"/>
          <w:sz w:val="24"/>
          <w:szCs w:val="24"/>
          <w:highlight w:val="white"/>
        </w:rPr>
        <w:t>25</w:t>
      </w:r>
      <w:r w:rsidRPr="00A7088B">
        <w:rPr>
          <w:color w:val="222222"/>
          <w:sz w:val="24"/>
          <w:szCs w:val="24"/>
          <w:highlight w:val="white"/>
        </w:rPr>
        <w:t>.</w:t>
      </w:r>
    </w:p>
    <w:p w14:paraId="797C8927"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England, N.H.S. and Improvement, N.H.S., 2020. The framework for enhanced health in care homes. </w:t>
      </w:r>
      <w:r w:rsidRPr="00A7088B">
        <w:rPr>
          <w:i/>
          <w:color w:val="222222"/>
          <w:sz w:val="24"/>
          <w:szCs w:val="24"/>
          <w:highlight w:val="white"/>
        </w:rPr>
        <w:t>London, UK, 2020</w:t>
      </w:r>
      <w:r w:rsidRPr="00A7088B">
        <w:rPr>
          <w:color w:val="222222"/>
          <w:sz w:val="24"/>
          <w:szCs w:val="24"/>
          <w:highlight w:val="white"/>
        </w:rPr>
        <w:t xml:space="preserve">, </w:t>
      </w:r>
      <w:r w:rsidRPr="00A7088B">
        <w:rPr>
          <w:i/>
          <w:color w:val="222222"/>
          <w:sz w:val="24"/>
          <w:szCs w:val="24"/>
          <w:highlight w:val="white"/>
        </w:rPr>
        <w:t>3</w:t>
      </w:r>
      <w:r w:rsidRPr="00A7088B">
        <w:rPr>
          <w:color w:val="222222"/>
          <w:sz w:val="24"/>
          <w:szCs w:val="24"/>
          <w:highlight w:val="white"/>
        </w:rPr>
        <w:t>.</w:t>
      </w:r>
    </w:p>
    <w:p w14:paraId="39A6A83C"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Faconti, L., Kulkarni, S., Delles, C., Kapil, V., Lewis, P., Glover, M., MacDonald, T.M. and Wilkinson, I.B., 2024. Diagnosis and management of primary hyperaldosteronism in patients with hypertension: a practical approach endorsed by the British and Irish Hypertension Society. </w:t>
      </w:r>
      <w:r w:rsidRPr="00A7088B">
        <w:rPr>
          <w:i/>
          <w:color w:val="222222"/>
          <w:sz w:val="24"/>
          <w:szCs w:val="24"/>
          <w:highlight w:val="white"/>
        </w:rPr>
        <w:t>Journal of Human Hypertension</w:t>
      </w:r>
      <w:r w:rsidRPr="00A7088B">
        <w:rPr>
          <w:color w:val="222222"/>
          <w:sz w:val="24"/>
          <w:szCs w:val="24"/>
          <w:highlight w:val="white"/>
        </w:rPr>
        <w:t xml:space="preserve">, </w:t>
      </w:r>
      <w:r w:rsidRPr="00A7088B">
        <w:rPr>
          <w:i/>
          <w:color w:val="222222"/>
          <w:sz w:val="24"/>
          <w:szCs w:val="24"/>
          <w:highlight w:val="white"/>
        </w:rPr>
        <w:t>38</w:t>
      </w:r>
      <w:r w:rsidRPr="00A7088B">
        <w:rPr>
          <w:color w:val="222222"/>
          <w:sz w:val="24"/>
          <w:szCs w:val="24"/>
          <w:highlight w:val="white"/>
        </w:rPr>
        <w:t>(1), pp.8-18.</w:t>
      </w:r>
    </w:p>
    <w:p w14:paraId="4990E46E"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Fletcher, B., Chappell, L.C., Lavallee, L., Wilson, H.M., Stevens, R., Mackillop, L., McManus, R.J. and Tucker, K.L., 2021. Changes to management of hypertension in pregnancy, and attitudes to self-management: An online survey of obstetricians, before and following the first wave of the COVID-19 pandemic. </w:t>
      </w:r>
      <w:r w:rsidRPr="00A7088B">
        <w:rPr>
          <w:i/>
          <w:color w:val="222222"/>
          <w:sz w:val="24"/>
          <w:szCs w:val="24"/>
          <w:highlight w:val="white"/>
        </w:rPr>
        <w:t>Pregnancy hypertension</w:t>
      </w:r>
      <w:r w:rsidRPr="00A7088B">
        <w:rPr>
          <w:color w:val="222222"/>
          <w:sz w:val="24"/>
          <w:szCs w:val="24"/>
          <w:highlight w:val="white"/>
        </w:rPr>
        <w:t xml:space="preserve">, </w:t>
      </w:r>
      <w:r w:rsidRPr="00A7088B">
        <w:rPr>
          <w:i/>
          <w:color w:val="222222"/>
          <w:sz w:val="24"/>
          <w:szCs w:val="24"/>
          <w:highlight w:val="white"/>
        </w:rPr>
        <w:t>26</w:t>
      </w:r>
      <w:r w:rsidRPr="00A7088B">
        <w:rPr>
          <w:color w:val="222222"/>
          <w:sz w:val="24"/>
          <w:szCs w:val="24"/>
          <w:highlight w:val="white"/>
        </w:rPr>
        <w:t>, pp.54-61.</w:t>
      </w:r>
    </w:p>
    <w:p w14:paraId="5698399C"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Ghiyasvandian, S., Shahsavari, H., Matourypour, P. and Golestannejad, M.R., 2021. Integrated Care model: Transition from acute to chronic care. </w:t>
      </w:r>
      <w:r w:rsidRPr="00A7088B">
        <w:rPr>
          <w:i/>
          <w:color w:val="222222"/>
          <w:sz w:val="24"/>
          <w:szCs w:val="24"/>
          <w:highlight w:val="white"/>
        </w:rPr>
        <w:t>Revista brasileira de enfermagem</w:t>
      </w:r>
      <w:r w:rsidRPr="00A7088B">
        <w:rPr>
          <w:color w:val="222222"/>
          <w:sz w:val="24"/>
          <w:szCs w:val="24"/>
          <w:highlight w:val="white"/>
        </w:rPr>
        <w:t xml:space="preserve">, </w:t>
      </w:r>
      <w:r w:rsidRPr="00A7088B">
        <w:rPr>
          <w:i/>
          <w:color w:val="222222"/>
          <w:sz w:val="24"/>
          <w:szCs w:val="24"/>
          <w:highlight w:val="white"/>
        </w:rPr>
        <w:t>74</w:t>
      </w:r>
      <w:r w:rsidRPr="00A7088B">
        <w:rPr>
          <w:color w:val="222222"/>
          <w:sz w:val="24"/>
          <w:szCs w:val="24"/>
          <w:highlight w:val="white"/>
        </w:rPr>
        <w:t>(suppl 5), p.e20200910.</w:t>
      </w:r>
    </w:p>
    <w:p w14:paraId="28E6F3DC" w14:textId="77777777" w:rsidR="00A7088B" w:rsidRPr="00A7088B" w:rsidRDefault="00A7088B" w:rsidP="00A7088B">
      <w:pPr>
        <w:spacing w:before="240" w:after="240" w:line="360" w:lineRule="auto"/>
        <w:jc w:val="both"/>
        <w:rPr>
          <w:i/>
          <w:sz w:val="24"/>
          <w:szCs w:val="24"/>
        </w:rPr>
      </w:pPr>
      <w:hyperlink r:id="rId29">
        <w:r w:rsidRPr="00A7088B">
          <w:rPr>
            <w:color w:val="1155CC"/>
            <w:sz w:val="24"/>
            <w:szCs w:val="24"/>
            <w:highlight w:val="white"/>
            <w:u w:val="single"/>
          </w:rPr>
          <w:t>Gov.UK</w:t>
        </w:r>
      </w:hyperlink>
      <w:r w:rsidRPr="00A7088B">
        <w:rPr>
          <w:color w:val="222222"/>
          <w:sz w:val="24"/>
          <w:szCs w:val="24"/>
          <w:highlight w:val="white"/>
        </w:rPr>
        <w:t xml:space="preserve">. (2025). </w:t>
      </w:r>
      <w:r w:rsidRPr="00A7088B">
        <w:rPr>
          <w:i/>
          <w:sz w:val="24"/>
          <w:szCs w:val="24"/>
        </w:rPr>
        <w:t xml:space="preserve">Health matters: combating high blood pressure.  </w:t>
      </w:r>
      <w:r w:rsidRPr="00A7088B">
        <w:rPr>
          <w:sz w:val="24"/>
          <w:szCs w:val="24"/>
          <w:highlight w:val="white"/>
        </w:rPr>
        <w:t xml:space="preserve">Available at: </w:t>
      </w:r>
      <w:hyperlink r:id="rId30">
        <w:r w:rsidRPr="00A7088B">
          <w:rPr>
            <w:color w:val="1155CC"/>
            <w:sz w:val="24"/>
            <w:szCs w:val="24"/>
            <w:highlight w:val="white"/>
            <w:u w:val="single"/>
          </w:rPr>
          <w:t>https://www.gov.uk/government/publications/health-matters-combating-high-blood-pressure/health-matters-combating-high-blood-pressure</w:t>
        </w:r>
      </w:hyperlink>
      <w:r w:rsidRPr="00A7088B">
        <w:rPr>
          <w:sz w:val="24"/>
          <w:szCs w:val="24"/>
          <w:highlight w:val="white"/>
        </w:rPr>
        <w:t>. [Accessed on: 15.10.2025].</w:t>
      </w:r>
    </w:p>
    <w:p w14:paraId="3F25FEC3"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Hammersley, V., Parker, R., Paterson, M., Hanley, J., Pinnock, H., Padfield, P., Stoddart, A., Park, H.G., Sheikh, A. and McKinstry, B., 2020. Telemonitoring at scale for hypertension in primary care: an implementation study. </w:t>
      </w:r>
      <w:r w:rsidRPr="00A7088B">
        <w:rPr>
          <w:i/>
          <w:color w:val="222222"/>
          <w:sz w:val="24"/>
          <w:szCs w:val="24"/>
          <w:highlight w:val="white"/>
        </w:rPr>
        <w:t>PLoS medicine</w:t>
      </w:r>
      <w:r w:rsidRPr="00A7088B">
        <w:rPr>
          <w:color w:val="222222"/>
          <w:sz w:val="24"/>
          <w:szCs w:val="24"/>
          <w:highlight w:val="white"/>
        </w:rPr>
        <w:t xml:space="preserve">, </w:t>
      </w:r>
      <w:r w:rsidRPr="00A7088B">
        <w:rPr>
          <w:i/>
          <w:color w:val="222222"/>
          <w:sz w:val="24"/>
          <w:szCs w:val="24"/>
          <w:highlight w:val="white"/>
        </w:rPr>
        <w:t>17</w:t>
      </w:r>
      <w:r w:rsidRPr="00A7088B">
        <w:rPr>
          <w:color w:val="222222"/>
          <w:sz w:val="24"/>
          <w:szCs w:val="24"/>
          <w:highlight w:val="white"/>
        </w:rPr>
        <w:t>(6), p.e1003124.</w:t>
      </w:r>
    </w:p>
    <w:p w14:paraId="2FAB4F64"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Hong, D. and Shan, W., 2021. Improvement in hypertension management with pharmacological and non-pharmacological approaches: current perspectives. </w:t>
      </w:r>
      <w:r w:rsidRPr="00A7088B">
        <w:rPr>
          <w:i/>
          <w:color w:val="222222"/>
          <w:sz w:val="24"/>
          <w:szCs w:val="24"/>
          <w:highlight w:val="white"/>
        </w:rPr>
        <w:t>Current Pharmaceutical Design</w:t>
      </w:r>
      <w:r w:rsidRPr="00A7088B">
        <w:rPr>
          <w:color w:val="222222"/>
          <w:sz w:val="24"/>
          <w:szCs w:val="24"/>
          <w:highlight w:val="white"/>
        </w:rPr>
        <w:t xml:space="preserve">, </w:t>
      </w:r>
      <w:r w:rsidRPr="00A7088B">
        <w:rPr>
          <w:i/>
          <w:color w:val="222222"/>
          <w:sz w:val="24"/>
          <w:szCs w:val="24"/>
          <w:highlight w:val="white"/>
        </w:rPr>
        <w:t>27</w:t>
      </w:r>
      <w:r w:rsidRPr="00A7088B">
        <w:rPr>
          <w:color w:val="222222"/>
          <w:sz w:val="24"/>
          <w:szCs w:val="24"/>
          <w:highlight w:val="white"/>
        </w:rPr>
        <w:t>(4), pp.548-555.</w:t>
      </w:r>
    </w:p>
    <w:p w14:paraId="5A116CEB"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Jeemon, P., Séverin, T., Amodeo, C., Balabanova, D., Campbell, N.R., Gaita, D., Kario, K., Khan, T., Melifonwu, R., Moran, A. and Ogola, E., 2021. World heart federation roadmap for hypertension–A 2021 update. </w:t>
      </w:r>
      <w:r w:rsidRPr="00A7088B">
        <w:rPr>
          <w:i/>
          <w:color w:val="222222"/>
          <w:sz w:val="24"/>
          <w:szCs w:val="24"/>
          <w:highlight w:val="white"/>
        </w:rPr>
        <w:t>Global Heart</w:t>
      </w:r>
      <w:r w:rsidRPr="00A7088B">
        <w:rPr>
          <w:color w:val="222222"/>
          <w:sz w:val="24"/>
          <w:szCs w:val="24"/>
          <w:highlight w:val="white"/>
        </w:rPr>
        <w:t xml:space="preserve">, </w:t>
      </w:r>
      <w:r w:rsidRPr="00A7088B">
        <w:rPr>
          <w:i/>
          <w:color w:val="222222"/>
          <w:sz w:val="24"/>
          <w:szCs w:val="24"/>
          <w:highlight w:val="white"/>
        </w:rPr>
        <w:t>16</w:t>
      </w:r>
      <w:r w:rsidRPr="00A7088B">
        <w:rPr>
          <w:color w:val="222222"/>
          <w:sz w:val="24"/>
          <w:szCs w:val="24"/>
          <w:highlight w:val="white"/>
        </w:rPr>
        <w:t>(1), p.63.</w:t>
      </w:r>
    </w:p>
    <w:p w14:paraId="698C590C"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Jones, N.R., McCormack, T., Constanti, M. and McManus, R.J., 2020. Diagnosis and management of hypertension in adults: NICE guideline update 2019. </w:t>
      </w:r>
      <w:r w:rsidRPr="00A7088B">
        <w:rPr>
          <w:i/>
          <w:color w:val="222222"/>
          <w:sz w:val="24"/>
          <w:szCs w:val="24"/>
          <w:highlight w:val="white"/>
        </w:rPr>
        <w:t>The British Journal of General Practice</w:t>
      </w:r>
      <w:r w:rsidRPr="00A7088B">
        <w:rPr>
          <w:color w:val="222222"/>
          <w:sz w:val="24"/>
          <w:szCs w:val="24"/>
          <w:highlight w:val="white"/>
        </w:rPr>
        <w:t xml:space="preserve">, </w:t>
      </w:r>
      <w:r w:rsidRPr="00A7088B">
        <w:rPr>
          <w:i/>
          <w:color w:val="222222"/>
          <w:sz w:val="24"/>
          <w:szCs w:val="24"/>
          <w:highlight w:val="white"/>
        </w:rPr>
        <w:t>70</w:t>
      </w:r>
      <w:r w:rsidRPr="00A7088B">
        <w:rPr>
          <w:color w:val="222222"/>
          <w:sz w:val="24"/>
          <w:szCs w:val="24"/>
          <w:highlight w:val="white"/>
        </w:rPr>
        <w:t>(691), p.90.</w:t>
      </w:r>
    </w:p>
    <w:p w14:paraId="48410DDB"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Lay-Flurrie, S.L., Sheppard, J.P., Stevens, R.J., Mallen, C., Heneghan, C., Hobbs, F.R., Williams, B., Mant, J. and McManus, R.J., 2020. Impact of changes to national hypertension guidelines on hypertension management and outcomes in the United Kingdom. </w:t>
      </w:r>
      <w:r w:rsidRPr="00A7088B">
        <w:rPr>
          <w:i/>
          <w:color w:val="222222"/>
          <w:sz w:val="24"/>
          <w:szCs w:val="24"/>
          <w:highlight w:val="white"/>
        </w:rPr>
        <w:t>Hypertension</w:t>
      </w:r>
      <w:r w:rsidRPr="00A7088B">
        <w:rPr>
          <w:color w:val="222222"/>
          <w:sz w:val="24"/>
          <w:szCs w:val="24"/>
          <w:highlight w:val="white"/>
        </w:rPr>
        <w:t xml:space="preserve">, </w:t>
      </w:r>
      <w:r w:rsidRPr="00A7088B">
        <w:rPr>
          <w:i/>
          <w:color w:val="222222"/>
          <w:sz w:val="24"/>
          <w:szCs w:val="24"/>
          <w:highlight w:val="white"/>
        </w:rPr>
        <w:t>75</w:t>
      </w:r>
      <w:r w:rsidRPr="00A7088B">
        <w:rPr>
          <w:color w:val="222222"/>
          <w:sz w:val="24"/>
          <w:szCs w:val="24"/>
          <w:highlight w:val="white"/>
        </w:rPr>
        <w:t>(2), pp.356-364.</w:t>
      </w:r>
    </w:p>
    <w:p w14:paraId="02BD6500"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Lemp, J.M., Nuthanapati, M.P., Bärnighausen, T.W., Vollmer, S., Geldsetzer, P. and Jani, A., 2022. Use of lifestyle interventions in primary care for individuals with newly diagnosed hypertension, hyperlipidaemia or obesity: a retrospective cohort study. </w:t>
      </w:r>
      <w:r w:rsidRPr="00A7088B">
        <w:rPr>
          <w:i/>
          <w:color w:val="222222"/>
          <w:sz w:val="24"/>
          <w:szCs w:val="24"/>
          <w:highlight w:val="white"/>
        </w:rPr>
        <w:t>Journal of the Royal Society of Medicine</w:t>
      </w:r>
      <w:r w:rsidRPr="00A7088B">
        <w:rPr>
          <w:color w:val="222222"/>
          <w:sz w:val="24"/>
          <w:szCs w:val="24"/>
          <w:highlight w:val="white"/>
        </w:rPr>
        <w:t xml:space="preserve">, </w:t>
      </w:r>
      <w:r w:rsidRPr="00A7088B">
        <w:rPr>
          <w:i/>
          <w:color w:val="222222"/>
          <w:sz w:val="24"/>
          <w:szCs w:val="24"/>
          <w:highlight w:val="white"/>
        </w:rPr>
        <w:t>115</w:t>
      </w:r>
      <w:r w:rsidRPr="00A7088B">
        <w:rPr>
          <w:color w:val="222222"/>
          <w:sz w:val="24"/>
          <w:szCs w:val="24"/>
          <w:highlight w:val="white"/>
        </w:rPr>
        <w:t>(8), pp.289-299.</w:t>
      </w:r>
    </w:p>
    <w:p w14:paraId="36D86DB1"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Lewis, P., George, J., Kapil, V., Poulter, N.R., Partridge, S., Goodman, J., Faconti, L., McCormack, T. and Wilkinson, I.B., 2024. Adult hypertension referral pathway and therapeutic management: British and Irish Hypertension Society position statement. </w:t>
      </w:r>
      <w:r w:rsidRPr="00A7088B">
        <w:rPr>
          <w:i/>
          <w:color w:val="222222"/>
          <w:sz w:val="24"/>
          <w:szCs w:val="24"/>
          <w:highlight w:val="white"/>
        </w:rPr>
        <w:t>Journal of Human Hypertension</w:t>
      </w:r>
      <w:r w:rsidRPr="00A7088B">
        <w:rPr>
          <w:color w:val="222222"/>
          <w:sz w:val="24"/>
          <w:szCs w:val="24"/>
          <w:highlight w:val="white"/>
        </w:rPr>
        <w:t xml:space="preserve">, </w:t>
      </w:r>
      <w:r w:rsidRPr="00A7088B">
        <w:rPr>
          <w:i/>
          <w:color w:val="222222"/>
          <w:sz w:val="24"/>
          <w:szCs w:val="24"/>
          <w:highlight w:val="white"/>
        </w:rPr>
        <w:t>38</w:t>
      </w:r>
      <w:r w:rsidRPr="00A7088B">
        <w:rPr>
          <w:color w:val="222222"/>
          <w:sz w:val="24"/>
          <w:szCs w:val="24"/>
          <w:highlight w:val="white"/>
        </w:rPr>
        <w:t>(1), pp.3-7.</w:t>
      </w:r>
    </w:p>
    <w:p w14:paraId="27F4FE17"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Li, X., Zeng, J., Chen, B., Fan, M., Wang, J., Wei, L., Ren, Y. and Xu, S., 2024. Effects of the timing of intense physical activity on hypertension risk in a general population: a UK Biobank study. </w:t>
      </w:r>
      <w:r w:rsidRPr="00A7088B">
        <w:rPr>
          <w:i/>
          <w:color w:val="222222"/>
          <w:sz w:val="24"/>
          <w:szCs w:val="24"/>
          <w:highlight w:val="white"/>
        </w:rPr>
        <w:t>Current Hypertension Reports</w:t>
      </w:r>
      <w:r w:rsidRPr="00A7088B">
        <w:rPr>
          <w:color w:val="222222"/>
          <w:sz w:val="24"/>
          <w:szCs w:val="24"/>
          <w:highlight w:val="white"/>
        </w:rPr>
        <w:t xml:space="preserve">, </w:t>
      </w:r>
      <w:r w:rsidRPr="00A7088B">
        <w:rPr>
          <w:i/>
          <w:color w:val="222222"/>
          <w:sz w:val="24"/>
          <w:szCs w:val="24"/>
          <w:highlight w:val="white"/>
        </w:rPr>
        <w:t>26</w:t>
      </w:r>
      <w:r w:rsidRPr="00A7088B">
        <w:rPr>
          <w:color w:val="222222"/>
          <w:sz w:val="24"/>
          <w:szCs w:val="24"/>
          <w:highlight w:val="white"/>
        </w:rPr>
        <w:t>(2), pp.81-90.</w:t>
      </w:r>
    </w:p>
    <w:p w14:paraId="7CC47A37"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McManus, R.J., Little, P., Stuart, B., Morton, K., Raftery, J., Kelly, J., Bradbury, K., Zhang, J., Zhu, S., Murray, E. and May, C.R., 2021. Home and Online Management and Evaluation of Blood Pressure (HOME BP) using a digital intervention in poorly controlled hypertension: randomised controlled trial. BMJ, </w:t>
      </w:r>
      <w:r w:rsidRPr="00A7088B">
        <w:rPr>
          <w:i/>
          <w:color w:val="222222"/>
          <w:sz w:val="24"/>
          <w:szCs w:val="24"/>
          <w:highlight w:val="white"/>
        </w:rPr>
        <w:t>372</w:t>
      </w:r>
      <w:r w:rsidRPr="00A7088B">
        <w:rPr>
          <w:color w:val="222222"/>
          <w:sz w:val="24"/>
          <w:szCs w:val="24"/>
          <w:highlight w:val="white"/>
        </w:rPr>
        <w:t>.</w:t>
      </w:r>
    </w:p>
    <w:p w14:paraId="18918339"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Mills, K.T., Stefanescu, A. and He, J., 2020. The global epidemiology of hypertension. </w:t>
      </w:r>
      <w:r w:rsidRPr="00A7088B">
        <w:rPr>
          <w:i/>
          <w:color w:val="222222"/>
          <w:sz w:val="24"/>
          <w:szCs w:val="24"/>
          <w:highlight w:val="white"/>
        </w:rPr>
        <w:t>Nature Reviews Nephrology</w:t>
      </w:r>
      <w:r w:rsidRPr="00A7088B">
        <w:rPr>
          <w:color w:val="222222"/>
          <w:sz w:val="24"/>
          <w:szCs w:val="24"/>
          <w:highlight w:val="white"/>
        </w:rPr>
        <w:t xml:space="preserve">, </w:t>
      </w:r>
      <w:r w:rsidRPr="00A7088B">
        <w:rPr>
          <w:i/>
          <w:color w:val="222222"/>
          <w:sz w:val="24"/>
          <w:szCs w:val="24"/>
          <w:highlight w:val="white"/>
        </w:rPr>
        <w:t>16</w:t>
      </w:r>
      <w:r w:rsidRPr="00A7088B">
        <w:rPr>
          <w:color w:val="222222"/>
          <w:sz w:val="24"/>
          <w:szCs w:val="24"/>
          <w:highlight w:val="white"/>
        </w:rPr>
        <w:t>(4), pp.223-237.</w:t>
      </w:r>
    </w:p>
    <w:p w14:paraId="2163E345" w14:textId="77777777" w:rsidR="00A7088B" w:rsidRPr="00A7088B" w:rsidRDefault="00A7088B" w:rsidP="00A7088B">
      <w:pPr>
        <w:spacing w:before="240" w:after="240" w:line="360" w:lineRule="auto"/>
        <w:jc w:val="both"/>
        <w:rPr>
          <w:sz w:val="24"/>
          <w:szCs w:val="24"/>
          <w:highlight w:val="white"/>
        </w:rPr>
      </w:pPr>
      <w:r w:rsidRPr="00A7088B">
        <w:rPr>
          <w:color w:val="222222"/>
          <w:sz w:val="24"/>
          <w:szCs w:val="24"/>
          <w:highlight w:val="white"/>
        </w:rPr>
        <w:t>NHS England (2025).</w:t>
      </w:r>
      <w:r w:rsidRPr="00A7088B">
        <w:rPr>
          <w:i/>
          <w:sz w:val="24"/>
          <w:szCs w:val="24"/>
          <w:highlight w:val="white"/>
        </w:rPr>
        <w:t xml:space="preserve"> Health Survey for England, 2021, part 2. </w:t>
      </w:r>
      <w:r w:rsidRPr="00A7088B">
        <w:rPr>
          <w:sz w:val="24"/>
          <w:szCs w:val="24"/>
          <w:highlight w:val="white"/>
        </w:rPr>
        <w:t xml:space="preserve">Available at: </w:t>
      </w:r>
      <w:hyperlink r:id="rId31">
        <w:r w:rsidRPr="00A7088B">
          <w:rPr>
            <w:color w:val="1155CC"/>
            <w:sz w:val="24"/>
            <w:szCs w:val="24"/>
            <w:highlight w:val="white"/>
            <w:u w:val="single"/>
          </w:rPr>
          <w:t>https://digital.nhs.uk/data-and-information/publications/statistical/health-survey-for-england/2021-part-2/adult-health-hypertension</w:t>
        </w:r>
      </w:hyperlink>
      <w:r w:rsidRPr="00A7088B">
        <w:rPr>
          <w:sz w:val="24"/>
          <w:szCs w:val="24"/>
          <w:highlight w:val="white"/>
        </w:rPr>
        <w:t>. [Accessed on: 15.10.2025].</w:t>
      </w:r>
    </w:p>
    <w:p w14:paraId="1012A570"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Petrelli, F., Cangelosi, G., Nittari, G., Pantanetti, P., Debernardi, G., Scuri, S., Sagaro, G.G., Nguyen, C.T.T. and Grappasonni, I., 2021. Chronic Care Model in Italy: a narrative review of the literature. </w:t>
      </w:r>
      <w:r w:rsidRPr="00A7088B">
        <w:rPr>
          <w:i/>
          <w:color w:val="222222"/>
          <w:sz w:val="24"/>
          <w:szCs w:val="24"/>
          <w:highlight w:val="white"/>
        </w:rPr>
        <w:t>Primary Health Care Research &amp; Development</w:t>
      </w:r>
      <w:r w:rsidRPr="00A7088B">
        <w:rPr>
          <w:color w:val="222222"/>
          <w:sz w:val="24"/>
          <w:szCs w:val="24"/>
          <w:highlight w:val="white"/>
        </w:rPr>
        <w:t xml:space="preserve">, </w:t>
      </w:r>
      <w:r w:rsidRPr="00A7088B">
        <w:rPr>
          <w:i/>
          <w:color w:val="222222"/>
          <w:sz w:val="24"/>
          <w:szCs w:val="24"/>
          <w:highlight w:val="white"/>
        </w:rPr>
        <w:t>22</w:t>
      </w:r>
      <w:r w:rsidRPr="00A7088B">
        <w:rPr>
          <w:color w:val="222222"/>
          <w:sz w:val="24"/>
          <w:szCs w:val="24"/>
          <w:highlight w:val="white"/>
        </w:rPr>
        <w:t>, p.e32.</w:t>
      </w:r>
    </w:p>
    <w:p w14:paraId="36616539"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Rawlings, G.H., Beail, N., Condliffe, R., Kiely, D.G., Thompson, A.R., Sabroe, I. and Armstrong, I., 2022. Examining the impact of pulmonary hypertension on nonprofessional caregivers: a mixed</w:t>
      </w:r>
      <w:r w:rsidRPr="00A7088B">
        <w:rPr>
          <w:rFonts w:ascii="Cambria Math" w:hAnsi="Cambria Math" w:cs="Cambria Math"/>
          <w:color w:val="222222"/>
          <w:sz w:val="24"/>
          <w:szCs w:val="24"/>
          <w:highlight w:val="white"/>
        </w:rPr>
        <w:t>‐</w:t>
      </w:r>
      <w:r w:rsidRPr="00A7088B">
        <w:rPr>
          <w:color w:val="222222"/>
          <w:sz w:val="24"/>
          <w:szCs w:val="24"/>
          <w:highlight w:val="white"/>
        </w:rPr>
        <w:t xml:space="preserve">methods systematic review. </w:t>
      </w:r>
      <w:r w:rsidRPr="00A7088B">
        <w:rPr>
          <w:i/>
          <w:color w:val="222222"/>
          <w:sz w:val="24"/>
          <w:szCs w:val="24"/>
          <w:highlight w:val="white"/>
        </w:rPr>
        <w:t>Pulmonary Circulation</w:t>
      </w:r>
      <w:r w:rsidRPr="00A7088B">
        <w:rPr>
          <w:color w:val="222222"/>
          <w:sz w:val="24"/>
          <w:szCs w:val="24"/>
          <w:highlight w:val="white"/>
        </w:rPr>
        <w:t xml:space="preserve">, </w:t>
      </w:r>
      <w:r w:rsidRPr="00A7088B">
        <w:rPr>
          <w:i/>
          <w:color w:val="222222"/>
          <w:sz w:val="24"/>
          <w:szCs w:val="24"/>
          <w:highlight w:val="white"/>
        </w:rPr>
        <w:t>12</w:t>
      </w:r>
      <w:r w:rsidRPr="00A7088B">
        <w:rPr>
          <w:color w:val="222222"/>
          <w:sz w:val="24"/>
          <w:szCs w:val="24"/>
          <w:highlight w:val="white"/>
        </w:rPr>
        <w:t>(2), p.e12077.</w:t>
      </w:r>
    </w:p>
    <w:p w14:paraId="517503A3"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Sawyer, A.T. and McManus, K., 2021. Understanding patient experiences in a motivational interviewing intervention to improve whole-person lifestyle among individuals with hypertension or type 2 diabetes: a qualitative focus group study. </w:t>
      </w:r>
      <w:r w:rsidRPr="00A7088B">
        <w:rPr>
          <w:i/>
          <w:color w:val="222222"/>
          <w:sz w:val="24"/>
          <w:szCs w:val="24"/>
          <w:highlight w:val="white"/>
        </w:rPr>
        <w:t>International journal of qualitative studies on health and well-being</w:t>
      </w:r>
      <w:r w:rsidRPr="00A7088B">
        <w:rPr>
          <w:color w:val="222222"/>
          <w:sz w:val="24"/>
          <w:szCs w:val="24"/>
          <w:highlight w:val="white"/>
        </w:rPr>
        <w:t xml:space="preserve">, </w:t>
      </w:r>
      <w:r w:rsidRPr="00A7088B">
        <w:rPr>
          <w:i/>
          <w:color w:val="222222"/>
          <w:sz w:val="24"/>
          <w:szCs w:val="24"/>
          <w:highlight w:val="white"/>
        </w:rPr>
        <w:t>16</w:t>
      </w:r>
      <w:r w:rsidRPr="00A7088B">
        <w:rPr>
          <w:color w:val="222222"/>
          <w:sz w:val="24"/>
          <w:szCs w:val="24"/>
          <w:highlight w:val="white"/>
        </w:rPr>
        <w:t>(1), p.1978373.</w:t>
      </w:r>
    </w:p>
    <w:p w14:paraId="11196C71"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Schutte, A.E., Jafar, T.H., Poulter, N.R., Damasceno, A., Khan, N.A., Nilsson, P.M., Alsaid, J., Neupane, D., Kario, K., Beheiry, H. and Brouwers, S., 2023. Addressing global disparities in blood pressure control: perspectives of the International Society of Hypertension. </w:t>
      </w:r>
      <w:r w:rsidRPr="00A7088B">
        <w:rPr>
          <w:i/>
          <w:color w:val="222222"/>
          <w:sz w:val="24"/>
          <w:szCs w:val="24"/>
          <w:highlight w:val="white"/>
        </w:rPr>
        <w:t>Cardiovascular research</w:t>
      </w:r>
      <w:r w:rsidRPr="00A7088B">
        <w:rPr>
          <w:color w:val="222222"/>
          <w:sz w:val="24"/>
          <w:szCs w:val="24"/>
          <w:highlight w:val="white"/>
        </w:rPr>
        <w:t xml:space="preserve">, </w:t>
      </w:r>
      <w:r w:rsidRPr="00A7088B">
        <w:rPr>
          <w:i/>
          <w:color w:val="222222"/>
          <w:sz w:val="24"/>
          <w:szCs w:val="24"/>
          <w:highlight w:val="white"/>
        </w:rPr>
        <w:t>119</w:t>
      </w:r>
      <w:r w:rsidRPr="00A7088B">
        <w:rPr>
          <w:color w:val="222222"/>
          <w:sz w:val="24"/>
          <w:szCs w:val="24"/>
          <w:highlight w:val="white"/>
        </w:rPr>
        <w:t>(2), pp.381-409.</w:t>
      </w:r>
    </w:p>
    <w:p w14:paraId="1761F7EE"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Tapela, N., Collister, J., Clifton, L., Turnbull, I., Rahimi, K. and Hunter, D.J., 2021. Prevalence and determinants of hypertension control among almost 100,000 treated adults in the UK. </w:t>
      </w:r>
      <w:r w:rsidRPr="00A7088B">
        <w:rPr>
          <w:i/>
          <w:color w:val="222222"/>
          <w:sz w:val="24"/>
          <w:szCs w:val="24"/>
          <w:highlight w:val="white"/>
        </w:rPr>
        <w:t>Open heart</w:t>
      </w:r>
      <w:r w:rsidRPr="00A7088B">
        <w:rPr>
          <w:color w:val="222222"/>
          <w:sz w:val="24"/>
          <w:szCs w:val="24"/>
          <w:highlight w:val="white"/>
        </w:rPr>
        <w:t xml:space="preserve">, </w:t>
      </w:r>
      <w:r w:rsidRPr="00A7088B">
        <w:rPr>
          <w:i/>
          <w:color w:val="222222"/>
          <w:sz w:val="24"/>
          <w:szCs w:val="24"/>
          <w:highlight w:val="white"/>
        </w:rPr>
        <w:t>8</w:t>
      </w:r>
      <w:r w:rsidRPr="00A7088B">
        <w:rPr>
          <w:color w:val="222222"/>
          <w:sz w:val="24"/>
          <w:szCs w:val="24"/>
          <w:highlight w:val="white"/>
        </w:rPr>
        <w:t>(1), p.e001461.</w:t>
      </w:r>
    </w:p>
    <w:p w14:paraId="247126E0"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Valenzuela, P.L., Carrera-Bastos, P., Gálvez, B.G., Ruiz-Hurtado, G., Ordovas, J.M., Ruilope, L.M. and Lucia, A., 2021. Lifestyle interventions for the prevention and treatment of hypertension. </w:t>
      </w:r>
      <w:r w:rsidRPr="00A7088B">
        <w:rPr>
          <w:i/>
          <w:color w:val="222222"/>
          <w:sz w:val="24"/>
          <w:szCs w:val="24"/>
          <w:highlight w:val="white"/>
        </w:rPr>
        <w:t>Nature Reviews Cardiology</w:t>
      </w:r>
      <w:r w:rsidRPr="00A7088B">
        <w:rPr>
          <w:color w:val="222222"/>
          <w:sz w:val="24"/>
          <w:szCs w:val="24"/>
          <w:highlight w:val="white"/>
        </w:rPr>
        <w:t xml:space="preserve">, </w:t>
      </w:r>
      <w:r w:rsidRPr="00A7088B">
        <w:rPr>
          <w:i/>
          <w:color w:val="222222"/>
          <w:sz w:val="24"/>
          <w:szCs w:val="24"/>
          <w:highlight w:val="white"/>
        </w:rPr>
        <w:t>18</w:t>
      </w:r>
      <w:r w:rsidRPr="00A7088B">
        <w:rPr>
          <w:color w:val="222222"/>
          <w:sz w:val="24"/>
          <w:szCs w:val="24"/>
          <w:highlight w:val="white"/>
        </w:rPr>
        <w:t>(4), pp.251-275.</w:t>
      </w:r>
    </w:p>
    <w:p w14:paraId="23ED28CF" w14:textId="77777777" w:rsidR="00A7088B" w:rsidRPr="00A7088B" w:rsidRDefault="00A7088B" w:rsidP="00A7088B">
      <w:pPr>
        <w:spacing w:before="240" w:after="240" w:line="360" w:lineRule="auto"/>
        <w:jc w:val="both"/>
        <w:rPr>
          <w:color w:val="222222"/>
          <w:sz w:val="24"/>
          <w:szCs w:val="24"/>
          <w:highlight w:val="white"/>
        </w:rPr>
      </w:pPr>
      <w:r w:rsidRPr="00A7088B">
        <w:rPr>
          <w:color w:val="222222"/>
          <w:sz w:val="24"/>
          <w:szCs w:val="24"/>
          <w:highlight w:val="white"/>
        </w:rPr>
        <w:t xml:space="preserve">van Oort, S., Beulens, J.W., van Ballegooijen, A.J., Grobbee, D.E. and Larsson, S.C., 2020. Association of cardiovascular risk factors and lifestyle behaviours with hypertension: a Mendelian randomisation study. </w:t>
      </w:r>
      <w:r w:rsidRPr="00A7088B">
        <w:rPr>
          <w:i/>
          <w:color w:val="222222"/>
          <w:sz w:val="24"/>
          <w:szCs w:val="24"/>
          <w:highlight w:val="white"/>
        </w:rPr>
        <w:t>Hypertension</w:t>
      </w:r>
      <w:r w:rsidRPr="00A7088B">
        <w:rPr>
          <w:color w:val="222222"/>
          <w:sz w:val="24"/>
          <w:szCs w:val="24"/>
          <w:highlight w:val="white"/>
        </w:rPr>
        <w:t xml:space="preserve">, </w:t>
      </w:r>
      <w:r w:rsidRPr="00A7088B">
        <w:rPr>
          <w:i/>
          <w:color w:val="222222"/>
          <w:sz w:val="24"/>
          <w:szCs w:val="24"/>
          <w:highlight w:val="white"/>
        </w:rPr>
        <w:t>76</w:t>
      </w:r>
      <w:r w:rsidRPr="00A7088B">
        <w:rPr>
          <w:color w:val="222222"/>
          <w:sz w:val="24"/>
          <w:szCs w:val="24"/>
          <w:highlight w:val="white"/>
        </w:rPr>
        <w:t>(6), pp.1971-1979.</w:t>
      </w:r>
    </w:p>
    <w:p w14:paraId="5984D362" w14:textId="34D14E79" w:rsidR="00206F26" w:rsidRPr="00A7088B" w:rsidRDefault="00A7088B" w:rsidP="00A7088B">
      <w:pPr>
        <w:spacing w:before="240" w:after="240" w:line="360" w:lineRule="auto"/>
        <w:jc w:val="both"/>
        <w:rPr>
          <w:i/>
          <w:sz w:val="24"/>
          <w:szCs w:val="24"/>
          <w:highlight w:val="white"/>
        </w:rPr>
      </w:pPr>
      <w:r w:rsidRPr="00A7088B">
        <w:rPr>
          <w:sz w:val="24"/>
          <w:szCs w:val="24"/>
          <w:highlight w:val="white"/>
        </w:rPr>
        <w:t xml:space="preserve">WHO (2023). </w:t>
      </w:r>
      <w:r w:rsidRPr="00A7088B">
        <w:rPr>
          <w:i/>
          <w:sz w:val="24"/>
          <w:szCs w:val="24"/>
          <w:highlight w:val="white"/>
        </w:rPr>
        <w:t xml:space="preserve">Hypertension United Kingdom of Great Britain and Northern Ireland  2023 country profile. </w:t>
      </w:r>
      <w:r w:rsidRPr="00A7088B">
        <w:rPr>
          <w:sz w:val="24"/>
          <w:szCs w:val="24"/>
          <w:highlight w:val="white"/>
        </w:rPr>
        <w:t xml:space="preserve">Available at: </w:t>
      </w:r>
      <w:hyperlink r:id="rId32">
        <w:r w:rsidRPr="00A7088B">
          <w:rPr>
            <w:color w:val="1155CC"/>
            <w:sz w:val="24"/>
            <w:szCs w:val="24"/>
            <w:highlight w:val="white"/>
            <w:u w:val="single"/>
          </w:rPr>
          <w:t>https://www.who.int/publications/m/item/hypertension-gbr-2023-country-profile</w:t>
        </w:r>
      </w:hyperlink>
      <w:r w:rsidRPr="00A7088B">
        <w:rPr>
          <w:sz w:val="24"/>
          <w:szCs w:val="24"/>
          <w:highlight w:val="white"/>
        </w:rPr>
        <w:t>. [Accessed on: 15.10.2025]</w:t>
      </w:r>
    </w:p>
    <w:sectPr w:rsidR="00206F26" w:rsidRPr="00A7088B" w:rsidSect="00A7088B">
      <w:footerReference w:type="default" r:id="rId3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DF81EC" w14:textId="77777777" w:rsidR="004E27C3" w:rsidRDefault="004E27C3" w:rsidP="00A7088B">
      <w:pPr>
        <w:spacing w:line="240" w:lineRule="auto"/>
      </w:pPr>
      <w:r>
        <w:separator/>
      </w:r>
    </w:p>
  </w:endnote>
  <w:endnote w:type="continuationSeparator" w:id="0">
    <w:p w14:paraId="3C7B9249" w14:textId="77777777" w:rsidR="004E27C3" w:rsidRDefault="004E27C3" w:rsidP="00A708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2061060"/>
      <w:docPartObj>
        <w:docPartGallery w:val="Page Numbers (Bottom of Page)"/>
        <w:docPartUnique/>
      </w:docPartObj>
    </w:sdtPr>
    <w:sdtEndPr>
      <w:rPr>
        <w:noProof/>
      </w:rPr>
    </w:sdtEndPr>
    <w:sdtContent>
      <w:p w14:paraId="5230C73F" w14:textId="7E76555F" w:rsidR="00A7088B" w:rsidRDefault="00A708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779621" w14:textId="77777777" w:rsidR="00A7088B" w:rsidRDefault="00A708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0C9369" w14:textId="77777777" w:rsidR="004E27C3" w:rsidRDefault="004E27C3" w:rsidP="00A7088B">
      <w:pPr>
        <w:spacing w:line="240" w:lineRule="auto"/>
      </w:pPr>
      <w:r>
        <w:separator/>
      </w:r>
    </w:p>
  </w:footnote>
  <w:footnote w:type="continuationSeparator" w:id="0">
    <w:p w14:paraId="4CDA6698" w14:textId="77777777" w:rsidR="004E27C3" w:rsidRDefault="004E27C3" w:rsidP="00A7088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7B7DCF"/>
    <w:multiLevelType w:val="hybridMultilevel"/>
    <w:tmpl w:val="68BA41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68794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4"/>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6F26"/>
    <w:rsid w:val="00023B3D"/>
    <w:rsid w:val="000D058E"/>
    <w:rsid w:val="00143DCC"/>
    <w:rsid w:val="00206F26"/>
    <w:rsid w:val="00350E5F"/>
    <w:rsid w:val="004E27C3"/>
    <w:rsid w:val="005E467D"/>
    <w:rsid w:val="00710836"/>
    <w:rsid w:val="007D6537"/>
    <w:rsid w:val="008A3A77"/>
    <w:rsid w:val="00A7088B"/>
    <w:rsid w:val="00F83D9D"/>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09B9C"/>
  <w15:docId w15:val="{19054422-03C8-4489-8132-2F6F7F197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240" w:line="360" w:lineRule="auto"/>
      <w:jc w:val="both"/>
      <w:outlineLvl w:val="0"/>
    </w:pPr>
    <w:rPr>
      <w:b/>
      <w:sz w:val="28"/>
      <w:szCs w:val="28"/>
    </w:rPr>
  </w:style>
  <w:style w:type="paragraph" w:styleId="Heading2">
    <w:name w:val="heading 2"/>
    <w:basedOn w:val="Normal"/>
    <w:next w:val="Normal"/>
    <w:pPr>
      <w:keepNext/>
      <w:keepLines/>
      <w:spacing w:before="280" w:line="360" w:lineRule="auto"/>
      <w:jc w:val="both"/>
      <w:outlineLvl w:val="1"/>
    </w:pPr>
    <w:rPr>
      <w:b/>
      <w:sz w:val="26"/>
      <w:szCs w:val="26"/>
      <w:highlight w:val="white"/>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A7088B"/>
    <w:pPr>
      <w:ind w:left="720"/>
      <w:contextualSpacing/>
    </w:pPr>
  </w:style>
  <w:style w:type="paragraph" w:styleId="Header">
    <w:name w:val="header"/>
    <w:basedOn w:val="Normal"/>
    <w:link w:val="HeaderChar"/>
    <w:uiPriority w:val="99"/>
    <w:unhideWhenUsed/>
    <w:rsid w:val="00A7088B"/>
    <w:pPr>
      <w:tabs>
        <w:tab w:val="center" w:pos="4513"/>
        <w:tab w:val="right" w:pos="9026"/>
      </w:tabs>
      <w:spacing w:line="240" w:lineRule="auto"/>
    </w:pPr>
  </w:style>
  <w:style w:type="character" w:customStyle="1" w:styleId="HeaderChar">
    <w:name w:val="Header Char"/>
    <w:basedOn w:val="DefaultParagraphFont"/>
    <w:link w:val="Header"/>
    <w:uiPriority w:val="99"/>
    <w:rsid w:val="00A7088B"/>
  </w:style>
  <w:style w:type="paragraph" w:styleId="Footer">
    <w:name w:val="footer"/>
    <w:basedOn w:val="Normal"/>
    <w:link w:val="FooterChar"/>
    <w:uiPriority w:val="99"/>
    <w:unhideWhenUsed/>
    <w:rsid w:val="00A7088B"/>
    <w:pPr>
      <w:tabs>
        <w:tab w:val="center" w:pos="4513"/>
        <w:tab w:val="right" w:pos="9026"/>
      </w:tabs>
      <w:spacing w:line="240" w:lineRule="auto"/>
    </w:pPr>
  </w:style>
  <w:style w:type="character" w:customStyle="1" w:styleId="FooterChar">
    <w:name w:val="Footer Char"/>
    <w:basedOn w:val="DefaultParagraphFont"/>
    <w:link w:val="Footer"/>
    <w:uiPriority w:val="99"/>
    <w:rsid w:val="00A7088B"/>
  </w:style>
  <w:style w:type="paragraph" w:styleId="TOCHeading">
    <w:name w:val="TOC Heading"/>
    <w:basedOn w:val="Heading1"/>
    <w:next w:val="Normal"/>
    <w:uiPriority w:val="39"/>
    <w:unhideWhenUsed/>
    <w:qFormat/>
    <w:rsid w:val="00A7088B"/>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3">
    <w:name w:val="toc 3"/>
    <w:basedOn w:val="Normal"/>
    <w:next w:val="Normal"/>
    <w:autoRedefine/>
    <w:uiPriority w:val="39"/>
    <w:unhideWhenUsed/>
    <w:rsid w:val="00A7088B"/>
    <w:pPr>
      <w:spacing w:after="100"/>
      <w:ind w:left="440"/>
    </w:pPr>
  </w:style>
  <w:style w:type="paragraph" w:styleId="TOC1">
    <w:name w:val="toc 1"/>
    <w:basedOn w:val="Normal"/>
    <w:next w:val="Normal"/>
    <w:autoRedefine/>
    <w:uiPriority w:val="39"/>
    <w:unhideWhenUsed/>
    <w:rsid w:val="00A7088B"/>
    <w:pPr>
      <w:spacing w:after="100"/>
    </w:pPr>
  </w:style>
  <w:style w:type="paragraph" w:styleId="TOC2">
    <w:name w:val="toc 2"/>
    <w:basedOn w:val="Normal"/>
    <w:next w:val="Normal"/>
    <w:autoRedefine/>
    <w:uiPriority w:val="39"/>
    <w:unhideWhenUsed/>
    <w:rsid w:val="00A7088B"/>
    <w:pPr>
      <w:spacing w:after="100"/>
      <w:ind w:left="220"/>
    </w:pPr>
  </w:style>
  <w:style w:type="character" w:styleId="Hyperlink">
    <w:name w:val="Hyperlink"/>
    <w:basedOn w:val="DefaultParagraphFont"/>
    <w:uiPriority w:val="99"/>
    <w:unhideWhenUsed/>
    <w:rsid w:val="00A7088B"/>
    <w:rPr>
      <w:color w:val="0000FF" w:themeColor="hyperlink"/>
      <w:u w:val="single"/>
    </w:rPr>
  </w:style>
  <w:style w:type="paragraph" w:styleId="NoSpacing">
    <w:name w:val="No Spacing"/>
    <w:uiPriority w:val="1"/>
    <w:qFormat/>
    <w:rsid w:val="00A7088B"/>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5.png" /><Relationship Id="rId18" Type="http://schemas.openxmlformats.org/officeDocument/2006/relationships/hyperlink" Target="http://gov.uk" TargetMode="External" /><Relationship Id="rId26" Type="http://schemas.openxmlformats.org/officeDocument/2006/relationships/hyperlink" Target="http://gov.uk" TargetMode="External" /><Relationship Id="rId3" Type="http://schemas.openxmlformats.org/officeDocument/2006/relationships/styles" Target="styles.xml" /><Relationship Id="rId21" Type="http://schemas.openxmlformats.org/officeDocument/2006/relationships/image" Target="media/image10.png" /><Relationship Id="rId34"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image" Target="media/image4.png" /><Relationship Id="rId17" Type="http://schemas.openxmlformats.org/officeDocument/2006/relationships/image" Target="media/image8.png" /><Relationship Id="rId25" Type="http://schemas.openxmlformats.org/officeDocument/2006/relationships/image" Target="media/image12.png" /><Relationship Id="rId33"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gov.uk" TargetMode="External" /><Relationship Id="rId20" Type="http://schemas.openxmlformats.org/officeDocument/2006/relationships/hyperlink" Target="http://gov.uk" TargetMode="External" /><Relationship Id="rId29" Type="http://schemas.openxmlformats.org/officeDocument/2006/relationships/hyperlink" Target="http://gov.uk"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gov.uk" TargetMode="External" /><Relationship Id="rId24" Type="http://schemas.openxmlformats.org/officeDocument/2006/relationships/hyperlink" Target="http://gov.uk" TargetMode="External" /><Relationship Id="rId32" Type="http://schemas.openxmlformats.org/officeDocument/2006/relationships/hyperlink" Target="https://digital.nhs.uk/data-and-information/publications/statistical/health-survey-for-england/2021-part-2/adult-health-hypertension" TargetMode="External" /><Relationship Id="rId5" Type="http://schemas.openxmlformats.org/officeDocument/2006/relationships/webSettings" Target="webSettings.xml" /><Relationship Id="rId15" Type="http://schemas.openxmlformats.org/officeDocument/2006/relationships/image" Target="media/image7.png" /><Relationship Id="rId23" Type="http://schemas.openxmlformats.org/officeDocument/2006/relationships/image" Target="media/image11.png" /><Relationship Id="rId28" Type="http://schemas.openxmlformats.org/officeDocument/2006/relationships/hyperlink" Target="https://digital.nhs.uk/data-and-information/publications/statistical/health-survey-for-england/2021-part-2/adult-health-hypertension" TargetMode="External" /><Relationship Id="rId10" Type="http://schemas.openxmlformats.org/officeDocument/2006/relationships/image" Target="media/image3.png" /><Relationship Id="rId19" Type="http://schemas.openxmlformats.org/officeDocument/2006/relationships/image" Target="media/image9.png" /><Relationship Id="rId31" Type="http://schemas.openxmlformats.org/officeDocument/2006/relationships/hyperlink" Target="https://digital.nhs.uk/data-and-information/publications/statistical/health-survey-for-england/2021-part-2/adult-health-hypertension"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6.png" /><Relationship Id="rId22" Type="http://schemas.openxmlformats.org/officeDocument/2006/relationships/hyperlink" Target="http://gov.uk" TargetMode="External" /><Relationship Id="rId27" Type="http://schemas.openxmlformats.org/officeDocument/2006/relationships/hyperlink" Target="https://digital.nhs.uk/data-and-information/publications/statistical/health-survey-for-england/2021-part-2/adult-health-hypertension" TargetMode="External" /><Relationship Id="rId30" Type="http://schemas.openxmlformats.org/officeDocument/2006/relationships/hyperlink" Target="https://digital.nhs.uk/data-and-information/publications/statistical/health-survey-for-england/2021-part-2/adult-health-hypertension" TargetMode="External" /><Relationship Id="rId3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E1C883-6E66-4336-B174-41D64B1D57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5421</Words>
  <Characters>30900</Characters>
  <Application>Microsoft Office Word</Application>
  <DocSecurity>0</DocSecurity>
  <Lines>257</Lines>
  <Paragraphs>72</Paragraphs>
  <ScaleCrop>false</ScaleCrop>
  <Company/>
  <LinksUpToDate>false</LinksUpToDate>
  <CharactersWithSpaces>36249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asha Chowdary</dc:creator>
  <cp:lastModifiedBy>asha Chowdary</cp:lastModifiedBy>
  <cp:revision>2</cp:revision>
  <dcterms:created xsi:type="dcterms:W3CDTF">2025-10-23T17:06:00Z</dcterms:created>
  <dcterms:modified xsi:type="dcterms:W3CDTF">2025-10-23T17:06:00Z</dcterms:modified>
</cp:coreProperties>
</file>