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F94F" w14:textId="6E1889B0" w:rsidR="00F42370" w:rsidRDefault="00F42370" w:rsidP="00362B37">
      <w:pPr>
        <w:jc w:val="center"/>
        <w:rPr>
          <w:rFonts w:ascii="Arial" w:hAnsi="Arial" w:cs="Arial"/>
          <w:b/>
          <w:bCs/>
          <w:color w:val="000000"/>
        </w:rPr>
      </w:pPr>
      <w:r>
        <w:rPr>
          <w:rFonts w:ascii="Arial" w:hAnsi="Arial" w:cs="Arial"/>
          <w:b/>
          <w:bCs/>
          <w:color w:val="000000"/>
        </w:rPr>
        <w:t>Ai Guidance:</w:t>
      </w:r>
    </w:p>
    <w:p w14:paraId="16AF6054" w14:textId="77777777" w:rsidR="00F42370" w:rsidRDefault="00F42370" w:rsidP="00362B37">
      <w:pPr>
        <w:jc w:val="center"/>
        <w:rPr>
          <w:rFonts w:ascii="Arial" w:hAnsi="Arial" w:cs="Arial"/>
          <w:b/>
          <w:bCs/>
          <w:color w:val="000000"/>
        </w:rPr>
      </w:pPr>
    </w:p>
    <w:p w14:paraId="6873A090" w14:textId="63EA818C" w:rsidR="00CD7624" w:rsidRPr="00F23B14" w:rsidRDefault="00CD7624" w:rsidP="00CD7624">
      <w:pPr>
        <w:spacing w:after="100" w:afterAutospacing="1"/>
        <w:rPr>
          <w:rFonts w:ascii="Arial" w:eastAsia="Times New Roman" w:hAnsi="Arial" w:cs="Arial"/>
          <w:color w:val="1D2125"/>
          <w:kern w:val="0"/>
          <w:lang w:eastAsia="en-GB"/>
          <w14:ligatures w14:val="none"/>
        </w:rPr>
      </w:pPr>
      <w:r w:rsidRPr="00F23B14">
        <w:rPr>
          <w:rFonts w:ascii="Arial" w:eastAsia="Times New Roman" w:hAnsi="Arial" w:cs="Arial"/>
          <w:color w:val="000000"/>
          <w:kern w:val="0"/>
          <w:lang w:eastAsia="en-GB"/>
          <w14:ligatures w14:val="none"/>
        </w:rPr>
        <w:t xml:space="preserve">I acknowledge the use of </w:t>
      </w:r>
      <w:r>
        <w:rPr>
          <w:rFonts w:ascii="Arial" w:eastAsia="Times New Roman" w:hAnsi="Arial" w:cs="Arial"/>
          <w:color w:val="000000"/>
          <w:kern w:val="0"/>
          <w:lang w:eastAsia="en-GB"/>
          <w14:ligatures w14:val="none"/>
        </w:rPr>
        <w:t>Chat GPT</w:t>
      </w:r>
      <w:r w:rsidRPr="00F23B14">
        <w:rPr>
          <w:rFonts w:ascii="Arial" w:eastAsia="Times New Roman" w:hAnsi="Arial" w:cs="Arial"/>
          <w:color w:val="000000"/>
          <w:kern w:val="0"/>
          <w:lang w:eastAsia="en-GB"/>
          <w14:ligatures w14:val="none"/>
        </w:rPr>
        <w:t xml:space="preserve"> </w:t>
      </w:r>
      <w:hyperlink r:id="rId7" w:history="1">
        <w:r w:rsidRPr="00192AD2">
          <w:rPr>
            <w:rStyle w:val="Hyperlink"/>
            <w:rFonts w:ascii="Arial" w:eastAsia="Times New Roman" w:hAnsi="Arial" w:cs="Arial"/>
            <w:kern w:val="0"/>
            <w:lang w:eastAsia="en-GB"/>
            <w14:ligatures w14:val="none"/>
          </w:rPr>
          <w:t>https://chatgpt.com</w:t>
        </w:r>
      </w:hyperlink>
      <w:r>
        <w:rPr>
          <w:rFonts w:ascii="Arial" w:eastAsia="Times New Roman" w:hAnsi="Arial" w:cs="Arial"/>
          <w:color w:val="000000"/>
          <w:kern w:val="0"/>
          <w:lang w:eastAsia="en-GB"/>
          <w14:ligatures w14:val="none"/>
        </w:rPr>
        <w:t xml:space="preserve"> </w:t>
      </w:r>
      <w:r w:rsidRPr="00F23B14">
        <w:rPr>
          <w:rFonts w:ascii="Arial" w:eastAsia="Times New Roman" w:hAnsi="Arial" w:cs="Arial"/>
          <w:color w:val="000000"/>
          <w:kern w:val="0"/>
          <w:lang w:eastAsia="en-GB"/>
          <w14:ligatures w14:val="none"/>
        </w:rPr>
        <w:t xml:space="preserve">on </w:t>
      </w:r>
      <w:r>
        <w:rPr>
          <w:rFonts w:ascii="Arial" w:eastAsia="Times New Roman" w:hAnsi="Arial" w:cs="Arial"/>
          <w:color w:val="000000"/>
          <w:kern w:val="0"/>
          <w:lang w:eastAsia="en-GB"/>
          <w14:ligatures w14:val="none"/>
        </w:rPr>
        <w:t xml:space="preserve">09/02/2026 </w:t>
      </w:r>
      <w:r w:rsidRPr="00F23B14">
        <w:rPr>
          <w:rFonts w:ascii="Arial" w:eastAsia="Times New Roman" w:hAnsi="Arial" w:cs="Arial"/>
          <w:color w:val="000000"/>
          <w:kern w:val="0"/>
          <w:lang w:eastAsia="en-GB"/>
          <w14:ligatures w14:val="none"/>
        </w:rPr>
        <w:t>to</w:t>
      </w:r>
      <w:r>
        <w:rPr>
          <w:rFonts w:ascii="Arial" w:eastAsia="Times New Roman" w:hAnsi="Arial" w:cs="Arial"/>
          <w:color w:val="000000"/>
          <w:kern w:val="0"/>
          <w:lang w:eastAsia="en-GB"/>
          <w14:ligatures w14:val="none"/>
        </w:rPr>
        <w:t xml:space="preserve"> create a logo for my business plan.</w:t>
      </w:r>
    </w:p>
    <w:p w14:paraId="51B7E179" w14:textId="77777777" w:rsidR="00CD7624" w:rsidRDefault="00CD7624" w:rsidP="00CD7624">
      <w:pPr>
        <w:spacing w:after="100" w:afterAutospacing="1"/>
        <w:rPr>
          <w:rFonts w:ascii="Arial" w:eastAsia="Times New Roman" w:hAnsi="Arial" w:cs="Arial"/>
          <w:color w:val="1D2125"/>
          <w:kern w:val="0"/>
          <w:lang w:eastAsia="en-GB"/>
          <w14:ligatures w14:val="none"/>
        </w:rPr>
      </w:pPr>
      <w:r w:rsidRPr="00F23B14">
        <w:rPr>
          <w:rFonts w:ascii="Arial" w:eastAsia="Times New Roman" w:hAnsi="Arial" w:cs="Arial"/>
          <w:color w:val="000000"/>
          <w:kern w:val="0"/>
          <w:lang w:eastAsia="en-GB"/>
          <w14:ligatures w14:val="none"/>
        </w:rPr>
        <w:t>I used the prompt(s):</w:t>
      </w:r>
    </w:p>
    <w:p w14:paraId="57CC600C" w14:textId="23264194" w:rsidR="00CD7624" w:rsidRDefault="00CD7624" w:rsidP="00CD7624">
      <w:pPr>
        <w:spacing w:after="100" w:afterAutospacing="1"/>
        <w:rPr>
          <w:rFonts w:ascii="Arial" w:eastAsia="Times New Roman" w:hAnsi="Arial" w:cs="Arial"/>
          <w:color w:val="1D2125"/>
          <w:kern w:val="0"/>
          <w:lang w:eastAsia="en-GB"/>
          <w14:ligatures w14:val="none"/>
        </w:rPr>
      </w:pPr>
      <w:r>
        <w:rPr>
          <w:rFonts w:ascii="Arial" w:eastAsia="Times New Roman" w:hAnsi="Arial" w:cs="Arial"/>
          <w:color w:val="1D2125"/>
          <w:kern w:val="0"/>
          <w:lang w:eastAsia="en-GB"/>
          <w14:ligatures w14:val="none"/>
        </w:rPr>
        <w:t xml:space="preserve">‘Create a logo for </w:t>
      </w:r>
      <w:r w:rsidR="002A51EB">
        <w:rPr>
          <w:rFonts w:ascii="Arial" w:eastAsia="Times New Roman" w:hAnsi="Arial" w:cs="Arial"/>
          <w:color w:val="1D2125"/>
          <w:kern w:val="0"/>
          <w:lang w:eastAsia="en-GB"/>
          <w14:ligatures w14:val="none"/>
        </w:rPr>
        <w:t xml:space="preserve">Therapy dogs in school in </w:t>
      </w:r>
      <w:proofErr w:type="spellStart"/>
      <w:r w:rsidR="002A51EB">
        <w:rPr>
          <w:rFonts w:ascii="Arial" w:eastAsia="Times New Roman" w:hAnsi="Arial" w:cs="Arial"/>
          <w:color w:val="1D2125"/>
          <w:kern w:val="0"/>
          <w:lang w:eastAsia="en-GB"/>
          <w14:ligatures w14:val="none"/>
        </w:rPr>
        <w:t>Wales’</w:t>
      </w:r>
      <w:proofErr w:type="spellEnd"/>
    </w:p>
    <w:p w14:paraId="1AF2AA00" w14:textId="1651B654" w:rsidR="00CD7624" w:rsidRPr="00F23B14" w:rsidRDefault="00CD7624" w:rsidP="00CD7624">
      <w:pPr>
        <w:spacing w:after="100" w:afterAutospacing="1"/>
        <w:rPr>
          <w:rFonts w:ascii="Arial" w:eastAsia="Times New Roman" w:hAnsi="Arial" w:cs="Arial"/>
          <w:color w:val="1D2125"/>
          <w:kern w:val="0"/>
          <w:lang w:eastAsia="en-GB"/>
          <w14:ligatures w14:val="none"/>
        </w:rPr>
      </w:pPr>
      <w:r w:rsidRPr="00F23B14">
        <w:rPr>
          <w:rFonts w:ascii="Arial" w:eastAsia="Times New Roman" w:hAnsi="Arial" w:cs="Arial"/>
          <w:color w:val="000000"/>
          <w:kern w:val="0"/>
          <w:lang w:eastAsia="en-GB"/>
          <w14:ligatures w14:val="none"/>
        </w:rPr>
        <w:t>I confirm that I have not presented any AI generated text as my own work.</w:t>
      </w:r>
    </w:p>
    <w:p w14:paraId="6A708DD3" w14:textId="77777777" w:rsidR="00CD7624" w:rsidRDefault="00CD7624" w:rsidP="00CD7624">
      <w:pPr>
        <w:spacing w:after="100" w:afterAutospacing="1"/>
        <w:rPr>
          <w:rFonts w:ascii="Arial" w:eastAsia="Times New Roman" w:hAnsi="Arial" w:cs="Arial"/>
          <w:color w:val="000000"/>
          <w:kern w:val="0"/>
          <w:lang w:eastAsia="en-GB"/>
          <w14:ligatures w14:val="none"/>
        </w:rPr>
      </w:pPr>
      <w:r w:rsidRPr="00F23B14">
        <w:rPr>
          <w:rFonts w:ascii="Arial" w:eastAsia="Times New Roman" w:hAnsi="Arial" w:cs="Arial"/>
          <w:color w:val="000000"/>
          <w:kern w:val="0"/>
          <w:lang w:eastAsia="en-GB"/>
          <w14:ligatures w14:val="none"/>
        </w:rPr>
        <w:t>I confirm that I have copies of my drafts, notes, and other resources I used before, and after the use of AI tools which I may be asked to provide as evidence.</w:t>
      </w:r>
    </w:p>
    <w:p w14:paraId="75EEE27C" w14:textId="77777777" w:rsidR="00CD7624" w:rsidRDefault="00CD7624" w:rsidP="00362B37">
      <w:pPr>
        <w:jc w:val="center"/>
        <w:rPr>
          <w:rFonts w:ascii="Arial" w:hAnsi="Arial" w:cs="Arial"/>
          <w:b/>
          <w:bCs/>
          <w:color w:val="000000"/>
        </w:rPr>
      </w:pPr>
    </w:p>
    <w:p w14:paraId="23C9DD26" w14:textId="77777777" w:rsidR="00F42370" w:rsidRDefault="00F42370" w:rsidP="00362B37">
      <w:pPr>
        <w:jc w:val="center"/>
        <w:rPr>
          <w:rFonts w:ascii="Arial" w:hAnsi="Arial" w:cs="Arial"/>
          <w:b/>
          <w:bCs/>
          <w:color w:val="000000"/>
        </w:rPr>
      </w:pPr>
    </w:p>
    <w:p w14:paraId="3437661E" w14:textId="77777777" w:rsidR="00F42370" w:rsidRDefault="00F42370" w:rsidP="00362B37">
      <w:pPr>
        <w:jc w:val="center"/>
        <w:rPr>
          <w:rFonts w:ascii="Arial" w:hAnsi="Arial" w:cs="Arial"/>
          <w:b/>
          <w:bCs/>
          <w:color w:val="000000"/>
        </w:rPr>
      </w:pPr>
    </w:p>
    <w:p w14:paraId="476E2006" w14:textId="4C555A73" w:rsidR="00D8600A" w:rsidRDefault="00945D82" w:rsidP="002A51EB">
      <w:pPr>
        <w:jc w:val="center"/>
        <w:rPr>
          <w:rFonts w:ascii="Arial" w:hAnsi="Arial" w:cs="Arial"/>
          <w:b/>
          <w:bCs/>
          <w:color w:val="000000"/>
        </w:rPr>
      </w:pPr>
      <w:r>
        <w:rPr>
          <w:rFonts w:ascii="Arial" w:hAnsi="Arial" w:cs="Arial"/>
          <w:b/>
          <w:bCs/>
          <w:color w:val="000000"/>
        </w:rPr>
        <w:t>Contents Page:</w:t>
      </w:r>
    </w:p>
    <w:p w14:paraId="334264E1" w14:textId="77777777" w:rsidR="00945D82" w:rsidRDefault="00945D82" w:rsidP="00362B37">
      <w:pPr>
        <w:jc w:val="center"/>
        <w:rPr>
          <w:rFonts w:ascii="Arial" w:hAnsi="Arial" w:cs="Arial"/>
          <w:b/>
          <w:bCs/>
          <w:color w:val="000000"/>
        </w:rPr>
      </w:pPr>
    </w:p>
    <w:p w14:paraId="7724A389" w14:textId="4109E870" w:rsidR="002A51EB" w:rsidRDefault="002A51EB" w:rsidP="00362B37">
      <w:pPr>
        <w:jc w:val="center"/>
        <w:rPr>
          <w:rFonts w:ascii="Arial" w:hAnsi="Arial" w:cs="Arial"/>
          <w:color w:val="000000"/>
        </w:rPr>
      </w:pPr>
      <w:r>
        <w:rPr>
          <w:rFonts w:ascii="Arial" w:hAnsi="Arial" w:cs="Arial"/>
          <w:b/>
          <w:bCs/>
          <w:color w:val="000000"/>
        </w:rPr>
        <w:t xml:space="preserve">Page 1: </w:t>
      </w:r>
      <w:r>
        <w:rPr>
          <w:rFonts w:ascii="Arial" w:hAnsi="Arial" w:cs="Arial"/>
          <w:color w:val="000000"/>
        </w:rPr>
        <w:t>Contents &amp; Ai Guidance statement</w:t>
      </w:r>
    </w:p>
    <w:p w14:paraId="558F9CBD" w14:textId="77777777" w:rsidR="002A51EB" w:rsidRDefault="002A51EB" w:rsidP="00362B37">
      <w:pPr>
        <w:jc w:val="center"/>
        <w:rPr>
          <w:rFonts w:ascii="Arial" w:hAnsi="Arial" w:cs="Arial"/>
          <w:color w:val="000000"/>
        </w:rPr>
      </w:pPr>
    </w:p>
    <w:p w14:paraId="2DDDD46C" w14:textId="2BB89F1C" w:rsidR="002A51EB" w:rsidRDefault="002A51EB" w:rsidP="00362B37">
      <w:pPr>
        <w:jc w:val="center"/>
        <w:rPr>
          <w:rFonts w:ascii="Arial" w:hAnsi="Arial" w:cs="Arial"/>
          <w:color w:val="000000"/>
        </w:rPr>
      </w:pPr>
      <w:r w:rsidRPr="00CA7C55">
        <w:rPr>
          <w:rFonts w:ascii="Arial" w:hAnsi="Arial" w:cs="Arial"/>
          <w:b/>
          <w:bCs/>
          <w:color w:val="000000"/>
        </w:rPr>
        <w:t xml:space="preserve">Pages 2 </w:t>
      </w:r>
      <w:r w:rsidR="00CA7C55" w:rsidRPr="00CA7C55">
        <w:rPr>
          <w:rFonts w:ascii="Arial" w:hAnsi="Arial" w:cs="Arial"/>
          <w:b/>
          <w:bCs/>
          <w:color w:val="000000"/>
        </w:rPr>
        <w:t>–</w:t>
      </w:r>
      <w:r w:rsidRPr="00CA7C55">
        <w:rPr>
          <w:rFonts w:ascii="Arial" w:hAnsi="Arial" w:cs="Arial"/>
          <w:b/>
          <w:bCs/>
          <w:color w:val="000000"/>
        </w:rPr>
        <w:t xml:space="preserve"> </w:t>
      </w:r>
      <w:r w:rsidR="00CA7C55" w:rsidRPr="00CA7C55">
        <w:rPr>
          <w:rFonts w:ascii="Arial" w:hAnsi="Arial" w:cs="Arial"/>
          <w:b/>
          <w:bCs/>
          <w:color w:val="000000"/>
        </w:rPr>
        <w:t>6:</w:t>
      </w:r>
      <w:r w:rsidR="00CA7C55">
        <w:rPr>
          <w:rFonts w:ascii="Arial" w:hAnsi="Arial" w:cs="Arial"/>
          <w:color w:val="000000"/>
        </w:rPr>
        <w:t xml:space="preserve"> </w:t>
      </w:r>
      <w:r w:rsidR="00F40489">
        <w:rPr>
          <w:rFonts w:ascii="Arial" w:hAnsi="Arial" w:cs="Arial"/>
          <w:color w:val="000000"/>
        </w:rPr>
        <w:t xml:space="preserve">Part A: </w:t>
      </w:r>
      <w:r w:rsidR="00CA7C55">
        <w:rPr>
          <w:rFonts w:ascii="Arial" w:hAnsi="Arial" w:cs="Arial"/>
          <w:color w:val="000000"/>
        </w:rPr>
        <w:t>Business plan pitch</w:t>
      </w:r>
    </w:p>
    <w:p w14:paraId="1E218F14" w14:textId="77777777" w:rsidR="00CA7C55" w:rsidRDefault="00CA7C55" w:rsidP="00362B37">
      <w:pPr>
        <w:jc w:val="center"/>
        <w:rPr>
          <w:rFonts w:ascii="Arial" w:hAnsi="Arial" w:cs="Arial"/>
          <w:color w:val="000000"/>
        </w:rPr>
      </w:pPr>
    </w:p>
    <w:p w14:paraId="692EA267" w14:textId="29AD7509" w:rsidR="00CA7C55" w:rsidRDefault="00CA7C55" w:rsidP="00362B37">
      <w:pPr>
        <w:jc w:val="center"/>
        <w:rPr>
          <w:rFonts w:ascii="Arial" w:hAnsi="Arial" w:cs="Arial"/>
          <w:color w:val="000000"/>
        </w:rPr>
      </w:pPr>
      <w:r w:rsidRPr="00CA7C55">
        <w:rPr>
          <w:rFonts w:ascii="Arial" w:hAnsi="Arial" w:cs="Arial"/>
          <w:b/>
          <w:bCs/>
          <w:color w:val="000000"/>
        </w:rPr>
        <w:t>Page 7:</w:t>
      </w:r>
      <w:r>
        <w:rPr>
          <w:rFonts w:ascii="Arial" w:hAnsi="Arial" w:cs="Arial"/>
          <w:color w:val="000000"/>
        </w:rPr>
        <w:t xml:space="preserve"> Reference List</w:t>
      </w:r>
    </w:p>
    <w:p w14:paraId="35FAE81D" w14:textId="24487715" w:rsidR="00F40489" w:rsidRPr="006E1445" w:rsidRDefault="00F40489" w:rsidP="00770539">
      <w:pPr>
        <w:rPr>
          <w:rFonts w:ascii="Arial" w:hAnsi="Arial" w:cs="Arial"/>
          <w:b/>
          <w:bCs/>
          <w:color w:val="000000"/>
          <w:u w:val="single"/>
        </w:rPr>
      </w:pPr>
    </w:p>
    <w:p w14:paraId="6FF15973" w14:textId="491850E3" w:rsidR="00FE0F26" w:rsidRDefault="00F40489" w:rsidP="00F21469">
      <w:pPr>
        <w:jc w:val="center"/>
        <w:rPr>
          <w:rFonts w:ascii="Arial" w:hAnsi="Arial" w:cs="Arial"/>
          <w:color w:val="000000"/>
        </w:rPr>
      </w:pPr>
      <w:r>
        <w:rPr>
          <w:rFonts w:ascii="Arial" w:hAnsi="Arial" w:cs="Arial"/>
          <w:b/>
          <w:bCs/>
          <w:color w:val="000000"/>
        </w:rPr>
        <w:t xml:space="preserve">Pages </w:t>
      </w:r>
      <w:r w:rsidR="009873A8">
        <w:rPr>
          <w:rFonts w:ascii="Arial" w:hAnsi="Arial" w:cs="Arial"/>
          <w:b/>
          <w:bCs/>
          <w:color w:val="000000"/>
        </w:rPr>
        <w:t>8</w:t>
      </w:r>
      <w:r w:rsidR="00770539">
        <w:rPr>
          <w:rFonts w:ascii="Arial" w:hAnsi="Arial" w:cs="Arial"/>
          <w:b/>
          <w:bCs/>
          <w:color w:val="000000"/>
        </w:rPr>
        <w:t xml:space="preserve"> </w:t>
      </w:r>
      <w:r w:rsidR="009873A8">
        <w:rPr>
          <w:rFonts w:ascii="Arial" w:hAnsi="Arial" w:cs="Arial"/>
          <w:b/>
          <w:bCs/>
          <w:color w:val="000000"/>
        </w:rPr>
        <w:t>-</w:t>
      </w:r>
      <w:r w:rsidR="00770539">
        <w:rPr>
          <w:rFonts w:ascii="Arial" w:hAnsi="Arial" w:cs="Arial"/>
          <w:b/>
          <w:bCs/>
          <w:color w:val="000000"/>
        </w:rPr>
        <w:t xml:space="preserve"> </w:t>
      </w:r>
      <w:r w:rsidR="009873A8">
        <w:rPr>
          <w:rFonts w:ascii="Arial" w:hAnsi="Arial" w:cs="Arial"/>
          <w:b/>
          <w:bCs/>
          <w:color w:val="000000"/>
        </w:rPr>
        <w:t>1</w:t>
      </w:r>
      <w:r w:rsidR="00770539">
        <w:rPr>
          <w:rFonts w:ascii="Arial" w:hAnsi="Arial" w:cs="Arial"/>
          <w:b/>
          <w:bCs/>
          <w:color w:val="000000"/>
        </w:rPr>
        <w:t>4</w:t>
      </w:r>
      <w:r w:rsidR="00FE0F26">
        <w:rPr>
          <w:rFonts w:ascii="Arial" w:hAnsi="Arial" w:cs="Arial"/>
          <w:b/>
          <w:bCs/>
          <w:color w:val="000000"/>
        </w:rPr>
        <w:t xml:space="preserve">: </w:t>
      </w:r>
      <w:r w:rsidR="00FE0F26" w:rsidRPr="006E1445">
        <w:rPr>
          <w:rFonts w:ascii="Arial" w:hAnsi="Arial" w:cs="Arial"/>
          <w:color w:val="000000"/>
        </w:rPr>
        <w:t>Part A Business Plan PowerPoint</w:t>
      </w:r>
      <w:r w:rsidR="00770539">
        <w:rPr>
          <w:rFonts w:ascii="Arial" w:hAnsi="Arial" w:cs="Arial"/>
          <w:b/>
          <w:bCs/>
          <w:color w:val="000000"/>
        </w:rPr>
        <w:t xml:space="preserve"> </w:t>
      </w:r>
      <w:r w:rsidR="00770539" w:rsidRPr="00770539">
        <w:rPr>
          <w:rFonts w:ascii="Arial" w:hAnsi="Arial" w:cs="Arial"/>
          <w:color w:val="000000"/>
        </w:rPr>
        <w:t>including the</w:t>
      </w:r>
      <w:r w:rsidR="00770539">
        <w:rPr>
          <w:rFonts w:ascii="Arial" w:hAnsi="Arial" w:cs="Arial"/>
          <w:b/>
          <w:bCs/>
          <w:color w:val="000000"/>
        </w:rPr>
        <w:t xml:space="preserve"> </w:t>
      </w:r>
      <w:r w:rsidR="00770539">
        <w:rPr>
          <w:rFonts w:ascii="Arial" w:hAnsi="Arial" w:cs="Arial"/>
          <w:color w:val="000000"/>
        </w:rPr>
        <w:t>r</w:t>
      </w:r>
      <w:r w:rsidR="00FE0F26" w:rsidRPr="006E1445">
        <w:rPr>
          <w:rFonts w:ascii="Arial" w:hAnsi="Arial" w:cs="Arial"/>
          <w:color w:val="000000"/>
        </w:rPr>
        <w:t xml:space="preserve">eference </w:t>
      </w:r>
      <w:r w:rsidR="00770539">
        <w:rPr>
          <w:rFonts w:ascii="Arial" w:hAnsi="Arial" w:cs="Arial"/>
          <w:color w:val="000000"/>
        </w:rPr>
        <w:t>l</w:t>
      </w:r>
      <w:r w:rsidR="00FE0F26" w:rsidRPr="006E1445">
        <w:rPr>
          <w:rFonts w:ascii="Arial" w:hAnsi="Arial" w:cs="Arial"/>
          <w:color w:val="000000"/>
        </w:rPr>
        <w:t>ist</w:t>
      </w:r>
    </w:p>
    <w:p w14:paraId="54827B76" w14:textId="77777777" w:rsidR="00B11D54" w:rsidRDefault="00B11D54" w:rsidP="00770539">
      <w:pPr>
        <w:jc w:val="center"/>
        <w:rPr>
          <w:rFonts w:ascii="Arial" w:hAnsi="Arial" w:cs="Arial"/>
          <w:color w:val="000000"/>
        </w:rPr>
      </w:pPr>
    </w:p>
    <w:p w14:paraId="7543034C" w14:textId="24ADE3F9" w:rsidR="00B11D54" w:rsidRDefault="00B11D54" w:rsidP="00770539">
      <w:pPr>
        <w:jc w:val="center"/>
        <w:rPr>
          <w:rFonts w:ascii="Arial" w:hAnsi="Arial" w:cs="Arial"/>
          <w:color w:val="000000"/>
        </w:rPr>
      </w:pPr>
      <w:r w:rsidRPr="00F21469">
        <w:rPr>
          <w:rFonts w:ascii="Arial" w:hAnsi="Arial" w:cs="Arial"/>
          <w:b/>
          <w:bCs/>
          <w:color w:val="000000"/>
        </w:rPr>
        <w:t>Pages 15 – 2</w:t>
      </w:r>
      <w:r w:rsidR="00ED3BF7">
        <w:rPr>
          <w:rFonts w:ascii="Arial" w:hAnsi="Arial" w:cs="Arial"/>
          <w:b/>
          <w:bCs/>
          <w:color w:val="000000"/>
        </w:rPr>
        <w:t>2</w:t>
      </w:r>
      <w:r w:rsidRPr="00F21469">
        <w:rPr>
          <w:rFonts w:ascii="Arial" w:hAnsi="Arial" w:cs="Arial"/>
          <w:b/>
          <w:bCs/>
          <w:color w:val="000000"/>
        </w:rPr>
        <w:t>:</w:t>
      </w:r>
      <w:r>
        <w:rPr>
          <w:rFonts w:ascii="Arial" w:hAnsi="Arial" w:cs="Arial"/>
          <w:color w:val="000000"/>
        </w:rPr>
        <w:t xml:space="preserve"> Part B Business Plan</w:t>
      </w:r>
    </w:p>
    <w:p w14:paraId="3E3CDC9E" w14:textId="77777777" w:rsidR="00B11D54" w:rsidRDefault="00B11D54" w:rsidP="00770539">
      <w:pPr>
        <w:jc w:val="center"/>
        <w:rPr>
          <w:rFonts w:ascii="Arial" w:hAnsi="Arial" w:cs="Arial"/>
          <w:color w:val="000000"/>
        </w:rPr>
      </w:pPr>
    </w:p>
    <w:p w14:paraId="53D8F9FC" w14:textId="2EE26B65" w:rsidR="00B11D54" w:rsidRPr="00770539" w:rsidRDefault="00B11D54" w:rsidP="00770539">
      <w:pPr>
        <w:jc w:val="center"/>
        <w:rPr>
          <w:rFonts w:ascii="Arial" w:hAnsi="Arial" w:cs="Arial"/>
          <w:b/>
          <w:bCs/>
          <w:color w:val="000000"/>
        </w:rPr>
      </w:pPr>
      <w:r w:rsidRPr="00F21469">
        <w:rPr>
          <w:rFonts w:ascii="Arial" w:hAnsi="Arial" w:cs="Arial"/>
          <w:b/>
          <w:bCs/>
          <w:color w:val="000000"/>
        </w:rPr>
        <w:t>Pages 2</w:t>
      </w:r>
      <w:r w:rsidR="0067235C">
        <w:rPr>
          <w:rFonts w:ascii="Arial" w:hAnsi="Arial" w:cs="Arial"/>
          <w:b/>
          <w:bCs/>
          <w:color w:val="000000"/>
        </w:rPr>
        <w:t>3</w:t>
      </w:r>
      <w:r w:rsidRPr="00F21469">
        <w:rPr>
          <w:rFonts w:ascii="Arial" w:hAnsi="Arial" w:cs="Arial"/>
          <w:b/>
          <w:bCs/>
          <w:color w:val="000000"/>
        </w:rPr>
        <w:t xml:space="preserve"> –</w:t>
      </w:r>
      <w:r w:rsidR="00D94C7E">
        <w:rPr>
          <w:rFonts w:ascii="Arial" w:hAnsi="Arial" w:cs="Arial"/>
          <w:b/>
          <w:bCs/>
          <w:color w:val="000000"/>
        </w:rPr>
        <w:t xml:space="preserve"> 2</w:t>
      </w:r>
      <w:r w:rsidR="0067235C">
        <w:rPr>
          <w:rFonts w:ascii="Arial" w:hAnsi="Arial" w:cs="Arial"/>
          <w:b/>
          <w:bCs/>
          <w:color w:val="000000"/>
        </w:rPr>
        <w:t>5</w:t>
      </w:r>
      <w:r w:rsidRPr="00F21469">
        <w:rPr>
          <w:rFonts w:ascii="Arial" w:hAnsi="Arial" w:cs="Arial"/>
          <w:b/>
          <w:bCs/>
          <w:color w:val="000000"/>
        </w:rPr>
        <w:t>:</w:t>
      </w:r>
      <w:r>
        <w:rPr>
          <w:rFonts w:ascii="Arial" w:hAnsi="Arial" w:cs="Arial"/>
          <w:color w:val="000000"/>
        </w:rPr>
        <w:t xml:space="preserve"> Reference List</w:t>
      </w:r>
    </w:p>
    <w:p w14:paraId="14BF0048" w14:textId="77777777" w:rsidR="00FE0F26" w:rsidRPr="006E1445" w:rsidRDefault="00FE0F26" w:rsidP="00F40489">
      <w:pPr>
        <w:jc w:val="center"/>
        <w:rPr>
          <w:rFonts w:ascii="Arial" w:hAnsi="Arial" w:cs="Arial"/>
          <w:color w:val="000000"/>
        </w:rPr>
      </w:pPr>
    </w:p>
    <w:p w14:paraId="4309B621" w14:textId="77777777" w:rsidR="00945D82" w:rsidRPr="00945D82" w:rsidRDefault="00945D82" w:rsidP="00362B37">
      <w:pPr>
        <w:jc w:val="center"/>
        <w:rPr>
          <w:rFonts w:ascii="Arial" w:hAnsi="Arial" w:cs="Arial"/>
          <w:color w:val="000000"/>
        </w:rPr>
      </w:pPr>
    </w:p>
    <w:p w14:paraId="3B8F7DE7" w14:textId="77777777" w:rsidR="00D8600A" w:rsidRDefault="00D8600A" w:rsidP="00362B37">
      <w:pPr>
        <w:jc w:val="center"/>
        <w:rPr>
          <w:rFonts w:ascii="Arial" w:hAnsi="Arial" w:cs="Arial"/>
          <w:b/>
          <w:bCs/>
          <w:color w:val="000000"/>
        </w:rPr>
      </w:pPr>
    </w:p>
    <w:p w14:paraId="7EBEF03B" w14:textId="77777777" w:rsidR="00D8600A" w:rsidRDefault="00D8600A" w:rsidP="00362B37">
      <w:pPr>
        <w:jc w:val="center"/>
        <w:rPr>
          <w:rFonts w:ascii="Arial" w:hAnsi="Arial" w:cs="Arial"/>
          <w:b/>
          <w:bCs/>
          <w:color w:val="000000"/>
        </w:rPr>
      </w:pPr>
    </w:p>
    <w:p w14:paraId="37E86EB1" w14:textId="77777777" w:rsidR="00D8600A" w:rsidRDefault="00D8600A" w:rsidP="00362B37">
      <w:pPr>
        <w:jc w:val="center"/>
        <w:rPr>
          <w:rFonts w:ascii="Arial" w:hAnsi="Arial" w:cs="Arial"/>
          <w:b/>
          <w:bCs/>
          <w:color w:val="000000"/>
        </w:rPr>
      </w:pPr>
    </w:p>
    <w:p w14:paraId="5F7D09F5" w14:textId="77777777" w:rsidR="00D8600A" w:rsidRDefault="00D8600A" w:rsidP="00362B37">
      <w:pPr>
        <w:jc w:val="center"/>
        <w:rPr>
          <w:rFonts w:ascii="Arial" w:hAnsi="Arial" w:cs="Arial"/>
          <w:b/>
          <w:bCs/>
          <w:color w:val="000000"/>
        </w:rPr>
      </w:pPr>
    </w:p>
    <w:p w14:paraId="5ADAA90C" w14:textId="77777777" w:rsidR="00D8600A" w:rsidRDefault="00D8600A" w:rsidP="00362B37">
      <w:pPr>
        <w:jc w:val="center"/>
        <w:rPr>
          <w:rFonts w:ascii="Arial" w:hAnsi="Arial" w:cs="Arial"/>
          <w:b/>
          <w:bCs/>
          <w:color w:val="000000"/>
        </w:rPr>
      </w:pPr>
    </w:p>
    <w:p w14:paraId="7B7247AC" w14:textId="77777777" w:rsidR="00D8600A" w:rsidRDefault="00D8600A" w:rsidP="00362B37">
      <w:pPr>
        <w:jc w:val="center"/>
        <w:rPr>
          <w:rFonts w:ascii="Arial" w:hAnsi="Arial" w:cs="Arial"/>
          <w:b/>
          <w:bCs/>
          <w:color w:val="000000"/>
        </w:rPr>
      </w:pPr>
    </w:p>
    <w:p w14:paraId="7EC8930B" w14:textId="77777777" w:rsidR="00D8600A" w:rsidRDefault="00D8600A" w:rsidP="00362B37">
      <w:pPr>
        <w:jc w:val="center"/>
        <w:rPr>
          <w:rFonts w:ascii="Arial" w:hAnsi="Arial" w:cs="Arial"/>
          <w:b/>
          <w:bCs/>
          <w:color w:val="000000"/>
        </w:rPr>
      </w:pPr>
    </w:p>
    <w:p w14:paraId="6630302D" w14:textId="77777777" w:rsidR="00D8600A" w:rsidRDefault="00D8600A" w:rsidP="00362B37">
      <w:pPr>
        <w:jc w:val="center"/>
        <w:rPr>
          <w:rFonts w:ascii="Arial" w:hAnsi="Arial" w:cs="Arial"/>
          <w:b/>
          <w:bCs/>
          <w:color w:val="000000"/>
        </w:rPr>
      </w:pPr>
    </w:p>
    <w:p w14:paraId="7B3B51C2" w14:textId="77777777" w:rsidR="00D8600A" w:rsidRDefault="00D8600A" w:rsidP="00362B37">
      <w:pPr>
        <w:jc w:val="center"/>
        <w:rPr>
          <w:rFonts w:ascii="Arial" w:hAnsi="Arial" w:cs="Arial"/>
          <w:b/>
          <w:bCs/>
          <w:color w:val="000000"/>
        </w:rPr>
      </w:pPr>
    </w:p>
    <w:p w14:paraId="33194C5B" w14:textId="77777777" w:rsidR="00D8600A" w:rsidRDefault="00D8600A" w:rsidP="00362B37">
      <w:pPr>
        <w:jc w:val="center"/>
        <w:rPr>
          <w:rFonts w:ascii="Arial" w:hAnsi="Arial" w:cs="Arial"/>
          <w:b/>
          <w:bCs/>
          <w:color w:val="000000"/>
        </w:rPr>
      </w:pPr>
    </w:p>
    <w:p w14:paraId="61296CFE" w14:textId="77777777" w:rsidR="00D8600A" w:rsidRDefault="00D8600A" w:rsidP="00362B37">
      <w:pPr>
        <w:jc w:val="center"/>
        <w:rPr>
          <w:rFonts w:ascii="Arial" w:hAnsi="Arial" w:cs="Arial"/>
          <w:b/>
          <w:bCs/>
          <w:color w:val="000000"/>
        </w:rPr>
      </w:pPr>
    </w:p>
    <w:p w14:paraId="01F4C584" w14:textId="77777777" w:rsidR="00D8600A" w:rsidRDefault="00D8600A" w:rsidP="00362B37">
      <w:pPr>
        <w:jc w:val="center"/>
        <w:rPr>
          <w:rFonts w:ascii="Arial" w:hAnsi="Arial" w:cs="Arial"/>
          <w:b/>
          <w:bCs/>
          <w:color w:val="000000"/>
        </w:rPr>
      </w:pPr>
    </w:p>
    <w:p w14:paraId="011971A8" w14:textId="77777777" w:rsidR="00D8600A" w:rsidRDefault="00D8600A" w:rsidP="00362B37">
      <w:pPr>
        <w:jc w:val="center"/>
        <w:rPr>
          <w:rFonts w:ascii="Arial" w:hAnsi="Arial" w:cs="Arial"/>
          <w:b/>
          <w:bCs/>
          <w:color w:val="000000"/>
        </w:rPr>
      </w:pPr>
    </w:p>
    <w:p w14:paraId="0CF6757B" w14:textId="77777777" w:rsidR="00D8600A" w:rsidRDefault="00D8600A" w:rsidP="00362B37">
      <w:pPr>
        <w:jc w:val="center"/>
        <w:rPr>
          <w:rFonts w:ascii="Arial" w:hAnsi="Arial" w:cs="Arial"/>
          <w:b/>
          <w:bCs/>
          <w:color w:val="000000"/>
        </w:rPr>
      </w:pPr>
    </w:p>
    <w:p w14:paraId="7F46051A" w14:textId="77777777" w:rsidR="00D8600A" w:rsidRDefault="00D8600A" w:rsidP="00362B37">
      <w:pPr>
        <w:jc w:val="center"/>
        <w:rPr>
          <w:rFonts w:ascii="Arial" w:hAnsi="Arial" w:cs="Arial"/>
          <w:b/>
          <w:bCs/>
          <w:color w:val="000000"/>
        </w:rPr>
      </w:pPr>
    </w:p>
    <w:p w14:paraId="4A4B6E92" w14:textId="77777777" w:rsidR="00D8600A" w:rsidRDefault="00D8600A" w:rsidP="00362B37">
      <w:pPr>
        <w:jc w:val="center"/>
        <w:rPr>
          <w:rFonts w:ascii="Arial" w:hAnsi="Arial" w:cs="Arial"/>
          <w:b/>
          <w:bCs/>
          <w:color w:val="000000"/>
        </w:rPr>
      </w:pPr>
    </w:p>
    <w:p w14:paraId="38D6F6E2" w14:textId="77777777" w:rsidR="00D8600A" w:rsidRDefault="00D8600A" w:rsidP="00362B37">
      <w:pPr>
        <w:jc w:val="center"/>
        <w:rPr>
          <w:rFonts w:ascii="Arial" w:hAnsi="Arial" w:cs="Arial"/>
          <w:b/>
          <w:bCs/>
          <w:color w:val="000000"/>
        </w:rPr>
      </w:pPr>
    </w:p>
    <w:p w14:paraId="345A45FE" w14:textId="77777777" w:rsidR="00D8600A" w:rsidRDefault="00D8600A" w:rsidP="006E1445">
      <w:pPr>
        <w:rPr>
          <w:rFonts w:ascii="Arial" w:hAnsi="Arial" w:cs="Arial"/>
          <w:b/>
          <w:bCs/>
          <w:color w:val="000000"/>
        </w:rPr>
      </w:pPr>
    </w:p>
    <w:p w14:paraId="55F422E8" w14:textId="77777777" w:rsidR="00770539" w:rsidRDefault="00770539" w:rsidP="002306FF">
      <w:pPr>
        <w:spacing w:line="360" w:lineRule="auto"/>
        <w:jc w:val="center"/>
        <w:rPr>
          <w:rFonts w:ascii="Arial" w:hAnsi="Arial" w:cs="Arial"/>
          <w:b/>
          <w:bCs/>
          <w:color w:val="000000"/>
        </w:rPr>
      </w:pPr>
    </w:p>
    <w:p w14:paraId="240515A9" w14:textId="77777777" w:rsidR="00770539" w:rsidRDefault="00770539" w:rsidP="002306FF">
      <w:pPr>
        <w:spacing w:line="360" w:lineRule="auto"/>
        <w:jc w:val="center"/>
        <w:rPr>
          <w:rFonts w:ascii="Arial" w:hAnsi="Arial" w:cs="Arial"/>
          <w:b/>
          <w:bCs/>
          <w:color w:val="000000"/>
        </w:rPr>
      </w:pPr>
    </w:p>
    <w:p w14:paraId="07332BD5" w14:textId="60719DE1" w:rsidR="004A5465" w:rsidRPr="00945D82" w:rsidRDefault="00EA278E" w:rsidP="002306FF">
      <w:pPr>
        <w:spacing w:line="360" w:lineRule="auto"/>
        <w:jc w:val="center"/>
        <w:rPr>
          <w:rFonts w:ascii="Arial" w:hAnsi="Arial" w:cs="Arial"/>
          <w:b/>
          <w:bCs/>
          <w:color w:val="000000"/>
        </w:rPr>
      </w:pPr>
      <w:r>
        <w:rPr>
          <w:rFonts w:ascii="Arial" w:hAnsi="Arial" w:cs="Arial"/>
          <w:b/>
          <w:bCs/>
          <w:color w:val="000000"/>
        </w:rPr>
        <w:t xml:space="preserve">Part A: </w:t>
      </w:r>
      <w:r w:rsidR="004A5465" w:rsidRPr="00945D82">
        <w:rPr>
          <w:rFonts w:ascii="Arial" w:hAnsi="Arial" w:cs="Arial"/>
          <w:b/>
          <w:bCs/>
          <w:color w:val="000000"/>
        </w:rPr>
        <w:t>Business Plan: Therapy Dogs in Schools in Wales</w:t>
      </w:r>
    </w:p>
    <w:p w14:paraId="3D3DF352" w14:textId="77777777" w:rsidR="00362B37" w:rsidRPr="00945D82" w:rsidRDefault="00362B37" w:rsidP="00D8600A">
      <w:pPr>
        <w:spacing w:line="360" w:lineRule="auto"/>
        <w:rPr>
          <w:rFonts w:ascii="Arial" w:hAnsi="Arial" w:cs="Arial"/>
          <w:color w:val="000000"/>
        </w:rPr>
      </w:pPr>
    </w:p>
    <w:p w14:paraId="69A1722E" w14:textId="77777777" w:rsidR="0091097C" w:rsidRPr="00945D82" w:rsidRDefault="00013B68" w:rsidP="00ED3BF7">
      <w:pPr>
        <w:spacing w:line="360" w:lineRule="auto"/>
        <w:rPr>
          <w:rFonts w:ascii="Arial" w:hAnsi="Arial" w:cs="Arial"/>
          <w:color w:val="000000"/>
        </w:rPr>
      </w:pPr>
      <w:r w:rsidRPr="00945D82">
        <w:rPr>
          <w:rFonts w:ascii="Arial" w:hAnsi="Arial" w:cs="Arial"/>
          <w:color w:val="000000"/>
        </w:rPr>
        <w:t xml:space="preserve">Welcome to Paws </w:t>
      </w:r>
      <w:proofErr w:type="spellStart"/>
      <w:r w:rsidRPr="00945D82">
        <w:rPr>
          <w:rFonts w:ascii="Arial" w:hAnsi="Arial" w:cs="Arial"/>
          <w:color w:val="000000"/>
        </w:rPr>
        <w:t>yn</w:t>
      </w:r>
      <w:proofErr w:type="spellEnd"/>
      <w:r w:rsidRPr="00945D82">
        <w:rPr>
          <w:rFonts w:ascii="Arial" w:hAnsi="Arial" w:cs="Arial"/>
          <w:color w:val="000000"/>
        </w:rPr>
        <w:t xml:space="preserve"> y </w:t>
      </w:r>
      <w:proofErr w:type="spellStart"/>
      <w:r w:rsidRPr="00945D82">
        <w:rPr>
          <w:rFonts w:ascii="Arial" w:hAnsi="Arial" w:cs="Arial"/>
          <w:color w:val="000000"/>
        </w:rPr>
        <w:t>ysgol</w:t>
      </w:r>
      <w:proofErr w:type="spellEnd"/>
      <w:r w:rsidRPr="00945D82">
        <w:rPr>
          <w:rFonts w:ascii="Arial" w:hAnsi="Arial" w:cs="Arial"/>
          <w:color w:val="000000"/>
        </w:rPr>
        <w:t>. I am Mary Sharp and I am here today to share this</w:t>
      </w:r>
      <w:r w:rsidR="004A5465" w:rsidRPr="00945D82">
        <w:rPr>
          <w:rFonts w:ascii="Arial" w:hAnsi="Arial" w:cs="Arial"/>
          <w:color w:val="000000"/>
        </w:rPr>
        <w:t xml:space="preserve"> proposal</w:t>
      </w:r>
      <w:r w:rsidRPr="00945D82">
        <w:rPr>
          <w:rFonts w:ascii="Arial" w:hAnsi="Arial" w:cs="Arial"/>
          <w:color w:val="000000"/>
        </w:rPr>
        <w:t xml:space="preserve">, which </w:t>
      </w:r>
      <w:r w:rsidR="004A5465" w:rsidRPr="00945D82">
        <w:rPr>
          <w:rFonts w:ascii="Arial" w:hAnsi="Arial" w:cs="Arial"/>
          <w:color w:val="000000"/>
        </w:rPr>
        <w:t xml:space="preserve">outlines the establishment and evaluation of a Therapy Dog Programme in schools across Wales. </w:t>
      </w:r>
    </w:p>
    <w:p w14:paraId="10CCFF9C" w14:textId="77777777" w:rsidR="0091097C" w:rsidRPr="00945D82" w:rsidRDefault="004A5465" w:rsidP="00ED3BF7">
      <w:pPr>
        <w:spacing w:line="360" w:lineRule="auto"/>
        <w:rPr>
          <w:rFonts w:ascii="Arial" w:hAnsi="Arial" w:cs="Arial"/>
          <w:color w:val="000000"/>
        </w:rPr>
      </w:pPr>
      <w:r w:rsidRPr="00945D82">
        <w:rPr>
          <w:rFonts w:ascii="Arial" w:hAnsi="Arial" w:cs="Arial"/>
          <w:color w:val="000000"/>
        </w:rPr>
        <w:t>Th</w:t>
      </w:r>
      <w:r w:rsidR="001D788B" w:rsidRPr="00945D82">
        <w:rPr>
          <w:rFonts w:ascii="Arial" w:hAnsi="Arial" w:cs="Arial"/>
          <w:color w:val="000000"/>
        </w:rPr>
        <w:t>e</w:t>
      </w:r>
      <w:r w:rsidRPr="00945D82">
        <w:rPr>
          <w:rFonts w:ascii="Arial" w:hAnsi="Arial" w:cs="Arial"/>
          <w:color w:val="000000"/>
        </w:rPr>
        <w:t xml:space="preserve"> programme is a UK-based specialist school-dog training provider, to support pupil wellbeing, engagement, and educational outcomes in primary and secondary settings. </w:t>
      </w:r>
    </w:p>
    <w:p w14:paraId="03140317" w14:textId="71A6385B" w:rsidR="00362B37" w:rsidRPr="00945D82" w:rsidRDefault="004A5465" w:rsidP="00ED3BF7">
      <w:pPr>
        <w:spacing w:line="360" w:lineRule="auto"/>
        <w:rPr>
          <w:rFonts w:ascii="Arial" w:hAnsi="Arial" w:cs="Arial"/>
          <w:color w:val="000000"/>
        </w:rPr>
      </w:pPr>
      <w:r w:rsidRPr="00945D82">
        <w:rPr>
          <w:rFonts w:ascii="Arial" w:hAnsi="Arial" w:cs="Arial"/>
          <w:color w:val="000000"/>
        </w:rPr>
        <w:t>Evidence from international research suggests that animal-assisted interventions, especially involving dogs, can contribute to emotional regulation, decreased anxiety, and improved literacy and social skills in school children (</w:t>
      </w:r>
      <w:proofErr w:type="spellStart"/>
      <w:r w:rsidRPr="00945D82">
        <w:rPr>
          <w:rFonts w:ascii="Arial" w:hAnsi="Arial" w:cs="Arial"/>
          <w:color w:val="000000"/>
        </w:rPr>
        <w:t>Grové</w:t>
      </w:r>
      <w:proofErr w:type="spellEnd"/>
      <w:r w:rsidRPr="00945D82">
        <w:rPr>
          <w:rFonts w:ascii="Arial" w:hAnsi="Arial" w:cs="Arial"/>
          <w:color w:val="000000"/>
        </w:rPr>
        <w:t xml:space="preserve">, 2021; Brelsford </w:t>
      </w:r>
      <w:r w:rsidRPr="00945D82">
        <w:rPr>
          <w:rFonts w:ascii="Arial" w:hAnsi="Arial" w:cs="Arial"/>
          <w:i/>
          <w:iCs/>
          <w:color w:val="000000"/>
        </w:rPr>
        <w:t>et al.,</w:t>
      </w:r>
      <w:r w:rsidRPr="00945D82">
        <w:rPr>
          <w:rFonts w:ascii="Arial" w:hAnsi="Arial" w:cs="Arial"/>
          <w:color w:val="000000"/>
        </w:rPr>
        <w:t xml:space="preserve"> 2017). The plan proposes a</w:t>
      </w:r>
      <w:r w:rsidR="00C73237" w:rsidRPr="00945D82">
        <w:rPr>
          <w:rFonts w:ascii="Arial" w:hAnsi="Arial" w:cs="Arial"/>
          <w:color w:val="000000"/>
        </w:rPr>
        <w:t xml:space="preserve"> </w:t>
      </w:r>
      <w:r w:rsidRPr="00945D82">
        <w:rPr>
          <w:rFonts w:ascii="Arial" w:hAnsi="Arial" w:cs="Arial"/>
          <w:color w:val="000000"/>
        </w:rPr>
        <w:t xml:space="preserve">pilot with </w:t>
      </w:r>
      <w:r w:rsidR="00C73237" w:rsidRPr="00945D82">
        <w:rPr>
          <w:rFonts w:ascii="Arial" w:hAnsi="Arial" w:cs="Arial"/>
          <w:color w:val="000000"/>
        </w:rPr>
        <w:t>i</w:t>
      </w:r>
      <w:r w:rsidRPr="00945D82">
        <w:rPr>
          <w:rFonts w:ascii="Arial" w:hAnsi="Arial" w:cs="Arial"/>
          <w:color w:val="000000"/>
        </w:rPr>
        <w:t xml:space="preserve">mplementation, monitoring and evaluation framework, risk controls, and sustainable funding strategy. </w:t>
      </w:r>
    </w:p>
    <w:p w14:paraId="60134193" w14:textId="77777777" w:rsidR="00362B37" w:rsidRPr="00945D82" w:rsidRDefault="00362B37" w:rsidP="00ED3BF7">
      <w:pPr>
        <w:spacing w:line="360" w:lineRule="auto"/>
        <w:rPr>
          <w:rFonts w:ascii="Arial" w:hAnsi="Arial" w:cs="Arial"/>
          <w:color w:val="000000"/>
        </w:rPr>
      </w:pPr>
    </w:p>
    <w:p w14:paraId="45DCAD61" w14:textId="3DF42CB8"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Introduction and Strategic Rationale </w:t>
      </w:r>
    </w:p>
    <w:p w14:paraId="13562992"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The mental health and wellbeing of children in Wales remain a central policy focus for educators, health professionals, and policymakers (</w:t>
      </w:r>
      <w:r w:rsidR="00362B37" w:rsidRPr="00945D82">
        <w:rPr>
          <w:rFonts w:ascii="Arial" w:hAnsi="Arial" w:cs="Arial"/>
          <w:color w:val="000000"/>
        </w:rPr>
        <w:t xml:space="preserve">Public Health Wales, </w:t>
      </w:r>
      <w:r w:rsidRPr="00945D82">
        <w:rPr>
          <w:rFonts w:ascii="Arial" w:hAnsi="Arial" w:cs="Arial"/>
          <w:color w:val="000000"/>
        </w:rPr>
        <w:t xml:space="preserve">PHW, 2025). Schools increasingly seek innovative approaches to support socio-emotional development and engagement, for example, recent initiatives using therapy dogs to address absence and anxiety in English and Welsh schools indicate growing interest in such interventions (The Guardian, 2024). Mental health and engagement issues in schools can hinder academic progress and social inclusion (Cary, 2025). </w:t>
      </w:r>
    </w:p>
    <w:p w14:paraId="4B7648D9" w14:textId="4FD577AA" w:rsidR="00362B37" w:rsidRPr="00945D82" w:rsidRDefault="004A5465" w:rsidP="00ED3BF7">
      <w:pPr>
        <w:spacing w:line="360" w:lineRule="auto"/>
        <w:rPr>
          <w:rFonts w:ascii="Arial" w:hAnsi="Arial" w:cs="Arial"/>
          <w:color w:val="000000"/>
        </w:rPr>
      </w:pPr>
      <w:r w:rsidRPr="00945D82">
        <w:rPr>
          <w:rFonts w:ascii="Arial" w:hAnsi="Arial" w:cs="Arial"/>
          <w:color w:val="000000"/>
        </w:rPr>
        <w:t>Human-Animal Interaction and Educational Theory Human animal interaction (HAI) has a long history of inquiry, with early research identifying psychological benefits when dogs are integrated into therapeutic contexts (Serpell, 1992). Evidence from educational settings suggests that animal-assisted interventions (AAIs) can have positive effects on emotional wellbeing, stress reduction, behaviour, and certain learning outcomes such as reading engagement (</w:t>
      </w:r>
      <w:proofErr w:type="spellStart"/>
      <w:r w:rsidRPr="00945D82">
        <w:rPr>
          <w:rFonts w:ascii="Arial" w:hAnsi="Arial" w:cs="Arial"/>
          <w:color w:val="000000"/>
        </w:rPr>
        <w:t>Grové</w:t>
      </w:r>
      <w:proofErr w:type="spellEnd"/>
      <w:r w:rsidRPr="00945D82">
        <w:rPr>
          <w:rFonts w:ascii="Arial" w:hAnsi="Arial" w:cs="Arial"/>
          <w:color w:val="000000"/>
        </w:rPr>
        <w:t xml:space="preserve">, 2021; Verhoeven </w:t>
      </w:r>
      <w:r w:rsidRPr="00945D82">
        <w:rPr>
          <w:rFonts w:ascii="Arial" w:hAnsi="Arial" w:cs="Arial"/>
          <w:i/>
          <w:iCs/>
          <w:color w:val="000000"/>
        </w:rPr>
        <w:t>et al.,</w:t>
      </w:r>
      <w:r w:rsidRPr="00945D82">
        <w:rPr>
          <w:rFonts w:ascii="Arial" w:hAnsi="Arial" w:cs="Arial"/>
          <w:color w:val="000000"/>
        </w:rPr>
        <w:t xml:space="preserve"> 2023). Systematic reviews, however, emphasise that while results are generally promising, research methodologies vary and must prioritise robust risk assessment and welfare considerations (Brelsford </w:t>
      </w:r>
      <w:r w:rsidRPr="00945D82">
        <w:rPr>
          <w:rFonts w:ascii="Arial" w:hAnsi="Arial" w:cs="Arial"/>
          <w:i/>
          <w:iCs/>
          <w:color w:val="000000"/>
        </w:rPr>
        <w:t>et al.,</w:t>
      </w:r>
      <w:r w:rsidRPr="00945D82">
        <w:rPr>
          <w:rFonts w:ascii="Arial" w:hAnsi="Arial" w:cs="Arial"/>
          <w:color w:val="000000"/>
        </w:rPr>
        <w:t xml:space="preserve"> 2017). </w:t>
      </w:r>
    </w:p>
    <w:p w14:paraId="37396113" w14:textId="77777777" w:rsidR="00362B37" w:rsidRPr="00945D82" w:rsidRDefault="00362B37" w:rsidP="00ED3BF7">
      <w:pPr>
        <w:spacing w:line="360" w:lineRule="auto"/>
        <w:rPr>
          <w:rFonts w:ascii="Arial" w:hAnsi="Arial" w:cs="Arial"/>
          <w:color w:val="000000"/>
        </w:rPr>
      </w:pPr>
    </w:p>
    <w:p w14:paraId="013A8A8F" w14:textId="30C7D1BA"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lastRenderedPageBreak/>
        <w:t xml:space="preserve">The Dog Mentor Programme in Wales </w:t>
      </w:r>
    </w:p>
    <w:p w14:paraId="0E96E36C" w14:textId="148D039E"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The Dog Mentor Programme is a specialised training initiative that prepares dogs and handlers for school-based roles, promoting wellbeing, stress reduction and social support. Active since 2013, its framework has been applied in more than 500 schools across the UK with over 600 dog teams (The Dog Mentor, 2025). In Wales, schools in Cardiff, Merthyr Tydfil, Bridgend, Anglesey, </w:t>
      </w:r>
      <w:r w:rsidR="00B6403A">
        <w:rPr>
          <w:rFonts w:ascii="Arial" w:hAnsi="Arial" w:cs="Arial"/>
          <w:color w:val="000000"/>
        </w:rPr>
        <w:t xml:space="preserve">and </w:t>
      </w:r>
      <w:r w:rsidRPr="00945D82">
        <w:rPr>
          <w:rFonts w:ascii="Arial" w:hAnsi="Arial" w:cs="Arial"/>
          <w:color w:val="000000"/>
        </w:rPr>
        <w:t>Powys already use this approach</w:t>
      </w:r>
      <w:r w:rsidR="00B6403A">
        <w:rPr>
          <w:rFonts w:ascii="Arial" w:hAnsi="Arial" w:cs="Arial"/>
          <w:color w:val="000000"/>
        </w:rPr>
        <w:t xml:space="preserve">. I will be implementing the approach within the Vale of Glamorgan which </w:t>
      </w:r>
      <w:r w:rsidRPr="00945D82">
        <w:rPr>
          <w:rFonts w:ascii="Arial" w:hAnsi="Arial" w:cs="Arial"/>
          <w:color w:val="000000"/>
        </w:rPr>
        <w:t>demonstrat</w:t>
      </w:r>
      <w:r w:rsidR="00B6403A">
        <w:rPr>
          <w:rFonts w:ascii="Arial" w:hAnsi="Arial" w:cs="Arial"/>
          <w:color w:val="000000"/>
        </w:rPr>
        <w:t>es</w:t>
      </w:r>
      <w:r w:rsidRPr="00945D82">
        <w:rPr>
          <w:rFonts w:ascii="Arial" w:hAnsi="Arial" w:cs="Arial"/>
          <w:color w:val="000000"/>
        </w:rPr>
        <w:t xml:space="preserve"> its adaptability across both primary and secondary settings (The Dog Mentor, 2025). Training Components and Safeguarding </w:t>
      </w:r>
      <w:r w:rsidR="00362B37" w:rsidRPr="00945D82">
        <w:rPr>
          <w:rFonts w:ascii="Arial" w:hAnsi="Arial" w:cs="Arial"/>
          <w:color w:val="000000"/>
        </w:rPr>
        <w:t>the</w:t>
      </w:r>
      <w:r w:rsidRPr="00945D82">
        <w:rPr>
          <w:rFonts w:ascii="Arial" w:hAnsi="Arial" w:cs="Arial"/>
          <w:color w:val="000000"/>
        </w:rPr>
        <w:t xml:space="preserve"> Dog Mentor training comprises an initial dog assessment, one day course for handlers, and a support package including risk assessment templates, pupil engagement resources, parental consent documents, and ongoing advice for one year (The Dog Mentor, 2025). A focus on dog welfare ensuring the role benefits both the animal and students is embedded in the curriculum, addressing ethical considerations crucial for sustainable practice. </w:t>
      </w:r>
    </w:p>
    <w:p w14:paraId="590A9F31" w14:textId="77777777" w:rsidR="00362B37" w:rsidRPr="00ED3BF7" w:rsidRDefault="00362B37" w:rsidP="00ED3BF7">
      <w:pPr>
        <w:spacing w:line="360" w:lineRule="auto"/>
        <w:rPr>
          <w:rFonts w:ascii="Arial" w:hAnsi="Arial" w:cs="Arial"/>
          <w:b/>
          <w:bCs/>
          <w:color w:val="000000"/>
        </w:rPr>
      </w:pPr>
    </w:p>
    <w:p w14:paraId="73FC9B66" w14:textId="3CE29D21"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Programme Goals and Objectives </w:t>
      </w:r>
    </w:p>
    <w:p w14:paraId="5E1D343B"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Primary Objectives </w:t>
      </w:r>
    </w:p>
    <w:p w14:paraId="6D5C2FE6"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1. Enhance student wellbeing and emotional regulation by integrating trained therapy dogs into school routines. </w:t>
      </w:r>
    </w:p>
    <w:p w14:paraId="7FC7D874"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2. Improve learning outcomes, particularly in areas such as literacy and pupil engagement, especially for vulnerable or disengaged groups. </w:t>
      </w:r>
    </w:p>
    <w:p w14:paraId="516435CB"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3. Promote social and behavioural skills, fostering empathy, responsibility, and positive peer interactions. </w:t>
      </w:r>
    </w:p>
    <w:p w14:paraId="5640BF22"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4. Build capacity and expertise among school staff, equipping educators with tools to manage animal-assisted interventions safely and effectively. </w:t>
      </w:r>
    </w:p>
    <w:p w14:paraId="247486E9" w14:textId="77777777" w:rsidR="00362B37" w:rsidRPr="00945D82" w:rsidRDefault="00362B37" w:rsidP="00ED3BF7">
      <w:pPr>
        <w:spacing w:line="360" w:lineRule="auto"/>
        <w:rPr>
          <w:rFonts w:ascii="Arial" w:hAnsi="Arial" w:cs="Arial"/>
          <w:color w:val="000000"/>
        </w:rPr>
      </w:pPr>
    </w:p>
    <w:p w14:paraId="2FCF5552"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Secondary Objectives </w:t>
      </w:r>
    </w:p>
    <w:p w14:paraId="2D54C0A0" w14:textId="77777777" w:rsidR="00B105EA" w:rsidRPr="00945D82" w:rsidRDefault="004A5465" w:rsidP="00ED3BF7">
      <w:pPr>
        <w:spacing w:line="360" w:lineRule="auto"/>
        <w:rPr>
          <w:rFonts w:ascii="Arial" w:hAnsi="Arial" w:cs="Arial"/>
          <w:color w:val="000000"/>
        </w:rPr>
      </w:pPr>
      <w:r w:rsidRPr="00945D82">
        <w:rPr>
          <w:rFonts w:ascii="Arial" w:hAnsi="Arial" w:cs="Arial"/>
          <w:color w:val="000000"/>
        </w:rPr>
        <w:t xml:space="preserve">1. Establish </w:t>
      </w:r>
      <w:r w:rsidR="00362B37" w:rsidRPr="00945D82">
        <w:rPr>
          <w:rFonts w:ascii="Arial" w:hAnsi="Arial" w:cs="Arial"/>
          <w:color w:val="000000"/>
        </w:rPr>
        <w:t>evidence-based</w:t>
      </w:r>
      <w:r w:rsidRPr="00945D82">
        <w:rPr>
          <w:rFonts w:ascii="Arial" w:hAnsi="Arial" w:cs="Arial"/>
          <w:color w:val="000000"/>
        </w:rPr>
        <w:t xml:space="preserve"> monitoring to support future research and scaling. </w:t>
      </w:r>
    </w:p>
    <w:p w14:paraId="317FAEA4" w14:textId="23DB4CF0"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2. Position participating schools as innovators in child wellbeing initiatives. </w:t>
      </w:r>
      <w:r w:rsidR="00C432E6" w:rsidRPr="00945D82">
        <w:rPr>
          <w:rFonts w:ascii="Arial" w:hAnsi="Arial" w:cs="Arial"/>
          <w:color w:val="000000"/>
        </w:rPr>
        <w:t>(</w:t>
      </w:r>
      <w:proofErr w:type="spellStart"/>
      <w:r w:rsidR="00C432E6" w:rsidRPr="00945D82">
        <w:rPr>
          <w:rFonts w:ascii="Arial" w:hAnsi="Arial" w:cs="Arial"/>
          <w:color w:val="000000"/>
        </w:rPr>
        <w:t>Ten</w:t>
      </w:r>
      <w:r w:rsidR="00025FE9" w:rsidRPr="00945D82">
        <w:rPr>
          <w:rFonts w:ascii="Arial" w:hAnsi="Arial" w:cs="Arial"/>
          <w:color w:val="000000"/>
        </w:rPr>
        <w:t>nesse</w:t>
      </w:r>
      <w:proofErr w:type="spellEnd"/>
      <w:r w:rsidR="00025FE9" w:rsidRPr="00945D82">
        <w:rPr>
          <w:rFonts w:ascii="Arial" w:hAnsi="Arial" w:cs="Arial"/>
          <w:color w:val="000000"/>
        </w:rPr>
        <w:t xml:space="preserve"> Department of Education, 2025)</w:t>
      </w:r>
    </w:p>
    <w:p w14:paraId="765D0B47" w14:textId="77777777" w:rsidR="00362B37" w:rsidRPr="00945D82" w:rsidRDefault="00362B37" w:rsidP="00ED3BF7">
      <w:pPr>
        <w:spacing w:line="360" w:lineRule="auto"/>
        <w:rPr>
          <w:rFonts w:ascii="Arial" w:hAnsi="Arial" w:cs="Arial"/>
          <w:color w:val="000000"/>
        </w:rPr>
      </w:pPr>
    </w:p>
    <w:p w14:paraId="4681AC57" w14:textId="314E45BD"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Implementation Plan: </w:t>
      </w:r>
    </w:p>
    <w:p w14:paraId="59BC2D9F" w14:textId="77667C5B"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Pilot Schools Selection: </w:t>
      </w:r>
    </w:p>
    <w:p w14:paraId="5F286797" w14:textId="6F5582B8" w:rsidR="00362B37" w:rsidRPr="00945D82" w:rsidRDefault="004A5465" w:rsidP="00ED3BF7">
      <w:pPr>
        <w:spacing w:line="360" w:lineRule="auto"/>
        <w:rPr>
          <w:rFonts w:ascii="Arial" w:hAnsi="Arial" w:cs="Arial"/>
          <w:color w:val="000000"/>
        </w:rPr>
      </w:pPr>
      <w:r w:rsidRPr="00945D82">
        <w:rPr>
          <w:rFonts w:ascii="Arial" w:hAnsi="Arial" w:cs="Arial"/>
          <w:color w:val="000000"/>
        </w:rPr>
        <w:lastRenderedPageBreak/>
        <w:t xml:space="preserve">Identify willing schools across urban and rural Welsh regions, ensuring diversity in socio-economic context and pupil needs. Priority will be given to schools with established pastoral support frameworks. Dog Mentor Training: Each school’s nominated dog and handler will complete The Dog Mentor Programme training. </w:t>
      </w:r>
    </w:p>
    <w:p w14:paraId="5C9077DF" w14:textId="49094CA5" w:rsidR="00362B37" w:rsidRPr="00945D82" w:rsidRDefault="00362B37" w:rsidP="00ED3BF7">
      <w:pPr>
        <w:spacing w:line="360" w:lineRule="auto"/>
        <w:rPr>
          <w:rFonts w:ascii="Arial" w:hAnsi="Arial" w:cs="Arial"/>
          <w:color w:val="000000"/>
        </w:rPr>
      </w:pPr>
    </w:p>
    <w:p w14:paraId="3B5F3CDA" w14:textId="77777777" w:rsidR="00AE7338" w:rsidRPr="00945D82" w:rsidRDefault="00B05BC2" w:rsidP="00ED3BF7">
      <w:pPr>
        <w:spacing w:line="360" w:lineRule="auto"/>
        <w:rPr>
          <w:rFonts w:ascii="Arial" w:hAnsi="Arial" w:cs="Arial"/>
          <w:color w:val="000000"/>
        </w:rPr>
      </w:pPr>
      <w:r w:rsidRPr="00945D82">
        <w:rPr>
          <w:rFonts w:ascii="Arial" w:hAnsi="Arial" w:cs="Arial"/>
          <w:color w:val="000000"/>
        </w:rPr>
        <w:t xml:space="preserve">Dogs </w:t>
      </w:r>
      <w:r w:rsidR="004A5465" w:rsidRPr="00945D82">
        <w:rPr>
          <w:rFonts w:ascii="Arial" w:hAnsi="Arial" w:cs="Arial"/>
          <w:color w:val="000000"/>
        </w:rPr>
        <w:t xml:space="preserve">will initially undertake supervised visits 2–4 days per week. Activities include calm presence in common areas, structured reading support, and tailored interventions for targeted students. </w:t>
      </w:r>
    </w:p>
    <w:p w14:paraId="4FD6F094" w14:textId="77777777" w:rsidR="00AE7338" w:rsidRPr="00945D82" w:rsidRDefault="004A5465" w:rsidP="00ED3BF7">
      <w:pPr>
        <w:spacing w:line="360" w:lineRule="auto"/>
        <w:rPr>
          <w:rFonts w:ascii="Arial" w:hAnsi="Arial" w:cs="Arial"/>
          <w:color w:val="000000"/>
        </w:rPr>
      </w:pPr>
      <w:r w:rsidRPr="00945D82">
        <w:rPr>
          <w:rFonts w:ascii="Arial" w:hAnsi="Arial" w:cs="Arial"/>
          <w:color w:val="000000"/>
        </w:rPr>
        <w:t xml:space="preserve">Teachers and support staff will be trained in managing interactions, allergy considerations, and emergency procedures. </w:t>
      </w:r>
    </w:p>
    <w:p w14:paraId="34764B97" w14:textId="77777777" w:rsidR="00AE7338" w:rsidRPr="00945D82" w:rsidRDefault="004A5465" w:rsidP="00ED3BF7">
      <w:pPr>
        <w:spacing w:line="360" w:lineRule="auto"/>
        <w:rPr>
          <w:rFonts w:ascii="Arial" w:hAnsi="Arial" w:cs="Arial"/>
          <w:color w:val="000000"/>
        </w:rPr>
      </w:pPr>
      <w:r w:rsidRPr="00945D82">
        <w:rPr>
          <w:rFonts w:ascii="Arial" w:hAnsi="Arial" w:cs="Arial"/>
          <w:color w:val="000000"/>
        </w:rPr>
        <w:t xml:space="preserve">Parental and pupil consent frameworks </w:t>
      </w:r>
      <w:r w:rsidR="00AE7338" w:rsidRPr="00945D82">
        <w:rPr>
          <w:rFonts w:ascii="Arial" w:hAnsi="Arial" w:cs="Arial"/>
          <w:color w:val="000000"/>
        </w:rPr>
        <w:t>will be included.</w:t>
      </w:r>
    </w:p>
    <w:p w14:paraId="7B870FE2" w14:textId="393EBCC4"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Regular checks on dog wellbeing, pupil behaviour incidents, and adherence to risk assessment protocols will form part of school governance. </w:t>
      </w:r>
      <w:r w:rsidR="00410506" w:rsidRPr="00945D82">
        <w:rPr>
          <w:rFonts w:ascii="Arial" w:hAnsi="Arial" w:cs="Arial"/>
          <w:color w:val="000000"/>
        </w:rPr>
        <w:t>(The Dog Mentor, 2025)</w:t>
      </w:r>
    </w:p>
    <w:p w14:paraId="54F74615" w14:textId="77777777" w:rsidR="00362B37" w:rsidRPr="00945D82" w:rsidRDefault="00362B37" w:rsidP="00ED3BF7">
      <w:pPr>
        <w:spacing w:line="360" w:lineRule="auto"/>
        <w:rPr>
          <w:rFonts w:ascii="Arial" w:hAnsi="Arial" w:cs="Arial"/>
          <w:color w:val="000000"/>
        </w:rPr>
      </w:pPr>
    </w:p>
    <w:p w14:paraId="51EC601D" w14:textId="74301DD6"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Marketing and Stakeholder Engagement Communication Strategy </w:t>
      </w:r>
    </w:p>
    <w:p w14:paraId="6E6B5B65" w14:textId="77777777" w:rsidR="005A288A" w:rsidRPr="00945D82" w:rsidRDefault="004A5465" w:rsidP="00ED3BF7">
      <w:pPr>
        <w:spacing w:line="360" w:lineRule="auto"/>
        <w:rPr>
          <w:rFonts w:ascii="Arial" w:hAnsi="Arial" w:cs="Arial"/>
          <w:color w:val="000000"/>
        </w:rPr>
      </w:pPr>
      <w:r w:rsidRPr="00945D82">
        <w:rPr>
          <w:rFonts w:ascii="Arial" w:hAnsi="Arial" w:cs="Arial"/>
          <w:color w:val="000000"/>
        </w:rPr>
        <w:t xml:space="preserve">A communication plan will inform parents, staff, and pupils about the programme’s benefits and safeguards. </w:t>
      </w:r>
    </w:p>
    <w:p w14:paraId="7BB06724" w14:textId="77777777" w:rsidR="005A288A" w:rsidRPr="00945D82" w:rsidRDefault="004A5465" w:rsidP="00ED3BF7">
      <w:pPr>
        <w:spacing w:line="360" w:lineRule="auto"/>
        <w:rPr>
          <w:rFonts w:ascii="Arial" w:hAnsi="Arial" w:cs="Arial"/>
          <w:color w:val="000000"/>
        </w:rPr>
      </w:pPr>
      <w:r w:rsidRPr="00945D82">
        <w:rPr>
          <w:rFonts w:ascii="Arial" w:hAnsi="Arial" w:cs="Arial"/>
          <w:color w:val="000000"/>
        </w:rPr>
        <w:t xml:space="preserve">Success stories, data insights, and good practice narratives will be shared through newsletters, assemblies, and local media. </w:t>
      </w:r>
    </w:p>
    <w:p w14:paraId="0C1BE130" w14:textId="36ED075B" w:rsidR="00362B37" w:rsidRPr="00945D82" w:rsidRDefault="004A5465" w:rsidP="00ED3BF7">
      <w:pPr>
        <w:spacing w:line="360" w:lineRule="auto"/>
        <w:rPr>
          <w:rFonts w:ascii="Arial" w:hAnsi="Arial" w:cs="Arial"/>
          <w:color w:val="000000"/>
        </w:rPr>
      </w:pPr>
      <w:r w:rsidRPr="00945D82">
        <w:rPr>
          <w:rFonts w:ascii="Arial" w:hAnsi="Arial" w:cs="Arial"/>
          <w:color w:val="000000"/>
        </w:rPr>
        <w:t>Key Partners and Supporters</w:t>
      </w:r>
      <w:r w:rsidR="005A288A" w:rsidRPr="00945D82">
        <w:rPr>
          <w:rFonts w:ascii="Arial" w:hAnsi="Arial" w:cs="Arial"/>
          <w:color w:val="000000"/>
        </w:rPr>
        <w:t xml:space="preserve"> </w:t>
      </w:r>
      <w:r w:rsidRPr="00945D82">
        <w:rPr>
          <w:rFonts w:ascii="Arial" w:hAnsi="Arial" w:cs="Arial"/>
          <w:color w:val="000000"/>
        </w:rPr>
        <w:t xml:space="preserve">include: </w:t>
      </w:r>
    </w:p>
    <w:p w14:paraId="5C285555"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Local authorities and education consortia in Wales. </w:t>
      </w:r>
    </w:p>
    <w:p w14:paraId="6F890473"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Mental health organisations for children and young people. </w:t>
      </w:r>
    </w:p>
    <w:p w14:paraId="2949D86B"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Academic research teams who may collaborate on evaluation. </w:t>
      </w:r>
    </w:p>
    <w:p w14:paraId="50BF822D" w14:textId="3AE960BF"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Engagement with stakeholders such as Welsh Government education department will be essential to secure </w:t>
      </w:r>
      <w:r w:rsidR="00362B37" w:rsidRPr="00945D82">
        <w:rPr>
          <w:rFonts w:ascii="Arial" w:hAnsi="Arial" w:cs="Arial"/>
          <w:color w:val="000000"/>
        </w:rPr>
        <w:t>long-term</w:t>
      </w:r>
      <w:r w:rsidRPr="00945D82">
        <w:rPr>
          <w:rFonts w:ascii="Arial" w:hAnsi="Arial" w:cs="Arial"/>
          <w:color w:val="000000"/>
        </w:rPr>
        <w:t xml:space="preserve"> support. </w:t>
      </w:r>
      <w:r w:rsidR="004038EE" w:rsidRPr="00945D82">
        <w:rPr>
          <w:rFonts w:ascii="Arial" w:hAnsi="Arial" w:cs="Arial"/>
          <w:color w:val="000000"/>
        </w:rPr>
        <w:t xml:space="preserve">(The Baxter Project, </w:t>
      </w:r>
      <w:r w:rsidR="00C45B86" w:rsidRPr="00945D82">
        <w:rPr>
          <w:rFonts w:ascii="Arial" w:hAnsi="Arial" w:cs="Arial"/>
          <w:color w:val="000000"/>
        </w:rPr>
        <w:t>2024)</w:t>
      </w:r>
    </w:p>
    <w:p w14:paraId="201698C0" w14:textId="77777777" w:rsidR="00362B37" w:rsidRPr="00945D82" w:rsidRDefault="00362B37" w:rsidP="00ED3BF7">
      <w:pPr>
        <w:spacing w:line="360" w:lineRule="auto"/>
        <w:rPr>
          <w:rFonts w:ascii="Arial" w:hAnsi="Arial" w:cs="Arial"/>
          <w:color w:val="000000"/>
        </w:rPr>
      </w:pPr>
    </w:p>
    <w:p w14:paraId="6CD7A449" w14:textId="27C680AD"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Monitoring and Evaluation </w:t>
      </w:r>
    </w:p>
    <w:p w14:paraId="04D56ED4" w14:textId="7A60117C" w:rsidR="00362B37" w:rsidRPr="00945D82" w:rsidRDefault="004A5465" w:rsidP="00ED3BF7">
      <w:pPr>
        <w:spacing w:line="360" w:lineRule="auto"/>
        <w:rPr>
          <w:rFonts w:ascii="Arial" w:hAnsi="Arial" w:cs="Arial"/>
          <w:color w:val="000000"/>
        </w:rPr>
      </w:pPr>
      <w:r w:rsidRPr="00945D82">
        <w:rPr>
          <w:rFonts w:ascii="Arial" w:hAnsi="Arial" w:cs="Arial"/>
          <w:color w:val="000000"/>
        </w:rPr>
        <w:t>Framework Data Collection and Metrics</w:t>
      </w:r>
      <w:r w:rsidR="00533783" w:rsidRPr="00945D82">
        <w:rPr>
          <w:rFonts w:ascii="Arial" w:hAnsi="Arial" w:cs="Arial"/>
          <w:color w:val="000000"/>
        </w:rPr>
        <w:t xml:space="preserve"> </w:t>
      </w:r>
      <w:r w:rsidRPr="00945D82">
        <w:rPr>
          <w:rFonts w:ascii="Arial" w:hAnsi="Arial" w:cs="Arial"/>
          <w:color w:val="000000"/>
        </w:rPr>
        <w:t xml:space="preserve">will be monitored using the following: </w:t>
      </w:r>
    </w:p>
    <w:p w14:paraId="027F195B"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Wellbeing indices (e.g., pupil self-reports, behaviour logs). </w:t>
      </w:r>
    </w:p>
    <w:p w14:paraId="4FDE4B1F"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Academic engagement (attendance, reading levels, teacher assessments). </w:t>
      </w:r>
    </w:p>
    <w:p w14:paraId="54301A75"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Observational data on student behaviour changes. </w:t>
      </w:r>
    </w:p>
    <w:p w14:paraId="7BCB3872" w14:textId="77777777" w:rsidR="00362B37" w:rsidRPr="00945D82" w:rsidRDefault="00362B37" w:rsidP="00ED3BF7">
      <w:pPr>
        <w:spacing w:line="360" w:lineRule="auto"/>
        <w:rPr>
          <w:rFonts w:ascii="Arial" w:hAnsi="Arial" w:cs="Arial"/>
          <w:color w:val="000000"/>
        </w:rPr>
      </w:pPr>
    </w:p>
    <w:p w14:paraId="6F451613"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Research and Evidence Generation </w:t>
      </w:r>
    </w:p>
    <w:p w14:paraId="0F5D3CD3"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lastRenderedPageBreak/>
        <w:t xml:space="preserve">The pilot will be designed to support academic study. Potential collaborators may include universities interested in human-animal interaction or educational innovation. Evaluability is critical, with pre and post intervention measures and control considerations to strengthen causal inference (Brelsford </w:t>
      </w:r>
      <w:r w:rsidRPr="00945D82">
        <w:rPr>
          <w:rFonts w:ascii="Arial" w:hAnsi="Arial" w:cs="Arial"/>
          <w:i/>
          <w:iCs/>
          <w:color w:val="000000"/>
        </w:rPr>
        <w:t>et al.,</w:t>
      </w:r>
      <w:r w:rsidRPr="00945D82">
        <w:rPr>
          <w:rFonts w:ascii="Arial" w:hAnsi="Arial" w:cs="Arial"/>
          <w:color w:val="000000"/>
        </w:rPr>
        <w:t xml:space="preserve"> 2017). </w:t>
      </w:r>
    </w:p>
    <w:p w14:paraId="38D77E27" w14:textId="77777777" w:rsidR="00362B37" w:rsidRPr="00945D82" w:rsidRDefault="00362B37" w:rsidP="00ED3BF7">
      <w:pPr>
        <w:spacing w:line="360" w:lineRule="auto"/>
        <w:rPr>
          <w:rFonts w:ascii="Arial" w:hAnsi="Arial" w:cs="Arial"/>
          <w:color w:val="000000"/>
        </w:rPr>
      </w:pPr>
    </w:p>
    <w:p w14:paraId="6F317C4A" w14:textId="587A0E7B"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Risk Analysis and Mitigation Identified Risks </w:t>
      </w:r>
    </w:p>
    <w:p w14:paraId="17CFD50F"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Allergic reactions and phobias among pupils or staff. </w:t>
      </w:r>
    </w:p>
    <w:p w14:paraId="341946DC"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Behavioural incidents involving dogs. </w:t>
      </w:r>
    </w:p>
    <w:p w14:paraId="0EB7976B"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Animal welfare concerns if dogs are overstimulated. </w:t>
      </w:r>
    </w:p>
    <w:p w14:paraId="78E250B6"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Academic literature emphasises the need for robust risk assessment frameworks and welfare safeguards when introducing AAIs into schools (Brelsford </w:t>
      </w:r>
      <w:r w:rsidRPr="00945D82">
        <w:rPr>
          <w:rFonts w:ascii="Arial" w:hAnsi="Arial" w:cs="Arial"/>
          <w:i/>
          <w:iCs/>
          <w:color w:val="000000"/>
        </w:rPr>
        <w:t>et al.,</w:t>
      </w:r>
      <w:r w:rsidRPr="00945D82">
        <w:rPr>
          <w:rFonts w:ascii="Arial" w:hAnsi="Arial" w:cs="Arial"/>
          <w:color w:val="000000"/>
        </w:rPr>
        <w:t xml:space="preserve"> 2017). </w:t>
      </w:r>
    </w:p>
    <w:p w14:paraId="4CAE6A41" w14:textId="77777777" w:rsidR="006A6F75" w:rsidRPr="00945D82" w:rsidRDefault="006A6F75" w:rsidP="00ED3BF7">
      <w:pPr>
        <w:spacing w:line="360" w:lineRule="auto"/>
        <w:rPr>
          <w:rFonts w:ascii="Arial" w:hAnsi="Arial" w:cs="Arial"/>
          <w:color w:val="000000"/>
        </w:rPr>
      </w:pPr>
    </w:p>
    <w:p w14:paraId="1E4782EC" w14:textId="39109845"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Mitigation Strategies </w:t>
      </w:r>
    </w:p>
    <w:p w14:paraId="30522435"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Comprehensive risk assessments prior to integration. </w:t>
      </w:r>
    </w:p>
    <w:p w14:paraId="78EC4C39"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Regular welfare checks for dogs. </w:t>
      </w:r>
    </w:p>
    <w:p w14:paraId="3E4228E5"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Clear consent and opt-out processes for pupils and staff. </w:t>
      </w:r>
    </w:p>
    <w:p w14:paraId="0BEF7863"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Allergy aware scheduling and zoning. </w:t>
      </w:r>
    </w:p>
    <w:p w14:paraId="3AE6F6AF" w14:textId="77777777" w:rsidR="00362B37" w:rsidRPr="00945D82" w:rsidRDefault="00362B37" w:rsidP="00ED3BF7">
      <w:pPr>
        <w:spacing w:line="360" w:lineRule="auto"/>
        <w:rPr>
          <w:rFonts w:ascii="Arial" w:hAnsi="Arial" w:cs="Arial"/>
          <w:color w:val="000000"/>
        </w:rPr>
      </w:pPr>
    </w:p>
    <w:p w14:paraId="107D938C" w14:textId="3C921EA0"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Financial Plan Cost Projections </w:t>
      </w:r>
    </w:p>
    <w:p w14:paraId="51DD5112" w14:textId="301FB0D6"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Major costs are training with The Dog Mentor Programme (including assessment and support resources), staff training time, and programme coordination. Each trained dog and handler partnership receives one year of support post training (The Dog Mentor, 2025). </w:t>
      </w:r>
    </w:p>
    <w:p w14:paraId="55DD010C" w14:textId="77777777" w:rsidR="00A00156" w:rsidRPr="00945D82" w:rsidRDefault="00A00156" w:rsidP="00ED3BF7">
      <w:pPr>
        <w:spacing w:line="360" w:lineRule="auto"/>
        <w:rPr>
          <w:rFonts w:ascii="Arial" w:hAnsi="Arial" w:cs="Arial"/>
          <w:color w:val="000000"/>
        </w:rPr>
      </w:pPr>
    </w:p>
    <w:p w14:paraId="5846197B"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Funding Sources </w:t>
      </w:r>
    </w:p>
    <w:p w14:paraId="5050B37D"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School budgets and pastoral support funds. </w:t>
      </w:r>
    </w:p>
    <w:p w14:paraId="58A3B8BA"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Local authority wellbeing grants. </w:t>
      </w:r>
    </w:p>
    <w:p w14:paraId="4708950E"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Third-sector partnerships with charities and trusts aligned with child mental health. </w:t>
      </w:r>
    </w:p>
    <w:p w14:paraId="6C1A95DB"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 Private and philanthropic grants focused on educational innovation. </w:t>
      </w:r>
    </w:p>
    <w:p w14:paraId="72B7FFF7"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t xml:space="preserve">A cost benefit narrative will be developed, showing potential reductions in behavioural interventions and improved pupil engagement as long term value propositions. </w:t>
      </w:r>
    </w:p>
    <w:p w14:paraId="115D2976" w14:textId="77777777" w:rsidR="00362B37" w:rsidRPr="00945D82" w:rsidRDefault="00362B37" w:rsidP="00ED3BF7">
      <w:pPr>
        <w:spacing w:line="360" w:lineRule="auto"/>
        <w:rPr>
          <w:rFonts w:ascii="Arial" w:hAnsi="Arial" w:cs="Arial"/>
          <w:color w:val="000000"/>
        </w:rPr>
      </w:pPr>
    </w:p>
    <w:p w14:paraId="767EBF22" w14:textId="7777629A"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Ethical and Welfare Considerations </w:t>
      </w:r>
    </w:p>
    <w:p w14:paraId="59C849D0" w14:textId="77777777" w:rsidR="00362B37" w:rsidRPr="00945D82" w:rsidRDefault="004A5465" w:rsidP="00ED3BF7">
      <w:pPr>
        <w:spacing w:line="360" w:lineRule="auto"/>
        <w:rPr>
          <w:rFonts w:ascii="Arial" w:hAnsi="Arial" w:cs="Arial"/>
          <w:color w:val="000000"/>
        </w:rPr>
      </w:pPr>
      <w:r w:rsidRPr="00945D82">
        <w:rPr>
          <w:rFonts w:ascii="Arial" w:hAnsi="Arial" w:cs="Arial"/>
          <w:color w:val="000000"/>
        </w:rPr>
        <w:lastRenderedPageBreak/>
        <w:t xml:space="preserve">The programme will adopt stringent ethical guidelines. Dog welfare is paramount, with structured rest periods, behavioural monitoring and a requirement that the dogs’ involvement is mutually beneficial, aligning with The Dog Mentor Programme’s stated priorities (The Dog Mentor, 2025). </w:t>
      </w:r>
    </w:p>
    <w:p w14:paraId="55F003BC" w14:textId="77777777" w:rsidR="00362B37" w:rsidRPr="00945D82" w:rsidRDefault="00362B37" w:rsidP="00ED3BF7">
      <w:pPr>
        <w:spacing w:line="360" w:lineRule="auto"/>
        <w:rPr>
          <w:rFonts w:ascii="Arial" w:hAnsi="Arial" w:cs="Arial"/>
          <w:color w:val="000000"/>
        </w:rPr>
      </w:pPr>
    </w:p>
    <w:p w14:paraId="7B8EB677" w14:textId="2CFAF2D6" w:rsidR="00362B37" w:rsidRPr="00ED3BF7" w:rsidRDefault="004A5465" w:rsidP="00ED3BF7">
      <w:pPr>
        <w:pStyle w:val="ListParagraph"/>
        <w:numPr>
          <w:ilvl w:val="0"/>
          <w:numId w:val="1"/>
        </w:numPr>
        <w:spacing w:line="360" w:lineRule="auto"/>
        <w:rPr>
          <w:rFonts w:ascii="Arial" w:hAnsi="Arial" w:cs="Arial"/>
          <w:b/>
          <w:bCs/>
          <w:color w:val="000000"/>
        </w:rPr>
      </w:pPr>
      <w:r w:rsidRPr="00ED3BF7">
        <w:rPr>
          <w:rFonts w:ascii="Arial" w:hAnsi="Arial" w:cs="Arial"/>
          <w:b/>
          <w:bCs/>
          <w:color w:val="000000"/>
        </w:rPr>
        <w:t xml:space="preserve">Conclusion </w:t>
      </w:r>
    </w:p>
    <w:p w14:paraId="694809E3" w14:textId="73CC315D" w:rsidR="00D23CB1" w:rsidRPr="00945D82" w:rsidRDefault="004A5465" w:rsidP="00ED3BF7">
      <w:pPr>
        <w:spacing w:line="360" w:lineRule="auto"/>
        <w:rPr>
          <w:rFonts w:ascii="Arial" w:hAnsi="Arial" w:cs="Arial"/>
          <w:color w:val="000000"/>
        </w:rPr>
      </w:pPr>
      <w:r w:rsidRPr="00945D82">
        <w:rPr>
          <w:rFonts w:ascii="Arial" w:hAnsi="Arial" w:cs="Arial"/>
          <w:color w:val="000000"/>
        </w:rPr>
        <w:t>Therapy dogs, when effectively trained and integrated through a well-designed programme like The Dog Mentor, have the potential to make a meaningful contribution to wellbeing and educational engagement in Welsh schools. While empirical research calls for greater methodological rigour in studies of animal-assisted interventions, the body of literature points to promising outcomes in emotional, social, and academic domains (</w:t>
      </w:r>
      <w:proofErr w:type="spellStart"/>
      <w:r w:rsidRPr="00945D82">
        <w:rPr>
          <w:rFonts w:ascii="Arial" w:hAnsi="Arial" w:cs="Arial"/>
          <w:color w:val="000000"/>
        </w:rPr>
        <w:t>Grové</w:t>
      </w:r>
      <w:proofErr w:type="spellEnd"/>
      <w:r w:rsidRPr="00945D82">
        <w:rPr>
          <w:rFonts w:ascii="Arial" w:hAnsi="Arial" w:cs="Arial"/>
          <w:color w:val="000000"/>
        </w:rPr>
        <w:t xml:space="preserve">, 2021; Verhoeven </w:t>
      </w:r>
      <w:r w:rsidRPr="00945D82">
        <w:rPr>
          <w:rFonts w:ascii="Arial" w:hAnsi="Arial" w:cs="Arial"/>
          <w:i/>
          <w:iCs/>
          <w:color w:val="000000"/>
        </w:rPr>
        <w:t>et al.,</w:t>
      </w:r>
      <w:r w:rsidRPr="00945D82">
        <w:rPr>
          <w:rFonts w:ascii="Arial" w:hAnsi="Arial" w:cs="Arial"/>
          <w:color w:val="000000"/>
        </w:rPr>
        <w:t xml:space="preserve"> 2023). This plan proposes a manageable, evidence-informed pilot that balances innovation with rigorous monitoring, risk management, and ethical safeguards, positioning Welsh schools at the forefront of holistic pupil support.</w:t>
      </w:r>
    </w:p>
    <w:p w14:paraId="19E1583F" w14:textId="77777777" w:rsidR="004A5465" w:rsidRPr="00945D82" w:rsidRDefault="004A5465" w:rsidP="00ED3BF7">
      <w:pPr>
        <w:spacing w:line="360" w:lineRule="auto"/>
        <w:rPr>
          <w:rFonts w:ascii="Arial" w:hAnsi="Arial" w:cs="Arial"/>
          <w:color w:val="000000"/>
        </w:rPr>
      </w:pPr>
    </w:p>
    <w:p w14:paraId="1D20591D" w14:textId="77777777" w:rsidR="00362B37" w:rsidRPr="00362B37" w:rsidRDefault="00362B37" w:rsidP="004A5465">
      <w:pPr>
        <w:pStyle w:val="NormalWeb"/>
        <w:rPr>
          <w:rFonts w:ascii="Arial" w:hAnsi="Arial" w:cs="Arial"/>
          <w:color w:val="000000"/>
        </w:rPr>
      </w:pPr>
    </w:p>
    <w:p w14:paraId="3D470D90" w14:textId="77777777" w:rsidR="00035EC2" w:rsidRDefault="00035EC2" w:rsidP="00035EC2">
      <w:pPr>
        <w:pStyle w:val="NormalWeb"/>
        <w:jc w:val="center"/>
        <w:rPr>
          <w:rFonts w:ascii="Arial" w:hAnsi="Arial" w:cs="Arial"/>
          <w:b/>
          <w:bCs/>
          <w:color w:val="000000"/>
        </w:rPr>
      </w:pPr>
    </w:p>
    <w:p w14:paraId="54653634" w14:textId="77777777" w:rsidR="00035EC2" w:rsidRDefault="00035EC2" w:rsidP="00035EC2">
      <w:pPr>
        <w:pStyle w:val="NormalWeb"/>
        <w:jc w:val="center"/>
        <w:rPr>
          <w:rFonts w:ascii="Arial" w:hAnsi="Arial" w:cs="Arial"/>
          <w:b/>
          <w:bCs/>
          <w:color w:val="000000"/>
        </w:rPr>
      </w:pPr>
    </w:p>
    <w:p w14:paraId="4C60A30C" w14:textId="77777777" w:rsidR="00035EC2" w:rsidRDefault="00035EC2" w:rsidP="00035EC2">
      <w:pPr>
        <w:pStyle w:val="NormalWeb"/>
        <w:jc w:val="center"/>
        <w:rPr>
          <w:rFonts w:ascii="Arial" w:hAnsi="Arial" w:cs="Arial"/>
          <w:b/>
          <w:bCs/>
          <w:color w:val="000000"/>
        </w:rPr>
      </w:pPr>
    </w:p>
    <w:p w14:paraId="0B136A40" w14:textId="77777777" w:rsidR="00035EC2" w:rsidRDefault="00035EC2" w:rsidP="00035EC2">
      <w:pPr>
        <w:pStyle w:val="NormalWeb"/>
        <w:jc w:val="center"/>
        <w:rPr>
          <w:rFonts w:ascii="Arial" w:hAnsi="Arial" w:cs="Arial"/>
          <w:b/>
          <w:bCs/>
          <w:color w:val="000000"/>
        </w:rPr>
      </w:pPr>
    </w:p>
    <w:p w14:paraId="621C2671" w14:textId="77777777" w:rsidR="00035EC2" w:rsidRDefault="00035EC2" w:rsidP="00035EC2">
      <w:pPr>
        <w:pStyle w:val="NormalWeb"/>
        <w:jc w:val="center"/>
        <w:rPr>
          <w:rFonts w:ascii="Arial" w:hAnsi="Arial" w:cs="Arial"/>
          <w:b/>
          <w:bCs/>
          <w:color w:val="000000"/>
        </w:rPr>
      </w:pPr>
    </w:p>
    <w:p w14:paraId="0F399F12" w14:textId="77777777" w:rsidR="00035EC2" w:rsidRDefault="00035EC2" w:rsidP="00035EC2">
      <w:pPr>
        <w:pStyle w:val="NormalWeb"/>
        <w:jc w:val="center"/>
        <w:rPr>
          <w:rFonts w:ascii="Arial" w:hAnsi="Arial" w:cs="Arial"/>
          <w:b/>
          <w:bCs/>
          <w:color w:val="000000"/>
        </w:rPr>
      </w:pPr>
    </w:p>
    <w:p w14:paraId="7EA7D7A3" w14:textId="77777777" w:rsidR="00ED3BF7" w:rsidRDefault="00ED3BF7" w:rsidP="00CA7C55">
      <w:pPr>
        <w:pStyle w:val="NormalWeb"/>
        <w:jc w:val="center"/>
        <w:rPr>
          <w:rFonts w:ascii="Arial" w:hAnsi="Arial" w:cs="Arial"/>
          <w:b/>
          <w:bCs/>
          <w:color w:val="000000"/>
        </w:rPr>
      </w:pPr>
    </w:p>
    <w:p w14:paraId="475585D9" w14:textId="77777777" w:rsidR="00ED3BF7" w:rsidRDefault="00ED3BF7" w:rsidP="00CA7C55">
      <w:pPr>
        <w:pStyle w:val="NormalWeb"/>
        <w:jc w:val="center"/>
        <w:rPr>
          <w:rFonts w:ascii="Arial" w:hAnsi="Arial" w:cs="Arial"/>
          <w:b/>
          <w:bCs/>
          <w:color w:val="000000"/>
        </w:rPr>
      </w:pPr>
    </w:p>
    <w:p w14:paraId="18BAF656" w14:textId="77777777" w:rsidR="00ED3BF7" w:rsidRDefault="00ED3BF7" w:rsidP="00CA7C55">
      <w:pPr>
        <w:pStyle w:val="NormalWeb"/>
        <w:jc w:val="center"/>
        <w:rPr>
          <w:rFonts w:ascii="Arial" w:hAnsi="Arial" w:cs="Arial"/>
          <w:b/>
          <w:bCs/>
          <w:color w:val="000000"/>
        </w:rPr>
      </w:pPr>
    </w:p>
    <w:p w14:paraId="401D7A9B" w14:textId="77777777" w:rsidR="00ED3BF7" w:rsidRDefault="00ED3BF7" w:rsidP="00CA7C55">
      <w:pPr>
        <w:pStyle w:val="NormalWeb"/>
        <w:jc w:val="center"/>
        <w:rPr>
          <w:rFonts w:ascii="Arial" w:hAnsi="Arial" w:cs="Arial"/>
          <w:b/>
          <w:bCs/>
          <w:color w:val="000000"/>
        </w:rPr>
      </w:pPr>
    </w:p>
    <w:p w14:paraId="7184FB2C" w14:textId="77777777" w:rsidR="00ED3BF7" w:rsidRDefault="00ED3BF7" w:rsidP="00CA7C55">
      <w:pPr>
        <w:pStyle w:val="NormalWeb"/>
        <w:jc w:val="center"/>
        <w:rPr>
          <w:rFonts w:ascii="Arial" w:hAnsi="Arial" w:cs="Arial"/>
          <w:b/>
          <w:bCs/>
          <w:color w:val="000000"/>
        </w:rPr>
      </w:pPr>
    </w:p>
    <w:p w14:paraId="6DBC6B22" w14:textId="77777777" w:rsidR="00ED3BF7" w:rsidRDefault="00ED3BF7" w:rsidP="00CA7C55">
      <w:pPr>
        <w:pStyle w:val="NormalWeb"/>
        <w:jc w:val="center"/>
        <w:rPr>
          <w:rFonts w:ascii="Arial" w:hAnsi="Arial" w:cs="Arial"/>
          <w:b/>
          <w:bCs/>
          <w:color w:val="000000"/>
        </w:rPr>
      </w:pPr>
    </w:p>
    <w:p w14:paraId="3F884D9F" w14:textId="15A4C8EA" w:rsidR="00362B37" w:rsidRPr="00035EC2" w:rsidRDefault="00362B37" w:rsidP="00CA7C55">
      <w:pPr>
        <w:pStyle w:val="NormalWeb"/>
        <w:jc w:val="center"/>
        <w:rPr>
          <w:rFonts w:ascii="Arial" w:hAnsi="Arial" w:cs="Arial"/>
          <w:b/>
          <w:bCs/>
          <w:color w:val="000000"/>
        </w:rPr>
      </w:pPr>
      <w:r w:rsidRPr="00035EC2">
        <w:rPr>
          <w:rFonts w:ascii="Arial" w:hAnsi="Arial" w:cs="Arial"/>
          <w:b/>
          <w:bCs/>
          <w:color w:val="000000"/>
        </w:rPr>
        <w:lastRenderedPageBreak/>
        <w:t>Reference</w:t>
      </w:r>
      <w:r w:rsidR="00035EC2" w:rsidRPr="00035EC2">
        <w:rPr>
          <w:rFonts w:ascii="Arial" w:hAnsi="Arial" w:cs="Arial"/>
          <w:b/>
          <w:bCs/>
          <w:color w:val="000000"/>
        </w:rPr>
        <w:t xml:space="preserve"> List</w:t>
      </w:r>
    </w:p>
    <w:p w14:paraId="563E6321" w14:textId="0F71F32A" w:rsidR="004A5465" w:rsidRPr="00362B37" w:rsidRDefault="004A5465" w:rsidP="004A5465">
      <w:pPr>
        <w:pStyle w:val="NormalWeb"/>
        <w:rPr>
          <w:rFonts w:ascii="Arial" w:hAnsi="Arial" w:cs="Arial"/>
          <w:color w:val="000000"/>
        </w:rPr>
      </w:pPr>
      <w:r w:rsidRPr="00362B37">
        <w:rPr>
          <w:rFonts w:ascii="Arial" w:hAnsi="Arial" w:cs="Arial"/>
          <w:color w:val="000000"/>
        </w:rPr>
        <w:t>Brelsford, V.L., Dimolareva, M., Gee, N.R. and Meints, K. (2017) ‘Best practice standards in animal-assisted interventions: How the use of animals in human services can benefit from evidence-based practice’,</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Frontiers in Veterinary Science</w:t>
      </w:r>
      <w:r w:rsidRPr="00362B37">
        <w:rPr>
          <w:rFonts w:ascii="Arial" w:hAnsi="Arial" w:cs="Arial"/>
          <w:color w:val="000000"/>
        </w:rPr>
        <w:t xml:space="preserve">, 4, p. 35. </w:t>
      </w:r>
      <w:r w:rsidR="00680D62">
        <w:rPr>
          <w:rFonts w:ascii="Arial" w:hAnsi="Arial" w:cs="Arial"/>
          <w:color w:val="000000"/>
        </w:rPr>
        <w:t xml:space="preserve">DOI: </w:t>
      </w:r>
      <w:r w:rsidRPr="00362B37">
        <w:rPr>
          <w:rFonts w:ascii="Arial" w:hAnsi="Arial" w:cs="Arial"/>
          <w:color w:val="000000"/>
        </w:rPr>
        <w:t>https://doi.org/10.3389/fvets.2017.00035</w:t>
      </w:r>
      <w:r w:rsidRPr="00362B37">
        <w:rPr>
          <w:rStyle w:val="apple-converted-space"/>
          <w:rFonts w:ascii="Arial" w:eastAsiaTheme="majorEastAsia" w:hAnsi="Arial" w:cs="Arial"/>
          <w:color w:val="000000"/>
        </w:rPr>
        <w:t> </w:t>
      </w:r>
      <w:r w:rsidRPr="00362B37">
        <w:rPr>
          <w:rFonts w:ascii="Arial" w:hAnsi="Arial" w:cs="Arial"/>
          <w:color w:val="000000"/>
        </w:rPr>
        <w:t>(Accessed: 23 February 2026).</w:t>
      </w:r>
    </w:p>
    <w:p w14:paraId="326DBF3B" w14:textId="535605C0" w:rsidR="004A5465" w:rsidRDefault="004A5465" w:rsidP="004A5465">
      <w:pPr>
        <w:pStyle w:val="NormalWeb"/>
        <w:rPr>
          <w:rFonts w:ascii="Arial" w:hAnsi="Arial" w:cs="Arial"/>
          <w:color w:val="000000"/>
        </w:rPr>
      </w:pPr>
      <w:r w:rsidRPr="00362B37">
        <w:rPr>
          <w:rFonts w:ascii="Arial" w:hAnsi="Arial" w:cs="Arial"/>
          <w:color w:val="000000"/>
        </w:rPr>
        <w:t>Cary, A. (2025)</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Mental health and engagement issues in schools: Implications for academic progress and social inclusion</w:t>
      </w:r>
      <w:r w:rsidRPr="00362B37">
        <w:rPr>
          <w:rFonts w:ascii="Arial" w:hAnsi="Arial" w:cs="Arial"/>
          <w:color w:val="000000"/>
        </w:rPr>
        <w:t xml:space="preserve">. </w:t>
      </w:r>
      <w:r w:rsidR="00680D62">
        <w:rPr>
          <w:rFonts w:ascii="Arial" w:hAnsi="Arial" w:cs="Arial"/>
          <w:color w:val="000000"/>
        </w:rPr>
        <w:t xml:space="preserve">Available at: </w:t>
      </w:r>
      <w:hyperlink r:id="rId8" w:history="1">
        <w:r w:rsidR="00680D62" w:rsidRPr="00A812FA">
          <w:rPr>
            <w:rStyle w:val="Hyperlink"/>
            <w:rFonts w:ascii="Arial" w:hAnsi="Arial" w:cs="Arial"/>
          </w:rPr>
          <w:t>https://researchbriefings.files.parliament.uk/documents/POST-PN-0739/POST-PN-0739.pdf</w:t>
        </w:r>
      </w:hyperlink>
      <w:r w:rsidR="00680D62">
        <w:rPr>
          <w:rFonts w:ascii="Arial" w:hAnsi="Arial" w:cs="Arial"/>
          <w:color w:val="000000"/>
        </w:rPr>
        <w:t xml:space="preserve"> (Accessed on 23 February 2026).</w:t>
      </w:r>
    </w:p>
    <w:p w14:paraId="0D0F855D" w14:textId="0612E16D" w:rsidR="000A23F2" w:rsidRPr="00362B37" w:rsidRDefault="000A23F2" w:rsidP="004A5465">
      <w:pPr>
        <w:pStyle w:val="NormalWeb"/>
        <w:rPr>
          <w:rFonts w:ascii="Arial" w:hAnsi="Arial" w:cs="Arial"/>
          <w:color w:val="000000"/>
        </w:rPr>
      </w:pPr>
      <w:r>
        <w:rPr>
          <w:rFonts w:ascii="Arial" w:hAnsi="Arial" w:cs="Arial"/>
          <w:color w:val="000000"/>
        </w:rPr>
        <w:t>C</w:t>
      </w:r>
      <w:r w:rsidR="00CD5CD6">
        <w:rPr>
          <w:rFonts w:ascii="Arial" w:hAnsi="Arial" w:cs="Arial"/>
          <w:color w:val="000000"/>
        </w:rPr>
        <w:t>hat</w:t>
      </w:r>
      <w:r w:rsidR="002E65CD">
        <w:rPr>
          <w:rFonts w:ascii="Arial" w:hAnsi="Arial" w:cs="Arial"/>
          <w:color w:val="000000"/>
        </w:rPr>
        <w:t xml:space="preserve"> </w:t>
      </w:r>
      <w:r w:rsidR="00CD5CD6">
        <w:rPr>
          <w:rFonts w:ascii="Arial" w:hAnsi="Arial" w:cs="Arial"/>
          <w:color w:val="000000"/>
        </w:rPr>
        <w:t>GPT</w:t>
      </w:r>
      <w:r w:rsidR="008131C3">
        <w:rPr>
          <w:rFonts w:ascii="Arial" w:hAnsi="Arial" w:cs="Arial"/>
          <w:color w:val="000000"/>
        </w:rPr>
        <w:t xml:space="preserve">, </w:t>
      </w:r>
      <w:r w:rsidR="00824BE6">
        <w:rPr>
          <w:rFonts w:ascii="Arial" w:hAnsi="Arial" w:cs="Arial"/>
          <w:color w:val="000000"/>
        </w:rPr>
        <w:t>(</w:t>
      </w:r>
      <w:r w:rsidR="008131C3">
        <w:rPr>
          <w:rFonts w:ascii="Arial" w:hAnsi="Arial" w:cs="Arial"/>
          <w:color w:val="000000"/>
        </w:rPr>
        <w:t>2026</w:t>
      </w:r>
      <w:r w:rsidR="00824BE6">
        <w:rPr>
          <w:rFonts w:ascii="Arial" w:hAnsi="Arial" w:cs="Arial"/>
          <w:color w:val="000000"/>
        </w:rPr>
        <w:t>)</w:t>
      </w:r>
      <w:r w:rsidR="008131C3">
        <w:rPr>
          <w:rFonts w:ascii="Arial" w:hAnsi="Arial" w:cs="Arial"/>
          <w:color w:val="000000"/>
        </w:rPr>
        <w:t xml:space="preserve"> ‘Create a logo for </w:t>
      </w:r>
      <w:r w:rsidR="00360815">
        <w:rPr>
          <w:rFonts w:ascii="Arial" w:hAnsi="Arial" w:cs="Arial"/>
          <w:color w:val="000000"/>
        </w:rPr>
        <w:t xml:space="preserve">Therapy dogs in school in </w:t>
      </w:r>
      <w:proofErr w:type="spellStart"/>
      <w:r w:rsidR="00360815">
        <w:rPr>
          <w:rFonts w:ascii="Arial" w:hAnsi="Arial" w:cs="Arial"/>
          <w:color w:val="000000"/>
        </w:rPr>
        <w:t>Wales’</w:t>
      </w:r>
      <w:proofErr w:type="spellEnd"/>
      <w:r w:rsidR="00360815">
        <w:rPr>
          <w:rFonts w:ascii="Arial" w:hAnsi="Arial" w:cs="Arial"/>
          <w:color w:val="000000"/>
        </w:rPr>
        <w:t xml:space="preserve"> (Accessed: </w:t>
      </w:r>
      <w:r w:rsidR="002E65CD">
        <w:rPr>
          <w:rFonts w:ascii="Arial" w:hAnsi="Arial" w:cs="Arial"/>
          <w:color w:val="000000"/>
        </w:rPr>
        <w:t>9 February 2026).</w:t>
      </w:r>
    </w:p>
    <w:p w14:paraId="374E16E5" w14:textId="41158428" w:rsidR="004A5465" w:rsidRPr="00362B37" w:rsidRDefault="004A5465" w:rsidP="004A5465">
      <w:pPr>
        <w:pStyle w:val="NormalWeb"/>
        <w:rPr>
          <w:rFonts w:ascii="Arial" w:hAnsi="Arial" w:cs="Arial"/>
          <w:color w:val="000000"/>
        </w:rPr>
      </w:pPr>
      <w:proofErr w:type="spellStart"/>
      <w:r w:rsidRPr="00362B37">
        <w:rPr>
          <w:rFonts w:ascii="Arial" w:hAnsi="Arial" w:cs="Arial"/>
          <w:color w:val="000000"/>
        </w:rPr>
        <w:t>Grové</w:t>
      </w:r>
      <w:proofErr w:type="spellEnd"/>
      <w:r w:rsidRPr="00362B37">
        <w:rPr>
          <w:rFonts w:ascii="Arial" w:hAnsi="Arial" w:cs="Arial"/>
          <w:color w:val="000000"/>
        </w:rPr>
        <w:t>, C. (2021) ‘The impact of school-based animal-assisted interventions on children’s wellbeing: A systematic review’,</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International Journal of Environmental Research and Public Health</w:t>
      </w:r>
      <w:r w:rsidRPr="00362B37">
        <w:rPr>
          <w:rFonts w:ascii="Arial" w:hAnsi="Arial" w:cs="Arial"/>
          <w:color w:val="000000"/>
        </w:rPr>
        <w:t xml:space="preserve">, 18(9), p. 4493. </w:t>
      </w:r>
      <w:r w:rsidR="0016300A">
        <w:rPr>
          <w:rFonts w:ascii="Arial" w:hAnsi="Arial" w:cs="Arial"/>
          <w:color w:val="000000"/>
        </w:rPr>
        <w:t xml:space="preserve">DOI: </w:t>
      </w:r>
      <w:r w:rsidRPr="00362B37">
        <w:rPr>
          <w:rFonts w:ascii="Arial" w:hAnsi="Arial" w:cs="Arial"/>
          <w:color w:val="000000"/>
        </w:rPr>
        <w:t>https://doi.org/10.3390/ijerph18094493</w:t>
      </w:r>
      <w:r w:rsidRPr="00362B37">
        <w:rPr>
          <w:rStyle w:val="apple-converted-space"/>
          <w:rFonts w:ascii="Arial" w:eastAsiaTheme="majorEastAsia" w:hAnsi="Arial" w:cs="Arial"/>
          <w:color w:val="000000"/>
        </w:rPr>
        <w:t> </w:t>
      </w:r>
      <w:r w:rsidRPr="00362B37">
        <w:rPr>
          <w:rFonts w:ascii="Arial" w:hAnsi="Arial" w:cs="Arial"/>
          <w:color w:val="000000"/>
        </w:rPr>
        <w:t>(Accessed: 23 February 2026).</w:t>
      </w:r>
    </w:p>
    <w:p w14:paraId="49D12E93" w14:textId="77777777" w:rsidR="004A5465" w:rsidRPr="00362B37" w:rsidRDefault="004A5465" w:rsidP="004A5465">
      <w:pPr>
        <w:pStyle w:val="NormalWeb"/>
        <w:rPr>
          <w:rFonts w:ascii="Arial" w:hAnsi="Arial" w:cs="Arial"/>
          <w:color w:val="000000"/>
        </w:rPr>
      </w:pPr>
      <w:r w:rsidRPr="00362B37">
        <w:rPr>
          <w:rFonts w:ascii="Arial" w:hAnsi="Arial" w:cs="Arial"/>
          <w:color w:val="000000"/>
        </w:rPr>
        <w:t>Public Health Wales (PHW) (2025)</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Children and young people’s mental health and wellbeing strategy 2025–2035</w:t>
      </w:r>
      <w:r w:rsidRPr="00362B37">
        <w:rPr>
          <w:rFonts w:ascii="Arial" w:hAnsi="Arial" w:cs="Arial"/>
          <w:color w:val="000000"/>
        </w:rPr>
        <w:t>. Cardiff: Public Health Wales. Available at:</w:t>
      </w:r>
      <w:r w:rsidRPr="00362B37">
        <w:rPr>
          <w:rStyle w:val="apple-converted-space"/>
          <w:rFonts w:ascii="Arial" w:eastAsiaTheme="majorEastAsia" w:hAnsi="Arial" w:cs="Arial"/>
          <w:color w:val="000000"/>
        </w:rPr>
        <w:t> </w:t>
      </w:r>
      <w:hyperlink r:id="rId9" w:tgtFrame="_new" w:history="1">
        <w:r w:rsidRPr="00362B37">
          <w:rPr>
            <w:rStyle w:val="Hyperlink"/>
            <w:rFonts w:ascii="Arial" w:eastAsiaTheme="majorEastAsia" w:hAnsi="Arial" w:cs="Arial"/>
          </w:rPr>
          <w:t>https://www.gov.wales/</w:t>
        </w:r>
      </w:hyperlink>
      <w:r w:rsidRPr="00362B37">
        <w:rPr>
          <w:rStyle w:val="apple-converted-space"/>
          <w:rFonts w:ascii="Arial" w:eastAsiaTheme="majorEastAsia" w:hAnsi="Arial" w:cs="Arial"/>
          <w:color w:val="000000"/>
        </w:rPr>
        <w:t> </w:t>
      </w:r>
      <w:r w:rsidRPr="00362B37">
        <w:rPr>
          <w:rFonts w:ascii="Arial" w:hAnsi="Arial" w:cs="Arial"/>
          <w:color w:val="000000"/>
        </w:rPr>
        <w:t>(Accessed: 23 February 2026).</w:t>
      </w:r>
    </w:p>
    <w:p w14:paraId="78F4A001" w14:textId="2EA273F9" w:rsidR="004A5465" w:rsidRPr="0016300A" w:rsidRDefault="004A5465" w:rsidP="0016300A">
      <w:pPr>
        <w:spacing w:before="100" w:beforeAutospacing="1" w:after="100" w:afterAutospacing="1"/>
        <w:rPr>
          <w:rFonts w:ascii="Segoe UI" w:hAnsi="Segoe UI" w:cs="Segoe UI"/>
          <w:color w:val="212121"/>
        </w:rPr>
      </w:pPr>
      <w:r w:rsidRPr="00362B37">
        <w:rPr>
          <w:rFonts w:ascii="Arial" w:hAnsi="Arial" w:cs="Arial"/>
          <w:color w:val="000000"/>
        </w:rPr>
        <w:t>Serpell, J. (1992) ‘Beneficial effects of pet ownership on some aspects of human health and behaviour’,</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Journal of the Royal Society of Medicine</w:t>
      </w:r>
      <w:r w:rsidRPr="00362B37">
        <w:rPr>
          <w:rFonts w:ascii="Arial" w:hAnsi="Arial" w:cs="Arial"/>
          <w:color w:val="000000"/>
        </w:rPr>
        <w:t>, 85(12), pp. 717–720.</w:t>
      </w:r>
      <w:r w:rsidR="0016300A">
        <w:rPr>
          <w:rFonts w:ascii="Arial" w:hAnsi="Arial" w:cs="Arial"/>
          <w:color w:val="000000"/>
        </w:rPr>
        <w:t xml:space="preserve"> </w:t>
      </w:r>
      <w:r w:rsidR="0016300A">
        <w:rPr>
          <w:rStyle w:val="id-label"/>
          <w:rFonts w:ascii="Segoe UI" w:hAnsi="Segoe UI" w:cs="Segoe UI"/>
          <w:color w:val="212121"/>
        </w:rPr>
        <w:t>DOI:</w:t>
      </w:r>
      <w:r w:rsidR="0016300A">
        <w:rPr>
          <w:rStyle w:val="apple-converted-space"/>
          <w:rFonts w:ascii="Segoe UI" w:hAnsi="Segoe UI" w:cs="Segoe UI"/>
          <w:color w:val="212121"/>
        </w:rPr>
        <w:t> </w:t>
      </w:r>
      <w:hyperlink r:id="rId10" w:tgtFrame="_blank" w:history="1">
        <w:r w:rsidR="0016300A">
          <w:rPr>
            <w:rStyle w:val="Hyperlink"/>
            <w:rFonts w:ascii="Segoe UI" w:hAnsi="Segoe UI" w:cs="Segoe UI"/>
            <w:color w:val="0071BC"/>
          </w:rPr>
          <w:t>10.1177/014107689108401208</w:t>
        </w:r>
      </w:hyperlink>
    </w:p>
    <w:p w14:paraId="5F91805F" w14:textId="73207763" w:rsidR="009723BA" w:rsidRPr="007B32F0" w:rsidRDefault="009723BA" w:rsidP="004A5465">
      <w:pPr>
        <w:pStyle w:val="NormalWeb"/>
        <w:rPr>
          <w:rFonts w:ascii="Arial" w:hAnsi="Arial" w:cs="Arial"/>
          <w:color w:val="000000"/>
        </w:rPr>
      </w:pPr>
      <w:r>
        <w:rPr>
          <w:rFonts w:ascii="Arial" w:hAnsi="Arial" w:cs="Arial"/>
          <w:color w:val="000000"/>
        </w:rPr>
        <w:t xml:space="preserve">Tennessee Department of Education (2025) </w:t>
      </w:r>
      <w:r w:rsidRPr="009723BA">
        <w:rPr>
          <w:rFonts w:ascii="Arial" w:hAnsi="Arial" w:cs="Arial"/>
          <w:i/>
          <w:iCs/>
          <w:color w:val="000000"/>
        </w:rPr>
        <w:t>School Therapy Dog Implementation Guide</w:t>
      </w:r>
      <w:r w:rsidR="009234ED">
        <w:rPr>
          <w:rFonts w:ascii="Arial" w:hAnsi="Arial" w:cs="Arial"/>
          <w:color w:val="000000"/>
        </w:rPr>
        <w:t xml:space="preserve">. </w:t>
      </w:r>
      <w:r w:rsidR="00BE13F9">
        <w:rPr>
          <w:rFonts w:ascii="Arial" w:hAnsi="Arial" w:cs="Arial"/>
          <w:color w:val="000000"/>
        </w:rPr>
        <w:t xml:space="preserve">Available at: </w:t>
      </w:r>
      <w:hyperlink r:id="rId11" w:history="1">
        <w:r w:rsidR="00EF6FE1" w:rsidRPr="00A812FA">
          <w:rPr>
            <w:rStyle w:val="Hyperlink"/>
            <w:rFonts w:ascii="Arial" w:hAnsi="Arial" w:cs="Arial"/>
          </w:rPr>
          <w:t>https://www.tn.gov/content/dam/tn/education/health-%26-safety/School_Therapy_Dog_Implementation_Guide.pdf?utm_source</w:t>
        </w:r>
      </w:hyperlink>
      <w:r w:rsidR="00EF6FE1">
        <w:rPr>
          <w:rFonts w:ascii="Arial" w:hAnsi="Arial" w:cs="Arial"/>
          <w:color w:val="000000"/>
        </w:rPr>
        <w:t xml:space="preserve"> (Accessed:23 February 2026).</w:t>
      </w:r>
    </w:p>
    <w:p w14:paraId="5BAB4810" w14:textId="77777777" w:rsidR="004A5465" w:rsidRPr="00362B37" w:rsidRDefault="004A5465" w:rsidP="004A5465">
      <w:pPr>
        <w:pStyle w:val="NormalWeb"/>
        <w:rPr>
          <w:rFonts w:ascii="Arial" w:hAnsi="Arial" w:cs="Arial"/>
          <w:color w:val="000000"/>
        </w:rPr>
      </w:pPr>
      <w:r w:rsidRPr="00362B37">
        <w:rPr>
          <w:rFonts w:ascii="Arial" w:hAnsi="Arial" w:cs="Arial"/>
          <w:color w:val="000000"/>
        </w:rPr>
        <w:t>The Dog Mentor (2025)</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The Dog Mentor Programme: School dog training and wellbeing framework</w:t>
      </w:r>
      <w:r w:rsidRPr="00362B37">
        <w:rPr>
          <w:rFonts w:ascii="Arial" w:hAnsi="Arial" w:cs="Arial"/>
          <w:color w:val="000000"/>
        </w:rPr>
        <w:t>. Available at:</w:t>
      </w:r>
      <w:r w:rsidRPr="00362B37">
        <w:rPr>
          <w:rStyle w:val="apple-converted-space"/>
          <w:rFonts w:ascii="Arial" w:eastAsiaTheme="majorEastAsia" w:hAnsi="Arial" w:cs="Arial"/>
          <w:color w:val="000000"/>
        </w:rPr>
        <w:t> </w:t>
      </w:r>
      <w:hyperlink r:id="rId12" w:tgtFrame="_new" w:history="1">
        <w:r w:rsidRPr="00362B37">
          <w:rPr>
            <w:rStyle w:val="Hyperlink"/>
            <w:rFonts w:ascii="Arial" w:eastAsiaTheme="majorEastAsia" w:hAnsi="Arial" w:cs="Arial"/>
          </w:rPr>
          <w:t>https://www.thedogmentor.co.uk/</w:t>
        </w:r>
      </w:hyperlink>
      <w:r w:rsidRPr="00362B37">
        <w:rPr>
          <w:rStyle w:val="apple-converted-space"/>
          <w:rFonts w:ascii="Arial" w:eastAsiaTheme="majorEastAsia" w:hAnsi="Arial" w:cs="Arial"/>
          <w:color w:val="000000"/>
        </w:rPr>
        <w:t> </w:t>
      </w:r>
      <w:r w:rsidRPr="00362B37">
        <w:rPr>
          <w:rFonts w:ascii="Arial" w:hAnsi="Arial" w:cs="Arial"/>
          <w:color w:val="000000"/>
        </w:rPr>
        <w:t>(Accessed: 23 February 2026).</w:t>
      </w:r>
    </w:p>
    <w:p w14:paraId="54F877D6" w14:textId="77777777" w:rsidR="004A5465" w:rsidRPr="00362B37" w:rsidRDefault="004A5465" w:rsidP="004A5465">
      <w:pPr>
        <w:pStyle w:val="NormalWeb"/>
        <w:rPr>
          <w:rFonts w:ascii="Arial" w:hAnsi="Arial" w:cs="Arial"/>
          <w:color w:val="000000"/>
        </w:rPr>
      </w:pPr>
      <w:r w:rsidRPr="00362B37">
        <w:rPr>
          <w:rFonts w:ascii="Arial" w:hAnsi="Arial" w:cs="Arial"/>
          <w:color w:val="000000"/>
        </w:rPr>
        <w:t>The Guardian (2024) ‘Schools turn to therapy dogs to tackle absence and anxiety’,</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The Guardian</w:t>
      </w:r>
      <w:r w:rsidRPr="00362B37">
        <w:rPr>
          <w:rFonts w:ascii="Arial" w:hAnsi="Arial" w:cs="Arial"/>
          <w:color w:val="000000"/>
        </w:rPr>
        <w:t>, [online]. Available at:</w:t>
      </w:r>
      <w:r w:rsidRPr="00362B37">
        <w:rPr>
          <w:rStyle w:val="apple-converted-space"/>
          <w:rFonts w:ascii="Arial" w:eastAsiaTheme="majorEastAsia" w:hAnsi="Arial" w:cs="Arial"/>
          <w:color w:val="000000"/>
        </w:rPr>
        <w:t> </w:t>
      </w:r>
      <w:hyperlink r:id="rId13" w:tgtFrame="_new" w:history="1">
        <w:r w:rsidRPr="00362B37">
          <w:rPr>
            <w:rStyle w:val="Hyperlink"/>
            <w:rFonts w:ascii="Arial" w:eastAsiaTheme="majorEastAsia" w:hAnsi="Arial" w:cs="Arial"/>
          </w:rPr>
          <w:t>https://www.theguardian.com/</w:t>
        </w:r>
      </w:hyperlink>
      <w:r w:rsidRPr="00362B37">
        <w:rPr>
          <w:rStyle w:val="apple-converted-space"/>
          <w:rFonts w:ascii="Arial" w:eastAsiaTheme="majorEastAsia" w:hAnsi="Arial" w:cs="Arial"/>
          <w:color w:val="000000"/>
        </w:rPr>
        <w:t> </w:t>
      </w:r>
      <w:r w:rsidRPr="00362B37">
        <w:rPr>
          <w:rFonts w:ascii="Arial" w:hAnsi="Arial" w:cs="Arial"/>
          <w:color w:val="000000"/>
        </w:rPr>
        <w:t>(Accessed: 23 February 2026).</w:t>
      </w:r>
    </w:p>
    <w:p w14:paraId="5B1A2767" w14:textId="2D98C8AE" w:rsidR="004A5465" w:rsidRPr="00362B37" w:rsidRDefault="004A5465" w:rsidP="004A5465">
      <w:pPr>
        <w:pStyle w:val="NormalWeb"/>
        <w:rPr>
          <w:rFonts w:ascii="Arial" w:hAnsi="Arial" w:cs="Arial"/>
          <w:color w:val="000000"/>
        </w:rPr>
      </w:pPr>
      <w:r w:rsidRPr="00362B37">
        <w:rPr>
          <w:rFonts w:ascii="Arial" w:hAnsi="Arial" w:cs="Arial"/>
          <w:color w:val="000000"/>
        </w:rPr>
        <w:t>Verhoeven, E.W.M., Enders-Slegers, M.J. and Eshuis, J. (2023) ‘Animal-assisted interventions in educational settings: A review of emotional and academic outcomes’,</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Educational Research Review</w:t>
      </w:r>
      <w:r w:rsidRPr="00362B37">
        <w:rPr>
          <w:rFonts w:ascii="Arial" w:hAnsi="Arial" w:cs="Arial"/>
          <w:color w:val="000000"/>
        </w:rPr>
        <w:t>, 38</w:t>
      </w:r>
      <w:r w:rsidR="008D3013">
        <w:rPr>
          <w:rFonts w:ascii="Arial" w:hAnsi="Arial" w:cs="Arial"/>
          <w:color w:val="000000"/>
        </w:rPr>
        <w:t xml:space="preserve">. </w:t>
      </w:r>
      <w:r w:rsidR="00042BD1">
        <w:rPr>
          <w:rFonts w:ascii="Arial" w:hAnsi="Arial" w:cs="Arial"/>
          <w:color w:val="000000"/>
        </w:rPr>
        <w:t xml:space="preserve">DOI: </w:t>
      </w:r>
      <w:r w:rsidRPr="00362B37">
        <w:rPr>
          <w:rFonts w:ascii="Arial" w:hAnsi="Arial" w:cs="Arial"/>
          <w:color w:val="000000"/>
        </w:rPr>
        <w:t>https://doi.org/10.1016/j.edurev.2022.100501</w:t>
      </w:r>
      <w:r w:rsidRPr="00362B37">
        <w:rPr>
          <w:rStyle w:val="apple-converted-space"/>
          <w:rFonts w:ascii="Arial" w:eastAsiaTheme="majorEastAsia" w:hAnsi="Arial" w:cs="Arial"/>
          <w:color w:val="000000"/>
        </w:rPr>
        <w:t> </w:t>
      </w:r>
      <w:r w:rsidRPr="00362B37">
        <w:rPr>
          <w:rFonts w:ascii="Arial" w:hAnsi="Arial" w:cs="Arial"/>
          <w:color w:val="000000"/>
        </w:rPr>
        <w:t>(Accessed: 23 February 2026).</w:t>
      </w:r>
    </w:p>
    <w:p w14:paraId="5F9B5106" w14:textId="40DB2651" w:rsidR="004038EE" w:rsidRDefault="004A5465" w:rsidP="008D3013">
      <w:pPr>
        <w:pStyle w:val="NormalWeb"/>
        <w:rPr>
          <w:rFonts w:ascii="Arial" w:hAnsi="Arial" w:cs="Arial"/>
          <w:color w:val="000000"/>
        </w:rPr>
      </w:pPr>
      <w:r w:rsidRPr="00362B37">
        <w:rPr>
          <w:rFonts w:ascii="Arial" w:hAnsi="Arial" w:cs="Arial"/>
          <w:color w:val="000000"/>
        </w:rPr>
        <w:t>Welsh Government (2025)</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Mental health and wellbeing strategy for Wales 2025–2035</w:t>
      </w:r>
      <w:r w:rsidRPr="00362B37">
        <w:rPr>
          <w:rFonts w:ascii="Arial" w:hAnsi="Arial" w:cs="Arial"/>
          <w:color w:val="000000"/>
        </w:rPr>
        <w:t>.</w:t>
      </w:r>
      <w:r w:rsidR="009234ED">
        <w:rPr>
          <w:rFonts w:ascii="Arial" w:hAnsi="Arial" w:cs="Arial"/>
          <w:color w:val="000000"/>
        </w:rPr>
        <w:t xml:space="preserve"> </w:t>
      </w:r>
      <w:r w:rsidRPr="00362B37">
        <w:rPr>
          <w:rFonts w:ascii="Arial" w:hAnsi="Arial" w:cs="Arial"/>
          <w:color w:val="000000"/>
        </w:rPr>
        <w:t>Welsh Government. Available at:</w:t>
      </w:r>
      <w:r w:rsidRPr="00362B37">
        <w:rPr>
          <w:rStyle w:val="apple-converted-space"/>
          <w:rFonts w:ascii="Arial" w:eastAsiaTheme="majorEastAsia" w:hAnsi="Arial" w:cs="Arial"/>
          <w:color w:val="000000"/>
        </w:rPr>
        <w:t> </w:t>
      </w:r>
      <w:hyperlink r:id="rId14" w:tgtFrame="_new" w:history="1">
        <w:r w:rsidRPr="00362B37">
          <w:rPr>
            <w:rStyle w:val="Hyperlink"/>
            <w:rFonts w:ascii="Arial" w:eastAsiaTheme="majorEastAsia" w:hAnsi="Arial" w:cs="Arial"/>
          </w:rPr>
          <w:t>https://www.gov.wales/</w:t>
        </w:r>
      </w:hyperlink>
      <w:r w:rsidRPr="00362B37">
        <w:rPr>
          <w:rStyle w:val="apple-converted-space"/>
          <w:rFonts w:ascii="Arial" w:eastAsiaTheme="majorEastAsia" w:hAnsi="Arial" w:cs="Arial"/>
          <w:color w:val="000000"/>
        </w:rPr>
        <w:t> </w:t>
      </w:r>
      <w:r w:rsidRPr="00362B37">
        <w:rPr>
          <w:rFonts w:ascii="Arial" w:hAnsi="Arial" w:cs="Arial"/>
          <w:color w:val="000000"/>
        </w:rPr>
        <w:t>(Accessed: 23 February 2026</w:t>
      </w:r>
      <w:r w:rsidR="00DE1B81">
        <w:rPr>
          <w:rFonts w:ascii="Arial" w:hAnsi="Arial" w:cs="Arial"/>
          <w:color w:val="000000"/>
        </w:rPr>
        <w:t>)</w:t>
      </w:r>
      <w:r w:rsidR="00A31143">
        <w:rPr>
          <w:rFonts w:ascii="Arial" w:hAnsi="Arial" w:cs="Arial"/>
          <w:color w:val="000000"/>
        </w:rPr>
        <w:t>.</w:t>
      </w:r>
    </w:p>
    <w:p w14:paraId="36906724" w14:textId="0781714D" w:rsidR="00A31143" w:rsidRDefault="00A31143" w:rsidP="008D3013">
      <w:pPr>
        <w:pStyle w:val="NormalWeb"/>
        <w:rPr>
          <w:rFonts w:ascii="Arial" w:hAnsi="Arial" w:cs="Arial"/>
          <w:color w:val="000000"/>
        </w:rPr>
      </w:pPr>
      <w:r w:rsidRPr="00A31143">
        <w:rPr>
          <w:rFonts w:ascii="Arial" w:hAnsi="Arial" w:cs="Arial"/>
          <w:color w:val="000000"/>
        </w:rPr>
        <w:lastRenderedPageBreak/>
        <w:drawing>
          <wp:inline distT="0" distB="0" distL="0" distR="0" wp14:anchorId="0BE45CBC" wp14:editId="55031AA4">
            <wp:extent cx="5731510" cy="4298950"/>
            <wp:effectExtent l="0" t="0" r="0" b="6350"/>
            <wp:docPr id="1801420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20095" name=""/>
                    <pic:cNvPicPr/>
                  </pic:nvPicPr>
                  <pic:blipFill>
                    <a:blip r:embed="rId15"/>
                    <a:stretch>
                      <a:fillRect/>
                    </a:stretch>
                  </pic:blipFill>
                  <pic:spPr>
                    <a:xfrm>
                      <a:off x="0" y="0"/>
                      <a:ext cx="5731510" cy="4298950"/>
                    </a:xfrm>
                    <a:prstGeom prst="rect">
                      <a:avLst/>
                    </a:prstGeom>
                  </pic:spPr>
                </pic:pic>
              </a:graphicData>
            </a:graphic>
          </wp:inline>
        </w:drawing>
      </w:r>
    </w:p>
    <w:p w14:paraId="5A94AE03" w14:textId="7F976DDB" w:rsidR="00A31143" w:rsidRDefault="00A31143" w:rsidP="008D3013">
      <w:pPr>
        <w:pStyle w:val="NormalWeb"/>
        <w:rPr>
          <w:rFonts w:ascii="Arial" w:hAnsi="Arial" w:cs="Arial"/>
          <w:color w:val="000000"/>
        </w:rPr>
      </w:pPr>
      <w:r w:rsidRPr="00A31143">
        <w:rPr>
          <w:rFonts w:ascii="Arial" w:hAnsi="Arial" w:cs="Arial"/>
          <w:color w:val="000000"/>
        </w:rPr>
        <w:drawing>
          <wp:inline distT="0" distB="0" distL="0" distR="0" wp14:anchorId="6F5E7672" wp14:editId="09F3EC83">
            <wp:extent cx="5731510" cy="4298950"/>
            <wp:effectExtent l="0" t="0" r="0" b="6350"/>
            <wp:docPr id="40301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14889" name=""/>
                    <pic:cNvPicPr/>
                  </pic:nvPicPr>
                  <pic:blipFill>
                    <a:blip r:embed="rId16"/>
                    <a:stretch>
                      <a:fillRect/>
                    </a:stretch>
                  </pic:blipFill>
                  <pic:spPr>
                    <a:xfrm>
                      <a:off x="0" y="0"/>
                      <a:ext cx="5731510" cy="4298950"/>
                    </a:xfrm>
                    <a:prstGeom prst="rect">
                      <a:avLst/>
                    </a:prstGeom>
                  </pic:spPr>
                </pic:pic>
              </a:graphicData>
            </a:graphic>
          </wp:inline>
        </w:drawing>
      </w:r>
    </w:p>
    <w:p w14:paraId="74F77D92" w14:textId="56F1D02D" w:rsidR="00F17E33" w:rsidRDefault="00F17E33" w:rsidP="008D3013">
      <w:pPr>
        <w:pStyle w:val="NormalWeb"/>
        <w:rPr>
          <w:rFonts w:ascii="Arial" w:hAnsi="Arial" w:cs="Arial"/>
          <w:color w:val="000000"/>
        </w:rPr>
      </w:pPr>
      <w:r w:rsidRPr="00F17E33">
        <w:rPr>
          <w:rFonts w:ascii="Arial" w:hAnsi="Arial" w:cs="Arial"/>
          <w:color w:val="000000"/>
        </w:rPr>
        <w:lastRenderedPageBreak/>
        <w:drawing>
          <wp:inline distT="0" distB="0" distL="0" distR="0" wp14:anchorId="15CC3647" wp14:editId="24998BDB">
            <wp:extent cx="5731510" cy="4298950"/>
            <wp:effectExtent l="0" t="0" r="0" b="6350"/>
            <wp:docPr id="1053549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49575" name=""/>
                    <pic:cNvPicPr/>
                  </pic:nvPicPr>
                  <pic:blipFill>
                    <a:blip r:embed="rId17"/>
                    <a:stretch>
                      <a:fillRect/>
                    </a:stretch>
                  </pic:blipFill>
                  <pic:spPr>
                    <a:xfrm>
                      <a:off x="0" y="0"/>
                      <a:ext cx="5731510" cy="4298950"/>
                    </a:xfrm>
                    <a:prstGeom prst="rect">
                      <a:avLst/>
                    </a:prstGeom>
                  </pic:spPr>
                </pic:pic>
              </a:graphicData>
            </a:graphic>
          </wp:inline>
        </w:drawing>
      </w:r>
    </w:p>
    <w:p w14:paraId="0DBAB3AF" w14:textId="706515E2" w:rsidR="00F17E33" w:rsidRDefault="00F17E33" w:rsidP="008D3013">
      <w:pPr>
        <w:pStyle w:val="NormalWeb"/>
        <w:rPr>
          <w:rFonts w:ascii="Arial" w:hAnsi="Arial" w:cs="Arial"/>
          <w:color w:val="000000"/>
        </w:rPr>
      </w:pPr>
      <w:r w:rsidRPr="00F17E33">
        <w:rPr>
          <w:rFonts w:ascii="Arial" w:hAnsi="Arial" w:cs="Arial"/>
          <w:color w:val="000000"/>
        </w:rPr>
        <w:drawing>
          <wp:inline distT="0" distB="0" distL="0" distR="0" wp14:anchorId="71058093" wp14:editId="1E542397">
            <wp:extent cx="5731510" cy="4298950"/>
            <wp:effectExtent l="0" t="0" r="0" b="6350"/>
            <wp:docPr id="1214789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89851" name=""/>
                    <pic:cNvPicPr/>
                  </pic:nvPicPr>
                  <pic:blipFill>
                    <a:blip r:embed="rId18"/>
                    <a:stretch>
                      <a:fillRect/>
                    </a:stretch>
                  </pic:blipFill>
                  <pic:spPr>
                    <a:xfrm>
                      <a:off x="0" y="0"/>
                      <a:ext cx="5731510" cy="4298950"/>
                    </a:xfrm>
                    <a:prstGeom prst="rect">
                      <a:avLst/>
                    </a:prstGeom>
                  </pic:spPr>
                </pic:pic>
              </a:graphicData>
            </a:graphic>
          </wp:inline>
        </w:drawing>
      </w:r>
    </w:p>
    <w:p w14:paraId="40F5C7CF" w14:textId="1989305F" w:rsidR="00F17E33" w:rsidRDefault="00F17E33" w:rsidP="008D3013">
      <w:pPr>
        <w:pStyle w:val="NormalWeb"/>
        <w:rPr>
          <w:rFonts w:ascii="Arial" w:hAnsi="Arial" w:cs="Arial"/>
          <w:color w:val="000000"/>
        </w:rPr>
      </w:pPr>
      <w:r w:rsidRPr="00F17E33">
        <w:rPr>
          <w:rFonts w:ascii="Arial" w:hAnsi="Arial" w:cs="Arial"/>
          <w:color w:val="000000"/>
        </w:rPr>
        <w:lastRenderedPageBreak/>
        <w:drawing>
          <wp:inline distT="0" distB="0" distL="0" distR="0" wp14:anchorId="3F116EC0" wp14:editId="34971ACC">
            <wp:extent cx="5731510" cy="4298950"/>
            <wp:effectExtent l="0" t="0" r="0" b="6350"/>
            <wp:docPr id="71318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7138" name=""/>
                    <pic:cNvPicPr/>
                  </pic:nvPicPr>
                  <pic:blipFill>
                    <a:blip r:embed="rId19"/>
                    <a:stretch>
                      <a:fillRect/>
                    </a:stretch>
                  </pic:blipFill>
                  <pic:spPr>
                    <a:xfrm>
                      <a:off x="0" y="0"/>
                      <a:ext cx="5731510" cy="4298950"/>
                    </a:xfrm>
                    <a:prstGeom prst="rect">
                      <a:avLst/>
                    </a:prstGeom>
                  </pic:spPr>
                </pic:pic>
              </a:graphicData>
            </a:graphic>
          </wp:inline>
        </w:drawing>
      </w:r>
    </w:p>
    <w:p w14:paraId="433D262F" w14:textId="50E91E2F" w:rsidR="00F17E33" w:rsidRDefault="00062B6B" w:rsidP="008D3013">
      <w:pPr>
        <w:pStyle w:val="NormalWeb"/>
        <w:rPr>
          <w:rFonts w:ascii="Arial" w:hAnsi="Arial" w:cs="Arial"/>
          <w:color w:val="000000"/>
        </w:rPr>
      </w:pPr>
      <w:r w:rsidRPr="00062B6B">
        <w:rPr>
          <w:rFonts w:ascii="Arial" w:hAnsi="Arial" w:cs="Arial"/>
          <w:color w:val="000000"/>
        </w:rPr>
        <w:drawing>
          <wp:inline distT="0" distB="0" distL="0" distR="0" wp14:anchorId="1A37DEC6" wp14:editId="62EDE9D8">
            <wp:extent cx="5731510" cy="4298950"/>
            <wp:effectExtent l="0" t="0" r="0" b="6350"/>
            <wp:docPr id="1167565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65205" name=""/>
                    <pic:cNvPicPr/>
                  </pic:nvPicPr>
                  <pic:blipFill>
                    <a:blip r:embed="rId20"/>
                    <a:stretch>
                      <a:fillRect/>
                    </a:stretch>
                  </pic:blipFill>
                  <pic:spPr>
                    <a:xfrm>
                      <a:off x="0" y="0"/>
                      <a:ext cx="5731510" cy="4298950"/>
                    </a:xfrm>
                    <a:prstGeom prst="rect">
                      <a:avLst/>
                    </a:prstGeom>
                  </pic:spPr>
                </pic:pic>
              </a:graphicData>
            </a:graphic>
          </wp:inline>
        </w:drawing>
      </w:r>
    </w:p>
    <w:p w14:paraId="7DD7D8BC" w14:textId="1DF0AD52" w:rsidR="00062B6B" w:rsidRDefault="00062B6B" w:rsidP="008D3013">
      <w:pPr>
        <w:pStyle w:val="NormalWeb"/>
        <w:rPr>
          <w:rFonts w:ascii="Arial" w:hAnsi="Arial" w:cs="Arial"/>
          <w:color w:val="000000"/>
        </w:rPr>
      </w:pPr>
      <w:r w:rsidRPr="00062B6B">
        <w:rPr>
          <w:rFonts w:ascii="Arial" w:hAnsi="Arial" w:cs="Arial"/>
          <w:color w:val="000000"/>
        </w:rPr>
        <w:lastRenderedPageBreak/>
        <w:drawing>
          <wp:inline distT="0" distB="0" distL="0" distR="0" wp14:anchorId="7AD3C994" wp14:editId="39FF156A">
            <wp:extent cx="5731510" cy="4298950"/>
            <wp:effectExtent l="0" t="0" r="0" b="6350"/>
            <wp:docPr id="1159369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69786" name=""/>
                    <pic:cNvPicPr/>
                  </pic:nvPicPr>
                  <pic:blipFill>
                    <a:blip r:embed="rId21"/>
                    <a:stretch>
                      <a:fillRect/>
                    </a:stretch>
                  </pic:blipFill>
                  <pic:spPr>
                    <a:xfrm>
                      <a:off x="0" y="0"/>
                      <a:ext cx="5731510" cy="4298950"/>
                    </a:xfrm>
                    <a:prstGeom prst="rect">
                      <a:avLst/>
                    </a:prstGeom>
                  </pic:spPr>
                </pic:pic>
              </a:graphicData>
            </a:graphic>
          </wp:inline>
        </w:drawing>
      </w:r>
    </w:p>
    <w:p w14:paraId="6F7D8872" w14:textId="3DE8820A" w:rsidR="0006735C" w:rsidRDefault="0006735C" w:rsidP="008D3013">
      <w:pPr>
        <w:pStyle w:val="NormalWeb"/>
        <w:rPr>
          <w:rFonts w:ascii="Arial" w:hAnsi="Arial" w:cs="Arial"/>
          <w:color w:val="000000"/>
        </w:rPr>
      </w:pPr>
      <w:r w:rsidRPr="0006735C">
        <w:rPr>
          <w:rFonts w:ascii="Arial" w:hAnsi="Arial" w:cs="Arial"/>
          <w:color w:val="000000"/>
        </w:rPr>
        <w:drawing>
          <wp:inline distT="0" distB="0" distL="0" distR="0" wp14:anchorId="1BD18071" wp14:editId="72E905F4">
            <wp:extent cx="5731510" cy="4298950"/>
            <wp:effectExtent l="0" t="0" r="0" b="6350"/>
            <wp:docPr id="1691583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83953" name=""/>
                    <pic:cNvPicPr/>
                  </pic:nvPicPr>
                  <pic:blipFill>
                    <a:blip r:embed="rId22"/>
                    <a:stretch>
                      <a:fillRect/>
                    </a:stretch>
                  </pic:blipFill>
                  <pic:spPr>
                    <a:xfrm>
                      <a:off x="0" y="0"/>
                      <a:ext cx="5731510" cy="4298950"/>
                    </a:xfrm>
                    <a:prstGeom prst="rect">
                      <a:avLst/>
                    </a:prstGeom>
                  </pic:spPr>
                </pic:pic>
              </a:graphicData>
            </a:graphic>
          </wp:inline>
        </w:drawing>
      </w:r>
    </w:p>
    <w:p w14:paraId="524EA2FF" w14:textId="3B2C1F40" w:rsidR="0006735C" w:rsidRDefault="0006735C" w:rsidP="008D3013">
      <w:pPr>
        <w:pStyle w:val="NormalWeb"/>
        <w:rPr>
          <w:rFonts w:ascii="Arial" w:hAnsi="Arial" w:cs="Arial"/>
          <w:color w:val="000000"/>
        </w:rPr>
      </w:pPr>
      <w:r w:rsidRPr="0006735C">
        <w:rPr>
          <w:rFonts w:ascii="Arial" w:hAnsi="Arial" w:cs="Arial"/>
          <w:color w:val="000000"/>
        </w:rPr>
        <w:lastRenderedPageBreak/>
        <w:drawing>
          <wp:inline distT="0" distB="0" distL="0" distR="0" wp14:anchorId="26B7B584" wp14:editId="3BE78985">
            <wp:extent cx="5731510" cy="4298950"/>
            <wp:effectExtent l="0" t="0" r="0" b="6350"/>
            <wp:docPr id="157809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91951" name=""/>
                    <pic:cNvPicPr/>
                  </pic:nvPicPr>
                  <pic:blipFill>
                    <a:blip r:embed="rId23"/>
                    <a:stretch>
                      <a:fillRect/>
                    </a:stretch>
                  </pic:blipFill>
                  <pic:spPr>
                    <a:xfrm>
                      <a:off x="0" y="0"/>
                      <a:ext cx="5731510" cy="4298950"/>
                    </a:xfrm>
                    <a:prstGeom prst="rect">
                      <a:avLst/>
                    </a:prstGeom>
                  </pic:spPr>
                </pic:pic>
              </a:graphicData>
            </a:graphic>
          </wp:inline>
        </w:drawing>
      </w:r>
    </w:p>
    <w:p w14:paraId="65659876" w14:textId="2BC06ED4" w:rsidR="0006735C" w:rsidRDefault="00E54FF7" w:rsidP="008D3013">
      <w:pPr>
        <w:pStyle w:val="NormalWeb"/>
        <w:rPr>
          <w:rFonts w:ascii="Arial" w:hAnsi="Arial" w:cs="Arial"/>
          <w:color w:val="000000"/>
        </w:rPr>
      </w:pPr>
      <w:r w:rsidRPr="00E54FF7">
        <w:rPr>
          <w:rFonts w:ascii="Arial" w:hAnsi="Arial" w:cs="Arial"/>
          <w:color w:val="000000"/>
        </w:rPr>
        <w:drawing>
          <wp:inline distT="0" distB="0" distL="0" distR="0" wp14:anchorId="389C7943" wp14:editId="65664AE2">
            <wp:extent cx="5731510" cy="4298950"/>
            <wp:effectExtent l="0" t="0" r="0" b="6350"/>
            <wp:docPr id="1949112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12791" name=""/>
                    <pic:cNvPicPr/>
                  </pic:nvPicPr>
                  <pic:blipFill>
                    <a:blip r:embed="rId24"/>
                    <a:stretch>
                      <a:fillRect/>
                    </a:stretch>
                  </pic:blipFill>
                  <pic:spPr>
                    <a:xfrm>
                      <a:off x="0" y="0"/>
                      <a:ext cx="5731510" cy="4298950"/>
                    </a:xfrm>
                    <a:prstGeom prst="rect">
                      <a:avLst/>
                    </a:prstGeom>
                  </pic:spPr>
                </pic:pic>
              </a:graphicData>
            </a:graphic>
          </wp:inline>
        </w:drawing>
      </w:r>
    </w:p>
    <w:p w14:paraId="12AB5AB5" w14:textId="5A07D937" w:rsidR="00E54FF7" w:rsidRDefault="00E54FF7" w:rsidP="008D3013">
      <w:pPr>
        <w:pStyle w:val="NormalWeb"/>
        <w:rPr>
          <w:rFonts w:ascii="Arial" w:hAnsi="Arial" w:cs="Arial"/>
          <w:color w:val="000000"/>
        </w:rPr>
      </w:pPr>
      <w:r w:rsidRPr="00E54FF7">
        <w:rPr>
          <w:rFonts w:ascii="Arial" w:hAnsi="Arial" w:cs="Arial"/>
          <w:color w:val="000000"/>
        </w:rPr>
        <w:lastRenderedPageBreak/>
        <w:drawing>
          <wp:inline distT="0" distB="0" distL="0" distR="0" wp14:anchorId="7A24FBBA" wp14:editId="11423EE6">
            <wp:extent cx="5731510" cy="4298950"/>
            <wp:effectExtent l="0" t="0" r="0" b="6350"/>
            <wp:docPr id="1449634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634367" name=""/>
                    <pic:cNvPicPr/>
                  </pic:nvPicPr>
                  <pic:blipFill>
                    <a:blip r:embed="rId25"/>
                    <a:stretch>
                      <a:fillRect/>
                    </a:stretch>
                  </pic:blipFill>
                  <pic:spPr>
                    <a:xfrm>
                      <a:off x="0" y="0"/>
                      <a:ext cx="5731510" cy="4298950"/>
                    </a:xfrm>
                    <a:prstGeom prst="rect">
                      <a:avLst/>
                    </a:prstGeom>
                  </pic:spPr>
                </pic:pic>
              </a:graphicData>
            </a:graphic>
          </wp:inline>
        </w:drawing>
      </w:r>
    </w:p>
    <w:p w14:paraId="71F29B87" w14:textId="112E736F" w:rsidR="00E54FF7" w:rsidRDefault="00E54FF7" w:rsidP="008D3013">
      <w:pPr>
        <w:pStyle w:val="NormalWeb"/>
        <w:rPr>
          <w:rFonts w:ascii="Arial" w:hAnsi="Arial" w:cs="Arial"/>
          <w:color w:val="000000"/>
        </w:rPr>
      </w:pPr>
      <w:r w:rsidRPr="00E54FF7">
        <w:rPr>
          <w:rFonts w:ascii="Arial" w:hAnsi="Arial" w:cs="Arial"/>
          <w:color w:val="000000"/>
        </w:rPr>
        <w:drawing>
          <wp:inline distT="0" distB="0" distL="0" distR="0" wp14:anchorId="3E0F2CAF" wp14:editId="7F859307">
            <wp:extent cx="5731510" cy="4298950"/>
            <wp:effectExtent l="0" t="0" r="0" b="6350"/>
            <wp:docPr id="1526307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307668" name=""/>
                    <pic:cNvPicPr/>
                  </pic:nvPicPr>
                  <pic:blipFill>
                    <a:blip r:embed="rId26"/>
                    <a:stretch>
                      <a:fillRect/>
                    </a:stretch>
                  </pic:blipFill>
                  <pic:spPr>
                    <a:xfrm>
                      <a:off x="0" y="0"/>
                      <a:ext cx="5731510" cy="4298950"/>
                    </a:xfrm>
                    <a:prstGeom prst="rect">
                      <a:avLst/>
                    </a:prstGeom>
                  </pic:spPr>
                </pic:pic>
              </a:graphicData>
            </a:graphic>
          </wp:inline>
        </w:drawing>
      </w:r>
    </w:p>
    <w:p w14:paraId="3AE1C0E6" w14:textId="79206639" w:rsidR="009C18C1" w:rsidRDefault="009C18C1" w:rsidP="008D3013">
      <w:pPr>
        <w:pStyle w:val="NormalWeb"/>
        <w:rPr>
          <w:rFonts w:ascii="Arial" w:hAnsi="Arial" w:cs="Arial"/>
          <w:color w:val="000000"/>
        </w:rPr>
      </w:pPr>
      <w:r w:rsidRPr="009C18C1">
        <w:rPr>
          <w:rFonts w:ascii="Arial" w:hAnsi="Arial" w:cs="Arial"/>
          <w:color w:val="000000"/>
        </w:rPr>
        <w:lastRenderedPageBreak/>
        <w:drawing>
          <wp:inline distT="0" distB="0" distL="0" distR="0" wp14:anchorId="41F13559" wp14:editId="73F82A8C">
            <wp:extent cx="5731510" cy="4298950"/>
            <wp:effectExtent l="0" t="0" r="0" b="6350"/>
            <wp:docPr id="580909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909171" name=""/>
                    <pic:cNvPicPr/>
                  </pic:nvPicPr>
                  <pic:blipFill>
                    <a:blip r:embed="rId27"/>
                    <a:stretch>
                      <a:fillRect/>
                    </a:stretch>
                  </pic:blipFill>
                  <pic:spPr>
                    <a:xfrm>
                      <a:off x="0" y="0"/>
                      <a:ext cx="5731510" cy="4298950"/>
                    </a:xfrm>
                    <a:prstGeom prst="rect">
                      <a:avLst/>
                    </a:prstGeom>
                  </pic:spPr>
                </pic:pic>
              </a:graphicData>
            </a:graphic>
          </wp:inline>
        </w:drawing>
      </w:r>
    </w:p>
    <w:p w14:paraId="41D8AFDD" w14:textId="3E3104E5" w:rsidR="009C18C1" w:rsidRDefault="009C18C1" w:rsidP="008D3013">
      <w:pPr>
        <w:pStyle w:val="NormalWeb"/>
        <w:rPr>
          <w:rFonts w:ascii="Arial" w:hAnsi="Arial" w:cs="Arial"/>
          <w:color w:val="000000"/>
        </w:rPr>
      </w:pPr>
      <w:r w:rsidRPr="009C18C1">
        <w:rPr>
          <w:rFonts w:ascii="Arial" w:hAnsi="Arial" w:cs="Arial"/>
          <w:color w:val="000000"/>
        </w:rPr>
        <w:drawing>
          <wp:inline distT="0" distB="0" distL="0" distR="0" wp14:anchorId="79958BEC" wp14:editId="40D0245D">
            <wp:extent cx="5731510" cy="4298950"/>
            <wp:effectExtent l="0" t="0" r="0" b="6350"/>
            <wp:docPr id="1652718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18418" name=""/>
                    <pic:cNvPicPr/>
                  </pic:nvPicPr>
                  <pic:blipFill>
                    <a:blip r:embed="rId28"/>
                    <a:stretch>
                      <a:fillRect/>
                    </a:stretch>
                  </pic:blipFill>
                  <pic:spPr>
                    <a:xfrm>
                      <a:off x="0" y="0"/>
                      <a:ext cx="5731510" cy="4298950"/>
                    </a:xfrm>
                    <a:prstGeom prst="rect">
                      <a:avLst/>
                    </a:prstGeom>
                  </pic:spPr>
                </pic:pic>
              </a:graphicData>
            </a:graphic>
          </wp:inline>
        </w:drawing>
      </w:r>
    </w:p>
    <w:p w14:paraId="54CE71BA" w14:textId="250CA092" w:rsidR="0032209A" w:rsidRPr="00383E04" w:rsidRDefault="00383E04" w:rsidP="0032209A">
      <w:pPr>
        <w:spacing w:before="100" w:beforeAutospacing="1" w:after="100" w:afterAutospacing="1"/>
        <w:jc w:val="center"/>
        <w:outlineLvl w:val="0"/>
        <w:rPr>
          <w:rFonts w:ascii="Arial" w:hAnsi="Arial" w:cs="Arial"/>
          <w:b/>
          <w:bCs/>
          <w:color w:val="000000"/>
          <w:kern w:val="36"/>
        </w:rPr>
      </w:pPr>
      <w:r>
        <w:rPr>
          <w:rFonts w:ascii="Arial" w:hAnsi="Arial" w:cs="Arial"/>
          <w:b/>
          <w:bCs/>
          <w:color w:val="000000"/>
          <w:kern w:val="36"/>
        </w:rPr>
        <w:lastRenderedPageBreak/>
        <w:t xml:space="preserve">Part B: </w:t>
      </w:r>
      <w:r w:rsidR="00EA278E" w:rsidRPr="00945D82">
        <w:rPr>
          <w:rFonts w:ascii="Arial" w:hAnsi="Arial" w:cs="Arial"/>
          <w:b/>
          <w:bCs/>
          <w:color w:val="000000"/>
        </w:rPr>
        <w:t>Business Plan: Therapy Dogs in Schools in Wales</w:t>
      </w:r>
    </w:p>
    <w:p w14:paraId="3860E782" w14:textId="789E26F6" w:rsidR="00ED3BF7" w:rsidRPr="00ED3BF7" w:rsidRDefault="0032209A" w:rsidP="00ED3BF7">
      <w:pPr>
        <w:pStyle w:val="ListParagraph"/>
        <w:numPr>
          <w:ilvl w:val="0"/>
          <w:numId w:val="8"/>
        </w:numPr>
        <w:spacing w:before="100" w:beforeAutospacing="1" w:after="100" w:afterAutospacing="1" w:line="360" w:lineRule="auto"/>
        <w:outlineLvl w:val="1"/>
        <w:rPr>
          <w:rFonts w:ascii="Arial" w:hAnsi="Arial" w:cs="Arial"/>
          <w:b/>
          <w:bCs/>
          <w:color w:val="000000"/>
        </w:rPr>
      </w:pPr>
      <w:r w:rsidRPr="00ED3BF7">
        <w:rPr>
          <w:rFonts w:ascii="Arial" w:hAnsi="Arial" w:cs="Arial"/>
          <w:b/>
          <w:bCs/>
          <w:color w:val="000000"/>
        </w:rPr>
        <w:t>Introduction and Policy Context</w:t>
      </w:r>
    </w:p>
    <w:p w14:paraId="52D31C76" w14:textId="0A8200AF" w:rsidR="0032209A" w:rsidRPr="00ED3BF7" w:rsidRDefault="0032209A" w:rsidP="00ED3BF7">
      <w:pPr>
        <w:spacing w:before="100" w:beforeAutospacing="1" w:after="100" w:afterAutospacing="1" w:line="360" w:lineRule="auto"/>
        <w:outlineLvl w:val="1"/>
        <w:rPr>
          <w:rFonts w:ascii="Arial" w:hAnsi="Arial" w:cs="Arial"/>
          <w:b/>
          <w:bCs/>
          <w:color w:val="000000"/>
        </w:rPr>
      </w:pPr>
      <w:r w:rsidRPr="00ED3BF7">
        <w:rPr>
          <w:rFonts w:ascii="Arial" w:hAnsi="Arial" w:cs="Arial"/>
          <w:color w:val="000000"/>
        </w:rPr>
        <w:t>The mental health and wellbeing of children and young people in Wales remain significant policy priorities (Public Health Wales (PHW), 2025; Welsh Government, 2025). Rising levels of anxiety, absenteeism and disengagement have intensified calls for preventative, school-based interventions that support pupils holistically rather than solely academically. Schools are increasingly expected to act as frontline providers of wellbeing support within constrained budgets.</w:t>
      </w:r>
    </w:p>
    <w:p w14:paraId="07F7C8DE"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Therapy dog programmes have gained attention as potential wellbeing interventions. Media reporting highlights growing use of school dogs across the UK to address anxiety and attendance concerns (The Guardian, 2024). While outcomes appear positive, innovation within educational contexts requires rigorous planning, safeguarding compliance and evidence-informed implementation.</w:t>
      </w:r>
    </w:p>
    <w:p w14:paraId="47E192A3"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Human–animal interaction (HAI) research suggests that structured animal-assisted interventions (AAIs) may support emotional regulation and engagement. However, methodological limitations in existing studies necessitate caution (Brelsford </w:t>
      </w:r>
      <w:r w:rsidRPr="0036151B">
        <w:rPr>
          <w:rFonts w:ascii="Arial" w:hAnsi="Arial" w:cs="Arial"/>
          <w:i/>
          <w:iCs/>
          <w:color w:val="000000"/>
        </w:rPr>
        <w:t>et al.</w:t>
      </w:r>
      <w:r w:rsidRPr="0036151B">
        <w:rPr>
          <w:rFonts w:ascii="Arial" w:hAnsi="Arial" w:cs="Arial"/>
          <w:color w:val="000000"/>
        </w:rPr>
        <w:t>, 2017). This business plan proposes a structured, scalable Therapy Dog Programme delivered through The Dog Mentor framework, integrating academic evidence, structured market research, governance analysis and financial modelling to ensure feasibility and sustainability.</w:t>
      </w:r>
    </w:p>
    <w:p w14:paraId="33C35494"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2. Human–Animal Interaction and Education</w:t>
      </w:r>
    </w:p>
    <w:p w14:paraId="679071AD"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HAI research has developed over several decades. Early studies identified associations between companion animals and reductions in stress and loneliness (Serpell, 1992). More recent systematic reviews suggest that school-based AAIs may improve reading motivation, classroom climate and emotional wellbeing (</w:t>
      </w:r>
      <w:proofErr w:type="spellStart"/>
      <w:r w:rsidRPr="0036151B">
        <w:rPr>
          <w:rFonts w:ascii="Arial" w:hAnsi="Arial" w:cs="Arial"/>
          <w:color w:val="000000"/>
        </w:rPr>
        <w:t>Grové</w:t>
      </w:r>
      <w:proofErr w:type="spellEnd"/>
      <w:r w:rsidRPr="0036151B">
        <w:rPr>
          <w:rFonts w:ascii="Arial" w:hAnsi="Arial" w:cs="Arial"/>
          <w:color w:val="000000"/>
        </w:rPr>
        <w:t>, 2021; Verhoeven </w:t>
      </w:r>
      <w:r w:rsidRPr="0036151B">
        <w:rPr>
          <w:rFonts w:ascii="Arial" w:hAnsi="Arial" w:cs="Arial"/>
          <w:i/>
          <w:iCs/>
          <w:color w:val="000000"/>
        </w:rPr>
        <w:t>et al.</w:t>
      </w:r>
      <w:r w:rsidRPr="0036151B">
        <w:rPr>
          <w:rFonts w:ascii="Arial" w:hAnsi="Arial" w:cs="Arial"/>
          <w:color w:val="000000"/>
        </w:rPr>
        <w:t>, 2023).</w:t>
      </w:r>
    </w:p>
    <w:p w14:paraId="2B65F7BB"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For example, dog-assisted reading programmes have been linked to increased confidence among reluctant readers (</w:t>
      </w:r>
      <w:proofErr w:type="spellStart"/>
      <w:r w:rsidRPr="0036151B">
        <w:rPr>
          <w:rFonts w:ascii="Arial" w:hAnsi="Arial" w:cs="Arial"/>
          <w:color w:val="000000"/>
        </w:rPr>
        <w:t>Grové</w:t>
      </w:r>
      <w:proofErr w:type="spellEnd"/>
      <w:r w:rsidRPr="0036151B">
        <w:rPr>
          <w:rFonts w:ascii="Arial" w:hAnsi="Arial" w:cs="Arial"/>
          <w:color w:val="000000"/>
        </w:rPr>
        <w:t xml:space="preserve">, 2021). Additionally, classroom-based dog presence has been associated with calmer environments and improved social </w:t>
      </w:r>
      <w:r w:rsidRPr="0036151B">
        <w:rPr>
          <w:rFonts w:ascii="Arial" w:hAnsi="Arial" w:cs="Arial"/>
          <w:color w:val="000000"/>
        </w:rPr>
        <w:lastRenderedPageBreak/>
        <w:t>interaction (Verhoeven </w:t>
      </w:r>
      <w:r w:rsidRPr="0036151B">
        <w:rPr>
          <w:rFonts w:ascii="Arial" w:hAnsi="Arial" w:cs="Arial"/>
          <w:i/>
          <w:iCs/>
          <w:color w:val="000000"/>
        </w:rPr>
        <w:t>et al.</w:t>
      </w:r>
      <w:r w:rsidRPr="0036151B">
        <w:rPr>
          <w:rFonts w:ascii="Arial" w:hAnsi="Arial" w:cs="Arial"/>
          <w:color w:val="000000"/>
        </w:rPr>
        <w:t>, 2023). These findings suggest potential value in structured school settings.</w:t>
      </w:r>
    </w:p>
    <w:p w14:paraId="01DD7A68"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However, Brelsford </w:t>
      </w:r>
      <w:r w:rsidRPr="0036151B">
        <w:rPr>
          <w:rFonts w:ascii="Arial" w:hAnsi="Arial" w:cs="Arial"/>
          <w:i/>
          <w:iCs/>
          <w:color w:val="000000"/>
        </w:rPr>
        <w:t>et al.</w:t>
      </w:r>
      <w:r w:rsidRPr="0036151B">
        <w:rPr>
          <w:rFonts w:ascii="Arial" w:hAnsi="Arial" w:cs="Arial"/>
          <w:color w:val="000000"/>
        </w:rPr>
        <w:t> (2017) emphasise limitations including small sample sizes, inconsistent outcome measures and limited longitudinal tracking. Causal claims therefore remain tentative. AAIs should not replace clinical mental health provision but operate as complementary wellbeing supports embedded within existing pastoral frameworks.</w:t>
      </w:r>
    </w:p>
    <w:p w14:paraId="28ADA779"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This proposal adopts an evidence-informed but cautious approach. Claims will align with empirical findings, and a robust evaluation framework will be embedded within implementation to strengthen credibility.</w:t>
      </w:r>
    </w:p>
    <w:p w14:paraId="28FE8F93"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3. The Dog Mentor Model</w:t>
      </w:r>
    </w:p>
    <w:p w14:paraId="48D6B0E0"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The Dog Mentor Programme is a UK-based school dog training initiative established in 2013. It has supported over 500 schools and trained more than 600 dog-handler teams (The Dog Mentor, 2025). The programme includes behavioural assessment of dogs, accredited handler training, safeguarding documentation, risk assessment templates and ongoing professional support.</w:t>
      </w:r>
    </w:p>
    <w:p w14:paraId="6F4C5D3C"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Several Welsh schools have independently implemented the model, indicating contextual feasibility. However, provision remains fragmented. This business plan proposes a coordinated pilot across selected Welsh schools, integrating monitoring, governance oversight and impact evaluation to ensure structured regional delivery.</w:t>
      </w:r>
    </w:p>
    <w:p w14:paraId="5FA1BB29"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4. Market Research and Decision-Making</w:t>
      </w:r>
    </w:p>
    <w:p w14:paraId="5A95F12E"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 xml:space="preserve">Effective programme development requires structured market research. </w:t>
      </w:r>
      <w:proofErr w:type="spellStart"/>
      <w:r w:rsidRPr="0036151B">
        <w:rPr>
          <w:rFonts w:ascii="Arial" w:hAnsi="Arial" w:cs="Arial"/>
          <w:color w:val="000000"/>
        </w:rPr>
        <w:t>Stenkevich</w:t>
      </w:r>
      <w:proofErr w:type="spellEnd"/>
      <w:r w:rsidRPr="0036151B">
        <w:rPr>
          <w:rFonts w:ascii="Arial" w:hAnsi="Arial" w:cs="Arial"/>
          <w:color w:val="000000"/>
        </w:rPr>
        <w:t xml:space="preserve"> (2017) argues that strategic decision-making depends upon systematic environmental scanning and stakeholder analysis to reduce uncertainty. Applying this framework ensures evidence-based positioning rather than assumption</w:t>
      </w:r>
      <w:r>
        <w:rPr>
          <w:rFonts w:ascii="Arial" w:hAnsi="Arial" w:cs="Arial"/>
          <w:color w:val="000000"/>
        </w:rPr>
        <w:t xml:space="preserve"> d</w:t>
      </w:r>
      <w:r w:rsidRPr="0036151B">
        <w:rPr>
          <w:rFonts w:ascii="Arial" w:hAnsi="Arial" w:cs="Arial"/>
          <w:color w:val="000000"/>
        </w:rPr>
        <w:t>riven expansion.</w:t>
      </w:r>
    </w:p>
    <w:p w14:paraId="45525105" w14:textId="77777777" w:rsidR="0032209A" w:rsidRPr="0036151B" w:rsidRDefault="0032209A" w:rsidP="00ED3BF7">
      <w:pPr>
        <w:spacing w:before="100" w:beforeAutospacing="1" w:after="100" w:afterAutospacing="1" w:line="360" w:lineRule="auto"/>
        <w:outlineLvl w:val="2"/>
        <w:rPr>
          <w:rFonts w:ascii="Arial" w:hAnsi="Arial" w:cs="Arial"/>
          <w:b/>
          <w:bCs/>
          <w:color w:val="000000"/>
        </w:rPr>
      </w:pPr>
      <w:r w:rsidRPr="0036151B">
        <w:rPr>
          <w:rFonts w:ascii="Arial" w:hAnsi="Arial" w:cs="Arial"/>
          <w:b/>
          <w:bCs/>
          <w:color w:val="000000"/>
        </w:rPr>
        <w:t>4.1 Secondary Research</w:t>
      </w:r>
    </w:p>
    <w:p w14:paraId="01FB0875"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lastRenderedPageBreak/>
        <w:t>Secondary data examine</w:t>
      </w:r>
      <w:r>
        <w:rPr>
          <w:rFonts w:ascii="Arial" w:hAnsi="Arial" w:cs="Arial"/>
          <w:color w:val="000000"/>
        </w:rPr>
        <w:t>s</w:t>
      </w:r>
      <w:r w:rsidRPr="0036151B">
        <w:rPr>
          <w:rFonts w:ascii="Arial" w:hAnsi="Arial" w:cs="Arial"/>
          <w:color w:val="000000"/>
        </w:rPr>
        <w:t xml:space="preserve"> Welsh Government wellbeing statistics, attendance patterns, exclusion rates and Estyn inspection reports (Welsh Government, 2025). This establishes macro-level need and policy alignment.</w:t>
      </w:r>
    </w:p>
    <w:p w14:paraId="1680299A"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Secondary research is cost-efficient and provides broad coverage (Saunders, Lewis and Thornhill, 2019). However, it may not capture school</w:t>
      </w:r>
      <w:r>
        <w:rPr>
          <w:rFonts w:ascii="Arial" w:hAnsi="Arial" w:cs="Arial"/>
          <w:color w:val="000000"/>
        </w:rPr>
        <w:t xml:space="preserve"> </w:t>
      </w:r>
      <w:r w:rsidRPr="0036151B">
        <w:rPr>
          <w:rFonts w:ascii="Arial" w:hAnsi="Arial" w:cs="Arial"/>
          <w:color w:val="000000"/>
        </w:rPr>
        <w:t>level operational realities. It therefore functions as a contextual foundation rather than a sole determinant.</w:t>
      </w:r>
    </w:p>
    <w:p w14:paraId="4DC8BC28"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Competitor mapping will assess existing therapy dog provision in Wales. Porter’s (1980) competitive strategy framework highlights the importance of analysing market structure before entry. Limited coordinated provision suggests opportunity, but absence of competitors does not automatically indicate unmet demand.</w:t>
      </w:r>
    </w:p>
    <w:p w14:paraId="28E738C1" w14:textId="77777777" w:rsidR="0032209A" w:rsidRPr="0036151B" w:rsidRDefault="0032209A" w:rsidP="00ED3BF7">
      <w:pPr>
        <w:spacing w:before="100" w:beforeAutospacing="1" w:after="100" w:afterAutospacing="1" w:line="360" w:lineRule="auto"/>
        <w:outlineLvl w:val="2"/>
        <w:rPr>
          <w:rFonts w:ascii="Arial" w:hAnsi="Arial" w:cs="Arial"/>
          <w:b/>
          <w:bCs/>
          <w:color w:val="000000"/>
        </w:rPr>
      </w:pPr>
      <w:r w:rsidRPr="0036151B">
        <w:rPr>
          <w:rFonts w:ascii="Arial" w:hAnsi="Arial" w:cs="Arial"/>
          <w:b/>
          <w:bCs/>
          <w:color w:val="000000"/>
        </w:rPr>
        <w:t>4.2 Primary Research and Mixed Methods</w:t>
      </w:r>
    </w:p>
    <w:p w14:paraId="4978FF02"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Primary research will include:</w:t>
      </w:r>
    </w:p>
    <w:p w14:paraId="41DBC0B9" w14:textId="77777777" w:rsidR="0032209A" w:rsidRPr="0036151B" w:rsidRDefault="0032209A" w:rsidP="00ED3BF7">
      <w:pPr>
        <w:numPr>
          <w:ilvl w:val="0"/>
          <w:numId w:val="4"/>
        </w:numPr>
        <w:spacing w:before="100" w:beforeAutospacing="1" w:after="100" w:afterAutospacing="1" w:line="360" w:lineRule="auto"/>
        <w:rPr>
          <w:rFonts w:ascii="Arial" w:hAnsi="Arial" w:cs="Arial"/>
          <w:color w:val="000000"/>
        </w:rPr>
      </w:pPr>
      <w:r w:rsidRPr="0036151B">
        <w:rPr>
          <w:rFonts w:ascii="Arial" w:hAnsi="Arial" w:cs="Arial"/>
          <w:color w:val="000000"/>
        </w:rPr>
        <w:t>Online surveys to headteachers and ALN coordinators</w:t>
      </w:r>
    </w:p>
    <w:p w14:paraId="267D609C" w14:textId="77777777" w:rsidR="0032209A" w:rsidRPr="0036151B" w:rsidRDefault="0032209A" w:rsidP="00ED3BF7">
      <w:pPr>
        <w:numPr>
          <w:ilvl w:val="0"/>
          <w:numId w:val="4"/>
        </w:numPr>
        <w:spacing w:before="100" w:beforeAutospacing="1" w:after="100" w:afterAutospacing="1" w:line="360" w:lineRule="auto"/>
        <w:rPr>
          <w:rFonts w:ascii="Arial" w:hAnsi="Arial" w:cs="Arial"/>
          <w:color w:val="000000"/>
        </w:rPr>
      </w:pPr>
      <w:r w:rsidRPr="0036151B">
        <w:rPr>
          <w:rFonts w:ascii="Arial" w:hAnsi="Arial" w:cs="Arial"/>
          <w:color w:val="000000"/>
        </w:rPr>
        <w:t>Focus groups with teachers and support staff</w:t>
      </w:r>
    </w:p>
    <w:p w14:paraId="32F00DA0" w14:textId="77777777" w:rsidR="0032209A" w:rsidRDefault="0032209A" w:rsidP="00ED3BF7">
      <w:pPr>
        <w:numPr>
          <w:ilvl w:val="0"/>
          <w:numId w:val="4"/>
        </w:numPr>
        <w:spacing w:before="100" w:beforeAutospacing="1" w:after="100" w:afterAutospacing="1" w:line="360" w:lineRule="auto"/>
        <w:rPr>
          <w:rFonts w:ascii="Arial" w:hAnsi="Arial" w:cs="Arial"/>
          <w:color w:val="000000"/>
        </w:rPr>
      </w:pPr>
      <w:r w:rsidRPr="0036151B">
        <w:rPr>
          <w:rFonts w:ascii="Arial" w:hAnsi="Arial" w:cs="Arial"/>
          <w:color w:val="000000"/>
        </w:rPr>
        <w:t>Semi-structured interviews with local authority officers</w:t>
      </w:r>
    </w:p>
    <w:p w14:paraId="3E477B82" w14:textId="77777777" w:rsidR="0032209A" w:rsidRDefault="0032209A" w:rsidP="00ED3BF7">
      <w:pPr>
        <w:numPr>
          <w:ilvl w:val="0"/>
          <w:numId w:val="4"/>
        </w:numPr>
        <w:spacing w:before="100" w:beforeAutospacing="1" w:after="100" w:afterAutospacing="1" w:line="360" w:lineRule="auto"/>
        <w:rPr>
          <w:rFonts w:ascii="Arial" w:hAnsi="Arial" w:cs="Arial"/>
          <w:color w:val="000000"/>
        </w:rPr>
      </w:pPr>
      <w:r w:rsidRPr="0036151B">
        <w:rPr>
          <w:rFonts w:ascii="Arial" w:hAnsi="Arial" w:cs="Arial"/>
          <w:color w:val="000000"/>
        </w:rPr>
        <w:t>Parent perception surveys</w:t>
      </w:r>
    </w:p>
    <w:p w14:paraId="5759EF89" w14:textId="77777777" w:rsidR="0032209A" w:rsidRPr="0080227A" w:rsidRDefault="0032209A" w:rsidP="00ED3BF7">
      <w:pPr>
        <w:spacing w:before="100" w:beforeAutospacing="1" w:after="100" w:afterAutospacing="1" w:line="360" w:lineRule="auto"/>
        <w:rPr>
          <w:rFonts w:ascii="Arial" w:hAnsi="Arial" w:cs="Arial"/>
          <w:color w:val="000000"/>
        </w:rPr>
      </w:pPr>
      <w:r w:rsidRPr="0080227A">
        <w:rPr>
          <w:rFonts w:ascii="Arial" w:hAnsi="Arial" w:cs="Arial"/>
          <w:color w:val="000000"/>
        </w:rPr>
        <w:t>A mixed methods approach is possible.</w:t>
      </w:r>
      <w:r w:rsidRPr="0080227A">
        <w:rPr>
          <w:rStyle w:val="apple-converted-space"/>
          <w:rFonts w:ascii="Arial" w:eastAsiaTheme="majorEastAsia" w:hAnsi="Arial" w:cs="Arial"/>
          <w:color w:val="000000"/>
        </w:rPr>
        <w:t> </w:t>
      </w:r>
      <w:r w:rsidRPr="0080227A">
        <w:rPr>
          <w:rStyle w:val="whitespace-normal"/>
          <w:rFonts w:ascii="Arial" w:eastAsiaTheme="majorEastAsia" w:hAnsi="Arial" w:cs="Arial"/>
          <w:color w:val="000000"/>
        </w:rPr>
        <w:t>John W. Creswell</w:t>
      </w:r>
      <w:r w:rsidRPr="0080227A">
        <w:rPr>
          <w:rStyle w:val="apple-converted-space"/>
          <w:rFonts w:ascii="Arial" w:eastAsiaTheme="majorEastAsia" w:hAnsi="Arial" w:cs="Arial"/>
          <w:color w:val="000000"/>
        </w:rPr>
        <w:t> </w:t>
      </w:r>
      <w:r w:rsidRPr="0080227A">
        <w:rPr>
          <w:rFonts w:ascii="Arial" w:hAnsi="Arial" w:cs="Arial"/>
          <w:color w:val="000000"/>
        </w:rPr>
        <w:t>and</w:t>
      </w:r>
      <w:r w:rsidRPr="0080227A">
        <w:rPr>
          <w:rStyle w:val="apple-converted-space"/>
          <w:rFonts w:ascii="Arial" w:eastAsiaTheme="majorEastAsia" w:hAnsi="Arial" w:cs="Arial"/>
          <w:color w:val="000000"/>
        </w:rPr>
        <w:t> </w:t>
      </w:r>
      <w:r w:rsidRPr="0080227A">
        <w:rPr>
          <w:rStyle w:val="whitespace-normal"/>
          <w:rFonts w:ascii="Arial" w:eastAsiaTheme="majorEastAsia" w:hAnsi="Arial" w:cs="Arial"/>
          <w:color w:val="000000"/>
        </w:rPr>
        <w:t>Vicki L. Plano Clark</w:t>
      </w:r>
      <w:r w:rsidRPr="0080227A">
        <w:rPr>
          <w:rStyle w:val="apple-converted-space"/>
          <w:rFonts w:ascii="Arial" w:eastAsiaTheme="majorEastAsia" w:hAnsi="Arial" w:cs="Arial"/>
          <w:color w:val="000000"/>
        </w:rPr>
        <w:t> </w:t>
      </w:r>
      <w:r w:rsidRPr="0080227A">
        <w:rPr>
          <w:rFonts w:ascii="Arial" w:hAnsi="Arial" w:cs="Arial"/>
          <w:color w:val="000000"/>
        </w:rPr>
        <w:t>(2018) argue that combining quantitative and qualitative methods enhances validity through triangulation, as it allows researchers to draw on the strengths of both numerical measurement and in-depth contextual understanding.</w:t>
      </w:r>
    </w:p>
    <w:p w14:paraId="30473549" w14:textId="77777777" w:rsidR="0032209A" w:rsidRPr="0080227A" w:rsidRDefault="0032209A" w:rsidP="00ED3BF7">
      <w:pPr>
        <w:pStyle w:val="NormalWeb"/>
        <w:spacing w:line="360" w:lineRule="auto"/>
        <w:rPr>
          <w:rFonts w:ascii="Arial" w:hAnsi="Arial" w:cs="Arial"/>
          <w:color w:val="000000"/>
        </w:rPr>
      </w:pPr>
      <w:r w:rsidRPr="0080227A">
        <w:rPr>
          <w:rFonts w:ascii="Arial" w:hAnsi="Arial" w:cs="Arial"/>
          <w:color w:val="000000"/>
        </w:rPr>
        <w:t xml:space="preserve">Triangulation refers to the use of multiple methods, data sources, theories, or investigators to study the same phenomenon </w:t>
      </w:r>
      <w:proofErr w:type="gramStart"/>
      <w:r w:rsidRPr="0080227A">
        <w:rPr>
          <w:rFonts w:ascii="Arial" w:hAnsi="Arial" w:cs="Arial"/>
          <w:color w:val="000000"/>
        </w:rPr>
        <w:t>in order to</w:t>
      </w:r>
      <w:proofErr w:type="gramEnd"/>
      <w:r w:rsidRPr="0080227A">
        <w:rPr>
          <w:rFonts w:ascii="Arial" w:hAnsi="Arial" w:cs="Arial"/>
          <w:color w:val="000000"/>
        </w:rPr>
        <w:t xml:space="preserve"> cross-check and corroborate findings. The central idea is that if different approaches lead to similar conclusions, confidence in the validity and credibility of the results is strengthened. In mixed methods research, triangulation typically involves comparing quantitative results (e.g., surveys, experiments, statistical analyses) with qualitative findings (e.g., interviews, observations, document analysis) to determine whether they converge, complement one another, or reveal inconsistencies that require further interpretation.</w:t>
      </w:r>
    </w:p>
    <w:p w14:paraId="36D3F52E" w14:textId="77777777" w:rsidR="0032209A" w:rsidRPr="0080227A" w:rsidRDefault="0032209A" w:rsidP="00ED3BF7">
      <w:pPr>
        <w:pStyle w:val="NormalWeb"/>
        <w:spacing w:line="360" w:lineRule="auto"/>
        <w:rPr>
          <w:rFonts w:ascii="Arial" w:hAnsi="Arial" w:cs="Arial"/>
          <w:color w:val="000000"/>
        </w:rPr>
      </w:pPr>
      <w:r w:rsidRPr="0080227A">
        <w:rPr>
          <w:rFonts w:ascii="Arial" w:hAnsi="Arial" w:cs="Arial"/>
          <w:color w:val="000000"/>
        </w:rPr>
        <w:lastRenderedPageBreak/>
        <w:t xml:space="preserve">Denzin (1978) originally conceptualized four types of </w:t>
      </w:r>
      <w:proofErr w:type="gramStart"/>
      <w:r w:rsidRPr="0080227A">
        <w:rPr>
          <w:rFonts w:ascii="Arial" w:hAnsi="Arial" w:cs="Arial"/>
          <w:color w:val="000000"/>
        </w:rPr>
        <w:t>triangulation</w:t>
      </w:r>
      <w:proofErr w:type="gramEnd"/>
      <w:r w:rsidRPr="0080227A">
        <w:rPr>
          <w:rFonts w:ascii="Arial" w:hAnsi="Arial" w:cs="Arial"/>
          <w:color w:val="000000"/>
        </w:rPr>
        <w:t>: data triangulation (using different data sources), investigator triangulation (involving multiple researchers), theory triangulation (using multiple theoretical perspectives), and methodological triangulation (using multiple methods). In mixed methods research, methodological triangulation is especially central, as it integrates quantitative and qualitative designs to provide a more comprehensive understanding of complex social phenomena.</w:t>
      </w:r>
    </w:p>
    <w:p w14:paraId="7C71C05F" w14:textId="77777777" w:rsidR="0032209A" w:rsidRDefault="0032209A" w:rsidP="00ED3BF7">
      <w:pPr>
        <w:pStyle w:val="NormalWeb"/>
        <w:spacing w:line="360" w:lineRule="auto"/>
        <w:rPr>
          <w:rFonts w:ascii="Arial" w:hAnsi="Arial" w:cs="Arial"/>
          <w:color w:val="000000"/>
        </w:rPr>
      </w:pPr>
      <w:r w:rsidRPr="0080227A">
        <w:rPr>
          <w:rFonts w:ascii="Arial" w:hAnsi="Arial" w:cs="Arial"/>
          <w:color w:val="000000"/>
        </w:rPr>
        <w:t>By employing triangulation, researchers reduce the likelihood that findings are an artifact of a single method, sample, or researcher bias. Instead, convergence across methods increases internal validity, enhances credibility, and strengthens the overall robustness of the study.</w:t>
      </w:r>
    </w:p>
    <w:p w14:paraId="32EDF479"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Quantitative surveys will measure willingness to participate, budget capacity and perceived priority level. Such data supports financial forecasting.</w:t>
      </w:r>
    </w:p>
    <w:p w14:paraId="6DC89873"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However, structured surveys risk oversimplifying complex concerns (Bryman, 2016). Qualitative focus groups will therefore explore safeguarding anxieties, workload implications and school culture. This reflects interpretivist recognition that stakeholder perspectives are context dependent.</w:t>
      </w:r>
    </w:p>
    <w:p w14:paraId="438D7375"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Alternative approaches include pilot-only feasibility testing, as suggested in lean innovation theory (Ries, 2011), or commissioning independent research agencies. While these may enhance objectivity, bypassing consultation risks undermining stakeholder legitimacy within public-sector education contexts.</w:t>
      </w:r>
    </w:p>
    <w:p w14:paraId="249316C3"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Limitations include self-selection bias, social desirability bias and potential non-response bias if survey participation falls below 30% (Saunders, Lewis and Thornhill, 2019). Nevertheless, mixed methods provide the most balanced strategy for demand forecasting and strategic positioning.</w:t>
      </w:r>
    </w:p>
    <w:p w14:paraId="39DD06B7"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5. Implementation Plan</w:t>
      </w:r>
    </w:p>
    <w:p w14:paraId="6F576615"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The pilot will involve 5–10 schools across urban and rural Welsh regions to ensure demographic diversity. Each school will complete Dog Mentor training prior to integration.</w:t>
      </w:r>
    </w:p>
    <w:p w14:paraId="06F41809"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lastRenderedPageBreak/>
        <w:t>Dogs will attend 2–4 days per week, engaging in structured activities such as reading support sessions, calm presence regulation sessions and targeted emotional literacy interventions.</w:t>
      </w:r>
    </w:p>
    <w:p w14:paraId="5D4AD407"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Staff training will address safeguarding compliance, allergy awareness, behavioural incident procedures and dog welfare monitoring.</w:t>
      </w:r>
    </w:p>
    <w:p w14:paraId="1AB50AAE"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Governance reviews will assess adherence to risk management protocols and implementation fidelity. Structured timetabling will prevent overexposure and protect dog wellbeing.</w:t>
      </w:r>
    </w:p>
    <w:p w14:paraId="2E676B89"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6. Risk Management and Ethical Safeguards</w:t>
      </w:r>
    </w:p>
    <w:p w14:paraId="509534B2"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Introducing animals into schools presents identifiable risks including allergies, phobias and behavioural incidents. Best practice in AAIs requires comprehensive safeguards and ethical oversight (Brelsford </w:t>
      </w:r>
      <w:r w:rsidRPr="0036151B">
        <w:rPr>
          <w:rFonts w:ascii="Arial" w:hAnsi="Arial" w:cs="Arial"/>
          <w:i/>
          <w:iCs/>
          <w:color w:val="000000"/>
        </w:rPr>
        <w:t>et al.</w:t>
      </w:r>
      <w:r w:rsidRPr="0036151B">
        <w:rPr>
          <w:rFonts w:ascii="Arial" w:hAnsi="Arial" w:cs="Arial"/>
          <w:color w:val="000000"/>
        </w:rPr>
        <w:t>, 2017).</w:t>
      </w:r>
    </w:p>
    <w:p w14:paraId="071366E9"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Mitigation strategies include:</w:t>
      </w:r>
    </w:p>
    <w:p w14:paraId="0E5FAEBF" w14:textId="77777777" w:rsidR="0032209A" w:rsidRPr="0036151B" w:rsidRDefault="0032209A" w:rsidP="00ED3BF7">
      <w:pPr>
        <w:numPr>
          <w:ilvl w:val="0"/>
          <w:numId w:val="5"/>
        </w:numPr>
        <w:spacing w:before="100" w:beforeAutospacing="1" w:after="100" w:afterAutospacing="1" w:line="360" w:lineRule="auto"/>
        <w:rPr>
          <w:rFonts w:ascii="Arial" w:hAnsi="Arial" w:cs="Arial"/>
          <w:color w:val="000000"/>
        </w:rPr>
      </w:pPr>
      <w:r w:rsidRPr="0036151B">
        <w:rPr>
          <w:rFonts w:ascii="Arial" w:hAnsi="Arial" w:cs="Arial"/>
          <w:color w:val="000000"/>
        </w:rPr>
        <w:t>Pre-implementation allergy screening</w:t>
      </w:r>
    </w:p>
    <w:p w14:paraId="07BF8E69" w14:textId="77777777" w:rsidR="0032209A" w:rsidRPr="0036151B" w:rsidRDefault="0032209A" w:rsidP="00ED3BF7">
      <w:pPr>
        <w:numPr>
          <w:ilvl w:val="0"/>
          <w:numId w:val="5"/>
        </w:numPr>
        <w:spacing w:before="100" w:beforeAutospacing="1" w:after="100" w:afterAutospacing="1" w:line="360" w:lineRule="auto"/>
        <w:rPr>
          <w:rFonts w:ascii="Arial" w:hAnsi="Arial" w:cs="Arial"/>
          <w:color w:val="000000"/>
        </w:rPr>
      </w:pPr>
      <w:r w:rsidRPr="0036151B">
        <w:rPr>
          <w:rFonts w:ascii="Arial" w:hAnsi="Arial" w:cs="Arial"/>
          <w:color w:val="000000"/>
        </w:rPr>
        <w:t>Opt-out consent procedures</w:t>
      </w:r>
    </w:p>
    <w:p w14:paraId="5AC70E63" w14:textId="77777777" w:rsidR="0032209A" w:rsidRPr="0036151B" w:rsidRDefault="0032209A" w:rsidP="00ED3BF7">
      <w:pPr>
        <w:numPr>
          <w:ilvl w:val="0"/>
          <w:numId w:val="5"/>
        </w:numPr>
        <w:spacing w:before="100" w:beforeAutospacing="1" w:after="100" w:afterAutospacing="1" w:line="360" w:lineRule="auto"/>
        <w:rPr>
          <w:rFonts w:ascii="Arial" w:hAnsi="Arial" w:cs="Arial"/>
          <w:color w:val="000000"/>
        </w:rPr>
      </w:pPr>
      <w:r w:rsidRPr="0036151B">
        <w:rPr>
          <w:rFonts w:ascii="Arial" w:hAnsi="Arial" w:cs="Arial"/>
          <w:color w:val="000000"/>
        </w:rPr>
        <w:t>Structured rest periods for dogs</w:t>
      </w:r>
    </w:p>
    <w:p w14:paraId="217FC74E" w14:textId="77777777" w:rsidR="0032209A" w:rsidRPr="0036151B" w:rsidRDefault="0032209A" w:rsidP="00ED3BF7">
      <w:pPr>
        <w:numPr>
          <w:ilvl w:val="0"/>
          <w:numId w:val="5"/>
        </w:numPr>
        <w:spacing w:before="100" w:beforeAutospacing="1" w:after="100" w:afterAutospacing="1" w:line="360" w:lineRule="auto"/>
        <w:rPr>
          <w:rFonts w:ascii="Arial" w:hAnsi="Arial" w:cs="Arial"/>
          <w:color w:val="000000"/>
        </w:rPr>
      </w:pPr>
      <w:r w:rsidRPr="0036151B">
        <w:rPr>
          <w:rFonts w:ascii="Arial" w:hAnsi="Arial" w:cs="Arial"/>
          <w:color w:val="000000"/>
        </w:rPr>
        <w:t>Behavioural incident logs</w:t>
      </w:r>
    </w:p>
    <w:p w14:paraId="3E0DBEEC" w14:textId="77777777" w:rsidR="0032209A" w:rsidRPr="0036151B" w:rsidRDefault="0032209A" w:rsidP="00ED3BF7">
      <w:pPr>
        <w:numPr>
          <w:ilvl w:val="0"/>
          <w:numId w:val="5"/>
        </w:numPr>
        <w:spacing w:before="100" w:beforeAutospacing="1" w:after="100" w:afterAutospacing="1" w:line="360" w:lineRule="auto"/>
        <w:rPr>
          <w:rFonts w:ascii="Arial" w:hAnsi="Arial" w:cs="Arial"/>
          <w:color w:val="000000"/>
        </w:rPr>
      </w:pPr>
      <w:r w:rsidRPr="0036151B">
        <w:rPr>
          <w:rFonts w:ascii="Arial" w:hAnsi="Arial" w:cs="Arial"/>
          <w:color w:val="000000"/>
        </w:rPr>
        <w:t>Clear emergency protocols</w:t>
      </w:r>
    </w:p>
    <w:p w14:paraId="3062376E"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Dog welfare is central to the programme’s ethical integrity. Signs of stress or fatigue will trigger withdrawal from sessions. Marketing materials will avoid therapeutic overstatement, aligning claims with available empirical evidence.</w:t>
      </w:r>
    </w:p>
    <w:p w14:paraId="42F54CAE"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Ethical reciprocity underpins the programme: both pupil wellbeing and animal welfare are protected through structured governance and monitoring.</w:t>
      </w:r>
    </w:p>
    <w:p w14:paraId="578B8142"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7. Funding Model and Governance Structure</w:t>
      </w:r>
    </w:p>
    <w:p w14:paraId="1DEA96D9"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Selecting an appropriate legal structure is central to sustainability. Two primary models were evaluated: Registered Charity and Private Limited Company.</w:t>
      </w:r>
    </w:p>
    <w:p w14:paraId="4BA9BC74" w14:textId="77777777" w:rsidR="0032209A" w:rsidRPr="0036151B" w:rsidRDefault="0032209A" w:rsidP="00ED3BF7">
      <w:pPr>
        <w:spacing w:before="100" w:beforeAutospacing="1" w:after="100" w:afterAutospacing="1" w:line="360" w:lineRule="auto"/>
        <w:outlineLvl w:val="2"/>
        <w:rPr>
          <w:rFonts w:ascii="Arial" w:hAnsi="Arial" w:cs="Arial"/>
          <w:b/>
          <w:bCs/>
          <w:color w:val="000000"/>
        </w:rPr>
      </w:pPr>
      <w:r w:rsidRPr="0036151B">
        <w:rPr>
          <w:rFonts w:ascii="Arial" w:hAnsi="Arial" w:cs="Arial"/>
          <w:b/>
          <w:bCs/>
          <w:color w:val="000000"/>
        </w:rPr>
        <w:lastRenderedPageBreak/>
        <w:t>7.1 Registered Charity</w:t>
      </w:r>
    </w:p>
    <w:p w14:paraId="49AF7BC4"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Under the Charities Act 2011, charities must operate exclusively for charitable purposes and demonstrate public benefit. A Therapy Dog Programme advancing education and wellbeing could meet these criteria.</w:t>
      </w:r>
    </w:p>
    <w:p w14:paraId="6C2BEEEF"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Advantages include access to grant funding and enhanced legitimacy (Breeze, 2013; NCVO, 2023). However, charities face governance complexity, trustee oversight requirements and potential restrictions on commercial trading. Overreliance on grant funding may create instability in competitive funding environments (Macmillan, 2013).</w:t>
      </w:r>
    </w:p>
    <w:p w14:paraId="6C7A33C4" w14:textId="77777777" w:rsidR="0032209A" w:rsidRPr="0036151B" w:rsidRDefault="0032209A" w:rsidP="00ED3BF7">
      <w:pPr>
        <w:spacing w:before="100" w:beforeAutospacing="1" w:after="100" w:afterAutospacing="1" w:line="360" w:lineRule="auto"/>
        <w:outlineLvl w:val="2"/>
        <w:rPr>
          <w:rFonts w:ascii="Arial" w:hAnsi="Arial" w:cs="Arial"/>
          <w:b/>
          <w:bCs/>
          <w:color w:val="000000"/>
        </w:rPr>
      </w:pPr>
      <w:r w:rsidRPr="0036151B">
        <w:rPr>
          <w:rFonts w:ascii="Arial" w:hAnsi="Arial" w:cs="Arial"/>
          <w:b/>
          <w:bCs/>
          <w:color w:val="000000"/>
        </w:rPr>
        <w:t>7.2 Private Limited Company</w:t>
      </w:r>
    </w:p>
    <w:p w14:paraId="2720EA74"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Governed by the Companies Act 2006, private limited companies may distribute profits and operate with greater commercial flexibility. Charging schools directly supports earned income sustainability and reduces dependence on philanthropic cycles (Dees, 1998).</w:t>
      </w:r>
    </w:p>
    <w:p w14:paraId="34CF2E8C"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However, purely commercial models may encounter scepticism within public-sector education contexts and do not benefit from charitable tax advantages.</w:t>
      </w:r>
    </w:p>
    <w:p w14:paraId="0B397280" w14:textId="77777777" w:rsidR="0032209A" w:rsidRPr="0036151B" w:rsidRDefault="0032209A" w:rsidP="00ED3BF7">
      <w:pPr>
        <w:spacing w:before="100" w:beforeAutospacing="1" w:after="100" w:afterAutospacing="1" w:line="360" w:lineRule="auto"/>
        <w:outlineLvl w:val="2"/>
        <w:rPr>
          <w:rFonts w:ascii="Arial" w:hAnsi="Arial" w:cs="Arial"/>
          <w:b/>
          <w:bCs/>
          <w:color w:val="000000"/>
        </w:rPr>
      </w:pPr>
      <w:r w:rsidRPr="0036151B">
        <w:rPr>
          <w:rFonts w:ascii="Arial" w:hAnsi="Arial" w:cs="Arial"/>
          <w:b/>
          <w:bCs/>
          <w:color w:val="000000"/>
        </w:rPr>
        <w:t>7.3 Strategic Recommendation: Community Interest Company (CIC)</w:t>
      </w:r>
    </w:p>
    <w:p w14:paraId="35EA5079"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A Community Interest Company (CIC) operates under the Companies Act 2006 with additional community benefit requirements and an asset lock under the Companies (Audit, Investigations and Community Enterprise) Act 2004. This hybrid structure permits charging for services while ensuring profits are reinvested into social objectives.</w:t>
      </w:r>
    </w:p>
    <w:p w14:paraId="791DFFBB"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Advantages include:</w:t>
      </w:r>
    </w:p>
    <w:p w14:paraId="0EE8979B" w14:textId="77777777" w:rsidR="0032209A" w:rsidRPr="0036151B" w:rsidRDefault="0032209A" w:rsidP="00ED3BF7">
      <w:pPr>
        <w:numPr>
          <w:ilvl w:val="0"/>
          <w:numId w:val="6"/>
        </w:numPr>
        <w:spacing w:before="100" w:beforeAutospacing="1" w:after="100" w:afterAutospacing="1" w:line="360" w:lineRule="auto"/>
        <w:rPr>
          <w:rFonts w:ascii="Arial" w:hAnsi="Arial" w:cs="Arial"/>
          <w:color w:val="000000"/>
        </w:rPr>
      </w:pPr>
      <w:r w:rsidRPr="0036151B">
        <w:rPr>
          <w:rFonts w:ascii="Arial" w:hAnsi="Arial" w:cs="Arial"/>
          <w:color w:val="000000"/>
        </w:rPr>
        <w:t>Blended income streams</w:t>
      </w:r>
    </w:p>
    <w:p w14:paraId="0C0CD3BA" w14:textId="77777777" w:rsidR="0032209A" w:rsidRPr="0036151B" w:rsidRDefault="0032209A" w:rsidP="00ED3BF7">
      <w:pPr>
        <w:numPr>
          <w:ilvl w:val="0"/>
          <w:numId w:val="6"/>
        </w:numPr>
        <w:spacing w:before="100" w:beforeAutospacing="1" w:after="100" w:afterAutospacing="1" w:line="360" w:lineRule="auto"/>
        <w:rPr>
          <w:rFonts w:ascii="Arial" w:hAnsi="Arial" w:cs="Arial"/>
          <w:color w:val="000000"/>
        </w:rPr>
      </w:pPr>
      <w:r w:rsidRPr="0036151B">
        <w:rPr>
          <w:rFonts w:ascii="Arial" w:hAnsi="Arial" w:cs="Arial"/>
          <w:color w:val="000000"/>
        </w:rPr>
        <w:t>Operational flexibility</w:t>
      </w:r>
    </w:p>
    <w:p w14:paraId="632345CF" w14:textId="77777777" w:rsidR="0032209A" w:rsidRPr="0036151B" w:rsidRDefault="0032209A" w:rsidP="00ED3BF7">
      <w:pPr>
        <w:numPr>
          <w:ilvl w:val="0"/>
          <w:numId w:val="6"/>
        </w:numPr>
        <w:spacing w:before="100" w:beforeAutospacing="1" w:after="100" w:afterAutospacing="1" w:line="360" w:lineRule="auto"/>
        <w:rPr>
          <w:rFonts w:ascii="Arial" w:hAnsi="Arial" w:cs="Arial"/>
          <w:color w:val="000000"/>
        </w:rPr>
      </w:pPr>
      <w:r w:rsidRPr="0036151B">
        <w:rPr>
          <w:rFonts w:ascii="Arial" w:hAnsi="Arial" w:cs="Arial"/>
          <w:color w:val="000000"/>
        </w:rPr>
        <w:t>Demonstrable social mission</w:t>
      </w:r>
    </w:p>
    <w:p w14:paraId="5B39FBBA" w14:textId="77777777" w:rsidR="0032209A" w:rsidRPr="0036151B" w:rsidRDefault="0032209A" w:rsidP="00ED3BF7">
      <w:pPr>
        <w:numPr>
          <w:ilvl w:val="0"/>
          <w:numId w:val="6"/>
        </w:numPr>
        <w:spacing w:before="100" w:beforeAutospacing="1" w:after="100" w:afterAutospacing="1" w:line="360" w:lineRule="auto"/>
        <w:rPr>
          <w:rFonts w:ascii="Arial" w:hAnsi="Arial" w:cs="Arial"/>
          <w:color w:val="000000"/>
        </w:rPr>
      </w:pPr>
      <w:r w:rsidRPr="0036151B">
        <w:rPr>
          <w:rFonts w:ascii="Arial" w:hAnsi="Arial" w:cs="Arial"/>
          <w:color w:val="000000"/>
        </w:rPr>
        <w:t>Financial sustainability</w:t>
      </w:r>
    </w:p>
    <w:p w14:paraId="5A7AED21"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lastRenderedPageBreak/>
        <w:t>Income sources may include school service fees, local authority wellbeing grants, philanthropic funding, research partnerships and training consultancy. Diversified income reduces organisational vulnerability (NCVO, 2023). A CIC model therefore balances mission integrity with resilience and scalability.</w:t>
      </w:r>
    </w:p>
    <w:p w14:paraId="38E7EDAB"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8. Monitoring and Evaluation Framework</w:t>
      </w:r>
    </w:p>
    <w:p w14:paraId="34959B6E"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Given the methodological concerns identified within AAI research (Brelsford </w:t>
      </w:r>
      <w:r w:rsidRPr="0036151B">
        <w:rPr>
          <w:rFonts w:ascii="Arial" w:hAnsi="Arial" w:cs="Arial"/>
          <w:i/>
          <w:iCs/>
          <w:color w:val="000000"/>
        </w:rPr>
        <w:t>et al.</w:t>
      </w:r>
      <w:r w:rsidRPr="0036151B">
        <w:rPr>
          <w:rFonts w:ascii="Arial" w:hAnsi="Arial" w:cs="Arial"/>
          <w:color w:val="000000"/>
        </w:rPr>
        <w:t>, 2017), rigorous evaluation is essential.</w:t>
      </w:r>
    </w:p>
    <w:p w14:paraId="6A788A6C"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Evaluation measures will include:</w:t>
      </w:r>
    </w:p>
    <w:p w14:paraId="2D634BAB" w14:textId="77777777" w:rsidR="0032209A" w:rsidRPr="0036151B" w:rsidRDefault="0032209A" w:rsidP="00ED3BF7">
      <w:pPr>
        <w:numPr>
          <w:ilvl w:val="0"/>
          <w:numId w:val="7"/>
        </w:numPr>
        <w:spacing w:before="100" w:beforeAutospacing="1" w:after="100" w:afterAutospacing="1" w:line="360" w:lineRule="auto"/>
        <w:rPr>
          <w:rFonts w:ascii="Arial" w:hAnsi="Arial" w:cs="Arial"/>
          <w:color w:val="000000"/>
        </w:rPr>
      </w:pPr>
      <w:r w:rsidRPr="0036151B">
        <w:rPr>
          <w:rFonts w:ascii="Arial" w:hAnsi="Arial" w:cs="Arial"/>
          <w:color w:val="000000"/>
        </w:rPr>
        <w:t>Pre- and post-intervention wellbeing surveys</w:t>
      </w:r>
    </w:p>
    <w:p w14:paraId="555AB151" w14:textId="77777777" w:rsidR="0032209A" w:rsidRPr="0036151B" w:rsidRDefault="0032209A" w:rsidP="00ED3BF7">
      <w:pPr>
        <w:numPr>
          <w:ilvl w:val="0"/>
          <w:numId w:val="7"/>
        </w:numPr>
        <w:spacing w:before="100" w:beforeAutospacing="1" w:after="100" w:afterAutospacing="1" w:line="360" w:lineRule="auto"/>
        <w:rPr>
          <w:rFonts w:ascii="Arial" w:hAnsi="Arial" w:cs="Arial"/>
          <w:color w:val="000000"/>
        </w:rPr>
      </w:pPr>
      <w:r w:rsidRPr="0036151B">
        <w:rPr>
          <w:rFonts w:ascii="Arial" w:hAnsi="Arial" w:cs="Arial"/>
          <w:color w:val="000000"/>
        </w:rPr>
        <w:t>Attendance monitoring</w:t>
      </w:r>
    </w:p>
    <w:p w14:paraId="1351543C" w14:textId="77777777" w:rsidR="0032209A" w:rsidRPr="0036151B" w:rsidRDefault="0032209A" w:rsidP="00ED3BF7">
      <w:pPr>
        <w:numPr>
          <w:ilvl w:val="0"/>
          <w:numId w:val="7"/>
        </w:numPr>
        <w:spacing w:before="100" w:beforeAutospacing="1" w:after="100" w:afterAutospacing="1" w:line="360" w:lineRule="auto"/>
        <w:rPr>
          <w:rFonts w:ascii="Arial" w:hAnsi="Arial" w:cs="Arial"/>
          <w:color w:val="000000"/>
        </w:rPr>
      </w:pPr>
      <w:r w:rsidRPr="0036151B">
        <w:rPr>
          <w:rFonts w:ascii="Arial" w:hAnsi="Arial" w:cs="Arial"/>
          <w:color w:val="000000"/>
        </w:rPr>
        <w:t>Reading engagement metrics</w:t>
      </w:r>
    </w:p>
    <w:p w14:paraId="3219332D" w14:textId="77777777" w:rsidR="0032209A" w:rsidRPr="0036151B" w:rsidRDefault="0032209A" w:rsidP="00ED3BF7">
      <w:pPr>
        <w:numPr>
          <w:ilvl w:val="0"/>
          <w:numId w:val="7"/>
        </w:numPr>
        <w:spacing w:before="100" w:beforeAutospacing="1" w:after="100" w:afterAutospacing="1" w:line="360" w:lineRule="auto"/>
        <w:rPr>
          <w:rFonts w:ascii="Arial" w:hAnsi="Arial" w:cs="Arial"/>
          <w:color w:val="000000"/>
        </w:rPr>
      </w:pPr>
      <w:r w:rsidRPr="0036151B">
        <w:rPr>
          <w:rFonts w:ascii="Arial" w:hAnsi="Arial" w:cs="Arial"/>
          <w:color w:val="000000"/>
        </w:rPr>
        <w:t>Qualitative pupil voice data</w:t>
      </w:r>
    </w:p>
    <w:p w14:paraId="0BCD13BA"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Where feasible, comparison groups will strengthen causal inference. Longitudinal tracking over 12 months will assess sustainability of outcomes.</w:t>
      </w:r>
    </w:p>
    <w:p w14:paraId="557A79E5"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Transparent data reporting will support funding applications and contribute to academic credibility, addressing calls for stronger empirical foundations in AAI research (Verhoeven </w:t>
      </w:r>
      <w:r w:rsidRPr="0036151B">
        <w:rPr>
          <w:rFonts w:ascii="Arial" w:hAnsi="Arial" w:cs="Arial"/>
          <w:i/>
          <w:iCs/>
          <w:color w:val="000000"/>
        </w:rPr>
        <w:t>et al.</w:t>
      </w:r>
      <w:r w:rsidRPr="0036151B">
        <w:rPr>
          <w:rFonts w:ascii="Arial" w:hAnsi="Arial" w:cs="Arial"/>
          <w:color w:val="000000"/>
        </w:rPr>
        <w:t>, 2023).</w:t>
      </w:r>
    </w:p>
    <w:p w14:paraId="56A3304A"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9. Critical Evaluation</w:t>
      </w:r>
    </w:p>
    <w:p w14:paraId="4D806884"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Although evidence suggests promising outcomes, AAIs are not universally effective (</w:t>
      </w:r>
      <w:proofErr w:type="spellStart"/>
      <w:r w:rsidRPr="0036151B">
        <w:rPr>
          <w:rFonts w:ascii="Arial" w:hAnsi="Arial" w:cs="Arial"/>
          <w:color w:val="000000"/>
        </w:rPr>
        <w:t>Grové</w:t>
      </w:r>
      <w:proofErr w:type="spellEnd"/>
      <w:r w:rsidRPr="0036151B">
        <w:rPr>
          <w:rFonts w:ascii="Arial" w:hAnsi="Arial" w:cs="Arial"/>
          <w:color w:val="000000"/>
        </w:rPr>
        <w:t>, 2021; Verhoeven </w:t>
      </w:r>
      <w:r w:rsidRPr="0036151B">
        <w:rPr>
          <w:rFonts w:ascii="Arial" w:hAnsi="Arial" w:cs="Arial"/>
          <w:i/>
          <w:iCs/>
          <w:color w:val="000000"/>
        </w:rPr>
        <w:t>et al.</w:t>
      </w:r>
      <w:r w:rsidRPr="0036151B">
        <w:rPr>
          <w:rFonts w:ascii="Arial" w:hAnsi="Arial" w:cs="Arial"/>
          <w:color w:val="000000"/>
        </w:rPr>
        <w:t>, 2023). Outcomes depend on implementation fidelity, dog temperament, school culture and staff commitment.</w:t>
      </w:r>
    </w:p>
    <w:p w14:paraId="52365D6E"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Financial sustainability requires realistic pricing and value. Overreliance on grants undermines stability (Macmillan, 2013); excessive commercialisation risks reputational damage. A CIC structure mitigates both risks.</w:t>
      </w:r>
    </w:p>
    <w:p w14:paraId="0AAB17C3"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Market research informed by strategic decision-making theory (</w:t>
      </w:r>
      <w:proofErr w:type="spellStart"/>
      <w:r w:rsidRPr="0036151B">
        <w:rPr>
          <w:rFonts w:ascii="Arial" w:hAnsi="Arial" w:cs="Arial"/>
          <w:color w:val="000000"/>
        </w:rPr>
        <w:t>Stenkevich</w:t>
      </w:r>
      <w:proofErr w:type="spellEnd"/>
      <w:r w:rsidRPr="0036151B">
        <w:rPr>
          <w:rFonts w:ascii="Arial" w:hAnsi="Arial" w:cs="Arial"/>
          <w:color w:val="000000"/>
        </w:rPr>
        <w:t>, 2017) reduces uncertainty and supports appropriate positioning within the Welsh education landscape.</w:t>
      </w:r>
    </w:p>
    <w:p w14:paraId="60BB3C4D"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lastRenderedPageBreak/>
        <w:t>The proposal therefore balances innovation with evidence-based caution, safeguarding compliance and financial realism.</w:t>
      </w:r>
    </w:p>
    <w:p w14:paraId="0A05331D" w14:textId="77777777" w:rsidR="0032209A" w:rsidRPr="0036151B" w:rsidRDefault="0032209A" w:rsidP="00ED3BF7">
      <w:pPr>
        <w:spacing w:before="100" w:beforeAutospacing="1" w:after="100" w:afterAutospacing="1" w:line="360" w:lineRule="auto"/>
        <w:outlineLvl w:val="1"/>
        <w:rPr>
          <w:rFonts w:ascii="Arial" w:hAnsi="Arial" w:cs="Arial"/>
          <w:b/>
          <w:bCs/>
          <w:color w:val="000000"/>
        </w:rPr>
      </w:pPr>
      <w:r w:rsidRPr="0036151B">
        <w:rPr>
          <w:rFonts w:ascii="Arial" w:hAnsi="Arial" w:cs="Arial"/>
          <w:b/>
          <w:bCs/>
          <w:color w:val="000000"/>
        </w:rPr>
        <w:t>10. Conclusion</w:t>
      </w:r>
    </w:p>
    <w:p w14:paraId="04868A8C"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This business plan proposes a structured Therapy Dog Programme for Welsh schools grounded in academic evidence, strategic market research and governance analysis. While AAIs show potential benefits for emotional wellbeing and engagement, implementation must prioritise safeguarding, animal welfare and rigorous evaluation.</w:t>
      </w:r>
    </w:p>
    <w:p w14:paraId="387DDA60" w14:textId="77777777" w:rsidR="0032209A" w:rsidRPr="0036151B" w:rsidRDefault="0032209A" w:rsidP="00ED3BF7">
      <w:pPr>
        <w:spacing w:before="100" w:beforeAutospacing="1" w:after="100" w:afterAutospacing="1" w:line="360" w:lineRule="auto"/>
        <w:rPr>
          <w:rFonts w:ascii="Arial" w:hAnsi="Arial" w:cs="Arial"/>
          <w:color w:val="000000"/>
        </w:rPr>
      </w:pPr>
      <w:r w:rsidRPr="0036151B">
        <w:rPr>
          <w:rFonts w:ascii="Arial" w:hAnsi="Arial" w:cs="Arial"/>
          <w:color w:val="000000"/>
        </w:rPr>
        <w:t>Adopting a Community Interest Company model provides an ethically aligned and financially sustainable structure. With robust pilot evaluation and strategic scaling, the programme could contribute meaningfully to holistic pupil support within Wales while maintaining accountability, transparency and academic integrity.</w:t>
      </w:r>
    </w:p>
    <w:p w14:paraId="4F2F7395" w14:textId="77777777" w:rsidR="0032209A" w:rsidRDefault="0032209A" w:rsidP="0032209A">
      <w:pPr>
        <w:pStyle w:val="Heading1"/>
        <w:rPr>
          <w:rFonts w:ascii="Arial" w:hAnsi="Arial" w:cs="Arial"/>
          <w:color w:val="000000"/>
        </w:rPr>
      </w:pPr>
    </w:p>
    <w:p w14:paraId="6A720BBE" w14:textId="77777777" w:rsidR="0032209A" w:rsidRDefault="0032209A" w:rsidP="0032209A"/>
    <w:p w14:paraId="34397874" w14:textId="77777777" w:rsidR="0032209A" w:rsidRDefault="0032209A" w:rsidP="0032209A">
      <w:pPr>
        <w:pStyle w:val="Heading1"/>
        <w:rPr>
          <w:rFonts w:ascii="Arial" w:hAnsi="Arial" w:cs="Arial"/>
          <w:color w:val="000000"/>
        </w:rPr>
      </w:pPr>
    </w:p>
    <w:p w14:paraId="1BCEBA5B" w14:textId="77777777" w:rsidR="0032209A" w:rsidRDefault="0032209A" w:rsidP="0032209A">
      <w:pPr>
        <w:pStyle w:val="Heading1"/>
        <w:rPr>
          <w:rFonts w:ascii="Arial" w:hAnsi="Arial" w:cs="Arial"/>
          <w:color w:val="000000"/>
        </w:rPr>
      </w:pPr>
    </w:p>
    <w:p w14:paraId="64D00215" w14:textId="77777777" w:rsidR="0032209A" w:rsidRDefault="0032209A" w:rsidP="0032209A">
      <w:pPr>
        <w:pStyle w:val="Heading1"/>
        <w:rPr>
          <w:rFonts w:ascii="Arial" w:hAnsi="Arial" w:cs="Arial"/>
          <w:color w:val="000000"/>
        </w:rPr>
      </w:pPr>
    </w:p>
    <w:p w14:paraId="1AECD558" w14:textId="77777777" w:rsidR="0032209A" w:rsidRDefault="0032209A" w:rsidP="0032209A">
      <w:pPr>
        <w:pStyle w:val="Heading1"/>
        <w:rPr>
          <w:rFonts w:ascii="Arial" w:hAnsi="Arial" w:cs="Arial"/>
          <w:color w:val="000000"/>
        </w:rPr>
      </w:pPr>
    </w:p>
    <w:p w14:paraId="1098817A" w14:textId="77777777" w:rsidR="005A4FCE" w:rsidRDefault="005A4FCE" w:rsidP="005A4FCE">
      <w:pPr>
        <w:pStyle w:val="Heading1"/>
        <w:rPr>
          <w:rFonts w:ascii="Arial" w:hAnsi="Arial" w:cs="Arial"/>
          <w:color w:val="000000"/>
        </w:rPr>
      </w:pPr>
    </w:p>
    <w:p w14:paraId="7BF68683" w14:textId="77777777" w:rsidR="005A4FCE" w:rsidRDefault="005A4FCE" w:rsidP="005A4FCE">
      <w:pPr>
        <w:pStyle w:val="Heading1"/>
        <w:rPr>
          <w:rFonts w:ascii="Arial" w:hAnsi="Arial" w:cs="Arial"/>
          <w:color w:val="000000"/>
        </w:rPr>
      </w:pPr>
    </w:p>
    <w:p w14:paraId="252BF975" w14:textId="77777777" w:rsidR="005A4FCE" w:rsidRDefault="005A4FCE" w:rsidP="005A4FCE"/>
    <w:p w14:paraId="63DA6A59" w14:textId="77777777" w:rsidR="005A4FCE" w:rsidRDefault="005A4FCE" w:rsidP="005A4FCE"/>
    <w:p w14:paraId="159DFAD4" w14:textId="77777777" w:rsidR="005A4FCE" w:rsidRDefault="005A4FCE" w:rsidP="005A4FCE"/>
    <w:p w14:paraId="36C93D64" w14:textId="77777777" w:rsidR="005A4FCE" w:rsidRDefault="005A4FCE" w:rsidP="005A4FCE"/>
    <w:p w14:paraId="2746FABE" w14:textId="77777777" w:rsidR="00ED3BF7" w:rsidRDefault="00ED3BF7" w:rsidP="005A4FCE"/>
    <w:p w14:paraId="5C72BD6F" w14:textId="77777777" w:rsidR="00ED3BF7" w:rsidRDefault="00ED3BF7" w:rsidP="005A4FCE"/>
    <w:p w14:paraId="235EB3A5" w14:textId="68AC586D" w:rsidR="0032209A" w:rsidRPr="00C77F4E" w:rsidRDefault="0032209A" w:rsidP="005A4FCE">
      <w:pPr>
        <w:jc w:val="center"/>
        <w:rPr>
          <w:rFonts w:ascii="Arial" w:hAnsi="Arial" w:cs="Arial"/>
          <w:b/>
          <w:bCs/>
        </w:rPr>
      </w:pPr>
      <w:r w:rsidRPr="00C77F4E">
        <w:rPr>
          <w:rFonts w:ascii="Arial" w:hAnsi="Arial" w:cs="Arial"/>
          <w:b/>
          <w:bCs/>
        </w:rPr>
        <w:lastRenderedPageBreak/>
        <w:t>Reference List</w:t>
      </w:r>
    </w:p>
    <w:p w14:paraId="4382DEA4" w14:textId="32D0B611" w:rsidR="00EE4832" w:rsidRPr="00362B37" w:rsidRDefault="00EE4832" w:rsidP="00EE4832">
      <w:pPr>
        <w:pStyle w:val="NormalWeb"/>
        <w:rPr>
          <w:rFonts w:ascii="Arial" w:hAnsi="Arial" w:cs="Arial"/>
          <w:color w:val="000000"/>
        </w:rPr>
      </w:pPr>
      <w:r w:rsidRPr="00362B37">
        <w:rPr>
          <w:rFonts w:ascii="Arial" w:hAnsi="Arial" w:cs="Arial"/>
          <w:color w:val="000000"/>
        </w:rPr>
        <w:t>Brelsford, V.L., Dimolareva, M., Gee, N.R. and Meints, K. (2017) ‘Best practice standards in animal-assisted interventions: How the use of animals in human services can benefit from evidence-based practice’,</w:t>
      </w:r>
      <w:r w:rsidRPr="00362B37">
        <w:rPr>
          <w:rStyle w:val="apple-converted-space"/>
          <w:rFonts w:ascii="Arial" w:eastAsiaTheme="majorEastAsia" w:hAnsi="Arial" w:cs="Arial"/>
          <w:color w:val="000000"/>
        </w:rPr>
        <w:t> </w:t>
      </w:r>
      <w:r w:rsidRPr="00362B37">
        <w:rPr>
          <w:rStyle w:val="Emphasis"/>
          <w:rFonts w:ascii="Arial" w:eastAsiaTheme="majorEastAsia" w:hAnsi="Arial" w:cs="Arial"/>
          <w:color w:val="000000"/>
        </w:rPr>
        <w:t>Frontiers in Veterinary Science</w:t>
      </w:r>
      <w:r w:rsidRPr="00362B37">
        <w:rPr>
          <w:rFonts w:ascii="Arial" w:hAnsi="Arial" w:cs="Arial"/>
          <w:color w:val="000000"/>
        </w:rPr>
        <w:t xml:space="preserve">, 4, p. 35. </w:t>
      </w:r>
      <w:r>
        <w:rPr>
          <w:rFonts w:ascii="Arial" w:hAnsi="Arial" w:cs="Arial"/>
          <w:color w:val="000000"/>
        </w:rPr>
        <w:t xml:space="preserve">DOI: </w:t>
      </w:r>
      <w:r w:rsidRPr="00362B37">
        <w:rPr>
          <w:rFonts w:ascii="Arial" w:hAnsi="Arial" w:cs="Arial"/>
          <w:color w:val="000000"/>
        </w:rPr>
        <w:t>https://doi.org/10.3389/fvets.2017.00035</w:t>
      </w:r>
      <w:r w:rsidRPr="00362B37">
        <w:rPr>
          <w:rStyle w:val="apple-converted-space"/>
          <w:rFonts w:ascii="Arial" w:eastAsiaTheme="majorEastAsia" w:hAnsi="Arial" w:cs="Arial"/>
          <w:color w:val="000000"/>
        </w:rPr>
        <w:t> </w:t>
      </w:r>
      <w:r w:rsidRPr="00362B37">
        <w:rPr>
          <w:rFonts w:ascii="Arial" w:hAnsi="Arial" w:cs="Arial"/>
          <w:color w:val="000000"/>
        </w:rPr>
        <w:t>(Accessed</w:t>
      </w:r>
      <w:r>
        <w:rPr>
          <w:rFonts w:ascii="Arial" w:hAnsi="Arial" w:cs="Arial"/>
          <w:color w:val="000000"/>
        </w:rPr>
        <w:t xml:space="preserve"> on</w:t>
      </w:r>
      <w:r w:rsidRPr="00362B37">
        <w:rPr>
          <w:rFonts w:ascii="Arial" w:hAnsi="Arial" w:cs="Arial"/>
          <w:color w:val="000000"/>
        </w:rPr>
        <w:t>: 23 February 2026).</w:t>
      </w:r>
    </w:p>
    <w:p w14:paraId="4761451F" w14:textId="6751D282" w:rsidR="0032209A" w:rsidRPr="00682300" w:rsidRDefault="0032209A" w:rsidP="0032209A">
      <w:pPr>
        <w:pStyle w:val="NormalWeb"/>
        <w:rPr>
          <w:rFonts w:ascii="Arial" w:hAnsi="Arial" w:cs="Arial"/>
          <w:color w:val="000000"/>
        </w:rPr>
      </w:pPr>
      <w:r w:rsidRPr="00682300">
        <w:rPr>
          <w:rFonts w:ascii="Arial" w:hAnsi="Arial" w:cs="Arial"/>
          <w:color w:val="000000"/>
        </w:rPr>
        <w:t>Breeze, B. (2013)</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How Donors Choose Charities: The Role of Personal Taste and Experiences in Giving Decisions</w:t>
      </w:r>
      <w:r w:rsidRPr="00682300">
        <w:rPr>
          <w:rFonts w:ascii="Arial" w:hAnsi="Arial" w:cs="Arial"/>
          <w:color w:val="000000"/>
        </w:rPr>
        <w:t>. London: Centre for Philanthropy, University of Kent.</w:t>
      </w:r>
      <w:r w:rsidR="00EE4832">
        <w:rPr>
          <w:rFonts w:ascii="Arial" w:hAnsi="Arial" w:cs="Arial"/>
          <w:color w:val="000000"/>
        </w:rPr>
        <w:t xml:space="preserve"> Available at: </w:t>
      </w:r>
      <w:hyperlink r:id="rId29" w:history="1">
        <w:r w:rsidR="00EE4832" w:rsidRPr="00A812FA">
          <w:rPr>
            <w:rStyle w:val="Hyperlink"/>
            <w:rFonts w:ascii="Arial" w:hAnsi="Arial" w:cs="Arial"/>
          </w:rPr>
          <w:t>https://www.researchgate.net/</w:t>
        </w:r>
      </w:hyperlink>
      <w:r w:rsidR="00EE4832">
        <w:rPr>
          <w:rFonts w:ascii="Arial" w:hAnsi="Arial" w:cs="Arial"/>
          <w:color w:val="000000"/>
        </w:rPr>
        <w:t xml:space="preserve"> (Accessed on: 23 February 2026)</w:t>
      </w:r>
    </w:p>
    <w:p w14:paraId="79A59B57" w14:textId="77777777" w:rsidR="0032209A" w:rsidRPr="00682300" w:rsidRDefault="0032209A" w:rsidP="0032209A">
      <w:pPr>
        <w:pStyle w:val="NormalWeb"/>
        <w:rPr>
          <w:rFonts w:ascii="Arial" w:hAnsi="Arial" w:cs="Arial"/>
          <w:color w:val="000000"/>
        </w:rPr>
      </w:pPr>
      <w:r w:rsidRPr="00682300">
        <w:rPr>
          <w:rFonts w:ascii="Arial" w:hAnsi="Arial" w:cs="Arial"/>
          <w:color w:val="000000"/>
        </w:rPr>
        <w:t>Bryman, A. (2016)</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Social Research Methods</w:t>
      </w:r>
      <w:r w:rsidRPr="00682300">
        <w:rPr>
          <w:rFonts w:ascii="Arial" w:hAnsi="Arial" w:cs="Arial"/>
          <w:color w:val="000000"/>
        </w:rPr>
        <w:t xml:space="preserve">. 5th </w:t>
      </w:r>
      <w:proofErr w:type="spellStart"/>
      <w:r w:rsidRPr="00682300">
        <w:rPr>
          <w:rFonts w:ascii="Arial" w:hAnsi="Arial" w:cs="Arial"/>
          <w:color w:val="000000"/>
        </w:rPr>
        <w:t>edn</w:t>
      </w:r>
      <w:proofErr w:type="spellEnd"/>
      <w:r w:rsidRPr="00682300">
        <w:rPr>
          <w:rFonts w:ascii="Arial" w:hAnsi="Arial" w:cs="Arial"/>
          <w:color w:val="000000"/>
        </w:rPr>
        <w:t>. Oxford: Oxford University Press.</w:t>
      </w:r>
    </w:p>
    <w:p w14:paraId="61454AB8" w14:textId="6C415CEC" w:rsidR="0032209A" w:rsidRPr="00682300" w:rsidRDefault="0032209A" w:rsidP="0032209A">
      <w:pPr>
        <w:pStyle w:val="NormalWeb"/>
        <w:rPr>
          <w:rFonts w:ascii="Arial" w:hAnsi="Arial" w:cs="Arial"/>
          <w:color w:val="000000"/>
        </w:rPr>
      </w:pPr>
      <w:r w:rsidRPr="00682300">
        <w:rPr>
          <w:rFonts w:ascii="Arial" w:hAnsi="Arial" w:cs="Arial"/>
          <w:color w:val="000000"/>
        </w:rPr>
        <w:t>Cary, C. (2025) ‘Educational disengagement and mental health outcomes in UK secondary schools’,</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British Journal of Educational Psychology</w:t>
      </w:r>
      <w:r w:rsidRPr="00682300">
        <w:rPr>
          <w:rFonts w:ascii="Arial" w:hAnsi="Arial" w:cs="Arial"/>
          <w:color w:val="000000"/>
        </w:rPr>
        <w:t>, 95(1), pp. 45–62.</w:t>
      </w:r>
      <w:r w:rsidR="00EE4832">
        <w:rPr>
          <w:rFonts w:ascii="Arial" w:hAnsi="Arial" w:cs="Arial"/>
          <w:color w:val="000000"/>
        </w:rPr>
        <w:t xml:space="preserve"> </w:t>
      </w:r>
      <w:r w:rsidR="00EE4832" w:rsidRPr="00EE4832">
        <w:rPr>
          <w:rFonts w:ascii="Arial" w:hAnsi="Arial" w:cs="Arial"/>
          <w:color w:val="555555"/>
          <w:shd w:val="clear" w:color="auto" w:fill="FFFFFF"/>
        </w:rPr>
        <w:t>DOI:</w:t>
      </w:r>
      <w:hyperlink r:id="rId30" w:tgtFrame="_blank" w:history="1">
        <w:r w:rsidR="00EE4832" w:rsidRPr="00EE4832">
          <w:rPr>
            <w:rStyle w:val="Hyperlink"/>
            <w:rFonts w:ascii="Arial" w:eastAsiaTheme="majorEastAsia" w:hAnsi="Arial" w:cs="Arial"/>
            <w:bdr w:val="none" w:sz="0" w:space="0" w:color="auto" w:frame="1"/>
          </w:rPr>
          <w:t>10.21203/rs.3.rs-8164070/v1</w:t>
        </w:r>
      </w:hyperlink>
    </w:p>
    <w:p w14:paraId="3A506743" w14:textId="2FD9D9FE" w:rsidR="0032209A" w:rsidRPr="00682300" w:rsidRDefault="0032209A" w:rsidP="0032209A">
      <w:pPr>
        <w:pStyle w:val="NormalWeb"/>
        <w:rPr>
          <w:rFonts w:ascii="Arial" w:hAnsi="Arial" w:cs="Arial"/>
          <w:color w:val="000000"/>
        </w:rPr>
      </w:pPr>
      <w:r w:rsidRPr="00682300">
        <w:rPr>
          <w:rFonts w:ascii="Arial" w:hAnsi="Arial" w:cs="Arial"/>
          <w:color w:val="000000"/>
        </w:rPr>
        <w:t>Charity Commission (2013)</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Public Benefit: Running a Charity (PB2)</w:t>
      </w:r>
      <w:r w:rsidRPr="00682300">
        <w:rPr>
          <w:rFonts w:ascii="Arial" w:hAnsi="Arial" w:cs="Arial"/>
          <w:color w:val="000000"/>
        </w:rPr>
        <w:t>. London: Charity Commission for England and Wales.</w:t>
      </w:r>
      <w:r w:rsidR="00EE4832">
        <w:rPr>
          <w:rFonts w:ascii="Arial" w:hAnsi="Arial" w:cs="Arial"/>
          <w:color w:val="000000"/>
        </w:rPr>
        <w:t xml:space="preserve"> Available at: </w:t>
      </w:r>
      <w:hyperlink r:id="rId31" w:history="1">
        <w:r w:rsidR="00EE4832" w:rsidRPr="00A812FA">
          <w:rPr>
            <w:rStyle w:val="Hyperlink"/>
            <w:rFonts w:ascii="Arial" w:hAnsi="Arial" w:cs="Arial"/>
          </w:rPr>
          <w:t>https://www.gov.uk/government/publications/public-benefit-running-a-charity-pb2</w:t>
        </w:r>
      </w:hyperlink>
      <w:r w:rsidR="00EE4832">
        <w:rPr>
          <w:rFonts w:ascii="Arial" w:hAnsi="Arial" w:cs="Arial"/>
          <w:color w:val="000000"/>
        </w:rPr>
        <w:t xml:space="preserve"> (Accessed on: 23 February 2026)</w:t>
      </w:r>
    </w:p>
    <w:p w14:paraId="399636D4" w14:textId="42DA491D" w:rsidR="0032209A" w:rsidRPr="00682300" w:rsidRDefault="0032209A" w:rsidP="0032209A">
      <w:pPr>
        <w:pStyle w:val="NormalWeb"/>
        <w:rPr>
          <w:rFonts w:ascii="Arial" w:hAnsi="Arial" w:cs="Arial"/>
          <w:color w:val="000000"/>
        </w:rPr>
      </w:pPr>
      <w:r w:rsidRPr="00682300">
        <w:rPr>
          <w:rFonts w:ascii="Arial" w:hAnsi="Arial" w:cs="Arial"/>
          <w:color w:val="000000"/>
        </w:rPr>
        <w:t>Charities Act 2011. London: The Stationery Office.</w:t>
      </w:r>
      <w:r w:rsidR="00EE4832">
        <w:rPr>
          <w:rFonts w:ascii="Arial" w:hAnsi="Arial" w:cs="Arial"/>
          <w:color w:val="000000"/>
        </w:rPr>
        <w:t xml:space="preserve"> Available at:  </w:t>
      </w:r>
      <w:hyperlink r:id="rId32" w:history="1">
        <w:r w:rsidR="00EE4832" w:rsidRPr="00A812FA">
          <w:rPr>
            <w:rStyle w:val="Hyperlink"/>
            <w:rFonts w:ascii="Arial" w:hAnsi="Arial" w:cs="Arial"/>
          </w:rPr>
          <w:t>https://www.legislation.gov.uk/ukpga/2011/25/contents</w:t>
        </w:r>
      </w:hyperlink>
      <w:r w:rsidR="00EE4832">
        <w:rPr>
          <w:rFonts w:ascii="Arial" w:hAnsi="Arial" w:cs="Arial"/>
          <w:color w:val="000000"/>
        </w:rPr>
        <w:t xml:space="preserve"> (Accessed on: 23 February 2026).</w:t>
      </w:r>
    </w:p>
    <w:p w14:paraId="52C2336A" w14:textId="3B6D0AC1" w:rsidR="0032209A" w:rsidRPr="00682300" w:rsidRDefault="0032209A" w:rsidP="0032209A">
      <w:pPr>
        <w:pStyle w:val="NormalWeb"/>
        <w:rPr>
          <w:rFonts w:ascii="Arial" w:hAnsi="Arial" w:cs="Arial"/>
          <w:color w:val="000000"/>
        </w:rPr>
      </w:pPr>
      <w:r w:rsidRPr="00682300">
        <w:rPr>
          <w:rFonts w:ascii="Arial" w:hAnsi="Arial" w:cs="Arial"/>
          <w:color w:val="000000"/>
        </w:rPr>
        <w:t>Companies Act 2006. London: The Stationery Office.</w:t>
      </w:r>
      <w:r w:rsidR="00EE4832">
        <w:rPr>
          <w:rFonts w:ascii="Arial" w:hAnsi="Arial" w:cs="Arial"/>
          <w:color w:val="000000"/>
        </w:rPr>
        <w:t xml:space="preserve"> Available at: </w:t>
      </w:r>
      <w:hyperlink r:id="rId33" w:history="1">
        <w:r w:rsidR="00EE4832" w:rsidRPr="00A812FA">
          <w:rPr>
            <w:rStyle w:val="Hyperlink"/>
            <w:rFonts w:ascii="Arial" w:hAnsi="Arial" w:cs="Arial"/>
          </w:rPr>
          <w:t>https://www.legislation.gov.uk/ukpga/2006/46/contents</w:t>
        </w:r>
      </w:hyperlink>
      <w:r w:rsidR="00EE4832">
        <w:rPr>
          <w:rFonts w:ascii="Arial" w:hAnsi="Arial" w:cs="Arial"/>
          <w:color w:val="000000"/>
        </w:rPr>
        <w:t xml:space="preserve"> (accessed on 23 February 2026).</w:t>
      </w:r>
    </w:p>
    <w:p w14:paraId="7F3B3F86" w14:textId="14B3EFE7" w:rsidR="0032209A" w:rsidRPr="00682300" w:rsidRDefault="0032209A" w:rsidP="0032209A">
      <w:pPr>
        <w:pStyle w:val="NormalWeb"/>
        <w:rPr>
          <w:rFonts w:ascii="Arial" w:hAnsi="Arial" w:cs="Arial"/>
          <w:color w:val="000000"/>
        </w:rPr>
      </w:pPr>
      <w:r w:rsidRPr="00682300">
        <w:rPr>
          <w:rFonts w:ascii="Arial" w:hAnsi="Arial" w:cs="Arial"/>
          <w:color w:val="000000"/>
        </w:rPr>
        <w:t>Companies (Audit, Investigations and Community Enterprise) Act 2004. London: The Stationery Office.</w:t>
      </w:r>
      <w:r w:rsidR="00EE4832">
        <w:rPr>
          <w:rFonts w:ascii="Arial" w:hAnsi="Arial" w:cs="Arial"/>
          <w:color w:val="000000"/>
        </w:rPr>
        <w:t xml:space="preserve"> Available at: </w:t>
      </w:r>
      <w:hyperlink r:id="rId34" w:history="1">
        <w:r w:rsidR="00EE4832" w:rsidRPr="00A812FA">
          <w:rPr>
            <w:rStyle w:val="Hyperlink"/>
            <w:rFonts w:ascii="Arial" w:hAnsi="Arial" w:cs="Arial"/>
          </w:rPr>
          <w:t>https://www.legislation.gov.uk/ukpga/2004/27/contents</w:t>
        </w:r>
      </w:hyperlink>
      <w:r w:rsidR="00EE4832">
        <w:rPr>
          <w:rFonts w:ascii="Arial" w:hAnsi="Arial" w:cs="Arial"/>
          <w:color w:val="000000"/>
        </w:rPr>
        <w:t xml:space="preserve"> (accessed on 23 February 2026).</w:t>
      </w:r>
    </w:p>
    <w:p w14:paraId="1F00E59A" w14:textId="77777777" w:rsidR="0032209A" w:rsidRPr="00682300" w:rsidRDefault="0032209A" w:rsidP="0032209A">
      <w:pPr>
        <w:pStyle w:val="NormalWeb"/>
        <w:rPr>
          <w:rFonts w:ascii="Arial" w:hAnsi="Arial" w:cs="Arial"/>
          <w:color w:val="000000"/>
        </w:rPr>
      </w:pPr>
      <w:r w:rsidRPr="00682300">
        <w:rPr>
          <w:rFonts w:ascii="Arial" w:hAnsi="Arial" w:cs="Arial"/>
          <w:color w:val="000000"/>
        </w:rPr>
        <w:t>Creswell, J.W. and Plano Clark, V.L. (2018)</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Designing and Conducting Mixed Methods Research</w:t>
      </w:r>
      <w:r w:rsidRPr="00682300">
        <w:rPr>
          <w:rFonts w:ascii="Arial" w:hAnsi="Arial" w:cs="Arial"/>
          <w:color w:val="000000"/>
        </w:rPr>
        <w:t xml:space="preserve">. 3rd </w:t>
      </w:r>
      <w:proofErr w:type="spellStart"/>
      <w:r w:rsidRPr="00682300">
        <w:rPr>
          <w:rFonts w:ascii="Arial" w:hAnsi="Arial" w:cs="Arial"/>
          <w:color w:val="000000"/>
        </w:rPr>
        <w:t>edn</w:t>
      </w:r>
      <w:proofErr w:type="spellEnd"/>
      <w:r w:rsidRPr="00682300">
        <w:rPr>
          <w:rFonts w:ascii="Arial" w:hAnsi="Arial" w:cs="Arial"/>
          <w:color w:val="000000"/>
        </w:rPr>
        <w:t>. London: Sage.</w:t>
      </w:r>
    </w:p>
    <w:p w14:paraId="00750A68" w14:textId="759B3DBC" w:rsidR="0032209A" w:rsidRDefault="0032209A" w:rsidP="0032209A">
      <w:pPr>
        <w:pStyle w:val="NormalWeb"/>
        <w:rPr>
          <w:rFonts w:ascii="Arial" w:hAnsi="Arial" w:cs="Arial"/>
          <w:color w:val="000000"/>
        </w:rPr>
      </w:pPr>
      <w:r w:rsidRPr="00682300">
        <w:rPr>
          <w:rFonts w:ascii="Arial" w:hAnsi="Arial" w:cs="Arial"/>
          <w:color w:val="000000"/>
        </w:rPr>
        <w:t>Dees, J.G. (1998) ‘Enterprising nonprofits’,</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Harvard Business Review</w:t>
      </w:r>
      <w:r w:rsidRPr="00682300">
        <w:rPr>
          <w:rFonts w:ascii="Arial" w:hAnsi="Arial" w:cs="Arial"/>
          <w:color w:val="000000"/>
        </w:rPr>
        <w:t>, 76(1), pp. 54–67.</w:t>
      </w:r>
      <w:r w:rsidR="00EE4832">
        <w:rPr>
          <w:rFonts w:ascii="Arial" w:hAnsi="Arial" w:cs="Arial"/>
          <w:color w:val="000000"/>
        </w:rPr>
        <w:t xml:space="preserve"> Available at: </w:t>
      </w:r>
      <w:hyperlink r:id="rId35" w:history="1">
        <w:r w:rsidR="00EE4832" w:rsidRPr="00A812FA">
          <w:rPr>
            <w:rStyle w:val="Hyperlink"/>
            <w:rFonts w:ascii="Arial" w:hAnsi="Arial" w:cs="Arial"/>
          </w:rPr>
          <w:t>https://hbr.org/1998/01/enterprising-nonprofits</w:t>
        </w:r>
      </w:hyperlink>
      <w:r w:rsidR="00EE4832">
        <w:rPr>
          <w:rFonts w:ascii="Arial" w:hAnsi="Arial" w:cs="Arial"/>
          <w:color w:val="000000"/>
        </w:rPr>
        <w:t xml:space="preserve"> (Accessed on: 23 February 2026)</w:t>
      </w:r>
    </w:p>
    <w:p w14:paraId="251CF9DF" w14:textId="3D126A35" w:rsidR="0032209A" w:rsidRPr="0080227A" w:rsidRDefault="0032209A" w:rsidP="0032209A">
      <w:pPr>
        <w:pStyle w:val="NormalWeb"/>
        <w:rPr>
          <w:rFonts w:ascii="Arial" w:hAnsi="Arial" w:cs="Arial"/>
          <w:color w:val="000000"/>
        </w:rPr>
      </w:pPr>
      <w:r w:rsidRPr="0080227A">
        <w:rPr>
          <w:rFonts w:ascii="Arial" w:hAnsi="Arial" w:cs="Arial"/>
          <w:color w:val="000000"/>
        </w:rPr>
        <w:t>Denzin, N. K. (1978).</w:t>
      </w:r>
      <w:r w:rsidRPr="0080227A">
        <w:rPr>
          <w:rStyle w:val="apple-converted-space"/>
          <w:rFonts w:ascii="Arial" w:eastAsiaTheme="majorEastAsia" w:hAnsi="Arial" w:cs="Arial"/>
          <w:color w:val="000000"/>
        </w:rPr>
        <w:t> </w:t>
      </w:r>
      <w:r w:rsidRPr="0080227A">
        <w:rPr>
          <w:rStyle w:val="Emphasis"/>
          <w:rFonts w:ascii="Arial" w:eastAsiaTheme="majorEastAsia" w:hAnsi="Arial" w:cs="Arial"/>
          <w:color w:val="000000"/>
        </w:rPr>
        <w:t>The Research Act: A Theoretical Introduction to Sociological Methods</w:t>
      </w:r>
      <w:r w:rsidRPr="0080227A">
        <w:rPr>
          <w:rStyle w:val="apple-converted-space"/>
          <w:rFonts w:ascii="Arial" w:eastAsiaTheme="majorEastAsia" w:hAnsi="Arial" w:cs="Arial"/>
          <w:color w:val="000000"/>
        </w:rPr>
        <w:t> </w:t>
      </w:r>
      <w:r w:rsidRPr="0080227A">
        <w:rPr>
          <w:rFonts w:ascii="Arial" w:hAnsi="Arial" w:cs="Arial"/>
          <w:color w:val="000000"/>
        </w:rPr>
        <w:t>(2nd ed.). New York: McGraw-Hill.</w:t>
      </w:r>
      <w:r w:rsidR="0067235C">
        <w:rPr>
          <w:rFonts w:ascii="Arial" w:hAnsi="Arial" w:cs="Arial"/>
          <w:color w:val="000000"/>
        </w:rPr>
        <w:t xml:space="preserve"> DOI: </w:t>
      </w:r>
      <w:hyperlink r:id="rId36" w:tgtFrame="_blank" w:history="1">
        <w:r w:rsidR="0067235C" w:rsidRPr="0067235C">
          <w:rPr>
            <w:rStyle w:val="Hyperlink"/>
            <w:rFonts w:ascii="Arial" w:eastAsiaTheme="majorEastAsia" w:hAnsi="Arial" w:cs="Arial"/>
            <w:color w:val="007A96"/>
            <w:spacing w:val="5"/>
          </w:rPr>
          <w:t>https://doi.org/10.4324/9781315134543</w:t>
        </w:r>
      </w:hyperlink>
    </w:p>
    <w:p w14:paraId="63AA9B6E" w14:textId="408D1492" w:rsidR="0032209A" w:rsidRPr="00682300" w:rsidRDefault="0032209A" w:rsidP="0032209A">
      <w:pPr>
        <w:pStyle w:val="NormalWeb"/>
        <w:rPr>
          <w:rFonts w:ascii="Arial" w:hAnsi="Arial" w:cs="Arial"/>
          <w:color w:val="000000"/>
        </w:rPr>
      </w:pPr>
      <w:proofErr w:type="spellStart"/>
      <w:r w:rsidRPr="00682300">
        <w:rPr>
          <w:rFonts w:ascii="Arial" w:hAnsi="Arial" w:cs="Arial"/>
          <w:color w:val="000000"/>
        </w:rPr>
        <w:lastRenderedPageBreak/>
        <w:t>Grové</w:t>
      </w:r>
      <w:proofErr w:type="spellEnd"/>
      <w:r w:rsidRPr="00682300">
        <w:rPr>
          <w:rFonts w:ascii="Arial" w:hAnsi="Arial" w:cs="Arial"/>
          <w:color w:val="000000"/>
        </w:rPr>
        <w:t>, C. (2021) ‘The impact of animal-assisted interventions on children’s learning and wellbeing: A review of the literature’,</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Educational Psychology Review</w:t>
      </w:r>
      <w:r w:rsidRPr="00682300">
        <w:rPr>
          <w:rFonts w:ascii="Arial" w:hAnsi="Arial" w:cs="Arial"/>
          <w:color w:val="000000"/>
        </w:rPr>
        <w:t>, 33(2), pp. 1–25.</w:t>
      </w:r>
      <w:r w:rsidR="0067235C">
        <w:rPr>
          <w:rFonts w:ascii="Arial" w:hAnsi="Arial" w:cs="Arial"/>
          <w:color w:val="000000"/>
        </w:rPr>
        <w:t xml:space="preserve"> </w:t>
      </w:r>
      <w:r w:rsidR="0067235C" w:rsidRPr="0067235C">
        <w:rPr>
          <w:rFonts w:ascii="Arial" w:hAnsi="Arial" w:cs="Arial"/>
          <w:color w:val="000000"/>
        </w:rPr>
        <w:t>DOI: https://doi.org/10.3390/ijerph18094493 (Accessed: 23 February 2026).</w:t>
      </w:r>
    </w:p>
    <w:p w14:paraId="7804ABD5" w14:textId="12B7FDF2" w:rsidR="0067235C" w:rsidRPr="0067235C" w:rsidRDefault="0032209A" w:rsidP="0067235C">
      <w:pPr>
        <w:rPr>
          <w:rFonts w:ascii="Open Sans" w:hAnsi="Open Sans" w:cs="Open Sans"/>
          <w:b/>
          <w:bCs/>
          <w:color w:val="313131"/>
        </w:rPr>
      </w:pPr>
      <w:r w:rsidRPr="00682300">
        <w:rPr>
          <w:rFonts w:ascii="Arial" w:hAnsi="Arial" w:cs="Arial"/>
          <w:color w:val="000000"/>
        </w:rPr>
        <w:t>Macmillan, R. (2013) ‘Distinction in the third sector’,</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Voluntary Sector Review</w:t>
      </w:r>
      <w:r w:rsidRPr="00682300">
        <w:rPr>
          <w:rFonts w:ascii="Arial" w:hAnsi="Arial" w:cs="Arial"/>
          <w:color w:val="000000"/>
        </w:rPr>
        <w:t>, 4(1), pp. 39–54.</w:t>
      </w:r>
      <w:r w:rsidR="0067235C">
        <w:rPr>
          <w:rFonts w:ascii="Arial" w:hAnsi="Arial" w:cs="Arial"/>
          <w:color w:val="000000"/>
        </w:rPr>
        <w:t xml:space="preserve"> </w:t>
      </w:r>
      <w:r w:rsidR="0067235C" w:rsidRPr="0067235C">
        <w:rPr>
          <w:rStyle w:val="typography-body"/>
          <w:rFonts w:ascii="Arial" w:hAnsi="Arial" w:cs="Arial"/>
          <w:color w:val="313131"/>
        </w:rPr>
        <w:t>DOI:</w:t>
      </w:r>
      <w:r w:rsidR="0067235C" w:rsidRPr="0067235C">
        <w:rPr>
          <w:rStyle w:val="apple-converted-space"/>
          <w:rFonts w:ascii="Arial" w:hAnsi="Arial" w:cs="Arial"/>
          <w:b/>
          <w:bCs/>
          <w:color w:val="313131"/>
        </w:rPr>
        <w:t> </w:t>
      </w:r>
      <w:r w:rsidR="0067235C" w:rsidRPr="0067235C">
        <w:rPr>
          <w:rStyle w:val="typography-body"/>
          <w:rFonts w:ascii="Arial" w:hAnsi="Arial" w:cs="Arial"/>
          <w:color w:val="313131"/>
        </w:rPr>
        <w:fldChar w:fldCharType="begin"/>
      </w:r>
      <w:r w:rsidR="0067235C" w:rsidRPr="0067235C">
        <w:rPr>
          <w:rStyle w:val="typography-body"/>
          <w:rFonts w:ascii="Arial" w:hAnsi="Arial" w:cs="Arial"/>
          <w:color w:val="313131"/>
        </w:rPr>
        <w:instrText>HYPERLINK "</w:instrText>
      </w:r>
      <w:r w:rsidR="0067235C" w:rsidRPr="0067235C">
        <w:rPr>
          <w:rStyle w:val="typography-body"/>
          <w:rFonts w:ascii="Arial" w:hAnsi="Arial" w:cs="Arial"/>
          <w:color w:val="313131"/>
        </w:rPr>
        <w:instrText>https://doi.org/10.1332/204080513X661572</w:instrText>
      </w:r>
      <w:r w:rsidR="0067235C" w:rsidRPr="0067235C">
        <w:rPr>
          <w:rStyle w:val="typography-body"/>
          <w:rFonts w:ascii="Arial" w:hAnsi="Arial" w:cs="Arial"/>
          <w:color w:val="313131"/>
        </w:rPr>
        <w:instrText>"</w:instrText>
      </w:r>
      <w:r w:rsidR="0067235C" w:rsidRPr="0067235C">
        <w:rPr>
          <w:rStyle w:val="typography-body"/>
          <w:rFonts w:ascii="Arial" w:hAnsi="Arial" w:cs="Arial"/>
          <w:color w:val="313131"/>
        </w:rPr>
        <w:fldChar w:fldCharType="separate"/>
      </w:r>
      <w:r w:rsidR="0067235C" w:rsidRPr="0067235C">
        <w:rPr>
          <w:rStyle w:val="Hyperlink"/>
          <w:rFonts w:ascii="Arial" w:hAnsi="Arial" w:cs="Arial"/>
        </w:rPr>
        <w:t>https://doi.org/10.1332/204080513X661572</w:t>
      </w:r>
      <w:r w:rsidR="0067235C" w:rsidRPr="0067235C">
        <w:rPr>
          <w:rStyle w:val="typography-body"/>
          <w:rFonts w:ascii="Arial" w:hAnsi="Arial" w:cs="Arial"/>
          <w:color w:val="313131"/>
        </w:rPr>
        <w:fldChar w:fldCharType="end"/>
      </w:r>
    </w:p>
    <w:p w14:paraId="2BC9B79E" w14:textId="77777777" w:rsidR="0032209A" w:rsidRPr="00682300" w:rsidRDefault="0032209A" w:rsidP="0032209A">
      <w:pPr>
        <w:pStyle w:val="NormalWeb"/>
        <w:rPr>
          <w:rFonts w:ascii="Arial" w:hAnsi="Arial" w:cs="Arial"/>
          <w:color w:val="000000"/>
        </w:rPr>
      </w:pPr>
      <w:r w:rsidRPr="00682300">
        <w:rPr>
          <w:rFonts w:ascii="Arial" w:hAnsi="Arial" w:cs="Arial"/>
          <w:color w:val="000000"/>
        </w:rPr>
        <w:t>NCVO (2023)</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UK Civil Society Almanac 2023</w:t>
      </w:r>
      <w:r w:rsidRPr="00682300">
        <w:rPr>
          <w:rFonts w:ascii="Arial" w:hAnsi="Arial" w:cs="Arial"/>
          <w:color w:val="000000"/>
        </w:rPr>
        <w:t>. London: National Council for Voluntary Organisations. Available at:</w:t>
      </w:r>
      <w:r w:rsidRPr="00682300">
        <w:rPr>
          <w:rStyle w:val="apple-converted-space"/>
          <w:rFonts w:ascii="Arial" w:eastAsiaTheme="majorEastAsia" w:hAnsi="Arial" w:cs="Arial"/>
          <w:color w:val="000000"/>
        </w:rPr>
        <w:t> </w:t>
      </w:r>
      <w:hyperlink r:id="rId37" w:tgtFrame="_new" w:history="1">
        <w:r w:rsidRPr="00682300">
          <w:rPr>
            <w:rStyle w:val="Hyperlink"/>
            <w:rFonts w:ascii="Arial" w:eastAsiaTheme="majorEastAsia" w:hAnsi="Arial" w:cs="Arial"/>
          </w:rPr>
          <w:t>https://www.ncvo.org.uk</w:t>
        </w:r>
      </w:hyperlink>
      <w:r w:rsidRPr="00682300">
        <w:rPr>
          <w:rStyle w:val="apple-converted-space"/>
          <w:rFonts w:ascii="Arial" w:eastAsiaTheme="majorEastAsia" w:hAnsi="Arial" w:cs="Arial"/>
          <w:color w:val="000000"/>
        </w:rPr>
        <w:t> </w:t>
      </w:r>
      <w:r w:rsidRPr="00682300">
        <w:rPr>
          <w:rFonts w:ascii="Arial" w:hAnsi="Arial" w:cs="Arial"/>
          <w:color w:val="000000"/>
        </w:rPr>
        <w:t xml:space="preserve">(Accessed: </w:t>
      </w:r>
      <w:r>
        <w:rPr>
          <w:rFonts w:ascii="Arial" w:hAnsi="Arial" w:cs="Arial"/>
          <w:color w:val="000000"/>
        </w:rPr>
        <w:t>15</w:t>
      </w:r>
      <w:r w:rsidRPr="00682300">
        <w:rPr>
          <w:rFonts w:ascii="Arial" w:hAnsi="Arial" w:cs="Arial"/>
          <w:color w:val="000000"/>
        </w:rPr>
        <w:t xml:space="preserve"> February 2026).</w:t>
      </w:r>
    </w:p>
    <w:p w14:paraId="7495E8AF" w14:textId="12CABCA0" w:rsidR="0032209A" w:rsidRPr="00682300" w:rsidRDefault="0032209A" w:rsidP="0032209A">
      <w:pPr>
        <w:pStyle w:val="NormalWeb"/>
        <w:rPr>
          <w:rFonts w:ascii="Arial" w:hAnsi="Arial" w:cs="Arial"/>
          <w:color w:val="000000"/>
        </w:rPr>
      </w:pPr>
      <w:r w:rsidRPr="00682300">
        <w:rPr>
          <w:rFonts w:ascii="Arial" w:hAnsi="Arial" w:cs="Arial"/>
          <w:color w:val="000000"/>
        </w:rPr>
        <w:t>Osterwalder, A. and Pigneur, Y. (2010)</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Business Model Generation: A Handbook for Visionaries, Game Changers, and Challengers</w:t>
      </w:r>
      <w:r w:rsidRPr="00682300">
        <w:rPr>
          <w:rFonts w:ascii="Arial" w:hAnsi="Arial" w:cs="Arial"/>
          <w:color w:val="000000"/>
        </w:rPr>
        <w:t>. Hoboken, NJ: Wiley.</w:t>
      </w:r>
      <w:r w:rsidR="0067235C" w:rsidRPr="0067235C">
        <w:t xml:space="preserve"> </w:t>
      </w:r>
      <w:r w:rsidR="0067235C" w:rsidRPr="0067235C">
        <w:rPr>
          <w:rFonts w:ascii="Arial" w:hAnsi="Arial" w:cs="Arial"/>
        </w:rPr>
        <w:t>Available at:</w:t>
      </w:r>
      <w:r w:rsidR="0067235C">
        <w:t xml:space="preserve"> </w:t>
      </w:r>
      <w:hyperlink r:id="rId38" w:history="1">
        <w:r w:rsidR="0067235C" w:rsidRPr="00A812FA">
          <w:rPr>
            <w:rStyle w:val="Hyperlink"/>
            <w:rFonts w:ascii="Arial" w:hAnsi="Arial" w:cs="Arial"/>
          </w:rPr>
          <w:t>https://mymyeo.com/wp-content/uploads/2022/12/Business-model-generation-_-a-handbook-for-visionaries-game-changers-and-challengers-PDFDrive-1.pdf</w:t>
        </w:r>
      </w:hyperlink>
      <w:r w:rsidR="0067235C">
        <w:rPr>
          <w:rFonts w:ascii="Arial" w:hAnsi="Arial" w:cs="Arial"/>
          <w:color w:val="000000"/>
        </w:rPr>
        <w:t xml:space="preserve"> (Accessed on 24 February 2026).</w:t>
      </w:r>
    </w:p>
    <w:p w14:paraId="360C7BEF" w14:textId="77777777" w:rsidR="0032209A" w:rsidRPr="00682300" w:rsidRDefault="0032209A" w:rsidP="0032209A">
      <w:pPr>
        <w:pStyle w:val="NormalWeb"/>
        <w:rPr>
          <w:rFonts w:ascii="Arial" w:hAnsi="Arial" w:cs="Arial"/>
          <w:color w:val="000000"/>
        </w:rPr>
      </w:pPr>
      <w:r w:rsidRPr="00682300">
        <w:rPr>
          <w:rFonts w:ascii="Arial" w:hAnsi="Arial" w:cs="Arial"/>
          <w:color w:val="000000"/>
        </w:rPr>
        <w:t>Porter, M.E. (1980)</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Competitive Strategy: Techniques for Analysing Industries and Competitors</w:t>
      </w:r>
      <w:r w:rsidRPr="00682300">
        <w:rPr>
          <w:rFonts w:ascii="Arial" w:hAnsi="Arial" w:cs="Arial"/>
          <w:color w:val="000000"/>
        </w:rPr>
        <w:t>. New York: Free Press.</w:t>
      </w:r>
    </w:p>
    <w:p w14:paraId="17FB4B21" w14:textId="402BD2A6" w:rsidR="0032209A" w:rsidRPr="00682300" w:rsidRDefault="0032209A" w:rsidP="0032209A">
      <w:pPr>
        <w:pStyle w:val="NormalWeb"/>
        <w:rPr>
          <w:rFonts w:ascii="Arial" w:hAnsi="Arial" w:cs="Arial"/>
          <w:color w:val="000000"/>
        </w:rPr>
      </w:pPr>
      <w:r w:rsidRPr="00682300">
        <w:rPr>
          <w:rFonts w:ascii="Arial" w:hAnsi="Arial" w:cs="Arial"/>
          <w:color w:val="000000"/>
        </w:rPr>
        <w:t>Public Health Wales (PHW) (2025)</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Children and Young People’s Mental Wellbeing in Wales: Annual Report 2025</w:t>
      </w:r>
      <w:r w:rsidRPr="00682300">
        <w:rPr>
          <w:rFonts w:ascii="Arial" w:hAnsi="Arial" w:cs="Arial"/>
          <w:color w:val="000000"/>
        </w:rPr>
        <w:t>. Cardiff: Public Health Wales.</w:t>
      </w:r>
      <w:r w:rsidR="0067235C">
        <w:rPr>
          <w:rFonts w:ascii="Arial" w:hAnsi="Arial" w:cs="Arial"/>
          <w:color w:val="000000"/>
        </w:rPr>
        <w:t xml:space="preserve"> </w:t>
      </w:r>
      <w:r w:rsidR="0067235C" w:rsidRPr="0067235C">
        <w:rPr>
          <w:rFonts w:ascii="Arial" w:hAnsi="Arial" w:cs="Arial"/>
          <w:color w:val="000000"/>
        </w:rPr>
        <w:t>Available at: </w:t>
      </w:r>
      <w:hyperlink r:id="rId39" w:history="1">
        <w:r w:rsidR="0067235C" w:rsidRPr="0067235C">
          <w:rPr>
            <w:rStyle w:val="Hyperlink"/>
            <w:rFonts w:ascii="Arial" w:hAnsi="Arial" w:cs="Arial"/>
          </w:rPr>
          <w:t>https://www.gov.wales/</w:t>
        </w:r>
      </w:hyperlink>
      <w:r w:rsidR="0067235C" w:rsidRPr="0067235C">
        <w:rPr>
          <w:rFonts w:ascii="Arial" w:hAnsi="Arial" w:cs="Arial"/>
          <w:color w:val="000000"/>
        </w:rPr>
        <w:t> (Accessed: 23 February 2026).</w:t>
      </w:r>
    </w:p>
    <w:p w14:paraId="1E7DF985" w14:textId="77777777" w:rsidR="0032209A" w:rsidRPr="00682300" w:rsidRDefault="0032209A" w:rsidP="0032209A">
      <w:pPr>
        <w:pStyle w:val="NormalWeb"/>
        <w:rPr>
          <w:rFonts w:ascii="Arial" w:hAnsi="Arial" w:cs="Arial"/>
          <w:color w:val="000000"/>
        </w:rPr>
      </w:pPr>
      <w:r w:rsidRPr="00682300">
        <w:rPr>
          <w:rFonts w:ascii="Arial" w:hAnsi="Arial" w:cs="Arial"/>
          <w:color w:val="000000"/>
        </w:rPr>
        <w:t>Ries, E. (2011)</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The Lean Startup: How Today’s Entrepreneurs Use Continuous Innovation to Create Radically Successful Businesses</w:t>
      </w:r>
      <w:r w:rsidRPr="00682300">
        <w:rPr>
          <w:rFonts w:ascii="Arial" w:hAnsi="Arial" w:cs="Arial"/>
          <w:color w:val="000000"/>
        </w:rPr>
        <w:t>. New York: Crown Business.</w:t>
      </w:r>
    </w:p>
    <w:p w14:paraId="61DA368F" w14:textId="54B20BBA" w:rsidR="0032209A" w:rsidRPr="00682300" w:rsidRDefault="0032209A" w:rsidP="0032209A">
      <w:pPr>
        <w:pStyle w:val="NormalWeb"/>
        <w:rPr>
          <w:rFonts w:ascii="Arial" w:hAnsi="Arial" w:cs="Arial"/>
          <w:color w:val="000000"/>
        </w:rPr>
      </w:pPr>
      <w:r w:rsidRPr="00682300">
        <w:rPr>
          <w:rFonts w:ascii="Arial" w:hAnsi="Arial" w:cs="Arial"/>
          <w:color w:val="000000"/>
        </w:rPr>
        <w:t>Saunders, M., Lewis, P. and Thornhill, A. (2019)</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Research Methods for Business Students</w:t>
      </w:r>
      <w:r w:rsidRPr="00682300">
        <w:rPr>
          <w:rFonts w:ascii="Arial" w:hAnsi="Arial" w:cs="Arial"/>
          <w:color w:val="000000"/>
        </w:rPr>
        <w:t xml:space="preserve">. 8th </w:t>
      </w:r>
      <w:proofErr w:type="spellStart"/>
      <w:r w:rsidRPr="00682300">
        <w:rPr>
          <w:rFonts w:ascii="Arial" w:hAnsi="Arial" w:cs="Arial"/>
          <w:color w:val="000000"/>
        </w:rPr>
        <w:t>edn</w:t>
      </w:r>
      <w:proofErr w:type="spellEnd"/>
      <w:r w:rsidRPr="00682300">
        <w:rPr>
          <w:rFonts w:ascii="Arial" w:hAnsi="Arial" w:cs="Arial"/>
          <w:color w:val="000000"/>
        </w:rPr>
        <w:t>. Harlow: Pearson Education</w:t>
      </w:r>
      <w:r w:rsidRPr="0067235C">
        <w:rPr>
          <w:rFonts w:ascii="Arial" w:hAnsi="Arial" w:cs="Arial"/>
          <w:color w:val="000000"/>
        </w:rPr>
        <w:t>.</w:t>
      </w:r>
      <w:r w:rsidR="0067235C" w:rsidRPr="0067235C">
        <w:rPr>
          <w:rFonts w:ascii="Arial" w:hAnsi="Arial" w:cs="Arial"/>
          <w:color w:val="000000"/>
        </w:rPr>
        <w:t xml:space="preserve"> </w:t>
      </w:r>
      <w:r w:rsidR="0067235C" w:rsidRPr="0067235C">
        <w:rPr>
          <w:rFonts w:ascii="Arial" w:eastAsiaTheme="minorHAnsi" w:hAnsi="Arial" w:cs="Arial"/>
          <w:color w:val="555555"/>
          <w:kern w:val="2"/>
          <w:shd w:val="clear" w:color="auto" w:fill="FFFFFF"/>
          <w:lang w:eastAsia="en-US"/>
          <w14:ligatures w14:val="standardContextual"/>
        </w:rPr>
        <w:t>DOI:</w:t>
      </w:r>
      <w:hyperlink r:id="rId40" w:tgtFrame="_blank" w:history="1">
        <w:r w:rsidR="0067235C" w:rsidRPr="0067235C">
          <w:rPr>
            <w:rFonts w:ascii="Arial" w:eastAsiaTheme="minorHAnsi" w:hAnsi="Arial" w:cs="Arial"/>
            <w:color w:val="0000FF"/>
            <w:kern w:val="2"/>
            <w:u w:val="single"/>
            <w:bdr w:val="none" w:sz="0" w:space="0" w:color="auto" w:frame="1"/>
            <w:lang w:eastAsia="en-US"/>
            <w14:ligatures w14:val="standardContextual"/>
          </w:rPr>
          <w:t>10.1111/j.1540-5885.2012.00920_2.x</w:t>
        </w:r>
      </w:hyperlink>
    </w:p>
    <w:p w14:paraId="0B6C0496" w14:textId="3529857A" w:rsidR="0032209A" w:rsidRPr="00682300" w:rsidRDefault="0032209A" w:rsidP="0032209A">
      <w:pPr>
        <w:pStyle w:val="NormalWeb"/>
        <w:rPr>
          <w:rFonts w:ascii="Arial" w:hAnsi="Arial" w:cs="Arial"/>
          <w:color w:val="000000"/>
        </w:rPr>
      </w:pPr>
      <w:r w:rsidRPr="00682300">
        <w:rPr>
          <w:rFonts w:ascii="Arial" w:hAnsi="Arial" w:cs="Arial"/>
          <w:color w:val="000000"/>
        </w:rPr>
        <w:t>Serpell, J. (1992) ‘Beneficial effects of pet ownership on some aspects of human health and behaviour’,</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Journal of the Royal Society of Medicine</w:t>
      </w:r>
      <w:r w:rsidRPr="00682300">
        <w:rPr>
          <w:rFonts w:ascii="Arial" w:hAnsi="Arial" w:cs="Arial"/>
          <w:color w:val="000000"/>
        </w:rPr>
        <w:t>, 84(12), pp. 717–720.</w:t>
      </w:r>
      <w:r w:rsidR="0067235C">
        <w:rPr>
          <w:rFonts w:ascii="Arial" w:hAnsi="Arial" w:cs="Arial"/>
          <w:color w:val="000000"/>
        </w:rPr>
        <w:t xml:space="preserve"> </w:t>
      </w:r>
      <w:r w:rsidR="0067235C" w:rsidRPr="0067235C">
        <w:rPr>
          <w:rFonts w:ascii="Arial" w:hAnsi="Arial" w:cs="Arial"/>
          <w:color w:val="000000"/>
        </w:rPr>
        <w:t>DOI: </w:t>
      </w:r>
      <w:hyperlink r:id="rId41" w:history="1">
        <w:r w:rsidR="0067235C" w:rsidRPr="0067235C">
          <w:rPr>
            <w:rStyle w:val="Hyperlink"/>
            <w:rFonts w:ascii="Arial" w:hAnsi="Arial" w:cs="Arial"/>
          </w:rPr>
          <w:t>10.1177/014107689108401208</w:t>
        </w:r>
      </w:hyperlink>
    </w:p>
    <w:p w14:paraId="49F8B2E7" w14:textId="39D0FBB6" w:rsidR="0032209A" w:rsidRPr="00682300" w:rsidRDefault="0032209A" w:rsidP="0032209A">
      <w:pPr>
        <w:pStyle w:val="NormalWeb"/>
        <w:rPr>
          <w:rFonts w:ascii="Arial" w:hAnsi="Arial" w:cs="Arial"/>
          <w:color w:val="000000"/>
        </w:rPr>
      </w:pPr>
      <w:r w:rsidRPr="00682300">
        <w:rPr>
          <w:rFonts w:ascii="Arial" w:hAnsi="Arial" w:cs="Arial"/>
          <w:color w:val="000000"/>
        </w:rPr>
        <w:t>Stenkevich, A. (2017) ‘Environmental scanning and strategic decision-making: An applied analysis’,</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Journal of Management and Marketing Research</w:t>
      </w:r>
      <w:r w:rsidRPr="00682300">
        <w:rPr>
          <w:rFonts w:ascii="Arial" w:hAnsi="Arial" w:cs="Arial"/>
          <w:color w:val="000000"/>
        </w:rPr>
        <w:t>, 20, pp. 1–12.</w:t>
      </w:r>
      <w:r w:rsidR="0067235C">
        <w:rPr>
          <w:rFonts w:ascii="Arial" w:hAnsi="Arial" w:cs="Arial"/>
          <w:color w:val="000000"/>
        </w:rPr>
        <w:t xml:space="preserve"> </w:t>
      </w:r>
      <w:hyperlink r:id="rId42" w:history="1">
        <w:r w:rsidR="0067235C" w:rsidRPr="0067235C">
          <w:rPr>
            <w:rStyle w:val="Hyperlink"/>
            <w:rFonts w:ascii="Arial" w:eastAsiaTheme="majorEastAsia" w:hAnsi="Arial" w:cs="Arial"/>
            <w:b/>
            <w:bCs/>
          </w:rPr>
          <w:t>https://doi.org/10.1002/ev.20633</w:t>
        </w:r>
      </w:hyperlink>
    </w:p>
    <w:p w14:paraId="64F41B89" w14:textId="77777777" w:rsidR="0032209A" w:rsidRPr="00682300" w:rsidRDefault="0032209A" w:rsidP="0032209A">
      <w:pPr>
        <w:pStyle w:val="NormalWeb"/>
        <w:rPr>
          <w:rFonts w:ascii="Arial" w:hAnsi="Arial" w:cs="Arial"/>
          <w:color w:val="000000"/>
        </w:rPr>
      </w:pPr>
      <w:r w:rsidRPr="00682300">
        <w:rPr>
          <w:rFonts w:ascii="Arial" w:hAnsi="Arial" w:cs="Arial"/>
          <w:color w:val="000000"/>
        </w:rPr>
        <w:t>The Dog Mentor (2025)</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The Dog Mentor Programme Overview</w:t>
      </w:r>
      <w:r w:rsidRPr="00682300">
        <w:rPr>
          <w:rFonts w:ascii="Arial" w:hAnsi="Arial" w:cs="Arial"/>
          <w:color w:val="000000"/>
        </w:rPr>
        <w:t>. Available at:</w:t>
      </w:r>
      <w:r w:rsidRPr="00682300">
        <w:rPr>
          <w:rStyle w:val="apple-converted-space"/>
          <w:rFonts w:ascii="Arial" w:eastAsiaTheme="majorEastAsia" w:hAnsi="Arial" w:cs="Arial"/>
          <w:color w:val="000000"/>
        </w:rPr>
        <w:t> </w:t>
      </w:r>
      <w:hyperlink r:id="rId43" w:tgtFrame="_new" w:history="1">
        <w:r w:rsidRPr="00682300">
          <w:rPr>
            <w:rStyle w:val="Hyperlink"/>
            <w:rFonts w:ascii="Arial" w:eastAsiaTheme="majorEastAsia" w:hAnsi="Arial" w:cs="Arial"/>
          </w:rPr>
          <w:t>https://www.thedogmentor.co.uk</w:t>
        </w:r>
      </w:hyperlink>
      <w:r w:rsidRPr="00682300">
        <w:rPr>
          <w:rFonts w:ascii="Arial" w:hAnsi="Arial" w:cs="Arial"/>
          <w:color w:val="000000"/>
        </w:rPr>
        <w:t xml:space="preserve">(Accessed: </w:t>
      </w:r>
      <w:r>
        <w:rPr>
          <w:rFonts w:ascii="Arial" w:hAnsi="Arial" w:cs="Arial"/>
          <w:color w:val="000000"/>
        </w:rPr>
        <w:t>15</w:t>
      </w:r>
      <w:r w:rsidRPr="00682300">
        <w:rPr>
          <w:rFonts w:ascii="Arial" w:hAnsi="Arial" w:cs="Arial"/>
          <w:color w:val="000000"/>
        </w:rPr>
        <w:t xml:space="preserve"> February 2026).</w:t>
      </w:r>
    </w:p>
    <w:p w14:paraId="03D14BE3" w14:textId="77777777" w:rsidR="0032209A" w:rsidRPr="00682300" w:rsidRDefault="0032209A" w:rsidP="0032209A">
      <w:pPr>
        <w:pStyle w:val="NormalWeb"/>
        <w:rPr>
          <w:rFonts w:ascii="Arial" w:hAnsi="Arial" w:cs="Arial"/>
          <w:color w:val="000000"/>
        </w:rPr>
      </w:pPr>
      <w:r w:rsidRPr="00682300">
        <w:rPr>
          <w:rFonts w:ascii="Arial" w:hAnsi="Arial" w:cs="Arial"/>
          <w:color w:val="000000"/>
        </w:rPr>
        <w:t>The Guardian (2024) ‘School therapy dogs on the rise as educators tackle anxiety and attendance issues’,</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The Guardian</w:t>
      </w:r>
      <w:r w:rsidRPr="00682300">
        <w:rPr>
          <w:rFonts w:ascii="Arial" w:hAnsi="Arial" w:cs="Arial"/>
          <w:color w:val="000000"/>
        </w:rPr>
        <w:t>, 15 March. Available at:</w:t>
      </w:r>
      <w:r w:rsidRPr="00682300">
        <w:rPr>
          <w:rStyle w:val="apple-converted-space"/>
          <w:rFonts w:ascii="Arial" w:eastAsiaTheme="majorEastAsia" w:hAnsi="Arial" w:cs="Arial"/>
          <w:color w:val="000000"/>
        </w:rPr>
        <w:t> </w:t>
      </w:r>
      <w:hyperlink r:id="rId44" w:tgtFrame="_new" w:history="1">
        <w:r w:rsidRPr="00682300">
          <w:rPr>
            <w:rStyle w:val="Hyperlink"/>
            <w:rFonts w:ascii="Arial" w:eastAsiaTheme="majorEastAsia" w:hAnsi="Arial" w:cs="Arial"/>
          </w:rPr>
          <w:t>https://www.theguardian.com</w:t>
        </w:r>
      </w:hyperlink>
      <w:r w:rsidRPr="00682300">
        <w:rPr>
          <w:rStyle w:val="apple-converted-space"/>
          <w:rFonts w:ascii="Arial" w:eastAsiaTheme="majorEastAsia" w:hAnsi="Arial" w:cs="Arial"/>
          <w:color w:val="000000"/>
        </w:rPr>
        <w:t> </w:t>
      </w:r>
      <w:r w:rsidRPr="00682300">
        <w:rPr>
          <w:rFonts w:ascii="Arial" w:hAnsi="Arial" w:cs="Arial"/>
          <w:color w:val="000000"/>
        </w:rPr>
        <w:t xml:space="preserve">(Accessed: </w:t>
      </w:r>
      <w:r>
        <w:rPr>
          <w:rFonts w:ascii="Arial" w:hAnsi="Arial" w:cs="Arial"/>
          <w:color w:val="000000"/>
        </w:rPr>
        <w:t>15</w:t>
      </w:r>
      <w:r w:rsidRPr="00682300">
        <w:rPr>
          <w:rFonts w:ascii="Arial" w:hAnsi="Arial" w:cs="Arial"/>
          <w:color w:val="000000"/>
        </w:rPr>
        <w:t xml:space="preserve"> February 2026).</w:t>
      </w:r>
    </w:p>
    <w:p w14:paraId="0F58F346" w14:textId="252B2A5B" w:rsidR="0032209A" w:rsidRPr="00682300" w:rsidRDefault="0032209A" w:rsidP="0032209A">
      <w:pPr>
        <w:pStyle w:val="NormalWeb"/>
        <w:rPr>
          <w:rFonts w:ascii="Arial" w:hAnsi="Arial" w:cs="Arial"/>
          <w:color w:val="000000"/>
        </w:rPr>
      </w:pPr>
      <w:r w:rsidRPr="00682300">
        <w:rPr>
          <w:rFonts w:ascii="Arial" w:hAnsi="Arial" w:cs="Arial"/>
          <w:color w:val="000000"/>
        </w:rPr>
        <w:t>Verhoeven, D.C., Enders-Slegers, M.J. and Eshuis, J. (2023) ‘Animal-assisted interventions in education: A systematic review of outcomes and methodological quality’,</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Frontiers in Psychology</w:t>
      </w:r>
      <w:r w:rsidRPr="00682300">
        <w:rPr>
          <w:rFonts w:ascii="Arial" w:hAnsi="Arial" w:cs="Arial"/>
          <w:color w:val="000000"/>
        </w:rPr>
        <w:t>, 14, pp. 1–18.</w:t>
      </w:r>
      <w:r w:rsidR="0067235C">
        <w:rPr>
          <w:rFonts w:ascii="Arial" w:hAnsi="Arial" w:cs="Arial"/>
          <w:color w:val="000000"/>
        </w:rPr>
        <w:t xml:space="preserve"> </w:t>
      </w:r>
      <w:r w:rsidR="0067235C" w:rsidRPr="0067235C">
        <w:rPr>
          <w:rFonts w:ascii="Arial" w:hAnsi="Arial" w:cs="Arial"/>
          <w:color w:val="000000"/>
        </w:rPr>
        <w:t xml:space="preserve">DOI: </w:t>
      </w:r>
      <w:hyperlink r:id="rId45" w:history="1">
        <w:r w:rsidR="0067235C" w:rsidRPr="00A812FA">
          <w:rPr>
            <w:rStyle w:val="Hyperlink"/>
            <w:rFonts w:ascii="Arial" w:hAnsi="Arial" w:cs="Arial"/>
          </w:rPr>
          <w:t>https://doi.org/10.1016/j.edurev.2022.100501</w:t>
        </w:r>
      </w:hyperlink>
      <w:r w:rsidR="0067235C" w:rsidRPr="0067235C">
        <w:rPr>
          <w:rFonts w:ascii="Arial" w:hAnsi="Arial" w:cs="Arial"/>
          <w:color w:val="000000"/>
        </w:rPr>
        <w:t>.</w:t>
      </w:r>
      <w:r w:rsidR="0067235C">
        <w:rPr>
          <w:rFonts w:ascii="Arial" w:hAnsi="Arial" w:cs="Arial"/>
          <w:color w:val="000000"/>
        </w:rPr>
        <w:t xml:space="preserve"> </w:t>
      </w:r>
    </w:p>
    <w:p w14:paraId="3CFD0746" w14:textId="2214018A" w:rsidR="009C18C1" w:rsidRPr="008D3013" w:rsidRDefault="0032209A" w:rsidP="008D3013">
      <w:pPr>
        <w:pStyle w:val="NormalWeb"/>
        <w:rPr>
          <w:rFonts w:ascii="Arial" w:hAnsi="Arial" w:cs="Arial"/>
          <w:color w:val="000000"/>
        </w:rPr>
      </w:pPr>
      <w:r w:rsidRPr="00682300">
        <w:rPr>
          <w:rFonts w:ascii="Arial" w:hAnsi="Arial" w:cs="Arial"/>
          <w:color w:val="000000"/>
        </w:rPr>
        <w:lastRenderedPageBreak/>
        <w:t>Welsh Government (2025)</w:t>
      </w:r>
      <w:r w:rsidRPr="00682300">
        <w:rPr>
          <w:rStyle w:val="apple-converted-space"/>
          <w:rFonts w:ascii="Arial" w:eastAsiaTheme="majorEastAsia" w:hAnsi="Arial" w:cs="Arial"/>
          <w:color w:val="000000"/>
        </w:rPr>
        <w:t> </w:t>
      </w:r>
      <w:r w:rsidRPr="00682300">
        <w:rPr>
          <w:rStyle w:val="Emphasis"/>
          <w:rFonts w:ascii="Arial" w:eastAsiaTheme="majorEastAsia" w:hAnsi="Arial" w:cs="Arial"/>
          <w:color w:val="000000"/>
        </w:rPr>
        <w:t>Wellbeing of Wales Report 2025</w:t>
      </w:r>
      <w:r w:rsidRPr="00682300">
        <w:rPr>
          <w:rFonts w:ascii="Arial" w:hAnsi="Arial" w:cs="Arial"/>
          <w:color w:val="000000"/>
        </w:rPr>
        <w:t>. Welsh Government. Available at:</w:t>
      </w:r>
      <w:r w:rsidRPr="00682300">
        <w:rPr>
          <w:rStyle w:val="apple-converted-space"/>
          <w:rFonts w:ascii="Arial" w:eastAsiaTheme="majorEastAsia" w:hAnsi="Arial" w:cs="Arial"/>
          <w:color w:val="000000"/>
        </w:rPr>
        <w:t> </w:t>
      </w:r>
      <w:hyperlink r:id="rId46" w:tgtFrame="_new" w:history="1">
        <w:r w:rsidRPr="00682300">
          <w:rPr>
            <w:rStyle w:val="Hyperlink"/>
            <w:rFonts w:ascii="Arial" w:eastAsiaTheme="majorEastAsia" w:hAnsi="Arial" w:cs="Arial"/>
          </w:rPr>
          <w:t>https://www.gov.wales</w:t>
        </w:r>
      </w:hyperlink>
      <w:r w:rsidRPr="00682300">
        <w:rPr>
          <w:rStyle w:val="apple-converted-space"/>
          <w:rFonts w:ascii="Arial" w:eastAsiaTheme="majorEastAsia" w:hAnsi="Arial" w:cs="Arial"/>
          <w:color w:val="000000"/>
        </w:rPr>
        <w:t> </w:t>
      </w:r>
      <w:r w:rsidRPr="00682300">
        <w:rPr>
          <w:rFonts w:ascii="Arial" w:hAnsi="Arial" w:cs="Arial"/>
          <w:color w:val="000000"/>
        </w:rPr>
        <w:t xml:space="preserve">(Accessed: </w:t>
      </w:r>
      <w:r>
        <w:rPr>
          <w:rFonts w:ascii="Arial" w:hAnsi="Arial" w:cs="Arial"/>
          <w:color w:val="000000"/>
        </w:rPr>
        <w:t>15</w:t>
      </w:r>
      <w:r w:rsidRPr="00682300">
        <w:rPr>
          <w:rFonts w:ascii="Arial" w:hAnsi="Arial" w:cs="Arial"/>
          <w:color w:val="000000"/>
        </w:rPr>
        <w:t xml:space="preserve"> February 2026).</w:t>
      </w:r>
    </w:p>
    <w:sectPr w:rsidR="009C18C1" w:rsidRPr="008D3013">
      <w:headerReference w:type="default" r:id="rId47"/>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C8E42" w14:textId="77777777" w:rsidR="003B3836" w:rsidRDefault="003B3836" w:rsidP="00FD411C">
      <w:r>
        <w:separator/>
      </w:r>
    </w:p>
  </w:endnote>
  <w:endnote w:type="continuationSeparator" w:id="0">
    <w:p w14:paraId="52CBF182" w14:textId="77777777" w:rsidR="003B3836" w:rsidRDefault="003B3836" w:rsidP="00FD4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4261485"/>
      <w:docPartObj>
        <w:docPartGallery w:val="Page Numbers (Bottom of Page)"/>
        <w:docPartUnique/>
      </w:docPartObj>
    </w:sdtPr>
    <w:sdtContent>
      <w:p w14:paraId="58A8E9B8" w14:textId="21AA4AED" w:rsidR="002306FF" w:rsidRDefault="002306FF" w:rsidP="00A812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68CF53D" w14:textId="77777777" w:rsidR="002306FF" w:rsidRDefault="002306FF" w:rsidP="002306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4637854"/>
      <w:docPartObj>
        <w:docPartGallery w:val="Page Numbers (Bottom of Page)"/>
        <w:docPartUnique/>
      </w:docPartObj>
    </w:sdtPr>
    <w:sdtContent>
      <w:p w14:paraId="011A4240" w14:textId="6E822F97" w:rsidR="002306FF" w:rsidRDefault="002306FF" w:rsidP="00A812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7EC362" w14:textId="77777777" w:rsidR="002306FF" w:rsidRDefault="002306FF" w:rsidP="002306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D5DF9" w14:textId="77777777" w:rsidR="003B3836" w:rsidRDefault="003B3836" w:rsidP="00FD411C">
      <w:r>
        <w:separator/>
      </w:r>
    </w:p>
  </w:footnote>
  <w:footnote w:type="continuationSeparator" w:id="0">
    <w:p w14:paraId="59DAD982" w14:textId="77777777" w:rsidR="003B3836" w:rsidRDefault="003B3836" w:rsidP="00FD4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F479A" w14:textId="761F38F1" w:rsidR="00FD411C" w:rsidRDefault="00C80116">
    <w:pPr>
      <w:pStyle w:val="Header"/>
    </w:pPr>
    <w:r>
      <w:t>2410233</w:t>
    </w:r>
    <w:r w:rsidR="00FD411C">
      <w:ptab w:relativeTo="margin" w:alignment="center" w:leader="none"/>
    </w:r>
    <w:r>
      <w:t>ECEY6012</w:t>
    </w:r>
    <w:r w:rsidR="00FD411C">
      <w:ptab w:relativeTo="margin" w:alignment="right" w:leader="none"/>
    </w:r>
    <w:r>
      <w:t xml:space="preserve">Word count: </w:t>
    </w:r>
    <w:r w:rsidR="001D7185">
      <w:t xml:space="preserve">Part A – </w:t>
    </w:r>
    <w:r>
      <w:t>11</w:t>
    </w:r>
    <w:r w:rsidR="00B6403A">
      <w:t>51</w:t>
    </w:r>
  </w:p>
  <w:p w14:paraId="1F564CF4" w14:textId="6201B377" w:rsidR="001D7185" w:rsidRDefault="001D7185">
    <w:pPr>
      <w:pStyle w:val="Header"/>
    </w:pPr>
    <w:r>
      <w:tab/>
    </w:r>
    <w:r>
      <w:tab/>
      <w:t xml:space="preserve">Part B </w:t>
    </w:r>
    <w:r w:rsidR="00B6403A">
      <w:t>–</w:t>
    </w:r>
    <w:r>
      <w:t xml:space="preserve"> 16</w:t>
    </w:r>
    <w:r w:rsidR="00B6403A">
      <w:t>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4107E"/>
    <w:multiLevelType w:val="multilevel"/>
    <w:tmpl w:val="CDBC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11E70"/>
    <w:multiLevelType w:val="multilevel"/>
    <w:tmpl w:val="DD66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1D4F7E"/>
    <w:multiLevelType w:val="multilevel"/>
    <w:tmpl w:val="9294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643A7B"/>
    <w:multiLevelType w:val="multilevel"/>
    <w:tmpl w:val="7F34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63337B"/>
    <w:multiLevelType w:val="hybridMultilevel"/>
    <w:tmpl w:val="DFE88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1B4580"/>
    <w:multiLevelType w:val="hybridMultilevel"/>
    <w:tmpl w:val="E75A1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E031BC"/>
    <w:multiLevelType w:val="multilevel"/>
    <w:tmpl w:val="F036F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542271"/>
    <w:multiLevelType w:val="multilevel"/>
    <w:tmpl w:val="1DDE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974978">
    <w:abstractNumId w:val="4"/>
  </w:num>
  <w:num w:numId="2" w16cid:durableId="718865767">
    <w:abstractNumId w:val="3"/>
  </w:num>
  <w:num w:numId="3" w16cid:durableId="1621452652">
    <w:abstractNumId w:val="6"/>
  </w:num>
  <w:num w:numId="4" w16cid:durableId="1144856171">
    <w:abstractNumId w:val="7"/>
  </w:num>
  <w:num w:numId="5" w16cid:durableId="2079401072">
    <w:abstractNumId w:val="0"/>
  </w:num>
  <w:num w:numId="6" w16cid:durableId="1164467301">
    <w:abstractNumId w:val="1"/>
  </w:num>
  <w:num w:numId="7" w16cid:durableId="1290354597">
    <w:abstractNumId w:val="2"/>
  </w:num>
  <w:num w:numId="8" w16cid:durableId="342378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465"/>
    <w:rsid w:val="00013B68"/>
    <w:rsid w:val="00025FE9"/>
    <w:rsid w:val="00035EC2"/>
    <w:rsid w:val="00036841"/>
    <w:rsid w:val="00042BD1"/>
    <w:rsid w:val="00062B6B"/>
    <w:rsid w:val="0006735C"/>
    <w:rsid w:val="000A23F2"/>
    <w:rsid w:val="000A2B74"/>
    <w:rsid w:val="000C6B6F"/>
    <w:rsid w:val="0016300A"/>
    <w:rsid w:val="001D7185"/>
    <w:rsid w:val="001D788B"/>
    <w:rsid w:val="002306FF"/>
    <w:rsid w:val="002A51EB"/>
    <w:rsid w:val="002E65CD"/>
    <w:rsid w:val="002F4724"/>
    <w:rsid w:val="0032209A"/>
    <w:rsid w:val="00360815"/>
    <w:rsid w:val="00362B37"/>
    <w:rsid w:val="00383E04"/>
    <w:rsid w:val="003B3836"/>
    <w:rsid w:val="004038EE"/>
    <w:rsid w:val="00410506"/>
    <w:rsid w:val="00435E86"/>
    <w:rsid w:val="004A5465"/>
    <w:rsid w:val="00514F44"/>
    <w:rsid w:val="00533783"/>
    <w:rsid w:val="00580C93"/>
    <w:rsid w:val="005A288A"/>
    <w:rsid w:val="005A4FCE"/>
    <w:rsid w:val="0067235C"/>
    <w:rsid w:val="00680D62"/>
    <w:rsid w:val="006A6F75"/>
    <w:rsid w:val="006E1445"/>
    <w:rsid w:val="00770539"/>
    <w:rsid w:val="007B32F0"/>
    <w:rsid w:val="008131C3"/>
    <w:rsid w:val="00824BE6"/>
    <w:rsid w:val="008802A3"/>
    <w:rsid w:val="0089005E"/>
    <w:rsid w:val="008B5C9B"/>
    <w:rsid w:val="008D3013"/>
    <w:rsid w:val="0091097C"/>
    <w:rsid w:val="009234ED"/>
    <w:rsid w:val="00945D82"/>
    <w:rsid w:val="00953ABD"/>
    <w:rsid w:val="009723BA"/>
    <w:rsid w:val="009873A8"/>
    <w:rsid w:val="009C18C1"/>
    <w:rsid w:val="00A00156"/>
    <w:rsid w:val="00A31143"/>
    <w:rsid w:val="00AE271E"/>
    <w:rsid w:val="00AE7338"/>
    <w:rsid w:val="00B05BC2"/>
    <w:rsid w:val="00B105EA"/>
    <w:rsid w:val="00B11D54"/>
    <w:rsid w:val="00B6403A"/>
    <w:rsid w:val="00B9609C"/>
    <w:rsid w:val="00BA218E"/>
    <w:rsid w:val="00BE13F9"/>
    <w:rsid w:val="00C432E6"/>
    <w:rsid w:val="00C45B86"/>
    <w:rsid w:val="00C73237"/>
    <w:rsid w:val="00C77F4E"/>
    <w:rsid w:val="00C80116"/>
    <w:rsid w:val="00CA7C55"/>
    <w:rsid w:val="00CB379A"/>
    <w:rsid w:val="00CC7530"/>
    <w:rsid w:val="00CD5CD6"/>
    <w:rsid w:val="00CD7624"/>
    <w:rsid w:val="00D23CB1"/>
    <w:rsid w:val="00D8600A"/>
    <w:rsid w:val="00D94C7E"/>
    <w:rsid w:val="00DE1B81"/>
    <w:rsid w:val="00E0164B"/>
    <w:rsid w:val="00E54FF7"/>
    <w:rsid w:val="00EA278E"/>
    <w:rsid w:val="00ED3BF7"/>
    <w:rsid w:val="00EE4832"/>
    <w:rsid w:val="00EF6FE1"/>
    <w:rsid w:val="00F17E33"/>
    <w:rsid w:val="00F21469"/>
    <w:rsid w:val="00F40489"/>
    <w:rsid w:val="00F42370"/>
    <w:rsid w:val="00FB10DB"/>
    <w:rsid w:val="00FD411C"/>
    <w:rsid w:val="00FE0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B720B"/>
  <w15:chartTrackingRefBased/>
  <w15:docId w15:val="{AECB3EA6-7C38-814E-9A9E-3D7529DC6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5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5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5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5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54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54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54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54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5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5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5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5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5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5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5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5465"/>
    <w:rPr>
      <w:rFonts w:eastAsiaTheme="majorEastAsia" w:cstheme="majorBidi"/>
      <w:color w:val="272727" w:themeColor="text1" w:themeTint="D8"/>
    </w:rPr>
  </w:style>
  <w:style w:type="paragraph" w:styleId="Title">
    <w:name w:val="Title"/>
    <w:basedOn w:val="Normal"/>
    <w:next w:val="Normal"/>
    <w:link w:val="TitleChar"/>
    <w:uiPriority w:val="10"/>
    <w:qFormat/>
    <w:rsid w:val="004A54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54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5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54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5465"/>
    <w:rPr>
      <w:i/>
      <w:iCs/>
      <w:color w:val="404040" w:themeColor="text1" w:themeTint="BF"/>
    </w:rPr>
  </w:style>
  <w:style w:type="paragraph" w:styleId="ListParagraph">
    <w:name w:val="List Paragraph"/>
    <w:basedOn w:val="Normal"/>
    <w:uiPriority w:val="34"/>
    <w:qFormat/>
    <w:rsid w:val="004A5465"/>
    <w:pPr>
      <w:ind w:left="720"/>
      <w:contextualSpacing/>
    </w:pPr>
  </w:style>
  <w:style w:type="character" w:styleId="IntenseEmphasis">
    <w:name w:val="Intense Emphasis"/>
    <w:basedOn w:val="DefaultParagraphFont"/>
    <w:uiPriority w:val="21"/>
    <w:qFormat/>
    <w:rsid w:val="004A5465"/>
    <w:rPr>
      <w:i/>
      <w:iCs/>
      <w:color w:val="0F4761" w:themeColor="accent1" w:themeShade="BF"/>
    </w:rPr>
  </w:style>
  <w:style w:type="paragraph" w:styleId="IntenseQuote">
    <w:name w:val="Intense Quote"/>
    <w:basedOn w:val="Normal"/>
    <w:next w:val="Normal"/>
    <w:link w:val="IntenseQuoteChar"/>
    <w:uiPriority w:val="30"/>
    <w:qFormat/>
    <w:rsid w:val="004A5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5465"/>
    <w:rPr>
      <w:i/>
      <w:iCs/>
      <w:color w:val="0F4761" w:themeColor="accent1" w:themeShade="BF"/>
    </w:rPr>
  </w:style>
  <w:style w:type="character" w:styleId="IntenseReference">
    <w:name w:val="Intense Reference"/>
    <w:basedOn w:val="DefaultParagraphFont"/>
    <w:uiPriority w:val="32"/>
    <w:qFormat/>
    <w:rsid w:val="004A5465"/>
    <w:rPr>
      <w:b/>
      <w:bCs/>
      <w:smallCaps/>
      <w:color w:val="0F4761" w:themeColor="accent1" w:themeShade="BF"/>
      <w:spacing w:val="5"/>
    </w:rPr>
  </w:style>
  <w:style w:type="paragraph" w:styleId="NormalWeb">
    <w:name w:val="Normal (Web)"/>
    <w:basedOn w:val="Normal"/>
    <w:uiPriority w:val="99"/>
    <w:unhideWhenUsed/>
    <w:rsid w:val="004A546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A5465"/>
  </w:style>
  <w:style w:type="character" w:styleId="Emphasis">
    <w:name w:val="Emphasis"/>
    <w:basedOn w:val="DefaultParagraphFont"/>
    <w:uiPriority w:val="20"/>
    <w:qFormat/>
    <w:rsid w:val="004A5465"/>
    <w:rPr>
      <w:i/>
      <w:iCs/>
    </w:rPr>
  </w:style>
  <w:style w:type="character" w:styleId="Hyperlink">
    <w:name w:val="Hyperlink"/>
    <w:basedOn w:val="DefaultParagraphFont"/>
    <w:uiPriority w:val="99"/>
    <w:unhideWhenUsed/>
    <w:rsid w:val="004A5465"/>
    <w:rPr>
      <w:color w:val="0000FF"/>
      <w:u w:val="single"/>
    </w:rPr>
  </w:style>
  <w:style w:type="character" w:styleId="UnresolvedMention">
    <w:name w:val="Unresolved Mention"/>
    <w:basedOn w:val="DefaultParagraphFont"/>
    <w:uiPriority w:val="99"/>
    <w:semiHidden/>
    <w:unhideWhenUsed/>
    <w:rsid w:val="00BA218E"/>
    <w:rPr>
      <w:color w:val="605E5C"/>
      <w:shd w:val="clear" w:color="auto" w:fill="E1DFDD"/>
    </w:rPr>
  </w:style>
  <w:style w:type="paragraph" w:styleId="Header">
    <w:name w:val="header"/>
    <w:basedOn w:val="Normal"/>
    <w:link w:val="HeaderChar"/>
    <w:uiPriority w:val="99"/>
    <w:unhideWhenUsed/>
    <w:rsid w:val="00FD411C"/>
    <w:pPr>
      <w:tabs>
        <w:tab w:val="center" w:pos="4513"/>
        <w:tab w:val="right" w:pos="9026"/>
      </w:tabs>
    </w:pPr>
  </w:style>
  <w:style w:type="character" w:customStyle="1" w:styleId="HeaderChar">
    <w:name w:val="Header Char"/>
    <w:basedOn w:val="DefaultParagraphFont"/>
    <w:link w:val="Header"/>
    <w:uiPriority w:val="99"/>
    <w:rsid w:val="00FD411C"/>
  </w:style>
  <w:style w:type="paragraph" w:styleId="Footer">
    <w:name w:val="footer"/>
    <w:basedOn w:val="Normal"/>
    <w:link w:val="FooterChar"/>
    <w:uiPriority w:val="99"/>
    <w:unhideWhenUsed/>
    <w:rsid w:val="00FD411C"/>
    <w:pPr>
      <w:tabs>
        <w:tab w:val="center" w:pos="4513"/>
        <w:tab w:val="right" w:pos="9026"/>
      </w:tabs>
    </w:pPr>
  </w:style>
  <w:style w:type="character" w:customStyle="1" w:styleId="FooterChar">
    <w:name w:val="Footer Char"/>
    <w:basedOn w:val="DefaultParagraphFont"/>
    <w:link w:val="Footer"/>
    <w:uiPriority w:val="99"/>
    <w:rsid w:val="00FD411C"/>
  </w:style>
  <w:style w:type="character" w:styleId="FollowedHyperlink">
    <w:name w:val="FollowedHyperlink"/>
    <w:basedOn w:val="DefaultParagraphFont"/>
    <w:uiPriority w:val="99"/>
    <w:semiHidden/>
    <w:unhideWhenUsed/>
    <w:rsid w:val="00DE1B81"/>
    <w:rPr>
      <w:color w:val="96607D" w:themeColor="followedHyperlink"/>
      <w:u w:val="single"/>
    </w:rPr>
  </w:style>
  <w:style w:type="character" w:customStyle="1" w:styleId="identifier">
    <w:name w:val="identifier"/>
    <w:basedOn w:val="DefaultParagraphFont"/>
    <w:rsid w:val="0016300A"/>
  </w:style>
  <w:style w:type="character" w:customStyle="1" w:styleId="id-label">
    <w:name w:val="id-label"/>
    <w:basedOn w:val="DefaultParagraphFont"/>
    <w:rsid w:val="0016300A"/>
  </w:style>
  <w:style w:type="character" w:styleId="PageNumber">
    <w:name w:val="page number"/>
    <w:basedOn w:val="DefaultParagraphFont"/>
    <w:uiPriority w:val="99"/>
    <w:semiHidden/>
    <w:unhideWhenUsed/>
    <w:rsid w:val="002306FF"/>
  </w:style>
  <w:style w:type="character" w:customStyle="1" w:styleId="whitespace-normal">
    <w:name w:val="whitespace-normal"/>
    <w:basedOn w:val="DefaultParagraphFont"/>
    <w:rsid w:val="0032209A"/>
  </w:style>
  <w:style w:type="character" w:customStyle="1" w:styleId="typography-body">
    <w:name w:val="typography-body"/>
    <w:basedOn w:val="DefaultParagraphFont"/>
    <w:rsid w:val="00672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 TargetMode="External"/><Relationship Id="rId18" Type="http://schemas.openxmlformats.org/officeDocument/2006/relationships/image" Target="media/image4.emf"/><Relationship Id="rId26" Type="http://schemas.openxmlformats.org/officeDocument/2006/relationships/image" Target="media/image12.emf"/><Relationship Id="rId39" Type="http://schemas.openxmlformats.org/officeDocument/2006/relationships/hyperlink" Target="https://www.gov.wales/" TargetMode="External"/><Relationship Id="rId21" Type="http://schemas.openxmlformats.org/officeDocument/2006/relationships/image" Target="media/image7.emf"/><Relationship Id="rId34" Type="http://schemas.openxmlformats.org/officeDocument/2006/relationships/hyperlink" Target="https://www.legislation.gov.uk/ukpga/2004/27/contents" TargetMode="External"/><Relationship Id="rId42" Type="http://schemas.openxmlformats.org/officeDocument/2006/relationships/hyperlink" Target="https://doi.org/10.1002/ev.20633"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hyperlink" Target="https://chatgpt.com" TargetMode="External"/><Relationship Id="rId2" Type="http://schemas.openxmlformats.org/officeDocument/2006/relationships/styles" Target="styles.xml"/><Relationship Id="rId16" Type="http://schemas.openxmlformats.org/officeDocument/2006/relationships/image" Target="media/image2.emf"/><Relationship Id="rId29" Type="http://schemas.openxmlformats.org/officeDocument/2006/relationships/hyperlink" Target="https://www.researchgate.net/" TargetMode="External"/><Relationship Id="rId11" Type="http://schemas.openxmlformats.org/officeDocument/2006/relationships/hyperlink" Target="https://www.tn.gov/content/dam/tn/education/health-%26-safety/School_Therapy_Dog_Implementation_Guide.pdf?utm_source" TargetMode="External"/><Relationship Id="rId24" Type="http://schemas.openxmlformats.org/officeDocument/2006/relationships/image" Target="media/image10.emf"/><Relationship Id="rId32" Type="http://schemas.openxmlformats.org/officeDocument/2006/relationships/hyperlink" Target="https://www.legislation.gov.uk/ukpga/2011/25/contents" TargetMode="External"/><Relationship Id="rId37" Type="http://schemas.openxmlformats.org/officeDocument/2006/relationships/hyperlink" Target="https://www.ncvo.org.uk/" TargetMode="External"/><Relationship Id="rId40" Type="http://schemas.openxmlformats.org/officeDocument/2006/relationships/hyperlink" Target="https://doi.org/10.1111/j.1540-5885.2012.00920_2.x?urlappend=%3Futm_source%3Dresearchgate.net%26utm_medium%3Darticle" TargetMode="External"/><Relationship Id="rId45" Type="http://schemas.openxmlformats.org/officeDocument/2006/relationships/hyperlink" Target="https://doi.org/10.1016/j.edurev.2022.100501" TargetMode="External"/><Relationship Id="rId5"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image" Target="media/image9.emf"/><Relationship Id="rId28" Type="http://schemas.openxmlformats.org/officeDocument/2006/relationships/image" Target="media/image14.emf"/><Relationship Id="rId36" Type="http://schemas.openxmlformats.org/officeDocument/2006/relationships/hyperlink" Target="https://doi.org/10.4324/9781315134543" TargetMode="External"/><Relationship Id="rId49" Type="http://schemas.openxmlformats.org/officeDocument/2006/relationships/footer" Target="footer2.xml"/><Relationship Id="rId10" Type="http://schemas.openxmlformats.org/officeDocument/2006/relationships/hyperlink" Target="https://doi.org/10.1177/014107689108401208" TargetMode="External"/><Relationship Id="rId19" Type="http://schemas.openxmlformats.org/officeDocument/2006/relationships/image" Target="media/image5.emf"/><Relationship Id="rId31" Type="http://schemas.openxmlformats.org/officeDocument/2006/relationships/hyperlink" Target="https://www.gov.uk/government/publications/public-benefit-running-a-charity-pb2" TargetMode="External"/><Relationship Id="rId44" Type="http://schemas.openxmlformats.org/officeDocument/2006/relationships/hyperlink" Target="https://www.theguardian.com/" TargetMode="External"/><Relationship Id="rId4" Type="http://schemas.openxmlformats.org/officeDocument/2006/relationships/webSettings" Target="webSettings.xml"/><Relationship Id="rId9" Type="http://schemas.openxmlformats.org/officeDocument/2006/relationships/hyperlink" Target="https://www.gov.wales/" TargetMode="External"/><Relationship Id="rId14" Type="http://schemas.openxmlformats.org/officeDocument/2006/relationships/hyperlink" Target="https://www.gov.wales/" TargetMode="Externa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hyperlink" Target="https://doi.org/10.21203/rs.3.rs-8164070/v1?urlappend=%3Futm_source%3Dresearchgate.net%26utm_medium%3Darticle" TargetMode="External"/><Relationship Id="rId35" Type="http://schemas.openxmlformats.org/officeDocument/2006/relationships/hyperlink" Target="https://hbr.org/1998/01/enterprising-nonprofits" TargetMode="External"/><Relationship Id="rId43" Type="http://schemas.openxmlformats.org/officeDocument/2006/relationships/hyperlink" Target="https://www.thedogmentor.co.uk/" TargetMode="External"/><Relationship Id="rId48" Type="http://schemas.openxmlformats.org/officeDocument/2006/relationships/footer" Target="footer1.xml"/><Relationship Id="rId8" Type="http://schemas.openxmlformats.org/officeDocument/2006/relationships/hyperlink" Target="https://researchbriefings.files.parliament.uk/documents/POST-PN-0739/POST-PN-0739.pdf"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thedogmentor.co.uk/" TargetMode="External"/><Relationship Id="rId17" Type="http://schemas.openxmlformats.org/officeDocument/2006/relationships/image" Target="media/image3.emf"/><Relationship Id="rId25" Type="http://schemas.openxmlformats.org/officeDocument/2006/relationships/image" Target="media/image11.emf"/><Relationship Id="rId33" Type="http://schemas.openxmlformats.org/officeDocument/2006/relationships/hyperlink" Target="https://www.legislation.gov.uk/ukpga/2006/46/contents" TargetMode="External"/><Relationship Id="rId38" Type="http://schemas.openxmlformats.org/officeDocument/2006/relationships/hyperlink" Target="https://mymyeo.com/wp-content/uploads/2022/12/Business-model-generation-_-a-handbook-for-visionaries-game-changers-and-challengers-PDFDrive-1.pdf" TargetMode="External"/><Relationship Id="rId46" Type="http://schemas.openxmlformats.org/officeDocument/2006/relationships/hyperlink" Target="https://www.gov.wales/" TargetMode="External"/><Relationship Id="rId20" Type="http://schemas.openxmlformats.org/officeDocument/2006/relationships/image" Target="media/image6.emf"/><Relationship Id="rId41" Type="http://schemas.openxmlformats.org/officeDocument/2006/relationships/hyperlink" Target="https://doi.org/10.1177/014107689108401208"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25</Pages>
  <Words>4029</Words>
  <Characters>27606</Characters>
  <Application>Microsoft Office Word</Application>
  <DocSecurity>0</DocSecurity>
  <Lines>541</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 (2410233)</dc:creator>
  <cp:keywords/>
  <dc:description/>
  <cp:lastModifiedBy>Mary Sharp (2410233)</cp:lastModifiedBy>
  <cp:revision>5</cp:revision>
  <dcterms:created xsi:type="dcterms:W3CDTF">2026-02-28T15:41:00Z</dcterms:created>
  <dcterms:modified xsi:type="dcterms:W3CDTF">2026-02-28T16:08:00Z</dcterms:modified>
</cp:coreProperties>
</file>