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B6D8081" w14:textId="3742EB85" w:rsidR="00AC19BD" w:rsidRDefault="00AC19BD" w:rsidP="00AC19BD">
      <w:pPr>
        <w:jc w:val="right"/>
        <w:rPr>
          <w:b/>
          <w:bCs/>
        </w:rPr>
      </w:pPr>
      <w:bookmarkStart w:id="0" w:name="_hqbr2s3heyv6" w:colFirst="0" w:colLast="0"/>
      <w:bookmarkEnd w:id="0"/>
      <w:r w:rsidRPr="00AC19BD">
        <w:rPr>
          <w:b/>
          <w:bCs/>
          <w:noProof/>
          <w:lang w:val="en-GB" w:eastAsia="en-GB"/>
        </w:rPr>
        <w:drawing>
          <wp:inline distT="0" distB="0" distL="0" distR="0" wp14:anchorId="1D5216F9" wp14:editId="71481723">
            <wp:extent cx="2179509" cy="967824"/>
            <wp:effectExtent l="0" t="0" r="0" b="3810"/>
            <wp:docPr id="1089457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457085" name=""/>
                    <pic:cNvPicPr/>
                  </pic:nvPicPr>
                  <pic:blipFill>
                    <a:blip r:embed="rId9"/>
                    <a:stretch>
                      <a:fillRect/>
                    </a:stretch>
                  </pic:blipFill>
                  <pic:spPr>
                    <a:xfrm>
                      <a:off x="0" y="0"/>
                      <a:ext cx="2179509" cy="967824"/>
                    </a:xfrm>
                    <a:prstGeom prst="rect">
                      <a:avLst/>
                    </a:prstGeom>
                  </pic:spPr>
                </pic:pic>
              </a:graphicData>
            </a:graphic>
          </wp:inline>
        </w:drawing>
      </w:r>
    </w:p>
    <w:p w14:paraId="2BFB0E84" w14:textId="77777777" w:rsidR="00AC19BD" w:rsidRDefault="00AC19BD" w:rsidP="00AC19BD">
      <w:pPr>
        <w:jc w:val="center"/>
        <w:rPr>
          <w:b/>
          <w:bCs/>
        </w:rPr>
      </w:pPr>
    </w:p>
    <w:p w14:paraId="5AF1B360" w14:textId="77777777" w:rsidR="00AC19BD" w:rsidRDefault="00AC19BD" w:rsidP="001E23B7">
      <w:pPr>
        <w:rPr>
          <w:b/>
          <w:bCs/>
        </w:rPr>
      </w:pPr>
      <w:bookmarkStart w:id="1" w:name="_GoBack"/>
      <w:bookmarkEnd w:id="1"/>
    </w:p>
    <w:p w14:paraId="657CCE2B" w14:textId="0133C054" w:rsidR="00AC19BD" w:rsidRPr="00376B78" w:rsidRDefault="00376B78" w:rsidP="00AC19BD">
      <w:pPr>
        <w:jc w:val="center"/>
        <w:rPr>
          <w:b/>
          <w:bCs/>
          <w:sz w:val="36"/>
          <w:szCs w:val="36"/>
        </w:rPr>
      </w:pPr>
      <w:r w:rsidRPr="00376B78">
        <w:rPr>
          <w:b/>
          <w:bCs/>
          <w:sz w:val="36"/>
          <w:szCs w:val="36"/>
        </w:rPr>
        <w:t>Assessment 1</w:t>
      </w:r>
    </w:p>
    <w:p w14:paraId="49F2A24F" w14:textId="7FFE28A6" w:rsidR="00AC19BD" w:rsidRPr="00234722" w:rsidRDefault="00AC19BD" w:rsidP="00AC19BD">
      <w:pPr>
        <w:jc w:val="center"/>
        <w:rPr>
          <w:b/>
          <w:bCs/>
          <w:sz w:val="36"/>
          <w:szCs w:val="36"/>
        </w:rPr>
      </w:pPr>
      <w:r w:rsidRPr="00234722">
        <w:rPr>
          <w:b/>
          <w:bCs/>
          <w:sz w:val="36"/>
          <w:szCs w:val="36"/>
        </w:rPr>
        <w:t>Module Code and Title: LCBB5008- Management Economics</w:t>
      </w:r>
    </w:p>
    <w:p w14:paraId="625BE7F0" w14:textId="77777777" w:rsidR="00AC19BD" w:rsidRPr="00234722" w:rsidRDefault="00AC19BD" w:rsidP="00AC19BD">
      <w:pPr>
        <w:jc w:val="center"/>
        <w:rPr>
          <w:b/>
          <w:bCs/>
          <w:sz w:val="36"/>
          <w:szCs w:val="36"/>
        </w:rPr>
      </w:pPr>
      <w:r w:rsidRPr="00234722">
        <w:rPr>
          <w:b/>
          <w:bCs/>
          <w:sz w:val="36"/>
          <w:szCs w:val="36"/>
        </w:rPr>
        <w:t>Assignment Title: Component 1: Coursework: Essay</w:t>
      </w:r>
    </w:p>
    <w:p w14:paraId="452519D7" w14:textId="646D1838" w:rsidR="00AC19BD" w:rsidRPr="00234722" w:rsidRDefault="00AC19BD" w:rsidP="00AC19BD">
      <w:pPr>
        <w:jc w:val="center"/>
        <w:rPr>
          <w:sz w:val="36"/>
          <w:szCs w:val="36"/>
        </w:rPr>
      </w:pPr>
      <w:r w:rsidRPr="00234722">
        <w:rPr>
          <w:sz w:val="36"/>
          <w:szCs w:val="36"/>
        </w:rPr>
        <w:t xml:space="preserve">Student Name: </w:t>
      </w:r>
      <w:r w:rsidR="00234722" w:rsidRPr="00234722">
        <w:rPr>
          <w:sz w:val="36"/>
          <w:szCs w:val="36"/>
        </w:rPr>
        <w:t xml:space="preserve">Georgiana </w:t>
      </w:r>
      <w:proofErr w:type="spellStart"/>
      <w:r w:rsidR="00234722" w:rsidRPr="00234722">
        <w:rPr>
          <w:sz w:val="36"/>
          <w:szCs w:val="36"/>
        </w:rPr>
        <w:t>Repciuc</w:t>
      </w:r>
      <w:proofErr w:type="spellEnd"/>
    </w:p>
    <w:p w14:paraId="2C76C4FD" w14:textId="4846FF06" w:rsidR="00AC19BD" w:rsidRPr="00234722" w:rsidRDefault="00AC19BD" w:rsidP="00AC19BD">
      <w:pPr>
        <w:jc w:val="center"/>
        <w:rPr>
          <w:sz w:val="36"/>
          <w:szCs w:val="36"/>
        </w:rPr>
      </w:pPr>
      <w:r w:rsidRPr="00234722">
        <w:rPr>
          <w:sz w:val="36"/>
          <w:szCs w:val="36"/>
        </w:rPr>
        <w:t xml:space="preserve">Student ID: </w:t>
      </w:r>
      <w:r w:rsidR="00234722" w:rsidRPr="00234722">
        <w:rPr>
          <w:sz w:val="36"/>
          <w:szCs w:val="36"/>
        </w:rPr>
        <w:t>2123846</w:t>
      </w:r>
    </w:p>
    <w:p w14:paraId="7EBD070B" w14:textId="1F8BCE12" w:rsidR="001E23B7" w:rsidRDefault="001E23B7" w:rsidP="00AC19BD">
      <w:pPr>
        <w:jc w:val="center"/>
      </w:pPr>
    </w:p>
    <w:p w14:paraId="661BDDC9" w14:textId="77777777" w:rsidR="001E23B7" w:rsidRDefault="001E23B7" w:rsidP="00AC19BD">
      <w:pPr>
        <w:jc w:val="center"/>
      </w:pPr>
    </w:p>
    <w:p w14:paraId="7FD95618" w14:textId="77777777" w:rsidR="001E23B7" w:rsidRDefault="001E23B7">
      <w:r>
        <w:br w:type="page"/>
      </w:r>
    </w:p>
    <w:sdt>
      <w:sdtPr>
        <w:rPr>
          <w:rFonts w:ascii="Times New Roman" w:eastAsia="Times New Roman" w:hAnsi="Times New Roman" w:cs="Times New Roman"/>
          <w:color w:val="auto"/>
          <w:sz w:val="24"/>
          <w:szCs w:val="24"/>
          <w:lang w:val="en"/>
        </w:rPr>
        <w:id w:val="268206922"/>
        <w:docPartObj>
          <w:docPartGallery w:val="Table of Contents"/>
          <w:docPartUnique/>
        </w:docPartObj>
      </w:sdtPr>
      <w:sdtEndPr>
        <w:rPr>
          <w:b/>
          <w:bCs/>
          <w:noProof/>
        </w:rPr>
      </w:sdtEndPr>
      <w:sdtContent>
        <w:p w14:paraId="500D9246" w14:textId="2600CE7D" w:rsidR="001E23B7" w:rsidRDefault="001E23B7">
          <w:pPr>
            <w:pStyle w:val="TOCHeading"/>
          </w:pPr>
          <w:r>
            <w:t>Table of Contents</w:t>
          </w:r>
        </w:p>
        <w:p w14:paraId="62F3BBE2" w14:textId="62E23E36" w:rsidR="001E23B7" w:rsidRDefault="001E23B7">
          <w:pPr>
            <w:pStyle w:val="TOC1"/>
            <w:tabs>
              <w:tab w:val="right" w:leader="dot" w:pos="9350"/>
            </w:tabs>
            <w:rPr>
              <w:noProof/>
            </w:rPr>
          </w:pPr>
          <w:r>
            <w:fldChar w:fldCharType="begin"/>
          </w:r>
          <w:r>
            <w:instrText xml:space="preserve"> TOC \o "1-3" \h \z \u </w:instrText>
          </w:r>
          <w:r>
            <w:fldChar w:fldCharType="separate"/>
          </w:r>
          <w:hyperlink w:anchor="_Toc152174866" w:history="1">
            <w:r w:rsidRPr="00AF183D">
              <w:rPr>
                <w:rStyle w:val="Hyperlink"/>
                <w:noProof/>
              </w:rPr>
              <w:t>Introduction</w:t>
            </w:r>
            <w:r>
              <w:rPr>
                <w:noProof/>
                <w:webHidden/>
              </w:rPr>
              <w:tab/>
            </w:r>
            <w:r>
              <w:rPr>
                <w:noProof/>
                <w:webHidden/>
              </w:rPr>
              <w:fldChar w:fldCharType="begin"/>
            </w:r>
            <w:r>
              <w:rPr>
                <w:noProof/>
                <w:webHidden/>
              </w:rPr>
              <w:instrText xml:space="preserve"> PAGEREF _Toc152174866 \h </w:instrText>
            </w:r>
            <w:r>
              <w:rPr>
                <w:noProof/>
                <w:webHidden/>
              </w:rPr>
            </w:r>
            <w:r>
              <w:rPr>
                <w:noProof/>
                <w:webHidden/>
              </w:rPr>
              <w:fldChar w:fldCharType="separate"/>
            </w:r>
            <w:r>
              <w:rPr>
                <w:noProof/>
                <w:webHidden/>
              </w:rPr>
              <w:t>3</w:t>
            </w:r>
            <w:r>
              <w:rPr>
                <w:noProof/>
                <w:webHidden/>
              </w:rPr>
              <w:fldChar w:fldCharType="end"/>
            </w:r>
          </w:hyperlink>
        </w:p>
        <w:p w14:paraId="3B7BA657" w14:textId="7F666171" w:rsidR="001E23B7" w:rsidRDefault="00B7089B">
          <w:pPr>
            <w:pStyle w:val="TOC1"/>
            <w:tabs>
              <w:tab w:val="right" w:leader="dot" w:pos="9350"/>
            </w:tabs>
            <w:rPr>
              <w:noProof/>
            </w:rPr>
          </w:pPr>
          <w:hyperlink w:anchor="_Toc152174867" w:history="1">
            <w:r w:rsidR="001E23B7" w:rsidRPr="00AF183D">
              <w:rPr>
                <w:rStyle w:val="Hyperlink"/>
                <w:noProof/>
              </w:rPr>
              <w:t>Discussion</w:t>
            </w:r>
            <w:r w:rsidR="001E23B7">
              <w:rPr>
                <w:noProof/>
                <w:webHidden/>
              </w:rPr>
              <w:tab/>
            </w:r>
            <w:r w:rsidR="001E23B7">
              <w:rPr>
                <w:noProof/>
                <w:webHidden/>
              </w:rPr>
              <w:fldChar w:fldCharType="begin"/>
            </w:r>
            <w:r w:rsidR="001E23B7">
              <w:rPr>
                <w:noProof/>
                <w:webHidden/>
              </w:rPr>
              <w:instrText xml:space="preserve"> PAGEREF _Toc152174867 \h </w:instrText>
            </w:r>
            <w:r w:rsidR="001E23B7">
              <w:rPr>
                <w:noProof/>
                <w:webHidden/>
              </w:rPr>
            </w:r>
            <w:r w:rsidR="001E23B7">
              <w:rPr>
                <w:noProof/>
                <w:webHidden/>
              </w:rPr>
              <w:fldChar w:fldCharType="separate"/>
            </w:r>
            <w:r w:rsidR="001E23B7">
              <w:rPr>
                <w:noProof/>
                <w:webHidden/>
              </w:rPr>
              <w:t>3</w:t>
            </w:r>
            <w:r w:rsidR="001E23B7">
              <w:rPr>
                <w:noProof/>
                <w:webHidden/>
              </w:rPr>
              <w:fldChar w:fldCharType="end"/>
            </w:r>
          </w:hyperlink>
        </w:p>
        <w:p w14:paraId="11A93E43" w14:textId="628C4A11" w:rsidR="001E23B7" w:rsidRDefault="00B7089B">
          <w:pPr>
            <w:pStyle w:val="TOC2"/>
            <w:tabs>
              <w:tab w:val="right" w:leader="dot" w:pos="9350"/>
            </w:tabs>
            <w:rPr>
              <w:noProof/>
            </w:rPr>
          </w:pPr>
          <w:hyperlink w:anchor="_Toc152174868" w:history="1">
            <w:r w:rsidR="001E23B7" w:rsidRPr="00AF183D">
              <w:rPr>
                <w:rStyle w:val="Hyperlink"/>
                <w:noProof/>
              </w:rPr>
              <w:t>Task 1 a) Discussing the basic economic issues identified in this case study</w:t>
            </w:r>
            <w:r w:rsidR="001E23B7">
              <w:rPr>
                <w:noProof/>
                <w:webHidden/>
              </w:rPr>
              <w:tab/>
            </w:r>
            <w:r w:rsidR="001E23B7">
              <w:rPr>
                <w:noProof/>
                <w:webHidden/>
              </w:rPr>
              <w:fldChar w:fldCharType="begin"/>
            </w:r>
            <w:r w:rsidR="001E23B7">
              <w:rPr>
                <w:noProof/>
                <w:webHidden/>
              </w:rPr>
              <w:instrText xml:space="preserve"> PAGEREF _Toc152174868 \h </w:instrText>
            </w:r>
            <w:r w:rsidR="001E23B7">
              <w:rPr>
                <w:noProof/>
                <w:webHidden/>
              </w:rPr>
            </w:r>
            <w:r w:rsidR="001E23B7">
              <w:rPr>
                <w:noProof/>
                <w:webHidden/>
              </w:rPr>
              <w:fldChar w:fldCharType="separate"/>
            </w:r>
            <w:r w:rsidR="001E23B7">
              <w:rPr>
                <w:noProof/>
                <w:webHidden/>
              </w:rPr>
              <w:t>3</w:t>
            </w:r>
            <w:r w:rsidR="001E23B7">
              <w:rPr>
                <w:noProof/>
                <w:webHidden/>
              </w:rPr>
              <w:fldChar w:fldCharType="end"/>
            </w:r>
          </w:hyperlink>
        </w:p>
        <w:p w14:paraId="24C63DF9" w14:textId="621E6CC9" w:rsidR="001E23B7" w:rsidRDefault="00B7089B">
          <w:pPr>
            <w:pStyle w:val="TOC2"/>
            <w:tabs>
              <w:tab w:val="right" w:leader="dot" w:pos="9350"/>
            </w:tabs>
            <w:rPr>
              <w:noProof/>
            </w:rPr>
          </w:pPr>
          <w:hyperlink w:anchor="_Toc152174869" w:history="1">
            <w:r w:rsidR="001E23B7" w:rsidRPr="00AF183D">
              <w:rPr>
                <w:rStyle w:val="Hyperlink"/>
                <w:noProof/>
              </w:rPr>
              <w:t>Task 1 b) Suggesting different ways where these economic issues can be resolved</w:t>
            </w:r>
            <w:r w:rsidR="001E23B7">
              <w:rPr>
                <w:noProof/>
                <w:webHidden/>
              </w:rPr>
              <w:tab/>
            </w:r>
            <w:r w:rsidR="001E23B7">
              <w:rPr>
                <w:noProof/>
                <w:webHidden/>
              </w:rPr>
              <w:fldChar w:fldCharType="begin"/>
            </w:r>
            <w:r w:rsidR="001E23B7">
              <w:rPr>
                <w:noProof/>
                <w:webHidden/>
              </w:rPr>
              <w:instrText xml:space="preserve"> PAGEREF _Toc152174869 \h </w:instrText>
            </w:r>
            <w:r w:rsidR="001E23B7">
              <w:rPr>
                <w:noProof/>
                <w:webHidden/>
              </w:rPr>
            </w:r>
            <w:r w:rsidR="001E23B7">
              <w:rPr>
                <w:noProof/>
                <w:webHidden/>
              </w:rPr>
              <w:fldChar w:fldCharType="separate"/>
            </w:r>
            <w:r w:rsidR="001E23B7">
              <w:rPr>
                <w:noProof/>
                <w:webHidden/>
              </w:rPr>
              <w:t>5</w:t>
            </w:r>
            <w:r w:rsidR="001E23B7">
              <w:rPr>
                <w:noProof/>
                <w:webHidden/>
              </w:rPr>
              <w:fldChar w:fldCharType="end"/>
            </w:r>
          </w:hyperlink>
        </w:p>
        <w:p w14:paraId="644444AF" w14:textId="72631D9C" w:rsidR="001E23B7" w:rsidRDefault="00B7089B">
          <w:pPr>
            <w:pStyle w:val="TOC2"/>
            <w:tabs>
              <w:tab w:val="right" w:leader="dot" w:pos="9350"/>
            </w:tabs>
            <w:rPr>
              <w:noProof/>
            </w:rPr>
          </w:pPr>
          <w:hyperlink w:anchor="_Toc152174870" w:history="1">
            <w:r w:rsidR="001E23B7" w:rsidRPr="00AF183D">
              <w:rPr>
                <w:rStyle w:val="Hyperlink"/>
                <w:noProof/>
              </w:rPr>
              <w:t>Task 2 a) Relevance of supply and demand</w:t>
            </w:r>
            <w:r w:rsidR="001E23B7">
              <w:rPr>
                <w:noProof/>
                <w:webHidden/>
              </w:rPr>
              <w:tab/>
            </w:r>
            <w:r w:rsidR="001E23B7">
              <w:rPr>
                <w:noProof/>
                <w:webHidden/>
              </w:rPr>
              <w:fldChar w:fldCharType="begin"/>
            </w:r>
            <w:r w:rsidR="001E23B7">
              <w:rPr>
                <w:noProof/>
                <w:webHidden/>
              </w:rPr>
              <w:instrText xml:space="preserve"> PAGEREF _Toc152174870 \h </w:instrText>
            </w:r>
            <w:r w:rsidR="001E23B7">
              <w:rPr>
                <w:noProof/>
                <w:webHidden/>
              </w:rPr>
            </w:r>
            <w:r w:rsidR="001E23B7">
              <w:rPr>
                <w:noProof/>
                <w:webHidden/>
              </w:rPr>
              <w:fldChar w:fldCharType="separate"/>
            </w:r>
            <w:r w:rsidR="001E23B7">
              <w:rPr>
                <w:noProof/>
                <w:webHidden/>
              </w:rPr>
              <w:t>7</w:t>
            </w:r>
            <w:r w:rsidR="001E23B7">
              <w:rPr>
                <w:noProof/>
                <w:webHidden/>
              </w:rPr>
              <w:fldChar w:fldCharType="end"/>
            </w:r>
          </w:hyperlink>
        </w:p>
        <w:p w14:paraId="2A0BD580" w14:textId="7DA65F1F" w:rsidR="001E23B7" w:rsidRDefault="00B7089B">
          <w:pPr>
            <w:pStyle w:val="TOC2"/>
            <w:tabs>
              <w:tab w:val="right" w:leader="dot" w:pos="9350"/>
            </w:tabs>
            <w:rPr>
              <w:noProof/>
            </w:rPr>
          </w:pPr>
          <w:hyperlink w:anchor="_Toc152174871" w:history="1">
            <w:r w:rsidR="001E23B7" w:rsidRPr="00AF183D">
              <w:rPr>
                <w:rStyle w:val="Hyperlink"/>
                <w:noProof/>
              </w:rPr>
              <w:t>Task 2 b) Differences between elasticity and inelasticity of demand to the price changes in the fuel costs</w:t>
            </w:r>
            <w:r w:rsidR="001E23B7">
              <w:rPr>
                <w:noProof/>
                <w:webHidden/>
              </w:rPr>
              <w:tab/>
            </w:r>
            <w:r w:rsidR="001E23B7">
              <w:rPr>
                <w:noProof/>
                <w:webHidden/>
              </w:rPr>
              <w:fldChar w:fldCharType="begin"/>
            </w:r>
            <w:r w:rsidR="001E23B7">
              <w:rPr>
                <w:noProof/>
                <w:webHidden/>
              </w:rPr>
              <w:instrText xml:space="preserve"> PAGEREF _Toc152174871 \h </w:instrText>
            </w:r>
            <w:r w:rsidR="001E23B7">
              <w:rPr>
                <w:noProof/>
                <w:webHidden/>
              </w:rPr>
            </w:r>
            <w:r w:rsidR="001E23B7">
              <w:rPr>
                <w:noProof/>
                <w:webHidden/>
              </w:rPr>
              <w:fldChar w:fldCharType="separate"/>
            </w:r>
            <w:r w:rsidR="001E23B7">
              <w:rPr>
                <w:noProof/>
                <w:webHidden/>
              </w:rPr>
              <w:t>9</w:t>
            </w:r>
            <w:r w:rsidR="001E23B7">
              <w:rPr>
                <w:noProof/>
                <w:webHidden/>
              </w:rPr>
              <w:fldChar w:fldCharType="end"/>
            </w:r>
          </w:hyperlink>
        </w:p>
        <w:p w14:paraId="230A66DE" w14:textId="69596B1D" w:rsidR="001E23B7" w:rsidRDefault="00B7089B">
          <w:pPr>
            <w:pStyle w:val="TOC2"/>
            <w:tabs>
              <w:tab w:val="right" w:leader="dot" w:pos="9350"/>
            </w:tabs>
            <w:rPr>
              <w:noProof/>
            </w:rPr>
          </w:pPr>
          <w:hyperlink w:anchor="_Toc152174872" w:history="1">
            <w:r w:rsidR="001E23B7" w:rsidRPr="00AF183D">
              <w:rPr>
                <w:rStyle w:val="Hyperlink"/>
                <w:noProof/>
              </w:rPr>
              <w:t>Task 2 c) Explaining the laws of demand and supply</w:t>
            </w:r>
            <w:r w:rsidR="001E23B7">
              <w:rPr>
                <w:noProof/>
                <w:webHidden/>
              </w:rPr>
              <w:tab/>
            </w:r>
            <w:r w:rsidR="001E23B7">
              <w:rPr>
                <w:noProof/>
                <w:webHidden/>
              </w:rPr>
              <w:fldChar w:fldCharType="begin"/>
            </w:r>
            <w:r w:rsidR="001E23B7">
              <w:rPr>
                <w:noProof/>
                <w:webHidden/>
              </w:rPr>
              <w:instrText xml:space="preserve"> PAGEREF _Toc152174872 \h </w:instrText>
            </w:r>
            <w:r w:rsidR="001E23B7">
              <w:rPr>
                <w:noProof/>
                <w:webHidden/>
              </w:rPr>
            </w:r>
            <w:r w:rsidR="001E23B7">
              <w:rPr>
                <w:noProof/>
                <w:webHidden/>
              </w:rPr>
              <w:fldChar w:fldCharType="separate"/>
            </w:r>
            <w:r w:rsidR="001E23B7">
              <w:rPr>
                <w:noProof/>
                <w:webHidden/>
              </w:rPr>
              <w:t>11</w:t>
            </w:r>
            <w:r w:rsidR="001E23B7">
              <w:rPr>
                <w:noProof/>
                <w:webHidden/>
              </w:rPr>
              <w:fldChar w:fldCharType="end"/>
            </w:r>
          </w:hyperlink>
        </w:p>
        <w:p w14:paraId="6119248B" w14:textId="11CBB594" w:rsidR="001E23B7" w:rsidRDefault="00B7089B">
          <w:pPr>
            <w:pStyle w:val="TOC1"/>
            <w:tabs>
              <w:tab w:val="right" w:leader="dot" w:pos="9350"/>
            </w:tabs>
            <w:rPr>
              <w:noProof/>
            </w:rPr>
          </w:pPr>
          <w:hyperlink w:anchor="_Toc152174873" w:history="1">
            <w:r w:rsidR="001E23B7" w:rsidRPr="00AF183D">
              <w:rPr>
                <w:rStyle w:val="Hyperlink"/>
                <w:noProof/>
              </w:rPr>
              <w:t>Conclusion</w:t>
            </w:r>
            <w:r w:rsidR="001E23B7">
              <w:rPr>
                <w:noProof/>
                <w:webHidden/>
              </w:rPr>
              <w:tab/>
            </w:r>
            <w:r w:rsidR="001E23B7">
              <w:rPr>
                <w:noProof/>
                <w:webHidden/>
              </w:rPr>
              <w:fldChar w:fldCharType="begin"/>
            </w:r>
            <w:r w:rsidR="001E23B7">
              <w:rPr>
                <w:noProof/>
                <w:webHidden/>
              </w:rPr>
              <w:instrText xml:space="preserve"> PAGEREF _Toc152174873 \h </w:instrText>
            </w:r>
            <w:r w:rsidR="001E23B7">
              <w:rPr>
                <w:noProof/>
                <w:webHidden/>
              </w:rPr>
            </w:r>
            <w:r w:rsidR="001E23B7">
              <w:rPr>
                <w:noProof/>
                <w:webHidden/>
              </w:rPr>
              <w:fldChar w:fldCharType="separate"/>
            </w:r>
            <w:r w:rsidR="001E23B7">
              <w:rPr>
                <w:noProof/>
                <w:webHidden/>
              </w:rPr>
              <w:t>12</w:t>
            </w:r>
            <w:r w:rsidR="001E23B7">
              <w:rPr>
                <w:noProof/>
                <w:webHidden/>
              </w:rPr>
              <w:fldChar w:fldCharType="end"/>
            </w:r>
          </w:hyperlink>
        </w:p>
        <w:p w14:paraId="1C9BD6CB" w14:textId="0F66176B" w:rsidR="001E23B7" w:rsidRDefault="00B7089B">
          <w:pPr>
            <w:pStyle w:val="TOC1"/>
            <w:tabs>
              <w:tab w:val="right" w:leader="dot" w:pos="9350"/>
            </w:tabs>
            <w:rPr>
              <w:noProof/>
            </w:rPr>
          </w:pPr>
          <w:hyperlink w:anchor="_Toc152174874" w:history="1">
            <w:r w:rsidR="001E23B7" w:rsidRPr="00AF183D">
              <w:rPr>
                <w:rStyle w:val="Hyperlink"/>
                <w:noProof/>
              </w:rPr>
              <w:t>References</w:t>
            </w:r>
            <w:r w:rsidR="001E23B7">
              <w:rPr>
                <w:noProof/>
                <w:webHidden/>
              </w:rPr>
              <w:tab/>
            </w:r>
            <w:r w:rsidR="001E23B7">
              <w:rPr>
                <w:noProof/>
                <w:webHidden/>
              </w:rPr>
              <w:fldChar w:fldCharType="begin"/>
            </w:r>
            <w:r w:rsidR="001E23B7">
              <w:rPr>
                <w:noProof/>
                <w:webHidden/>
              </w:rPr>
              <w:instrText xml:space="preserve"> PAGEREF _Toc152174874 \h </w:instrText>
            </w:r>
            <w:r w:rsidR="001E23B7">
              <w:rPr>
                <w:noProof/>
                <w:webHidden/>
              </w:rPr>
            </w:r>
            <w:r w:rsidR="001E23B7">
              <w:rPr>
                <w:noProof/>
                <w:webHidden/>
              </w:rPr>
              <w:fldChar w:fldCharType="separate"/>
            </w:r>
            <w:r w:rsidR="001E23B7">
              <w:rPr>
                <w:noProof/>
                <w:webHidden/>
              </w:rPr>
              <w:t>13</w:t>
            </w:r>
            <w:r w:rsidR="001E23B7">
              <w:rPr>
                <w:noProof/>
                <w:webHidden/>
              </w:rPr>
              <w:fldChar w:fldCharType="end"/>
            </w:r>
          </w:hyperlink>
        </w:p>
        <w:p w14:paraId="33B15C53" w14:textId="4C20EBBF" w:rsidR="001E23B7" w:rsidRDefault="001E23B7">
          <w:r>
            <w:rPr>
              <w:b/>
              <w:bCs/>
              <w:noProof/>
            </w:rPr>
            <w:fldChar w:fldCharType="end"/>
          </w:r>
        </w:p>
      </w:sdtContent>
    </w:sdt>
    <w:p w14:paraId="284F0CB8" w14:textId="56185DF5" w:rsidR="00AC19BD" w:rsidRPr="00AC19BD" w:rsidRDefault="00AC19BD" w:rsidP="001E23B7">
      <w:pPr>
        <w:rPr>
          <w:b/>
          <w:bCs/>
        </w:rPr>
      </w:pPr>
      <w:r w:rsidRPr="00AC19BD">
        <w:rPr>
          <w:b/>
          <w:bCs/>
        </w:rPr>
        <w:br w:type="page"/>
      </w:r>
    </w:p>
    <w:p w14:paraId="3EE74238" w14:textId="48C37997" w:rsidR="007847AC" w:rsidRPr="00AC19BD" w:rsidRDefault="008733F2" w:rsidP="00AC19BD">
      <w:pPr>
        <w:pStyle w:val="Heading1"/>
      </w:pPr>
      <w:bookmarkStart w:id="2" w:name="_Toc152174866"/>
      <w:r>
        <w:lastRenderedPageBreak/>
        <w:t>Introduction</w:t>
      </w:r>
      <w:bookmarkEnd w:id="2"/>
      <w:r>
        <w:t xml:space="preserve"> </w:t>
      </w:r>
    </w:p>
    <w:p w14:paraId="48E445E5" w14:textId="77777777" w:rsidR="007847AC" w:rsidRDefault="008733F2" w:rsidP="00234722">
      <w:pPr>
        <w:pStyle w:val="Normal1"/>
      </w:pPr>
      <w:r>
        <w:t xml:space="preserve">The essay will enlighten the basic economic issues identified in the case study with different ways to resolve the identified issues. Government regulation, financial support, immigration, taxes, governmental agencies' capabilities, business engagement, and communication are important government interventions to resolve the identified issues. The relevance of supply and demand will be discussed with the differences between the elasticity of demand and the inelasticity of demand. The essay will focus on the four laws of supply and demand including increased demand, decreased demand, increased supply, and decreased supply. </w:t>
      </w:r>
    </w:p>
    <w:p w14:paraId="785A3D14" w14:textId="77777777" w:rsidR="007847AC" w:rsidRDefault="008733F2">
      <w:pPr>
        <w:pStyle w:val="Heading1"/>
      </w:pPr>
      <w:bookmarkStart w:id="3" w:name="_e05hypb39ojr" w:colFirst="0" w:colLast="0"/>
      <w:bookmarkStart w:id="4" w:name="_Toc152174867"/>
      <w:bookmarkEnd w:id="3"/>
      <w:r>
        <w:t>Discussion</w:t>
      </w:r>
      <w:bookmarkEnd w:id="4"/>
      <w:r>
        <w:t xml:space="preserve"> </w:t>
      </w:r>
    </w:p>
    <w:p w14:paraId="38E60EC5" w14:textId="77777777" w:rsidR="007847AC" w:rsidRDefault="008733F2">
      <w:pPr>
        <w:pStyle w:val="Heading2"/>
      </w:pPr>
      <w:bookmarkStart w:id="5" w:name="_oy6aabdxo0qh" w:colFirst="0" w:colLast="0"/>
      <w:bookmarkStart w:id="6" w:name="_Toc152174868"/>
      <w:bookmarkEnd w:id="5"/>
      <w:r>
        <w:t>Task 1 a) Discussing the basic economic issues identified in this case study</w:t>
      </w:r>
      <w:bookmarkEnd w:id="6"/>
      <w:r>
        <w:t xml:space="preserve"> </w:t>
      </w:r>
    </w:p>
    <w:p w14:paraId="6CD1619F" w14:textId="77777777" w:rsidR="007847AC" w:rsidRDefault="008733F2">
      <w:pPr>
        <w:pStyle w:val="Normal1"/>
      </w:pPr>
      <w:r>
        <w:t xml:space="preserve">The repercussion of the COVID-19 pandemic has caused different </w:t>
      </w:r>
      <w:proofErr w:type="spellStart"/>
      <w:r>
        <w:t>organisations</w:t>
      </w:r>
      <w:proofErr w:type="spellEnd"/>
      <w:r>
        <w:t xml:space="preserve"> to continue their business relying on importing intermediate products and raw materials from abroad. The </w:t>
      </w:r>
      <w:proofErr w:type="spellStart"/>
      <w:r>
        <w:t>organisations</w:t>
      </w:r>
      <w:proofErr w:type="spellEnd"/>
      <w:r>
        <w:t xml:space="preserve"> export their finished products and components abroad but COVID-19 creates huge pressure on international supply chain management (Institute for Government, 2021). Developed economies like the UK focus on the continuous supply chain and demand facilities to recover business from the COVID-19 pandemic. It affects the country's economy by creating shortages of supply and demand which entirely impact the entire supply chain management of the companies (Institute for Government, 2021). The higher demand for fuel with imminent price is the result of the shortage of </w:t>
      </w:r>
      <w:proofErr w:type="spellStart"/>
      <w:r>
        <w:t>labour</w:t>
      </w:r>
      <w:proofErr w:type="spellEnd"/>
      <w:r>
        <w:t xml:space="preserve"> supply. The shortage of demand exists due to the increments in the demand for quality goods and services (</w:t>
      </w:r>
      <w:r>
        <w:rPr>
          <w:color w:val="222222"/>
          <w:highlight w:val="white"/>
        </w:rPr>
        <w:t>Harvey, 2021)</w:t>
      </w:r>
      <w:r>
        <w:t xml:space="preserve">. The shortage of supply occurs due to three reasons mainly including the decrements of the supply, increments of the demand, and </w:t>
      </w:r>
      <w:r>
        <w:lastRenderedPageBreak/>
        <w:t xml:space="preserve">government intervention. COVID-19 triggers </w:t>
      </w:r>
      <w:proofErr w:type="spellStart"/>
      <w:r>
        <w:t>labour</w:t>
      </w:r>
      <w:proofErr w:type="spellEnd"/>
      <w:r>
        <w:t xml:space="preserve"> shortage by increasing the </w:t>
      </w:r>
      <w:proofErr w:type="spellStart"/>
      <w:r>
        <w:t>labour</w:t>
      </w:r>
      <w:proofErr w:type="spellEnd"/>
      <w:r>
        <w:t xml:space="preserve"> turnover rate (</w:t>
      </w:r>
      <w:r>
        <w:rPr>
          <w:color w:val="222222"/>
          <w:highlight w:val="white"/>
        </w:rPr>
        <w:t>Harvey, 2021)</w:t>
      </w:r>
      <w:r>
        <w:t xml:space="preserve">. The shifting of consumer appetite from services to goods during the COVID-19 pandemic partly pressured the supply chains. </w:t>
      </w:r>
    </w:p>
    <w:p w14:paraId="379B0A99" w14:textId="77777777" w:rsidR="007847AC" w:rsidRDefault="008733F2">
      <w:pPr>
        <w:pStyle w:val="Normal1"/>
        <w:rPr>
          <w:b/>
          <w:i/>
        </w:rPr>
      </w:pPr>
      <w:r>
        <w:t xml:space="preserve">The supply-demand </w:t>
      </w:r>
      <w:proofErr w:type="spellStart"/>
      <w:r>
        <w:t>pressurises</w:t>
      </w:r>
      <w:proofErr w:type="spellEnd"/>
      <w:r>
        <w:t xml:space="preserve"> the alarming buying of products and services which is coupled with the shortage of drivers (Institute for Government, 2021). It contributes to the fuel supply issues due to the pressure of COVID-19 on the increments of the fuel price by more than 20% (</w:t>
      </w:r>
      <w:proofErr w:type="spellStart"/>
      <w:r>
        <w:t>FleetNews</w:t>
      </w:r>
      <w:proofErr w:type="spellEnd"/>
      <w:r>
        <w:t xml:space="preserve">, 2023). The effect of COVID-19 showed a lot of EU drivers leave the UK creating a remarkable driver shortage. </w:t>
      </w:r>
      <w:proofErr w:type="spellStart"/>
      <w:r>
        <w:t>Brexit</w:t>
      </w:r>
      <w:proofErr w:type="spellEnd"/>
      <w:r>
        <w:t xml:space="preserve"> affects the demand and supply chain of UK </w:t>
      </w:r>
      <w:proofErr w:type="spellStart"/>
      <w:r>
        <w:t>organisations</w:t>
      </w:r>
      <w:proofErr w:type="spellEnd"/>
      <w:r>
        <w:t xml:space="preserve"> by reducing the ability of the migrant workers of the EU in the UK </w:t>
      </w:r>
      <w:r>
        <w:rPr>
          <w:color w:val="222222"/>
          <w:highlight w:val="white"/>
        </w:rPr>
        <w:t>(</w:t>
      </w:r>
      <w:proofErr w:type="spellStart"/>
      <w:r>
        <w:rPr>
          <w:color w:val="222222"/>
          <w:highlight w:val="white"/>
        </w:rPr>
        <w:t>Küçük</w:t>
      </w:r>
      <w:proofErr w:type="spellEnd"/>
      <w:r>
        <w:rPr>
          <w:color w:val="222222"/>
          <w:highlight w:val="white"/>
        </w:rPr>
        <w:t xml:space="preserve"> </w:t>
      </w:r>
      <w:r>
        <w:rPr>
          <w:i/>
          <w:color w:val="222222"/>
          <w:highlight w:val="white"/>
        </w:rPr>
        <w:t>et al</w:t>
      </w:r>
      <w:r>
        <w:rPr>
          <w:color w:val="222222"/>
          <w:highlight w:val="white"/>
        </w:rPr>
        <w:t>., 2021)</w:t>
      </w:r>
      <w:r>
        <w:t xml:space="preserve">. The exodus of the drivers who left the UK was hard to replace and it caused customers to rush to fill their tanks as the regular news of the driver shortage. It results in rapid increments of the demand when the supply is constrained (Institute for Government, 2021). Panic buying refers to the coping </w:t>
      </w:r>
      <w:proofErr w:type="spellStart"/>
      <w:r>
        <w:t>behaviour</w:t>
      </w:r>
      <w:proofErr w:type="spellEnd"/>
      <w:r>
        <w:t xml:space="preserve"> that people do after getting sudden information about COVID-19 </w:t>
      </w:r>
      <w:r>
        <w:rPr>
          <w:color w:val="222222"/>
          <w:highlight w:val="white"/>
        </w:rPr>
        <w:t>(</w:t>
      </w:r>
      <w:proofErr w:type="spellStart"/>
      <w:r>
        <w:rPr>
          <w:color w:val="222222"/>
          <w:highlight w:val="white"/>
        </w:rPr>
        <w:t>Küçük</w:t>
      </w:r>
      <w:proofErr w:type="spellEnd"/>
      <w:r>
        <w:rPr>
          <w:color w:val="222222"/>
          <w:highlight w:val="white"/>
        </w:rPr>
        <w:t xml:space="preserve"> </w:t>
      </w:r>
      <w:r>
        <w:rPr>
          <w:i/>
          <w:color w:val="222222"/>
          <w:highlight w:val="white"/>
        </w:rPr>
        <w:t>et al</w:t>
      </w:r>
      <w:r>
        <w:rPr>
          <w:color w:val="222222"/>
          <w:highlight w:val="white"/>
        </w:rPr>
        <w:t>., 2021)</w:t>
      </w:r>
      <w:r>
        <w:t xml:space="preserve">. The supply constraints reflect the scarcity of resources which triggers the extra shopping tenancy by customers in a distressing situation. The mismatch of supply and demand carries evidence of a higher shortage of fuel supply which is the worst hit areas of the country. The level of fuel at forecourts averaged about 20% during the crisis peak compared to 43% in normal periods (Institute for Government, 2021). The price of cost of fuel has increased to above £150 per </w:t>
      </w:r>
      <w:proofErr w:type="spellStart"/>
      <w:r>
        <w:t>litre</w:t>
      </w:r>
      <w:proofErr w:type="spellEnd"/>
      <w:r>
        <w:t xml:space="preserve"> in the UK due to the COVID-19 pandemic and </w:t>
      </w:r>
      <w:proofErr w:type="spellStart"/>
      <w:r>
        <w:t>Brexit</w:t>
      </w:r>
      <w:proofErr w:type="spellEnd"/>
      <w:r>
        <w:t>. The price of diesel PPL in the UK is £163.61 and unleaded PPL is £156.48 (</w:t>
      </w:r>
      <w:proofErr w:type="spellStart"/>
      <w:r>
        <w:t>FleetNews</w:t>
      </w:r>
      <w:proofErr w:type="spellEnd"/>
      <w:r>
        <w:t xml:space="preserve">, 2023) </w:t>
      </w:r>
      <w:r>
        <w:rPr>
          <w:b/>
          <w:i/>
        </w:rPr>
        <w:t xml:space="preserve">[As mentioned in the figure below]. </w:t>
      </w:r>
    </w:p>
    <w:p w14:paraId="51F2508B" w14:textId="77777777" w:rsidR="007847AC" w:rsidRDefault="008733F2">
      <w:pPr>
        <w:pStyle w:val="Normal1"/>
        <w:jc w:val="center"/>
      </w:pPr>
      <w:r>
        <w:rPr>
          <w:noProof/>
          <w:lang w:val="en-GB" w:eastAsia="en-GB"/>
        </w:rPr>
        <w:lastRenderedPageBreak/>
        <w:drawing>
          <wp:inline distT="114300" distB="114300" distL="114300" distR="114300" wp14:anchorId="5519C15F" wp14:editId="581C44E2">
            <wp:extent cx="5943600" cy="2324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943600" cy="2324100"/>
                    </a:xfrm>
                    <a:prstGeom prst="rect">
                      <a:avLst/>
                    </a:prstGeom>
                  </pic:spPr>
                </pic:pic>
              </a:graphicData>
            </a:graphic>
          </wp:inline>
        </w:drawing>
      </w:r>
    </w:p>
    <w:p w14:paraId="5808D0D7" w14:textId="77777777" w:rsidR="007847AC" w:rsidRDefault="008733F2">
      <w:pPr>
        <w:pStyle w:val="Normal1"/>
        <w:jc w:val="center"/>
        <w:rPr>
          <w:b/>
        </w:rPr>
      </w:pPr>
      <w:r>
        <w:rPr>
          <w:b/>
        </w:rPr>
        <w:t xml:space="preserve">Figure 1: Price of fuel increments in the UK </w:t>
      </w:r>
    </w:p>
    <w:p w14:paraId="6540BAF8" w14:textId="77777777" w:rsidR="007847AC" w:rsidRDefault="008733F2">
      <w:pPr>
        <w:pStyle w:val="Normal1"/>
        <w:jc w:val="center"/>
      </w:pPr>
      <w:r>
        <w:t xml:space="preserve">(Source: </w:t>
      </w:r>
      <w:proofErr w:type="spellStart"/>
      <w:r>
        <w:t>FleetNews</w:t>
      </w:r>
      <w:proofErr w:type="spellEnd"/>
      <w:r>
        <w:t>, 2023)</w:t>
      </w:r>
    </w:p>
    <w:p w14:paraId="7F51A763" w14:textId="341E1FD9" w:rsidR="007847AC" w:rsidRDefault="008733F2">
      <w:pPr>
        <w:pStyle w:val="Normal1"/>
      </w:pPr>
      <w:r>
        <w:t xml:space="preserve">The UK </w:t>
      </w:r>
      <w:proofErr w:type="spellStart"/>
      <w:r>
        <w:t>organisations</w:t>
      </w:r>
      <w:proofErr w:type="spellEnd"/>
      <w:r>
        <w:t xml:space="preserve"> borrow funds or loans to meet the surging high costs of living due to poor financial performance during the COVID-19 pandemic (</w:t>
      </w:r>
      <w:r>
        <w:rPr>
          <w:color w:val="222222"/>
          <w:highlight w:val="white"/>
        </w:rPr>
        <w:t>Harvey, 2021)</w:t>
      </w:r>
      <w:r>
        <w:t>. The rapid increments of the bond yields of developed countries over recent years elevated sustainable borrowing costs (</w:t>
      </w:r>
      <w:proofErr w:type="spellStart"/>
      <w:r>
        <w:rPr>
          <w:color w:val="222222"/>
          <w:highlight w:val="white"/>
        </w:rPr>
        <w:t>Aigner-Walder</w:t>
      </w:r>
      <w:proofErr w:type="spellEnd"/>
      <w:r>
        <w:rPr>
          <w:color w:val="222222"/>
          <w:highlight w:val="white"/>
        </w:rPr>
        <w:t>, 2015)</w:t>
      </w:r>
      <w:r>
        <w:t xml:space="preserve">. Corporations pursuing funds and mortgage loans expand the businesses of the developed countries after the COVID-19 pandemic. The </w:t>
      </w:r>
      <w:proofErr w:type="spellStart"/>
      <w:r>
        <w:t>organisations</w:t>
      </w:r>
      <w:proofErr w:type="spellEnd"/>
      <w:r>
        <w:t xml:space="preserve"> do not get the government grant to cover </w:t>
      </w:r>
      <w:r w:rsidR="00AC19BD">
        <w:t>most</w:t>
      </w:r>
      <w:r>
        <w:t xml:space="preserve"> wages for the employees with the end of the furlough (</w:t>
      </w:r>
      <w:r>
        <w:rPr>
          <w:color w:val="222222"/>
          <w:highlight w:val="white"/>
        </w:rPr>
        <w:t>Harvey, 2021)</w:t>
      </w:r>
      <w:r>
        <w:t xml:space="preserve">. The </w:t>
      </w:r>
      <w:proofErr w:type="spellStart"/>
      <w:r>
        <w:t>organisations</w:t>
      </w:r>
      <w:proofErr w:type="spellEnd"/>
      <w:r>
        <w:t xml:space="preserve"> face challenges due to the increments in the </w:t>
      </w:r>
      <w:r w:rsidR="00AC19BD">
        <w:t>cost-of-living</w:t>
      </w:r>
      <w:r>
        <w:t xml:space="preserve"> which results in bankruptcy to the </w:t>
      </w:r>
      <w:proofErr w:type="spellStart"/>
      <w:r>
        <w:t>organisations</w:t>
      </w:r>
      <w:proofErr w:type="spellEnd"/>
      <w:r>
        <w:t xml:space="preserve">. The higher borrowings require higher funding to cope with the financial </w:t>
      </w:r>
      <w:proofErr w:type="gramStart"/>
      <w:r>
        <w:t>gaps which creates</w:t>
      </w:r>
      <w:proofErr w:type="gramEnd"/>
      <w:r>
        <w:t xml:space="preserve"> issues to get the higher fundraisers. </w:t>
      </w:r>
    </w:p>
    <w:p w14:paraId="7A8F855C" w14:textId="77777777" w:rsidR="007847AC" w:rsidRDefault="008733F2">
      <w:pPr>
        <w:pStyle w:val="Heading2"/>
      </w:pPr>
      <w:bookmarkStart w:id="7" w:name="_fu1l0691yz4j" w:colFirst="0" w:colLast="0"/>
      <w:bookmarkStart w:id="8" w:name="_Toc152174869"/>
      <w:bookmarkEnd w:id="7"/>
      <w:r>
        <w:t>Task 1 b) Suggesting different ways where these economic issues can be resolved</w:t>
      </w:r>
      <w:bookmarkEnd w:id="8"/>
      <w:r>
        <w:t xml:space="preserve"> </w:t>
      </w:r>
    </w:p>
    <w:p w14:paraId="6EFC1920" w14:textId="3330622A" w:rsidR="007847AC" w:rsidRDefault="008733F2">
      <w:pPr>
        <w:pStyle w:val="Normal1"/>
      </w:pPr>
      <w:r>
        <w:t xml:space="preserve">The Government has initiated a range of policies to address the supply chain issues by implicating the HGV driving hours. The EU nationals made up 10% of the HGV driver </w:t>
      </w:r>
      <w:r>
        <w:lastRenderedPageBreak/>
        <w:t>workforce in the UK before the COVID-19 pandemic (Institute for Government, 2021). The industry leaders focus on the post-</w:t>
      </w:r>
      <w:proofErr w:type="spellStart"/>
      <w:r>
        <w:t>Brexiy</w:t>
      </w:r>
      <w:proofErr w:type="spellEnd"/>
      <w:r>
        <w:t xml:space="preserve"> immigration changes to get rid of the shortage of supply. The Government enforced the regulations to access free-up testing capacity of the HGV drivers which helps to perform 50,000 additional HGV driving tests per year (Institute for Government, 2021). The Government spending on roadside facilities for HGV drivers is around £32.5 million (Institute for Government, 2021). The Government passed the uncontrolled immigration to hire EU staff at lower wages which makes the visa procedures for the EU drivers or staff easier. The waiving regulations help the </w:t>
      </w:r>
      <w:proofErr w:type="spellStart"/>
      <w:r>
        <w:t>organisations</w:t>
      </w:r>
      <w:proofErr w:type="spellEnd"/>
      <w:r>
        <w:t xml:space="preserve"> to respond to shortages including additional visas to address the shortages of </w:t>
      </w:r>
      <w:proofErr w:type="spellStart"/>
      <w:r>
        <w:t>labour</w:t>
      </w:r>
      <w:proofErr w:type="spellEnd"/>
      <w:r>
        <w:t xml:space="preserve"> </w:t>
      </w:r>
      <w:r>
        <w:rPr>
          <w:color w:val="222222"/>
          <w:highlight w:val="white"/>
        </w:rPr>
        <w:t>(</w:t>
      </w:r>
      <w:proofErr w:type="spellStart"/>
      <w:r>
        <w:rPr>
          <w:color w:val="222222"/>
          <w:highlight w:val="white"/>
        </w:rPr>
        <w:t>Sheffi</w:t>
      </w:r>
      <w:proofErr w:type="spellEnd"/>
      <w:r>
        <w:rPr>
          <w:color w:val="222222"/>
          <w:highlight w:val="white"/>
        </w:rPr>
        <w:t>, 2021)</w:t>
      </w:r>
      <w:r>
        <w:t xml:space="preserve">. </w:t>
      </w:r>
    </w:p>
    <w:p w14:paraId="585CC075" w14:textId="7F951B5C" w:rsidR="007847AC" w:rsidRDefault="008733F2">
      <w:pPr>
        <w:pStyle w:val="Normal1"/>
      </w:pPr>
      <w:r>
        <w:t>The energy price cap is around £1,277 for the average bill in 2021 which is increased by 54% in 2022 (</w:t>
      </w:r>
      <w:proofErr w:type="spellStart"/>
      <w:r>
        <w:t>Gov</w:t>
      </w:r>
      <w:proofErr w:type="spellEnd"/>
      <w:r>
        <w:t xml:space="preserve">, 2023). The recent modifications to IR35 tax rules closed the loophole allowing the drivers to pay less tax through working off payroll (Institute for Government, 2021). The Government is committed to public communications to reduce panic buying due to the increments in fuel prices in recent years. Business engagement is maintained by re-evaluating the online business index and JIT (Just </w:t>
      </w:r>
      <w:r w:rsidR="00AC19BD">
        <w:t>in</w:t>
      </w:r>
      <w:r>
        <w:t xml:space="preserve"> Time) nature of the supply chains. It helps to develop more resilience in the business operations of the companies to get rid of supply-demand issues </w:t>
      </w:r>
      <w:r>
        <w:rPr>
          <w:color w:val="222222"/>
          <w:highlight w:val="white"/>
        </w:rPr>
        <w:t>(</w:t>
      </w:r>
      <w:proofErr w:type="spellStart"/>
      <w:r>
        <w:rPr>
          <w:color w:val="222222"/>
          <w:highlight w:val="white"/>
        </w:rPr>
        <w:t>Sheffi</w:t>
      </w:r>
      <w:proofErr w:type="spellEnd"/>
      <w:r>
        <w:rPr>
          <w:color w:val="222222"/>
          <w:highlight w:val="white"/>
        </w:rPr>
        <w:t>, 2021)</w:t>
      </w:r>
      <w:r>
        <w:t xml:space="preserve">. The UK government relaxed the COVID-19 rules in corporate insolvency and governance including the moratorium for providing </w:t>
      </w:r>
      <w:proofErr w:type="gramStart"/>
      <w:r>
        <w:t>companies</w:t>
      </w:r>
      <w:proofErr w:type="gramEnd"/>
      <w:r>
        <w:t xml:space="preserve"> breathing space from the creditors (</w:t>
      </w:r>
      <w:proofErr w:type="spellStart"/>
      <w:r>
        <w:t>Gov</w:t>
      </w:r>
      <w:proofErr w:type="spellEnd"/>
      <w:r>
        <w:t xml:space="preserve">, 2023). </w:t>
      </w:r>
      <w:proofErr w:type="gramStart"/>
      <w:r>
        <w:t>The temporary raising of the debt threshold for winding up the petition to £10,000 or more (Institute for Government, 2021).</w:t>
      </w:r>
      <w:proofErr w:type="gramEnd"/>
      <w:r>
        <w:t xml:space="preserve"> The temporary relaxation is deployed to the retained EU drivers’ hours for the drivers undertaking the carriage of products in the UK. The reformation of the IR 35 (Off-payroll working) was delayed by 1 year to April 2021 (</w:t>
      </w:r>
      <w:proofErr w:type="spellStart"/>
      <w:r>
        <w:t>Gov</w:t>
      </w:r>
      <w:proofErr w:type="spellEnd"/>
      <w:r>
        <w:t>, 2023).</w:t>
      </w:r>
      <w:r>
        <w:rPr>
          <w:rFonts w:ascii="Arial" w:eastAsia="Arial" w:hAnsi="Arial" w:cs="Arial"/>
          <w:color w:val="0B0C0C"/>
        </w:rPr>
        <w:t xml:space="preserve"> </w:t>
      </w:r>
    </w:p>
    <w:p w14:paraId="79502EA1" w14:textId="12E696B5" w:rsidR="007847AC" w:rsidRDefault="008733F2">
      <w:pPr>
        <w:pStyle w:val="Normal1"/>
      </w:pPr>
      <w:r>
        <w:lastRenderedPageBreak/>
        <w:t xml:space="preserve">The WFH or flexible working hours will help UK </w:t>
      </w:r>
      <w:proofErr w:type="spellStart"/>
      <w:r>
        <w:t>organisations</w:t>
      </w:r>
      <w:proofErr w:type="spellEnd"/>
      <w:r>
        <w:t xml:space="preserve"> to reduce the employee turnover rate. It is important to provide resources enabling team members to achieve the necessary skills to assist the business in mitigating the staff shortage </w:t>
      </w:r>
      <w:r>
        <w:rPr>
          <w:color w:val="222222"/>
          <w:highlight w:val="white"/>
        </w:rPr>
        <w:t>(Butt, 2021)</w:t>
      </w:r>
      <w:r>
        <w:t xml:space="preserve">. Business managers need to focus on both </w:t>
      </w:r>
      <w:proofErr w:type="spellStart"/>
      <w:r>
        <w:t>upskilling</w:t>
      </w:r>
      <w:proofErr w:type="spellEnd"/>
      <w:r>
        <w:t xml:space="preserve"> and reskilling to develop the current skills of the employees as well as perform different responsibilities. Leadership coaching, onsite training, internal recruitment programs, career advancement plans, and equal employee treatment help to recover the </w:t>
      </w:r>
      <w:proofErr w:type="spellStart"/>
      <w:r>
        <w:t>organisations</w:t>
      </w:r>
      <w:proofErr w:type="spellEnd"/>
      <w:r>
        <w:t xml:space="preserve"> from staff shortage </w:t>
      </w:r>
      <w:r>
        <w:rPr>
          <w:color w:val="222222"/>
          <w:highlight w:val="white"/>
        </w:rPr>
        <w:t>(Bagwell, 2007)</w:t>
      </w:r>
      <w:r>
        <w:t>. The supplier corroborations network is created by performing market research, selecting reliable suppliers, and their requirements</w:t>
      </w:r>
      <w:r w:rsidR="00AC19BD">
        <w:t xml:space="preserve">. </w:t>
      </w:r>
      <w:r>
        <w:t xml:space="preserve"> </w:t>
      </w:r>
    </w:p>
    <w:p w14:paraId="1419C66F" w14:textId="77777777" w:rsidR="007847AC" w:rsidRDefault="008733F2">
      <w:pPr>
        <w:pStyle w:val="Normal1"/>
      </w:pPr>
      <w:r>
        <w:t xml:space="preserve">The waste reduction team needs to be formed by the UK </w:t>
      </w:r>
      <w:proofErr w:type="spellStart"/>
      <w:r>
        <w:t>organisations</w:t>
      </w:r>
      <w:proofErr w:type="spellEnd"/>
      <w:r>
        <w:t xml:space="preserve"> and signed into the “Go Green” program to support the ban on plastics. It is important to eliminate single-use containers and switch to recycled packaging to reduce waste </w:t>
      </w:r>
      <w:r>
        <w:rPr>
          <w:color w:val="222222"/>
          <w:highlight w:val="white"/>
        </w:rPr>
        <w:t>(Baker, 2002)</w:t>
      </w:r>
      <w:r>
        <w:t xml:space="preserve">. The increments of end-to-end visibility are important to assess the supply chain with data automation in real-time contexts. The UK </w:t>
      </w:r>
      <w:proofErr w:type="spellStart"/>
      <w:r>
        <w:t>organisations</w:t>
      </w:r>
      <w:proofErr w:type="spellEnd"/>
      <w:r>
        <w:t xml:space="preserve"> need to increase stakeholder collaboration through digital business transmission with proper forecasting accuracy </w:t>
      </w:r>
      <w:r>
        <w:rPr>
          <w:color w:val="222222"/>
          <w:highlight w:val="white"/>
        </w:rPr>
        <w:t>(Butt, 2021)</w:t>
      </w:r>
      <w:r>
        <w:t xml:space="preserve">. Supplier quality management requires negotiating the contract to get the raw materials at a lower price. It is important to ask the suppliers to suggest for alternative materials that are less expensive with a positive tone of representation </w:t>
      </w:r>
      <w:r>
        <w:rPr>
          <w:color w:val="222222"/>
          <w:highlight w:val="white"/>
        </w:rPr>
        <w:t>(</w:t>
      </w:r>
      <w:proofErr w:type="spellStart"/>
      <w:r>
        <w:rPr>
          <w:color w:val="222222"/>
          <w:highlight w:val="white"/>
        </w:rPr>
        <w:t>Ellickson</w:t>
      </w:r>
      <w:proofErr w:type="spellEnd"/>
      <w:r>
        <w:rPr>
          <w:color w:val="222222"/>
          <w:highlight w:val="white"/>
        </w:rPr>
        <w:t>, 2013)</w:t>
      </w:r>
      <w:r>
        <w:t xml:space="preserve">. The UK </w:t>
      </w:r>
      <w:proofErr w:type="spellStart"/>
      <w:r>
        <w:t>organisations</w:t>
      </w:r>
      <w:proofErr w:type="spellEnd"/>
      <w:r>
        <w:t xml:space="preserve"> require sharing up-to-date information quickly and operating with consistent integrity to establish a strong stakeholder relationship. </w:t>
      </w:r>
    </w:p>
    <w:p w14:paraId="3BDE5230" w14:textId="77777777" w:rsidR="007847AC" w:rsidRDefault="008733F2">
      <w:pPr>
        <w:pStyle w:val="Heading2"/>
      </w:pPr>
      <w:bookmarkStart w:id="9" w:name="_xu0gkzcmp78t" w:colFirst="0" w:colLast="0"/>
      <w:bookmarkStart w:id="10" w:name="_Toc152174870"/>
      <w:bookmarkEnd w:id="9"/>
      <w:r>
        <w:t>Task 2 a) Relevance of supply and demand</w:t>
      </w:r>
      <w:bookmarkEnd w:id="10"/>
      <w:r>
        <w:t xml:space="preserve"> </w:t>
      </w:r>
    </w:p>
    <w:p w14:paraId="5B03C850" w14:textId="77777777" w:rsidR="007847AC" w:rsidRDefault="008733F2">
      <w:pPr>
        <w:pStyle w:val="Normal1"/>
      </w:pPr>
      <w:r>
        <w:t xml:space="preserve">The pricing strategy needs to be automated to reduce or manage the pressure of supply and demand. The e-commerce businesses in the UK use automated pricing tools to fix the price of the products or services dynamically to respond to the changes of demand-supply chain due to </w:t>
      </w:r>
      <w:r>
        <w:lastRenderedPageBreak/>
        <w:t xml:space="preserve">COVID-19 </w:t>
      </w:r>
      <w:r>
        <w:rPr>
          <w:color w:val="222222"/>
          <w:highlight w:val="white"/>
        </w:rPr>
        <w:t xml:space="preserve">(Min </w:t>
      </w:r>
      <w:r>
        <w:rPr>
          <w:i/>
          <w:color w:val="222222"/>
          <w:highlight w:val="white"/>
        </w:rPr>
        <w:t>et al</w:t>
      </w:r>
      <w:r>
        <w:rPr>
          <w:color w:val="222222"/>
          <w:highlight w:val="white"/>
        </w:rPr>
        <w:t>., 2019)</w:t>
      </w:r>
      <w:r>
        <w:t xml:space="preserve">. The </w:t>
      </w:r>
      <w:proofErr w:type="spellStart"/>
      <w:r>
        <w:t>organisations</w:t>
      </w:r>
      <w:proofErr w:type="spellEnd"/>
      <w:r>
        <w:t xml:space="preserve"> in the UK stay competitive through this pricing. The competitive pricing strategy is adopted by </w:t>
      </w:r>
      <w:proofErr w:type="spellStart"/>
      <w:r>
        <w:t>organisations</w:t>
      </w:r>
      <w:proofErr w:type="spellEnd"/>
      <w:r>
        <w:t xml:space="preserve"> to operate their offline business. The UK </w:t>
      </w:r>
      <w:proofErr w:type="spellStart"/>
      <w:r>
        <w:t>organisations</w:t>
      </w:r>
      <w:proofErr w:type="spellEnd"/>
      <w:r>
        <w:t xml:space="preserve"> reduce the price of the products or services if the supply is static and the demand for the products or services in the market decreases. The EDLP (Everyday Low Price) is the pricing strategy in which </w:t>
      </w:r>
      <w:proofErr w:type="spellStart"/>
      <w:r>
        <w:t>organisations</w:t>
      </w:r>
      <w:proofErr w:type="spellEnd"/>
      <w:r>
        <w:t xml:space="preserve"> charge a consistently lower product or service price over the long-time horizon </w:t>
      </w:r>
      <w:r>
        <w:rPr>
          <w:color w:val="222222"/>
          <w:highlight w:val="white"/>
        </w:rPr>
        <w:t>(</w:t>
      </w:r>
      <w:proofErr w:type="spellStart"/>
      <w:r>
        <w:rPr>
          <w:color w:val="222222"/>
          <w:highlight w:val="white"/>
        </w:rPr>
        <w:t>Pournader</w:t>
      </w:r>
      <w:proofErr w:type="spellEnd"/>
      <w:r>
        <w:rPr>
          <w:color w:val="222222"/>
          <w:highlight w:val="white"/>
        </w:rPr>
        <w:t xml:space="preserve"> </w:t>
      </w:r>
      <w:r>
        <w:rPr>
          <w:i/>
          <w:color w:val="222222"/>
          <w:highlight w:val="white"/>
        </w:rPr>
        <w:t>et al</w:t>
      </w:r>
      <w:r>
        <w:rPr>
          <w:color w:val="222222"/>
          <w:highlight w:val="white"/>
        </w:rPr>
        <w:t>., 2020)</w:t>
      </w:r>
      <w:r>
        <w:t xml:space="preserve">. </w:t>
      </w:r>
    </w:p>
    <w:p w14:paraId="3B288CD7" w14:textId="77777777" w:rsidR="007847AC" w:rsidRDefault="008733F2">
      <w:pPr>
        <w:pStyle w:val="Normal1"/>
      </w:pPr>
      <w:r>
        <w:t xml:space="preserve">The demand and supply chain develops the business productivity to maintain a lower cost and effective production cycle based on the market demands </w:t>
      </w:r>
      <w:r>
        <w:rPr>
          <w:color w:val="222222"/>
          <w:highlight w:val="white"/>
        </w:rPr>
        <w:t>(</w:t>
      </w:r>
      <w:proofErr w:type="spellStart"/>
      <w:r>
        <w:rPr>
          <w:color w:val="222222"/>
          <w:highlight w:val="white"/>
        </w:rPr>
        <w:t>Pournader</w:t>
      </w:r>
      <w:proofErr w:type="spellEnd"/>
      <w:r>
        <w:rPr>
          <w:color w:val="222222"/>
          <w:highlight w:val="white"/>
        </w:rPr>
        <w:t xml:space="preserve"> </w:t>
      </w:r>
      <w:r>
        <w:rPr>
          <w:i/>
          <w:color w:val="222222"/>
          <w:highlight w:val="white"/>
        </w:rPr>
        <w:t>et al</w:t>
      </w:r>
      <w:r>
        <w:rPr>
          <w:color w:val="222222"/>
          <w:highlight w:val="white"/>
        </w:rPr>
        <w:t>., 2020)</w:t>
      </w:r>
      <w:r>
        <w:t xml:space="preserve">. The UK </w:t>
      </w:r>
      <w:proofErr w:type="spellStart"/>
      <w:r>
        <w:t>organisations</w:t>
      </w:r>
      <w:proofErr w:type="spellEnd"/>
      <w:r>
        <w:t xml:space="preserve"> seek to develop their supply chains to remain competitive during COVID-19 and it allows the business as many products as required to meet the demands of the market. It assists </w:t>
      </w:r>
      <w:proofErr w:type="spellStart"/>
      <w:r>
        <w:t>organisations</w:t>
      </w:r>
      <w:proofErr w:type="spellEnd"/>
      <w:r>
        <w:t xml:space="preserve"> in reducing the expenses of storing products and excess inventory costs </w:t>
      </w:r>
      <w:r>
        <w:rPr>
          <w:color w:val="222222"/>
          <w:highlight w:val="white"/>
        </w:rPr>
        <w:t>(Foot and Gomez, 2006)</w:t>
      </w:r>
      <w:r>
        <w:t xml:space="preserve">. As an example, Amazon focuses on online platform management to develop business productivity by eliminating the under-production and over-production perception from the supply chain operations of the company </w:t>
      </w:r>
      <w:r>
        <w:rPr>
          <w:color w:val="222222"/>
          <w:highlight w:val="white"/>
        </w:rPr>
        <w:t>(</w:t>
      </w:r>
      <w:proofErr w:type="spellStart"/>
      <w:r>
        <w:rPr>
          <w:color w:val="222222"/>
          <w:highlight w:val="white"/>
        </w:rPr>
        <w:t>Pournader</w:t>
      </w:r>
      <w:proofErr w:type="spellEnd"/>
      <w:r>
        <w:rPr>
          <w:color w:val="222222"/>
          <w:highlight w:val="white"/>
        </w:rPr>
        <w:t xml:space="preserve"> </w:t>
      </w:r>
      <w:r>
        <w:rPr>
          <w:i/>
          <w:color w:val="222222"/>
          <w:highlight w:val="white"/>
        </w:rPr>
        <w:t>et al</w:t>
      </w:r>
      <w:r>
        <w:rPr>
          <w:color w:val="222222"/>
          <w:highlight w:val="white"/>
        </w:rPr>
        <w:t>., 2020)</w:t>
      </w:r>
      <w:r>
        <w:t xml:space="preserve">. The marketing strategy demonstrates the overall marketing plan to reach prospective customers and turn them into loyal customers of their products or services </w:t>
      </w:r>
      <w:r>
        <w:rPr>
          <w:color w:val="222222"/>
          <w:highlight w:val="white"/>
        </w:rPr>
        <w:t>(Rauch and Schleicher, 2015)</w:t>
      </w:r>
      <w:r>
        <w:t xml:space="preserve">. Market analysis, target audience identification, deciding on the USP (Unique Selling Proposition), market positioning, and product differentiation help the </w:t>
      </w:r>
      <w:proofErr w:type="spellStart"/>
      <w:r>
        <w:t>organisations</w:t>
      </w:r>
      <w:proofErr w:type="spellEnd"/>
      <w:r>
        <w:t xml:space="preserve"> promote the business concept of the company. </w:t>
      </w:r>
    </w:p>
    <w:p w14:paraId="1DAFDD8A" w14:textId="77777777" w:rsidR="007847AC" w:rsidRDefault="008733F2">
      <w:pPr>
        <w:pStyle w:val="Normal1"/>
      </w:pPr>
      <w:r>
        <w:t xml:space="preserve">The match between supply and demand helps to balance the strategy of inventory management. The just-in-time system helps </w:t>
      </w:r>
      <w:proofErr w:type="spellStart"/>
      <w:r>
        <w:t>organisations</w:t>
      </w:r>
      <w:proofErr w:type="spellEnd"/>
      <w:r>
        <w:t xml:space="preserve"> deliver the correct order to the correct customers within the pre-defined time of delivery </w:t>
      </w:r>
      <w:r>
        <w:rPr>
          <w:color w:val="222222"/>
          <w:highlight w:val="white"/>
        </w:rPr>
        <w:t xml:space="preserve">(Fonseca and </w:t>
      </w:r>
      <w:proofErr w:type="spellStart"/>
      <w:r>
        <w:rPr>
          <w:color w:val="222222"/>
          <w:highlight w:val="white"/>
        </w:rPr>
        <w:t>Azevedo</w:t>
      </w:r>
      <w:proofErr w:type="spellEnd"/>
      <w:r>
        <w:rPr>
          <w:color w:val="222222"/>
          <w:highlight w:val="white"/>
        </w:rPr>
        <w:t>, 2020)</w:t>
      </w:r>
      <w:r>
        <w:t xml:space="preserve">. It is important to </w:t>
      </w:r>
      <w:proofErr w:type="spellStart"/>
      <w:r>
        <w:t>prioritise</w:t>
      </w:r>
      <w:proofErr w:type="spellEnd"/>
      <w:r>
        <w:t xml:space="preserve"> the inventory and track all product information to develop better inventory management </w:t>
      </w:r>
      <w:r>
        <w:rPr>
          <w:color w:val="222222"/>
          <w:highlight w:val="white"/>
        </w:rPr>
        <w:t>(</w:t>
      </w:r>
      <w:proofErr w:type="spellStart"/>
      <w:r>
        <w:rPr>
          <w:color w:val="222222"/>
          <w:highlight w:val="white"/>
        </w:rPr>
        <w:t>Svanberg</w:t>
      </w:r>
      <w:proofErr w:type="spellEnd"/>
      <w:r>
        <w:rPr>
          <w:color w:val="222222"/>
          <w:highlight w:val="white"/>
        </w:rPr>
        <w:t>, 2020)</w:t>
      </w:r>
      <w:r>
        <w:t xml:space="preserve">. The identification of an authentic source of finance is important to cope with </w:t>
      </w:r>
      <w:r>
        <w:lastRenderedPageBreak/>
        <w:t xml:space="preserve">the financial losses faced due to COVID-19 and </w:t>
      </w:r>
      <w:proofErr w:type="spellStart"/>
      <w:r>
        <w:t>Brexit</w:t>
      </w:r>
      <w:proofErr w:type="spellEnd"/>
      <w:r>
        <w:t xml:space="preserve">. The finance attraction through investments sets the objectives of investment by the investors for sustaining the business from COVID-19 losses </w:t>
      </w:r>
      <w:r>
        <w:rPr>
          <w:color w:val="222222"/>
          <w:highlight w:val="white"/>
        </w:rPr>
        <w:t>(</w:t>
      </w:r>
      <w:proofErr w:type="spellStart"/>
      <w:r>
        <w:rPr>
          <w:color w:val="222222"/>
          <w:highlight w:val="white"/>
        </w:rPr>
        <w:t>Svanberg</w:t>
      </w:r>
      <w:proofErr w:type="spellEnd"/>
      <w:r>
        <w:rPr>
          <w:color w:val="222222"/>
          <w:highlight w:val="white"/>
        </w:rPr>
        <w:t>, 2020)</w:t>
      </w:r>
      <w:r>
        <w:t xml:space="preserve">. IPO raises higher capital investment for the </w:t>
      </w:r>
      <w:proofErr w:type="spellStart"/>
      <w:r>
        <w:t>organisations</w:t>
      </w:r>
      <w:proofErr w:type="spellEnd"/>
      <w:r>
        <w:t xml:space="preserve"> through the creation of a massive investment spree. The high salary payment is required to maintain a higher worker retention which removes the supply-demand gap of the company. </w:t>
      </w:r>
    </w:p>
    <w:p w14:paraId="7ED2AAE8" w14:textId="77777777" w:rsidR="007847AC" w:rsidRDefault="008733F2">
      <w:pPr>
        <w:pStyle w:val="Normal1"/>
      </w:pPr>
      <w:r>
        <w:t xml:space="preserve">A higher salary increases the job satisfaction of the drivers or staff of the company to deliver the products or services to the customers based on their demands </w:t>
      </w:r>
      <w:r>
        <w:rPr>
          <w:color w:val="222222"/>
          <w:highlight w:val="white"/>
        </w:rPr>
        <w:t xml:space="preserve">(Fonseca and </w:t>
      </w:r>
      <w:proofErr w:type="spellStart"/>
      <w:r>
        <w:rPr>
          <w:color w:val="222222"/>
          <w:highlight w:val="white"/>
        </w:rPr>
        <w:t>Azevedo</w:t>
      </w:r>
      <w:proofErr w:type="spellEnd"/>
      <w:r>
        <w:rPr>
          <w:color w:val="222222"/>
          <w:highlight w:val="white"/>
        </w:rPr>
        <w:t>, 2020)</w:t>
      </w:r>
      <w:r>
        <w:t xml:space="preserve">. The balance between supply and demand is required to manage the mismatch of demand and supply to meet the requirements of the entire market </w:t>
      </w:r>
      <w:r>
        <w:rPr>
          <w:color w:val="222222"/>
          <w:highlight w:val="white"/>
        </w:rPr>
        <w:t>(</w:t>
      </w:r>
      <w:proofErr w:type="spellStart"/>
      <w:r>
        <w:rPr>
          <w:color w:val="222222"/>
          <w:highlight w:val="white"/>
        </w:rPr>
        <w:t>Svanberg</w:t>
      </w:r>
      <w:proofErr w:type="spellEnd"/>
      <w:r>
        <w:rPr>
          <w:color w:val="222222"/>
          <w:highlight w:val="white"/>
        </w:rPr>
        <w:t>, 2020)</w:t>
      </w:r>
      <w:r>
        <w:t xml:space="preserve">. The price risks are managed by setting affordable product or service prices to attract more customers. The equilibrium pricing strategy helps to manage the risks of maintaining supply-demand equilibrium. The demand and supply management system is applied to manage the entire inventory system of the company and increase the sales of the products assisting in shifting of market demands </w:t>
      </w:r>
      <w:r>
        <w:rPr>
          <w:color w:val="222222"/>
          <w:highlight w:val="white"/>
        </w:rPr>
        <w:t xml:space="preserve">(Fonseca and </w:t>
      </w:r>
      <w:proofErr w:type="spellStart"/>
      <w:r>
        <w:rPr>
          <w:color w:val="222222"/>
          <w:highlight w:val="white"/>
        </w:rPr>
        <w:t>Azevedo</w:t>
      </w:r>
      <w:proofErr w:type="spellEnd"/>
      <w:r>
        <w:rPr>
          <w:color w:val="222222"/>
          <w:highlight w:val="white"/>
        </w:rPr>
        <w:t>, 2020)</w:t>
      </w:r>
      <w:r>
        <w:t xml:space="preserve">. </w:t>
      </w:r>
      <w:proofErr w:type="gramStart"/>
      <w:r>
        <w:t>The regular stakeholder communication and training facilities for the employees match the supply as well as demands.</w:t>
      </w:r>
      <w:proofErr w:type="gramEnd"/>
      <w:r>
        <w:t xml:space="preserve"> It includes sales forecasting, cost management to meet customer demands, product implementation, product distribution, inventory level tracking, and calculating profit </w:t>
      </w:r>
      <w:r>
        <w:rPr>
          <w:color w:val="222222"/>
          <w:highlight w:val="white"/>
        </w:rPr>
        <w:t xml:space="preserve">(Fonseca and </w:t>
      </w:r>
      <w:proofErr w:type="spellStart"/>
      <w:r>
        <w:rPr>
          <w:color w:val="222222"/>
          <w:highlight w:val="white"/>
        </w:rPr>
        <w:t>Azevedo</w:t>
      </w:r>
      <w:proofErr w:type="spellEnd"/>
      <w:r>
        <w:rPr>
          <w:color w:val="222222"/>
          <w:highlight w:val="white"/>
        </w:rPr>
        <w:t>, 2020)</w:t>
      </w:r>
      <w:r>
        <w:t xml:space="preserve">. </w:t>
      </w:r>
    </w:p>
    <w:p w14:paraId="72F373D3" w14:textId="77777777" w:rsidR="007847AC" w:rsidRDefault="008733F2">
      <w:pPr>
        <w:pStyle w:val="Heading2"/>
      </w:pPr>
      <w:bookmarkStart w:id="11" w:name="_m94kzfkc64x8" w:colFirst="0" w:colLast="0"/>
      <w:bookmarkStart w:id="12" w:name="_Toc152174871"/>
      <w:bookmarkEnd w:id="11"/>
      <w:r>
        <w:t>Task 2 b) Differences between elasticity and inelasticity of demand to the price changes in the fuel costs</w:t>
      </w:r>
      <w:bookmarkEnd w:id="12"/>
      <w:r>
        <w:t xml:space="preserve"> </w:t>
      </w:r>
    </w:p>
    <w:p w14:paraId="00AF5513" w14:textId="7CCFC74F" w:rsidR="007847AC" w:rsidRDefault="008733F2">
      <w:pPr>
        <w:pStyle w:val="Normal1"/>
      </w:pPr>
      <w:r>
        <w:t>The elasticity of demand is defined as th</w:t>
      </w:r>
      <w:r w:rsidR="00AC19BD">
        <w:t xml:space="preserve">e </w:t>
      </w:r>
      <w:r>
        <w:t xml:space="preserve">change in quantity </w:t>
      </w:r>
      <w:r w:rsidR="00AC19BD">
        <w:t xml:space="preserve">of product demands in </w:t>
      </w:r>
      <w:r>
        <w:t xml:space="preserve">response to the </w:t>
      </w:r>
      <w:r w:rsidR="00AC19BD">
        <w:t>changes of the market variables such as price as well as inco</w:t>
      </w:r>
      <w:r w:rsidR="001E23B7">
        <w:t xml:space="preserve">me </w:t>
      </w:r>
      <w:r>
        <w:rPr>
          <w:color w:val="222222"/>
          <w:highlight w:val="white"/>
        </w:rPr>
        <w:t>(</w:t>
      </w:r>
      <w:proofErr w:type="spellStart"/>
      <w:r>
        <w:rPr>
          <w:color w:val="222222"/>
          <w:highlight w:val="white"/>
        </w:rPr>
        <w:t>Andreyeva</w:t>
      </w:r>
      <w:proofErr w:type="spellEnd"/>
      <w:r>
        <w:rPr>
          <w:color w:val="222222"/>
          <w:highlight w:val="white"/>
        </w:rPr>
        <w:t xml:space="preserve"> </w:t>
      </w:r>
      <w:r>
        <w:rPr>
          <w:i/>
          <w:color w:val="222222"/>
          <w:highlight w:val="white"/>
        </w:rPr>
        <w:t>et al</w:t>
      </w:r>
      <w:r>
        <w:rPr>
          <w:color w:val="222222"/>
          <w:highlight w:val="white"/>
        </w:rPr>
        <w:t>., 2010)</w:t>
      </w:r>
      <w:r>
        <w:t xml:space="preserve">. The demands for luxurious products such as cars, beauty products, electronics, and luxurious home </w:t>
      </w:r>
      <w:r>
        <w:lastRenderedPageBreak/>
        <w:t xml:space="preserve">appliance products are examples of elastic products </w:t>
      </w:r>
      <w:r>
        <w:rPr>
          <w:color w:val="222222"/>
          <w:highlight w:val="white"/>
        </w:rPr>
        <w:t>(</w:t>
      </w:r>
      <w:proofErr w:type="spellStart"/>
      <w:r>
        <w:rPr>
          <w:color w:val="222222"/>
          <w:highlight w:val="white"/>
        </w:rPr>
        <w:t>Andreyeva</w:t>
      </w:r>
      <w:proofErr w:type="spellEnd"/>
      <w:r>
        <w:rPr>
          <w:color w:val="222222"/>
          <w:highlight w:val="white"/>
        </w:rPr>
        <w:t xml:space="preserve"> </w:t>
      </w:r>
      <w:r>
        <w:rPr>
          <w:i/>
          <w:color w:val="222222"/>
          <w:highlight w:val="white"/>
        </w:rPr>
        <w:t>et al</w:t>
      </w:r>
      <w:r>
        <w:rPr>
          <w:color w:val="222222"/>
          <w:highlight w:val="white"/>
        </w:rPr>
        <w:t xml:space="preserve">., 2010). </w:t>
      </w:r>
      <w:r>
        <w:t xml:space="preserve">On the other hand, the inelasticity of demand signifies the identical buying habits of consumers when the price of the products or services increases due to changes in fuel costs. The inelastic products are the regular necessities without acceptable substitutes including groceries, prescription drugs, and regular utilities </w:t>
      </w:r>
      <w:r>
        <w:rPr>
          <w:color w:val="222222"/>
          <w:highlight w:val="white"/>
        </w:rPr>
        <w:t>(Payne</w:t>
      </w:r>
      <w:r>
        <w:rPr>
          <w:b/>
          <w:color w:val="222222"/>
          <w:highlight w:val="white"/>
        </w:rPr>
        <w:t xml:space="preserve"> </w:t>
      </w:r>
      <w:r>
        <w:rPr>
          <w:i/>
          <w:color w:val="222222"/>
          <w:highlight w:val="white"/>
        </w:rPr>
        <w:t>et al</w:t>
      </w:r>
      <w:r>
        <w:rPr>
          <w:color w:val="222222"/>
          <w:highlight w:val="white"/>
        </w:rPr>
        <w:t>., 2020)</w:t>
      </w:r>
      <w:r>
        <w:t xml:space="preserve">. Inelastic products maintain flexibility with prices as the demands of the products in the market remain constant if their prices decrease or increase. </w:t>
      </w:r>
    </w:p>
    <w:p w14:paraId="615F7146" w14:textId="77777777" w:rsidR="007847AC" w:rsidRDefault="008733F2">
      <w:pPr>
        <w:pStyle w:val="Normal1"/>
      </w:pPr>
      <w:r>
        <w:t xml:space="preserve">The market fluctuations do not impact the inelastic demands of the customers as they prefer to purchase the product regardless of the product price fluctuations. Alternatively, elastic products need huge protection during market fluctuations to increase their sales and keep the demands increasing. Customers do not prefer to purchase elastic products if their prices increase </w:t>
      </w:r>
      <w:r>
        <w:rPr>
          <w:color w:val="222222"/>
          <w:highlight w:val="white"/>
        </w:rPr>
        <w:t>(Payne</w:t>
      </w:r>
      <w:r>
        <w:rPr>
          <w:b/>
          <w:color w:val="222222"/>
          <w:highlight w:val="white"/>
        </w:rPr>
        <w:t xml:space="preserve"> </w:t>
      </w:r>
      <w:r>
        <w:rPr>
          <w:i/>
          <w:color w:val="222222"/>
          <w:highlight w:val="white"/>
        </w:rPr>
        <w:t>et al</w:t>
      </w:r>
      <w:r>
        <w:rPr>
          <w:color w:val="222222"/>
          <w:highlight w:val="white"/>
        </w:rPr>
        <w:t>., 2020)</w:t>
      </w:r>
      <w:r>
        <w:t xml:space="preserve">. The entry barriers such as financial, political, and legal are lower in the inelastic product market as the price of products does not affect the customers’ demands and their purchasing decisions. Alternatively, the entry barriers are higher in the elastic product market as the customers prefer to purchase them when the product price is lower </w:t>
      </w:r>
      <w:r>
        <w:rPr>
          <w:color w:val="222222"/>
          <w:highlight w:val="white"/>
        </w:rPr>
        <w:t>(</w:t>
      </w:r>
      <w:proofErr w:type="spellStart"/>
      <w:r>
        <w:rPr>
          <w:color w:val="222222"/>
          <w:highlight w:val="white"/>
        </w:rPr>
        <w:t>Zubritskiy</w:t>
      </w:r>
      <w:proofErr w:type="spellEnd"/>
      <w:r>
        <w:rPr>
          <w:color w:val="222222"/>
          <w:highlight w:val="white"/>
        </w:rPr>
        <w:t xml:space="preserve"> </w:t>
      </w:r>
      <w:r>
        <w:rPr>
          <w:i/>
          <w:color w:val="222222"/>
          <w:highlight w:val="white"/>
        </w:rPr>
        <w:t>et al</w:t>
      </w:r>
      <w:r>
        <w:rPr>
          <w:color w:val="222222"/>
          <w:highlight w:val="white"/>
        </w:rPr>
        <w:t>., 2019, July)</w:t>
      </w:r>
      <w:r>
        <w:t xml:space="preserve">. </w:t>
      </w:r>
    </w:p>
    <w:p w14:paraId="25896D30" w14:textId="77777777" w:rsidR="007847AC" w:rsidRDefault="008733F2">
      <w:pPr>
        <w:pStyle w:val="Normal1"/>
      </w:pPr>
      <w:r>
        <w:t xml:space="preserve">One advantage of the elasticity of demand is to set an optimum price for the products and services which helps to increase the revenues of the company. One disadvantage of elasticity of demand is that the company requires monitoring the sales activities and strategies of the competitors consistently to set the price of the products or services </w:t>
      </w:r>
      <w:r>
        <w:rPr>
          <w:color w:val="222222"/>
          <w:highlight w:val="white"/>
        </w:rPr>
        <w:t>(</w:t>
      </w:r>
      <w:proofErr w:type="spellStart"/>
      <w:r>
        <w:rPr>
          <w:color w:val="222222"/>
          <w:highlight w:val="white"/>
        </w:rPr>
        <w:t>Zubritskiy</w:t>
      </w:r>
      <w:proofErr w:type="spellEnd"/>
      <w:r>
        <w:rPr>
          <w:color w:val="222222"/>
          <w:highlight w:val="white"/>
        </w:rPr>
        <w:t xml:space="preserve"> </w:t>
      </w:r>
      <w:r>
        <w:rPr>
          <w:i/>
          <w:color w:val="222222"/>
          <w:highlight w:val="white"/>
        </w:rPr>
        <w:t>et al</w:t>
      </w:r>
      <w:r>
        <w:rPr>
          <w:color w:val="222222"/>
          <w:highlight w:val="white"/>
        </w:rPr>
        <w:t>., 2019, July)</w:t>
      </w:r>
      <w:r>
        <w:t xml:space="preserve">. The inelasticity of demand has an advantage which is to increase the revenues by increasing the price of the products or services in terms of unchanged demands of the customers. The disadvantage of the inelasticity of demand is to the reduction of the overall </w:t>
      </w:r>
      <w:proofErr w:type="spellStart"/>
      <w:r>
        <w:t>organisational</w:t>
      </w:r>
      <w:proofErr w:type="spellEnd"/>
      <w:r>
        <w:t xml:space="preserve"> profit by reducing the product or service prices </w:t>
      </w:r>
      <w:r>
        <w:rPr>
          <w:color w:val="222222"/>
          <w:highlight w:val="white"/>
        </w:rPr>
        <w:t>(Payne</w:t>
      </w:r>
      <w:r>
        <w:rPr>
          <w:b/>
          <w:color w:val="222222"/>
          <w:highlight w:val="white"/>
        </w:rPr>
        <w:t xml:space="preserve"> </w:t>
      </w:r>
      <w:r>
        <w:rPr>
          <w:i/>
          <w:color w:val="222222"/>
          <w:highlight w:val="white"/>
        </w:rPr>
        <w:t>et al</w:t>
      </w:r>
      <w:r>
        <w:rPr>
          <w:color w:val="222222"/>
          <w:highlight w:val="white"/>
        </w:rPr>
        <w:t>., 2020)</w:t>
      </w:r>
      <w:r>
        <w:t xml:space="preserve">. </w:t>
      </w:r>
    </w:p>
    <w:p w14:paraId="242E98D1" w14:textId="77777777" w:rsidR="007847AC" w:rsidRDefault="008733F2">
      <w:pPr>
        <w:pStyle w:val="Heading2"/>
        <w:rPr>
          <w:rFonts w:ascii="Arial" w:eastAsia="Arial" w:hAnsi="Arial" w:cs="Arial"/>
          <w:color w:val="202124"/>
          <w:sz w:val="30"/>
          <w:szCs w:val="30"/>
          <w:highlight w:val="white"/>
        </w:rPr>
      </w:pPr>
      <w:bookmarkStart w:id="13" w:name="_wt8anhrqco1o" w:colFirst="0" w:colLast="0"/>
      <w:bookmarkStart w:id="14" w:name="_Toc152174872"/>
      <w:bookmarkEnd w:id="13"/>
      <w:r>
        <w:lastRenderedPageBreak/>
        <w:t>Task 2 c) Explaining the laws of demand and supply</w:t>
      </w:r>
      <w:bookmarkEnd w:id="14"/>
      <w:r>
        <w:t xml:space="preserve"> </w:t>
      </w:r>
    </w:p>
    <w:p w14:paraId="2AA93D41" w14:textId="77777777" w:rsidR="007847AC" w:rsidRDefault="008733F2">
      <w:pPr>
        <w:pStyle w:val="Normal1"/>
      </w:pPr>
      <w:r>
        <w:t xml:space="preserve">There are four fundamental laws of supply and demand that business managers need to be aware of when producing or selling products to the market. As mentioned by Taylor (2023), the increments of demand are an important law of demand and supply when the supply remains unchanged resulting in higher prices as well as higher quantities. The growth of the appetite for certain products or services signifies that the consumers prefer to purchase products at higher prices leading to profitable opportunities for the companies to enhance their supply (Taylor, 2023). The decrease in demand is another significant law of demand and supply when supply remains unchanged resulting in lower prices. </w:t>
      </w:r>
      <w:proofErr w:type="spellStart"/>
      <w:r>
        <w:t>Organisations</w:t>
      </w:r>
      <w:proofErr w:type="spellEnd"/>
      <w:r>
        <w:t xml:space="preserve"> need to encourage the buying decisions of the customers if they are not interested in buying products or services providing less business growth opportunities (Bowman, 2023). </w:t>
      </w:r>
    </w:p>
    <w:p w14:paraId="399FAA59" w14:textId="77777777" w:rsidR="007847AC" w:rsidRDefault="008733F2">
      <w:pPr>
        <w:pStyle w:val="Normal1"/>
      </w:pPr>
      <w:r>
        <w:t xml:space="preserve">Apart from these laws, the third law of supply and demand is the increments of supply when the demands of the products or services remain unchanged resulting in higher quantities and lower prices (Bowman, 2023). According to this law, the sellers are required to reduce the product or service prices to attract more customers over their competitors. The increment in supply is important for achieving higher customer retention by increasing the supply of the products in the market. The fourth law of supply and demand is the decrements of supply when demands of the products or services remain unchanged resulting in lower quantities and higher prices (Bowman, 2023). The shortage of products or services signifies that the customers are eager to pay more to secure the available products or services (Taylor, 2023). </w:t>
      </w:r>
    </w:p>
    <w:p w14:paraId="3D56F9F7" w14:textId="77777777" w:rsidR="007847AC" w:rsidRDefault="008733F2">
      <w:pPr>
        <w:pStyle w:val="Heading1"/>
      </w:pPr>
      <w:bookmarkStart w:id="15" w:name="_ax0mqefps5dc" w:colFirst="0" w:colLast="0"/>
      <w:bookmarkStart w:id="16" w:name="_Toc152174873"/>
      <w:bookmarkEnd w:id="15"/>
      <w:r>
        <w:lastRenderedPageBreak/>
        <w:t>Conclusion</w:t>
      </w:r>
      <w:bookmarkEnd w:id="16"/>
      <w:r>
        <w:t xml:space="preserve"> </w:t>
      </w:r>
    </w:p>
    <w:p w14:paraId="4CC04635" w14:textId="77777777" w:rsidR="007847AC" w:rsidRDefault="008733F2">
      <w:pPr>
        <w:pStyle w:val="Normal1"/>
        <w:rPr>
          <w:b/>
        </w:rPr>
      </w:pPr>
      <w:r>
        <w:t xml:space="preserve">Based on the above assessment, it is stated that the balance between demand and supply is required to resolve the economic problems related to the demand-supply chains. The shortages of demand, shortages of supply, COVID-19 business rules, </w:t>
      </w:r>
      <w:proofErr w:type="spellStart"/>
      <w:r>
        <w:t>Brexit</w:t>
      </w:r>
      <w:proofErr w:type="spellEnd"/>
      <w:r>
        <w:t xml:space="preserve">, panic buying of scarce resources, increments of fuel prices, and many others are the fundamental economic problems. Government intervention, relaxing of COVID-19 rules, shortage management strategy, supplier corroborations network development, alternative waste reduction, and working with suppliers to reduce prices are the various ways of resolving the problems. The essay has focused on the differences between the elasticity of demand and the inelasticity of demand with the four laws of demand as well as supply. </w:t>
      </w:r>
    </w:p>
    <w:p w14:paraId="0752320E" w14:textId="77777777" w:rsidR="007847AC" w:rsidRDefault="007847AC">
      <w:pPr>
        <w:pStyle w:val="Normal1"/>
        <w:rPr>
          <w:b/>
        </w:rPr>
      </w:pPr>
    </w:p>
    <w:p w14:paraId="7756EB8B" w14:textId="77777777" w:rsidR="007847AC" w:rsidRDefault="007847AC">
      <w:pPr>
        <w:pStyle w:val="Normal1"/>
      </w:pPr>
    </w:p>
    <w:p w14:paraId="5C9736FE" w14:textId="77777777" w:rsidR="007847AC" w:rsidRDefault="007847AC">
      <w:pPr>
        <w:pStyle w:val="Normal1"/>
      </w:pPr>
    </w:p>
    <w:p w14:paraId="3025A616" w14:textId="77777777" w:rsidR="007847AC" w:rsidRDefault="007847AC">
      <w:pPr>
        <w:pStyle w:val="Normal1"/>
      </w:pPr>
    </w:p>
    <w:p w14:paraId="2F615E7A" w14:textId="77777777" w:rsidR="007847AC" w:rsidRDefault="008733F2">
      <w:pPr>
        <w:pStyle w:val="Heading1"/>
      </w:pPr>
      <w:bookmarkStart w:id="17" w:name="_vbjnn7qddxxm" w:colFirst="0" w:colLast="0"/>
      <w:bookmarkEnd w:id="17"/>
      <w:r>
        <w:br w:type="page"/>
      </w:r>
    </w:p>
    <w:p w14:paraId="457248E9" w14:textId="77777777" w:rsidR="007847AC" w:rsidRDefault="008733F2">
      <w:pPr>
        <w:pStyle w:val="Heading1"/>
      </w:pPr>
      <w:bookmarkStart w:id="18" w:name="_7qwf2319zzpt" w:colFirst="0" w:colLast="0"/>
      <w:bookmarkStart w:id="19" w:name="_Toc152174874"/>
      <w:bookmarkEnd w:id="18"/>
      <w:r>
        <w:lastRenderedPageBreak/>
        <w:t>References</w:t>
      </w:r>
      <w:bookmarkEnd w:id="19"/>
      <w:r>
        <w:t xml:space="preserve"> </w:t>
      </w:r>
    </w:p>
    <w:p w14:paraId="59DE7D3F" w14:textId="77777777" w:rsidR="00AC19BD" w:rsidRDefault="00AC19BD" w:rsidP="00AC19BD">
      <w:pPr>
        <w:pStyle w:val="Normal1"/>
        <w:rPr>
          <w:color w:val="222222"/>
          <w:highlight w:val="white"/>
        </w:rPr>
      </w:pPr>
      <w:proofErr w:type="spellStart"/>
      <w:proofErr w:type="gramStart"/>
      <w:r>
        <w:rPr>
          <w:color w:val="222222"/>
          <w:highlight w:val="white"/>
        </w:rPr>
        <w:t>Aigner-Walder</w:t>
      </w:r>
      <w:proofErr w:type="spellEnd"/>
      <w:r>
        <w:rPr>
          <w:color w:val="222222"/>
          <w:highlight w:val="white"/>
        </w:rPr>
        <w:t>, B., (2015).</w:t>
      </w:r>
      <w:proofErr w:type="gramEnd"/>
      <w:r>
        <w:rPr>
          <w:color w:val="222222"/>
          <w:highlight w:val="white"/>
        </w:rPr>
        <w:t xml:space="preserve"> Effects of the Demographic Changes on Private Consumption: An Almost Ideal Demand System Analysis for Austria. </w:t>
      </w:r>
      <w:proofErr w:type="gramStart"/>
      <w:r>
        <w:rPr>
          <w:i/>
          <w:color w:val="222222"/>
          <w:highlight w:val="white"/>
        </w:rPr>
        <w:t>Journal of Economic &amp; Social Studies (JECOSS)</w:t>
      </w:r>
      <w:r>
        <w:rPr>
          <w:color w:val="222222"/>
          <w:highlight w:val="white"/>
        </w:rPr>
        <w:t xml:space="preserve">, </w:t>
      </w:r>
      <w:r>
        <w:rPr>
          <w:i/>
          <w:color w:val="222222"/>
          <w:highlight w:val="white"/>
        </w:rPr>
        <w:t>5</w:t>
      </w:r>
      <w:r>
        <w:rPr>
          <w:color w:val="222222"/>
          <w:highlight w:val="white"/>
        </w:rPr>
        <w:t>(1).</w:t>
      </w:r>
      <w:proofErr w:type="gramEnd"/>
    </w:p>
    <w:p w14:paraId="4777B393" w14:textId="77777777" w:rsidR="00AC19BD" w:rsidRDefault="00AC19BD" w:rsidP="00AC19BD">
      <w:pPr>
        <w:pStyle w:val="Normal1"/>
        <w:rPr>
          <w:color w:val="222222"/>
          <w:highlight w:val="white"/>
        </w:rPr>
      </w:pPr>
      <w:proofErr w:type="spellStart"/>
      <w:proofErr w:type="gramStart"/>
      <w:r>
        <w:rPr>
          <w:color w:val="222222"/>
          <w:highlight w:val="white"/>
        </w:rPr>
        <w:t>Andreyeva</w:t>
      </w:r>
      <w:proofErr w:type="spellEnd"/>
      <w:r>
        <w:rPr>
          <w:color w:val="222222"/>
          <w:highlight w:val="white"/>
        </w:rPr>
        <w:t>, T., Long, M.W. and Brownell, K.D., (2010).</w:t>
      </w:r>
      <w:proofErr w:type="gramEnd"/>
      <w:r>
        <w:rPr>
          <w:color w:val="222222"/>
          <w:highlight w:val="white"/>
        </w:rPr>
        <w:t xml:space="preserve"> The impact of food prices on consumption: a systematic review of research on the price elasticity of demand for food. </w:t>
      </w:r>
      <w:proofErr w:type="gramStart"/>
      <w:r>
        <w:rPr>
          <w:i/>
          <w:color w:val="222222"/>
          <w:highlight w:val="white"/>
        </w:rPr>
        <w:t>American Journal of Public Health</w:t>
      </w:r>
      <w:r>
        <w:rPr>
          <w:color w:val="222222"/>
          <w:highlight w:val="white"/>
        </w:rPr>
        <w:t xml:space="preserve">, </w:t>
      </w:r>
      <w:r>
        <w:rPr>
          <w:i/>
          <w:color w:val="222222"/>
          <w:highlight w:val="white"/>
        </w:rPr>
        <w:t>100</w:t>
      </w:r>
      <w:r>
        <w:rPr>
          <w:color w:val="222222"/>
          <w:highlight w:val="white"/>
        </w:rPr>
        <w:t>(2), pp.216-222.</w:t>
      </w:r>
      <w:proofErr w:type="gramEnd"/>
    </w:p>
    <w:p w14:paraId="5630F880" w14:textId="77777777" w:rsidR="00AC19BD" w:rsidRDefault="00AC19BD" w:rsidP="00AC19BD">
      <w:pPr>
        <w:pStyle w:val="Normal1"/>
        <w:rPr>
          <w:color w:val="222222"/>
          <w:highlight w:val="white"/>
        </w:rPr>
      </w:pPr>
      <w:r>
        <w:rPr>
          <w:color w:val="222222"/>
          <w:highlight w:val="white"/>
        </w:rPr>
        <w:t xml:space="preserve">Bagwell, K., (2007). </w:t>
      </w:r>
      <w:proofErr w:type="gramStart"/>
      <w:r>
        <w:rPr>
          <w:i/>
          <w:color w:val="222222"/>
          <w:highlight w:val="white"/>
        </w:rPr>
        <w:t>The economic analysis of advertising.</w:t>
      </w:r>
      <w:proofErr w:type="gramEnd"/>
      <w:r>
        <w:rPr>
          <w:color w:val="222222"/>
          <w:highlight w:val="white"/>
        </w:rPr>
        <w:t xml:space="preserve"> </w:t>
      </w:r>
      <w:proofErr w:type="gramStart"/>
      <w:r>
        <w:rPr>
          <w:color w:val="222222"/>
          <w:highlight w:val="white"/>
        </w:rPr>
        <w:t>Handbook of industrial organization, 3, pp.1701-1844.</w:t>
      </w:r>
      <w:proofErr w:type="gramEnd"/>
    </w:p>
    <w:p w14:paraId="2FBA2822" w14:textId="77777777" w:rsidR="00AC19BD" w:rsidRDefault="00AC19BD" w:rsidP="00AC19BD">
      <w:pPr>
        <w:pStyle w:val="Normal1"/>
        <w:rPr>
          <w:color w:val="222222"/>
          <w:highlight w:val="white"/>
        </w:rPr>
      </w:pPr>
      <w:r>
        <w:rPr>
          <w:color w:val="222222"/>
          <w:highlight w:val="white"/>
        </w:rPr>
        <w:t xml:space="preserve">Baker, J.B., (2002). </w:t>
      </w:r>
      <w:r>
        <w:rPr>
          <w:i/>
          <w:color w:val="222222"/>
          <w:highlight w:val="white"/>
        </w:rPr>
        <w:t xml:space="preserve">Competitive Price Discrimination: The Exercise of Market Power </w:t>
      </w:r>
      <w:proofErr w:type="gramStart"/>
      <w:r>
        <w:rPr>
          <w:i/>
          <w:color w:val="222222"/>
          <w:highlight w:val="white"/>
        </w:rPr>
        <w:t>Without</w:t>
      </w:r>
      <w:proofErr w:type="gramEnd"/>
      <w:r>
        <w:rPr>
          <w:i/>
          <w:color w:val="222222"/>
          <w:highlight w:val="white"/>
        </w:rPr>
        <w:t xml:space="preserve"> Anticompetitive Effects. </w:t>
      </w:r>
      <w:proofErr w:type="gramStart"/>
      <w:r>
        <w:rPr>
          <w:color w:val="222222"/>
          <w:highlight w:val="white"/>
        </w:rPr>
        <w:t>Antitrust LJ, 70, p.643.</w:t>
      </w:r>
      <w:proofErr w:type="gramEnd"/>
    </w:p>
    <w:p w14:paraId="13A26DD5" w14:textId="77777777" w:rsidR="00AC19BD" w:rsidRDefault="00AC19BD" w:rsidP="00AC19BD">
      <w:pPr>
        <w:pStyle w:val="Normal1"/>
      </w:pPr>
      <w:proofErr w:type="gramStart"/>
      <w:r>
        <w:t>Bowman, J., (2023).</w:t>
      </w:r>
      <w:proofErr w:type="gramEnd"/>
      <w:r>
        <w:t xml:space="preserve"> </w:t>
      </w:r>
      <w:r>
        <w:rPr>
          <w:i/>
        </w:rPr>
        <w:t xml:space="preserve">What Is the Law of Supply and Demand? </w:t>
      </w:r>
      <w:r>
        <w:t xml:space="preserve">Available at: </w:t>
      </w:r>
      <w:hyperlink r:id="rId11">
        <w:r>
          <w:rPr>
            <w:color w:val="1155CC"/>
            <w:u w:val="single"/>
          </w:rPr>
          <w:t>https://www.fool.com/terms/s/supply-and-demand/</w:t>
        </w:r>
      </w:hyperlink>
      <w:r>
        <w:t xml:space="preserve"> [Accessed 29 November 2023] </w:t>
      </w:r>
    </w:p>
    <w:p w14:paraId="595C30CF" w14:textId="77777777" w:rsidR="00AC19BD" w:rsidRDefault="00AC19BD" w:rsidP="00AC19BD">
      <w:pPr>
        <w:pStyle w:val="Normal1"/>
        <w:rPr>
          <w:color w:val="222222"/>
          <w:highlight w:val="white"/>
        </w:rPr>
      </w:pPr>
      <w:proofErr w:type="gramStart"/>
      <w:r>
        <w:rPr>
          <w:color w:val="222222"/>
          <w:highlight w:val="white"/>
        </w:rPr>
        <w:t>Butt, A.S., (2021).</w:t>
      </w:r>
      <w:proofErr w:type="gramEnd"/>
      <w:r>
        <w:rPr>
          <w:color w:val="222222"/>
          <w:highlight w:val="white"/>
        </w:rPr>
        <w:t xml:space="preserve"> Supply chains and COVID-19: impacts, countermeasures and post-COVID-19 era. </w:t>
      </w:r>
      <w:proofErr w:type="gramStart"/>
      <w:r>
        <w:rPr>
          <w:i/>
          <w:color w:val="222222"/>
          <w:highlight w:val="white"/>
        </w:rPr>
        <w:t>The International Journal of Logistics Management</w:t>
      </w:r>
      <w:r>
        <w:rPr>
          <w:color w:val="222222"/>
          <w:highlight w:val="white"/>
        </w:rPr>
        <w:t>.</w:t>
      </w:r>
      <w:proofErr w:type="gramEnd"/>
    </w:p>
    <w:p w14:paraId="40C96A63" w14:textId="77777777" w:rsidR="00AC19BD" w:rsidRDefault="00AC19BD" w:rsidP="00AC19BD">
      <w:pPr>
        <w:pStyle w:val="Normal1"/>
        <w:rPr>
          <w:color w:val="222222"/>
          <w:highlight w:val="white"/>
        </w:rPr>
      </w:pPr>
      <w:proofErr w:type="spellStart"/>
      <w:r>
        <w:rPr>
          <w:color w:val="222222"/>
          <w:highlight w:val="white"/>
        </w:rPr>
        <w:t>Ellickson</w:t>
      </w:r>
      <w:proofErr w:type="spellEnd"/>
      <w:r>
        <w:rPr>
          <w:color w:val="222222"/>
          <w:highlight w:val="white"/>
        </w:rPr>
        <w:t xml:space="preserve">, P.B., (2013). </w:t>
      </w:r>
      <w:proofErr w:type="gramStart"/>
      <w:r>
        <w:rPr>
          <w:color w:val="222222"/>
          <w:highlight w:val="white"/>
        </w:rPr>
        <w:t>Market structure and performance.</w:t>
      </w:r>
      <w:proofErr w:type="gramEnd"/>
      <w:r>
        <w:rPr>
          <w:color w:val="222222"/>
          <w:highlight w:val="white"/>
        </w:rPr>
        <w:t xml:space="preserve"> </w:t>
      </w:r>
      <w:proofErr w:type="gramStart"/>
      <w:r>
        <w:rPr>
          <w:i/>
          <w:color w:val="222222"/>
          <w:highlight w:val="white"/>
        </w:rPr>
        <w:t>International Encyclopedia of the Social and Behavioral Sciences,</w:t>
      </w:r>
      <w:r>
        <w:rPr>
          <w:color w:val="222222"/>
          <w:highlight w:val="white"/>
        </w:rPr>
        <w:t xml:space="preserve"> </w:t>
      </w:r>
      <w:r>
        <w:rPr>
          <w:i/>
          <w:color w:val="222222"/>
          <w:highlight w:val="white"/>
        </w:rPr>
        <w:t>14</w:t>
      </w:r>
      <w:r>
        <w:rPr>
          <w:color w:val="222222"/>
          <w:highlight w:val="white"/>
        </w:rPr>
        <w:t>, pp.9211-9216.</w:t>
      </w:r>
      <w:proofErr w:type="gramEnd"/>
    </w:p>
    <w:p w14:paraId="0A03351B" w14:textId="77777777" w:rsidR="00AC19BD" w:rsidRDefault="00AC19BD" w:rsidP="00AC19BD">
      <w:pPr>
        <w:pStyle w:val="Normal1"/>
      </w:pPr>
      <w:proofErr w:type="spellStart"/>
      <w:proofErr w:type="gramStart"/>
      <w:r>
        <w:t>FleetNews</w:t>
      </w:r>
      <w:proofErr w:type="spellEnd"/>
      <w:r>
        <w:t>, (2023).</w:t>
      </w:r>
      <w:proofErr w:type="gramEnd"/>
      <w:r>
        <w:t xml:space="preserve"> </w:t>
      </w:r>
      <w:proofErr w:type="gramStart"/>
      <w:r>
        <w:rPr>
          <w:i/>
        </w:rPr>
        <w:t>Regional fuel prices.</w:t>
      </w:r>
      <w:proofErr w:type="gramEnd"/>
      <w:r>
        <w:rPr>
          <w:i/>
        </w:rPr>
        <w:t xml:space="preserve"> </w:t>
      </w:r>
      <w:r>
        <w:t xml:space="preserve">Available at: </w:t>
      </w:r>
      <w:hyperlink r:id="rId12">
        <w:r>
          <w:rPr>
            <w:color w:val="1155CC"/>
            <w:u w:val="single"/>
          </w:rPr>
          <w:t>https://www.fleetnews.co.uk/costs/fuel-prices/</w:t>
        </w:r>
      </w:hyperlink>
      <w:r>
        <w:t xml:space="preserve"> [Accessed 29 November 2023] </w:t>
      </w:r>
    </w:p>
    <w:p w14:paraId="3818F7D1" w14:textId="77777777" w:rsidR="00AC19BD" w:rsidRDefault="00AC19BD" w:rsidP="00AC19BD">
      <w:pPr>
        <w:pStyle w:val="Normal1"/>
        <w:rPr>
          <w:color w:val="222222"/>
          <w:highlight w:val="white"/>
        </w:rPr>
      </w:pPr>
      <w:r>
        <w:rPr>
          <w:color w:val="222222"/>
          <w:highlight w:val="white"/>
        </w:rPr>
        <w:lastRenderedPageBreak/>
        <w:t xml:space="preserve">Fonseca, L.M. and </w:t>
      </w:r>
      <w:proofErr w:type="spellStart"/>
      <w:r>
        <w:rPr>
          <w:color w:val="222222"/>
          <w:highlight w:val="white"/>
        </w:rPr>
        <w:t>Azevedo</w:t>
      </w:r>
      <w:proofErr w:type="spellEnd"/>
      <w:r>
        <w:rPr>
          <w:color w:val="222222"/>
          <w:highlight w:val="white"/>
        </w:rPr>
        <w:t xml:space="preserve">, A.L., (2020). COVID-19: outcomes for global supply chains. </w:t>
      </w:r>
      <w:proofErr w:type="gramStart"/>
      <w:r>
        <w:rPr>
          <w:i/>
          <w:color w:val="222222"/>
          <w:highlight w:val="white"/>
        </w:rPr>
        <w:t>Management &amp; Marketing.</w:t>
      </w:r>
      <w:proofErr w:type="gramEnd"/>
      <w:r>
        <w:rPr>
          <w:i/>
          <w:color w:val="222222"/>
          <w:highlight w:val="white"/>
        </w:rPr>
        <w:t xml:space="preserve"> </w:t>
      </w:r>
      <w:proofErr w:type="gramStart"/>
      <w:r>
        <w:rPr>
          <w:i/>
          <w:color w:val="222222"/>
          <w:highlight w:val="white"/>
        </w:rPr>
        <w:t>Challenges for the Knowledge Society</w:t>
      </w:r>
      <w:r>
        <w:rPr>
          <w:color w:val="222222"/>
          <w:highlight w:val="white"/>
        </w:rPr>
        <w:t xml:space="preserve">, </w:t>
      </w:r>
      <w:r>
        <w:rPr>
          <w:i/>
          <w:color w:val="222222"/>
          <w:highlight w:val="white"/>
        </w:rPr>
        <w:t>15</w:t>
      </w:r>
      <w:r>
        <w:rPr>
          <w:color w:val="222222"/>
          <w:highlight w:val="white"/>
        </w:rPr>
        <w:t>(s1), pp.424-438.</w:t>
      </w:r>
      <w:proofErr w:type="gramEnd"/>
    </w:p>
    <w:p w14:paraId="30E7F0CE" w14:textId="77777777" w:rsidR="00AC19BD" w:rsidRDefault="00AC19BD" w:rsidP="00AC19BD">
      <w:pPr>
        <w:pStyle w:val="Normal1"/>
        <w:rPr>
          <w:color w:val="222222"/>
          <w:highlight w:val="white"/>
        </w:rPr>
      </w:pPr>
      <w:proofErr w:type="gramStart"/>
      <w:r>
        <w:rPr>
          <w:color w:val="222222"/>
          <w:highlight w:val="white"/>
        </w:rPr>
        <w:t>Foot, D. and Gomez, R., (2006).</w:t>
      </w:r>
      <w:proofErr w:type="gramEnd"/>
      <w:r>
        <w:rPr>
          <w:color w:val="222222"/>
          <w:highlight w:val="white"/>
        </w:rPr>
        <w:t xml:space="preserve"> </w:t>
      </w:r>
      <w:r>
        <w:rPr>
          <w:i/>
          <w:color w:val="222222"/>
          <w:highlight w:val="white"/>
        </w:rPr>
        <w:t>Population aging and sectorial growth: the case study of the UK</w:t>
      </w:r>
      <w:r>
        <w:rPr>
          <w:color w:val="222222"/>
          <w:highlight w:val="white"/>
        </w:rPr>
        <w:t>, 2006- 2026. OJBE, 5:1</w:t>
      </w:r>
    </w:p>
    <w:p w14:paraId="4D0DED8B" w14:textId="77777777" w:rsidR="00AC19BD" w:rsidRDefault="00AC19BD" w:rsidP="00AC19BD">
      <w:pPr>
        <w:pStyle w:val="Normal1"/>
      </w:pPr>
      <w:proofErr w:type="spellStart"/>
      <w:proofErr w:type="gramStart"/>
      <w:r>
        <w:t>Gov</w:t>
      </w:r>
      <w:proofErr w:type="spellEnd"/>
      <w:r>
        <w:t>, (2023).</w:t>
      </w:r>
      <w:proofErr w:type="gramEnd"/>
      <w:r>
        <w:rPr>
          <w:i/>
        </w:rPr>
        <w:t xml:space="preserve"> </w:t>
      </w:r>
      <w:proofErr w:type="gramStart"/>
      <w:r>
        <w:rPr>
          <w:i/>
        </w:rPr>
        <w:t>Rules that have been relaxed to help businesses during the coronavirus (COVID-19) pandemic.</w:t>
      </w:r>
      <w:proofErr w:type="gramEnd"/>
      <w:r>
        <w:rPr>
          <w:i/>
        </w:rPr>
        <w:t xml:space="preserve"> </w:t>
      </w:r>
      <w:r>
        <w:t xml:space="preserve">Available at: </w:t>
      </w:r>
      <w:hyperlink r:id="rId13">
        <w:r>
          <w:rPr>
            <w:color w:val="1155CC"/>
            <w:u w:val="single"/>
          </w:rPr>
          <w:t>https://www.gov.uk/guidance/rules-that-have-been-relaxed-to-help-businesses-during-the-coronavirus-pandemic</w:t>
        </w:r>
      </w:hyperlink>
      <w:r>
        <w:t xml:space="preserve"> [Accessed 29 November 2023] </w:t>
      </w:r>
    </w:p>
    <w:p w14:paraId="2A5EDE1D" w14:textId="77777777" w:rsidR="00AC19BD" w:rsidRDefault="00AC19BD" w:rsidP="00AC19BD">
      <w:pPr>
        <w:pStyle w:val="Normal1"/>
        <w:rPr>
          <w:color w:val="222222"/>
          <w:highlight w:val="white"/>
        </w:rPr>
      </w:pPr>
      <w:r>
        <w:rPr>
          <w:color w:val="222222"/>
          <w:highlight w:val="white"/>
        </w:rPr>
        <w:t xml:space="preserve">Harvey, D., (2021). </w:t>
      </w:r>
      <w:proofErr w:type="spellStart"/>
      <w:proofErr w:type="gramStart"/>
      <w:r>
        <w:rPr>
          <w:color w:val="222222"/>
          <w:highlight w:val="white"/>
        </w:rPr>
        <w:t>Brexit</w:t>
      </w:r>
      <w:proofErr w:type="spellEnd"/>
      <w:r>
        <w:rPr>
          <w:color w:val="222222"/>
          <w:highlight w:val="white"/>
        </w:rPr>
        <w:t xml:space="preserve"> and Covid-19.</w:t>
      </w:r>
      <w:proofErr w:type="gramEnd"/>
      <w:r>
        <w:rPr>
          <w:color w:val="222222"/>
          <w:highlight w:val="white"/>
        </w:rPr>
        <w:t xml:space="preserve"> </w:t>
      </w:r>
      <w:proofErr w:type="gramStart"/>
      <w:r>
        <w:rPr>
          <w:i/>
          <w:color w:val="222222"/>
          <w:highlight w:val="white"/>
        </w:rPr>
        <w:t>King's Law Journal</w:t>
      </w:r>
      <w:r>
        <w:rPr>
          <w:color w:val="222222"/>
          <w:highlight w:val="white"/>
        </w:rPr>
        <w:t xml:space="preserve">, </w:t>
      </w:r>
      <w:r>
        <w:rPr>
          <w:i/>
          <w:color w:val="222222"/>
          <w:highlight w:val="white"/>
        </w:rPr>
        <w:t>32</w:t>
      </w:r>
      <w:r>
        <w:rPr>
          <w:color w:val="222222"/>
          <w:highlight w:val="white"/>
        </w:rPr>
        <w:t>(1), pp.26-36.</w:t>
      </w:r>
      <w:proofErr w:type="gramEnd"/>
    </w:p>
    <w:p w14:paraId="147BD89A" w14:textId="77777777" w:rsidR="00AC19BD" w:rsidRDefault="00AC19BD" w:rsidP="00AC19BD">
      <w:pPr>
        <w:pStyle w:val="Normal1"/>
      </w:pPr>
      <w:r>
        <w:t xml:space="preserve">Institute for Government, (2021). </w:t>
      </w:r>
      <w:r>
        <w:rPr>
          <w:i/>
        </w:rPr>
        <w:t xml:space="preserve">Supply chain problems. </w:t>
      </w:r>
      <w:r>
        <w:t xml:space="preserve">Available at: </w:t>
      </w:r>
      <w:hyperlink r:id="rId14">
        <w:r>
          <w:rPr>
            <w:color w:val="1155CC"/>
            <w:u w:val="single"/>
          </w:rPr>
          <w:t>https://www.instituteforgovernment.org.uk/explainer/supply-chain-problems</w:t>
        </w:r>
      </w:hyperlink>
      <w:r>
        <w:t xml:space="preserve"> [Accessed 29 November 2023] </w:t>
      </w:r>
    </w:p>
    <w:p w14:paraId="6E314C28" w14:textId="77777777" w:rsidR="00AC19BD" w:rsidRDefault="00AC19BD" w:rsidP="00AC19BD">
      <w:pPr>
        <w:pStyle w:val="Normal1"/>
        <w:rPr>
          <w:color w:val="222222"/>
          <w:sz w:val="28"/>
          <w:szCs w:val="28"/>
          <w:highlight w:val="white"/>
        </w:rPr>
      </w:pPr>
      <w:proofErr w:type="spellStart"/>
      <w:r>
        <w:rPr>
          <w:color w:val="222222"/>
          <w:highlight w:val="white"/>
        </w:rPr>
        <w:t>Küçük</w:t>
      </w:r>
      <w:proofErr w:type="spellEnd"/>
      <w:r>
        <w:rPr>
          <w:color w:val="222222"/>
          <w:highlight w:val="white"/>
        </w:rPr>
        <w:t xml:space="preserve">, H., </w:t>
      </w:r>
      <w:proofErr w:type="spellStart"/>
      <w:r>
        <w:rPr>
          <w:color w:val="222222"/>
          <w:highlight w:val="white"/>
        </w:rPr>
        <w:t>Lenoël</w:t>
      </w:r>
      <w:proofErr w:type="spellEnd"/>
      <w:r>
        <w:rPr>
          <w:color w:val="222222"/>
          <w:highlight w:val="white"/>
        </w:rPr>
        <w:t xml:space="preserve">, C. and Macqueen, R., (2021). UK economic outlook: </w:t>
      </w:r>
      <w:proofErr w:type="spellStart"/>
      <w:r>
        <w:rPr>
          <w:color w:val="222222"/>
          <w:highlight w:val="white"/>
        </w:rPr>
        <w:t>Brexit</w:t>
      </w:r>
      <w:proofErr w:type="spellEnd"/>
      <w:r>
        <w:rPr>
          <w:color w:val="222222"/>
          <w:highlight w:val="white"/>
        </w:rPr>
        <w:t xml:space="preserve"> Britain in </w:t>
      </w:r>
      <w:proofErr w:type="spellStart"/>
      <w:r>
        <w:rPr>
          <w:color w:val="222222"/>
          <w:highlight w:val="white"/>
        </w:rPr>
        <w:t>Covid</w:t>
      </w:r>
      <w:proofErr w:type="spellEnd"/>
      <w:r>
        <w:rPr>
          <w:color w:val="222222"/>
          <w:highlight w:val="white"/>
        </w:rPr>
        <w:t xml:space="preserve"> recovery ward. </w:t>
      </w:r>
      <w:r>
        <w:rPr>
          <w:i/>
          <w:color w:val="222222"/>
          <w:highlight w:val="white"/>
        </w:rPr>
        <w:t>National Institute Economic Review</w:t>
      </w:r>
      <w:r>
        <w:rPr>
          <w:color w:val="222222"/>
          <w:highlight w:val="white"/>
        </w:rPr>
        <w:t xml:space="preserve">, </w:t>
      </w:r>
      <w:r>
        <w:rPr>
          <w:i/>
          <w:color w:val="222222"/>
          <w:highlight w:val="white"/>
        </w:rPr>
        <w:t>255</w:t>
      </w:r>
      <w:r>
        <w:rPr>
          <w:color w:val="222222"/>
          <w:highlight w:val="white"/>
        </w:rPr>
        <w:t>.</w:t>
      </w:r>
    </w:p>
    <w:p w14:paraId="74438DEB" w14:textId="77777777" w:rsidR="00AC19BD" w:rsidRDefault="00AC19BD" w:rsidP="00AC19BD">
      <w:pPr>
        <w:pStyle w:val="Normal1"/>
        <w:rPr>
          <w:color w:val="222222"/>
          <w:highlight w:val="white"/>
        </w:rPr>
      </w:pPr>
      <w:proofErr w:type="gramStart"/>
      <w:r>
        <w:rPr>
          <w:color w:val="222222"/>
          <w:highlight w:val="white"/>
        </w:rPr>
        <w:t xml:space="preserve">Min, S., </w:t>
      </w:r>
      <w:proofErr w:type="spellStart"/>
      <w:r>
        <w:rPr>
          <w:color w:val="222222"/>
          <w:highlight w:val="white"/>
        </w:rPr>
        <w:t>Zacharia</w:t>
      </w:r>
      <w:proofErr w:type="spellEnd"/>
      <w:r>
        <w:rPr>
          <w:color w:val="222222"/>
          <w:highlight w:val="white"/>
        </w:rPr>
        <w:t>, Z.G. and Smith, C.D., (2019).</w:t>
      </w:r>
      <w:proofErr w:type="gramEnd"/>
      <w:r>
        <w:rPr>
          <w:color w:val="222222"/>
          <w:highlight w:val="white"/>
        </w:rPr>
        <w:t xml:space="preserve"> Defining supply chain management: in the past, present, and future. </w:t>
      </w:r>
      <w:proofErr w:type="gramStart"/>
      <w:r>
        <w:rPr>
          <w:i/>
          <w:color w:val="222222"/>
          <w:highlight w:val="white"/>
        </w:rPr>
        <w:t>Journal of Business Logistics</w:t>
      </w:r>
      <w:r>
        <w:rPr>
          <w:color w:val="222222"/>
          <w:highlight w:val="white"/>
        </w:rPr>
        <w:t xml:space="preserve">, </w:t>
      </w:r>
      <w:r>
        <w:rPr>
          <w:i/>
          <w:color w:val="222222"/>
          <w:highlight w:val="white"/>
        </w:rPr>
        <w:t>40</w:t>
      </w:r>
      <w:r>
        <w:rPr>
          <w:color w:val="222222"/>
          <w:highlight w:val="white"/>
        </w:rPr>
        <w:t>(1), pp.44-55.</w:t>
      </w:r>
      <w:proofErr w:type="gramEnd"/>
    </w:p>
    <w:p w14:paraId="5EA86615" w14:textId="77777777" w:rsidR="00AC19BD" w:rsidRDefault="00AC19BD" w:rsidP="00AC19BD">
      <w:pPr>
        <w:pStyle w:val="Normal1"/>
        <w:rPr>
          <w:color w:val="222222"/>
          <w:highlight w:val="white"/>
        </w:rPr>
      </w:pPr>
      <w:proofErr w:type="gramStart"/>
      <w:r>
        <w:rPr>
          <w:color w:val="222222"/>
          <w:highlight w:val="white"/>
        </w:rPr>
        <w:t>Payne, J., Manning, M., Fleming, C. and Pham, H.T., (2020).</w:t>
      </w:r>
      <w:proofErr w:type="gramEnd"/>
      <w:r>
        <w:rPr>
          <w:color w:val="222222"/>
          <w:highlight w:val="white"/>
        </w:rPr>
        <w:t xml:space="preserve"> The price elasticity of demand for illicit drugs: A systematic review. </w:t>
      </w:r>
      <w:proofErr w:type="gramStart"/>
      <w:r>
        <w:rPr>
          <w:i/>
          <w:color w:val="222222"/>
          <w:highlight w:val="white"/>
        </w:rPr>
        <w:t>Trends and Issues in Crime and Criminal Justice</w:t>
      </w:r>
      <w:r>
        <w:rPr>
          <w:color w:val="222222"/>
          <w:highlight w:val="white"/>
        </w:rPr>
        <w:t>, (606), pp.1-19.</w:t>
      </w:r>
      <w:proofErr w:type="gramEnd"/>
    </w:p>
    <w:p w14:paraId="7D611B40" w14:textId="77777777" w:rsidR="00AC19BD" w:rsidRDefault="00AC19BD" w:rsidP="00AC19BD">
      <w:pPr>
        <w:pStyle w:val="Normal1"/>
        <w:rPr>
          <w:color w:val="222222"/>
          <w:highlight w:val="white"/>
        </w:rPr>
      </w:pPr>
      <w:proofErr w:type="spellStart"/>
      <w:r>
        <w:rPr>
          <w:color w:val="222222"/>
          <w:highlight w:val="white"/>
        </w:rPr>
        <w:t>Pournader</w:t>
      </w:r>
      <w:proofErr w:type="spellEnd"/>
      <w:r>
        <w:rPr>
          <w:color w:val="222222"/>
          <w:highlight w:val="white"/>
        </w:rPr>
        <w:t xml:space="preserve">, M., </w:t>
      </w:r>
      <w:proofErr w:type="spellStart"/>
      <w:r>
        <w:rPr>
          <w:color w:val="222222"/>
          <w:highlight w:val="white"/>
        </w:rPr>
        <w:t>Kach</w:t>
      </w:r>
      <w:proofErr w:type="spellEnd"/>
      <w:r>
        <w:rPr>
          <w:color w:val="222222"/>
          <w:highlight w:val="white"/>
        </w:rPr>
        <w:t xml:space="preserve">, A. and </w:t>
      </w:r>
      <w:proofErr w:type="spellStart"/>
      <w:r>
        <w:rPr>
          <w:color w:val="222222"/>
          <w:highlight w:val="white"/>
        </w:rPr>
        <w:t>Talluri</w:t>
      </w:r>
      <w:proofErr w:type="spellEnd"/>
      <w:r>
        <w:rPr>
          <w:color w:val="222222"/>
          <w:highlight w:val="white"/>
        </w:rPr>
        <w:t xml:space="preserve">, S., (2020). A review of the existing and emerging topics in the supply chain risk management literature. </w:t>
      </w:r>
      <w:proofErr w:type="gramStart"/>
      <w:r>
        <w:rPr>
          <w:i/>
          <w:color w:val="222222"/>
          <w:highlight w:val="white"/>
        </w:rPr>
        <w:t>Decision Sciences</w:t>
      </w:r>
      <w:r>
        <w:rPr>
          <w:color w:val="222222"/>
          <w:highlight w:val="white"/>
        </w:rPr>
        <w:t xml:space="preserve">, </w:t>
      </w:r>
      <w:r>
        <w:rPr>
          <w:i/>
          <w:color w:val="222222"/>
          <w:highlight w:val="white"/>
        </w:rPr>
        <w:t>51</w:t>
      </w:r>
      <w:r>
        <w:rPr>
          <w:color w:val="222222"/>
          <w:highlight w:val="white"/>
        </w:rPr>
        <w:t>(4), pp.867-919.</w:t>
      </w:r>
      <w:proofErr w:type="gramEnd"/>
    </w:p>
    <w:p w14:paraId="115F6E79" w14:textId="77777777" w:rsidR="00AC19BD" w:rsidRDefault="00AC19BD" w:rsidP="00AC19BD">
      <w:pPr>
        <w:pStyle w:val="Normal1"/>
        <w:rPr>
          <w:color w:val="222222"/>
          <w:highlight w:val="white"/>
        </w:rPr>
      </w:pPr>
      <w:r>
        <w:rPr>
          <w:color w:val="222222"/>
          <w:highlight w:val="white"/>
        </w:rPr>
        <w:lastRenderedPageBreak/>
        <w:t xml:space="preserve">Rauch, D. and Schleicher, D., (2015). Like </w:t>
      </w:r>
      <w:proofErr w:type="spellStart"/>
      <w:r>
        <w:rPr>
          <w:color w:val="222222"/>
          <w:highlight w:val="white"/>
        </w:rPr>
        <w:t>Uber</w:t>
      </w:r>
      <w:proofErr w:type="spellEnd"/>
      <w:r>
        <w:rPr>
          <w:color w:val="222222"/>
          <w:highlight w:val="white"/>
        </w:rPr>
        <w:t>, But for Local Governmental Policy: The Future of Local Regulation of the 'Sharing Economy'. George Mason Law &amp; Economics Research Paper No. 15-01.</w:t>
      </w:r>
    </w:p>
    <w:p w14:paraId="151DD421" w14:textId="77777777" w:rsidR="00AC19BD" w:rsidRDefault="00AC19BD" w:rsidP="00AC19BD">
      <w:pPr>
        <w:pStyle w:val="Normal1"/>
        <w:rPr>
          <w:color w:val="222222"/>
          <w:highlight w:val="white"/>
        </w:rPr>
      </w:pPr>
      <w:proofErr w:type="spellStart"/>
      <w:r>
        <w:rPr>
          <w:color w:val="222222"/>
          <w:highlight w:val="white"/>
        </w:rPr>
        <w:t>Sheffi</w:t>
      </w:r>
      <w:proofErr w:type="spellEnd"/>
      <w:r>
        <w:rPr>
          <w:color w:val="222222"/>
          <w:highlight w:val="white"/>
        </w:rPr>
        <w:t xml:space="preserve">, Y., (2021). What everyone gets wrong about the never-ending COVID-19 supply chain crisis. </w:t>
      </w:r>
      <w:proofErr w:type="gramStart"/>
      <w:r>
        <w:rPr>
          <w:i/>
          <w:color w:val="222222"/>
          <w:highlight w:val="white"/>
        </w:rPr>
        <w:t>MIT Sloan Management Review</w:t>
      </w:r>
      <w:r>
        <w:rPr>
          <w:color w:val="222222"/>
          <w:highlight w:val="white"/>
        </w:rPr>
        <w:t xml:space="preserve">, </w:t>
      </w:r>
      <w:r>
        <w:rPr>
          <w:i/>
          <w:color w:val="222222"/>
          <w:highlight w:val="white"/>
        </w:rPr>
        <w:t>63</w:t>
      </w:r>
      <w:r>
        <w:rPr>
          <w:color w:val="222222"/>
          <w:highlight w:val="white"/>
        </w:rPr>
        <w:t>(1), pp.1-5.</w:t>
      </w:r>
      <w:proofErr w:type="gramEnd"/>
    </w:p>
    <w:p w14:paraId="345FA3FF" w14:textId="77777777" w:rsidR="00AC19BD" w:rsidRDefault="00AC19BD" w:rsidP="00AC19BD">
      <w:pPr>
        <w:pStyle w:val="Normal1"/>
        <w:rPr>
          <w:color w:val="222222"/>
          <w:highlight w:val="white"/>
        </w:rPr>
      </w:pPr>
      <w:proofErr w:type="spellStart"/>
      <w:proofErr w:type="gramStart"/>
      <w:r>
        <w:rPr>
          <w:color w:val="222222"/>
          <w:highlight w:val="white"/>
        </w:rPr>
        <w:t>Svanberg</w:t>
      </w:r>
      <w:proofErr w:type="spellEnd"/>
      <w:r>
        <w:rPr>
          <w:color w:val="222222"/>
          <w:highlight w:val="white"/>
        </w:rPr>
        <w:t>, M., (2020).</w:t>
      </w:r>
      <w:proofErr w:type="gramEnd"/>
      <w:r>
        <w:rPr>
          <w:color w:val="222222"/>
          <w:highlight w:val="white"/>
        </w:rPr>
        <w:t xml:space="preserve"> </w:t>
      </w:r>
      <w:proofErr w:type="gramStart"/>
      <w:r>
        <w:rPr>
          <w:color w:val="222222"/>
          <w:highlight w:val="white"/>
        </w:rPr>
        <w:t>Guidelines for establishing practical relevance in logistics and supply chain management research.</w:t>
      </w:r>
      <w:proofErr w:type="gramEnd"/>
      <w:r>
        <w:rPr>
          <w:color w:val="222222"/>
          <w:highlight w:val="white"/>
        </w:rPr>
        <w:t xml:space="preserve"> </w:t>
      </w:r>
      <w:proofErr w:type="gramStart"/>
      <w:r>
        <w:rPr>
          <w:i/>
          <w:color w:val="222222"/>
          <w:highlight w:val="white"/>
        </w:rPr>
        <w:t>International Journal of Physical Distribution &amp; Logistics Management</w:t>
      </w:r>
      <w:r>
        <w:rPr>
          <w:color w:val="222222"/>
          <w:highlight w:val="white"/>
        </w:rPr>
        <w:t xml:space="preserve">, </w:t>
      </w:r>
      <w:r>
        <w:rPr>
          <w:i/>
          <w:color w:val="222222"/>
          <w:highlight w:val="white"/>
        </w:rPr>
        <w:t>50</w:t>
      </w:r>
      <w:r>
        <w:rPr>
          <w:color w:val="222222"/>
          <w:highlight w:val="white"/>
        </w:rPr>
        <w:t>(2), pp.215-232.</w:t>
      </w:r>
      <w:proofErr w:type="gramEnd"/>
    </w:p>
    <w:p w14:paraId="54233558" w14:textId="77777777" w:rsidR="00AC19BD" w:rsidRDefault="00AC19BD" w:rsidP="00AC19BD">
      <w:pPr>
        <w:pStyle w:val="Normal1"/>
      </w:pPr>
      <w:r>
        <w:t xml:space="preserve">Taylor, R., (2023). </w:t>
      </w:r>
      <w:proofErr w:type="gramStart"/>
      <w:r>
        <w:rPr>
          <w:i/>
        </w:rPr>
        <w:t>An SME's Guide to Supply and Demand.</w:t>
      </w:r>
      <w:proofErr w:type="gramEnd"/>
      <w:r>
        <w:rPr>
          <w:i/>
        </w:rPr>
        <w:t xml:space="preserve"> </w:t>
      </w:r>
      <w:r>
        <w:t xml:space="preserve">Available at: </w:t>
      </w:r>
      <w:hyperlink r:id="rId15">
        <w:r>
          <w:rPr>
            <w:color w:val="1155CC"/>
            <w:u w:val="single"/>
          </w:rPr>
          <w:t>https://fleximize.com/articles/002211/what-is-supply-and-demand</w:t>
        </w:r>
      </w:hyperlink>
      <w:r>
        <w:t xml:space="preserve"> [Accessed 29 November 2023] </w:t>
      </w:r>
    </w:p>
    <w:p w14:paraId="65C24449" w14:textId="77777777" w:rsidR="00AC19BD" w:rsidRDefault="00AC19BD" w:rsidP="00AC19BD">
      <w:pPr>
        <w:pStyle w:val="Normal1"/>
        <w:rPr>
          <w:color w:val="222222"/>
          <w:highlight w:val="white"/>
        </w:rPr>
      </w:pPr>
      <w:proofErr w:type="spellStart"/>
      <w:proofErr w:type="gramStart"/>
      <w:r>
        <w:rPr>
          <w:color w:val="222222"/>
          <w:highlight w:val="white"/>
        </w:rPr>
        <w:t>Zubritskiy</w:t>
      </w:r>
      <w:proofErr w:type="spellEnd"/>
      <w:r>
        <w:rPr>
          <w:color w:val="222222"/>
          <w:highlight w:val="white"/>
        </w:rPr>
        <w:t xml:space="preserve">, M.A., </w:t>
      </w:r>
      <w:proofErr w:type="spellStart"/>
      <w:r>
        <w:rPr>
          <w:color w:val="222222"/>
          <w:highlight w:val="white"/>
        </w:rPr>
        <w:t>Ushakov</w:t>
      </w:r>
      <w:proofErr w:type="spellEnd"/>
      <w:r>
        <w:rPr>
          <w:color w:val="222222"/>
          <w:highlight w:val="white"/>
        </w:rPr>
        <w:t xml:space="preserve">, O.Y. and </w:t>
      </w:r>
      <w:proofErr w:type="spellStart"/>
      <w:r>
        <w:rPr>
          <w:color w:val="222222"/>
          <w:highlight w:val="white"/>
        </w:rPr>
        <w:t>Sabitov</w:t>
      </w:r>
      <w:proofErr w:type="spellEnd"/>
      <w:r>
        <w:rPr>
          <w:color w:val="222222"/>
          <w:highlight w:val="white"/>
        </w:rPr>
        <w:t>, L.S., (2019, July).</w:t>
      </w:r>
      <w:proofErr w:type="gramEnd"/>
      <w:r>
        <w:rPr>
          <w:color w:val="222222"/>
          <w:highlight w:val="white"/>
        </w:rPr>
        <w:t xml:space="preserve"> </w:t>
      </w:r>
      <w:proofErr w:type="gramStart"/>
      <w:r>
        <w:rPr>
          <w:color w:val="222222"/>
          <w:highlight w:val="white"/>
        </w:rPr>
        <w:t>Performance-based seismic evaluation methods for the estimation of inelastic deformation demands.</w:t>
      </w:r>
      <w:proofErr w:type="gramEnd"/>
      <w:r>
        <w:rPr>
          <w:color w:val="222222"/>
          <w:highlight w:val="white"/>
        </w:rPr>
        <w:t xml:space="preserve"> In </w:t>
      </w:r>
      <w:r>
        <w:rPr>
          <w:i/>
          <w:color w:val="222222"/>
          <w:highlight w:val="white"/>
        </w:rPr>
        <w:t>IOP Conference Series: Materials Science and Engineering</w:t>
      </w:r>
      <w:r>
        <w:rPr>
          <w:color w:val="222222"/>
          <w:highlight w:val="white"/>
        </w:rPr>
        <w:t xml:space="preserve"> (Vol. 570, No. 1, p. 012108). </w:t>
      </w:r>
      <w:proofErr w:type="gramStart"/>
      <w:r>
        <w:rPr>
          <w:color w:val="222222"/>
          <w:highlight w:val="white"/>
        </w:rPr>
        <w:t>IOP Publishing.</w:t>
      </w:r>
      <w:proofErr w:type="gramEnd"/>
    </w:p>
    <w:p w14:paraId="6EABED6F" w14:textId="77777777" w:rsidR="007847AC" w:rsidRDefault="007847AC">
      <w:pPr>
        <w:pStyle w:val="Normal1"/>
      </w:pPr>
    </w:p>
    <w:p w14:paraId="54C0BB13" w14:textId="77777777" w:rsidR="007847AC" w:rsidRDefault="007847AC">
      <w:pPr>
        <w:pStyle w:val="Normal1"/>
        <w:rPr>
          <w:color w:val="222222"/>
          <w:highlight w:val="white"/>
        </w:rPr>
      </w:pPr>
    </w:p>
    <w:p w14:paraId="00D5BC92" w14:textId="77777777" w:rsidR="007847AC" w:rsidRDefault="007847AC">
      <w:pPr>
        <w:pStyle w:val="Normal1"/>
        <w:rPr>
          <w:color w:val="222222"/>
          <w:highlight w:val="white"/>
        </w:rPr>
      </w:pPr>
    </w:p>
    <w:p w14:paraId="22AFD966" w14:textId="77777777" w:rsidR="007847AC" w:rsidRDefault="007847AC">
      <w:pPr>
        <w:pStyle w:val="Normal1"/>
        <w:rPr>
          <w:color w:val="222222"/>
          <w:highlight w:val="white"/>
        </w:rPr>
      </w:pPr>
    </w:p>
    <w:p w14:paraId="4F33E5E9" w14:textId="77777777" w:rsidR="007847AC" w:rsidRDefault="007847AC">
      <w:pPr>
        <w:pStyle w:val="Normal1"/>
        <w:rPr>
          <w:rFonts w:ascii="Arial" w:eastAsia="Arial" w:hAnsi="Arial" w:cs="Arial"/>
          <w:color w:val="222222"/>
          <w:sz w:val="20"/>
          <w:szCs w:val="20"/>
          <w:highlight w:val="white"/>
        </w:rPr>
      </w:pPr>
    </w:p>
    <w:p w14:paraId="65F3CD59" w14:textId="77777777" w:rsidR="007847AC" w:rsidRDefault="007847AC">
      <w:pPr>
        <w:pStyle w:val="Normal1"/>
      </w:pPr>
    </w:p>
    <w:sectPr w:rsidR="007847AC" w:rsidSect="00AC19BD">
      <w:headerReference w:type="default" r:id="rId16"/>
      <w:footerReference w:type="default" r:id="rId17"/>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8C9673" w14:textId="77777777" w:rsidR="00B7089B" w:rsidRDefault="00B7089B" w:rsidP="00AC19BD">
      <w:pPr>
        <w:spacing w:after="0" w:line="240" w:lineRule="auto"/>
      </w:pPr>
      <w:r>
        <w:separator/>
      </w:r>
    </w:p>
  </w:endnote>
  <w:endnote w:type="continuationSeparator" w:id="0">
    <w:p w14:paraId="5E6662A7" w14:textId="77777777" w:rsidR="00B7089B" w:rsidRDefault="00B7089B" w:rsidP="00AC1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10972343"/>
      <w:docPartObj>
        <w:docPartGallery w:val="Page Numbers (Bottom of Page)"/>
        <w:docPartUnique/>
      </w:docPartObj>
    </w:sdtPr>
    <w:sdtEndPr/>
    <w:sdtContent>
      <w:sdt>
        <w:sdtPr>
          <w:id w:val="-1769616900"/>
          <w:docPartObj>
            <w:docPartGallery w:val="Page Numbers (Top of Page)"/>
            <w:docPartUnique/>
          </w:docPartObj>
        </w:sdtPr>
        <w:sdtEndPr/>
        <w:sdtContent>
          <w:p w14:paraId="399C9CF6" w14:textId="1BC8E03A" w:rsidR="00AC19BD" w:rsidRDefault="00AC19BD">
            <w:pPr>
              <w:pStyle w:val="Footer"/>
              <w:jc w:val="right"/>
            </w:pPr>
            <w:r>
              <w:t xml:space="preserve">Page </w:t>
            </w:r>
            <w:r>
              <w:rPr>
                <w:b/>
                <w:bCs/>
              </w:rPr>
              <w:fldChar w:fldCharType="begin"/>
            </w:r>
            <w:r>
              <w:rPr>
                <w:b/>
                <w:bCs/>
              </w:rPr>
              <w:instrText xml:space="preserve"> PAGE </w:instrText>
            </w:r>
            <w:r>
              <w:rPr>
                <w:b/>
                <w:bCs/>
              </w:rPr>
              <w:fldChar w:fldCharType="separate"/>
            </w:r>
            <w:r w:rsidR="00376B78">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sidR="00376B78">
              <w:rPr>
                <w:b/>
                <w:bCs/>
                <w:noProof/>
              </w:rPr>
              <w:t>15</w:t>
            </w:r>
            <w:r>
              <w:rPr>
                <w:b/>
                <w:bCs/>
              </w:rPr>
              <w:fldChar w:fldCharType="end"/>
            </w:r>
          </w:p>
        </w:sdtContent>
      </w:sdt>
    </w:sdtContent>
  </w:sdt>
  <w:p w14:paraId="36524933" w14:textId="77777777" w:rsidR="00AC19BD" w:rsidRDefault="00AC19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50C859" w14:textId="77777777" w:rsidR="00B7089B" w:rsidRDefault="00B7089B" w:rsidP="00AC19BD">
      <w:pPr>
        <w:spacing w:after="0" w:line="240" w:lineRule="auto"/>
      </w:pPr>
      <w:r>
        <w:separator/>
      </w:r>
    </w:p>
  </w:footnote>
  <w:footnote w:type="continuationSeparator" w:id="0">
    <w:p w14:paraId="77CBB625" w14:textId="77777777" w:rsidR="00B7089B" w:rsidRDefault="00B7089B" w:rsidP="00AC19B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6EBA33" w14:textId="6C763C6F" w:rsidR="00AC19BD" w:rsidRDefault="00AC19BD" w:rsidP="00AC19BD">
    <w:pPr>
      <w:jc w:val="right"/>
    </w:pPr>
    <w:r w:rsidRPr="00AC19BD">
      <w:t>LCBB5008- Management Economics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371018"/>
    <w:multiLevelType w:val="hybridMultilevel"/>
    <w:tmpl w:val="5328AB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47AC"/>
    <w:rsid w:val="001E23B7"/>
    <w:rsid w:val="00234722"/>
    <w:rsid w:val="00376B78"/>
    <w:rsid w:val="007847AC"/>
    <w:rsid w:val="00841A0A"/>
    <w:rsid w:val="008733F2"/>
    <w:rsid w:val="00AC19BD"/>
    <w:rsid w:val="00B7089B"/>
    <w:rsid w:val="00E105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7D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 w:eastAsia="en-US" w:bidi="ar-SA"/>
      </w:rPr>
    </w:rPrDefault>
    <w:pPrDefault>
      <w:pPr>
        <w:spacing w:after="200"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pPr>
      <w:keepNext/>
      <w:keepLines/>
      <w:spacing w:before="480" w:after="160"/>
      <w:outlineLvl w:val="0"/>
    </w:pPr>
    <w:rPr>
      <w:b/>
      <w:sz w:val="28"/>
      <w:szCs w:val="28"/>
    </w:rPr>
  </w:style>
  <w:style w:type="paragraph" w:styleId="Heading2">
    <w:name w:val="heading 2"/>
    <w:basedOn w:val="Normal1"/>
    <w:next w:val="Normal1"/>
    <w:pPr>
      <w:keepNext/>
      <w:keepLines/>
      <w:spacing w:before="360" w:after="80"/>
      <w:outlineLvl w:val="1"/>
    </w:pPr>
    <w:rPr>
      <w:b/>
      <w:sz w:val="26"/>
      <w:szCs w:val="26"/>
    </w:rPr>
  </w:style>
  <w:style w:type="paragraph" w:styleId="Heading3">
    <w:name w:val="heading 3"/>
    <w:basedOn w:val="Normal1"/>
    <w:next w:val="Normal1"/>
    <w:pPr>
      <w:keepNext/>
      <w:keepLines/>
      <w:spacing w:before="280" w:after="80"/>
      <w:outlineLvl w:val="2"/>
    </w:pPr>
    <w:rPr>
      <w:i/>
      <w:u w:val="single"/>
    </w:rPr>
  </w:style>
  <w:style w:type="paragraph" w:styleId="Heading4">
    <w:name w:val="heading 4"/>
    <w:basedOn w:val="Normal1"/>
    <w:next w:val="Normal1"/>
    <w:pPr>
      <w:keepNext/>
      <w:keepLines/>
      <w:spacing w:before="240" w:after="40"/>
      <w:outlineLvl w:val="3"/>
    </w:pPr>
    <w:rPr>
      <w:b/>
    </w:rPr>
  </w:style>
  <w:style w:type="paragraph" w:styleId="Heading5">
    <w:name w:val="heading 5"/>
    <w:basedOn w:val="Normal1"/>
    <w:next w:val="Normal1"/>
    <w:pPr>
      <w:keepNext/>
      <w:keepLines/>
      <w:spacing w:before="220" w:after="40"/>
      <w:outlineLvl w:val="4"/>
    </w:pPr>
    <w:rPr>
      <w:b/>
      <w:sz w:val="22"/>
      <w:szCs w:val="22"/>
    </w:rPr>
  </w:style>
  <w:style w:type="paragraph" w:styleId="Heading6">
    <w:name w:val="heading 6"/>
    <w:basedOn w:val="Normal1"/>
    <w:next w:val="Normal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480" w:after="120"/>
    </w:pPr>
    <w:rPr>
      <w:b/>
      <w:sz w:val="72"/>
      <w:szCs w:val="72"/>
    </w:rPr>
  </w:style>
  <w:style w:type="paragraph" w:styleId="Subtitle">
    <w:name w:val="Subtitle"/>
    <w:basedOn w:val="Normal1"/>
    <w:next w:val="Normal1"/>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AC1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9BD"/>
  </w:style>
  <w:style w:type="paragraph" w:styleId="Footer">
    <w:name w:val="footer"/>
    <w:basedOn w:val="Normal"/>
    <w:link w:val="FooterChar"/>
    <w:uiPriority w:val="99"/>
    <w:unhideWhenUsed/>
    <w:rsid w:val="00AC1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9BD"/>
  </w:style>
  <w:style w:type="paragraph" w:styleId="TOCHeading">
    <w:name w:val="TOC Heading"/>
    <w:basedOn w:val="Heading1"/>
    <w:next w:val="Normal"/>
    <w:uiPriority w:val="39"/>
    <w:unhideWhenUsed/>
    <w:qFormat/>
    <w:rsid w:val="001E23B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E23B7"/>
    <w:pPr>
      <w:spacing w:after="100"/>
    </w:pPr>
  </w:style>
  <w:style w:type="paragraph" w:styleId="TOC2">
    <w:name w:val="toc 2"/>
    <w:basedOn w:val="Normal"/>
    <w:next w:val="Normal"/>
    <w:autoRedefine/>
    <w:uiPriority w:val="39"/>
    <w:unhideWhenUsed/>
    <w:rsid w:val="001E23B7"/>
    <w:pPr>
      <w:spacing w:after="100"/>
      <w:ind w:left="240"/>
    </w:pPr>
  </w:style>
  <w:style w:type="character" w:styleId="Hyperlink">
    <w:name w:val="Hyperlink"/>
    <w:basedOn w:val="DefaultParagraphFont"/>
    <w:uiPriority w:val="99"/>
    <w:unhideWhenUsed/>
    <w:rsid w:val="001E23B7"/>
    <w:rPr>
      <w:color w:val="0000FF" w:themeColor="hyperlink"/>
      <w:u w:val="single"/>
    </w:rPr>
  </w:style>
  <w:style w:type="paragraph" w:styleId="BalloonText">
    <w:name w:val="Balloon Text"/>
    <w:basedOn w:val="Normal"/>
    <w:link w:val="BalloonTextChar"/>
    <w:uiPriority w:val="99"/>
    <w:semiHidden/>
    <w:unhideWhenUsed/>
    <w:rsid w:val="002347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472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 w:eastAsia="en-US" w:bidi="ar-SA"/>
      </w:rPr>
    </w:rPrDefault>
    <w:pPrDefault>
      <w:pPr>
        <w:spacing w:after="200"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pPr>
      <w:keepNext/>
      <w:keepLines/>
      <w:spacing w:before="480" w:after="160"/>
      <w:outlineLvl w:val="0"/>
    </w:pPr>
    <w:rPr>
      <w:b/>
      <w:sz w:val="28"/>
      <w:szCs w:val="28"/>
    </w:rPr>
  </w:style>
  <w:style w:type="paragraph" w:styleId="Heading2">
    <w:name w:val="heading 2"/>
    <w:basedOn w:val="Normal1"/>
    <w:next w:val="Normal1"/>
    <w:pPr>
      <w:keepNext/>
      <w:keepLines/>
      <w:spacing w:before="360" w:after="80"/>
      <w:outlineLvl w:val="1"/>
    </w:pPr>
    <w:rPr>
      <w:b/>
      <w:sz w:val="26"/>
      <w:szCs w:val="26"/>
    </w:rPr>
  </w:style>
  <w:style w:type="paragraph" w:styleId="Heading3">
    <w:name w:val="heading 3"/>
    <w:basedOn w:val="Normal1"/>
    <w:next w:val="Normal1"/>
    <w:pPr>
      <w:keepNext/>
      <w:keepLines/>
      <w:spacing w:before="280" w:after="80"/>
      <w:outlineLvl w:val="2"/>
    </w:pPr>
    <w:rPr>
      <w:i/>
      <w:u w:val="single"/>
    </w:rPr>
  </w:style>
  <w:style w:type="paragraph" w:styleId="Heading4">
    <w:name w:val="heading 4"/>
    <w:basedOn w:val="Normal1"/>
    <w:next w:val="Normal1"/>
    <w:pPr>
      <w:keepNext/>
      <w:keepLines/>
      <w:spacing w:before="240" w:after="40"/>
      <w:outlineLvl w:val="3"/>
    </w:pPr>
    <w:rPr>
      <w:b/>
    </w:rPr>
  </w:style>
  <w:style w:type="paragraph" w:styleId="Heading5">
    <w:name w:val="heading 5"/>
    <w:basedOn w:val="Normal1"/>
    <w:next w:val="Normal1"/>
    <w:pPr>
      <w:keepNext/>
      <w:keepLines/>
      <w:spacing w:before="220" w:after="40"/>
      <w:outlineLvl w:val="4"/>
    </w:pPr>
    <w:rPr>
      <w:b/>
      <w:sz w:val="22"/>
      <w:szCs w:val="22"/>
    </w:rPr>
  </w:style>
  <w:style w:type="paragraph" w:styleId="Heading6">
    <w:name w:val="heading 6"/>
    <w:basedOn w:val="Normal1"/>
    <w:next w:val="Normal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480" w:after="120"/>
    </w:pPr>
    <w:rPr>
      <w:b/>
      <w:sz w:val="72"/>
      <w:szCs w:val="72"/>
    </w:rPr>
  </w:style>
  <w:style w:type="paragraph" w:styleId="Subtitle">
    <w:name w:val="Subtitle"/>
    <w:basedOn w:val="Normal1"/>
    <w:next w:val="Normal1"/>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AC1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9BD"/>
  </w:style>
  <w:style w:type="paragraph" w:styleId="Footer">
    <w:name w:val="footer"/>
    <w:basedOn w:val="Normal"/>
    <w:link w:val="FooterChar"/>
    <w:uiPriority w:val="99"/>
    <w:unhideWhenUsed/>
    <w:rsid w:val="00AC1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9BD"/>
  </w:style>
  <w:style w:type="paragraph" w:styleId="TOCHeading">
    <w:name w:val="TOC Heading"/>
    <w:basedOn w:val="Heading1"/>
    <w:next w:val="Normal"/>
    <w:uiPriority w:val="39"/>
    <w:unhideWhenUsed/>
    <w:qFormat/>
    <w:rsid w:val="001E23B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E23B7"/>
    <w:pPr>
      <w:spacing w:after="100"/>
    </w:pPr>
  </w:style>
  <w:style w:type="paragraph" w:styleId="TOC2">
    <w:name w:val="toc 2"/>
    <w:basedOn w:val="Normal"/>
    <w:next w:val="Normal"/>
    <w:autoRedefine/>
    <w:uiPriority w:val="39"/>
    <w:unhideWhenUsed/>
    <w:rsid w:val="001E23B7"/>
    <w:pPr>
      <w:spacing w:after="100"/>
      <w:ind w:left="240"/>
    </w:pPr>
  </w:style>
  <w:style w:type="character" w:styleId="Hyperlink">
    <w:name w:val="Hyperlink"/>
    <w:basedOn w:val="DefaultParagraphFont"/>
    <w:uiPriority w:val="99"/>
    <w:unhideWhenUsed/>
    <w:rsid w:val="001E23B7"/>
    <w:rPr>
      <w:color w:val="0000FF" w:themeColor="hyperlink"/>
      <w:u w:val="single"/>
    </w:rPr>
  </w:style>
  <w:style w:type="paragraph" w:styleId="BalloonText">
    <w:name w:val="Balloon Text"/>
    <w:basedOn w:val="Normal"/>
    <w:link w:val="BalloonTextChar"/>
    <w:uiPriority w:val="99"/>
    <w:semiHidden/>
    <w:unhideWhenUsed/>
    <w:rsid w:val="002347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47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uidance/rules-that-have-been-relaxed-to-help-businesses-during-the-coronavirus-pandemic"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fleetnews.co.uk/costs/fuel-pric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ol.com/terms/s/supply-and-demand/" TargetMode="External"/><Relationship Id="rId5" Type="http://schemas.openxmlformats.org/officeDocument/2006/relationships/settings" Target="settings.xml"/><Relationship Id="rId15" Type="http://schemas.openxmlformats.org/officeDocument/2006/relationships/hyperlink" Target="https://fleximize.com/articles/002211/what-is-supply-and-demand" TargetMode="External"/><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instituteforgovernment.org.uk/explainer/supply-chain-probl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35F55-457B-4F68-AAA0-B88035AF7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3405</Words>
  <Characters>19411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dc:creator>
  <cp:lastModifiedBy>X</cp:lastModifiedBy>
  <cp:revision>4</cp:revision>
  <dcterms:created xsi:type="dcterms:W3CDTF">2023-12-02T21:05:00Z</dcterms:created>
  <dcterms:modified xsi:type="dcterms:W3CDTF">2023-12-02T21:16:00Z</dcterms:modified>
</cp:coreProperties>
</file>