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F5FC8" w14:textId="5BC76CF7" w:rsidR="00883E11" w:rsidRPr="00775CEF" w:rsidRDefault="00C26691" w:rsidP="00B223D6">
      <w:pPr>
        <w:pStyle w:val="NoSpacing"/>
        <w:spacing w:line="276" w:lineRule="auto"/>
        <w:rPr>
          <w:rFonts w:ascii="Arial" w:hAnsi="Arial" w:cs="Arial"/>
          <w:sz w:val="22"/>
          <w:szCs w:val="22"/>
        </w:rPr>
      </w:pPr>
      <w:r w:rsidRPr="00775CEF">
        <w:rPr>
          <w:rFonts w:ascii="Arial" w:hAnsi="Arial" w:cs="Arial"/>
          <w:noProof/>
          <w:sz w:val="22"/>
          <w:szCs w:val="22"/>
        </w:rPr>
        <w:drawing>
          <wp:inline distT="0" distB="0" distL="0" distR="0" wp14:anchorId="0D3AA0E6" wp14:editId="0148A707">
            <wp:extent cx="4443730" cy="3572142"/>
            <wp:effectExtent l="0" t="0" r="0" b="9525"/>
            <wp:docPr id="140668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53173" cy="3579733"/>
                    </a:xfrm>
                    <a:prstGeom prst="rect">
                      <a:avLst/>
                    </a:prstGeom>
                    <a:noFill/>
                    <a:ln>
                      <a:noFill/>
                    </a:ln>
                  </pic:spPr>
                </pic:pic>
              </a:graphicData>
            </a:graphic>
          </wp:inline>
        </w:drawing>
      </w:r>
      <w:r w:rsidRPr="00775CEF">
        <w:rPr>
          <w:rFonts w:ascii="Arial" w:hAnsi="Arial" w:cs="Arial"/>
          <w:b/>
          <w:bCs/>
          <w:sz w:val="22"/>
          <w:szCs w:val="22"/>
        </w:rPr>
        <w:br/>
      </w:r>
      <w:r w:rsidRPr="00775CEF">
        <w:rPr>
          <w:rFonts w:ascii="Arial" w:hAnsi="Arial" w:cs="Arial"/>
          <w:b/>
          <w:bCs/>
          <w:sz w:val="22"/>
          <w:szCs w:val="22"/>
        </w:rPr>
        <w:br/>
      </w:r>
      <w:r w:rsidR="00883E11" w:rsidRPr="00775CEF">
        <w:rPr>
          <w:rFonts w:ascii="Arial" w:hAnsi="Arial" w:cs="Arial"/>
          <w:b/>
          <w:bCs/>
          <w:sz w:val="22"/>
          <w:szCs w:val="22"/>
        </w:rPr>
        <w:t>Module:</w:t>
      </w:r>
      <w:r w:rsidR="00883E11" w:rsidRPr="00775CEF">
        <w:rPr>
          <w:rFonts w:ascii="Arial" w:hAnsi="Arial" w:cs="Arial"/>
          <w:sz w:val="22"/>
          <w:szCs w:val="22"/>
        </w:rPr>
        <w:t xml:space="preserve"> LCLM6001 – Strategic Management for Business</w:t>
      </w:r>
      <w:r w:rsidR="00A526B5">
        <w:rPr>
          <w:rFonts w:ascii="Arial" w:hAnsi="Arial" w:cs="Arial"/>
          <w:sz w:val="22"/>
          <w:szCs w:val="22"/>
        </w:rPr>
        <w:br/>
      </w:r>
    </w:p>
    <w:p w14:paraId="61EA4C47" w14:textId="77777777" w:rsidR="00883E11" w:rsidRPr="00775CEF" w:rsidRDefault="00883E11" w:rsidP="00B223D6">
      <w:pPr>
        <w:pStyle w:val="NoSpacing"/>
        <w:spacing w:line="276" w:lineRule="auto"/>
        <w:rPr>
          <w:rFonts w:ascii="Arial" w:hAnsi="Arial" w:cs="Arial"/>
          <w:sz w:val="22"/>
          <w:szCs w:val="22"/>
        </w:rPr>
      </w:pPr>
      <w:r w:rsidRPr="00775CEF">
        <w:rPr>
          <w:rFonts w:ascii="Arial" w:hAnsi="Arial" w:cs="Arial"/>
          <w:b/>
          <w:bCs/>
          <w:sz w:val="22"/>
          <w:szCs w:val="22"/>
        </w:rPr>
        <w:t>Student:</w:t>
      </w:r>
      <w:r w:rsidRPr="00775CEF">
        <w:rPr>
          <w:rFonts w:ascii="Arial" w:hAnsi="Arial" w:cs="Arial"/>
          <w:sz w:val="22"/>
          <w:szCs w:val="22"/>
        </w:rPr>
        <w:t xml:space="preserve"> Alin-Florin Iordache</w:t>
      </w:r>
    </w:p>
    <w:p w14:paraId="747D2AB6" w14:textId="0CAC3260" w:rsidR="00883E11" w:rsidRPr="00775CEF" w:rsidRDefault="00A526B5" w:rsidP="00B223D6">
      <w:pPr>
        <w:pStyle w:val="NoSpacing"/>
        <w:spacing w:line="276" w:lineRule="auto"/>
        <w:rPr>
          <w:rFonts w:ascii="Arial" w:hAnsi="Arial" w:cs="Arial"/>
          <w:sz w:val="22"/>
          <w:szCs w:val="22"/>
        </w:rPr>
      </w:pPr>
      <w:r>
        <w:rPr>
          <w:rFonts w:ascii="Arial" w:hAnsi="Arial" w:cs="Arial"/>
          <w:b/>
          <w:bCs/>
          <w:sz w:val="22"/>
          <w:szCs w:val="22"/>
        </w:rPr>
        <w:br/>
      </w:r>
      <w:r w:rsidR="00883E11" w:rsidRPr="00775CEF">
        <w:rPr>
          <w:rFonts w:ascii="Arial" w:hAnsi="Arial" w:cs="Arial"/>
          <w:b/>
          <w:bCs/>
          <w:sz w:val="22"/>
          <w:szCs w:val="22"/>
        </w:rPr>
        <w:t>Student ID:</w:t>
      </w:r>
      <w:r w:rsidR="00883E11" w:rsidRPr="00775CEF">
        <w:rPr>
          <w:rFonts w:ascii="Arial" w:hAnsi="Arial" w:cs="Arial"/>
          <w:sz w:val="22"/>
          <w:szCs w:val="22"/>
        </w:rPr>
        <w:t xml:space="preserve"> 2330653</w:t>
      </w:r>
    </w:p>
    <w:p w14:paraId="00DC900B" w14:textId="45153CE7" w:rsidR="00883E11" w:rsidRPr="00775CEF" w:rsidRDefault="00A526B5" w:rsidP="00B223D6">
      <w:pPr>
        <w:pStyle w:val="NoSpacing"/>
        <w:spacing w:line="276" w:lineRule="auto"/>
        <w:rPr>
          <w:rFonts w:ascii="Arial" w:hAnsi="Arial" w:cs="Arial"/>
          <w:sz w:val="22"/>
          <w:szCs w:val="22"/>
        </w:rPr>
      </w:pPr>
      <w:r>
        <w:rPr>
          <w:rFonts w:ascii="Arial" w:hAnsi="Arial" w:cs="Arial"/>
          <w:b/>
          <w:bCs/>
          <w:sz w:val="22"/>
          <w:szCs w:val="22"/>
        </w:rPr>
        <w:br/>
      </w:r>
      <w:r w:rsidR="00883E11" w:rsidRPr="00775CEF">
        <w:rPr>
          <w:rFonts w:ascii="Arial" w:hAnsi="Arial" w:cs="Arial"/>
          <w:b/>
          <w:bCs/>
          <w:sz w:val="22"/>
          <w:szCs w:val="22"/>
        </w:rPr>
        <w:t>Module Tutor:</w:t>
      </w:r>
      <w:r w:rsidR="00883E11" w:rsidRPr="00775CEF">
        <w:rPr>
          <w:rFonts w:ascii="Arial" w:hAnsi="Arial" w:cs="Arial"/>
          <w:sz w:val="22"/>
          <w:szCs w:val="22"/>
        </w:rPr>
        <w:t xml:space="preserve"> </w:t>
      </w:r>
      <w:r w:rsidR="00883E11" w:rsidRPr="00775CEF">
        <w:rPr>
          <w:rFonts w:ascii="Arial" w:hAnsi="Arial" w:cs="Arial"/>
          <w:i/>
          <w:iCs/>
          <w:sz w:val="22"/>
          <w:szCs w:val="22"/>
        </w:rPr>
        <w:t>Yohan Mendis</w:t>
      </w:r>
    </w:p>
    <w:p w14:paraId="35FD9CD3" w14:textId="38857E91" w:rsidR="00484F83" w:rsidRPr="00775CEF" w:rsidRDefault="00A526B5" w:rsidP="00B223D6">
      <w:pPr>
        <w:pStyle w:val="NoSpacing"/>
        <w:spacing w:line="276" w:lineRule="auto"/>
        <w:rPr>
          <w:rFonts w:ascii="Arial" w:hAnsi="Arial" w:cs="Arial"/>
          <w:sz w:val="22"/>
          <w:szCs w:val="22"/>
        </w:rPr>
      </w:pPr>
      <w:r>
        <w:rPr>
          <w:rFonts w:ascii="Arial" w:hAnsi="Arial" w:cs="Arial"/>
          <w:b/>
          <w:bCs/>
          <w:sz w:val="22"/>
          <w:szCs w:val="22"/>
        </w:rPr>
        <w:br/>
      </w:r>
      <w:r w:rsidR="00883E11" w:rsidRPr="00775CEF">
        <w:rPr>
          <w:rFonts w:ascii="Arial" w:hAnsi="Arial" w:cs="Arial"/>
          <w:b/>
          <w:bCs/>
          <w:sz w:val="22"/>
          <w:szCs w:val="22"/>
        </w:rPr>
        <w:t>University:</w:t>
      </w:r>
      <w:r w:rsidR="00883E11" w:rsidRPr="00775CEF">
        <w:rPr>
          <w:rFonts w:ascii="Arial" w:hAnsi="Arial" w:cs="Arial"/>
          <w:sz w:val="22"/>
          <w:szCs w:val="22"/>
        </w:rPr>
        <w:t xml:space="preserve"> University of Wales Trinity Saint David</w:t>
      </w:r>
      <w:r w:rsidR="00A77E9C" w:rsidRPr="00775CEF">
        <w:rPr>
          <w:rFonts w:ascii="Arial" w:hAnsi="Arial" w:cs="Arial"/>
          <w:sz w:val="22"/>
          <w:szCs w:val="22"/>
        </w:rPr>
        <w:br/>
      </w:r>
      <w:r>
        <w:rPr>
          <w:rFonts w:ascii="Arial" w:hAnsi="Arial" w:cs="Arial"/>
          <w:b/>
          <w:bCs/>
          <w:sz w:val="22"/>
          <w:szCs w:val="22"/>
        </w:rPr>
        <w:br/>
      </w:r>
      <w:r w:rsidR="004F7BC0" w:rsidRPr="00775CEF">
        <w:rPr>
          <w:rFonts w:ascii="Arial" w:hAnsi="Arial" w:cs="Arial"/>
          <w:b/>
          <w:bCs/>
          <w:sz w:val="22"/>
          <w:szCs w:val="22"/>
        </w:rPr>
        <w:t>Assignment Title</w:t>
      </w:r>
      <w:r w:rsidR="00690113" w:rsidRPr="00775CEF">
        <w:rPr>
          <w:rFonts w:ascii="Arial" w:hAnsi="Arial" w:cs="Arial"/>
          <w:b/>
          <w:bCs/>
          <w:sz w:val="22"/>
          <w:szCs w:val="22"/>
        </w:rPr>
        <w:t xml:space="preserve">: </w:t>
      </w:r>
      <w:r w:rsidR="00A77E9C" w:rsidRPr="00775CEF">
        <w:rPr>
          <w:rFonts w:ascii="Arial" w:hAnsi="Arial" w:cs="Arial"/>
          <w:sz w:val="22"/>
          <w:szCs w:val="22"/>
        </w:rPr>
        <w:t xml:space="preserve"> Component </w:t>
      </w:r>
      <w:r w:rsidR="00690113" w:rsidRPr="00775CEF">
        <w:rPr>
          <w:rFonts w:ascii="Arial" w:hAnsi="Arial" w:cs="Arial"/>
          <w:sz w:val="22"/>
          <w:szCs w:val="22"/>
        </w:rPr>
        <w:t>2 – Vodafone Merger</w:t>
      </w:r>
      <w:r w:rsidR="00883E11" w:rsidRPr="00775CEF">
        <w:rPr>
          <w:rFonts w:ascii="Arial" w:hAnsi="Arial" w:cs="Arial"/>
          <w:sz w:val="22"/>
          <w:szCs w:val="22"/>
        </w:rPr>
        <w:br/>
      </w:r>
      <w:r w:rsidR="00883E11" w:rsidRPr="00775CEF">
        <w:rPr>
          <w:rFonts w:ascii="Arial" w:hAnsi="Arial" w:cs="Arial"/>
          <w:sz w:val="22"/>
          <w:szCs w:val="22"/>
        </w:rPr>
        <w:br/>
      </w:r>
      <w:r w:rsidR="00883E11" w:rsidRPr="00775CEF">
        <w:rPr>
          <w:rFonts w:ascii="Arial" w:hAnsi="Arial" w:cs="Arial"/>
          <w:sz w:val="22"/>
          <w:szCs w:val="22"/>
        </w:rPr>
        <w:br/>
      </w:r>
    </w:p>
    <w:p w14:paraId="152F8C4E" w14:textId="77777777" w:rsidR="00484F83" w:rsidRPr="00775CEF" w:rsidRDefault="00484F83" w:rsidP="00B223D6">
      <w:pPr>
        <w:pStyle w:val="NoSpacing"/>
        <w:spacing w:line="276" w:lineRule="auto"/>
        <w:rPr>
          <w:rFonts w:ascii="Arial" w:hAnsi="Arial" w:cs="Arial"/>
          <w:sz w:val="22"/>
          <w:szCs w:val="22"/>
        </w:rPr>
      </w:pPr>
    </w:p>
    <w:p w14:paraId="45E31846" w14:textId="77777777" w:rsidR="00484F83" w:rsidRPr="00775CEF" w:rsidRDefault="00484F83" w:rsidP="00B223D6">
      <w:pPr>
        <w:pStyle w:val="NoSpacing"/>
        <w:spacing w:line="276" w:lineRule="auto"/>
        <w:rPr>
          <w:rFonts w:ascii="Arial" w:hAnsi="Arial" w:cs="Arial"/>
          <w:sz w:val="22"/>
          <w:szCs w:val="22"/>
        </w:rPr>
      </w:pPr>
    </w:p>
    <w:p w14:paraId="7377BD53" w14:textId="77777777" w:rsidR="007B4E5B" w:rsidRPr="00775CEF" w:rsidRDefault="00883E11" w:rsidP="00B223D6">
      <w:pPr>
        <w:pStyle w:val="NoSpacing"/>
        <w:spacing w:line="276" w:lineRule="auto"/>
        <w:rPr>
          <w:rFonts w:ascii="Arial" w:hAnsi="Arial" w:cs="Arial"/>
          <w:b/>
          <w:bCs/>
          <w:sz w:val="22"/>
          <w:szCs w:val="22"/>
        </w:rPr>
      </w:pPr>
      <w:r w:rsidRPr="00775CEF">
        <w:rPr>
          <w:rFonts w:ascii="Arial" w:hAnsi="Arial" w:cs="Arial"/>
          <w:sz w:val="22"/>
          <w:szCs w:val="22"/>
        </w:rPr>
        <w:br/>
      </w:r>
      <w:r w:rsidR="00A77E9C" w:rsidRPr="00775CEF">
        <w:rPr>
          <w:rFonts w:ascii="Arial" w:hAnsi="Arial" w:cs="Arial"/>
          <w:sz w:val="22"/>
          <w:szCs w:val="22"/>
        </w:rPr>
        <w:br/>
      </w:r>
    </w:p>
    <w:p w14:paraId="4BCF71E1" w14:textId="77777777" w:rsidR="007B4E5B" w:rsidRPr="00775CEF" w:rsidRDefault="007B4E5B" w:rsidP="00B223D6">
      <w:pPr>
        <w:pStyle w:val="NoSpacing"/>
        <w:spacing w:line="276" w:lineRule="auto"/>
        <w:rPr>
          <w:rFonts w:ascii="Arial" w:hAnsi="Arial" w:cs="Arial"/>
          <w:b/>
          <w:bCs/>
          <w:sz w:val="22"/>
          <w:szCs w:val="22"/>
        </w:rPr>
      </w:pPr>
    </w:p>
    <w:p w14:paraId="5E79159A" w14:textId="77777777" w:rsidR="007B4E5B" w:rsidRPr="00775CEF" w:rsidRDefault="007B4E5B" w:rsidP="00B223D6">
      <w:pPr>
        <w:pStyle w:val="NoSpacing"/>
        <w:spacing w:line="276" w:lineRule="auto"/>
        <w:rPr>
          <w:rFonts w:ascii="Arial" w:hAnsi="Arial" w:cs="Arial"/>
          <w:b/>
          <w:bCs/>
          <w:sz w:val="22"/>
          <w:szCs w:val="22"/>
        </w:rPr>
      </w:pPr>
    </w:p>
    <w:p w14:paraId="0B5FAB05" w14:textId="77777777" w:rsidR="007B4E5B" w:rsidRPr="00775CEF" w:rsidRDefault="007B4E5B" w:rsidP="00B223D6">
      <w:pPr>
        <w:pStyle w:val="NoSpacing"/>
        <w:spacing w:line="276" w:lineRule="auto"/>
        <w:rPr>
          <w:rFonts w:ascii="Arial" w:hAnsi="Arial" w:cs="Arial"/>
          <w:b/>
          <w:bCs/>
          <w:sz w:val="22"/>
          <w:szCs w:val="22"/>
        </w:rPr>
      </w:pPr>
    </w:p>
    <w:p w14:paraId="175DC0E7" w14:textId="276FFE5E" w:rsidR="007F11CF" w:rsidRPr="00775CEF" w:rsidRDefault="00825600" w:rsidP="00B223D6">
      <w:pPr>
        <w:pStyle w:val="NoSpacing"/>
        <w:spacing w:line="276" w:lineRule="auto"/>
        <w:rPr>
          <w:rFonts w:ascii="Arial" w:hAnsi="Arial" w:cs="Arial"/>
          <w:sz w:val="22"/>
          <w:szCs w:val="22"/>
        </w:rPr>
      </w:pPr>
      <w:r w:rsidRPr="00775CEF">
        <w:rPr>
          <w:rFonts w:ascii="Arial" w:hAnsi="Arial" w:cs="Arial"/>
          <w:b/>
          <w:bCs/>
          <w:sz w:val="22"/>
          <w:szCs w:val="22"/>
        </w:rPr>
        <w:br/>
      </w:r>
      <w:r w:rsidRPr="00775CEF">
        <w:rPr>
          <w:rFonts w:ascii="Arial" w:hAnsi="Arial" w:cs="Arial"/>
          <w:b/>
          <w:bCs/>
          <w:sz w:val="22"/>
          <w:szCs w:val="22"/>
        </w:rPr>
        <w:br/>
      </w:r>
      <w:r w:rsidRPr="00775CEF">
        <w:rPr>
          <w:rFonts w:ascii="Arial" w:hAnsi="Arial" w:cs="Arial"/>
          <w:b/>
          <w:bCs/>
          <w:sz w:val="22"/>
          <w:szCs w:val="22"/>
        </w:rPr>
        <w:br/>
      </w:r>
      <w:r w:rsidRPr="00775CEF">
        <w:rPr>
          <w:rFonts w:ascii="Arial" w:hAnsi="Arial" w:cs="Arial"/>
          <w:b/>
          <w:bCs/>
          <w:sz w:val="22"/>
          <w:szCs w:val="22"/>
        </w:rPr>
        <w:br/>
      </w:r>
      <w:r w:rsidRPr="00775CEF">
        <w:rPr>
          <w:rFonts w:ascii="Arial" w:hAnsi="Arial" w:cs="Arial"/>
          <w:b/>
          <w:bCs/>
          <w:sz w:val="22"/>
          <w:szCs w:val="22"/>
        </w:rPr>
        <w:br/>
      </w:r>
      <w:r w:rsidRPr="00775CEF">
        <w:rPr>
          <w:rFonts w:ascii="Arial" w:hAnsi="Arial" w:cs="Arial"/>
          <w:b/>
          <w:bCs/>
          <w:sz w:val="22"/>
          <w:szCs w:val="22"/>
        </w:rPr>
        <w:lastRenderedPageBreak/>
        <w:br/>
      </w:r>
      <w:r w:rsidRPr="00775CEF">
        <w:rPr>
          <w:rFonts w:ascii="Arial" w:hAnsi="Arial" w:cs="Arial"/>
          <w:b/>
          <w:bCs/>
          <w:sz w:val="22"/>
          <w:szCs w:val="22"/>
        </w:rPr>
        <w:br/>
      </w:r>
      <w:r w:rsidR="002F4E03" w:rsidRPr="00775CEF">
        <w:rPr>
          <w:rFonts w:ascii="Arial" w:hAnsi="Arial" w:cs="Arial"/>
          <w:b/>
          <w:bCs/>
          <w:sz w:val="22"/>
          <w:szCs w:val="22"/>
        </w:rPr>
        <w:br/>
      </w:r>
    </w:p>
    <w:sdt>
      <w:sdtPr>
        <w:id w:val="-77911066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B46806B" w14:textId="67EC2157" w:rsidR="00775CEF" w:rsidRDefault="00775CEF" w:rsidP="00B223D6">
          <w:pPr>
            <w:pStyle w:val="TOCHeading"/>
            <w:spacing w:line="276" w:lineRule="auto"/>
          </w:pPr>
          <w:r>
            <w:t>Contents</w:t>
          </w:r>
        </w:p>
        <w:p w14:paraId="4FE2594E" w14:textId="3E342853" w:rsidR="000965E3" w:rsidRDefault="00775C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863739" w:history="1">
            <w:r w:rsidR="000965E3" w:rsidRPr="007F0F0F">
              <w:rPr>
                <w:rStyle w:val="Hyperlink"/>
                <w:rFonts w:ascii="Arial" w:hAnsi="Arial" w:cs="Arial"/>
                <w:b/>
                <w:bCs/>
                <w:noProof/>
              </w:rPr>
              <w:t>1. Introduction to VodafoneThree</w:t>
            </w:r>
            <w:r w:rsidR="000965E3">
              <w:rPr>
                <w:noProof/>
                <w:webHidden/>
              </w:rPr>
              <w:tab/>
            </w:r>
            <w:r w:rsidR="000965E3">
              <w:rPr>
                <w:noProof/>
                <w:webHidden/>
              </w:rPr>
              <w:fldChar w:fldCharType="begin"/>
            </w:r>
            <w:r w:rsidR="000965E3">
              <w:rPr>
                <w:noProof/>
                <w:webHidden/>
              </w:rPr>
              <w:instrText xml:space="preserve"> PAGEREF _Toc234863739 \h </w:instrText>
            </w:r>
            <w:r w:rsidR="000965E3">
              <w:rPr>
                <w:noProof/>
                <w:webHidden/>
              </w:rPr>
            </w:r>
            <w:r w:rsidR="000965E3">
              <w:rPr>
                <w:noProof/>
                <w:webHidden/>
              </w:rPr>
              <w:fldChar w:fldCharType="separate"/>
            </w:r>
            <w:r w:rsidR="000965E3">
              <w:rPr>
                <w:noProof/>
                <w:webHidden/>
              </w:rPr>
              <w:t>3</w:t>
            </w:r>
            <w:r w:rsidR="000965E3">
              <w:rPr>
                <w:noProof/>
                <w:webHidden/>
              </w:rPr>
              <w:fldChar w:fldCharType="end"/>
            </w:r>
          </w:hyperlink>
        </w:p>
        <w:p w14:paraId="3988ED0A" w14:textId="6371DD6E" w:rsidR="000965E3" w:rsidRDefault="000965E3">
          <w:pPr>
            <w:pStyle w:val="TOC1"/>
            <w:tabs>
              <w:tab w:val="right" w:leader="dot" w:pos="9016"/>
            </w:tabs>
            <w:rPr>
              <w:rFonts w:eastAsiaTheme="minorEastAsia"/>
              <w:noProof/>
              <w:lang w:eastAsia="en-GB"/>
            </w:rPr>
          </w:pPr>
          <w:hyperlink w:anchor="_Toc234863740" w:history="1">
            <w:r w:rsidRPr="007F0F0F">
              <w:rPr>
                <w:rStyle w:val="Hyperlink"/>
                <w:rFonts w:ascii="Arial" w:hAnsi="Arial" w:cs="Arial"/>
                <w:b/>
                <w:bCs/>
                <w:noProof/>
              </w:rPr>
              <w:t>2. Evaluation of the Current Market Situation</w:t>
            </w:r>
            <w:r>
              <w:rPr>
                <w:noProof/>
                <w:webHidden/>
              </w:rPr>
              <w:tab/>
            </w:r>
            <w:r>
              <w:rPr>
                <w:noProof/>
                <w:webHidden/>
              </w:rPr>
              <w:fldChar w:fldCharType="begin"/>
            </w:r>
            <w:r>
              <w:rPr>
                <w:noProof/>
                <w:webHidden/>
              </w:rPr>
              <w:instrText xml:space="preserve"> PAGEREF _Toc234863740 \h </w:instrText>
            </w:r>
            <w:r>
              <w:rPr>
                <w:noProof/>
                <w:webHidden/>
              </w:rPr>
            </w:r>
            <w:r>
              <w:rPr>
                <w:noProof/>
                <w:webHidden/>
              </w:rPr>
              <w:fldChar w:fldCharType="separate"/>
            </w:r>
            <w:r>
              <w:rPr>
                <w:noProof/>
                <w:webHidden/>
              </w:rPr>
              <w:t>4</w:t>
            </w:r>
            <w:r>
              <w:rPr>
                <w:noProof/>
                <w:webHidden/>
              </w:rPr>
              <w:fldChar w:fldCharType="end"/>
            </w:r>
          </w:hyperlink>
        </w:p>
        <w:p w14:paraId="54FA5B18" w14:textId="57236E97" w:rsidR="000965E3" w:rsidRDefault="000965E3">
          <w:pPr>
            <w:pStyle w:val="TOC1"/>
            <w:tabs>
              <w:tab w:val="right" w:leader="dot" w:pos="9016"/>
            </w:tabs>
            <w:rPr>
              <w:rFonts w:eastAsiaTheme="minorEastAsia"/>
              <w:noProof/>
              <w:lang w:eastAsia="en-GB"/>
            </w:rPr>
          </w:pPr>
          <w:hyperlink w:anchor="_Toc234863741" w:history="1">
            <w:r w:rsidRPr="007F0F0F">
              <w:rPr>
                <w:rStyle w:val="Hyperlink"/>
                <w:rFonts w:ascii="Arial" w:hAnsi="Arial" w:cs="Arial"/>
                <w:b/>
                <w:bCs/>
                <w:noProof/>
              </w:rPr>
              <w:t>3. Strategic Growth Options and Proposed Strategy</w:t>
            </w:r>
            <w:r>
              <w:rPr>
                <w:noProof/>
                <w:webHidden/>
              </w:rPr>
              <w:tab/>
            </w:r>
            <w:r>
              <w:rPr>
                <w:noProof/>
                <w:webHidden/>
              </w:rPr>
              <w:fldChar w:fldCharType="begin"/>
            </w:r>
            <w:r>
              <w:rPr>
                <w:noProof/>
                <w:webHidden/>
              </w:rPr>
              <w:instrText xml:space="preserve"> PAGEREF _Toc234863741 \h </w:instrText>
            </w:r>
            <w:r>
              <w:rPr>
                <w:noProof/>
                <w:webHidden/>
              </w:rPr>
            </w:r>
            <w:r>
              <w:rPr>
                <w:noProof/>
                <w:webHidden/>
              </w:rPr>
              <w:fldChar w:fldCharType="separate"/>
            </w:r>
            <w:r>
              <w:rPr>
                <w:noProof/>
                <w:webHidden/>
              </w:rPr>
              <w:t>8</w:t>
            </w:r>
            <w:r>
              <w:rPr>
                <w:noProof/>
                <w:webHidden/>
              </w:rPr>
              <w:fldChar w:fldCharType="end"/>
            </w:r>
          </w:hyperlink>
        </w:p>
        <w:p w14:paraId="238585FB" w14:textId="64334009" w:rsidR="000965E3" w:rsidRDefault="000965E3">
          <w:pPr>
            <w:pStyle w:val="TOC1"/>
            <w:tabs>
              <w:tab w:val="right" w:leader="dot" w:pos="9016"/>
            </w:tabs>
            <w:rPr>
              <w:rFonts w:eastAsiaTheme="minorEastAsia"/>
              <w:noProof/>
              <w:lang w:eastAsia="en-GB"/>
            </w:rPr>
          </w:pPr>
          <w:hyperlink w:anchor="_Toc234863742" w:history="1">
            <w:r w:rsidRPr="007F0F0F">
              <w:rPr>
                <w:rStyle w:val="Hyperlink"/>
                <w:rFonts w:ascii="Arial" w:hAnsi="Arial" w:cs="Arial"/>
                <w:b/>
                <w:bCs/>
                <w:noProof/>
              </w:rPr>
              <w:t>4. Strategy Evaluation (SFA Framework)</w:t>
            </w:r>
            <w:r>
              <w:rPr>
                <w:noProof/>
                <w:webHidden/>
              </w:rPr>
              <w:tab/>
            </w:r>
            <w:r>
              <w:rPr>
                <w:noProof/>
                <w:webHidden/>
              </w:rPr>
              <w:fldChar w:fldCharType="begin"/>
            </w:r>
            <w:r>
              <w:rPr>
                <w:noProof/>
                <w:webHidden/>
              </w:rPr>
              <w:instrText xml:space="preserve"> PAGEREF _Toc234863742 \h </w:instrText>
            </w:r>
            <w:r>
              <w:rPr>
                <w:noProof/>
                <w:webHidden/>
              </w:rPr>
            </w:r>
            <w:r>
              <w:rPr>
                <w:noProof/>
                <w:webHidden/>
              </w:rPr>
              <w:fldChar w:fldCharType="separate"/>
            </w:r>
            <w:r>
              <w:rPr>
                <w:noProof/>
                <w:webHidden/>
              </w:rPr>
              <w:t>9</w:t>
            </w:r>
            <w:r>
              <w:rPr>
                <w:noProof/>
                <w:webHidden/>
              </w:rPr>
              <w:fldChar w:fldCharType="end"/>
            </w:r>
          </w:hyperlink>
        </w:p>
        <w:p w14:paraId="5471B4FD" w14:textId="5056A7AB" w:rsidR="000965E3" w:rsidRDefault="000965E3">
          <w:pPr>
            <w:pStyle w:val="TOC1"/>
            <w:tabs>
              <w:tab w:val="right" w:leader="dot" w:pos="9016"/>
            </w:tabs>
            <w:rPr>
              <w:rFonts w:eastAsiaTheme="minorEastAsia"/>
              <w:noProof/>
              <w:lang w:eastAsia="en-GB"/>
            </w:rPr>
          </w:pPr>
          <w:hyperlink w:anchor="_Toc234863743" w:history="1">
            <w:r w:rsidRPr="007F0F0F">
              <w:rPr>
                <w:rStyle w:val="Hyperlink"/>
                <w:rFonts w:ascii="Arial" w:hAnsi="Arial" w:cs="Arial"/>
                <w:b/>
                <w:bCs/>
                <w:noProof/>
              </w:rPr>
              <w:t>5. Stakeholder Analysis</w:t>
            </w:r>
            <w:r>
              <w:rPr>
                <w:noProof/>
                <w:webHidden/>
              </w:rPr>
              <w:tab/>
            </w:r>
            <w:r>
              <w:rPr>
                <w:noProof/>
                <w:webHidden/>
              </w:rPr>
              <w:fldChar w:fldCharType="begin"/>
            </w:r>
            <w:r>
              <w:rPr>
                <w:noProof/>
                <w:webHidden/>
              </w:rPr>
              <w:instrText xml:space="preserve"> PAGEREF _Toc234863743 \h </w:instrText>
            </w:r>
            <w:r>
              <w:rPr>
                <w:noProof/>
                <w:webHidden/>
              </w:rPr>
            </w:r>
            <w:r>
              <w:rPr>
                <w:noProof/>
                <w:webHidden/>
              </w:rPr>
              <w:fldChar w:fldCharType="separate"/>
            </w:r>
            <w:r>
              <w:rPr>
                <w:noProof/>
                <w:webHidden/>
              </w:rPr>
              <w:t>10</w:t>
            </w:r>
            <w:r>
              <w:rPr>
                <w:noProof/>
                <w:webHidden/>
              </w:rPr>
              <w:fldChar w:fldCharType="end"/>
            </w:r>
          </w:hyperlink>
        </w:p>
        <w:p w14:paraId="293940B4" w14:textId="5322924C" w:rsidR="000965E3" w:rsidRDefault="000965E3">
          <w:pPr>
            <w:pStyle w:val="TOC1"/>
            <w:tabs>
              <w:tab w:val="right" w:leader="dot" w:pos="9016"/>
            </w:tabs>
            <w:rPr>
              <w:rFonts w:eastAsiaTheme="minorEastAsia"/>
              <w:noProof/>
              <w:lang w:eastAsia="en-GB"/>
            </w:rPr>
          </w:pPr>
          <w:hyperlink w:anchor="_Toc234863744" w:history="1">
            <w:r w:rsidRPr="007F0F0F">
              <w:rPr>
                <w:rStyle w:val="Hyperlink"/>
                <w:rFonts w:ascii="Arial" w:hAnsi="Arial" w:cs="Arial"/>
                <w:b/>
                <w:bCs/>
                <w:noProof/>
              </w:rPr>
              <w:t>6. Implementation and Monitoring</w:t>
            </w:r>
            <w:r>
              <w:rPr>
                <w:noProof/>
                <w:webHidden/>
              </w:rPr>
              <w:tab/>
            </w:r>
            <w:r>
              <w:rPr>
                <w:noProof/>
                <w:webHidden/>
              </w:rPr>
              <w:fldChar w:fldCharType="begin"/>
            </w:r>
            <w:r>
              <w:rPr>
                <w:noProof/>
                <w:webHidden/>
              </w:rPr>
              <w:instrText xml:space="preserve"> PAGEREF _Toc234863744 \h </w:instrText>
            </w:r>
            <w:r>
              <w:rPr>
                <w:noProof/>
                <w:webHidden/>
              </w:rPr>
            </w:r>
            <w:r>
              <w:rPr>
                <w:noProof/>
                <w:webHidden/>
              </w:rPr>
              <w:fldChar w:fldCharType="separate"/>
            </w:r>
            <w:r>
              <w:rPr>
                <w:noProof/>
                <w:webHidden/>
              </w:rPr>
              <w:t>12</w:t>
            </w:r>
            <w:r>
              <w:rPr>
                <w:noProof/>
                <w:webHidden/>
              </w:rPr>
              <w:fldChar w:fldCharType="end"/>
            </w:r>
          </w:hyperlink>
        </w:p>
        <w:p w14:paraId="1473F75C" w14:textId="49BA2C7A" w:rsidR="000965E3" w:rsidRDefault="000965E3">
          <w:pPr>
            <w:pStyle w:val="TOC1"/>
            <w:tabs>
              <w:tab w:val="right" w:leader="dot" w:pos="9016"/>
            </w:tabs>
            <w:rPr>
              <w:rFonts w:eastAsiaTheme="minorEastAsia"/>
              <w:noProof/>
              <w:lang w:eastAsia="en-GB"/>
            </w:rPr>
          </w:pPr>
          <w:hyperlink w:anchor="_Toc234863745" w:history="1">
            <w:r w:rsidRPr="007F0F0F">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_Toc234863745 \h </w:instrText>
            </w:r>
            <w:r>
              <w:rPr>
                <w:noProof/>
                <w:webHidden/>
              </w:rPr>
            </w:r>
            <w:r>
              <w:rPr>
                <w:noProof/>
                <w:webHidden/>
              </w:rPr>
              <w:fldChar w:fldCharType="separate"/>
            </w:r>
            <w:r>
              <w:rPr>
                <w:noProof/>
                <w:webHidden/>
              </w:rPr>
              <w:t>13</w:t>
            </w:r>
            <w:r>
              <w:rPr>
                <w:noProof/>
                <w:webHidden/>
              </w:rPr>
              <w:fldChar w:fldCharType="end"/>
            </w:r>
          </w:hyperlink>
        </w:p>
        <w:p w14:paraId="3AB9766B" w14:textId="3FE54037" w:rsidR="00775CEF" w:rsidRDefault="00775CEF" w:rsidP="00B223D6">
          <w:pPr>
            <w:spacing w:line="276" w:lineRule="auto"/>
          </w:pPr>
          <w:r>
            <w:rPr>
              <w:b/>
              <w:bCs/>
            </w:rPr>
            <w:fldChar w:fldCharType="end"/>
          </w:r>
        </w:p>
      </w:sdtContent>
    </w:sdt>
    <w:p w14:paraId="3EEAF023" w14:textId="39004AE8" w:rsidR="000456CD" w:rsidRPr="00775CEF" w:rsidRDefault="002F4E03" w:rsidP="00B223D6">
      <w:pPr>
        <w:pStyle w:val="NoSpacing"/>
        <w:spacing w:line="276" w:lineRule="auto"/>
        <w:rPr>
          <w:rFonts w:ascii="Arial" w:hAnsi="Arial" w:cs="Arial"/>
          <w:b/>
          <w:bCs/>
          <w:sz w:val="22"/>
          <w:szCs w:val="22"/>
        </w:rPr>
      </w:pP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Pr="00775CEF">
        <w:rPr>
          <w:rFonts w:ascii="Arial" w:hAnsi="Arial" w:cs="Arial"/>
          <w:sz w:val="22"/>
          <w:szCs w:val="22"/>
        </w:rPr>
        <w:br/>
      </w:r>
      <w:r w:rsidR="0068154D" w:rsidRPr="00775CEF">
        <w:rPr>
          <w:rFonts w:ascii="Arial" w:hAnsi="Arial" w:cs="Arial"/>
          <w:sz w:val="22"/>
          <w:szCs w:val="22"/>
        </w:rPr>
        <w:br/>
      </w:r>
      <w:r w:rsidR="0068154D"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BD6764"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lastRenderedPageBreak/>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8414F8" w:rsidRPr="00775CEF">
        <w:rPr>
          <w:rFonts w:ascii="Arial" w:hAnsi="Arial" w:cs="Arial"/>
          <w:sz w:val="22"/>
          <w:szCs w:val="22"/>
        </w:rPr>
        <w:br/>
      </w:r>
      <w:r w:rsidR="000456CD" w:rsidRPr="00775CEF">
        <w:rPr>
          <w:rFonts w:ascii="Arial" w:hAnsi="Arial" w:cs="Arial"/>
          <w:b/>
          <w:bCs/>
          <w:sz w:val="22"/>
          <w:szCs w:val="22"/>
        </w:rPr>
        <w:t>Executive Summary</w:t>
      </w:r>
      <w:r w:rsidR="007C26C0" w:rsidRPr="00775CEF">
        <w:rPr>
          <w:rFonts w:ascii="Arial" w:hAnsi="Arial" w:cs="Arial"/>
          <w:b/>
          <w:bCs/>
          <w:sz w:val="22"/>
          <w:szCs w:val="22"/>
        </w:rPr>
        <w:br/>
      </w:r>
    </w:p>
    <w:p w14:paraId="560B5285" w14:textId="075117F4" w:rsidR="000456CD" w:rsidRPr="00775CEF" w:rsidRDefault="0044015F" w:rsidP="00B223D6">
      <w:pPr>
        <w:pStyle w:val="NoSpacing"/>
        <w:spacing w:line="276" w:lineRule="auto"/>
        <w:rPr>
          <w:rFonts w:ascii="Arial" w:hAnsi="Arial" w:cs="Arial"/>
          <w:sz w:val="22"/>
          <w:szCs w:val="22"/>
        </w:rPr>
      </w:pPr>
      <w:r w:rsidRPr="00775CEF">
        <w:rPr>
          <w:rFonts w:ascii="Arial" w:hAnsi="Arial" w:cs="Arial"/>
          <w:sz w:val="22"/>
          <w:szCs w:val="22"/>
        </w:rPr>
        <w:t xml:space="preserve">This report examines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strategic position following the merger of Vodafone UK and Three UK and identifies the most appropriate growth strategy to strengthen its long-term competitive advantage. </w:t>
      </w:r>
      <w:r w:rsidR="00DF5D2D" w:rsidRPr="00775CEF">
        <w:rPr>
          <w:rFonts w:ascii="Arial" w:hAnsi="Arial" w:cs="Arial"/>
          <w:sz w:val="22"/>
          <w:szCs w:val="22"/>
        </w:rPr>
        <w:t xml:space="preserve">The assessment draws upon recognised strategic management frameworks, including PESTEL, Porter's Five Forces, SWOT Analysis, Ansoff's Matrix, Porter's Generic Strategies and the Suitability, Feasibility and Acceptability (SFA) framework, to evaluate the organisation's internal capabilities and external business environment. </w:t>
      </w:r>
      <w:r w:rsidR="000456CD" w:rsidRPr="00775CEF">
        <w:rPr>
          <w:rFonts w:ascii="Arial" w:hAnsi="Arial" w:cs="Arial"/>
          <w:sz w:val="22"/>
          <w:szCs w:val="22"/>
        </w:rPr>
        <w:t>(Porter, 1980; Ansoff, 1957; Johnson et al., 2020).</w:t>
      </w:r>
    </w:p>
    <w:p w14:paraId="0B699010" w14:textId="1E8E2CA4" w:rsidR="000456CD" w:rsidRPr="00775CEF" w:rsidRDefault="000F524E" w:rsidP="00B223D6">
      <w:pPr>
        <w:pStyle w:val="NoSpacing"/>
        <w:spacing w:line="276" w:lineRule="auto"/>
        <w:rPr>
          <w:rFonts w:ascii="Arial" w:hAnsi="Arial" w:cs="Arial"/>
          <w:sz w:val="22"/>
          <w:szCs w:val="22"/>
        </w:rPr>
      </w:pPr>
      <w:r w:rsidRPr="00775CEF">
        <w:rPr>
          <w:rFonts w:ascii="Arial" w:hAnsi="Arial" w:cs="Arial"/>
          <w:sz w:val="22"/>
          <w:szCs w:val="22"/>
        </w:rPr>
        <w:t xml:space="preserve">The findings indicate that the merger has strengthened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competitive position through increased scale, broader spectrum assets and a planned £11 billion investment in the UK's standalone 5G network</w:t>
      </w:r>
      <w:r w:rsidR="000456CD" w:rsidRPr="00775CEF">
        <w:rPr>
          <w:rFonts w:ascii="Arial" w:hAnsi="Arial" w:cs="Arial"/>
          <w:sz w:val="22"/>
          <w:szCs w:val="22"/>
        </w:rPr>
        <w:t xml:space="preserve">. </w:t>
      </w:r>
      <w:r w:rsidR="007A78D3" w:rsidRPr="00775CEF">
        <w:rPr>
          <w:rFonts w:ascii="Arial" w:hAnsi="Arial" w:cs="Arial"/>
          <w:sz w:val="22"/>
          <w:szCs w:val="22"/>
        </w:rPr>
        <w:t xml:space="preserve">Despite these advantages, </w:t>
      </w:r>
      <w:proofErr w:type="spellStart"/>
      <w:r w:rsidR="007A78D3" w:rsidRPr="00775CEF">
        <w:rPr>
          <w:rFonts w:ascii="Arial" w:hAnsi="Arial" w:cs="Arial"/>
          <w:sz w:val="22"/>
          <w:szCs w:val="22"/>
        </w:rPr>
        <w:t>VodafoneThree</w:t>
      </w:r>
      <w:proofErr w:type="spellEnd"/>
      <w:r w:rsidR="007A78D3" w:rsidRPr="00775CEF">
        <w:rPr>
          <w:rFonts w:ascii="Arial" w:hAnsi="Arial" w:cs="Arial"/>
          <w:sz w:val="22"/>
          <w:szCs w:val="22"/>
        </w:rPr>
        <w:t xml:space="preserve"> continues to operate in a highly competitive market characterised by changing customer expectations and increasing regulatory oversight, reinforcing the importance of innovation and service differentiation.</w:t>
      </w:r>
      <w:r w:rsidR="000456CD" w:rsidRPr="00775CEF">
        <w:rPr>
          <w:rFonts w:ascii="Arial" w:hAnsi="Arial" w:cs="Arial"/>
          <w:sz w:val="22"/>
          <w:szCs w:val="22"/>
        </w:rPr>
        <w:t xml:space="preserve"> (Vodafone Group Plc, 2025).</w:t>
      </w:r>
    </w:p>
    <w:p w14:paraId="6BC85DD2" w14:textId="4466CD26" w:rsidR="000456CD" w:rsidRPr="00775CEF" w:rsidRDefault="009462D7" w:rsidP="00B223D6">
      <w:pPr>
        <w:pStyle w:val="NoSpacing"/>
        <w:spacing w:line="276" w:lineRule="auto"/>
        <w:rPr>
          <w:rFonts w:ascii="Arial" w:hAnsi="Arial" w:cs="Arial"/>
          <w:sz w:val="22"/>
          <w:szCs w:val="22"/>
        </w:rPr>
      </w:pPr>
      <w:r w:rsidRPr="00775CEF">
        <w:rPr>
          <w:rFonts w:ascii="Arial" w:hAnsi="Arial" w:cs="Arial"/>
          <w:sz w:val="22"/>
          <w:szCs w:val="22"/>
        </w:rPr>
        <w:t>Based on the analysis, a product development strategy supported by Porter's differentiation approach is recommended to maximise the benefits of the merger and create sustainable competitive advantage.</w:t>
      </w:r>
      <w:r w:rsidR="000456CD" w:rsidRPr="00775CEF">
        <w:rPr>
          <w:rFonts w:ascii="Arial" w:hAnsi="Arial" w:cs="Arial"/>
          <w:sz w:val="22"/>
          <w:szCs w:val="22"/>
        </w:rPr>
        <w:t xml:space="preserve"> </w:t>
      </w:r>
      <w:r w:rsidR="00035CAD" w:rsidRPr="00775CEF">
        <w:rPr>
          <w:rFonts w:ascii="Arial" w:hAnsi="Arial" w:cs="Arial"/>
          <w:sz w:val="22"/>
          <w:szCs w:val="22"/>
        </w:rPr>
        <w:t xml:space="preserve">This approach enables </w:t>
      </w:r>
      <w:proofErr w:type="spellStart"/>
      <w:r w:rsidR="00035CAD" w:rsidRPr="00775CEF">
        <w:rPr>
          <w:rFonts w:ascii="Arial" w:hAnsi="Arial" w:cs="Arial"/>
          <w:sz w:val="22"/>
          <w:szCs w:val="22"/>
        </w:rPr>
        <w:t>VodafoneThree</w:t>
      </w:r>
      <w:proofErr w:type="spellEnd"/>
      <w:r w:rsidR="00035CAD" w:rsidRPr="00775CEF">
        <w:rPr>
          <w:rFonts w:ascii="Arial" w:hAnsi="Arial" w:cs="Arial"/>
          <w:sz w:val="22"/>
          <w:szCs w:val="22"/>
        </w:rPr>
        <w:t xml:space="preserve"> to utilise its expanded network capabilities to introduce innovative digital services, improve customer experience and strengthen customer retention. (</w:t>
      </w:r>
      <w:r w:rsidR="000456CD" w:rsidRPr="00775CEF">
        <w:rPr>
          <w:rFonts w:ascii="Arial" w:hAnsi="Arial" w:cs="Arial"/>
          <w:sz w:val="22"/>
          <w:szCs w:val="22"/>
        </w:rPr>
        <w:t xml:space="preserve">Porter, 1985). </w:t>
      </w:r>
      <w:r w:rsidR="00AA1294" w:rsidRPr="00AA1294">
        <w:rPr>
          <w:rFonts w:ascii="Arial" w:hAnsi="Arial" w:cs="Arial"/>
          <w:sz w:val="22"/>
          <w:szCs w:val="22"/>
        </w:rPr>
        <w:t xml:space="preserve">The recommended strategy is considered suitable, feasible and acceptable, </w:t>
      </w:r>
      <w:proofErr w:type="gramStart"/>
      <w:r w:rsidR="00AA1294" w:rsidRPr="00AA1294">
        <w:rPr>
          <w:rFonts w:ascii="Arial" w:hAnsi="Arial" w:cs="Arial"/>
          <w:sz w:val="22"/>
          <w:szCs w:val="22"/>
        </w:rPr>
        <w:t>provided that</w:t>
      </w:r>
      <w:proofErr w:type="gramEnd"/>
      <w:r w:rsidR="00AA1294" w:rsidRPr="00AA1294">
        <w:rPr>
          <w:rFonts w:ascii="Arial" w:hAnsi="Arial" w:cs="Arial"/>
          <w:sz w:val="22"/>
          <w:szCs w:val="22"/>
        </w:rPr>
        <w:t xml:space="preserve"> stakeholder engagement, phased implementation and continuous performance monitoring are effectively maintained</w:t>
      </w:r>
      <w:r w:rsidR="000456CD" w:rsidRPr="00775CEF">
        <w:rPr>
          <w:rFonts w:ascii="Arial" w:hAnsi="Arial" w:cs="Arial"/>
          <w:sz w:val="22"/>
          <w:szCs w:val="22"/>
        </w:rPr>
        <w:t xml:space="preserve">. Successful implementation will strengthen </w:t>
      </w:r>
      <w:proofErr w:type="spellStart"/>
      <w:r w:rsidR="000456CD" w:rsidRPr="00775CEF">
        <w:rPr>
          <w:rFonts w:ascii="Arial" w:hAnsi="Arial" w:cs="Arial"/>
          <w:sz w:val="22"/>
          <w:szCs w:val="22"/>
        </w:rPr>
        <w:t>VodafoneThree's</w:t>
      </w:r>
      <w:proofErr w:type="spellEnd"/>
      <w:r w:rsidR="000456CD" w:rsidRPr="00775CEF">
        <w:rPr>
          <w:rFonts w:ascii="Arial" w:hAnsi="Arial" w:cs="Arial"/>
          <w:sz w:val="22"/>
          <w:szCs w:val="22"/>
        </w:rPr>
        <w:t xml:space="preserve"> competitive position and support sustainable growth while creating long-term value for customers, shareholders and the wider UK economy.</w:t>
      </w:r>
    </w:p>
    <w:p w14:paraId="4D2FA409" w14:textId="5E389CD2" w:rsidR="00EA474B" w:rsidRPr="00775CEF" w:rsidRDefault="00EA474B" w:rsidP="00B223D6">
      <w:pPr>
        <w:pStyle w:val="Heading1"/>
        <w:spacing w:line="276" w:lineRule="auto"/>
        <w:rPr>
          <w:rFonts w:ascii="Arial" w:hAnsi="Arial" w:cs="Arial"/>
          <w:b/>
          <w:bCs/>
          <w:color w:val="auto"/>
          <w:sz w:val="22"/>
          <w:szCs w:val="22"/>
        </w:rPr>
      </w:pPr>
      <w:bookmarkStart w:id="0" w:name="_Toc234858764"/>
      <w:bookmarkStart w:id="1" w:name="_Toc234859319"/>
      <w:bookmarkStart w:id="2" w:name="_Toc234860221"/>
      <w:bookmarkStart w:id="3" w:name="_Toc234863739"/>
      <w:r w:rsidRPr="00775CEF">
        <w:rPr>
          <w:rFonts w:ascii="Arial" w:hAnsi="Arial" w:cs="Arial"/>
          <w:b/>
          <w:bCs/>
          <w:color w:val="auto"/>
          <w:sz w:val="22"/>
          <w:szCs w:val="22"/>
        </w:rPr>
        <w:t xml:space="preserve">1. Introduction to </w:t>
      </w:r>
      <w:proofErr w:type="spellStart"/>
      <w:r w:rsidRPr="00775CEF">
        <w:rPr>
          <w:rFonts w:ascii="Arial" w:hAnsi="Arial" w:cs="Arial"/>
          <w:b/>
          <w:bCs/>
          <w:color w:val="auto"/>
          <w:sz w:val="22"/>
          <w:szCs w:val="22"/>
        </w:rPr>
        <w:t>VodafoneThree</w:t>
      </w:r>
      <w:bookmarkEnd w:id="0"/>
      <w:bookmarkEnd w:id="1"/>
      <w:bookmarkEnd w:id="2"/>
      <w:bookmarkEnd w:id="3"/>
      <w:proofErr w:type="spellEnd"/>
      <w:r w:rsidR="007C26C0" w:rsidRPr="00775CEF">
        <w:rPr>
          <w:rFonts w:ascii="Arial" w:hAnsi="Arial" w:cs="Arial"/>
          <w:b/>
          <w:bCs/>
          <w:color w:val="auto"/>
          <w:sz w:val="22"/>
          <w:szCs w:val="22"/>
        </w:rPr>
        <w:br/>
      </w:r>
    </w:p>
    <w:p w14:paraId="37B4D4E5" w14:textId="157EC76B" w:rsidR="00EA474B" w:rsidRPr="00775CEF" w:rsidRDefault="002157FD" w:rsidP="00B223D6">
      <w:pPr>
        <w:pStyle w:val="NoSpacing"/>
        <w:spacing w:line="276" w:lineRule="auto"/>
        <w:rPr>
          <w:rFonts w:ascii="Arial" w:hAnsi="Arial" w:cs="Arial"/>
          <w:sz w:val="22"/>
          <w:szCs w:val="22"/>
        </w:rPr>
      </w:pPr>
      <w:r w:rsidRPr="00775CEF">
        <w:rPr>
          <w:rFonts w:ascii="Arial" w:hAnsi="Arial" w:cs="Arial"/>
          <w:sz w:val="22"/>
          <w:szCs w:val="22"/>
        </w:rPr>
        <w:t xml:space="preserve">Vodafone Group is a leading global telecommunications company providing mobile, broadband and digital connectivity services to customers across Europe and Africa. </w:t>
      </w:r>
      <w:r w:rsidR="006F05A8" w:rsidRPr="00775CEF">
        <w:rPr>
          <w:rFonts w:ascii="Arial" w:hAnsi="Arial" w:cs="Arial"/>
          <w:sz w:val="22"/>
          <w:szCs w:val="22"/>
        </w:rPr>
        <w:t xml:space="preserve">In June 2025, Vodafone UK and Three UK completed their merger to establish </w:t>
      </w:r>
      <w:proofErr w:type="spellStart"/>
      <w:r w:rsidR="006F05A8" w:rsidRPr="00775CEF">
        <w:rPr>
          <w:rFonts w:ascii="Arial" w:hAnsi="Arial" w:cs="Arial"/>
          <w:sz w:val="22"/>
          <w:szCs w:val="22"/>
        </w:rPr>
        <w:t>VodafoneThree</w:t>
      </w:r>
      <w:proofErr w:type="spellEnd"/>
      <w:r w:rsidR="006F05A8" w:rsidRPr="00775CEF">
        <w:rPr>
          <w:rFonts w:ascii="Arial" w:hAnsi="Arial" w:cs="Arial"/>
          <w:sz w:val="22"/>
          <w:szCs w:val="22"/>
        </w:rPr>
        <w:t>, creating the UK's largest mobile network operator with a combined customer base of around 27 million</w:t>
      </w:r>
      <w:r w:rsidR="00EA474B" w:rsidRPr="00775CEF">
        <w:rPr>
          <w:rFonts w:ascii="Arial" w:hAnsi="Arial" w:cs="Arial"/>
          <w:sz w:val="22"/>
          <w:szCs w:val="22"/>
        </w:rPr>
        <w:t xml:space="preserve">. </w:t>
      </w:r>
      <w:r w:rsidR="006F05A8" w:rsidRPr="00775CEF">
        <w:rPr>
          <w:rFonts w:ascii="Arial" w:hAnsi="Arial" w:cs="Arial"/>
          <w:sz w:val="22"/>
          <w:szCs w:val="22"/>
        </w:rPr>
        <w:t xml:space="preserve">This merger marks a major transformation within the UK telecommunications sector, designed to improve network quality, accelerate standalone 5G deployment and strengthen long-term competitiveness. </w:t>
      </w:r>
      <w:r w:rsidR="00EA474B" w:rsidRPr="00775CEF">
        <w:rPr>
          <w:rFonts w:ascii="Arial" w:hAnsi="Arial" w:cs="Arial"/>
          <w:sz w:val="22"/>
          <w:szCs w:val="22"/>
        </w:rPr>
        <w:t>(Vodafone Group Plc, 2025).</w:t>
      </w:r>
    </w:p>
    <w:p w14:paraId="2F58370D" w14:textId="6B80BA2D" w:rsidR="00EA474B" w:rsidRPr="00775CEF" w:rsidRDefault="00F82441" w:rsidP="00B223D6">
      <w:pPr>
        <w:pStyle w:val="NoSpacing"/>
        <w:spacing w:line="276" w:lineRule="auto"/>
        <w:rPr>
          <w:rFonts w:ascii="Arial" w:hAnsi="Arial" w:cs="Arial"/>
          <w:sz w:val="22"/>
          <w:szCs w:val="22"/>
        </w:rPr>
      </w:pPr>
      <w:r w:rsidRPr="00775CEF">
        <w:rPr>
          <w:rFonts w:ascii="Arial" w:hAnsi="Arial" w:cs="Arial"/>
          <w:sz w:val="22"/>
          <w:szCs w:val="22"/>
        </w:rPr>
        <w:lastRenderedPageBreak/>
        <w:t xml:space="preserve">Vodafone's corporate purpose, "Connecting for a Better Future," demonstrates its commitment to using technology to improve lives, support businesses and contribute to sustainable economic </w:t>
      </w:r>
      <w:r w:rsidR="0084387A" w:rsidRPr="00775CEF">
        <w:rPr>
          <w:rFonts w:ascii="Arial" w:hAnsi="Arial" w:cs="Arial"/>
          <w:sz w:val="22"/>
          <w:szCs w:val="22"/>
        </w:rPr>
        <w:t>development.</w:t>
      </w:r>
      <w:r w:rsidR="00EA474B" w:rsidRPr="00775CEF">
        <w:rPr>
          <w:rFonts w:ascii="Arial" w:hAnsi="Arial" w:cs="Arial"/>
          <w:sz w:val="22"/>
          <w:szCs w:val="22"/>
        </w:rPr>
        <w:t xml:space="preserve"> </w:t>
      </w:r>
      <w:r w:rsidR="0084387A" w:rsidRPr="00775CEF">
        <w:rPr>
          <w:rFonts w:ascii="Arial" w:hAnsi="Arial" w:cs="Arial"/>
          <w:sz w:val="22"/>
          <w:szCs w:val="22"/>
        </w:rPr>
        <w:t xml:space="preserve">Its corporate strategy prioritises customer experience, operational simplicity, investment in digital infrastructure and responsible business practices through innovation, inclusion and sustainability. </w:t>
      </w:r>
      <w:r w:rsidR="00EA474B" w:rsidRPr="00775CEF">
        <w:rPr>
          <w:rFonts w:ascii="Arial" w:hAnsi="Arial" w:cs="Arial"/>
          <w:sz w:val="22"/>
          <w:szCs w:val="22"/>
        </w:rPr>
        <w:t>(Vodafone Group Plc, 2025).</w:t>
      </w:r>
    </w:p>
    <w:p w14:paraId="6644A9BD" w14:textId="58FB7754" w:rsidR="00EA474B" w:rsidRPr="00775CEF" w:rsidRDefault="0084387A" w:rsidP="00B223D6">
      <w:pPr>
        <w:pStyle w:val="NoSpacing"/>
        <w:spacing w:line="276" w:lineRule="auto"/>
        <w:rPr>
          <w:rFonts w:ascii="Arial" w:hAnsi="Arial" w:cs="Arial"/>
          <w:sz w:val="22"/>
          <w:szCs w:val="22"/>
        </w:rPr>
      </w:pPr>
      <w:r w:rsidRPr="00775CEF">
        <w:rPr>
          <w:rFonts w:ascii="Arial" w:hAnsi="Arial" w:cs="Arial"/>
          <w:sz w:val="22"/>
          <w:szCs w:val="22"/>
        </w:rPr>
        <w:t>The UK telecommunications sector continues to evolve rapidly, driven by technological innovation, changing consumer expectations and increasing regulatory oversight</w:t>
      </w:r>
      <w:r w:rsidR="00EA474B" w:rsidRPr="00775CEF">
        <w:rPr>
          <w:rFonts w:ascii="Arial" w:hAnsi="Arial" w:cs="Arial"/>
          <w:sz w:val="22"/>
          <w:szCs w:val="22"/>
        </w:rPr>
        <w:t xml:space="preserve">. According to Johnson et al. (2020), organisations operating in dynamic markets must continually adapt their strategies to maintain competitive advantage. While the </w:t>
      </w:r>
      <w:proofErr w:type="spellStart"/>
      <w:r w:rsidR="00EA474B" w:rsidRPr="00775CEF">
        <w:rPr>
          <w:rFonts w:ascii="Arial" w:hAnsi="Arial" w:cs="Arial"/>
          <w:sz w:val="22"/>
          <w:szCs w:val="22"/>
        </w:rPr>
        <w:t>VodafoneThree</w:t>
      </w:r>
      <w:proofErr w:type="spellEnd"/>
      <w:r w:rsidR="00EA474B" w:rsidRPr="00775CEF">
        <w:rPr>
          <w:rFonts w:ascii="Arial" w:hAnsi="Arial" w:cs="Arial"/>
          <w:sz w:val="22"/>
          <w:szCs w:val="22"/>
        </w:rPr>
        <w:t xml:space="preserve"> merger provides opportunities to strengthen market position through greater operational scale and network investment, it also creates challenges relating to post-merger integration, customer retention and competition from established rivals such as BT/EE and Virgin Media O2.</w:t>
      </w:r>
    </w:p>
    <w:p w14:paraId="215E49DC" w14:textId="77777777" w:rsidR="0084387A" w:rsidRPr="00775CEF" w:rsidRDefault="0084387A" w:rsidP="00B223D6">
      <w:pPr>
        <w:pStyle w:val="NoSpacing"/>
        <w:spacing w:line="276" w:lineRule="auto"/>
        <w:rPr>
          <w:rFonts w:ascii="Arial" w:hAnsi="Arial" w:cs="Arial"/>
          <w:sz w:val="22"/>
          <w:szCs w:val="22"/>
        </w:rPr>
      </w:pPr>
      <w:r w:rsidRPr="00775CEF">
        <w:rPr>
          <w:rFonts w:ascii="Arial" w:hAnsi="Arial" w:cs="Arial"/>
          <w:sz w:val="22"/>
          <w:szCs w:val="22"/>
        </w:rPr>
        <w:t xml:space="preserve">This report provides a critical assessment of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internal capabilities and external operating environment before recommending a sustainable strategy for long-term competitive success.</w:t>
      </w:r>
    </w:p>
    <w:p w14:paraId="20263093" w14:textId="65AF9E14" w:rsidR="00E40CA9" w:rsidRPr="00775CEF" w:rsidRDefault="00E40CA9" w:rsidP="00B223D6">
      <w:pPr>
        <w:pStyle w:val="Heading1"/>
        <w:spacing w:line="276" w:lineRule="auto"/>
        <w:rPr>
          <w:rFonts w:ascii="Arial" w:hAnsi="Arial" w:cs="Arial"/>
          <w:b/>
          <w:bCs/>
          <w:color w:val="auto"/>
          <w:sz w:val="22"/>
          <w:szCs w:val="22"/>
        </w:rPr>
      </w:pPr>
      <w:bookmarkStart w:id="4" w:name="_Toc234858765"/>
      <w:bookmarkStart w:id="5" w:name="_Toc234859320"/>
      <w:bookmarkStart w:id="6" w:name="_Toc234860222"/>
      <w:bookmarkStart w:id="7" w:name="_Toc234863740"/>
      <w:r w:rsidRPr="00775CEF">
        <w:rPr>
          <w:rFonts w:ascii="Arial" w:hAnsi="Arial" w:cs="Arial"/>
          <w:b/>
          <w:bCs/>
          <w:color w:val="auto"/>
          <w:sz w:val="22"/>
          <w:szCs w:val="22"/>
        </w:rPr>
        <w:t>2. Evaluation of the Current Market Situation</w:t>
      </w:r>
      <w:bookmarkEnd w:id="4"/>
      <w:bookmarkEnd w:id="5"/>
      <w:bookmarkEnd w:id="6"/>
      <w:bookmarkEnd w:id="7"/>
      <w:r w:rsidR="007C26C0" w:rsidRPr="00775CEF">
        <w:rPr>
          <w:rFonts w:ascii="Arial" w:hAnsi="Arial" w:cs="Arial"/>
          <w:b/>
          <w:bCs/>
          <w:color w:val="auto"/>
          <w:sz w:val="22"/>
          <w:szCs w:val="22"/>
        </w:rPr>
        <w:br/>
      </w:r>
    </w:p>
    <w:p w14:paraId="34756831" w14:textId="303A5846" w:rsidR="006F07F0" w:rsidRPr="00775CEF" w:rsidRDefault="006F07F0" w:rsidP="00B223D6">
      <w:pPr>
        <w:pStyle w:val="NoSpacing"/>
        <w:spacing w:line="276" w:lineRule="auto"/>
        <w:rPr>
          <w:rFonts w:ascii="Arial" w:hAnsi="Arial" w:cs="Arial"/>
          <w:b/>
          <w:bCs/>
          <w:sz w:val="22"/>
          <w:szCs w:val="22"/>
        </w:rPr>
      </w:pPr>
      <w:bookmarkStart w:id="8" w:name="_Toc234858766"/>
      <w:bookmarkStart w:id="9" w:name="_Toc234859321"/>
      <w:r w:rsidRPr="00775CEF">
        <w:rPr>
          <w:rFonts w:ascii="Arial" w:hAnsi="Arial" w:cs="Arial"/>
          <w:b/>
          <w:bCs/>
          <w:sz w:val="22"/>
          <w:szCs w:val="22"/>
        </w:rPr>
        <w:t>2.1 PESTEL Analysis</w:t>
      </w:r>
      <w:bookmarkEnd w:id="8"/>
      <w:bookmarkEnd w:id="9"/>
    </w:p>
    <w:p w14:paraId="172B0076" w14:textId="1E24215F" w:rsidR="006F07F0" w:rsidRPr="00775CEF" w:rsidRDefault="00043127" w:rsidP="00B223D6">
      <w:pPr>
        <w:pStyle w:val="NoSpacing"/>
        <w:spacing w:line="276" w:lineRule="auto"/>
        <w:rPr>
          <w:rFonts w:ascii="Arial" w:hAnsi="Arial" w:cs="Arial"/>
          <w:sz w:val="22"/>
          <w:szCs w:val="22"/>
        </w:rPr>
      </w:pPr>
      <w:r w:rsidRPr="00775CEF">
        <w:rPr>
          <w:rFonts w:ascii="Arial" w:hAnsi="Arial" w:cs="Arial"/>
          <w:sz w:val="22"/>
          <w:szCs w:val="22"/>
        </w:rPr>
        <w:t xml:space="preserve">PESTEL analysis provides a structured framework for examining the external macro-environmental factors that influence an organisation's strategic decision-making and competitive position. </w:t>
      </w:r>
      <w:r w:rsidR="006F07F0" w:rsidRPr="00775CEF">
        <w:rPr>
          <w:rFonts w:ascii="Arial" w:hAnsi="Arial" w:cs="Arial"/>
          <w:sz w:val="22"/>
          <w:szCs w:val="22"/>
        </w:rPr>
        <w:t xml:space="preserve">(Johnson et al., 2020). For </w:t>
      </w:r>
      <w:proofErr w:type="spellStart"/>
      <w:r w:rsidR="006F07F0" w:rsidRPr="00775CEF">
        <w:rPr>
          <w:rFonts w:ascii="Arial" w:hAnsi="Arial" w:cs="Arial"/>
          <w:sz w:val="22"/>
          <w:szCs w:val="22"/>
        </w:rPr>
        <w:t>VodafoneThree</w:t>
      </w:r>
      <w:proofErr w:type="spellEnd"/>
      <w:r w:rsidR="006F07F0" w:rsidRPr="00775CEF">
        <w:rPr>
          <w:rFonts w:ascii="Arial" w:hAnsi="Arial" w:cs="Arial"/>
          <w:sz w:val="22"/>
          <w:szCs w:val="22"/>
        </w:rPr>
        <w:t>, these external forces present both significant opportunities and strategic risks.</w:t>
      </w:r>
    </w:p>
    <w:p w14:paraId="79CCBA0E" w14:textId="5E31DC20" w:rsidR="006A47FA"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0C4B1B" w:rsidRPr="00775CEF">
        <w:rPr>
          <w:rFonts w:ascii="Arial" w:hAnsi="Arial" w:cs="Arial"/>
          <w:b/>
          <w:bCs/>
          <w:sz w:val="22"/>
          <w:szCs w:val="22"/>
        </w:rPr>
        <w:t>Political</w:t>
      </w:r>
      <w:r w:rsidR="00D94894" w:rsidRPr="00775CEF">
        <w:rPr>
          <w:rFonts w:ascii="Arial" w:hAnsi="Arial" w:cs="Arial"/>
          <w:sz w:val="22"/>
          <w:szCs w:val="22"/>
        </w:rPr>
        <w:t xml:space="preserve"> influences play a significant role in shaping the UK telecommunications industry through government policy, digital infrastructure investment and regulatory oversight. Following</w:t>
      </w:r>
      <w:r w:rsidR="000C4B1B" w:rsidRPr="00775CEF">
        <w:rPr>
          <w:rFonts w:ascii="Arial" w:hAnsi="Arial" w:cs="Arial"/>
          <w:sz w:val="22"/>
          <w:szCs w:val="22"/>
        </w:rPr>
        <w:t xml:space="preserve"> the Vodafone–Three merger, the company must comply with conditions imposed by the Competition and Markets Authority (CMA) and Ofcom to maintain fair competition and consumer protection (Competition and Markets Authority, 2025; Ofcom, 2025). </w:t>
      </w:r>
      <w:r w:rsidR="00B43B58" w:rsidRPr="00B43B58">
        <w:rPr>
          <w:rFonts w:ascii="Arial" w:hAnsi="Arial" w:cs="Arial"/>
          <w:sz w:val="22"/>
          <w:szCs w:val="22"/>
        </w:rPr>
        <w:t>Government investment and policy support for nationwide 5G deployment create significant opportunities for network expansion and economic growth</w:t>
      </w:r>
      <w:r w:rsidR="00B43B58">
        <w:rPr>
          <w:rFonts w:ascii="Arial" w:hAnsi="Arial" w:cs="Arial"/>
          <w:sz w:val="22"/>
          <w:szCs w:val="22"/>
        </w:rPr>
        <w:t xml:space="preserve">. </w:t>
      </w:r>
      <w:r w:rsidR="006A47FA" w:rsidRPr="00775CEF">
        <w:rPr>
          <w:rFonts w:ascii="Arial" w:hAnsi="Arial" w:cs="Arial"/>
          <w:sz w:val="22"/>
          <w:szCs w:val="22"/>
        </w:rPr>
        <w:t xml:space="preserve">However, increased regulatory oversight following the merger may reduce </w:t>
      </w:r>
      <w:proofErr w:type="spellStart"/>
      <w:r w:rsidR="006A47FA" w:rsidRPr="00775CEF">
        <w:rPr>
          <w:rFonts w:ascii="Arial" w:hAnsi="Arial" w:cs="Arial"/>
          <w:sz w:val="22"/>
          <w:szCs w:val="22"/>
        </w:rPr>
        <w:t>VodafoneThree's</w:t>
      </w:r>
      <w:proofErr w:type="spellEnd"/>
      <w:r w:rsidR="006A47FA" w:rsidRPr="00775CEF">
        <w:rPr>
          <w:rFonts w:ascii="Arial" w:hAnsi="Arial" w:cs="Arial"/>
          <w:sz w:val="22"/>
          <w:szCs w:val="22"/>
        </w:rPr>
        <w:t xml:space="preserve"> strategic flexibility and delay future strategic initiatives (Ofcom, 2025)</w:t>
      </w:r>
      <w:r w:rsidR="00451E40">
        <w:rPr>
          <w:rFonts w:ascii="Arial" w:hAnsi="Arial" w:cs="Arial"/>
          <w:sz w:val="22"/>
          <w:szCs w:val="22"/>
        </w:rPr>
        <w:t>.</w:t>
      </w:r>
    </w:p>
    <w:p w14:paraId="694446B0" w14:textId="4AD68CF5" w:rsidR="006F07F0"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7949CA" w:rsidRPr="007949CA">
        <w:rPr>
          <w:rFonts w:ascii="Arial" w:hAnsi="Arial" w:cs="Arial"/>
          <w:sz w:val="22"/>
          <w:szCs w:val="22"/>
        </w:rPr>
        <w:t xml:space="preserve">Economic conditions continue to influence consumer spending, investment decisions and demand across the telecommunications </w:t>
      </w:r>
      <w:r w:rsidR="007949CA" w:rsidRPr="007949CA">
        <w:rPr>
          <w:rFonts w:ascii="Arial" w:hAnsi="Arial" w:cs="Arial"/>
          <w:sz w:val="22"/>
          <w:szCs w:val="22"/>
        </w:rPr>
        <w:t>sector</w:t>
      </w:r>
      <w:r w:rsidR="007949CA" w:rsidRPr="007949CA">
        <w:rPr>
          <w:rFonts w:ascii="Arial" w:hAnsi="Arial" w:cs="Arial"/>
          <w:b/>
          <w:bCs/>
          <w:sz w:val="22"/>
          <w:szCs w:val="22"/>
        </w:rPr>
        <w:t>.</w:t>
      </w:r>
      <w:r w:rsidR="007949CA" w:rsidRPr="00775CEF">
        <w:rPr>
          <w:rFonts w:ascii="Arial" w:hAnsi="Arial" w:cs="Arial"/>
          <w:sz w:val="22"/>
          <w:szCs w:val="22"/>
        </w:rPr>
        <w:t xml:space="preserve"> However</w:t>
      </w:r>
      <w:r w:rsidR="006F07F0" w:rsidRPr="00775CEF">
        <w:rPr>
          <w:rFonts w:ascii="Arial" w:hAnsi="Arial" w:cs="Arial"/>
          <w:sz w:val="22"/>
          <w:szCs w:val="22"/>
        </w:rPr>
        <w:t xml:space="preserve">, </w:t>
      </w:r>
      <w:proofErr w:type="spellStart"/>
      <w:r w:rsidR="006F07F0" w:rsidRPr="00775CEF">
        <w:rPr>
          <w:rFonts w:ascii="Arial" w:hAnsi="Arial" w:cs="Arial"/>
          <w:sz w:val="22"/>
          <w:szCs w:val="22"/>
        </w:rPr>
        <w:t>VodafoneThree</w:t>
      </w:r>
      <w:proofErr w:type="spellEnd"/>
      <w:r w:rsidR="006F07F0" w:rsidRPr="00775CEF">
        <w:rPr>
          <w:rFonts w:ascii="Arial" w:hAnsi="Arial" w:cs="Arial"/>
          <w:sz w:val="22"/>
          <w:szCs w:val="22"/>
        </w:rPr>
        <w:t xml:space="preserve"> expects substantial operational savings through merger synergies, enabling continued investment in network infrastructure and digital innovation despite economic uncertainty (Vodafone Group Plc, 2025).</w:t>
      </w:r>
    </w:p>
    <w:p w14:paraId="0A14BD6B" w14:textId="178DE2A2" w:rsidR="002844CF"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6F07F0" w:rsidRPr="00775CEF">
        <w:rPr>
          <w:rFonts w:ascii="Arial" w:hAnsi="Arial" w:cs="Arial"/>
          <w:b/>
          <w:bCs/>
          <w:sz w:val="22"/>
          <w:szCs w:val="22"/>
        </w:rPr>
        <w:t>Social</w:t>
      </w:r>
      <w:r w:rsidR="006F07F0" w:rsidRPr="00775CEF">
        <w:rPr>
          <w:rFonts w:ascii="Arial" w:hAnsi="Arial" w:cs="Arial"/>
          <w:sz w:val="22"/>
          <w:szCs w:val="22"/>
        </w:rPr>
        <w:t xml:space="preserve"> factors reflect the growing dependence on reliable digital connectivity. </w:t>
      </w:r>
      <w:r w:rsidR="00F06A0E" w:rsidRPr="00775CEF">
        <w:rPr>
          <w:rFonts w:ascii="Arial" w:hAnsi="Arial" w:cs="Arial"/>
          <w:sz w:val="22"/>
          <w:szCs w:val="22"/>
        </w:rPr>
        <w:t>The growth of remote working, online learning and digital entertainment has significantly increased demand for reliable mobile and broadband connectivity. Consequently</w:t>
      </w:r>
      <w:r w:rsidR="008B7A62" w:rsidRPr="00775CEF">
        <w:rPr>
          <w:rFonts w:ascii="Arial" w:hAnsi="Arial" w:cs="Arial"/>
          <w:sz w:val="22"/>
          <w:szCs w:val="22"/>
        </w:rPr>
        <w:t>, customer experience has become an important source of</w:t>
      </w:r>
      <w:r w:rsidR="003152BC" w:rsidRPr="00775CEF">
        <w:rPr>
          <w:rFonts w:ascii="Arial" w:hAnsi="Arial" w:cs="Arial"/>
          <w:sz w:val="22"/>
          <w:szCs w:val="22"/>
        </w:rPr>
        <w:t xml:space="preserve"> </w:t>
      </w:r>
      <w:r w:rsidR="008B7A62" w:rsidRPr="00775CEF">
        <w:rPr>
          <w:rFonts w:ascii="Arial" w:hAnsi="Arial" w:cs="Arial"/>
          <w:sz w:val="22"/>
          <w:szCs w:val="22"/>
        </w:rPr>
        <w:t>competitive advantage rather than simply a service expectation (Ofcom, 2025; Johnson et al., 2020).</w:t>
      </w:r>
    </w:p>
    <w:p w14:paraId="7B58BE40" w14:textId="58B35F6D" w:rsidR="006F07F0" w:rsidRPr="00775CEF" w:rsidRDefault="006F07F0" w:rsidP="00B223D6">
      <w:pPr>
        <w:pStyle w:val="NoSpacing"/>
        <w:spacing w:line="276" w:lineRule="auto"/>
        <w:rPr>
          <w:rFonts w:ascii="Arial" w:hAnsi="Arial" w:cs="Arial"/>
          <w:sz w:val="22"/>
          <w:szCs w:val="22"/>
        </w:rPr>
      </w:pPr>
    </w:p>
    <w:p w14:paraId="5F17ACDE" w14:textId="77777777" w:rsidR="001E083F" w:rsidRPr="00775CEF" w:rsidRDefault="006F07F0" w:rsidP="00B223D6">
      <w:pPr>
        <w:pStyle w:val="NoSpacing"/>
        <w:spacing w:line="276" w:lineRule="auto"/>
        <w:rPr>
          <w:rFonts w:ascii="Arial" w:hAnsi="Arial" w:cs="Arial"/>
          <w:sz w:val="22"/>
          <w:szCs w:val="22"/>
        </w:rPr>
      </w:pPr>
      <w:r w:rsidRPr="00775CEF">
        <w:rPr>
          <w:rFonts w:ascii="Arial" w:hAnsi="Arial" w:cs="Arial"/>
          <w:b/>
          <w:bCs/>
          <w:sz w:val="22"/>
          <w:szCs w:val="22"/>
        </w:rPr>
        <w:lastRenderedPageBreak/>
        <w:t>Technological</w:t>
      </w:r>
      <w:r w:rsidRPr="00775CEF">
        <w:rPr>
          <w:rFonts w:ascii="Arial" w:hAnsi="Arial" w:cs="Arial"/>
          <w:sz w:val="22"/>
          <w:szCs w:val="22"/>
        </w:rPr>
        <w:t xml:space="preserve"> factors represent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greatest growth opportunity. </w:t>
      </w:r>
      <w:r w:rsidR="001E083F" w:rsidRPr="00775CEF">
        <w:rPr>
          <w:rFonts w:ascii="Arial" w:hAnsi="Arial" w:cs="Arial"/>
          <w:sz w:val="22"/>
          <w:szCs w:val="22"/>
        </w:rPr>
        <w:t>The planned £11 billion investment in the UK's standalone 5G network provides the foundation for expanding services such as Artificial Intelligence (AI), the Internet of Things (IoT) and smart city technologies (</w:t>
      </w:r>
      <w:proofErr w:type="spellStart"/>
      <w:r w:rsidR="001E083F" w:rsidRPr="00775CEF">
        <w:rPr>
          <w:rFonts w:ascii="Arial" w:hAnsi="Arial" w:cs="Arial"/>
          <w:sz w:val="22"/>
          <w:szCs w:val="22"/>
        </w:rPr>
        <w:t>VodafoneThree</w:t>
      </w:r>
      <w:proofErr w:type="spellEnd"/>
      <w:r w:rsidR="001E083F" w:rsidRPr="00775CEF">
        <w:rPr>
          <w:rFonts w:ascii="Arial" w:hAnsi="Arial" w:cs="Arial"/>
          <w:sz w:val="22"/>
          <w:szCs w:val="22"/>
        </w:rPr>
        <w:t>, 2025; Vodafone Group Plc, 2025). Nevertheless, rapid technological change requires continuous investment to remain competitive against BT/EE and Virgin Media O2.</w:t>
      </w:r>
    </w:p>
    <w:p w14:paraId="6D4B4A77" w14:textId="5FA87F8B" w:rsidR="006F07F0"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6F07F0" w:rsidRPr="00775CEF">
        <w:rPr>
          <w:rFonts w:ascii="Arial" w:hAnsi="Arial" w:cs="Arial"/>
          <w:b/>
          <w:bCs/>
          <w:sz w:val="22"/>
          <w:szCs w:val="22"/>
        </w:rPr>
        <w:t>Environmental</w:t>
      </w:r>
      <w:r w:rsidR="00F06A0E" w:rsidRPr="00775CEF">
        <w:rPr>
          <w:rFonts w:ascii="Arial" w:hAnsi="Arial" w:cs="Arial"/>
          <w:sz w:val="22"/>
          <w:szCs w:val="22"/>
        </w:rPr>
        <w:t xml:space="preserve"> sustainability has become a strategic priority as customers, investors and regulators increasingly expect organisations to demonstrate responsible business </w:t>
      </w:r>
      <w:r w:rsidR="00451E40" w:rsidRPr="00775CEF">
        <w:rPr>
          <w:rFonts w:ascii="Arial" w:hAnsi="Arial" w:cs="Arial"/>
          <w:sz w:val="22"/>
          <w:szCs w:val="22"/>
        </w:rPr>
        <w:t>practices. Vodafone’s</w:t>
      </w:r>
      <w:r w:rsidR="006F07F0" w:rsidRPr="00775CEF">
        <w:rPr>
          <w:rFonts w:ascii="Arial" w:hAnsi="Arial" w:cs="Arial"/>
          <w:sz w:val="22"/>
          <w:szCs w:val="22"/>
        </w:rPr>
        <w:t xml:space="preserve"> commitment to achieving net-zero emissions by 2040 supports its environmental strategy while strengthening corporate reputation (Vodafone Group Plc, 2025).</w:t>
      </w:r>
    </w:p>
    <w:p w14:paraId="4DABC081" w14:textId="3994ABC1" w:rsidR="00016393"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016393" w:rsidRPr="00775CEF">
        <w:rPr>
          <w:rFonts w:ascii="Arial" w:hAnsi="Arial" w:cs="Arial"/>
          <w:b/>
          <w:bCs/>
          <w:sz w:val="22"/>
          <w:szCs w:val="22"/>
        </w:rPr>
        <w:t>Legal</w:t>
      </w:r>
      <w:r w:rsidR="00016393" w:rsidRPr="00775CEF">
        <w:rPr>
          <w:rFonts w:ascii="Arial" w:hAnsi="Arial" w:cs="Arial"/>
          <w:sz w:val="22"/>
          <w:szCs w:val="22"/>
        </w:rPr>
        <w:t xml:space="preserve"> factors remain critical because </w:t>
      </w:r>
      <w:proofErr w:type="spellStart"/>
      <w:r w:rsidR="00016393" w:rsidRPr="00775CEF">
        <w:rPr>
          <w:rFonts w:ascii="Arial" w:hAnsi="Arial" w:cs="Arial"/>
          <w:sz w:val="22"/>
          <w:szCs w:val="22"/>
        </w:rPr>
        <w:t>VodafoneThree</w:t>
      </w:r>
      <w:proofErr w:type="spellEnd"/>
      <w:r w:rsidR="00016393" w:rsidRPr="00775CEF">
        <w:rPr>
          <w:rFonts w:ascii="Arial" w:hAnsi="Arial" w:cs="Arial"/>
          <w:sz w:val="22"/>
          <w:szCs w:val="22"/>
        </w:rPr>
        <w:t xml:space="preserve"> operates within a highly regulated industry. </w:t>
      </w:r>
      <w:r w:rsidR="00FE4841" w:rsidRPr="00775CEF">
        <w:rPr>
          <w:rFonts w:ascii="Arial" w:hAnsi="Arial" w:cs="Arial"/>
          <w:sz w:val="22"/>
          <w:szCs w:val="22"/>
        </w:rPr>
        <w:t xml:space="preserve">Compliance with UK GDPR, telecommunications regulation and consumer protection legislation remains essential for protecting customer data, maintaining trust and avoiding regulatory penalties. </w:t>
      </w:r>
      <w:r w:rsidR="00016393" w:rsidRPr="00775CEF">
        <w:rPr>
          <w:rFonts w:ascii="Arial" w:hAnsi="Arial" w:cs="Arial"/>
          <w:sz w:val="22"/>
          <w:szCs w:val="22"/>
        </w:rPr>
        <w:t>(Information Commissioner's Office, 2025).</w:t>
      </w:r>
    </w:p>
    <w:p w14:paraId="33ADE894" w14:textId="77777777" w:rsidR="002439D6" w:rsidRPr="00775CEF" w:rsidRDefault="002439D6" w:rsidP="00B223D6">
      <w:pPr>
        <w:pStyle w:val="NoSpacing"/>
        <w:spacing w:line="276" w:lineRule="auto"/>
        <w:rPr>
          <w:rFonts w:ascii="Arial" w:hAnsi="Arial" w:cs="Arial"/>
          <w:sz w:val="22"/>
          <w:szCs w:val="22"/>
        </w:rPr>
      </w:pPr>
      <w:r w:rsidRPr="00775CEF">
        <w:rPr>
          <w:rFonts w:ascii="Arial" w:hAnsi="Arial" w:cs="Arial"/>
          <w:sz w:val="22"/>
          <w:szCs w:val="22"/>
        </w:rPr>
        <w:t xml:space="preserve">Overall, the PESTEL assessment highlights that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operates within a dynamic environment that presents significant opportunities alongside regulatory and competitive challenges. Long-term success will depend on maintaining compliance while continuing to innovate and respond to changing customer needs.</w:t>
      </w:r>
    </w:p>
    <w:p w14:paraId="76A14FE9" w14:textId="7A114C2A" w:rsidR="006952A2" w:rsidRPr="00775CEF" w:rsidRDefault="007C26C0" w:rsidP="00B223D6">
      <w:pPr>
        <w:pStyle w:val="NoSpacing"/>
        <w:spacing w:line="276" w:lineRule="auto"/>
        <w:rPr>
          <w:rFonts w:ascii="Arial" w:hAnsi="Arial" w:cs="Arial"/>
          <w:b/>
          <w:bCs/>
          <w:sz w:val="22"/>
          <w:szCs w:val="22"/>
        </w:rPr>
      </w:pPr>
      <w:bookmarkStart w:id="10" w:name="_Toc234858767"/>
      <w:bookmarkStart w:id="11" w:name="_Toc234859322"/>
      <w:r w:rsidRPr="00775CEF">
        <w:rPr>
          <w:rFonts w:ascii="Arial" w:hAnsi="Arial" w:cs="Arial"/>
          <w:b/>
          <w:bCs/>
          <w:sz w:val="22"/>
          <w:szCs w:val="22"/>
        </w:rPr>
        <w:br/>
      </w:r>
      <w:r w:rsidR="006952A2" w:rsidRPr="00775CEF">
        <w:rPr>
          <w:rFonts w:ascii="Arial" w:hAnsi="Arial" w:cs="Arial"/>
          <w:b/>
          <w:bCs/>
          <w:sz w:val="22"/>
          <w:szCs w:val="22"/>
        </w:rPr>
        <w:t>2.2 Porter's Five Forces Analysis</w:t>
      </w:r>
      <w:bookmarkEnd w:id="10"/>
      <w:bookmarkEnd w:id="11"/>
    </w:p>
    <w:p w14:paraId="1C58899F" w14:textId="77777777" w:rsidR="007C26C0" w:rsidRPr="00775CEF" w:rsidRDefault="007C26C0" w:rsidP="00B223D6">
      <w:pPr>
        <w:pStyle w:val="NoSpacing"/>
        <w:spacing w:line="276" w:lineRule="auto"/>
        <w:rPr>
          <w:rFonts w:ascii="Arial" w:hAnsi="Arial" w:cs="Arial"/>
          <w:sz w:val="22"/>
          <w:szCs w:val="22"/>
        </w:rPr>
      </w:pPr>
    </w:p>
    <w:p w14:paraId="2583995A" w14:textId="44CF3649" w:rsidR="006952A2" w:rsidRPr="00775CEF" w:rsidRDefault="00AA0AB9" w:rsidP="00B223D6">
      <w:pPr>
        <w:pStyle w:val="NoSpacing"/>
        <w:spacing w:line="276" w:lineRule="auto"/>
        <w:rPr>
          <w:rFonts w:ascii="Arial" w:hAnsi="Arial" w:cs="Arial"/>
          <w:sz w:val="22"/>
          <w:szCs w:val="22"/>
        </w:rPr>
      </w:pPr>
      <w:r w:rsidRPr="00775CEF">
        <w:rPr>
          <w:rFonts w:ascii="Arial" w:hAnsi="Arial" w:cs="Arial"/>
          <w:sz w:val="22"/>
          <w:szCs w:val="22"/>
        </w:rPr>
        <w:t>Porter's Five Forces framework provides a structured method for analysing the competitive forces that shape industry attractiveness and long-term profitability</w:t>
      </w:r>
      <w:r w:rsidR="00D71E04">
        <w:rPr>
          <w:rFonts w:ascii="Arial" w:hAnsi="Arial" w:cs="Arial"/>
          <w:sz w:val="22"/>
          <w:szCs w:val="22"/>
        </w:rPr>
        <w:t xml:space="preserve">. </w:t>
      </w:r>
      <w:r w:rsidRPr="00775CEF">
        <w:rPr>
          <w:rFonts w:ascii="Arial" w:hAnsi="Arial" w:cs="Arial"/>
          <w:sz w:val="22"/>
          <w:szCs w:val="22"/>
        </w:rPr>
        <w:t xml:space="preserve">Although the Vodafone–Three merger has strengthened the organisation's market position,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continues to operate within an intensely competitive UK telecommunications market. </w:t>
      </w:r>
      <w:r w:rsidR="006952A2" w:rsidRPr="00775CEF">
        <w:rPr>
          <w:rFonts w:ascii="Arial" w:hAnsi="Arial" w:cs="Arial"/>
          <w:sz w:val="22"/>
          <w:szCs w:val="22"/>
        </w:rPr>
        <w:t xml:space="preserve">(Porter, 1980). For </w:t>
      </w:r>
      <w:proofErr w:type="spellStart"/>
      <w:r w:rsidR="006952A2" w:rsidRPr="00775CEF">
        <w:rPr>
          <w:rFonts w:ascii="Arial" w:hAnsi="Arial" w:cs="Arial"/>
          <w:sz w:val="22"/>
          <w:szCs w:val="22"/>
        </w:rPr>
        <w:t>VodafoneThree</w:t>
      </w:r>
      <w:proofErr w:type="spellEnd"/>
      <w:r w:rsidR="006952A2" w:rsidRPr="00775CEF">
        <w:rPr>
          <w:rFonts w:ascii="Arial" w:hAnsi="Arial" w:cs="Arial"/>
          <w:sz w:val="22"/>
          <w:szCs w:val="22"/>
        </w:rPr>
        <w:t>, the analysis indicates that despite the benefits of the merger, the UK telecommunications market remains highly competitive.</w:t>
      </w:r>
    </w:p>
    <w:p w14:paraId="449EE757" w14:textId="6D58746C" w:rsidR="006952A2" w:rsidRPr="00775CEF" w:rsidRDefault="007C26C0" w:rsidP="00B223D6">
      <w:pPr>
        <w:pStyle w:val="NoSpacing"/>
        <w:spacing w:line="276" w:lineRule="auto"/>
        <w:rPr>
          <w:rFonts w:ascii="Arial" w:hAnsi="Arial" w:cs="Arial"/>
          <w:b/>
          <w:bCs/>
          <w:sz w:val="22"/>
          <w:szCs w:val="22"/>
        </w:rPr>
      </w:pPr>
      <w:r w:rsidRPr="00775CEF">
        <w:rPr>
          <w:rFonts w:ascii="Arial" w:hAnsi="Arial" w:cs="Arial"/>
          <w:b/>
          <w:bCs/>
          <w:sz w:val="22"/>
          <w:szCs w:val="22"/>
        </w:rPr>
        <w:br/>
      </w:r>
      <w:r w:rsidR="006952A2" w:rsidRPr="00775CEF">
        <w:rPr>
          <w:rFonts w:ascii="Arial" w:hAnsi="Arial" w:cs="Arial"/>
          <w:b/>
          <w:bCs/>
          <w:sz w:val="22"/>
          <w:szCs w:val="22"/>
        </w:rPr>
        <w:t>Threat of New Entrants – Low</w:t>
      </w:r>
    </w:p>
    <w:p w14:paraId="799CE8BD" w14:textId="75773AA2" w:rsidR="00B046C4" w:rsidRPr="00775CEF" w:rsidRDefault="007C26C0" w:rsidP="00B223D6">
      <w:pPr>
        <w:pStyle w:val="NoSpacing"/>
        <w:spacing w:line="276" w:lineRule="auto"/>
        <w:rPr>
          <w:rFonts w:ascii="Arial" w:hAnsi="Arial" w:cs="Arial"/>
          <w:sz w:val="22"/>
          <w:szCs w:val="22"/>
        </w:rPr>
      </w:pPr>
      <w:r w:rsidRPr="00775CEF">
        <w:rPr>
          <w:rFonts w:ascii="Arial" w:hAnsi="Arial" w:cs="Arial"/>
          <w:sz w:val="22"/>
          <w:szCs w:val="22"/>
        </w:rPr>
        <w:br/>
      </w:r>
      <w:r w:rsidR="008813C7" w:rsidRPr="00775CEF">
        <w:rPr>
          <w:rFonts w:ascii="Arial" w:hAnsi="Arial" w:cs="Arial"/>
          <w:sz w:val="22"/>
          <w:szCs w:val="22"/>
        </w:rPr>
        <w:t xml:space="preserve">The likelihood of new entrants is limited because building a nationwide telecommunications network requires significant financial investment, access to radio spectrum and regulatory approval. Established providers such as </w:t>
      </w:r>
      <w:proofErr w:type="spellStart"/>
      <w:r w:rsidR="008813C7" w:rsidRPr="00775CEF">
        <w:rPr>
          <w:rFonts w:ascii="Arial" w:hAnsi="Arial" w:cs="Arial"/>
          <w:sz w:val="22"/>
          <w:szCs w:val="22"/>
        </w:rPr>
        <w:t>VodafoneThree</w:t>
      </w:r>
      <w:proofErr w:type="spellEnd"/>
      <w:r w:rsidR="008813C7" w:rsidRPr="00775CEF">
        <w:rPr>
          <w:rFonts w:ascii="Arial" w:hAnsi="Arial" w:cs="Arial"/>
          <w:sz w:val="22"/>
          <w:szCs w:val="22"/>
        </w:rPr>
        <w:t>, BT/EE and Virgin Media O2 also benefit from extensive infrastructure, recognised brands and economies of scale, making market entry difficult</w:t>
      </w:r>
      <w:r w:rsidR="00B046C4" w:rsidRPr="00775CEF">
        <w:rPr>
          <w:rFonts w:ascii="Arial" w:hAnsi="Arial" w:cs="Arial"/>
          <w:sz w:val="22"/>
          <w:szCs w:val="22"/>
        </w:rPr>
        <w:t>.</w:t>
      </w:r>
      <w:r w:rsidR="006952A2" w:rsidRPr="00775CEF">
        <w:rPr>
          <w:rFonts w:ascii="Arial" w:hAnsi="Arial" w:cs="Arial"/>
          <w:sz w:val="22"/>
          <w:szCs w:val="22"/>
        </w:rPr>
        <w:t xml:space="preserve"> </w:t>
      </w:r>
      <w:r w:rsidR="00B046C4" w:rsidRPr="00775CEF">
        <w:rPr>
          <w:rFonts w:ascii="Arial" w:hAnsi="Arial" w:cs="Arial"/>
          <w:sz w:val="22"/>
          <w:szCs w:val="22"/>
        </w:rPr>
        <w:t>While Mobile Virtual Network Operators (MVNOs) can enter the market more easily, they remain dependent on wholesale network access provided by larger infrastructure owners.</w:t>
      </w:r>
    </w:p>
    <w:p w14:paraId="534F7690" w14:textId="11AF2C5C" w:rsidR="006952A2" w:rsidRPr="00775CEF" w:rsidRDefault="007C26C0" w:rsidP="00B223D6">
      <w:pPr>
        <w:pStyle w:val="NoSpacing"/>
        <w:spacing w:line="276" w:lineRule="auto"/>
        <w:rPr>
          <w:rFonts w:ascii="Arial" w:hAnsi="Arial" w:cs="Arial"/>
          <w:b/>
          <w:bCs/>
          <w:sz w:val="22"/>
          <w:szCs w:val="22"/>
        </w:rPr>
      </w:pPr>
      <w:r w:rsidRPr="00775CEF">
        <w:rPr>
          <w:rFonts w:ascii="Arial" w:hAnsi="Arial" w:cs="Arial"/>
          <w:b/>
          <w:bCs/>
          <w:sz w:val="22"/>
          <w:szCs w:val="22"/>
        </w:rPr>
        <w:br/>
      </w:r>
      <w:r w:rsidR="006952A2" w:rsidRPr="00775CEF">
        <w:rPr>
          <w:rFonts w:ascii="Arial" w:hAnsi="Arial" w:cs="Arial"/>
          <w:b/>
          <w:bCs/>
          <w:sz w:val="22"/>
          <w:szCs w:val="22"/>
        </w:rPr>
        <w:t>Bargaining Power of Suppliers – Moderate</w:t>
      </w:r>
    </w:p>
    <w:p w14:paraId="2A8451EC" w14:textId="08458052" w:rsidR="006952A2" w:rsidRPr="00775CEF" w:rsidRDefault="007C26C0" w:rsidP="00B223D6">
      <w:pPr>
        <w:pStyle w:val="NoSpacing"/>
        <w:spacing w:line="276" w:lineRule="auto"/>
        <w:rPr>
          <w:rFonts w:ascii="Arial" w:hAnsi="Arial" w:cs="Arial"/>
          <w:sz w:val="22"/>
          <w:szCs w:val="22"/>
        </w:rPr>
      </w:pPr>
      <w:r w:rsidRPr="00775CEF">
        <w:rPr>
          <w:rFonts w:ascii="Arial" w:hAnsi="Arial" w:cs="Arial"/>
          <w:sz w:val="22"/>
          <w:szCs w:val="22"/>
        </w:rPr>
        <w:br/>
      </w:r>
      <w:proofErr w:type="spellStart"/>
      <w:r w:rsidR="00964AC7" w:rsidRPr="00775CEF">
        <w:rPr>
          <w:rFonts w:ascii="Arial" w:hAnsi="Arial" w:cs="Arial"/>
          <w:sz w:val="22"/>
          <w:szCs w:val="22"/>
        </w:rPr>
        <w:t>VodafoneThree</w:t>
      </w:r>
      <w:proofErr w:type="spellEnd"/>
      <w:r w:rsidR="00964AC7" w:rsidRPr="00775CEF">
        <w:rPr>
          <w:rFonts w:ascii="Arial" w:hAnsi="Arial" w:cs="Arial"/>
          <w:sz w:val="22"/>
          <w:szCs w:val="22"/>
        </w:rPr>
        <w:t xml:space="preserve"> depends on a relatively small number of specialist network equipment suppliers, including Ericsson and Nokia, giving these organisations moderate negotiating power</w:t>
      </w:r>
      <w:r w:rsidR="006952A2" w:rsidRPr="00775CEF">
        <w:rPr>
          <w:rFonts w:ascii="Arial" w:hAnsi="Arial" w:cs="Arial"/>
          <w:sz w:val="22"/>
          <w:szCs w:val="22"/>
        </w:rPr>
        <w:t xml:space="preserve">. </w:t>
      </w:r>
      <w:r w:rsidR="00371B63" w:rsidRPr="00775CEF">
        <w:rPr>
          <w:rFonts w:ascii="Arial" w:hAnsi="Arial" w:cs="Arial"/>
          <w:sz w:val="22"/>
          <w:szCs w:val="22"/>
        </w:rPr>
        <w:t xml:space="preserve">Nevertheless, </w:t>
      </w:r>
      <w:proofErr w:type="spellStart"/>
      <w:r w:rsidR="00371B63" w:rsidRPr="00775CEF">
        <w:rPr>
          <w:rFonts w:ascii="Arial" w:hAnsi="Arial" w:cs="Arial"/>
          <w:sz w:val="22"/>
          <w:szCs w:val="22"/>
        </w:rPr>
        <w:t>VodafoneThree's</w:t>
      </w:r>
      <w:proofErr w:type="spellEnd"/>
      <w:r w:rsidR="00371B63" w:rsidRPr="00775CEF">
        <w:rPr>
          <w:rFonts w:ascii="Arial" w:hAnsi="Arial" w:cs="Arial"/>
          <w:sz w:val="22"/>
          <w:szCs w:val="22"/>
        </w:rPr>
        <w:t xml:space="preserve"> increased scale following the merger improves its ability to negotiate favourable long-term supply agreements and achieve procurement efficiencies. </w:t>
      </w:r>
      <w:r w:rsidR="006952A2" w:rsidRPr="00775CEF">
        <w:rPr>
          <w:rFonts w:ascii="Arial" w:hAnsi="Arial" w:cs="Arial"/>
          <w:sz w:val="22"/>
          <w:szCs w:val="22"/>
        </w:rPr>
        <w:t>(Vodafone Group Plc, 2025).</w:t>
      </w:r>
    </w:p>
    <w:p w14:paraId="31479BE2" w14:textId="579F2073" w:rsidR="006952A2" w:rsidRPr="00775CEF" w:rsidRDefault="007C26C0" w:rsidP="00B223D6">
      <w:pPr>
        <w:pStyle w:val="NoSpacing"/>
        <w:spacing w:line="276" w:lineRule="auto"/>
        <w:rPr>
          <w:rFonts w:ascii="Arial" w:hAnsi="Arial" w:cs="Arial"/>
          <w:b/>
          <w:bCs/>
          <w:sz w:val="22"/>
          <w:szCs w:val="22"/>
        </w:rPr>
      </w:pPr>
      <w:r w:rsidRPr="00775CEF">
        <w:rPr>
          <w:rFonts w:ascii="Arial" w:hAnsi="Arial" w:cs="Arial"/>
          <w:b/>
          <w:bCs/>
          <w:sz w:val="22"/>
          <w:szCs w:val="22"/>
        </w:rPr>
        <w:lastRenderedPageBreak/>
        <w:br/>
      </w:r>
      <w:r w:rsidR="006952A2" w:rsidRPr="00775CEF">
        <w:rPr>
          <w:rFonts w:ascii="Arial" w:hAnsi="Arial" w:cs="Arial"/>
          <w:b/>
          <w:bCs/>
          <w:sz w:val="22"/>
          <w:szCs w:val="22"/>
        </w:rPr>
        <w:t>Bargaining Power of Buyers – High</w:t>
      </w:r>
    </w:p>
    <w:p w14:paraId="2333FC14" w14:textId="0EACAE80" w:rsidR="006952A2" w:rsidRPr="00775CEF" w:rsidRDefault="007C26C0" w:rsidP="00B223D6">
      <w:pPr>
        <w:pStyle w:val="NoSpacing"/>
        <w:spacing w:line="276" w:lineRule="auto"/>
        <w:rPr>
          <w:rFonts w:ascii="Arial" w:hAnsi="Arial" w:cs="Arial"/>
          <w:sz w:val="22"/>
          <w:szCs w:val="22"/>
        </w:rPr>
      </w:pPr>
      <w:r w:rsidRPr="00775CEF">
        <w:rPr>
          <w:rFonts w:ascii="Arial" w:hAnsi="Arial" w:cs="Arial"/>
          <w:sz w:val="22"/>
          <w:szCs w:val="22"/>
        </w:rPr>
        <w:br/>
      </w:r>
      <w:r w:rsidR="00B81294" w:rsidRPr="00775CEF">
        <w:rPr>
          <w:rFonts w:ascii="Arial" w:hAnsi="Arial" w:cs="Arial"/>
          <w:sz w:val="22"/>
          <w:szCs w:val="22"/>
        </w:rPr>
        <w:t>Customers possess considerable bargaining power because they can easily compare providers, switch contracts and access a wide range of competing offers within the UK market</w:t>
      </w:r>
      <w:r w:rsidR="006952A2" w:rsidRPr="00775CEF">
        <w:rPr>
          <w:rFonts w:ascii="Arial" w:hAnsi="Arial" w:cs="Arial"/>
          <w:sz w:val="22"/>
          <w:szCs w:val="22"/>
        </w:rPr>
        <w:t xml:space="preserve">. </w:t>
      </w:r>
      <w:r w:rsidR="00B81294" w:rsidRPr="00775CEF">
        <w:rPr>
          <w:rFonts w:ascii="Arial" w:hAnsi="Arial" w:cs="Arial"/>
          <w:sz w:val="22"/>
          <w:szCs w:val="22"/>
        </w:rPr>
        <w:t xml:space="preserve">As a result, providers must compete through network quality, customer experience and service innovation rather than relying solely on price. </w:t>
      </w:r>
      <w:r w:rsidR="006952A2" w:rsidRPr="00775CEF">
        <w:rPr>
          <w:rFonts w:ascii="Arial" w:hAnsi="Arial" w:cs="Arial"/>
          <w:sz w:val="22"/>
          <w:szCs w:val="22"/>
        </w:rPr>
        <w:t>(Ofcom, 2025).</w:t>
      </w:r>
    </w:p>
    <w:p w14:paraId="1C5A4FFA" w14:textId="6EE47B41" w:rsidR="006952A2" w:rsidRPr="00775CEF" w:rsidRDefault="007C26C0" w:rsidP="00B223D6">
      <w:pPr>
        <w:pStyle w:val="NoSpacing"/>
        <w:spacing w:line="276" w:lineRule="auto"/>
        <w:rPr>
          <w:rFonts w:ascii="Arial" w:hAnsi="Arial" w:cs="Arial"/>
          <w:b/>
          <w:bCs/>
          <w:sz w:val="22"/>
          <w:szCs w:val="22"/>
        </w:rPr>
      </w:pPr>
      <w:r w:rsidRPr="00775CEF">
        <w:rPr>
          <w:rFonts w:ascii="Arial" w:hAnsi="Arial" w:cs="Arial"/>
          <w:b/>
          <w:bCs/>
          <w:sz w:val="22"/>
          <w:szCs w:val="22"/>
        </w:rPr>
        <w:br/>
      </w:r>
      <w:r w:rsidR="006952A2" w:rsidRPr="00775CEF">
        <w:rPr>
          <w:rFonts w:ascii="Arial" w:hAnsi="Arial" w:cs="Arial"/>
          <w:b/>
          <w:bCs/>
          <w:sz w:val="22"/>
          <w:szCs w:val="22"/>
        </w:rPr>
        <w:t>Threat of Substitutes – Moderate</w:t>
      </w:r>
    </w:p>
    <w:p w14:paraId="3E9B8D71" w14:textId="4E596C5E" w:rsidR="00972BA7" w:rsidRPr="00775CEF" w:rsidRDefault="007C26C0" w:rsidP="00B223D6">
      <w:pPr>
        <w:pStyle w:val="NoSpacing"/>
        <w:spacing w:line="276" w:lineRule="auto"/>
        <w:rPr>
          <w:rFonts w:ascii="Arial" w:hAnsi="Arial" w:cs="Arial"/>
          <w:sz w:val="22"/>
          <w:szCs w:val="22"/>
        </w:rPr>
      </w:pPr>
      <w:r w:rsidRPr="00775CEF">
        <w:rPr>
          <w:rFonts w:ascii="Arial" w:hAnsi="Arial" w:cs="Arial"/>
          <w:sz w:val="22"/>
          <w:szCs w:val="22"/>
        </w:rPr>
        <w:br/>
      </w:r>
      <w:r w:rsidR="009A443A" w:rsidRPr="00775CEF">
        <w:rPr>
          <w:rFonts w:ascii="Arial" w:hAnsi="Arial" w:cs="Arial"/>
          <w:sz w:val="22"/>
          <w:szCs w:val="22"/>
        </w:rPr>
        <w:t>Conventional voice calls and text messaging continue to face competition from internet-based communication platforms such as WhatsApp, Microsoft Teams and Zoom</w:t>
      </w:r>
      <w:r w:rsidR="006952A2" w:rsidRPr="00775CEF">
        <w:rPr>
          <w:rFonts w:ascii="Arial" w:hAnsi="Arial" w:cs="Arial"/>
          <w:sz w:val="22"/>
          <w:szCs w:val="22"/>
        </w:rPr>
        <w:t xml:space="preserve">. </w:t>
      </w:r>
      <w:r w:rsidR="00972BA7" w:rsidRPr="00775CEF">
        <w:rPr>
          <w:rFonts w:ascii="Arial" w:hAnsi="Arial" w:cs="Arial"/>
          <w:sz w:val="22"/>
          <w:szCs w:val="22"/>
        </w:rPr>
        <w:t xml:space="preserve">Consequently, </w:t>
      </w:r>
      <w:proofErr w:type="spellStart"/>
      <w:r w:rsidR="00972BA7" w:rsidRPr="00775CEF">
        <w:rPr>
          <w:rFonts w:ascii="Arial" w:hAnsi="Arial" w:cs="Arial"/>
          <w:sz w:val="22"/>
          <w:szCs w:val="22"/>
        </w:rPr>
        <w:t>VodafoneThree</w:t>
      </w:r>
      <w:proofErr w:type="spellEnd"/>
      <w:r w:rsidR="00972BA7" w:rsidRPr="00775CEF">
        <w:rPr>
          <w:rFonts w:ascii="Arial" w:hAnsi="Arial" w:cs="Arial"/>
          <w:sz w:val="22"/>
          <w:szCs w:val="22"/>
        </w:rPr>
        <w:t xml:space="preserve"> must continue expanding value-added digital services, including cloud connectivity, IoT solutions and integrated communications.</w:t>
      </w:r>
    </w:p>
    <w:p w14:paraId="7A1EF3F2" w14:textId="19A1CA8E" w:rsidR="006952A2"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6952A2" w:rsidRPr="00775CEF">
        <w:rPr>
          <w:rFonts w:ascii="Arial" w:hAnsi="Arial" w:cs="Arial"/>
          <w:b/>
          <w:bCs/>
          <w:sz w:val="22"/>
          <w:szCs w:val="22"/>
        </w:rPr>
        <w:t>Competitive Rivalry – Very High</w:t>
      </w:r>
      <w:r w:rsidRPr="00775CEF">
        <w:rPr>
          <w:rFonts w:ascii="Arial" w:hAnsi="Arial" w:cs="Arial"/>
          <w:b/>
          <w:bCs/>
          <w:sz w:val="22"/>
          <w:szCs w:val="22"/>
        </w:rPr>
        <w:br/>
      </w:r>
      <w:r w:rsidRPr="00775CEF">
        <w:rPr>
          <w:rFonts w:ascii="Arial" w:hAnsi="Arial" w:cs="Arial"/>
          <w:sz w:val="22"/>
          <w:szCs w:val="22"/>
        </w:rPr>
        <w:br/>
      </w:r>
      <w:r w:rsidR="00250D3F" w:rsidRPr="00775CEF">
        <w:rPr>
          <w:rFonts w:ascii="Arial" w:hAnsi="Arial" w:cs="Arial"/>
          <w:sz w:val="22"/>
          <w:szCs w:val="22"/>
        </w:rPr>
        <w:t xml:space="preserve">Competitive rivalry within the UK telecommunications sector remains extremely strong. </w:t>
      </w:r>
      <w:proofErr w:type="spellStart"/>
      <w:r w:rsidR="006952A2" w:rsidRPr="00775CEF">
        <w:rPr>
          <w:rFonts w:ascii="Arial" w:hAnsi="Arial" w:cs="Arial"/>
          <w:sz w:val="22"/>
          <w:szCs w:val="22"/>
        </w:rPr>
        <w:t>VodafoneThree</w:t>
      </w:r>
      <w:proofErr w:type="spellEnd"/>
      <w:r w:rsidR="006952A2" w:rsidRPr="00775CEF">
        <w:rPr>
          <w:rFonts w:ascii="Arial" w:hAnsi="Arial" w:cs="Arial"/>
          <w:sz w:val="22"/>
          <w:szCs w:val="22"/>
        </w:rPr>
        <w:t xml:space="preserve"> competes directly with BT/EE, Virgin Media O2 and numerous MVNOs, all of which continue investing heavily in 5G infrastructure and digital services. </w:t>
      </w:r>
      <w:r w:rsidR="00250D3F" w:rsidRPr="00775CEF">
        <w:rPr>
          <w:rFonts w:ascii="Arial" w:hAnsi="Arial" w:cs="Arial"/>
          <w:sz w:val="22"/>
          <w:szCs w:val="22"/>
        </w:rPr>
        <w:t xml:space="preserve">Therefore, competing solely through lower prices is unlikely to provide sustainable success. Instead, long-term advantage is more likely to arise from network quality, digital innovation and superior customer experience. </w:t>
      </w:r>
      <w:r w:rsidR="006952A2" w:rsidRPr="00775CEF">
        <w:rPr>
          <w:rFonts w:ascii="Arial" w:hAnsi="Arial" w:cs="Arial"/>
          <w:sz w:val="22"/>
          <w:szCs w:val="22"/>
        </w:rPr>
        <w:t>(Porter, 1985).</w:t>
      </w:r>
    </w:p>
    <w:p w14:paraId="434E8CDB" w14:textId="0A224776" w:rsidR="000B65F9" w:rsidRPr="00775CEF" w:rsidRDefault="000B65F9" w:rsidP="00B223D6">
      <w:pPr>
        <w:pStyle w:val="NoSpacing"/>
        <w:spacing w:line="276" w:lineRule="auto"/>
        <w:rPr>
          <w:rFonts w:ascii="Arial" w:hAnsi="Arial" w:cs="Arial"/>
          <w:sz w:val="22"/>
          <w:szCs w:val="22"/>
        </w:rPr>
      </w:pPr>
      <w:r w:rsidRPr="00775CEF">
        <w:rPr>
          <w:rFonts w:ascii="Arial" w:hAnsi="Arial" w:cs="Arial"/>
          <w:sz w:val="22"/>
          <w:szCs w:val="22"/>
        </w:rPr>
        <w:t xml:space="preserve">Overall, the Five Forces assessment suggests that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operates within a mature and highly competitive market where continuous innovation, operational efficiency and customer-focused differentiation are essential for sustaining long-term competitive advantage.</w:t>
      </w:r>
      <w:r w:rsidR="007C26C0" w:rsidRPr="00775CEF">
        <w:rPr>
          <w:rFonts w:ascii="Arial" w:hAnsi="Arial" w:cs="Arial"/>
          <w:sz w:val="22"/>
          <w:szCs w:val="22"/>
        </w:rPr>
        <w:br/>
      </w:r>
    </w:p>
    <w:p w14:paraId="5E65B375" w14:textId="621B1056" w:rsidR="000A7FDF" w:rsidRPr="00775CEF" w:rsidRDefault="000A7FDF" w:rsidP="00B223D6">
      <w:pPr>
        <w:pStyle w:val="NoSpacing"/>
        <w:spacing w:line="276" w:lineRule="auto"/>
        <w:rPr>
          <w:rFonts w:ascii="Arial" w:hAnsi="Arial" w:cs="Arial"/>
          <w:b/>
          <w:bCs/>
          <w:sz w:val="22"/>
          <w:szCs w:val="22"/>
        </w:rPr>
      </w:pPr>
      <w:bookmarkStart w:id="12" w:name="_Toc234858768"/>
      <w:bookmarkStart w:id="13" w:name="_Toc234859323"/>
      <w:r w:rsidRPr="00775CEF">
        <w:rPr>
          <w:rFonts w:ascii="Arial" w:hAnsi="Arial" w:cs="Arial"/>
          <w:b/>
          <w:bCs/>
          <w:sz w:val="22"/>
          <w:szCs w:val="22"/>
        </w:rPr>
        <w:t>2.3 SWOT Analysis</w:t>
      </w:r>
      <w:bookmarkEnd w:id="12"/>
      <w:bookmarkEnd w:id="13"/>
      <w:r w:rsidR="00F15BC1" w:rsidRPr="00775CEF">
        <w:rPr>
          <w:rFonts w:ascii="Arial" w:hAnsi="Arial" w:cs="Arial"/>
          <w:b/>
          <w:bCs/>
          <w:sz w:val="22"/>
          <w:szCs w:val="22"/>
        </w:rPr>
        <w:br/>
      </w:r>
    </w:p>
    <w:p w14:paraId="16B05C7B" w14:textId="5AEB6E8A" w:rsidR="000E7494" w:rsidRPr="00775CEF" w:rsidRDefault="00E74677" w:rsidP="00B223D6">
      <w:pPr>
        <w:pStyle w:val="NoSpacing"/>
        <w:spacing w:line="276" w:lineRule="auto"/>
        <w:rPr>
          <w:rFonts w:ascii="Arial" w:hAnsi="Arial" w:cs="Arial"/>
          <w:b/>
          <w:bCs/>
          <w:sz w:val="22"/>
          <w:szCs w:val="22"/>
        </w:rPr>
      </w:pPr>
      <w:r w:rsidRPr="00E74677">
        <w:rPr>
          <w:rFonts w:ascii="Arial" w:hAnsi="Arial" w:cs="Arial"/>
          <w:sz w:val="22"/>
          <w:szCs w:val="22"/>
        </w:rPr>
        <w:t xml:space="preserve">The SWOT analysis highlights </w:t>
      </w:r>
      <w:proofErr w:type="spellStart"/>
      <w:r w:rsidRPr="00E74677">
        <w:rPr>
          <w:rFonts w:ascii="Arial" w:hAnsi="Arial" w:cs="Arial"/>
          <w:sz w:val="22"/>
          <w:szCs w:val="22"/>
        </w:rPr>
        <w:t>VodafoneThree's</w:t>
      </w:r>
      <w:proofErr w:type="spellEnd"/>
      <w:r w:rsidRPr="00E74677">
        <w:rPr>
          <w:rFonts w:ascii="Arial" w:hAnsi="Arial" w:cs="Arial"/>
          <w:sz w:val="22"/>
          <w:szCs w:val="22"/>
        </w:rPr>
        <w:t xml:space="preserve"> principal strength as the combination of increased organisational scale and significant investment in advanced digital infrastructure following the merger (Vodafone Group Plc, 2025). According to the Resource-Based View (RBV), organisations achieve sustainable competitive advantage when they possess valuable, rare, difficult-to-imitate and well-organised resources (Barney, 1991). </w:t>
      </w:r>
      <w:proofErr w:type="spellStart"/>
      <w:r w:rsidRPr="00E74677">
        <w:rPr>
          <w:rFonts w:ascii="Arial" w:hAnsi="Arial" w:cs="Arial"/>
          <w:sz w:val="22"/>
          <w:szCs w:val="22"/>
        </w:rPr>
        <w:t>VodafoneThree's</w:t>
      </w:r>
      <w:proofErr w:type="spellEnd"/>
      <w:r w:rsidRPr="00E74677">
        <w:rPr>
          <w:rFonts w:ascii="Arial" w:hAnsi="Arial" w:cs="Arial"/>
          <w:sz w:val="22"/>
          <w:szCs w:val="22"/>
        </w:rPr>
        <w:t xml:space="preserve"> expanded spectrum assets, strengthened network infrastructure and technological expertise provide a solid platform for capitalising on growing demand for 5G, Artificial Intelligence (AI) and the Internet of Things (IoT). Nevertheless, these capabilities will only generate sustainable competitive advantage if </w:t>
      </w:r>
      <w:proofErr w:type="spellStart"/>
      <w:r w:rsidRPr="00E74677">
        <w:rPr>
          <w:rFonts w:ascii="Arial" w:hAnsi="Arial" w:cs="Arial"/>
          <w:sz w:val="22"/>
          <w:szCs w:val="22"/>
        </w:rPr>
        <w:t>VodafoneThree</w:t>
      </w:r>
      <w:proofErr w:type="spellEnd"/>
      <w:r w:rsidRPr="00E74677">
        <w:rPr>
          <w:rFonts w:ascii="Arial" w:hAnsi="Arial" w:cs="Arial"/>
          <w:sz w:val="22"/>
          <w:szCs w:val="22"/>
        </w:rPr>
        <w:t xml:space="preserve"> successfully integrates its operations, maintains customer satisfaction and realises the anticipated merger benefits.</w:t>
      </w:r>
      <w:r w:rsidR="007F7DEB" w:rsidRPr="00775CEF">
        <w:rPr>
          <w:rFonts w:ascii="Arial" w:hAnsi="Arial" w:cs="Arial"/>
          <w:sz w:val="22"/>
          <w:szCs w:val="22"/>
        </w:rPr>
        <w:br/>
      </w:r>
      <w:r w:rsidR="007F7DEB" w:rsidRPr="00775CEF">
        <w:rPr>
          <w:rFonts w:ascii="Arial" w:hAnsi="Arial" w:cs="Arial"/>
          <w:sz w:val="22"/>
          <w:szCs w:val="22"/>
        </w:rPr>
        <w:br/>
      </w:r>
      <w:r w:rsidR="00900D57" w:rsidRPr="00775CEF">
        <w:rPr>
          <w:rFonts w:ascii="Arial" w:hAnsi="Arial" w:cs="Arial"/>
          <w:b/>
          <w:bCs/>
          <w:sz w:val="22"/>
          <w:szCs w:val="22"/>
        </w:rPr>
        <w:t xml:space="preserve">Table </w:t>
      </w:r>
      <w:r w:rsidR="000E5457" w:rsidRPr="00775CEF">
        <w:rPr>
          <w:rFonts w:ascii="Arial" w:hAnsi="Arial" w:cs="Arial"/>
          <w:b/>
          <w:bCs/>
          <w:sz w:val="22"/>
          <w:szCs w:val="22"/>
        </w:rPr>
        <w:t>1. SWOT</w:t>
      </w:r>
      <w:r w:rsidR="000E7494" w:rsidRPr="00775CEF">
        <w:rPr>
          <w:rFonts w:ascii="Arial" w:hAnsi="Arial" w:cs="Arial"/>
          <w:b/>
          <w:bCs/>
          <w:sz w:val="22"/>
          <w:szCs w:val="22"/>
        </w:rPr>
        <w:t xml:space="preserve"> Analysis of </w:t>
      </w:r>
      <w:proofErr w:type="spellStart"/>
      <w:r w:rsidR="000E7494" w:rsidRPr="00775CEF">
        <w:rPr>
          <w:rFonts w:ascii="Arial" w:hAnsi="Arial" w:cs="Arial"/>
          <w:b/>
          <w:bCs/>
          <w:sz w:val="22"/>
          <w:szCs w:val="22"/>
        </w:rPr>
        <w:t>VodafoneThree</w:t>
      </w:r>
      <w:proofErr w:type="spellEnd"/>
      <w:r w:rsidR="00B2704A" w:rsidRPr="00775CEF">
        <w:rPr>
          <w:rFonts w:ascii="Arial" w:hAnsi="Arial" w:cs="Arial"/>
          <w:b/>
          <w:bCs/>
          <w:sz w:val="22"/>
          <w:szCs w:val="22"/>
        </w:rPr>
        <w:br/>
      </w:r>
      <w:r w:rsidR="00B2704A" w:rsidRPr="00775CEF">
        <w:rPr>
          <w:rFonts w:ascii="Arial" w:hAnsi="Arial" w:cs="Arial"/>
          <w:b/>
          <w:bCs/>
          <w:sz w:val="22"/>
          <w:szCs w:val="22"/>
        </w:rPr>
        <w:br/>
      </w:r>
      <w:r w:rsidR="00E02B32" w:rsidRPr="00775CEF">
        <w:rPr>
          <w:rFonts w:ascii="Arial" w:hAnsi="Arial" w:cs="Arial"/>
          <w:sz w:val="22"/>
          <w:szCs w:val="22"/>
        </w:rPr>
        <w:t xml:space="preserve">Table 1 demonstrates that </w:t>
      </w:r>
      <w:proofErr w:type="spellStart"/>
      <w:r w:rsidR="00E02B32" w:rsidRPr="00775CEF">
        <w:rPr>
          <w:rFonts w:ascii="Arial" w:hAnsi="Arial" w:cs="Arial"/>
          <w:sz w:val="22"/>
          <w:szCs w:val="22"/>
        </w:rPr>
        <w:t>VodafoneThree</w:t>
      </w:r>
      <w:proofErr w:type="spellEnd"/>
      <w:r w:rsidR="00E02B32" w:rsidRPr="00775CEF">
        <w:rPr>
          <w:rFonts w:ascii="Arial" w:hAnsi="Arial" w:cs="Arial"/>
          <w:sz w:val="22"/>
          <w:szCs w:val="22"/>
        </w:rPr>
        <w:t xml:space="preserve"> benefits from several important strategic strengths, particularly its increased scale, expanded spectrum assets and substantial investment in standalone 5G infrastructure.</w:t>
      </w:r>
      <w:r w:rsidR="008414F8" w:rsidRPr="00775CEF">
        <w:rPr>
          <w:rFonts w:ascii="Arial" w:hAnsi="Arial" w:cs="Arial"/>
          <w:sz w:val="22"/>
          <w:szCs w:val="22"/>
        </w:rPr>
        <w:br/>
      </w:r>
    </w:p>
    <w:tbl>
      <w:tblPr>
        <w:tblStyle w:val="TableGrid"/>
        <w:tblW w:w="5000" w:type="pct"/>
        <w:tblLook w:val="0620" w:firstRow="1" w:lastRow="0" w:firstColumn="0" w:lastColumn="0" w:noHBand="1" w:noVBand="1"/>
      </w:tblPr>
      <w:tblGrid>
        <w:gridCol w:w="4512"/>
        <w:gridCol w:w="4504"/>
      </w:tblGrid>
      <w:tr w:rsidR="000624EC" w:rsidRPr="00775CEF" w14:paraId="65BFFAD8" w14:textId="77777777" w:rsidTr="008A1514">
        <w:tc>
          <w:tcPr>
            <w:tcW w:w="2502" w:type="pct"/>
            <w:shd w:val="clear" w:color="auto" w:fill="D9D9D9" w:themeFill="background1" w:themeFillShade="D9"/>
          </w:tcPr>
          <w:p w14:paraId="0C648798" w14:textId="77739BB0" w:rsidR="000624EC" w:rsidRPr="00775CEF" w:rsidRDefault="00074A87" w:rsidP="00B223D6">
            <w:pPr>
              <w:pStyle w:val="NoSpacing"/>
              <w:spacing w:line="276" w:lineRule="auto"/>
              <w:rPr>
                <w:rFonts w:ascii="Arial" w:hAnsi="Arial" w:cs="Arial"/>
                <w:b/>
                <w:bCs/>
                <w:sz w:val="22"/>
                <w:szCs w:val="22"/>
              </w:rPr>
            </w:pPr>
            <w:r w:rsidRPr="00775CEF">
              <w:rPr>
                <w:rFonts w:ascii="Arial" w:hAnsi="Arial" w:cs="Arial"/>
                <w:b/>
                <w:bCs/>
                <w:sz w:val="22"/>
                <w:szCs w:val="22"/>
              </w:rPr>
              <w:lastRenderedPageBreak/>
              <w:t>Strengths</w:t>
            </w:r>
          </w:p>
        </w:tc>
        <w:tc>
          <w:tcPr>
            <w:tcW w:w="2498" w:type="pct"/>
            <w:shd w:val="clear" w:color="auto" w:fill="D9D9D9" w:themeFill="background1" w:themeFillShade="D9"/>
          </w:tcPr>
          <w:p w14:paraId="07B27F08" w14:textId="0398AF4B" w:rsidR="000624EC" w:rsidRPr="00775CEF" w:rsidRDefault="00074A87" w:rsidP="00B223D6">
            <w:pPr>
              <w:pStyle w:val="NoSpacing"/>
              <w:spacing w:line="276" w:lineRule="auto"/>
              <w:rPr>
                <w:rFonts w:ascii="Arial" w:hAnsi="Arial" w:cs="Arial"/>
                <w:b/>
                <w:bCs/>
                <w:sz w:val="22"/>
                <w:szCs w:val="22"/>
              </w:rPr>
            </w:pPr>
            <w:r w:rsidRPr="00775CEF">
              <w:rPr>
                <w:rFonts w:ascii="Arial" w:hAnsi="Arial" w:cs="Arial"/>
                <w:b/>
                <w:bCs/>
                <w:sz w:val="22"/>
                <w:szCs w:val="22"/>
              </w:rPr>
              <w:t>Weaknesses</w:t>
            </w:r>
          </w:p>
        </w:tc>
      </w:tr>
      <w:tr w:rsidR="000624EC" w:rsidRPr="00775CEF" w14:paraId="2E33332E" w14:textId="77777777" w:rsidTr="000C1087">
        <w:tc>
          <w:tcPr>
            <w:tcW w:w="2502" w:type="pct"/>
          </w:tcPr>
          <w:p w14:paraId="11071F5E" w14:textId="0FB472F9" w:rsidR="000624EC" w:rsidRPr="00775CEF" w:rsidRDefault="00552897" w:rsidP="00B223D6">
            <w:pPr>
              <w:pStyle w:val="NoSpacing"/>
              <w:spacing w:line="276" w:lineRule="auto"/>
              <w:rPr>
                <w:rFonts w:ascii="Arial" w:hAnsi="Arial" w:cs="Arial"/>
                <w:sz w:val="22"/>
                <w:szCs w:val="22"/>
              </w:rPr>
            </w:pPr>
            <w:r w:rsidRPr="00775CEF">
              <w:rPr>
                <w:rFonts w:ascii="Arial" w:hAnsi="Arial" w:cs="Arial"/>
                <w:sz w:val="22"/>
                <w:szCs w:val="22"/>
              </w:rPr>
              <w:t>UK's largest mobile network operator following the Vodafone–Three merger, serving approximately 27 million customers.</w:t>
            </w:r>
          </w:p>
        </w:tc>
        <w:tc>
          <w:tcPr>
            <w:tcW w:w="2498" w:type="pct"/>
          </w:tcPr>
          <w:p w14:paraId="594B0607" w14:textId="7928DFD6" w:rsidR="000624EC" w:rsidRPr="00775CEF" w:rsidRDefault="00273E46" w:rsidP="00B223D6">
            <w:pPr>
              <w:pStyle w:val="NoSpacing"/>
              <w:spacing w:line="276" w:lineRule="auto"/>
              <w:rPr>
                <w:rFonts w:ascii="Arial" w:hAnsi="Arial" w:cs="Arial"/>
                <w:sz w:val="22"/>
                <w:szCs w:val="22"/>
              </w:rPr>
            </w:pPr>
            <w:r w:rsidRPr="00775CEF">
              <w:rPr>
                <w:rFonts w:ascii="Arial" w:hAnsi="Arial" w:cs="Arial"/>
                <w:sz w:val="22"/>
                <w:szCs w:val="22"/>
              </w:rPr>
              <w:t>Complex integration of networks, IT systems and organisational cultures following the merger.</w:t>
            </w:r>
          </w:p>
        </w:tc>
      </w:tr>
      <w:tr w:rsidR="000624EC" w:rsidRPr="00775CEF" w14:paraId="5563F4DA" w14:textId="77777777" w:rsidTr="000C1087">
        <w:tc>
          <w:tcPr>
            <w:tcW w:w="2502" w:type="pct"/>
          </w:tcPr>
          <w:p w14:paraId="7D3F301E" w14:textId="3652CD07" w:rsidR="000624EC" w:rsidRPr="00775CEF" w:rsidRDefault="00273E46" w:rsidP="00B223D6">
            <w:pPr>
              <w:pStyle w:val="NoSpacing"/>
              <w:spacing w:line="276" w:lineRule="auto"/>
              <w:rPr>
                <w:rFonts w:ascii="Arial" w:hAnsi="Arial" w:cs="Arial"/>
                <w:sz w:val="22"/>
                <w:szCs w:val="22"/>
              </w:rPr>
            </w:pPr>
            <w:r w:rsidRPr="00775CEF">
              <w:rPr>
                <w:rFonts w:ascii="Arial" w:hAnsi="Arial" w:cs="Arial"/>
                <w:sz w:val="22"/>
                <w:szCs w:val="22"/>
              </w:rPr>
              <w:t>£11 billion investment in the UK's standalone 5G network, strengthening future digital capabilities.</w:t>
            </w:r>
          </w:p>
        </w:tc>
        <w:tc>
          <w:tcPr>
            <w:tcW w:w="2498" w:type="pct"/>
          </w:tcPr>
          <w:p w14:paraId="7C25E8E1" w14:textId="396DE2A4" w:rsidR="000624EC" w:rsidRPr="00775CEF" w:rsidRDefault="00273E46" w:rsidP="00B223D6">
            <w:pPr>
              <w:pStyle w:val="NoSpacing"/>
              <w:spacing w:line="276" w:lineRule="auto"/>
              <w:rPr>
                <w:rFonts w:ascii="Arial" w:hAnsi="Arial" w:cs="Arial"/>
                <w:sz w:val="22"/>
                <w:szCs w:val="22"/>
              </w:rPr>
            </w:pPr>
            <w:r w:rsidRPr="00775CEF">
              <w:rPr>
                <w:rFonts w:ascii="Arial" w:hAnsi="Arial" w:cs="Arial"/>
                <w:sz w:val="22"/>
                <w:szCs w:val="22"/>
              </w:rPr>
              <w:t>High capital expenditure required to maintain network infrastructure and technological leadership.</w:t>
            </w:r>
          </w:p>
        </w:tc>
      </w:tr>
      <w:tr w:rsidR="000624EC" w:rsidRPr="00775CEF" w14:paraId="66E08F56" w14:textId="77777777" w:rsidTr="000C1087">
        <w:tc>
          <w:tcPr>
            <w:tcW w:w="2502" w:type="pct"/>
          </w:tcPr>
          <w:p w14:paraId="76B5256F" w14:textId="427FDB32" w:rsidR="000624EC" w:rsidRPr="00775CEF" w:rsidRDefault="00C53805" w:rsidP="00B223D6">
            <w:pPr>
              <w:pStyle w:val="NoSpacing"/>
              <w:spacing w:line="276" w:lineRule="auto"/>
              <w:rPr>
                <w:rFonts w:ascii="Arial" w:hAnsi="Arial" w:cs="Arial"/>
                <w:sz w:val="22"/>
                <w:szCs w:val="22"/>
              </w:rPr>
            </w:pPr>
            <w:r w:rsidRPr="00775CEF">
              <w:rPr>
                <w:rFonts w:ascii="Arial" w:hAnsi="Arial" w:cs="Arial"/>
                <w:sz w:val="22"/>
                <w:szCs w:val="22"/>
              </w:rPr>
              <w:t>Strong brand reputation, expanded customer base and economies of scale.</w:t>
            </w:r>
          </w:p>
        </w:tc>
        <w:tc>
          <w:tcPr>
            <w:tcW w:w="2498" w:type="pct"/>
          </w:tcPr>
          <w:p w14:paraId="1E6A1627" w14:textId="1C90E7E2" w:rsidR="000624EC" w:rsidRPr="00775CEF" w:rsidRDefault="00273E46" w:rsidP="00B223D6">
            <w:pPr>
              <w:pStyle w:val="NoSpacing"/>
              <w:spacing w:line="276" w:lineRule="auto"/>
              <w:rPr>
                <w:rFonts w:ascii="Arial" w:hAnsi="Arial" w:cs="Arial"/>
                <w:sz w:val="22"/>
                <w:szCs w:val="22"/>
              </w:rPr>
            </w:pPr>
            <w:r w:rsidRPr="00775CEF">
              <w:rPr>
                <w:rFonts w:ascii="Arial" w:hAnsi="Arial" w:cs="Arial"/>
                <w:sz w:val="22"/>
                <w:szCs w:val="22"/>
              </w:rPr>
              <w:t>Increased regulatory scrutiny and compliance obligations imposed by the Competition and Markets Authority (CMA) and Ofcom.</w:t>
            </w:r>
          </w:p>
        </w:tc>
      </w:tr>
      <w:tr w:rsidR="000624EC" w:rsidRPr="00775CEF" w14:paraId="6DBFA33B" w14:textId="77777777" w:rsidTr="000C1087">
        <w:tc>
          <w:tcPr>
            <w:tcW w:w="2502" w:type="pct"/>
          </w:tcPr>
          <w:p w14:paraId="4FE7C6C9" w14:textId="151A070D" w:rsidR="000624EC" w:rsidRPr="00775CEF" w:rsidRDefault="00273E46" w:rsidP="00B223D6">
            <w:pPr>
              <w:pStyle w:val="NoSpacing"/>
              <w:spacing w:line="276" w:lineRule="auto"/>
              <w:rPr>
                <w:rFonts w:ascii="Arial" w:hAnsi="Arial" w:cs="Arial"/>
                <w:sz w:val="22"/>
                <w:szCs w:val="22"/>
              </w:rPr>
            </w:pPr>
            <w:r w:rsidRPr="00775CEF">
              <w:rPr>
                <w:rFonts w:ascii="Arial" w:hAnsi="Arial" w:cs="Arial"/>
                <w:sz w:val="22"/>
                <w:szCs w:val="22"/>
              </w:rPr>
              <w:t>Enhanced spectrum assets, wider network coverage and improved operational efficiency.</w:t>
            </w:r>
          </w:p>
        </w:tc>
        <w:tc>
          <w:tcPr>
            <w:tcW w:w="2498" w:type="pct"/>
          </w:tcPr>
          <w:p w14:paraId="09C1E01E" w14:textId="1E6A1A8A" w:rsidR="000624EC" w:rsidRPr="00775CEF" w:rsidRDefault="00D40D44" w:rsidP="00B223D6">
            <w:pPr>
              <w:pStyle w:val="NoSpacing"/>
              <w:spacing w:line="276" w:lineRule="auto"/>
              <w:rPr>
                <w:rFonts w:ascii="Arial" w:hAnsi="Arial" w:cs="Arial"/>
                <w:sz w:val="22"/>
                <w:szCs w:val="22"/>
              </w:rPr>
            </w:pPr>
            <w:r w:rsidRPr="00775CEF">
              <w:rPr>
                <w:rFonts w:ascii="Arial" w:hAnsi="Arial" w:cs="Arial"/>
                <w:sz w:val="22"/>
                <w:szCs w:val="22"/>
              </w:rPr>
              <w:t>Risk of service disruption and customer dissatisfaction during post-merger integration.</w:t>
            </w:r>
          </w:p>
        </w:tc>
      </w:tr>
      <w:tr w:rsidR="000624EC" w:rsidRPr="00775CEF" w14:paraId="307B750B" w14:textId="77777777" w:rsidTr="008A1514">
        <w:tc>
          <w:tcPr>
            <w:tcW w:w="2502" w:type="pct"/>
            <w:shd w:val="clear" w:color="auto" w:fill="D9D9D9" w:themeFill="background1" w:themeFillShade="D9"/>
          </w:tcPr>
          <w:p w14:paraId="6BE60172" w14:textId="1DF593E3" w:rsidR="000624EC" w:rsidRPr="00775CEF" w:rsidRDefault="00D40D44" w:rsidP="00B223D6">
            <w:pPr>
              <w:pStyle w:val="NoSpacing"/>
              <w:spacing w:line="276" w:lineRule="auto"/>
              <w:rPr>
                <w:rFonts w:ascii="Arial" w:hAnsi="Arial" w:cs="Arial"/>
                <w:b/>
                <w:bCs/>
                <w:sz w:val="22"/>
                <w:szCs w:val="22"/>
              </w:rPr>
            </w:pPr>
            <w:r w:rsidRPr="00775CEF">
              <w:rPr>
                <w:rFonts w:ascii="Arial" w:hAnsi="Arial" w:cs="Arial"/>
                <w:b/>
                <w:bCs/>
                <w:sz w:val="22"/>
                <w:szCs w:val="22"/>
              </w:rPr>
              <w:t>Opportunities</w:t>
            </w:r>
          </w:p>
        </w:tc>
        <w:tc>
          <w:tcPr>
            <w:tcW w:w="2498" w:type="pct"/>
            <w:shd w:val="clear" w:color="auto" w:fill="D9D9D9" w:themeFill="background1" w:themeFillShade="D9"/>
          </w:tcPr>
          <w:p w14:paraId="71D26BB8" w14:textId="09AB39FE" w:rsidR="000624EC" w:rsidRPr="00775CEF" w:rsidRDefault="00D40D44" w:rsidP="00B223D6">
            <w:pPr>
              <w:pStyle w:val="NoSpacing"/>
              <w:spacing w:line="276" w:lineRule="auto"/>
              <w:rPr>
                <w:rFonts w:ascii="Arial" w:hAnsi="Arial" w:cs="Arial"/>
                <w:b/>
                <w:bCs/>
                <w:sz w:val="22"/>
                <w:szCs w:val="22"/>
              </w:rPr>
            </w:pPr>
            <w:r w:rsidRPr="00775CEF">
              <w:rPr>
                <w:rFonts w:ascii="Arial" w:hAnsi="Arial" w:cs="Arial"/>
                <w:b/>
                <w:bCs/>
                <w:sz w:val="22"/>
                <w:szCs w:val="22"/>
              </w:rPr>
              <w:t>Threats</w:t>
            </w:r>
          </w:p>
        </w:tc>
      </w:tr>
      <w:tr w:rsidR="000624EC" w:rsidRPr="00775CEF" w14:paraId="3BC6C7D6" w14:textId="77777777" w:rsidTr="000C1087">
        <w:tc>
          <w:tcPr>
            <w:tcW w:w="2502" w:type="pct"/>
          </w:tcPr>
          <w:p w14:paraId="0B4602F0" w14:textId="0E56712A" w:rsidR="000624EC" w:rsidRPr="00775CEF" w:rsidRDefault="00D40D44" w:rsidP="00B223D6">
            <w:pPr>
              <w:pStyle w:val="NoSpacing"/>
              <w:spacing w:line="276" w:lineRule="auto"/>
              <w:rPr>
                <w:rFonts w:ascii="Arial" w:hAnsi="Arial" w:cs="Arial"/>
                <w:sz w:val="22"/>
                <w:szCs w:val="22"/>
              </w:rPr>
            </w:pPr>
            <w:r w:rsidRPr="00775CEF">
              <w:rPr>
                <w:rFonts w:ascii="Arial" w:hAnsi="Arial" w:cs="Arial"/>
                <w:sz w:val="22"/>
                <w:szCs w:val="22"/>
              </w:rPr>
              <w:t>Growing demand for 5G, Artificial Intelligence (AI), Internet of Things (IoT) and cloud-based connectivity services.</w:t>
            </w:r>
          </w:p>
        </w:tc>
        <w:tc>
          <w:tcPr>
            <w:tcW w:w="2498" w:type="pct"/>
          </w:tcPr>
          <w:p w14:paraId="17EB5FCC" w14:textId="50D8D49C" w:rsidR="000624EC" w:rsidRPr="00775CEF" w:rsidRDefault="003D42F5" w:rsidP="00B223D6">
            <w:pPr>
              <w:pStyle w:val="NoSpacing"/>
              <w:spacing w:line="276" w:lineRule="auto"/>
              <w:rPr>
                <w:rFonts w:ascii="Arial" w:hAnsi="Arial" w:cs="Arial"/>
                <w:sz w:val="22"/>
                <w:szCs w:val="22"/>
              </w:rPr>
            </w:pPr>
            <w:r w:rsidRPr="00775CEF">
              <w:rPr>
                <w:rFonts w:ascii="Arial" w:hAnsi="Arial" w:cs="Arial"/>
                <w:sz w:val="22"/>
                <w:szCs w:val="22"/>
              </w:rPr>
              <w:t>Intense competition from BT/EE, Virgin Media O2 and Mobile Virtual Network Operators (MVNOs).</w:t>
            </w:r>
          </w:p>
        </w:tc>
      </w:tr>
      <w:tr w:rsidR="000624EC" w:rsidRPr="00775CEF" w14:paraId="086B3482" w14:textId="77777777" w:rsidTr="000C1087">
        <w:tc>
          <w:tcPr>
            <w:tcW w:w="2502" w:type="pct"/>
          </w:tcPr>
          <w:p w14:paraId="53ED3575" w14:textId="04993D58" w:rsidR="000624EC" w:rsidRPr="00775CEF" w:rsidRDefault="00D40D44" w:rsidP="00B223D6">
            <w:pPr>
              <w:pStyle w:val="NoSpacing"/>
              <w:spacing w:line="276" w:lineRule="auto"/>
              <w:rPr>
                <w:rFonts w:ascii="Arial" w:hAnsi="Arial" w:cs="Arial"/>
                <w:sz w:val="22"/>
                <w:szCs w:val="22"/>
              </w:rPr>
            </w:pPr>
            <w:r w:rsidRPr="00775CEF">
              <w:rPr>
                <w:rFonts w:ascii="Arial" w:hAnsi="Arial" w:cs="Arial"/>
                <w:sz w:val="22"/>
                <w:szCs w:val="22"/>
              </w:rPr>
              <w:t>Expansion of digital services for business customers and public sector organisations.</w:t>
            </w:r>
          </w:p>
        </w:tc>
        <w:tc>
          <w:tcPr>
            <w:tcW w:w="2498" w:type="pct"/>
          </w:tcPr>
          <w:p w14:paraId="4E28A5BD" w14:textId="1A0A0385" w:rsidR="000624EC" w:rsidRPr="00775CEF" w:rsidRDefault="003D42F5" w:rsidP="00B223D6">
            <w:pPr>
              <w:pStyle w:val="NoSpacing"/>
              <w:spacing w:line="276" w:lineRule="auto"/>
              <w:rPr>
                <w:rFonts w:ascii="Arial" w:hAnsi="Arial" w:cs="Arial"/>
                <w:sz w:val="22"/>
                <w:szCs w:val="22"/>
              </w:rPr>
            </w:pPr>
            <w:r w:rsidRPr="00775CEF">
              <w:rPr>
                <w:rFonts w:ascii="Arial" w:hAnsi="Arial" w:cs="Arial"/>
                <w:sz w:val="22"/>
                <w:szCs w:val="22"/>
              </w:rPr>
              <w:t>Rapid technological change requiring continuous investment and innovation.</w:t>
            </w:r>
          </w:p>
        </w:tc>
      </w:tr>
      <w:tr w:rsidR="000624EC" w:rsidRPr="00775CEF" w14:paraId="7454FD59" w14:textId="77777777" w:rsidTr="000C1087">
        <w:tc>
          <w:tcPr>
            <w:tcW w:w="2502" w:type="pct"/>
          </w:tcPr>
          <w:p w14:paraId="13CA0179" w14:textId="79CDF5D7" w:rsidR="000624EC" w:rsidRPr="00775CEF" w:rsidRDefault="00D40D44" w:rsidP="00B223D6">
            <w:pPr>
              <w:pStyle w:val="NoSpacing"/>
              <w:spacing w:line="276" w:lineRule="auto"/>
              <w:rPr>
                <w:rFonts w:ascii="Arial" w:hAnsi="Arial" w:cs="Arial"/>
                <w:sz w:val="22"/>
                <w:szCs w:val="22"/>
              </w:rPr>
            </w:pPr>
            <w:r w:rsidRPr="00775CEF">
              <w:rPr>
                <w:rFonts w:ascii="Arial" w:hAnsi="Arial" w:cs="Arial"/>
                <w:sz w:val="22"/>
                <w:szCs w:val="22"/>
              </w:rPr>
              <w:t>Development of converged broadband, mobile and entertainment bundles to improve customer retention.</w:t>
            </w:r>
          </w:p>
        </w:tc>
        <w:tc>
          <w:tcPr>
            <w:tcW w:w="2498" w:type="pct"/>
          </w:tcPr>
          <w:p w14:paraId="47A732CF" w14:textId="68DDBD9F" w:rsidR="000624EC" w:rsidRPr="00775CEF" w:rsidRDefault="003D42F5" w:rsidP="00B223D6">
            <w:pPr>
              <w:pStyle w:val="NoSpacing"/>
              <w:spacing w:line="276" w:lineRule="auto"/>
              <w:rPr>
                <w:rFonts w:ascii="Arial" w:hAnsi="Arial" w:cs="Arial"/>
                <w:sz w:val="22"/>
                <w:szCs w:val="22"/>
              </w:rPr>
            </w:pPr>
            <w:r w:rsidRPr="00775CEF">
              <w:rPr>
                <w:rFonts w:ascii="Arial" w:hAnsi="Arial" w:cs="Arial"/>
                <w:sz w:val="22"/>
                <w:szCs w:val="22"/>
              </w:rPr>
              <w:t>High customer price sensitivity and relatively low switching costs.</w:t>
            </w:r>
          </w:p>
        </w:tc>
      </w:tr>
      <w:tr w:rsidR="000624EC" w:rsidRPr="00775CEF" w14:paraId="73A918FA" w14:textId="77777777" w:rsidTr="000C1087">
        <w:tc>
          <w:tcPr>
            <w:tcW w:w="2502" w:type="pct"/>
          </w:tcPr>
          <w:p w14:paraId="7B882A7A" w14:textId="1EAACB4B" w:rsidR="000624EC" w:rsidRPr="00775CEF" w:rsidRDefault="00D40D44" w:rsidP="00B223D6">
            <w:pPr>
              <w:pStyle w:val="NoSpacing"/>
              <w:spacing w:line="276" w:lineRule="auto"/>
              <w:rPr>
                <w:rFonts w:ascii="Arial" w:hAnsi="Arial" w:cs="Arial"/>
                <w:sz w:val="22"/>
                <w:szCs w:val="22"/>
              </w:rPr>
            </w:pPr>
            <w:r w:rsidRPr="00775CEF">
              <w:rPr>
                <w:rFonts w:ascii="Arial" w:hAnsi="Arial" w:cs="Arial"/>
                <w:sz w:val="22"/>
                <w:szCs w:val="22"/>
              </w:rPr>
              <w:t>Increasing consumer demand for integrated digital services and premium customer experiences.</w:t>
            </w:r>
          </w:p>
        </w:tc>
        <w:tc>
          <w:tcPr>
            <w:tcW w:w="2498" w:type="pct"/>
          </w:tcPr>
          <w:p w14:paraId="31D280EF" w14:textId="18CAD8FA" w:rsidR="000624EC" w:rsidRPr="00775CEF" w:rsidRDefault="003D42F5" w:rsidP="00B223D6">
            <w:pPr>
              <w:pStyle w:val="NoSpacing"/>
              <w:spacing w:line="276" w:lineRule="auto"/>
              <w:rPr>
                <w:rFonts w:ascii="Arial" w:hAnsi="Arial" w:cs="Arial"/>
                <w:sz w:val="22"/>
                <w:szCs w:val="22"/>
              </w:rPr>
            </w:pPr>
            <w:r w:rsidRPr="00775CEF">
              <w:rPr>
                <w:rFonts w:ascii="Arial" w:hAnsi="Arial" w:cs="Arial"/>
                <w:sz w:val="22"/>
                <w:szCs w:val="22"/>
              </w:rPr>
              <w:t>Changes in government regulation, cybersecurity risks and data protection requirements.</w:t>
            </w:r>
          </w:p>
        </w:tc>
      </w:tr>
    </w:tbl>
    <w:p w14:paraId="34ADE94F" w14:textId="215D0F57" w:rsidR="008D3706" w:rsidRPr="00775CEF" w:rsidRDefault="00CC4CFB" w:rsidP="00B223D6">
      <w:pPr>
        <w:pStyle w:val="NoSpacing"/>
        <w:spacing w:line="276" w:lineRule="auto"/>
        <w:rPr>
          <w:rFonts w:ascii="Arial" w:hAnsi="Arial" w:cs="Arial"/>
          <w:sz w:val="22"/>
          <w:szCs w:val="22"/>
        </w:rPr>
      </w:pPr>
      <w:r w:rsidRPr="00775CEF">
        <w:rPr>
          <w:rFonts w:ascii="Arial" w:hAnsi="Arial" w:cs="Arial"/>
          <w:sz w:val="22"/>
          <w:szCs w:val="22"/>
        </w:rPr>
        <w:br/>
      </w:r>
      <w:r w:rsidR="001A5947" w:rsidRPr="00775CEF">
        <w:rPr>
          <w:rFonts w:ascii="Arial" w:hAnsi="Arial" w:cs="Arial"/>
          <w:b/>
          <w:bCs/>
          <w:sz w:val="22"/>
          <w:szCs w:val="22"/>
        </w:rPr>
        <w:br/>
      </w:r>
      <w:r w:rsidR="007C26C0" w:rsidRPr="00775CEF">
        <w:rPr>
          <w:rFonts w:ascii="Arial" w:hAnsi="Arial" w:cs="Arial"/>
          <w:sz w:val="22"/>
          <w:szCs w:val="22"/>
        </w:rPr>
        <w:br/>
      </w:r>
      <w:r w:rsidR="00C258E4" w:rsidRPr="00775CEF">
        <w:rPr>
          <w:rFonts w:ascii="Arial" w:hAnsi="Arial" w:cs="Arial"/>
          <w:b/>
          <w:bCs/>
          <w:sz w:val="22"/>
          <w:szCs w:val="22"/>
        </w:rPr>
        <w:t>Source: Author's own compilation based on Vodafone Group Plc (2025), Ofcom (2025) and Competition and Markets Authority (2025).</w:t>
      </w:r>
      <w:r w:rsidR="00693326" w:rsidRPr="00775CEF">
        <w:rPr>
          <w:rFonts w:ascii="Arial" w:hAnsi="Arial" w:cs="Arial"/>
          <w:b/>
          <w:bCs/>
          <w:sz w:val="22"/>
          <w:szCs w:val="22"/>
        </w:rPr>
        <w:br/>
      </w:r>
      <w:r w:rsidR="000F4A7A" w:rsidRPr="00775CEF">
        <w:rPr>
          <w:rFonts w:ascii="Arial" w:hAnsi="Arial" w:cs="Arial"/>
          <w:sz w:val="22"/>
          <w:szCs w:val="22"/>
        </w:rPr>
        <w:br/>
      </w:r>
      <w:r w:rsidR="00140C45" w:rsidRPr="00775CEF">
        <w:rPr>
          <w:rFonts w:ascii="Arial" w:hAnsi="Arial" w:cs="Arial"/>
          <w:sz w:val="22"/>
          <w:szCs w:val="22"/>
        </w:rPr>
        <w:t xml:space="preserve">As shown in Table 1, </w:t>
      </w:r>
      <w:proofErr w:type="spellStart"/>
      <w:r w:rsidR="00140C45" w:rsidRPr="00775CEF">
        <w:rPr>
          <w:rFonts w:ascii="Arial" w:hAnsi="Arial" w:cs="Arial"/>
          <w:sz w:val="22"/>
          <w:szCs w:val="22"/>
        </w:rPr>
        <w:t>VodafoneThree</w:t>
      </w:r>
      <w:proofErr w:type="spellEnd"/>
      <w:r w:rsidR="00140C45" w:rsidRPr="00775CEF">
        <w:rPr>
          <w:rFonts w:ascii="Arial" w:hAnsi="Arial" w:cs="Arial"/>
          <w:sz w:val="22"/>
          <w:szCs w:val="22"/>
        </w:rPr>
        <w:t xml:space="preserve"> possesses significant strategic strengths following the merger, particularly through its increased scale, enhanced spectrum assets and substantial investment in standalone 5G infrastructure. </w:t>
      </w:r>
      <w:r w:rsidR="007B0C52" w:rsidRPr="00775CEF">
        <w:rPr>
          <w:rFonts w:ascii="Arial" w:hAnsi="Arial" w:cs="Arial"/>
          <w:sz w:val="22"/>
          <w:szCs w:val="22"/>
        </w:rPr>
        <w:t>However, successful post-merger integration and sustained competitive pressure continue to present significant strategic challenges.</w:t>
      </w:r>
      <w:r w:rsidR="007B0C52" w:rsidRPr="00775CEF">
        <w:rPr>
          <w:rFonts w:ascii="Arial" w:hAnsi="Arial" w:cs="Arial"/>
          <w:sz w:val="22"/>
          <w:szCs w:val="22"/>
        </w:rPr>
        <w:br/>
      </w:r>
      <w:r w:rsidR="00140C45" w:rsidRPr="00775CEF">
        <w:rPr>
          <w:rFonts w:ascii="Arial" w:hAnsi="Arial" w:cs="Arial"/>
          <w:sz w:val="22"/>
          <w:szCs w:val="22"/>
        </w:rPr>
        <w:br/>
      </w:r>
      <w:r w:rsidR="007B0C52" w:rsidRPr="00775CEF">
        <w:rPr>
          <w:rFonts w:ascii="Arial" w:hAnsi="Arial" w:cs="Arial"/>
          <w:sz w:val="22"/>
          <w:szCs w:val="22"/>
        </w:rPr>
        <w:t xml:space="preserve">Overall, the SWOT assessment confirms that </w:t>
      </w:r>
      <w:proofErr w:type="spellStart"/>
      <w:r w:rsidR="007B0C52" w:rsidRPr="00775CEF">
        <w:rPr>
          <w:rFonts w:ascii="Arial" w:hAnsi="Arial" w:cs="Arial"/>
          <w:sz w:val="22"/>
          <w:szCs w:val="22"/>
        </w:rPr>
        <w:t>VodafoneThree</w:t>
      </w:r>
      <w:proofErr w:type="spellEnd"/>
      <w:r w:rsidR="007B0C52" w:rsidRPr="00775CEF">
        <w:rPr>
          <w:rFonts w:ascii="Arial" w:hAnsi="Arial" w:cs="Arial"/>
          <w:sz w:val="22"/>
          <w:szCs w:val="22"/>
        </w:rPr>
        <w:t xml:space="preserve"> possesses strong internal capabilities alongside attractive market opportunities for future growth. </w:t>
      </w:r>
      <w:r w:rsidR="006F788A" w:rsidRPr="00775CEF">
        <w:rPr>
          <w:rFonts w:ascii="Arial" w:hAnsi="Arial" w:cs="Arial"/>
          <w:sz w:val="22"/>
          <w:szCs w:val="22"/>
        </w:rPr>
        <w:t>Realising these opportunities will depend upon effective post-merger integration while continuing to differentiate through innovation rather than competing primarily on price.</w:t>
      </w:r>
      <w:r w:rsidR="006F788A" w:rsidRPr="00775CEF">
        <w:rPr>
          <w:rFonts w:ascii="Arial" w:hAnsi="Arial" w:cs="Arial"/>
          <w:sz w:val="22"/>
          <w:szCs w:val="22"/>
        </w:rPr>
        <w:br/>
      </w:r>
      <w:r w:rsidR="006F788A" w:rsidRPr="00775CEF">
        <w:rPr>
          <w:rFonts w:ascii="Arial" w:hAnsi="Arial" w:cs="Arial"/>
          <w:sz w:val="22"/>
          <w:szCs w:val="22"/>
        </w:rPr>
        <w:br/>
        <w:t xml:space="preserve">In addition, intense competition, evolving regulation and rapid technological change reinforce the importance of continuous innovation and strategic adaptability. </w:t>
      </w:r>
      <w:r w:rsidR="0060662F" w:rsidRPr="00775CEF">
        <w:rPr>
          <w:rFonts w:ascii="Arial" w:hAnsi="Arial" w:cs="Arial"/>
          <w:sz w:val="22"/>
          <w:szCs w:val="22"/>
        </w:rPr>
        <w:t xml:space="preserve">Consequently, </w:t>
      </w:r>
      <w:proofErr w:type="spellStart"/>
      <w:r w:rsidR="0060662F" w:rsidRPr="00775CEF">
        <w:rPr>
          <w:rFonts w:ascii="Arial" w:hAnsi="Arial" w:cs="Arial"/>
          <w:sz w:val="22"/>
          <w:szCs w:val="22"/>
        </w:rPr>
        <w:t>VodafoneThree</w:t>
      </w:r>
      <w:proofErr w:type="spellEnd"/>
      <w:r w:rsidR="0060662F" w:rsidRPr="00775CEF">
        <w:rPr>
          <w:rFonts w:ascii="Arial" w:hAnsi="Arial" w:cs="Arial"/>
          <w:sz w:val="22"/>
          <w:szCs w:val="22"/>
        </w:rPr>
        <w:t xml:space="preserve"> should utilise its technological strengths to develop differentiated products and services capable of delivering long-term customer value. These findings provide the basis for assessing the strategic growth options presented in the next section.</w:t>
      </w:r>
    </w:p>
    <w:p w14:paraId="4C7BDDE0" w14:textId="4E8A0E8D" w:rsidR="00F02B4F" w:rsidRPr="00775CEF" w:rsidRDefault="00F02B4F" w:rsidP="00B223D6">
      <w:pPr>
        <w:pStyle w:val="Heading1"/>
        <w:spacing w:line="276" w:lineRule="auto"/>
        <w:rPr>
          <w:rFonts w:ascii="Arial" w:hAnsi="Arial" w:cs="Arial"/>
          <w:b/>
          <w:bCs/>
          <w:color w:val="auto"/>
          <w:sz w:val="22"/>
          <w:szCs w:val="22"/>
        </w:rPr>
      </w:pPr>
      <w:bookmarkStart w:id="14" w:name="_Toc234858769"/>
      <w:bookmarkStart w:id="15" w:name="_Toc234859324"/>
      <w:bookmarkStart w:id="16" w:name="_Toc234860223"/>
      <w:bookmarkStart w:id="17" w:name="_Toc234863741"/>
      <w:r w:rsidRPr="00775CEF">
        <w:rPr>
          <w:rFonts w:ascii="Arial" w:hAnsi="Arial" w:cs="Arial"/>
          <w:b/>
          <w:bCs/>
          <w:color w:val="auto"/>
          <w:sz w:val="22"/>
          <w:szCs w:val="22"/>
        </w:rPr>
        <w:lastRenderedPageBreak/>
        <w:t>3. Strategic Growth Options and Proposed Strategy</w:t>
      </w:r>
      <w:bookmarkEnd w:id="14"/>
      <w:bookmarkEnd w:id="15"/>
      <w:bookmarkEnd w:id="16"/>
      <w:bookmarkEnd w:id="17"/>
      <w:r w:rsidR="007C26C0" w:rsidRPr="00775CEF">
        <w:rPr>
          <w:rFonts w:ascii="Arial" w:hAnsi="Arial" w:cs="Arial"/>
          <w:b/>
          <w:bCs/>
          <w:color w:val="auto"/>
          <w:sz w:val="22"/>
          <w:szCs w:val="22"/>
        </w:rPr>
        <w:br/>
      </w:r>
    </w:p>
    <w:p w14:paraId="46FBAA2C" w14:textId="034AAE36" w:rsidR="00F02B4F" w:rsidRPr="00775CEF" w:rsidRDefault="00097556" w:rsidP="00B223D6">
      <w:pPr>
        <w:pStyle w:val="NoSpacing"/>
        <w:spacing w:line="276" w:lineRule="auto"/>
        <w:rPr>
          <w:rFonts w:ascii="Arial" w:hAnsi="Arial" w:cs="Arial"/>
          <w:sz w:val="22"/>
          <w:szCs w:val="22"/>
        </w:rPr>
      </w:pPr>
      <w:r w:rsidRPr="00775CEF">
        <w:rPr>
          <w:rFonts w:ascii="Arial" w:hAnsi="Arial" w:cs="Arial"/>
          <w:sz w:val="22"/>
          <w:szCs w:val="22"/>
        </w:rPr>
        <w:t xml:space="preserve">Building on the previous strategic analysis,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must determine the growth strategy that best supports sustainable long-term competitiveness</w:t>
      </w:r>
      <w:r w:rsidR="004C2E89" w:rsidRPr="00775CEF">
        <w:rPr>
          <w:rFonts w:ascii="Arial" w:hAnsi="Arial" w:cs="Arial"/>
          <w:sz w:val="22"/>
          <w:szCs w:val="22"/>
        </w:rPr>
        <w:t xml:space="preserve">. Ansoff's Matrix (Ansoff, 1957) offers a recognised framework for assessing four alternative growth strategies: market penetration, market development, product development and diversification. Each option involves different levels of investment, risk and potential return. </w:t>
      </w:r>
    </w:p>
    <w:p w14:paraId="3FBC44FB" w14:textId="69A19D0C" w:rsidR="00F02B4F" w:rsidRPr="00775CEF" w:rsidRDefault="00F02B4F" w:rsidP="00B223D6">
      <w:pPr>
        <w:pStyle w:val="NoSpacing"/>
        <w:spacing w:line="276" w:lineRule="auto"/>
        <w:rPr>
          <w:rFonts w:ascii="Arial" w:hAnsi="Arial" w:cs="Arial"/>
          <w:b/>
          <w:bCs/>
          <w:sz w:val="22"/>
          <w:szCs w:val="22"/>
        </w:rPr>
      </w:pPr>
      <w:r w:rsidRPr="00775CEF">
        <w:rPr>
          <w:rFonts w:ascii="Arial" w:hAnsi="Arial" w:cs="Arial"/>
          <w:b/>
          <w:bCs/>
          <w:sz w:val="22"/>
          <w:szCs w:val="22"/>
        </w:rPr>
        <w:t>Market Penetration</w:t>
      </w:r>
      <w:r w:rsidR="007C26C0" w:rsidRPr="00775CEF">
        <w:rPr>
          <w:rFonts w:ascii="Arial" w:hAnsi="Arial" w:cs="Arial"/>
          <w:b/>
          <w:bCs/>
          <w:sz w:val="22"/>
          <w:szCs w:val="22"/>
        </w:rPr>
        <w:br/>
      </w:r>
    </w:p>
    <w:p w14:paraId="34AF39B6" w14:textId="54F41037" w:rsidR="00F02B4F" w:rsidRPr="00775CEF" w:rsidRDefault="00347C96" w:rsidP="00B223D6">
      <w:pPr>
        <w:pStyle w:val="NoSpacing"/>
        <w:spacing w:line="276" w:lineRule="auto"/>
        <w:rPr>
          <w:rFonts w:ascii="Arial" w:hAnsi="Arial" w:cs="Arial"/>
          <w:sz w:val="22"/>
          <w:szCs w:val="22"/>
        </w:rPr>
      </w:pPr>
      <w:r w:rsidRPr="00775CEF">
        <w:rPr>
          <w:rFonts w:ascii="Arial" w:hAnsi="Arial" w:cs="Arial"/>
          <w:sz w:val="22"/>
          <w:szCs w:val="22"/>
        </w:rPr>
        <w:t xml:space="preserve">Market penetration aims to strengthen market share by encouraging existing customers to purchase more of the organisation's current products and services.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could pursue this strategy by enhancing customer retention, improving service quality and offering more competitive pricing</w:t>
      </w:r>
      <w:r w:rsidR="00F02B4F" w:rsidRPr="00775CEF">
        <w:rPr>
          <w:rFonts w:ascii="Arial" w:hAnsi="Arial" w:cs="Arial"/>
          <w:sz w:val="22"/>
          <w:szCs w:val="22"/>
        </w:rPr>
        <w:t>. The merger also strengthens this strategy by expanding network coverage and improving service quality.</w:t>
      </w:r>
    </w:p>
    <w:p w14:paraId="2B83D528" w14:textId="1EEF9E88" w:rsidR="00F02B4F" w:rsidRPr="00775CEF" w:rsidRDefault="00245756" w:rsidP="00B223D6">
      <w:pPr>
        <w:pStyle w:val="NoSpacing"/>
        <w:spacing w:line="276" w:lineRule="auto"/>
        <w:rPr>
          <w:rFonts w:ascii="Arial" w:hAnsi="Arial" w:cs="Arial"/>
          <w:b/>
          <w:bCs/>
          <w:sz w:val="22"/>
          <w:szCs w:val="22"/>
        </w:rPr>
      </w:pPr>
      <w:r w:rsidRPr="00775CEF">
        <w:rPr>
          <w:rFonts w:ascii="Arial" w:hAnsi="Arial" w:cs="Arial"/>
          <w:sz w:val="22"/>
          <w:szCs w:val="22"/>
        </w:rPr>
        <w:t xml:space="preserve">Despite these opportunities, the long-term growth potential of market penetration is limited because the UK telecommunications market is already highly developed and intensely competitive. </w:t>
      </w:r>
      <w:r w:rsidR="00F02B4F" w:rsidRPr="00775CEF">
        <w:rPr>
          <w:rFonts w:ascii="Arial" w:hAnsi="Arial" w:cs="Arial"/>
          <w:sz w:val="22"/>
          <w:szCs w:val="22"/>
        </w:rPr>
        <w:t xml:space="preserve">As demonstrated in the Porter's Five Forces analysis, customers have high bargaining power and low switching costs, making price-based competition difficult to sustain (Porter, 1980). </w:t>
      </w:r>
      <w:r w:rsidRPr="00775CEF">
        <w:rPr>
          <w:rFonts w:ascii="Arial" w:hAnsi="Arial" w:cs="Arial"/>
          <w:sz w:val="22"/>
          <w:szCs w:val="22"/>
        </w:rPr>
        <w:t>Although this strategy may increase customer acquisition in the short term, it is unlikely to provide a sustainable source of competitive advantage.</w:t>
      </w:r>
      <w:r w:rsidRPr="00775CEF">
        <w:rPr>
          <w:rFonts w:ascii="Arial" w:hAnsi="Arial" w:cs="Arial"/>
          <w:sz w:val="22"/>
          <w:szCs w:val="22"/>
        </w:rPr>
        <w:br/>
      </w:r>
      <w:r w:rsidRPr="00775CEF">
        <w:rPr>
          <w:rFonts w:ascii="Arial" w:hAnsi="Arial" w:cs="Arial"/>
          <w:sz w:val="22"/>
          <w:szCs w:val="22"/>
        </w:rPr>
        <w:br/>
      </w:r>
      <w:r w:rsidR="00F02B4F" w:rsidRPr="00775CEF">
        <w:rPr>
          <w:rFonts w:ascii="Arial" w:hAnsi="Arial" w:cs="Arial"/>
          <w:b/>
          <w:bCs/>
          <w:sz w:val="22"/>
          <w:szCs w:val="22"/>
        </w:rPr>
        <w:t>Market Development</w:t>
      </w:r>
      <w:r w:rsidR="007C26C0" w:rsidRPr="00775CEF">
        <w:rPr>
          <w:rFonts w:ascii="Arial" w:hAnsi="Arial" w:cs="Arial"/>
          <w:b/>
          <w:bCs/>
          <w:sz w:val="22"/>
          <w:szCs w:val="22"/>
        </w:rPr>
        <w:br/>
      </w:r>
    </w:p>
    <w:p w14:paraId="7B952A75" w14:textId="16ADDFF8" w:rsidR="00F02B4F" w:rsidRPr="00775CEF" w:rsidRDefault="002A473E" w:rsidP="00B223D6">
      <w:pPr>
        <w:pStyle w:val="NoSpacing"/>
        <w:spacing w:line="276" w:lineRule="auto"/>
        <w:rPr>
          <w:rFonts w:ascii="Arial" w:hAnsi="Arial" w:cs="Arial"/>
          <w:sz w:val="22"/>
          <w:szCs w:val="22"/>
        </w:rPr>
      </w:pPr>
      <w:r w:rsidRPr="00775CEF">
        <w:rPr>
          <w:rFonts w:ascii="Arial" w:hAnsi="Arial" w:cs="Arial"/>
          <w:sz w:val="22"/>
          <w:szCs w:val="22"/>
        </w:rPr>
        <w:t>Market development seeks growth by introducing existing products and services to new customer groups or previously underserved markets</w:t>
      </w:r>
      <w:r w:rsidR="00F02B4F" w:rsidRPr="00775CEF">
        <w:rPr>
          <w:rFonts w:ascii="Arial" w:hAnsi="Arial" w:cs="Arial"/>
          <w:sz w:val="22"/>
          <w:szCs w:val="22"/>
        </w:rPr>
        <w:t xml:space="preserve">. </w:t>
      </w:r>
      <w:proofErr w:type="spellStart"/>
      <w:r w:rsidR="00F02B4F" w:rsidRPr="00775CEF">
        <w:rPr>
          <w:rFonts w:ascii="Arial" w:hAnsi="Arial" w:cs="Arial"/>
          <w:sz w:val="22"/>
          <w:szCs w:val="22"/>
        </w:rPr>
        <w:t>VodafoneThree</w:t>
      </w:r>
      <w:proofErr w:type="spellEnd"/>
      <w:r w:rsidR="00F02B4F" w:rsidRPr="00775CEF">
        <w:rPr>
          <w:rFonts w:ascii="Arial" w:hAnsi="Arial" w:cs="Arial"/>
          <w:sz w:val="22"/>
          <w:szCs w:val="22"/>
        </w:rPr>
        <w:t xml:space="preserve"> could strengthen its business-to-business (B2B) portfolio or improve connectivity within underserved rural communities, creating additional revenue opportunities.</w:t>
      </w:r>
    </w:p>
    <w:p w14:paraId="797E6B4B" w14:textId="0612EBE0" w:rsidR="00F02B4F" w:rsidRPr="00775CEF" w:rsidRDefault="002A473E" w:rsidP="00B223D6">
      <w:pPr>
        <w:pStyle w:val="NoSpacing"/>
        <w:spacing w:line="276" w:lineRule="auto"/>
        <w:rPr>
          <w:rFonts w:ascii="Arial" w:hAnsi="Arial" w:cs="Arial"/>
          <w:b/>
          <w:bCs/>
          <w:sz w:val="22"/>
          <w:szCs w:val="22"/>
        </w:rPr>
      </w:pPr>
      <w:r w:rsidRPr="00775CEF">
        <w:rPr>
          <w:rFonts w:ascii="Arial" w:hAnsi="Arial" w:cs="Arial"/>
          <w:sz w:val="22"/>
          <w:szCs w:val="22"/>
        </w:rPr>
        <w:t xml:space="preserve">Although this approach creates opportunities for revenue growth, it also requires significant investment in infrastructure, marketing and customer acquisition. </w:t>
      </w:r>
      <w:r w:rsidR="00F02B4F" w:rsidRPr="00775CEF">
        <w:rPr>
          <w:rFonts w:ascii="Arial" w:hAnsi="Arial" w:cs="Arial"/>
          <w:sz w:val="22"/>
          <w:szCs w:val="22"/>
        </w:rPr>
        <w:t xml:space="preserve">Furthermore, success depends on accurately understanding the needs of new markets, increasing both commercial uncertainty and implementation risk. </w:t>
      </w:r>
      <w:r w:rsidRPr="00775CEF">
        <w:rPr>
          <w:rFonts w:ascii="Arial" w:hAnsi="Arial" w:cs="Arial"/>
          <w:sz w:val="22"/>
          <w:szCs w:val="22"/>
        </w:rPr>
        <w:t xml:space="preserve">Consequently, market development represents a medium-risk option that is less closely aligned with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immediate priorities following the merger.</w:t>
      </w:r>
      <w:r w:rsidRPr="00775CEF">
        <w:rPr>
          <w:rFonts w:ascii="Arial" w:hAnsi="Arial" w:cs="Arial"/>
          <w:sz w:val="22"/>
          <w:szCs w:val="22"/>
        </w:rPr>
        <w:br/>
      </w:r>
      <w:r w:rsidRPr="00775CEF">
        <w:rPr>
          <w:rFonts w:ascii="Arial" w:hAnsi="Arial" w:cs="Arial"/>
          <w:sz w:val="22"/>
          <w:szCs w:val="22"/>
        </w:rPr>
        <w:br/>
      </w:r>
      <w:r w:rsidR="00F02B4F" w:rsidRPr="00775CEF">
        <w:rPr>
          <w:rFonts w:ascii="Arial" w:hAnsi="Arial" w:cs="Arial"/>
          <w:b/>
          <w:bCs/>
          <w:sz w:val="22"/>
          <w:szCs w:val="22"/>
        </w:rPr>
        <w:t>Product Development</w:t>
      </w:r>
      <w:r w:rsidR="007C26C0" w:rsidRPr="00775CEF">
        <w:rPr>
          <w:rFonts w:ascii="Arial" w:hAnsi="Arial" w:cs="Arial"/>
          <w:b/>
          <w:bCs/>
          <w:sz w:val="22"/>
          <w:szCs w:val="22"/>
        </w:rPr>
        <w:br/>
      </w:r>
    </w:p>
    <w:p w14:paraId="01E719FB" w14:textId="2FF00759" w:rsidR="00F02B4F" w:rsidRPr="00775CEF" w:rsidRDefault="00B15811" w:rsidP="00B223D6">
      <w:pPr>
        <w:pStyle w:val="NoSpacing"/>
        <w:spacing w:line="276" w:lineRule="auto"/>
        <w:rPr>
          <w:rFonts w:ascii="Arial" w:hAnsi="Arial" w:cs="Arial"/>
          <w:sz w:val="22"/>
          <w:szCs w:val="22"/>
        </w:rPr>
      </w:pPr>
      <w:r w:rsidRPr="00775CEF">
        <w:rPr>
          <w:rFonts w:ascii="Arial" w:hAnsi="Arial" w:cs="Arial"/>
          <w:sz w:val="22"/>
          <w:szCs w:val="22"/>
        </w:rPr>
        <w:t xml:space="preserve">Product development concentrates on creating new or enhanced products and services for the organisation's existing customer base. This approach aligns closely with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post-merger capabilities, particularly its investment in standalone 5G infrastructure and digital technologies. </w:t>
      </w:r>
      <w:r w:rsidR="00B347D6" w:rsidRPr="00775CEF">
        <w:rPr>
          <w:rFonts w:ascii="Arial" w:hAnsi="Arial" w:cs="Arial"/>
          <w:sz w:val="22"/>
          <w:szCs w:val="22"/>
        </w:rPr>
        <w:t>Improved network capacity creates opportunities to expand services such as Artificial Intelligence (AI), Internet of Things (IoT), cybersecurity, cloud connectivity and smart home technologies (Vodafone Group Plc, 2025).</w:t>
      </w:r>
    </w:p>
    <w:p w14:paraId="3609E385" w14:textId="53A1ED21" w:rsidR="00F02B4F" w:rsidRPr="00775CEF" w:rsidRDefault="00B347D6" w:rsidP="00B223D6">
      <w:pPr>
        <w:pStyle w:val="NoSpacing"/>
        <w:spacing w:line="276" w:lineRule="auto"/>
        <w:rPr>
          <w:rFonts w:ascii="Arial" w:hAnsi="Arial" w:cs="Arial"/>
          <w:b/>
          <w:bCs/>
          <w:sz w:val="22"/>
          <w:szCs w:val="22"/>
        </w:rPr>
      </w:pPr>
      <w:r w:rsidRPr="00775CEF">
        <w:rPr>
          <w:rFonts w:ascii="Arial" w:hAnsi="Arial" w:cs="Arial"/>
          <w:sz w:val="22"/>
          <w:szCs w:val="22"/>
        </w:rPr>
        <w:t xml:space="preserve">Innovative products and services can strengthen customer relationships, increase average revenue per user (ARPU) and reduce customer churn. </w:t>
      </w:r>
      <w:r w:rsidR="00CB3C3F" w:rsidRPr="00775CEF">
        <w:rPr>
          <w:rFonts w:ascii="Arial" w:hAnsi="Arial" w:cs="Arial"/>
          <w:sz w:val="22"/>
          <w:szCs w:val="22"/>
        </w:rPr>
        <w:t xml:space="preserve">Furthermore, organisations that continuously develop innovative capabilities are better positioned to respond to changing market conditions and sustain competitive advantage (Teece, 2018). </w:t>
      </w:r>
      <w:r w:rsidR="00851F44" w:rsidRPr="00775CEF">
        <w:rPr>
          <w:rFonts w:ascii="Arial" w:hAnsi="Arial" w:cs="Arial"/>
          <w:sz w:val="22"/>
          <w:szCs w:val="22"/>
        </w:rPr>
        <w:t xml:space="preserve">Unlike price-based competition, innovative products are more difficult for competitors to replicate, making them </w:t>
      </w:r>
      <w:r w:rsidR="00851F44" w:rsidRPr="00775CEF">
        <w:rPr>
          <w:rFonts w:ascii="Arial" w:hAnsi="Arial" w:cs="Arial"/>
          <w:sz w:val="22"/>
          <w:szCs w:val="22"/>
        </w:rPr>
        <w:lastRenderedPageBreak/>
        <w:t>a stronger source of long-term competitive advantage (Porter, 1985).</w:t>
      </w:r>
      <w:r w:rsidR="00851F44" w:rsidRPr="00775CEF">
        <w:rPr>
          <w:rFonts w:ascii="Arial" w:hAnsi="Arial" w:cs="Arial"/>
          <w:sz w:val="22"/>
          <w:szCs w:val="22"/>
        </w:rPr>
        <w:br/>
      </w:r>
      <w:r w:rsidR="00851F44" w:rsidRPr="00775CEF">
        <w:rPr>
          <w:rFonts w:ascii="Arial" w:hAnsi="Arial" w:cs="Arial"/>
          <w:sz w:val="22"/>
          <w:szCs w:val="22"/>
        </w:rPr>
        <w:br/>
      </w:r>
      <w:r w:rsidR="00F02B4F" w:rsidRPr="00775CEF">
        <w:rPr>
          <w:rFonts w:ascii="Arial" w:hAnsi="Arial" w:cs="Arial"/>
          <w:b/>
          <w:bCs/>
          <w:sz w:val="22"/>
          <w:szCs w:val="22"/>
        </w:rPr>
        <w:t>Diversification</w:t>
      </w:r>
      <w:r w:rsidR="007C26C0" w:rsidRPr="00775CEF">
        <w:rPr>
          <w:rFonts w:ascii="Arial" w:hAnsi="Arial" w:cs="Arial"/>
          <w:b/>
          <w:bCs/>
          <w:sz w:val="22"/>
          <w:szCs w:val="22"/>
        </w:rPr>
        <w:br/>
      </w:r>
    </w:p>
    <w:p w14:paraId="346A35F1" w14:textId="625D94DC" w:rsidR="00F02B4F" w:rsidRPr="00775CEF" w:rsidRDefault="00851F44" w:rsidP="00B223D6">
      <w:pPr>
        <w:pStyle w:val="NoSpacing"/>
        <w:spacing w:line="276" w:lineRule="auto"/>
        <w:rPr>
          <w:rFonts w:ascii="Arial" w:hAnsi="Arial" w:cs="Arial"/>
          <w:sz w:val="22"/>
          <w:szCs w:val="22"/>
        </w:rPr>
      </w:pPr>
      <w:r w:rsidRPr="00775CEF">
        <w:rPr>
          <w:rFonts w:ascii="Arial" w:hAnsi="Arial" w:cs="Arial"/>
          <w:sz w:val="22"/>
          <w:szCs w:val="22"/>
        </w:rPr>
        <w:t xml:space="preserve">Diversification involves expanding into completely new markets with new products or services and is generally regarded as the highest-risk growth strategy (Ansoff, 1957). </w:t>
      </w:r>
      <w:r w:rsidR="00F02B4F" w:rsidRPr="00775CEF">
        <w:rPr>
          <w:rFonts w:ascii="Arial" w:hAnsi="Arial" w:cs="Arial"/>
          <w:sz w:val="22"/>
          <w:szCs w:val="22"/>
        </w:rPr>
        <w:t xml:space="preserve">Although </w:t>
      </w:r>
      <w:proofErr w:type="spellStart"/>
      <w:r w:rsidR="00F02B4F" w:rsidRPr="00775CEF">
        <w:rPr>
          <w:rFonts w:ascii="Arial" w:hAnsi="Arial" w:cs="Arial"/>
          <w:sz w:val="22"/>
          <w:szCs w:val="22"/>
        </w:rPr>
        <w:t>VodafoneThree</w:t>
      </w:r>
      <w:proofErr w:type="spellEnd"/>
      <w:r w:rsidR="00F02B4F" w:rsidRPr="00775CEF">
        <w:rPr>
          <w:rFonts w:ascii="Arial" w:hAnsi="Arial" w:cs="Arial"/>
          <w:sz w:val="22"/>
          <w:szCs w:val="22"/>
        </w:rPr>
        <w:t xml:space="preserve"> could diversify into sectors such as digital healthcare or financial technology, doing so would require substantial investment, new organisational capabilities and increased management complexity.</w:t>
      </w:r>
    </w:p>
    <w:p w14:paraId="58E3CABA" w14:textId="2C9E6553" w:rsidR="00F02B4F" w:rsidRPr="00775CEF" w:rsidRDefault="00851F44" w:rsidP="00B223D6">
      <w:pPr>
        <w:pStyle w:val="NoSpacing"/>
        <w:spacing w:line="276" w:lineRule="auto"/>
        <w:rPr>
          <w:rFonts w:ascii="Arial" w:hAnsi="Arial" w:cs="Arial"/>
          <w:b/>
          <w:bCs/>
          <w:sz w:val="22"/>
          <w:szCs w:val="22"/>
        </w:rPr>
      </w:pPr>
      <w:r w:rsidRPr="00775CEF">
        <w:rPr>
          <w:rFonts w:ascii="Arial" w:hAnsi="Arial" w:cs="Arial"/>
          <w:sz w:val="22"/>
          <w:szCs w:val="22"/>
        </w:rPr>
        <w:t xml:space="preserve">As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continues integrating the two organisations, diversification would increase operational complexity and divert resources away from delivering the anticipated merger benefits.</w:t>
      </w:r>
      <w:r w:rsidRPr="00775CEF">
        <w:rPr>
          <w:rFonts w:ascii="Arial" w:hAnsi="Arial" w:cs="Arial"/>
          <w:sz w:val="22"/>
          <w:szCs w:val="22"/>
        </w:rPr>
        <w:br/>
      </w:r>
      <w:r w:rsidRPr="00775CEF">
        <w:rPr>
          <w:rFonts w:ascii="Arial" w:hAnsi="Arial" w:cs="Arial"/>
          <w:sz w:val="22"/>
          <w:szCs w:val="22"/>
        </w:rPr>
        <w:br/>
      </w:r>
      <w:r w:rsidR="00F02B4F" w:rsidRPr="00775CEF">
        <w:rPr>
          <w:rFonts w:ascii="Arial" w:hAnsi="Arial" w:cs="Arial"/>
          <w:b/>
          <w:bCs/>
          <w:sz w:val="22"/>
          <w:szCs w:val="22"/>
        </w:rPr>
        <w:t>Proposed Strategy</w:t>
      </w:r>
      <w:r w:rsidR="007C26C0" w:rsidRPr="00775CEF">
        <w:rPr>
          <w:rFonts w:ascii="Arial" w:hAnsi="Arial" w:cs="Arial"/>
          <w:b/>
          <w:bCs/>
          <w:sz w:val="22"/>
          <w:szCs w:val="22"/>
        </w:rPr>
        <w:br/>
      </w:r>
    </w:p>
    <w:p w14:paraId="35E52E71" w14:textId="217245A0" w:rsidR="00F02B4F" w:rsidRPr="00775CEF" w:rsidRDefault="003273EF" w:rsidP="00B223D6">
      <w:pPr>
        <w:pStyle w:val="NoSpacing"/>
        <w:spacing w:line="276" w:lineRule="auto"/>
        <w:rPr>
          <w:rFonts w:ascii="Arial" w:hAnsi="Arial" w:cs="Arial"/>
          <w:sz w:val="22"/>
          <w:szCs w:val="22"/>
        </w:rPr>
      </w:pPr>
      <w:r w:rsidRPr="00775CEF">
        <w:rPr>
          <w:rFonts w:ascii="Arial" w:hAnsi="Arial" w:cs="Arial"/>
          <w:sz w:val="22"/>
          <w:szCs w:val="22"/>
        </w:rPr>
        <w:t xml:space="preserve">The evaluation of Ansoff's Matrix indicates that product development represents the most appropriate strategic option for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Earlier environmental analysis highlighted significant opportunities in digital connectivity, AI, cloud computing and IoT, while confirming that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possesses the resources and capabilities required to exploit these opportunities.</w:t>
      </w:r>
    </w:p>
    <w:p w14:paraId="34337BF8" w14:textId="4AA50045" w:rsidR="00F02B4F" w:rsidRPr="00775CEF" w:rsidRDefault="003C4A48" w:rsidP="00B223D6">
      <w:pPr>
        <w:pStyle w:val="NoSpacing"/>
        <w:spacing w:line="276" w:lineRule="auto"/>
        <w:rPr>
          <w:rFonts w:ascii="Arial" w:hAnsi="Arial" w:cs="Arial"/>
          <w:sz w:val="22"/>
          <w:szCs w:val="22"/>
        </w:rPr>
      </w:pPr>
      <w:r w:rsidRPr="00775CEF">
        <w:rPr>
          <w:rFonts w:ascii="Arial" w:hAnsi="Arial" w:cs="Arial"/>
          <w:sz w:val="22"/>
          <w:szCs w:val="22"/>
        </w:rPr>
        <w:t xml:space="preserve">This recommendation is reinforced by Porter's Generic Strategies, which suggest that organisations operating within highly competitive industries achieve stronger long-term performance through differentiation rather than cost leadership (Porter, 1985). Combining product development with differentiation enables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to compete through superior network quality, innovation and customer experience rather than relying primarily on lower prices</w:t>
      </w:r>
      <w:r w:rsidR="00F02B4F" w:rsidRPr="00775CEF">
        <w:rPr>
          <w:rFonts w:ascii="Arial" w:hAnsi="Arial" w:cs="Arial"/>
          <w:sz w:val="22"/>
          <w:szCs w:val="22"/>
        </w:rPr>
        <w:t>.</w:t>
      </w:r>
    </w:p>
    <w:p w14:paraId="4703FE99" w14:textId="5DBC2B6F" w:rsidR="0009790A" w:rsidRPr="00775CEF" w:rsidRDefault="00201A20" w:rsidP="00B223D6">
      <w:pPr>
        <w:pStyle w:val="Heading1"/>
        <w:spacing w:line="276" w:lineRule="auto"/>
        <w:rPr>
          <w:rStyle w:val="Heading1Char"/>
          <w:rFonts w:ascii="Arial" w:hAnsi="Arial" w:cs="Arial"/>
          <w:b/>
          <w:bCs/>
          <w:color w:val="auto"/>
          <w:sz w:val="22"/>
          <w:szCs w:val="22"/>
        </w:rPr>
      </w:pPr>
      <w:bookmarkStart w:id="18" w:name="_Toc234863742"/>
      <w:r w:rsidRPr="00775CEF">
        <w:rPr>
          <w:rStyle w:val="Heading1Char"/>
          <w:rFonts w:ascii="Arial" w:hAnsi="Arial" w:cs="Arial"/>
          <w:b/>
          <w:bCs/>
          <w:color w:val="auto"/>
          <w:sz w:val="22"/>
          <w:szCs w:val="22"/>
        </w:rPr>
        <w:t>4. Strategy Evaluation (SFA Framework)</w:t>
      </w:r>
      <w:bookmarkEnd w:id="18"/>
    </w:p>
    <w:p w14:paraId="426219CA" w14:textId="3E0A124D" w:rsidR="007751B7" w:rsidRPr="00775CEF" w:rsidRDefault="007C26C0" w:rsidP="00B223D6">
      <w:pPr>
        <w:pStyle w:val="NoSpacing"/>
        <w:spacing w:line="276" w:lineRule="auto"/>
        <w:rPr>
          <w:rFonts w:ascii="Arial" w:eastAsiaTheme="majorEastAsia" w:hAnsi="Arial" w:cs="Arial"/>
          <w:b/>
          <w:bCs/>
          <w:sz w:val="22"/>
          <w:szCs w:val="22"/>
        </w:rPr>
      </w:pPr>
      <w:r w:rsidRPr="00775CEF">
        <w:rPr>
          <w:rStyle w:val="Heading1Char"/>
          <w:rFonts w:ascii="Arial" w:hAnsi="Arial" w:cs="Arial"/>
          <w:b/>
          <w:bCs/>
          <w:color w:val="auto"/>
          <w:sz w:val="22"/>
          <w:szCs w:val="22"/>
        </w:rPr>
        <w:br/>
      </w:r>
      <w:r w:rsidR="004143E7" w:rsidRPr="00775CEF">
        <w:rPr>
          <w:rFonts w:ascii="Arial" w:hAnsi="Arial" w:cs="Arial"/>
          <w:sz w:val="22"/>
          <w:szCs w:val="22"/>
        </w:rPr>
        <w:t xml:space="preserve">The proposed differentiation-led product development strategy is evaluated using the Suitability, Feasibility and Acceptability (SFA) framework. </w:t>
      </w:r>
      <w:r w:rsidR="0007372F" w:rsidRPr="00775CEF">
        <w:rPr>
          <w:rFonts w:ascii="Arial" w:hAnsi="Arial" w:cs="Arial"/>
          <w:sz w:val="22"/>
          <w:szCs w:val="22"/>
        </w:rPr>
        <w:t>According to Johnson et al. (2020), the SFA framework assesses whether a strategy responds to strategic challenges, can be implemented with available resources and meets the expectations of key stakeholders.</w:t>
      </w:r>
    </w:p>
    <w:p w14:paraId="48844142" w14:textId="1DF4BE80" w:rsidR="007751B7" w:rsidRPr="00775CEF" w:rsidRDefault="007C26C0" w:rsidP="00B223D6">
      <w:pPr>
        <w:pStyle w:val="NoSpacing"/>
        <w:spacing w:line="276" w:lineRule="auto"/>
        <w:rPr>
          <w:rFonts w:ascii="Arial" w:hAnsi="Arial" w:cs="Arial"/>
          <w:b/>
          <w:bCs/>
          <w:sz w:val="22"/>
          <w:szCs w:val="22"/>
        </w:rPr>
      </w:pPr>
      <w:r w:rsidRPr="00775CEF">
        <w:rPr>
          <w:rFonts w:ascii="Arial" w:hAnsi="Arial" w:cs="Arial"/>
          <w:b/>
          <w:bCs/>
          <w:sz w:val="22"/>
          <w:szCs w:val="22"/>
        </w:rPr>
        <w:br/>
      </w:r>
      <w:r w:rsidR="007751B7" w:rsidRPr="00775CEF">
        <w:rPr>
          <w:rFonts w:ascii="Arial" w:hAnsi="Arial" w:cs="Arial"/>
          <w:b/>
          <w:bCs/>
          <w:sz w:val="22"/>
          <w:szCs w:val="22"/>
        </w:rPr>
        <w:t>Suitability</w:t>
      </w:r>
      <w:r w:rsidRPr="00775CEF">
        <w:rPr>
          <w:rFonts w:ascii="Arial" w:hAnsi="Arial" w:cs="Arial"/>
          <w:b/>
          <w:bCs/>
          <w:sz w:val="22"/>
          <w:szCs w:val="22"/>
        </w:rPr>
        <w:br/>
      </w:r>
    </w:p>
    <w:p w14:paraId="67929B9A" w14:textId="7A20AA7D" w:rsidR="007751B7" w:rsidRPr="00775CEF" w:rsidRDefault="003A7160" w:rsidP="00B223D6">
      <w:pPr>
        <w:pStyle w:val="NoSpacing"/>
        <w:spacing w:line="276" w:lineRule="auto"/>
        <w:rPr>
          <w:rFonts w:ascii="Arial" w:hAnsi="Arial" w:cs="Arial"/>
          <w:sz w:val="22"/>
          <w:szCs w:val="22"/>
        </w:rPr>
      </w:pPr>
      <w:r w:rsidRPr="00775CEF">
        <w:rPr>
          <w:rFonts w:ascii="Arial" w:hAnsi="Arial" w:cs="Arial"/>
          <w:sz w:val="22"/>
          <w:szCs w:val="22"/>
        </w:rPr>
        <w:t xml:space="preserve">The suitability of the proposed strategy is evident when considered alongside the findings of the environmental analysis. The PESTEL, SWOT and Five Forces analyses collectively demonstrate that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operates within a market characterised by rapid technological change, demanding customers and strong competitive pressure. Consequently, a strategy centred on innovation and service differentiation provides a more sustainable basis for growth than competing through lower prices alone (Porter, 1980).</w:t>
      </w:r>
      <w:r w:rsidR="005608D3" w:rsidRPr="00775CEF">
        <w:rPr>
          <w:rFonts w:ascii="Arial" w:hAnsi="Arial" w:cs="Arial"/>
          <w:sz w:val="22"/>
          <w:szCs w:val="22"/>
        </w:rPr>
        <w:br/>
      </w:r>
      <w:r w:rsidR="00F15922" w:rsidRPr="00775CEF">
        <w:rPr>
          <w:rFonts w:ascii="Arial" w:hAnsi="Arial" w:cs="Arial"/>
          <w:sz w:val="22"/>
          <w:szCs w:val="22"/>
        </w:rPr>
        <w:br/>
      </w:r>
      <w:r w:rsidRPr="00775CEF">
        <w:rPr>
          <w:rFonts w:ascii="Arial" w:hAnsi="Arial" w:cs="Arial"/>
          <w:sz w:val="22"/>
          <w:szCs w:val="22"/>
        </w:rPr>
        <w:t xml:space="preserve">By capitalising on its expanded 5G infrastructure,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can introduce innovative services such as Artificial Intelligence (AI), Internet of Things (IoT) solutions and integrated connectivity packages, supporting its long-term strategic objectives. This approach also </w:t>
      </w:r>
      <w:r w:rsidRPr="00775CEF">
        <w:rPr>
          <w:rFonts w:ascii="Arial" w:hAnsi="Arial" w:cs="Arial"/>
          <w:sz w:val="22"/>
          <w:szCs w:val="22"/>
        </w:rPr>
        <w:lastRenderedPageBreak/>
        <w:t>aligns with Vodafone's strategic priorities of Customers, Simplicity and Growth while strengthening its long-term market position (Vodafone Group Plc, 2025).</w:t>
      </w:r>
    </w:p>
    <w:p w14:paraId="02384271" w14:textId="2F36F4A0" w:rsidR="007751B7" w:rsidRPr="00775CEF" w:rsidRDefault="007C26C0" w:rsidP="00B223D6">
      <w:pPr>
        <w:pStyle w:val="NoSpacing"/>
        <w:spacing w:line="276" w:lineRule="auto"/>
        <w:rPr>
          <w:rFonts w:ascii="Arial" w:hAnsi="Arial" w:cs="Arial"/>
          <w:sz w:val="22"/>
          <w:szCs w:val="22"/>
        </w:rPr>
      </w:pPr>
      <w:r w:rsidRPr="00775CEF">
        <w:rPr>
          <w:rFonts w:ascii="Arial" w:hAnsi="Arial" w:cs="Arial"/>
          <w:b/>
          <w:bCs/>
          <w:sz w:val="22"/>
          <w:szCs w:val="22"/>
        </w:rPr>
        <w:br/>
      </w:r>
      <w:r w:rsidR="007751B7" w:rsidRPr="00775CEF">
        <w:rPr>
          <w:rFonts w:ascii="Arial" w:hAnsi="Arial" w:cs="Arial"/>
          <w:b/>
          <w:bCs/>
          <w:sz w:val="22"/>
          <w:szCs w:val="22"/>
        </w:rPr>
        <w:t>Feasibility</w:t>
      </w:r>
      <w:r w:rsidRPr="00775CEF">
        <w:rPr>
          <w:rFonts w:ascii="Arial" w:hAnsi="Arial" w:cs="Arial"/>
          <w:b/>
          <w:bCs/>
          <w:sz w:val="22"/>
          <w:szCs w:val="22"/>
        </w:rPr>
        <w:br/>
      </w:r>
      <w:r w:rsidRPr="00775CEF">
        <w:rPr>
          <w:rFonts w:ascii="Arial" w:hAnsi="Arial" w:cs="Arial"/>
          <w:sz w:val="22"/>
          <w:szCs w:val="22"/>
        </w:rPr>
        <w:br/>
      </w:r>
      <w:r w:rsidR="007751B7" w:rsidRPr="00775CEF">
        <w:rPr>
          <w:rFonts w:ascii="Arial" w:hAnsi="Arial" w:cs="Arial"/>
          <w:sz w:val="22"/>
          <w:szCs w:val="22"/>
        </w:rPr>
        <w:t xml:space="preserve">The strategy is feasible because </w:t>
      </w:r>
      <w:proofErr w:type="spellStart"/>
      <w:r w:rsidR="007751B7" w:rsidRPr="00775CEF">
        <w:rPr>
          <w:rFonts w:ascii="Arial" w:hAnsi="Arial" w:cs="Arial"/>
          <w:sz w:val="22"/>
          <w:szCs w:val="22"/>
        </w:rPr>
        <w:t>VodafoneThree</w:t>
      </w:r>
      <w:proofErr w:type="spellEnd"/>
      <w:r w:rsidR="007751B7" w:rsidRPr="00775CEF">
        <w:rPr>
          <w:rFonts w:ascii="Arial" w:hAnsi="Arial" w:cs="Arial"/>
          <w:sz w:val="22"/>
          <w:szCs w:val="22"/>
        </w:rPr>
        <w:t xml:space="preserve"> possesses the financial resources, technological capability and operational scale required for implementation. The merger has strengthened spectrum assets and investment capacity, while the planned £11 billion investment in the UK's standalone 5G network provides a strong platform for future innovation (Vodafone Group Plc, 2025).</w:t>
      </w:r>
    </w:p>
    <w:p w14:paraId="4359A392" w14:textId="62BA5C66" w:rsidR="007751B7" w:rsidRPr="00775CEF" w:rsidRDefault="007751B7" w:rsidP="00B223D6">
      <w:pPr>
        <w:pStyle w:val="NoSpacing"/>
        <w:spacing w:line="276" w:lineRule="auto"/>
        <w:rPr>
          <w:rFonts w:ascii="Arial" w:hAnsi="Arial" w:cs="Arial"/>
          <w:sz w:val="22"/>
          <w:szCs w:val="22"/>
        </w:rPr>
      </w:pPr>
      <w:r w:rsidRPr="00775CEF">
        <w:rPr>
          <w:rFonts w:ascii="Arial" w:hAnsi="Arial" w:cs="Arial"/>
          <w:sz w:val="22"/>
          <w:szCs w:val="22"/>
        </w:rPr>
        <w:t xml:space="preserve">However, successful implementation depends on several assumptions. Network integration must be completed </w:t>
      </w:r>
      <w:r w:rsidR="003C160E" w:rsidRPr="00775CEF">
        <w:rPr>
          <w:rFonts w:ascii="Arial" w:hAnsi="Arial" w:cs="Arial"/>
          <w:sz w:val="22"/>
          <w:szCs w:val="22"/>
        </w:rPr>
        <w:t>efficiently;</w:t>
      </w:r>
      <w:r w:rsidRPr="00775CEF">
        <w:rPr>
          <w:rFonts w:ascii="Arial" w:hAnsi="Arial" w:cs="Arial"/>
          <w:sz w:val="22"/>
          <w:szCs w:val="22"/>
        </w:rPr>
        <w:t xml:space="preserve"> projected merger synergies must be realised and customer demand for advanced digital services must continue to grow. Delays in integration, regulatory intervention or weaker-than-expected market adoption could reduce the strategy's effectiveness. Consequently, phased implementation and regular performance reviews will be essential to minimise risk.</w:t>
      </w:r>
    </w:p>
    <w:p w14:paraId="60E4EC8F" w14:textId="2AA7B92B" w:rsidR="007751B7" w:rsidRPr="00775CEF" w:rsidRDefault="007C26C0" w:rsidP="00B223D6">
      <w:pPr>
        <w:pStyle w:val="NoSpacing"/>
        <w:spacing w:line="276" w:lineRule="auto"/>
        <w:rPr>
          <w:rFonts w:ascii="Arial" w:hAnsi="Arial" w:cs="Arial"/>
          <w:b/>
          <w:bCs/>
          <w:sz w:val="22"/>
          <w:szCs w:val="22"/>
        </w:rPr>
      </w:pPr>
      <w:r w:rsidRPr="00775CEF">
        <w:rPr>
          <w:rFonts w:ascii="Arial" w:hAnsi="Arial" w:cs="Arial"/>
          <w:b/>
          <w:bCs/>
          <w:sz w:val="22"/>
          <w:szCs w:val="22"/>
        </w:rPr>
        <w:br/>
      </w:r>
      <w:r w:rsidR="007751B7" w:rsidRPr="00775CEF">
        <w:rPr>
          <w:rFonts w:ascii="Arial" w:hAnsi="Arial" w:cs="Arial"/>
          <w:b/>
          <w:bCs/>
          <w:sz w:val="22"/>
          <w:szCs w:val="22"/>
        </w:rPr>
        <w:t>Acceptability</w:t>
      </w:r>
      <w:r w:rsidRPr="00775CEF">
        <w:rPr>
          <w:rFonts w:ascii="Arial" w:hAnsi="Arial" w:cs="Arial"/>
          <w:b/>
          <w:bCs/>
          <w:sz w:val="22"/>
          <w:szCs w:val="22"/>
        </w:rPr>
        <w:br/>
      </w:r>
    </w:p>
    <w:p w14:paraId="49541698" w14:textId="4997DB5B" w:rsidR="007751B7" w:rsidRPr="00775CEF" w:rsidRDefault="007751B7" w:rsidP="00B223D6">
      <w:pPr>
        <w:pStyle w:val="NoSpacing"/>
        <w:spacing w:line="276" w:lineRule="auto"/>
        <w:rPr>
          <w:rFonts w:ascii="Arial" w:hAnsi="Arial" w:cs="Arial"/>
          <w:sz w:val="22"/>
          <w:szCs w:val="22"/>
        </w:rPr>
      </w:pPr>
      <w:r w:rsidRPr="00775CEF">
        <w:rPr>
          <w:rFonts w:ascii="Arial" w:hAnsi="Arial" w:cs="Arial"/>
          <w:sz w:val="22"/>
          <w:szCs w:val="22"/>
        </w:rPr>
        <w:t xml:space="preserve">The strategy is expected to create value for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principal stakeholders. Customers benefit from improved network performance and innovative services,</w:t>
      </w:r>
      <w:r w:rsidR="007C26C0" w:rsidRPr="00775CEF">
        <w:rPr>
          <w:rFonts w:ascii="Arial" w:hAnsi="Arial" w:cs="Arial"/>
          <w:sz w:val="22"/>
          <w:szCs w:val="22"/>
        </w:rPr>
        <w:br/>
      </w:r>
      <w:r w:rsidRPr="00775CEF">
        <w:rPr>
          <w:rFonts w:ascii="Arial" w:hAnsi="Arial" w:cs="Arial"/>
          <w:sz w:val="22"/>
          <w:szCs w:val="22"/>
        </w:rPr>
        <w:t>shareholders gain opportunities for sustainable revenue growth, while employees develop new digital capabilities. Although substantial investment is required, the anticipated long-term benefits outweigh the associated risks because product differentiation is more difficult for competitors to imitate than price reductions alone (Porter, 1985).</w:t>
      </w:r>
    </w:p>
    <w:p w14:paraId="39F3AD98" w14:textId="77777777" w:rsidR="007751B7" w:rsidRPr="00775CEF" w:rsidRDefault="007751B7" w:rsidP="00B223D6">
      <w:pPr>
        <w:pStyle w:val="NoSpacing"/>
        <w:spacing w:line="276" w:lineRule="auto"/>
        <w:rPr>
          <w:rFonts w:ascii="Arial" w:hAnsi="Arial" w:cs="Arial"/>
          <w:sz w:val="22"/>
          <w:szCs w:val="22"/>
        </w:rPr>
      </w:pPr>
      <w:r w:rsidRPr="00775CEF">
        <w:rPr>
          <w:rFonts w:ascii="Arial" w:hAnsi="Arial" w:cs="Arial"/>
          <w:sz w:val="22"/>
          <w:szCs w:val="22"/>
        </w:rPr>
        <w:t xml:space="preserve">Overall, the SFA evaluation confirms that the proposed strategy is suitable, feasible and acceptable. If effectively implemented, it will strengthen </w:t>
      </w:r>
      <w:proofErr w:type="spellStart"/>
      <w:r w:rsidRPr="00775CEF">
        <w:rPr>
          <w:rFonts w:ascii="Arial" w:hAnsi="Arial" w:cs="Arial"/>
          <w:sz w:val="22"/>
          <w:szCs w:val="22"/>
        </w:rPr>
        <w:t>VodafoneThree's</w:t>
      </w:r>
      <w:proofErr w:type="spellEnd"/>
      <w:r w:rsidRPr="00775CEF">
        <w:rPr>
          <w:rFonts w:ascii="Arial" w:hAnsi="Arial" w:cs="Arial"/>
          <w:sz w:val="22"/>
          <w:szCs w:val="22"/>
        </w:rPr>
        <w:t xml:space="preserve"> competitive position and support sustainable long-term growth.</w:t>
      </w:r>
    </w:p>
    <w:p w14:paraId="286E3756" w14:textId="080439FE" w:rsidR="001C4432" w:rsidRPr="00775CEF" w:rsidRDefault="001C4432" w:rsidP="00B223D6">
      <w:pPr>
        <w:pStyle w:val="Heading1"/>
        <w:spacing w:line="276" w:lineRule="auto"/>
        <w:rPr>
          <w:rFonts w:ascii="Arial" w:hAnsi="Arial" w:cs="Arial"/>
          <w:b/>
          <w:bCs/>
          <w:color w:val="auto"/>
          <w:sz w:val="22"/>
          <w:szCs w:val="22"/>
        </w:rPr>
      </w:pPr>
      <w:bookmarkStart w:id="19" w:name="_Toc234858770"/>
      <w:bookmarkStart w:id="20" w:name="_Toc234859325"/>
      <w:bookmarkStart w:id="21" w:name="_Toc234860224"/>
      <w:bookmarkStart w:id="22" w:name="_Toc234863743"/>
      <w:r w:rsidRPr="00775CEF">
        <w:rPr>
          <w:rFonts w:ascii="Arial" w:hAnsi="Arial" w:cs="Arial"/>
          <w:b/>
          <w:bCs/>
          <w:color w:val="auto"/>
          <w:sz w:val="22"/>
          <w:szCs w:val="22"/>
        </w:rPr>
        <w:t>5. Stakeholder Analysis</w:t>
      </w:r>
      <w:bookmarkEnd w:id="19"/>
      <w:bookmarkEnd w:id="20"/>
      <w:bookmarkEnd w:id="21"/>
      <w:bookmarkEnd w:id="22"/>
    </w:p>
    <w:p w14:paraId="7828F104" w14:textId="77777777" w:rsidR="003B4F78" w:rsidRPr="00775CEF" w:rsidRDefault="003B4F78" w:rsidP="00B223D6">
      <w:pPr>
        <w:pStyle w:val="NoSpacing"/>
        <w:spacing w:line="276" w:lineRule="auto"/>
        <w:rPr>
          <w:rFonts w:ascii="Arial" w:hAnsi="Arial" w:cs="Arial"/>
          <w:sz w:val="22"/>
          <w:szCs w:val="22"/>
        </w:rPr>
      </w:pPr>
      <w:r w:rsidRPr="00775CEF">
        <w:rPr>
          <w:rFonts w:ascii="Arial" w:hAnsi="Arial" w:cs="Arial"/>
          <w:sz w:val="22"/>
          <w:szCs w:val="22"/>
        </w:rPr>
        <w:t xml:space="preserve">Successfully implementing the proposed differentiation-led product development strategy requires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to actively manage the expectations and interests of its key stakeholders.</w:t>
      </w:r>
    </w:p>
    <w:p w14:paraId="1B095B1B" w14:textId="7B54EC7C" w:rsidR="00A82EDA" w:rsidRDefault="000879CE" w:rsidP="00B223D6">
      <w:pPr>
        <w:pStyle w:val="NoSpacing"/>
        <w:spacing w:line="276" w:lineRule="auto"/>
        <w:rPr>
          <w:rFonts w:ascii="Arial" w:hAnsi="Arial" w:cs="Arial"/>
          <w:sz w:val="22"/>
          <w:szCs w:val="22"/>
        </w:rPr>
      </w:pPr>
      <w:r w:rsidRPr="00775CEF">
        <w:rPr>
          <w:rFonts w:ascii="Arial" w:hAnsi="Arial" w:cs="Arial"/>
          <w:sz w:val="22"/>
          <w:szCs w:val="22"/>
        </w:rPr>
        <w:t>Freeman's (1984) Stakeholder Theory argues that long-term organisational success depends on creating value for a broad range of stakeholders rather than focusing exclusively on shareholder returns</w:t>
      </w:r>
      <w:r w:rsidR="00AC0648">
        <w:rPr>
          <w:rFonts w:ascii="Arial" w:hAnsi="Arial" w:cs="Arial"/>
          <w:sz w:val="22"/>
          <w:szCs w:val="22"/>
        </w:rPr>
        <w:t xml:space="preserve">. </w:t>
      </w:r>
      <w:r w:rsidRPr="00775CEF">
        <w:rPr>
          <w:rFonts w:ascii="Arial" w:hAnsi="Arial" w:cs="Arial"/>
          <w:sz w:val="22"/>
          <w:szCs w:val="22"/>
        </w:rPr>
        <w:t xml:space="preserve">Following the merger, </w:t>
      </w: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must balance the interests of customers, shareholders, employees, regulators and strategic partners to support effective implementation of its strategic objectives.</w:t>
      </w:r>
      <w:r w:rsidRPr="00775CEF">
        <w:rPr>
          <w:rFonts w:ascii="Arial" w:hAnsi="Arial" w:cs="Arial"/>
          <w:sz w:val="22"/>
          <w:szCs w:val="22"/>
        </w:rPr>
        <w:br/>
      </w:r>
      <w:r w:rsidRPr="00775CEF">
        <w:rPr>
          <w:rFonts w:ascii="Arial" w:hAnsi="Arial" w:cs="Arial"/>
          <w:sz w:val="22"/>
          <w:szCs w:val="22"/>
        </w:rPr>
        <w:br/>
      </w:r>
      <w:r w:rsidR="00E46A39" w:rsidRPr="00775CEF">
        <w:rPr>
          <w:rFonts w:ascii="Arial" w:hAnsi="Arial" w:cs="Arial"/>
          <w:sz w:val="22"/>
          <w:szCs w:val="22"/>
        </w:rPr>
        <w:t>Mendelow's Matrix provides a practical framework for prioritising stakeholders by assessing both their level of power and their degree of interest in organisational decisions (Johnson et al., 2020). Stakeholders with high power and high interest require the greatest level of communication and ongoing engagement throughout the implementation process.</w:t>
      </w:r>
      <w:r w:rsidR="006C1831">
        <w:rPr>
          <w:rFonts w:ascii="Arial" w:hAnsi="Arial" w:cs="Arial"/>
          <w:sz w:val="22"/>
          <w:szCs w:val="22"/>
        </w:rPr>
        <w:br/>
      </w:r>
      <w:r w:rsidR="00976662">
        <w:rPr>
          <w:rFonts w:ascii="Arial" w:hAnsi="Arial" w:cs="Arial"/>
          <w:b/>
          <w:bCs/>
          <w:sz w:val="22"/>
          <w:szCs w:val="22"/>
        </w:rPr>
        <w:br/>
      </w:r>
      <w:r w:rsidR="008F44A9" w:rsidRPr="00775CEF">
        <w:rPr>
          <w:rFonts w:ascii="Arial" w:hAnsi="Arial" w:cs="Arial"/>
          <w:b/>
          <w:bCs/>
          <w:sz w:val="22"/>
          <w:szCs w:val="22"/>
        </w:rPr>
        <w:t>Table 2. Stakeholder Analysis Using Mendelow’s Matrix</w:t>
      </w:r>
      <w:r w:rsidR="003F58F9">
        <w:rPr>
          <w:rFonts w:ascii="Arial" w:hAnsi="Arial" w:cs="Arial"/>
          <w:b/>
          <w:bCs/>
          <w:sz w:val="22"/>
          <w:szCs w:val="22"/>
        </w:rPr>
        <w:br/>
      </w:r>
      <w:r w:rsidR="003F58F9">
        <w:rPr>
          <w:rFonts w:ascii="Arial" w:hAnsi="Arial" w:cs="Arial"/>
          <w:b/>
          <w:bCs/>
          <w:sz w:val="22"/>
          <w:szCs w:val="22"/>
        </w:rPr>
        <w:br/>
      </w:r>
      <w:r w:rsidR="00CA2881" w:rsidRPr="00CA2881">
        <w:rPr>
          <w:rFonts w:ascii="Arial" w:hAnsi="Arial" w:cs="Arial"/>
          <w:sz w:val="22"/>
          <w:szCs w:val="22"/>
        </w:rPr>
        <w:t xml:space="preserve">Table 2 identifies </w:t>
      </w:r>
      <w:proofErr w:type="spellStart"/>
      <w:r w:rsidR="00CA2881" w:rsidRPr="00CA2881">
        <w:rPr>
          <w:rFonts w:ascii="Arial" w:hAnsi="Arial" w:cs="Arial"/>
          <w:sz w:val="22"/>
          <w:szCs w:val="22"/>
        </w:rPr>
        <w:t>VodafoneThree's</w:t>
      </w:r>
      <w:proofErr w:type="spellEnd"/>
      <w:r w:rsidR="00CA2881" w:rsidRPr="00CA2881">
        <w:rPr>
          <w:rFonts w:ascii="Arial" w:hAnsi="Arial" w:cs="Arial"/>
          <w:sz w:val="22"/>
          <w:szCs w:val="22"/>
        </w:rPr>
        <w:t xml:space="preserve"> principal stakeholders according to their levels of power </w:t>
      </w:r>
      <w:r w:rsidR="00CA2881" w:rsidRPr="00CA2881">
        <w:rPr>
          <w:rFonts w:ascii="Arial" w:hAnsi="Arial" w:cs="Arial"/>
          <w:sz w:val="22"/>
          <w:szCs w:val="22"/>
        </w:rPr>
        <w:lastRenderedPageBreak/>
        <w:t>and interest and outlines the engagement strategies required to support the successful implementation of the proposed strategy.</w:t>
      </w:r>
    </w:p>
    <w:p w14:paraId="7786D03A" w14:textId="77777777" w:rsidR="00A82EDA" w:rsidRDefault="00A82EDA" w:rsidP="00B223D6">
      <w:pPr>
        <w:pStyle w:val="NoSpacing"/>
        <w:spacing w:line="276" w:lineRule="auto"/>
        <w:rPr>
          <w:rFonts w:ascii="Arial" w:hAnsi="Arial" w:cs="Arial"/>
          <w:sz w:val="22"/>
          <w:szCs w:val="22"/>
        </w:rPr>
      </w:pPr>
    </w:p>
    <w:p w14:paraId="1D7531C4" w14:textId="4FD8D6A5" w:rsidR="00CA2881" w:rsidRPr="00775CEF" w:rsidRDefault="00CA2881" w:rsidP="00B223D6">
      <w:pPr>
        <w:pStyle w:val="NoSpacing"/>
        <w:spacing w:line="276" w:lineRule="auto"/>
        <w:rPr>
          <w:rFonts w:ascii="Arial" w:hAnsi="Arial" w:cs="Arial"/>
          <w:sz w:val="22"/>
          <w:szCs w:val="22"/>
        </w:rPr>
      </w:pPr>
      <w:r>
        <w:rPr>
          <w:rFonts w:ascii="Arial" w:hAnsi="Arial" w:cs="Arial"/>
          <w:sz w:val="22"/>
          <w:szCs w:val="22"/>
        </w:rPr>
        <w:br/>
      </w:r>
      <w:r>
        <w:rPr>
          <w:rFonts w:ascii="Arial" w:hAnsi="Arial" w:cs="Arial"/>
          <w:sz w:val="22"/>
          <w:szCs w:val="22"/>
        </w:rPr>
        <w:br/>
      </w:r>
      <w:r w:rsidR="0032099B">
        <w:rPr>
          <w:rFonts w:ascii="Arial" w:hAnsi="Arial" w:cs="Arial"/>
          <w:sz w:val="22"/>
          <w:szCs w:val="22"/>
        </w:rPr>
        <w:br/>
      </w:r>
    </w:p>
    <w:tbl>
      <w:tblPr>
        <w:tblStyle w:val="TableGrid"/>
        <w:tblW w:w="10349" w:type="dxa"/>
        <w:tblInd w:w="-431" w:type="dxa"/>
        <w:tblLook w:val="04A0" w:firstRow="1" w:lastRow="0" w:firstColumn="1" w:lastColumn="0" w:noHBand="0" w:noVBand="1"/>
      </w:tblPr>
      <w:tblGrid>
        <w:gridCol w:w="2685"/>
        <w:gridCol w:w="2254"/>
        <w:gridCol w:w="2254"/>
        <w:gridCol w:w="3156"/>
      </w:tblGrid>
      <w:tr w:rsidR="0032099B" w14:paraId="622591EF" w14:textId="77777777" w:rsidTr="00597EAF">
        <w:trPr>
          <w:trHeight w:val="699"/>
        </w:trPr>
        <w:tc>
          <w:tcPr>
            <w:tcW w:w="2685" w:type="dxa"/>
            <w:shd w:val="clear" w:color="auto" w:fill="D9D9D9" w:themeFill="background1" w:themeFillShade="D9"/>
          </w:tcPr>
          <w:p w14:paraId="3373A9B3" w14:textId="77777777" w:rsidR="00597EAF" w:rsidRDefault="00597EAF" w:rsidP="00B223D6">
            <w:pPr>
              <w:pStyle w:val="NoSpacing"/>
              <w:spacing w:line="276" w:lineRule="auto"/>
              <w:rPr>
                <w:rFonts w:ascii="Arial" w:hAnsi="Arial" w:cs="Arial"/>
                <w:b/>
                <w:bCs/>
                <w:sz w:val="22"/>
                <w:szCs w:val="22"/>
              </w:rPr>
            </w:pPr>
          </w:p>
          <w:p w14:paraId="288B266D" w14:textId="7D4DF9C3" w:rsidR="0032099B" w:rsidRDefault="0032099B" w:rsidP="00B223D6">
            <w:pPr>
              <w:pStyle w:val="NoSpacing"/>
              <w:spacing w:line="276" w:lineRule="auto"/>
              <w:rPr>
                <w:rFonts w:ascii="Arial" w:hAnsi="Arial" w:cs="Arial"/>
                <w:b/>
                <w:bCs/>
                <w:sz w:val="22"/>
                <w:szCs w:val="22"/>
              </w:rPr>
            </w:pPr>
            <w:r w:rsidRPr="00597EAF">
              <w:rPr>
                <w:rFonts w:ascii="Arial" w:hAnsi="Arial" w:cs="Arial"/>
                <w:b/>
                <w:bCs/>
                <w:sz w:val="22"/>
                <w:szCs w:val="22"/>
              </w:rPr>
              <w:t>Stakeholder</w:t>
            </w:r>
          </w:p>
          <w:p w14:paraId="68A1F64F" w14:textId="013FD59B" w:rsidR="00597EAF" w:rsidRPr="00597EAF" w:rsidRDefault="00597EAF" w:rsidP="00B223D6">
            <w:pPr>
              <w:pStyle w:val="NoSpacing"/>
              <w:spacing w:line="276" w:lineRule="auto"/>
              <w:rPr>
                <w:rFonts w:ascii="Arial" w:hAnsi="Arial" w:cs="Arial"/>
                <w:b/>
                <w:bCs/>
                <w:sz w:val="22"/>
                <w:szCs w:val="22"/>
              </w:rPr>
            </w:pPr>
          </w:p>
        </w:tc>
        <w:tc>
          <w:tcPr>
            <w:tcW w:w="2254" w:type="dxa"/>
            <w:shd w:val="clear" w:color="auto" w:fill="D9D9D9" w:themeFill="background1" w:themeFillShade="D9"/>
          </w:tcPr>
          <w:p w14:paraId="386A34B9" w14:textId="77777777" w:rsidR="00597EAF" w:rsidRDefault="00597EAF" w:rsidP="00B223D6">
            <w:pPr>
              <w:pStyle w:val="NoSpacing"/>
              <w:spacing w:line="276" w:lineRule="auto"/>
              <w:rPr>
                <w:rFonts w:ascii="Arial" w:hAnsi="Arial" w:cs="Arial"/>
                <w:b/>
                <w:bCs/>
                <w:sz w:val="22"/>
                <w:szCs w:val="22"/>
              </w:rPr>
            </w:pPr>
          </w:p>
          <w:p w14:paraId="28732551" w14:textId="7741F53E" w:rsidR="0032099B" w:rsidRPr="00597EAF" w:rsidRDefault="0032099B" w:rsidP="00B223D6">
            <w:pPr>
              <w:pStyle w:val="NoSpacing"/>
              <w:spacing w:line="276" w:lineRule="auto"/>
              <w:rPr>
                <w:rFonts w:ascii="Arial" w:hAnsi="Arial" w:cs="Arial"/>
                <w:b/>
                <w:bCs/>
                <w:sz w:val="22"/>
                <w:szCs w:val="22"/>
              </w:rPr>
            </w:pPr>
            <w:r w:rsidRPr="00597EAF">
              <w:rPr>
                <w:rFonts w:ascii="Arial" w:hAnsi="Arial" w:cs="Arial"/>
                <w:b/>
                <w:bCs/>
                <w:sz w:val="22"/>
                <w:szCs w:val="22"/>
              </w:rPr>
              <w:t>Power</w:t>
            </w:r>
          </w:p>
        </w:tc>
        <w:tc>
          <w:tcPr>
            <w:tcW w:w="2254" w:type="dxa"/>
            <w:shd w:val="clear" w:color="auto" w:fill="D9D9D9" w:themeFill="background1" w:themeFillShade="D9"/>
          </w:tcPr>
          <w:p w14:paraId="7E87577A" w14:textId="77777777" w:rsidR="00597EAF" w:rsidRDefault="00597EAF" w:rsidP="00B223D6">
            <w:pPr>
              <w:pStyle w:val="NoSpacing"/>
              <w:spacing w:line="276" w:lineRule="auto"/>
              <w:rPr>
                <w:rFonts w:ascii="Arial" w:hAnsi="Arial" w:cs="Arial"/>
                <w:b/>
                <w:bCs/>
                <w:sz w:val="22"/>
                <w:szCs w:val="22"/>
              </w:rPr>
            </w:pPr>
          </w:p>
          <w:p w14:paraId="646B6E7D" w14:textId="5D7577F2" w:rsidR="0032099B" w:rsidRPr="00597EAF" w:rsidRDefault="0032099B" w:rsidP="00B223D6">
            <w:pPr>
              <w:pStyle w:val="NoSpacing"/>
              <w:spacing w:line="276" w:lineRule="auto"/>
              <w:rPr>
                <w:rFonts w:ascii="Arial" w:hAnsi="Arial" w:cs="Arial"/>
                <w:b/>
                <w:bCs/>
                <w:sz w:val="22"/>
                <w:szCs w:val="22"/>
              </w:rPr>
            </w:pPr>
            <w:r w:rsidRPr="00597EAF">
              <w:rPr>
                <w:rFonts w:ascii="Arial" w:hAnsi="Arial" w:cs="Arial"/>
                <w:b/>
                <w:bCs/>
                <w:sz w:val="22"/>
                <w:szCs w:val="22"/>
              </w:rPr>
              <w:t>Interest</w:t>
            </w:r>
          </w:p>
        </w:tc>
        <w:tc>
          <w:tcPr>
            <w:tcW w:w="3156" w:type="dxa"/>
            <w:shd w:val="clear" w:color="auto" w:fill="D9D9D9" w:themeFill="background1" w:themeFillShade="D9"/>
          </w:tcPr>
          <w:p w14:paraId="44F1B158" w14:textId="77777777" w:rsidR="00597EAF" w:rsidRDefault="00597EAF" w:rsidP="00B223D6">
            <w:pPr>
              <w:pStyle w:val="NoSpacing"/>
              <w:spacing w:line="276" w:lineRule="auto"/>
              <w:rPr>
                <w:rFonts w:ascii="Arial" w:hAnsi="Arial" w:cs="Arial"/>
                <w:b/>
                <w:bCs/>
                <w:sz w:val="22"/>
                <w:szCs w:val="22"/>
              </w:rPr>
            </w:pPr>
          </w:p>
          <w:p w14:paraId="087A97FE" w14:textId="2933D7FC" w:rsidR="0032099B" w:rsidRPr="00597EAF" w:rsidRDefault="0032099B" w:rsidP="00B223D6">
            <w:pPr>
              <w:pStyle w:val="NoSpacing"/>
              <w:spacing w:line="276" w:lineRule="auto"/>
              <w:rPr>
                <w:rFonts w:ascii="Arial" w:hAnsi="Arial" w:cs="Arial"/>
                <w:b/>
                <w:bCs/>
                <w:sz w:val="22"/>
                <w:szCs w:val="22"/>
              </w:rPr>
            </w:pPr>
            <w:r w:rsidRPr="00597EAF">
              <w:rPr>
                <w:rFonts w:ascii="Arial" w:hAnsi="Arial" w:cs="Arial"/>
                <w:b/>
                <w:bCs/>
                <w:sz w:val="22"/>
                <w:szCs w:val="22"/>
              </w:rPr>
              <w:t>Engagement Strategy</w:t>
            </w:r>
          </w:p>
        </w:tc>
      </w:tr>
      <w:tr w:rsidR="0032099B" w14:paraId="24F63BC1" w14:textId="77777777" w:rsidTr="00597EAF">
        <w:tc>
          <w:tcPr>
            <w:tcW w:w="2685" w:type="dxa"/>
          </w:tcPr>
          <w:p w14:paraId="0D0C2C76" w14:textId="77777777" w:rsidR="00597EAF" w:rsidRDefault="00597EAF" w:rsidP="00B223D6">
            <w:pPr>
              <w:pStyle w:val="NoSpacing"/>
              <w:spacing w:line="276" w:lineRule="auto"/>
              <w:rPr>
                <w:rFonts w:ascii="Arial" w:hAnsi="Arial" w:cs="Arial"/>
                <w:sz w:val="22"/>
                <w:szCs w:val="22"/>
              </w:rPr>
            </w:pPr>
          </w:p>
          <w:p w14:paraId="565C7389" w14:textId="37492B3A"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Customers</w:t>
            </w:r>
          </w:p>
        </w:tc>
        <w:tc>
          <w:tcPr>
            <w:tcW w:w="2254" w:type="dxa"/>
          </w:tcPr>
          <w:p w14:paraId="2BE400D1" w14:textId="77777777" w:rsidR="00597EAF" w:rsidRDefault="00597EAF" w:rsidP="00B223D6">
            <w:pPr>
              <w:pStyle w:val="NoSpacing"/>
              <w:spacing w:line="276" w:lineRule="auto"/>
              <w:rPr>
                <w:rFonts w:ascii="Arial" w:hAnsi="Arial" w:cs="Arial"/>
                <w:sz w:val="22"/>
                <w:szCs w:val="22"/>
              </w:rPr>
            </w:pPr>
          </w:p>
          <w:p w14:paraId="33C93652" w14:textId="47EEB6B4" w:rsidR="0032099B" w:rsidRDefault="009518F5" w:rsidP="00B223D6">
            <w:pPr>
              <w:pStyle w:val="NoSpacing"/>
              <w:spacing w:line="276" w:lineRule="auto"/>
              <w:rPr>
                <w:rFonts w:ascii="Arial" w:hAnsi="Arial" w:cs="Arial"/>
                <w:sz w:val="22"/>
                <w:szCs w:val="22"/>
              </w:rPr>
            </w:pPr>
            <w:r>
              <w:rPr>
                <w:rFonts w:ascii="Arial" w:hAnsi="Arial" w:cs="Arial"/>
                <w:sz w:val="22"/>
                <w:szCs w:val="22"/>
              </w:rPr>
              <w:t>High</w:t>
            </w:r>
          </w:p>
        </w:tc>
        <w:tc>
          <w:tcPr>
            <w:tcW w:w="2254" w:type="dxa"/>
          </w:tcPr>
          <w:p w14:paraId="5D6CF03D" w14:textId="77777777" w:rsidR="00597EAF" w:rsidRDefault="00597EAF" w:rsidP="00B223D6">
            <w:pPr>
              <w:pStyle w:val="NoSpacing"/>
              <w:spacing w:line="276" w:lineRule="auto"/>
              <w:rPr>
                <w:rFonts w:ascii="Arial" w:hAnsi="Arial" w:cs="Arial"/>
                <w:sz w:val="22"/>
                <w:szCs w:val="22"/>
              </w:rPr>
            </w:pPr>
          </w:p>
          <w:p w14:paraId="4935C2AD" w14:textId="1EBD40D5" w:rsidR="0032099B" w:rsidRDefault="009518F5" w:rsidP="00B223D6">
            <w:pPr>
              <w:pStyle w:val="NoSpacing"/>
              <w:spacing w:line="276" w:lineRule="auto"/>
              <w:rPr>
                <w:rFonts w:ascii="Arial" w:hAnsi="Arial" w:cs="Arial"/>
                <w:sz w:val="22"/>
                <w:szCs w:val="22"/>
              </w:rPr>
            </w:pPr>
            <w:r>
              <w:rPr>
                <w:rFonts w:ascii="Arial" w:hAnsi="Arial" w:cs="Arial"/>
                <w:sz w:val="22"/>
                <w:szCs w:val="22"/>
              </w:rPr>
              <w:t>High</w:t>
            </w:r>
          </w:p>
        </w:tc>
        <w:tc>
          <w:tcPr>
            <w:tcW w:w="3156" w:type="dxa"/>
          </w:tcPr>
          <w:p w14:paraId="2E7A4D5A" w14:textId="0BA9000D"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Improve communication and monitor customer satisfaction using Net Promoter Score (NPS) and customer feedback.</w:t>
            </w:r>
          </w:p>
        </w:tc>
      </w:tr>
      <w:tr w:rsidR="0032099B" w14:paraId="2675338A" w14:textId="77777777" w:rsidTr="00597EAF">
        <w:tc>
          <w:tcPr>
            <w:tcW w:w="2685" w:type="dxa"/>
          </w:tcPr>
          <w:p w14:paraId="06838A1A" w14:textId="77777777" w:rsidR="00597EAF" w:rsidRDefault="00597EAF" w:rsidP="00B223D6">
            <w:pPr>
              <w:pStyle w:val="NoSpacing"/>
              <w:spacing w:line="276" w:lineRule="auto"/>
              <w:rPr>
                <w:rFonts w:ascii="Arial" w:hAnsi="Arial" w:cs="Arial"/>
                <w:sz w:val="22"/>
                <w:szCs w:val="22"/>
              </w:rPr>
            </w:pPr>
          </w:p>
          <w:p w14:paraId="155F2E96" w14:textId="27125CEC"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Shareholders</w:t>
            </w:r>
          </w:p>
        </w:tc>
        <w:tc>
          <w:tcPr>
            <w:tcW w:w="2254" w:type="dxa"/>
          </w:tcPr>
          <w:p w14:paraId="2862A9A7" w14:textId="77777777" w:rsidR="00597EAF" w:rsidRDefault="00597EAF" w:rsidP="00B223D6">
            <w:pPr>
              <w:pStyle w:val="NoSpacing"/>
              <w:spacing w:line="276" w:lineRule="auto"/>
              <w:rPr>
                <w:rFonts w:ascii="Arial" w:hAnsi="Arial" w:cs="Arial"/>
                <w:sz w:val="22"/>
                <w:szCs w:val="22"/>
              </w:rPr>
            </w:pPr>
          </w:p>
          <w:p w14:paraId="7F8AF14D" w14:textId="582F4479" w:rsidR="0032099B" w:rsidRDefault="009518F5" w:rsidP="00B223D6">
            <w:pPr>
              <w:pStyle w:val="NoSpacing"/>
              <w:spacing w:line="276" w:lineRule="auto"/>
              <w:rPr>
                <w:rFonts w:ascii="Arial" w:hAnsi="Arial" w:cs="Arial"/>
                <w:sz w:val="22"/>
                <w:szCs w:val="22"/>
              </w:rPr>
            </w:pPr>
            <w:r>
              <w:rPr>
                <w:rFonts w:ascii="Arial" w:hAnsi="Arial" w:cs="Arial"/>
                <w:sz w:val="22"/>
                <w:szCs w:val="22"/>
              </w:rPr>
              <w:t>High</w:t>
            </w:r>
          </w:p>
        </w:tc>
        <w:tc>
          <w:tcPr>
            <w:tcW w:w="2254" w:type="dxa"/>
          </w:tcPr>
          <w:p w14:paraId="6CA20596" w14:textId="77777777" w:rsidR="00597EAF" w:rsidRDefault="00597EAF" w:rsidP="00B223D6">
            <w:pPr>
              <w:pStyle w:val="NoSpacing"/>
              <w:spacing w:line="276" w:lineRule="auto"/>
              <w:rPr>
                <w:rFonts w:ascii="Arial" w:hAnsi="Arial" w:cs="Arial"/>
                <w:sz w:val="22"/>
                <w:szCs w:val="22"/>
              </w:rPr>
            </w:pPr>
          </w:p>
          <w:p w14:paraId="10581BC0" w14:textId="1C61BD25" w:rsidR="0032099B" w:rsidRDefault="009518F5" w:rsidP="00B223D6">
            <w:pPr>
              <w:pStyle w:val="NoSpacing"/>
              <w:spacing w:line="276" w:lineRule="auto"/>
              <w:rPr>
                <w:rFonts w:ascii="Arial" w:hAnsi="Arial" w:cs="Arial"/>
                <w:sz w:val="22"/>
                <w:szCs w:val="22"/>
              </w:rPr>
            </w:pPr>
            <w:r>
              <w:rPr>
                <w:rFonts w:ascii="Arial" w:hAnsi="Arial" w:cs="Arial"/>
                <w:sz w:val="22"/>
                <w:szCs w:val="22"/>
              </w:rPr>
              <w:t>High</w:t>
            </w:r>
          </w:p>
        </w:tc>
        <w:tc>
          <w:tcPr>
            <w:tcW w:w="3156" w:type="dxa"/>
          </w:tcPr>
          <w:p w14:paraId="1F2D4322" w14:textId="6D461944"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Provide regular updates on merger progress and financial performance.</w:t>
            </w:r>
          </w:p>
        </w:tc>
      </w:tr>
      <w:tr w:rsidR="0032099B" w14:paraId="0E8D2B69" w14:textId="77777777" w:rsidTr="00597EAF">
        <w:tc>
          <w:tcPr>
            <w:tcW w:w="2685" w:type="dxa"/>
          </w:tcPr>
          <w:p w14:paraId="171BDF78" w14:textId="77777777" w:rsidR="00597EAF" w:rsidRDefault="00597EAF" w:rsidP="00B223D6">
            <w:pPr>
              <w:pStyle w:val="NoSpacing"/>
              <w:spacing w:line="276" w:lineRule="auto"/>
              <w:rPr>
                <w:rFonts w:ascii="Arial" w:hAnsi="Arial" w:cs="Arial"/>
                <w:sz w:val="22"/>
                <w:szCs w:val="22"/>
              </w:rPr>
            </w:pPr>
          </w:p>
          <w:p w14:paraId="7946F3D8" w14:textId="7F55BC0B"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Ofcom &amp; CMA</w:t>
            </w:r>
          </w:p>
        </w:tc>
        <w:tc>
          <w:tcPr>
            <w:tcW w:w="2254" w:type="dxa"/>
          </w:tcPr>
          <w:p w14:paraId="2BCC503F" w14:textId="77777777" w:rsidR="00597EAF" w:rsidRDefault="00597EAF" w:rsidP="00B223D6">
            <w:pPr>
              <w:pStyle w:val="NoSpacing"/>
              <w:spacing w:line="276" w:lineRule="auto"/>
              <w:rPr>
                <w:rFonts w:ascii="Arial" w:hAnsi="Arial" w:cs="Arial"/>
                <w:sz w:val="22"/>
                <w:szCs w:val="22"/>
              </w:rPr>
            </w:pPr>
          </w:p>
          <w:p w14:paraId="3205A6F2" w14:textId="470F2A08" w:rsidR="0032099B" w:rsidRDefault="009518F5" w:rsidP="00B223D6">
            <w:pPr>
              <w:pStyle w:val="NoSpacing"/>
              <w:spacing w:line="276" w:lineRule="auto"/>
              <w:rPr>
                <w:rFonts w:ascii="Arial" w:hAnsi="Arial" w:cs="Arial"/>
                <w:sz w:val="22"/>
                <w:szCs w:val="22"/>
              </w:rPr>
            </w:pPr>
            <w:r>
              <w:rPr>
                <w:rFonts w:ascii="Arial" w:hAnsi="Arial" w:cs="Arial"/>
                <w:sz w:val="22"/>
                <w:szCs w:val="22"/>
              </w:rPr>
              <w:t>High</w:t>
            </w:r>
          </w:p>
        </w:tc>
        <w:tc>
          <w:tcPr>
            <w:tcW w:w="2254" w:type="dxa"/>
          </w:tcPr>
          <w:p w14:paraId="7E945A86" w14:textId="77777777" w:rsidR="00597EAF" w:rsidRDefault="00597EAF" w:rsidP="00B223D6">
            <w:pPr>
              <w:pStyle w:val="NoSpacing"/>
              <w:spacing w:line="276" w:lineRule="auto"/>
              <w:rPr>
                <w:rFonts w:ascii="Arial" w:hAnsi="Arial" w:cs="Arial"/>
                <w:sz w:val="22"/>
                <w:szCs w:val="22"/>
              </w:rPr>
            </w:pPr>
          </w:p>
          <w:p w14:paraId="1DE266F6" w14:textId="030554D6" w:rsidR="0032099B" w:rsidRDefault="009518F5" w:rsidP="00B223D6">
            <w:pPr>
              <w:pStyle w:val="NoSpacing"/>
              <w:spacing w:line="276" w:lineRule="auto"/>
              <w:rPr>
                <w:rFonts w:ascii="Arial" w:hAnsi="Arial" w:cs="Arial"/>
                <w:sz w:val="22"/>
                <w:szCs w:val="22"/>
              </w:rPr>
            </w:pPr>
            <w:r>
              <w:rPr>
                <w:rFonts w:ascii="Arial" w:hAnsi="Arial" w:cs="Arial"/>
                <w:sz w:val="22"/>
                <w:szCs w:val="22"/>
              </w:rPr>
              <w:t>High</w:t>
            </w:r>
          </w:p>
        </w:tc>
        <w:tc>
          <w:tcPr>
            <w:tcW w:w="3156" w:type="dxa"/>
          </w:tcPr>
          <w:p w14:paraId="1194A511" w14:textId="06B987FE"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Maintain regulatory compliance and report progress against merger commitments.</w:t>
            </w:r>
          </w:p>
        </w:tc>
      </w:tr>
      <w:tr w:rsidR="0032099B" w14:paraId="3258583C" w14:textId="77777777" w:rsidTr="00597EAF">
        <w:tc>
          <w:tcPr>
            <w:tcW w:w="2685" w:type="dxa"/>
          </w:tcPr>
          <w:p w14:paraId="1EE1D520" w14:textId="77777777" w:rsidR="00597EAF" w:rsidRDefault="00597EAF" w:rsidP="00B223D6">
            <w:pPr>
              <w:pStyle w:val="NoSpacing"/>
              <w:spacing w:line="276" w:lineRule="auto"/>
              <w:rPr>
                <w:rFonts w:ascii="Arial" w:hAnsi="Arial" w:cs="Arial"/>
                <w:sz w:val="22"/>
                <w:szCs w:val="22"/>
              </w:rPr>
            </w:pPr>
          </w:p>
          <w:p w14:paraId="58C71164" w14:textId="2358C09C"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Employees</w:t>
            </w:r>
          </w:p>
        </w:tc>
        <w:tc>
          <w:tcPr>
            <w:tcW w:w="2254" w:type="dxa"/>
          </w:tcPr>
          <w:p w14:paraId="50208C75" w14:textId="77777777" w:rsidR="00597EAF" w:rsidRDefault="00597EAF" w:rsidP="00B223D6">
            <w:pPr>
              <w:pStyle w:val="NoSpacing"/>
              <w:spacing w:line="276" w:lineRule="auto"/>
              <w:rPr>
                <w:rFonts w:ascii="Arial" w:hAnsi="Arial" w:cs="Arial"/>
                <w:sz w:val="22"/>
                <w:szCs w:val="22"/>
              </w:rPr>
            </w:pPr>
          </w:p>
          <w:p w14:paraId="67F316A5" w14:textId="65001B34" w:rsidR="0032099B" w:rsidRDefault="00597EAF" w:rsidP="00B223D6">
            <w:pPr>
              <w:pStyle w:val="NoSpacing"/>
              <w:spacing w:line="276" w:lineRule="auto"/>
              <w:rPr>
                <w:rFonts w:ascii="Arial" w:hAnsi="Arial" w:cs="Arial"/>
                <w:sz w:val="22"/>
                <w:szCs w:val="22"/>
              </w:rPr>
            </w:pPr>
            <w:r>
              <w:rPr>
                <w:rFonts w:ascii="Arial" w:hAnsi="Arial" w:cs="Arial"/>
                <w:sz w:val="22"/>
                <w:szCs w:val="22"/>
              </w:rPr>
              <w:t>Medium</w:t>
            </w:r>
          </w:p>
        </w:tc>
        <w:tc>
          <w:tcPr>
            <w:tcW w:w="2254" w:type="dxa"/>
          </w:tcPr>
          <w:p w14:paraId="29ECF87B" w14:textId="77777777" w:rsidR="00597EAF" w:rsidRDefault="00597EAF" w:rsidP="00B223D6">
            <w:pPr>
              <w:pStyle w:val="NoSpacing"/>
              <w:spacing w:line="276" w:lineRule="auto"/>
              <w:rPr>
                <w:rFonts w:ascii="Arial" w:hAnsi="Arial" w:cs="Arial"/>
                <w:sz w:val="22"/>
                <w:szCs w:val="22"/>
              </w:rPr>
            </w:pPr>
          </w:p>
          <w:p w14:paraId="73B8B8AA" w14:textId="5850AC40" w:rsidR="0032099B" w:rsidRDefault="00597EAF" w:rsidP="00B223D6">
            <w:pPr>
              <w:pStyle w:val="NoSpacing"/>
              <w:spacing w:line="276" w:lineRule="auto"/>
              <w:rPr>
                <w:rFonts w:ascii="Arial" w:hAnsi="Arial" w:cs="Arial"/>
                <w:sz w:val="22"/>
                <w:szCs w:val="22"/>
              </w:rPr>
            </w:pPr>
            <w:r>
              <w:rPr>
                <w:rFonts w:ascii="Arial" w:hAnsi="Arial" w:cs="Arial"/>
                <w:sz w:val="22"/>
                <w:szCs w:val="22"/>
              </w:rPr>
              <w:t>High</w:t>
            </w:r>
          </w:p>
        </w:tc>
        <w:tc>
          <w:tcPr>
            <w:tcW w:w="3156" w:type="dxa"/>
          </w:tcPr>
          <w:p w14:paraId="10915436" w14:textId="797BDAF6"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Provide training, communicate organisational change and encourage employee engagement.</w:t>
            </w:r>
          </w:p>
        </w:tc>
      </w:tr>
      <w:tr w:rsidR="0032099B" w14:paraId="31B1291B" w14:textId="77777777" w:rsidTr="00597EAF">
        <w:trPr>
          <w:trHeight w:val="469"/>
        </w:trPr>
        <w:tc>
          <w:tcPr>
            <w:tcW w:w="2685" w:type="dxa"/>
          </w:tcPr>
          <w:p w14:paraId="6EB18D49" w14:textId="77777777" w:rsidR="00597EAF" w:rsidRDefault="00597EAF" w:rsidP="00B223D6">
            <w:pPr>
              <w:pStyle w:val="NoSpacing"/>
              <w:spacing w:line="276" w:lineRule="auto"/>
              <w:rPr>
                <w:rFonts w:ascii="Arial" w:hAnsi="Arial" w:cs="Arial"/>
                <w:sz w:val="22"/>
                <w:szCs w:val="22"/>
              </w:rPr>
            </w:pPr>
          </w:p>
          <w:p w14:paraId="023DCD9E" w14:textId="58B9E5CB"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Technology Partners</w:t>
            </w:r>
          </w:p>
        </w:tc>
        <w:tc>
          <w:tcPr>
            <w:tcW w:w="2254" w:type="dxa"/>
          </w:tcPr>
          <w:p w14:paraId="5B09F99E" w14:textId="77777777" w:rsidR="00597EAF" w:rsidRDefault="00597EAF" w:rsidP="00B223D6">
            <w:pPr>
              <w:pStyle w:val="NoSpacing"/>
              <w:spacing w:line="276" w:lineRule="auto"/>
              <w:rPr>
                <w:rFonts w:ascii="Arial" w:hAnsi="Arial" w:cs="Arial"/>
                <w:sz w:val="22"/>
                <w:szCs w:val="22"/>
              </w:rPr>
            </w:pPr>
          </w:p>
          <w:p w14:paraId="1805D562" w14:textId="0BB933EE" w:rsidR="0032099B" w:rsidRDefault="00597EAF" w:rsidP="00B223D6">
            <w:pPr>
              <w:pStyle w:val="NoSpacing"/>
              <w:spacing w:line="276" w:lineRule="auto"/>
              <w:rPr>
                <w:rFonts w:ascii="Arial" w:hAnsi="Arial" w:cs="Arial"/>
                <w:sz w:val="22"/>
                <w:szCs w:val="22"/>
              </w:rPr>
            </w:pPr>
            <w:r>
              <w:rPr>
                <w:rFonts w:ascii="Arial" w:hAnsi="Arial" w:cs="Arial"/>
                <w:sz w:val="22"/>
                <w:szCs w:val="22"/>
              </w:rPr>
              <w:t>Medium</w:t>
            </w:r>
          </w:p>
        </w:tc>
        <w:tc>
          <w:tcPr>
            <w:tcW w:w="2254" w:type="dxa"/>
          </w:tcPr>
          <w:p w14:paraId="0198A723" w14:textId="77777777" w:rsidR="00597EAF" w:rsidRDefault="00597EAF" w:rsidP="00B223D6">
            <w:pPr>
              <w:pStyle w:val="NoSpacing"/>
              <w:spacing w:line="276" w:lineRule="auto"/>
              <w:rPr>
                <w:rFonts w:ascii="Arial" w:hAnsi="Arial" w:cs="Arial"/>
                <w:sz w:val="22"/>
                <w:szCs w:val="22"/>
              </w:rPr>
            </w:pPr>
          </w:p>
          <w:p w14:paraId="32D7BFCF" w14:textId="28B9F92B" w:rsidR="0032099B" w:rsidRDefault="00597EAF" w:rsidP="00B223D6">
            <w:pPr>
              <w:pStyle w:val="NoSpacing"/>
              <w:spacing w:line="276" w:lineRule="auto"/>
              <w:rPr>
                <w:rFonts w:ascii="Arial" w:hAnsi="Arial" w:cs="Arial"/>
                <w:sz w:val="22"/>
                <w:szCs w:val="22"/>
              </w:rPr>
            </w:pPr>
            <w:r>
              <w:rPr>
                <w:rFonts w:ascii="Arial" w:hAnsi="Arial" w:cs="Arial"/>
                <w:sz w:val="22"/>
                <w:szCs w:val="22"/>
              </w:rPr>
              <w:t>Medium</w:t>
            </w:r>
          </w:p>
        </w:tc>
        <w:tc>
          <w:tcPr>
            <w:tcW w:w="3156" w:type="dxa"/>
          </w:tcPr>
          <w:p w14:paraId="19E64351" w14:textId="23D01B74" w:rsidR="0032099B" w:rsidRDefault="009518F5" w:rsidP="00B223D6">
            <w:pPr>
              <w:pStyle w:val="NoSpacing"/>
              <w:spacing w:line="276" w:lineRule="auto"/>
              <w:rPr>
                <w:rFonts w:ascii="Arial" w:hAnsi="Arial" w:cs="Arial"/>
                <w:sz w:val="22"/>
                <w:szCs w:val="22"/>
              </w:rPr>
            </w:pPr>
            <w:r w:rsidRPr="009518F5">
              <w:rPr>
                <w:rFonts w:ascii="Arial" w:hAnsi="Arial" w:cs="Arial"/>
                <w:sz w:val="22"/>
                <w:szCs w:val="22"/>
              </w:rPr>
              <w:t>Build long-term partnerships to support innovation and infrastructure development.</w:t>
            </w:r>
          </w:p>
        </w:tc>
      </w:tr>
    </w:tbl>
    <w:p w14:paraId="29AE71DF" w14:textId="54AD752D" w:rsidR="00B04442" w:rsidRPr="00775CEF" w:rsidRDefault="00C54AC8" w:rsidP="00B223D6">
      <w:pPr>
        <w:pStyle w:val="NoSpacing"/>
        <w:spacing w:line="276" w:lineRule="auto"/>
      </w:pPr>
      <w:r w:rsidRPr="00775CEF">
        <w:rPr>
          <w:rFonts w:ascii="Arial" w:hAnsi="Arial" w:cs="Arial"/>
          <w:sz w:val="22"/>
          <w:szCs w:val="22"/>
        </w:rPr>
        <w:br/>
      </w:r>
      <w:r w:rsidR="00D334F2" w:rsidRPr="00775CEF">
        <w:rPr>
          <w:rFonts w:ascii="Arial" w:hAnsi="Arial" w:cs="Arial"/>
          <w:sz w:val="22"/>
          <w:szCs w:val="22"/>
        </w:rPr>
        <w:br/>
      </w:r>
    </w:p>
    <w:p w14:paraId="296663E9" w14:textId="77777777" w:rsidR="0021688F" w:rsidRPr="0037494F" w:rsidRDefault="0021688F" w:rsidP="00B223D6">
      <w:pPr>
        <w:pStyle w:val="NoSpacing"/>
        <w:spacing w:line="276" w:lineRule="auto"/>
        <w:rPr>
          <w:rFonts w:ascii="Arial" w:hAnsi="Arial" w:cs="Arial"/>
          <w:sz w:val="22"/>
          <w:szCs w:val="22"/>
        </w:rPr>
      </w:pPr>
      <w:r w:rsidRPr="0037494F">
        <w:rPr>
          <w:rFonts w:ascii="Arial" w:hAnsi="Arial" w:cs="Arial"/>
          <w:b/>
          <w:bCs/>
          <w:sz w:val="22"/>
          <w:szCs w:val="22"/>
        </w:rPr>
        <w:t>Source:</w:t>
      </w:r>
      <w:r w:rsidRPr="0037494F">
        <w:rPr>
          <w:rFonts w:ascii="Arial" w:hAnsi="Arial" w:cs="Arial"/>
          <w:sz w:val="22"/>
          <w:szCs w:val="22"/>
        </w:rPr>
        <w:t xml:space="preserve"> Author's own compilation based on Freeman (1984), Johnson et al. (2020), Competition and Markets Authority (2025) and Ofcom (2025).</w:t>
      </w:r>
    </w:p>
    <w:p w14:paraId="0568D41D" w14:textId="77777777" w:rsidR="0021688F" w:rsidRPr="0037494F" w:rsidRDefault="0021688F" w:rsidP="00B223D6">
      <w:pPr>
        <w:pStyle w:val="NoSpacing"/>
        <w:spacing w:line="276" w:lineRule="auto"/>
        <w:rPr>
          <w:rFonts w:ascii="Arial" w:hAnsi="Arial" w:cs="Arial"/>
          <w:sz w:val="22"/>
          <w:szCs w:val="22"/>
        </w:rPr>
      </w:pPr>
    </w:p>
    <w:p w14:paraId="734F99B9" w14:textId="77777777" w:rsidR="0021688F" w:rsidRPr="0037494F" w:rsidRDefault="0021688F" w:rsidP="00B223D6">
      <w:pPr>
        <w:pStyle w:val="NoSpacing"/>
        <w:spacing w:line="276" w:lineRule="auto"/>
        <w:rPr>
          <w:rFonts w:ascii="Arial" w:hAnsi="Arial" w:cs="Arial"/>
          <w:sz w:val="22"/>
          <w:szCs w:val="22"/>
        </w:rPr>
      </w:pPr>
      <w:r w:rsidRPr="0037494F">
        <w:rPr>
          <w:rFonts w:ascii="Arial" w:hAnsi="Arial" w:cs="Arial"/>
          <w:sz w:val="22"/>
          <w:szCs w:val="22"/>
        </w:rPr>
        <w:t xml:space="preserve">Table 2 demonstrates that customers, shareholders and regulators represent </w:t>
      </w:r>
      <w:proofErr w:type="spellStart"/>
      <w:r w:rsidRPr="0037494F">
        <w:rPr>
          <w:rFonts w:ascii="Arial" w:hAnsi="Arial" w:cs="Arial"/>
          <w:sz w:val="22"/>
          <w:szCs w:val="22"/>
        </w:rPr>
        <w:t>VodafoneThree's</w:t>
      </w:r>
      <w:proofErr w:type="spellEnd"/>
      <w:r w:rsidRPr="0037494F">
        <w:rPr>
          <w:rFonts w:ascii="Arial" w:hAnsi="Arial" w:cs="Arial"/>
          <w:sz w:val="22"/>
          <w:szCs w:val="22"/>
        </w:rPr>
        <w:t xml:space="preserve"> most influential stakeholder groups because they possess both high levels of power and interest in the organisation's strategic success.</w:t>
      </w:r>
    </w:p>
    <w:p w14:paraId="4FC9529B" w14:textId="77777777" w:rsidR="0021688F" w:rsidRPr="0037494F" w:rsidRDefault="0021688F" w:rsidP="00B223D6">
      <w:pPr>
        <w:pStyle w:val="NoSpacing"/>
        <w:spacing w:line="276" w:lineRule="auto"/>
        <w:rPr>
          <w:rFonts w:ascii="Arial" w:hAnsi="Arial" w:cs="Arial"/>
          <w:sz w:val="22"/>
          <w:szCs w:val="22"/>
        </w:rPr>
      </w:pPr>
      <w:r w:rsidRPr="0037494F">
        <w:rPr>
          <w:rFonts w:ascii="Arial" w:hAnsi="Arial" w:cs="Arial"/>
          <w:sz w:val="22"/>
          <w:szCs w:val="22"/>
        </w:rPr>
        <w:t>Customers remain the organisation's highest priority because customer satisfaction directly influences retention, revenue generation and brand reputation, supporting Freeman's (1984) argument that long-term organisational success depends on balancing stakeholder interests. Shareholders expect sustainable financial returns, regulators require compliance with competition and consumer protection legislation, while employees play a critical role in supporting operational integration and delivering improved customer experiences.</w:t>
      </w:r>
    </w:p>
    <w:p w14:paraId="3E05BB5E" w14:textId="77777777" w:rsidR="0021688F" w:rsidRDefault="0021688F" w:rsidP="00B223D6">
      <w:pPr>
        <w:pStyle w:val="NoSpacing"/>
        <w:spacing w:line="276" w:lineRule="auto"/>
        <w:rPr>
          <w:rFonts w:ascii="Arial" w:hAnsi="Arial" w:cs="Arial"/>
          <w:sz w:val="22"/>
          <w:szCs w:val="22"/>
        </w:rPr>
      </w:pPr>
    </w:p>
    <w:p w14:paraId="661B608C" w14:textId="77777777" w:rsidR="0021688F" w:rsidRDefault="0021688F" w:rsidP="00B223D6">
      <w:pPr>
        <w:pStyle w:val="NoSpacing"/>
        <w:spacing w:line="276" w:lineRule="auto"/>
        <w:rPr>
          <w:rFonts w:ascii="Arial" w:hAnsi="Arial" w:cs="Arial"/>
          <w:sz w:val="22"/>
          <w:szCs w:val="22"/>
        </w:rPr>
      </w:pPr>
    </w:p>
    <w:p w14:paraId="03CDEA66" w14:textId="77777777" w:rsidR="0037494F" w:rsidRDefault="0021688F" w:rsidP="00B223D6">
      <w:pPr>
        <w:spacing w:line="276" w:lineRule="auto"/>
        <w:rPr>
          <w:rFonts w:ascii="Arial" w:hAnsi="Arial" w:cs="Arial"/>
          <w:sz w:val="22"/>
          <w:szCs w:val="22"/>
        </w:rPr>
      </w:pPr>
      <w:bookmarkStart w:id="23" w:name="_Toc234863744"/>
      <w:r w:rsidRPr="0037494F">
        <w:rPr>
          <w:rStyle w:val="Heading1Char"/>
          <w:rFonts w:ascii="Arial" w:hAnsi="Arial" w:cs="Arial"/>
          <w:b/>
          <w:bCs/>
          <w:color w:val="auto"/>
          <w:sz w:val="22"/>
          <w:szCs w:val="22"/>
        </w:rPr>
        <w:lastRenderedPageBreak/>
        <w:t>6. Implementation and Monitoring</w:t>
      </w:r>
      <w:bookmarkEnd w:id="23"/>
      <w:r w:rsidR="00B11A12" w:rsidRPr="0037494F">
        <w:rPr>
          <w:b/>
          <w:bCs/>
        </w:rPr>
        <w:br/>
      </w:r>
      <w:r w:rsidR="00B11A12" w:rsidRPr="0021688F">
        <w:br/>
      </w:r>
      <w:r w:rsidR="0037494F" w:rsidRPr="0037494F">
        <w:rPr>
          <w:rFonts w:ascii="Arial" w:hAnsi="Arial" w:cs="Arial"/>
          <w:sz w:val="22"/>
          <w:szCs w:val="22"/>
        </w:rPr>
        <w:t xml:space="preserve">The successful implementation of </w:t>
      </w:r>
      <w:proofErr w:type="spellStart"/>
      <w:r w:rsidR="0037494F" w:rsidRPr="0037494F">
        <w:rPr>
          <w:rFonts w:ascii="Arial" w:hAnsi="Arial" w:cs="Arial"/>
          <w:sz w:val="22"/>
          <w:szCs w:val="22"/>
        </w:rPr>
        <w:t>VodafoneThree's</w:t>
      </w:r>
      <w:proofErr w:type="spellEnd"/>
      <w:r w:rsidR="0037494F" w:rsidRPr="0037494F">
        <w:rPr>
          <w:rFonts w:ascii="Arial" w:hAnsi="Arial" w:cs="Arial"/>
          <w:sz w:val="22"/>
          <w:szCs w:val="22"/>
        </w:rPr>
        <w:t xml:space="preserve"> differentiation-led product development strategy requires a phased implementation programme supported by effective governance, appropriate resource allocation and continuous performance monitoring. As </w:t>
      </w:r>
      <w:proofErr w:type="spellStart"/>
      <w:r w:rsidR="0037494F" w:rsidRPr="0037494F">
        <w:rPr>
          <w:rFonts w:ascii="Arial" w:hAnsi="Arial" w:cs="Arial"/>
          <w:sz w:val="22"/>
          <w:szCs w:val="22"/>
        </w:rPr>
        <w:t>VodafoneThree</w:t>
      </w:r>
      <w:proofErr w:type="spellEnd"/>
      <w:r w:rsidR="0037494F" w:rsidRPr="0037494F">
        <w:rPr>
          <w:rFonts w:ascii="Arial" w:hAnsi="Arial" w:cs="Arial"/>
          <w:sz w:val="22"/>
          <w:szCs w:val="22"/>
        </w:rPr>
        <w:t xml:space="preserve"> continues integrating the operations of Vodafone UK and Three UK, implementation should focus on minimising operational disruption while delivering measurable improvements in customer experience and organisational performance.</w:t>
      </w:r>
    </w:p>
    <w:p w14:paraId="3A1337DA" w14:textId="77777777" w:rsidR="001A2A44" w:rsidRDefault="001A2A44" w:rsidP="00B223D6">
      <w:pPr>
        <w:spacing w:line="276" w:lineRule="auto"/>
      </w:pPr>
      <w:r w:rsidRPr="001A2A44">
        <w:rPr>
          <w:rFonts w:ascii="Arial" w:hAnsi="Arial" w:cs="Arial"/>
          <w:sz w:val="22"/>
          <w:szCs w:val="22"/>
        </w:rPr>
        <w:t xml:space="preserve">The initial phase should prioritise the integration of network infrastructure, information systems and operational processes to realise merger synergies, improve service reliability and establish a strong platform for future innovation. Following integration, </w:t>
      </w:r>
      <w:proofErr w:type="spellStart"/>
      <w:r w:rsidRPr="001A2A44">
        <w:rPr>
          <w:rFonts w:ascii="Arial" w:hAnsi="Arial" w:cs="Arial"/>
          <w:sz w:val="22"/>
          <w:szCs w:val="22"/>
        </w:rPr>
        <w:t>VodafoneThree</w:t>
      </w:r>
      <w:proofErr w:type="spellEnd"/>
      <w:r w:rsidRPr="001A2A44">
        <w:rPr>
          <w:rFonts w:ascii="Arial" w:hAnsi="Arial" w:cs="Arial"/>
          <w:sz w:val="22"/>
          <w:szCs w:val="22"/>
        </w:rPr>
        <w:t xml:space="preserve"> should accelerate the development of AI-enabled services, Internet of Things (IoT) solutions and converged broadband and mobile products to support long-term growth (Vodafone Group Plc, 2025).</w:t>
      </w:r>
      <w:r w:rsidR="00B11A12" w:rsidRPr="0037494F">
        <w:rPr>
          <w:rFonts w:ascii="Arial" w:hAnsi="Arial" w:cs="Arial"/>
          <w:sz w:val="22"/>
          <w:szCs w:val="22"/>
        </w:rPr>
        <w:br/>
      </w:r>
    </w:p>
    <w:p w14:paraId="5971C051" w14:textId="77777777" w:rsidR="001A2A44" w:rsidRPr="006631D1" w:rsidRDefault="001A2A44" w:rsidP="00B223D6">
      <w:pPr>
        <w:spacing w:line="276" w:lineRule="auto"/>
        <w:rPr>
          <w:rFonts w:ascii="Arial" w:hAnsi="Arial" w:cs="Arial"/>
          <w:b/>
          <w:bCs/>
        </w:rPr>
      </w:pPr>
      <w:r w:rsidRPr="006631D1">
        <w:rPr>
          <w:rFonts w:ascii="Arial" w:hAnsi="Arial" w:cs="Arial"/>
          <w:b/>
          <w:bCs/>
        </w:rPr>
        <w:t>Table 3. Strategic Implementation Plan and Key Performance Indicators (KPIs)</w:t>
      </w:r>
    </w:p>
    <w:p w14:paraId="2B2BCF06" w14:textId="446B3E46" w:rsidR="001A2A44" w:rsidRPr="006631D1" w:rsidRDefault="001A2A44" w:rsidP="00B223D6">
      <w:pPr>
        <w:spacing w:line="276" w:lineRule="auto"/>
        <w:rPr>
          <w:rFonts w:ascii="Arial" w:hAnsi="Arial" w:cs="Arial"/>
          <w:sz w:val="22"/>
          <w:szCs w:val="22"/>
        </w:rPr>
      </w:pPr>
      <w:r w:rsidRPr="006631D1">
        <w:rPr>
          <w:rFonts w:ascii="Arial" w:hAnsi="Arial" w:cs="Arial"/>
          <w:sz w:val="22"/>
          <w:szCs w:val="22"/>
        </w:rPr>
        <w:t>Table 3 summarises the key implementation activities and performance indicators that should be monitored throughout the execution of the proposed strategy.</w:t>
      </w:r>
      <w:r w:rsidR="001D097A">
        <w:rPr>
          <w:rFonts w:ascii="Arial" w:hAnsi="Arial" w:cs="Arial"/>
          <w:sz w:val="22"/>
          <w:szCs w:val="22"/>
        </w:rPr>
        <w:br/>
      </w:r>
    </w:p>
    <w:tbl>
      <w:tblPr>
        <w:tblStyle w:val="TableGrid"/>
        <w:tblW w:w="10206" w:type="dxa"/>
        <w:tblInd w:w="-572" w:type="dxa"/>
        <w:tblLook w:val="04A0" w:firstRow="1" w:lastRow="0" w:firstColumn="1" w:lastColumn="0" w:noHBand="0" w:noVBand="1"/>
      </w:tblPr>
      <w:tblGrid>
        <w:gridCol w:w="3577"/>
        <w:gridCol w:w="3005"/>
        <w:gridCol w:w="3624"/>
      </w:tblGrid>
      <w:tr w:rsidR="009B6EAF" w14:paraId="083A13CA" w14:textId="77777777" w:rsidTr="00687550">
        <w:tc>
          <w:tcPr>
            <w:tcW w:w="3577" w:type="dxa"/>
            <w:shd w:val="clear" w:color="auto" w:fill="D9D9D9" w:themeFill="background1" w:themeFillShade="D9"/>
          </w:tcPr>
          <w:p w14:paraId="0AD63BB7" w14:textId="42DBDD27" w:rsidR="009B6EAF" w:rsidRPr="00687550" w:rsidRDefault="009B6EAF" w:rsidP="00B223D6">
            <w:pPr>
              <w:pStyle w:val="NoSpacing"/>
              <w:spacing w:line="276" w:lineRule="auto"/>
              <w:jc w:val="center"/>
              <w:rPr>
                <w:rStyle w:val="Heading1Char"/>
                <w:rFonts w:ascii="Arial" w:hAnsi="Arial" w:cs="Arial"/>
                <w:b/>
                <w:bCs/>
                <w:color w:val="auto"/>
                <w:sz w:val="22"/>
                <w:szCs w:val="22"/>
              </w:rPr>
            </w:pPr>
            <w:bookmarkStart w:id="24" w:name="_Toc234858771"/>
            <w:r w:rsidRPr="00687550">
              <w:rPr>
                <w:rFonts w:ascii="Arial" w:eastAsiaTheme="majorEastAsia" w:hAnsi="Arial" w:cs="Arial"/>
                <w:b/>
                <w:bCs/>
                <w:sz w:val="22"/>
                <w:szCs w:val="22"/>
              </w:rPr>
              <w:t>Strategic Objective</w:t>
            </w:r>
          </w:p>
        </w:tc>
        <w:tc>
          <w:tcPr>
            <w:tcW w:w="3005" w:type="dxa"/>
            <w:shd w:val="clear" w:color="auto" w:fill="D9D9D9" w:themeFill="background1" w:themeFillShade="D9"/>
          </w:tcPr>
          <w:p w14:paraId="57BD9360" w14:textId="0A1FA0CA" w:rsidR="009B6EAF" w:rsidRPr="00687550" w:rsidRDefault="009B6EAF" w:rsidP="00B223D6">
            <w:pPr>
              <w:pStyle w:val="NoSpacing"/>
              <w:spacing w:line="276" w:lineRule="auto"/>
              <w:jc w:val="center"/>
              <w:rPr>
                <w:rStyle w:val="Heading1Char"/>
                <w:rFonts w:ascii="Arial" w:hAnsi="Arial" w:cs="Arial"/>
                <w:b/>
                <w:bCs/>
                <w:color w:val="auto"/>
                <w:sz w:val="22"/>
                <w:szCs w:val="22"/>
              </w:rPr>
            </w:pPr>
            <w:r w:rsidRPr="00687550">
              <w:rPr>
                <w:rFonts w:ascii="Arial" w:eastAsiaTheme="majorEastAsia" w:hAnsi="Arial" w:cs="Arial"/>
                <w:b/>
                <w:bCs/>
                <w:sz w:val="22"/>
                <w:szCs w:val="22"/>
              </w:rPr>
              <w:t>Key Actions</w:t>
            </w:r>
          </w:p>
        </w:tc>
        <w:tc>
          <w:tcPr>
            <w:tcW w:w="3624" w:type="dxa"/>
            <w:shd w:val="clear" w:color="auto" w:fill="D9D9D9" w:themeFill="background1" w:themeFillShade="D9"/>
          </w:tcPr>
          <w:p w14:paraId="1ECBB70C" w14:textId="7F883455" w:rsidR="009B6EAF" w:rsidRPr="00687550" w:rsidRDefault="001D097A" w:rsidP="00B223D6">
            <w:pPr>
              <w:pStyle w:val="NoSpacing"/>
              <w:spacing w:line="276" w:lineRule="auto"/>
              <w:jc w:val="center"/>
              <w:rPr>
                <w:rStyle w:val="Heading1Char"/>
                <w:rFonts w:ascii="Arial" w:hAnsi="Arial" w:cs="Arial"/>
                <w:b/>
                <w:bCs/>
                <w:color w:val="auto"/>
                <w:sz w:val="22"/>
                <w:szCs w:val="22"/>
              </w:rPr>
            </w:pPr>
            <w:r w:rsidRPr="00687550">
              <w:rPr>
                <w:rFonts w:ascii="Arial" w:eastAsiaTheme="majorEastAsia" w:hAnsi="Arial" w:cs="Arial"/>
                <w:b/>
                <w:bCs/>
                <w:sz w:val="22"/>
                <w:szCs w:val="22"/>
              </w:rPr>
              <w:t>Key Performance Indicators (KPIs)</w:t>
            </w:r>
          </w:p>
        </w:tc>
      </w:tr>
      <w:tr w:rsidR="009B6EAF" w14:paraId="208E5749" w14:textId="77777777" w:rsidTr="00687550">
        <w:tc>
          <w:tcPr>
            <w:tcW w:w="3577" w:type="dxa"/>
          </w:tcPr>
          <w:p w14:paraId="61E6E80C" w14:textId="77777777" w:rsidR="00687550" w:rsidRDefault="00687550" w:rsidP="00B223D6">
            <w:pPr>
              <w:pStyle w:val="NoSpacing"/>
              <w:spacing w:line="276" w:lineRule="auto"/>
              <w:rPr>
                <w:rFonts w:ascii="Arial" w:eastAsiaTheme="majorEastAsia" w:hAnsi="Arial" w:cs="Arial"/>
                <w:sz w:val="22"/>
                <w:szCs w:val="22"/>
              </w:rPr>
            </w:pPr>
          </w:p>
          <w:p w14:paraId="3715EA59" w14:textId="02A72945" w:rsidR="009B6EAF" w:rsidRPr="00687550" w:rsidRDefault="001D097A"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Improve network performance</w:t>
            </w:r>
          </w:p>
        </w:tc>
        <w:tc>
          <w:tcPr>
            <w:tcW w:w="3005" w:type="dxa"/>
          </w:tcPr>
          <w:p w14:paraId="5ECC3A7D" w14:textId="37197195" w:rsidR="009B6EAF" w:rsidRPr="00687550" w:rsidRDefault="0037114B"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Complete network integration and expand standalone 5G coverage.</w:t>
            </w:r>
          </w:p>
        </w:tc>
        <w:tc>
          <w:tcPr>
            <w:tcW w:w="3624" w:type="dxa"/>
          </w:tcPr>
          <w:p w14:paraId="5BECA54D" w14:textId="620C1DD1" w:rsidR="009B6EAF" w:rsidRPr="00687550" w:rsidRDefault="00687550"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5G coverage, network availability and average download speeds.</w:t>
            </w:r>
          </w:p>
        </w:tc>
      </w:tr>
      <w:tr w:rsidR="009B6EAF" w14:paraId="5562FFB0" w14:textId="77777777" w:rsidTr="00687550">
        <w:tc>
          <w:tcPr>
            <w:tcW w:w="3577" w:type="dxa"/>
          </w:tcPr>
          <w:p w14:paraId="3F8594B8" w14:textId="77777777" w:rsidR="00687550" w:rsidRDefault="00687550" w:rsidP="00B223D6">
            <w:pPr>
              <w:pStyle w:val="NoSpacing"/>
              <w:spacing w:line="276" w:lineRule="auto"/>
              <w:rPr>
                <w:rFonts w:ascii="Arial" w:eastAsiaTheme="majorEastAsia" w:hAnsi="Arial" w:cs="Arial"/>
                <w:sz w:val="22"/>
                <w:szCs w:val="22"/>
              </w:rPr>
            </w:pPr>
          </w:p>
          <w:p w14:paraId="0FB75CF8" w14:textId="33437FAB" w:rsidR="009B6EAF" w:rsidRPr="00687550" w:rsidRDefault="001D097A"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Enhance customer experience</w:t>
            </w:r>
          </w:p>
        </w:tc>
        <w:tc>
          <w:tcPr>
            <w:tcW w:w="3005" w:type="dxa"/>
          </w:tcPr>
          <w:p w14:paraId="08765A95" w14:textId="6D70E5A8" w:rsidR="009B6EAF" w:rsidRPr="00687550" w:rsidRDefault="0037114B"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Introduce AI-powered customer support and digital services.</w:t>
            </w:r>
          </w:p>
        </w:tc>
        <w:tc>
          <w:tcPr>
            <w:tcW w:w="3624" w:type="dxa"/>
          </w:tcPr>
          <w:p w14:paraId="3F7DBA5B" w14:textId="7A482549" w:rsidR="009B6EAF" w:rsidRPr="00687550" w:rsidRDefault="00687550" w:rsidP="00B223D6">
            <w:pPr>
              <w:pStyle w:val="NoSpacing"/>
              <w:spacing w:line="276" w:lineRule="auto"/>
            </w:pPr>
            <w:r w:rsidRPr="00687550">
              <w:rPr>
                <w:rFonts w:ascii="Arial" w:eastAsiaTheme="majorEastAsia" w:hAnsi="Arial" w:cs="Arial"/>
                <w:sz w:val="22"/>
                <w:szCs w:val="22"/>
              </w:rPr>
              <w:t>Net Promoter Score (NPS), Customer Satisfaction Score (CSAT) and complaint volumes.</w:t>
            </w:r>
          </w:p>
        </w:tc>
      </w:tr>
      <w:tr w:rsidR="009B6EAF" w14:paraId="4F673A91" w14:textId="77777777" w:rsidTr="00687550">
        <w:tc>
          <w:tcPr>
            <w:tcW w:w="3577" w:type="dxa"/>
          </w:tcPr>
          <w:p w14:paraId="0F33F9F3" w14:textId="77777777" w:rsidR="00687550" w:rsidRDefault="00687550" w:rsidP="00B223D6">
            <w:pPr>
              <w:pStyle w:val="NoSpacing"/>
              <w:spacing w:line="276" w:lineRule="auto"/>
              <w:rPr>
                <w:rFonts w:ascii="Arial" w:eastAsiaTheme="majorEastAsia" w:hAnsi="Arial" w:cs="Arial"/>
                <w:sz w:val="22"/>
                <w:szCs w:val="22"/>
              </w:rPr>
            </w:pPr>
          </w:p>
          <w:p w14:paraId="51F7D97B" w14:textId="7261061A" w:rsidR="009B6EAF" w:rsidRPr="00687550" w:rsidRDefault="001D097A"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Increase customer retention</w:t>
            </w:r>
          </w:p>
        </w:tc>
        <w:tc>
          <w:tcPr>
            <w:tcW w:w="3005" w:type="dxa"/>
          </w:tcPr>
          <w:p w14:paraId="2C5F15A8" w14:textId="3B2A4318" w:rsidR="009B6EAF" w:rsidRPr="00687550" w:rsidRDefault="0037114B"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Develop personalised broadband and mobile packages.</w:t>
            </w:r>
          </w:p>
        </w:tc>
        <w:tc>
          <w:tcPr>
            <w:tcW w:w="3624" w:type="dxa"/>
          </w:tcPr>
          <w:p w14:paraId="56CE9CEE" w14:textId="519E7DBA" w:rsidR="009B6EAF" w:rsidRPr="00687550" w:rsidRDefault="00687550"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Customer retention rate and monthly churn rate.</w:t>
            </w:r>
          </w:p>
        </w:tc>
      </w:tr>
      <w:tr w:rsidR="001D097A" w14:paraId="0F4DF8EB" w14:textId="77777777" w:rsidTr="00687550">
        <w:tc>
          <w:tcPr>
            <w:tcW w:w="3577" w:type="dxa"/>
          </w:tcPr>
          <w:p w14:paraId="5EBBA7B6" w14:textId="77777777" w:rsidR="00687550" w:rsidRDefault="00687550" w:rsidP="00B223D6">
            <w:pPr>
              <w:pStyle w:val="NoSpacing"/>
              <w:spacing w:line="276" w:lineRule="auto"/>
              <w:rPr>
                <w:rFonts w:ascii="Arial" w:eastAsiaTheme="majorEastAsia" w:hAnsi="Arial" w:cs="Arial"/>
                <w:sz w:val="22"/>
                <w:szCs w:val="22"/>
              </w:rPr>
            </w:pPr>
          </w:p>
          <w:p w14:paraId="034DCE3A" w14:textId="5808A556" w:rsidR="001D097A" w:rsidRPr="00687550" w:rsidRDefault="0037114B" w:rsidP="00B223D6">
            <w:pPr>
              <w:pStyle w:val="NoSpacing"/>
              <w:spacing w:line="276" w:lineRule="auto"/>
              <w:rPr>
                <w:rFonts w:ascii="Arial" w:eastAsiaTheme="majorEastAsia" w:hAnsi="Arial" w:cs="Arial"/>
                <w:sz w:val="22"/>
                <w:szCs w:val="22"/>
              </w:rPr>
            </w:pPr>
            <w:r w:rsidRPr="00687550">
              <w:rPr>
                <w:rFonts w:ascii="Arial" w:eastAsiaTheme="majorEastAsia" w:hAnsi="Arial" w:cs="Arial"/>
                <w:sz w:val="22"/>
                <w:szCs w:val="22"/>
              </w:rPr>
              <w:t>Improve financial performance</w:t>
            </w:r>
          </w:p>
        </w:tc>
        <w:tc>
          <w:tcPr>
            <w:tcW w:w="3005" w:type="dxa"/>
          </w:tcPr>
          <w:p w14:paraId="5AED48DB" w14:textId="3FC93B99" w:rsidR="001D097A" w:rsidRPr="00687550" w:rsidRDefault="00687550"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Deliver merger synergies and increase digital service revenue.</w:t>
            </w:r>
          </w:p>
        </w:tc>
        <w:tc>
          <w:tcPr>
            <w:tcW w:w="3624" w:type="dxa"/>
          </w:tcPr>
          <w:p w14:paraId="5C10E5D5" w14:textId="5E6F0344" w:rsidR="001D097A" w:rsidRPr="00687550" w:rsidRDefault="00687550" w:rsidP="00B223D6">
            <w:pPr>
              <w:pStyle w:val="NoSpacing"/>
              <w:spacing w:line="276" w:lineRule="auto"/>
              <w:rPr>
                <w:rStyle w:val="Heading1Char"/>
                <w:rFonts w:ascii="Arial" w:hAnsi="Arial" w:cs="Arial"/>
                <w:color w:val="auto"/>
                <w:sz w:val="22"/>
                <w:szCs w:val="22"/>
              </w:rPr>
            </w:pPr>
            <w:r w:rsidRPr="00687550">
              <w:rPr>
                <w:rFonts w:ascii="Arial" w:eastAsiaTheme="majorEastAsia" w:hAnsi="Arial" w:cs="Arial"/>
                <w:sz w:val="22"/>
                <w:szCs w:val="22"/>
              </w:rPr>
              <w:t>Service revenue growth, EBITDA and Return on Investment (ROI).</w:t>
            </w:r>
          </w:p>
        </w:tc>
      </w:tr>
    </w:tbl>
    <w:p w14:paraId="7B356DDE" w14:textId="77777777" w:rsidR="005A0419" w:rsidRDefault="00B11A12" w:rsidP="00B223D6">
      <w:pPr>
        <w:pStyle w:val="NoSpacing"/>
        <w:spacing w:line="276" w:lineRule="auto"/>
        <w:rPr>
          <w:rFonts w:ascii="Arial" w:eastAsiaTheme="majorEastAsia" w:hAnsi="Arial" w:cs="Arial"/>
          <w:b/>
          <w:bCs/>
          <w:sz w:val="22"/>
          <w:szCs w:val="22"/>
        </w:rPr>
      </w:pP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005A0419" w:rsidRPr="005A0419">
        <w:rPr>
          <w:rFonts w:ascii="Arial" w:eastAsiaTheme="majorEastAsia" w:hAnsi="Arial" w:cs="Arial"/>
          <w:b/>
          <w:bCs/>
          <w:sz w:val="22"/>
          <w:szCs w:val="22"/>
        </w:rPr>
        <w:t>Source: Author's own compilation based on Johnson et al. (2020), Vodafone Group Plc (2025) and Ofcom (2025).</w:t>
      </w:r>
    </w:p>
    <w:p w14:paraId="597751D7" w14:textId="77777777" w:rsidR="005A0419" w:rsidRDefault="005A0419" w:rsidP="00B223D6">
      <w:pPr>
        <w:pStyle w:val="NoSpacing"/>
        <w:spacing w:line="276" w:lineRule="auto"/>
        <w:rPr>
          <w:rFonts w:ascii="Arial" w:eastAsiaTheme="majorEastAsia" w:hAnsi="Arial" w:cs="Arial"/>
          <w:b/>
          <w:bCs/>
          <w:sz w:val="22"/>
          <w:szCs w:val="22"/>
        </w:rPr>
      </w:pPr>
    </w:p>
    <w:p w14:paraId="4E50DE5F" w14:textId="77777777" w:rsidR="005A0419" w:rsidRPr="005A0419" w:rsidRDefault="005A0419" w:rsidP="00B223D6">
      <w:pPr>
        <w:pStyle w:val="NoSpacing"/>
        <w:spacing w:line="276" w:lineRule="auto"/>
        <w:rPr>
          <w:rFonts w:ascii="Arial" w:eastAsiaTheme="majorEastAsia" w:hAnsi="Arial" w:cs="Arial"/>
          <w:sz w:val="22"/>
          <w:szCs w:val="22"/>
        </w:rPr>
      </w:pPr>
      <w:r w:rsidRPr="005A0419">
        <w:rPr>
          <w:rFonts w:ascii="Arial" w:eastAsiaTheme="majorEastAsia" w:hAnsi="Arial" w:cs="Arial"/>
          <w:sz w:val="22"/>
          <w:szCs w:val="22"/>
        </w:rPr>
        <w:t>Table 3 demonstrates how clearly defined KPIs enable management to monitor operational and financial performance while assessing progress towards strategic objectives.</w:t>
      </w:r>
    </w:p>
    <w:p w14:paraId="0F6FD3BB" w14:textId="53E1E5F8" w:rsidR="005A0419" w:rsidRDefault="005A0419" w:rsidP="00B223D6">
      <w:pPr>
        <w:pStyle w:val="NoSpacing"/>
        <w:spacing w:line="276" w:lineRule="auto"/>
        <w:rPr>
          <w:rFonts w:ascii="Arial" w:eastAsiaTheme="majorEastAsia" w:hAnsi="Arial" w:cs="Arial"/>
          <w:sz w:val="22"/>
          <w:szCs w:val="22"/>
        </w:rPr>
      </w:pPr>
      <w:r w:rsidRPr="005A0419">
        <w:rPr>
          <w:rFonts w:ascii="Arial" w:eastAsiaTheme="majorEastAsia" w:hAnsi="Arial" w:cs="Arial"/>
          <w:sz w:val="22"/>
          <w:szCs w:val="22"/>
        </w:rPr>
        <w:t>Performance should be reviewed quarterly by senior management to ensure objectives remain on track and emerging issues are addressed promptly. Where performance falls below agreed targets, corrective actions</w:t>
      </w:r>
      <w:r>
        <w:rPr>
          <w:rFonts w:ascii="Arial" w:eastAsiaTheme="majorEastAsia" w:hAnsi="Arial" w:cs="Arial"/>
          <w:sz w:val="22"/>
          <w:szCs w:val="22"/>
        </w:rPr>
        <w:t xml:space="preserve">, </w:t>
      </w:r>
      <w:r w:rsidRPr="005A0419">
        <w:rPr>
          <w:rFonts w:ascii="Arial" w:eastAsiaTheme="majorEastAsia" w:hAnsi="Arial" w:cs="Arial"/>
          <w:sz w:val="22"/>
          <w:szCs w:val="22"/>
        </w:rPr>
        <w:t>such as additional investment, operational improvements or enhanced stakeholder engagement</w:t>
      </w:r>
      <w:r>
        <w:rPr>
          <w:rFonts w:ascii="Arial" w:eastAsiaTheme="majorEastAsia" w:hAnsi="Arial" w:cs="Arial"/>
          <w:sz w:val="22"/>
          <w:szCs w:val="22"/>
        </w:rPr>
        <w:t xml:space="preserve">, </w:t>
      </w:r>
      <w:r w:rsidRPr="005A0419">
        <w:rPr>
          <w:rFonts w:ascii="Arial" w:eastAsiaTheme="majorEastAsia" w:hAnsi="Arial" w:cs="Arial"/>
          <w:sz w:val="22"/>
          <w:szCs w:val="22"/>
        </w:rPr>
        <w:t xml:space="preserve">should be implemented without delay. </w:t>
      </w:r>
      <w:r w:rsidRPr="005A0419">
        <w:rPr>
          <w:rFonts w:ascii="Arial" w:eastAsiaTheme="majorEastAsia" w:hAnsi="Arial" w:cs="Arial"/>
          <w:sz w:val="22"/>
          <w:szCs w:val="22"/>
        </w:rPr>
        <w:lastRenderedPageBreak/>
        <w:t xml:space="preserve">Alongside performance monitoring, </w:t>
      </w:r>
      <w:proofErr w:type="spellStart"/>
      <w:r w:rsidRPr="005A0419">
        <w:rPr>
          <w:rFonts w:ascii="Arial" w:eastAsiaTheme="majorEastAsia" w:hAnsi="Arial" w:cs="Arial"/>
          <w:sz w:val="22"/>
          <w:szCs w:val="22"/>
        </w:rPr>
        <w:t>VodafoneThree</w:t>
      </w:r>
      <w:proofErr w:type="spellEnd"/>
      <w:r w:rsidRPr="005A0419">
        <w:rPr>
          <w:rFonts w:ascii="Arial" w:eastAsiaTheme="majorEastAsia" w:hAnsi="Arial" w:cs="Arial"/>
          <w:sz w:val="22"/>
          <w:szCs w:val="22"/>
        </w:rPr>
        <w:t xml:space="preserve"> should continually evaluate regulatory developments, cybersecurity risks, technological advances and competitor activity to ensure the strategy remains effective within a rapidly evolving market environment. A structured implementation programme supported by measurable KPIs and regular strategic reviews will help </w:t>
      </w:r>
      <w:proofErr w:type="spellStart"/>
      <w:r w:rsidRPr="005A0419">
        <w:rPr>
          <w:rFonts w:ascii="Arial" w:eastAsiaTheme="majorEastAsia" w:hAnsi="Arial" w:cs="Arial"/>
          <w:sz w:val="22"/>
          <w:szCs w:val="22"/>
        </w:rPr>
        <w:t>VodafoneThree</w:t>
      </w:r>
      <w:proofErr w:type="spellEnd"/>
      <w:r w:rsidRPr="005A0419">
        <w:rPr>
          <w:rFonts w:ascii="Arial" w:eastAsiaTheme="majorEastAsia" w:hAnsi="Arial" w:cs="Arial"/>
          <w:sz w:val="22"/>
          <w:szCs w:val="22"/>
        </w:rPr>
        <w:t xml:space="preserve"> maintain organisational focus, respond effectively to emerging challenges and strengthen its long-term competitive position.</w:t>
      </w:r>
    </w:p>
    <w:p w14:paraId="3A06AE48" w14:textId="77777777" w:rsidR="00A76F41" w:rsidRDefault="00A76F41" w:rsidP="00B223D6">
      <w:pPr>
        <w:pStyle w:val="NoSpacing"/>
        <w:spacing w:line="276" w:lineRule="auto"/>
        <w:rPr>
          <w:rFonts w:ascii="Arial" w:eastAsiaTheme="majorEastAsia" w:hAnsi="Arial" w:cs="Arial"/>
          <w:sz w:val="22"/>
          <w:szCs w:val="22"/>
        </w:rPr>
      </w:pPr>
    </w:p>
    <w:p w14:paraId="444B41D6" w14:textId="5CC86965" w:rsidR="00A76F41" w:rsidRDefault="00A76F41" w:rsidP="00B223D6">
      <w:pPr>
        <w:pStyle w:val="Heading1"/>
        <w:spacing w:line="276" w:lineRule="auto"/>
        <w:rPr>
          <w:rFonts w:ascii="Arial" w:hAnsi="Arial" w:cs="Arial"/>
          <w:b/>
          <w:bCs/>
          <w:color w:val="auto"/>
          <w:sz w:val="22"/>
          <w:szCs w:val="22"/>
        </w:rPr>
      </w:pPr>
      <w:bookmarkStart w:id="25" w:name="_Toc234863745"/>
      <w:r w:rsidRPr="00A76F41">
        <w:rPr>
          <w:rFonts w:ascii="Arial" w:hAnsi="Arial" w:cs="Arial"/>
          <w:b/>
          <w:bCs/>
          <w:color w:val="auto"/>
          <w:sz w:val="22"/>
          <w:szCs w:val="22"/>
        </w:rPr>
        <w:t>7. Conclusion</w:t>
      </w:r>
      <w:bookmarkEnd w:id="25"/>
    </w:p>
    <w:p w14:paraId="3AD8D0DE" w14:textId="77777777" w:rsidR="00A76F41" w:rsidRDefault="00A76F41" w:rsidP="00B223D6">
      <w:pPr>
        <w:spacing w:line="276" w:lineRule="auto"/>
      </w:pPr>
    </w:p>
    <w:p w14:paraId="2113F172" w14:textId="77777777" w:rsidR="00FB2B8F" w:rsidRPr="00FB2B8F" w:rsidRDefault="00FB2B8F" w:rsidP="00B223D6">
      <w:pPr>
        <w:spacing w:line="276" w:lineRule="auto"/>
        <w:rPr>
          <w:rFonts w:ascii="Arial" w:hAnsi="Arial" w:cs="Arial"/>
          <w:sz w:val="22"/>
          <w:szCs w:val="22"/>
        </w:rPr>
      </w:pPr>
      <w:r w:rsidRPr="00FB2B8F">
        <w:rPr>
          <w:rFonts w:ascii="Arial" w:hAnsi="Arial" w:cs="Arial"/>
          <w:sz w:val="22"/>
          <w:szCs w:val="22"/>
        </w:rPr>
        <w:t xml:space="preserve">This report has critically evaluated </w:t>
      </w:r>
      <w:proofErr w:type="spellStart"/>
      <w:r w:rsidRPr="00FB2B8F">
        <w:rPr>
          <w:rFonts w:ascii="Arial" w:hAnsi="Arial" w:cs="Arial"/>
          <w:sz w:val="22"/>
          <w:szCs w:val="22"/>
        </w:rPr>
        <w:t>VodafoneThree's</w:t>
      </w:r>
      <w:proofErr w:type="spellEnd"/>
      <w:r w:rsidRPr="00FB2B8F">
        <w:rPr>
          <w:rFonts w:ascii="Arial" w:hAnsi="Arial" w:cs="Arial"/>
          <w:sz w:val="22"/>
          <w:szCs w:val="22"/>
        </w:rPr>
        <w:t xml:space="preserve"> strategic position following the merger of Vodafone UK and Three UK using recognised strategic management frameworks, including PESTEL, Porter's Five Forces, SWOT Analysis, Ansoff's Matrix and the Suitability, Feasibility and Acceptability (SFA) framework. The analysis demonstrates that, although the merger has strengthened </w:t>
      </w:r>
      <w:proofErr w:type="spellStart"/>
      <w:r w:rsidRPr="00FB2B8F">
        <w:rPr>
          <w:rFonts w:ascii="Arial" w:hAnsi="Arial" w:cs="Arial"/>
          <w:sz w:val="22"/>
          <w:szCs w:val="22"/>
        </w:rPr>
        <w:t>VodafoneThree's</w:t>
      </w:r>
      <w:proofErr w:type="spellEnd"/>
      <w:r w:rsidRPr="00FB2B8F">
        <w:rPr>
          <w:rFonts w:ascii="Arial" w:hAnsi="Arial" w:cs="Arial"/>
          <w:sz w:val="22"/>
          <w:szCs w:val="22"/>
        </w:rPr>
        <w:t xml:space="preserve"> market position through increased scale, enhanced network capability and significant investment in standalone 5G infrastructure, the organisation continues to operate within a highly competitive and tightly regulated environment.</w:t>
      </w:r>
    </w:p>
    <w:p w14:paraId="15226FD1" w14:textId="77777777" w:rsidR="00FB2B8F" w:rsidRPr="00FB2B8F" w:rsidRDefault="00FB2B8F" w:rsidP="00B223D6">
      <w:pPr>
        <w:spacing w:line="276" w:lineRule="auto"/>
        <w:rPr>
          <w:rFonts w:ascii="Arial" w:hAnsi="Arial" w:cs="Arial"/>
          <w:sz w:val="22"/>
          <w:szCs w:val="22"/>
        </w:rPr>
      </w:pPr>
      <w:r w:rsidRPr="00FB2B8F">
        <w:rPr>
          <w:rFonts w:ascii="Arial" w:hAnsi="Arial" w:cs="Arial"/>
          <w:sz w:val="22"/>
          <w:szCs w:val="22"/>
        </w:rPr>
        <w:t xml:space="preserve">The evaluation concludes that a differentiation-led product development strategy represents the most appropriate approach for achieving sustainable long-term growth. Earlier analysis identified significant opportunities in digital connectivity, Artificial Intelligence (AI), Internet of Things (IoT) services and customer-focused innovation, all of which align closely with </w:t>
      </w:r>
      <w:proofErr w:type="spellStart"/>
      <w:r w:rsidRPr="00FB2B8F">
        <w:rPr>
          <w:rFonts w:ascii="Arial" w:hAnsi="Arial" w:cs="Arial"/>
          <w:sz w:val="22"/>
          <w:szCs w:val="22"/>
        </w:rPr>
        <w:t>VodafoneThree's</w:t>
      </w:r>
      <w:proofErr w:type="spellEnd"/>
      <w:r w:rsidRPr="00FB2B8F">
        <w:rPr>
          <w:rFonts w:ascii="Arial" w:hAnsi="Arial" w:cs="Arial"/>
          <w:sz w:val="22"/>
          <w:szCs w:val="22"/>
        </w:rPr>
        <w:t xml:space="preserve"> strategic capabilities following the merger. By continuing to invest in network infrastructure, digital innovation and enhanced customer experiences, </w:t>
      </w:r>
      <w:proofErr w:type="spellStart"/>
      <w:r w:rsidRPr="00FB2B8F">
        <w:rPr>
          <w:rFonts w:ascii="Arial" w:hAnsi="Arial" w:cs="Arial"/>
          <w:sz w:val="22"/>
          <w:szCs w:val="22"/>
        </w:rPr>
        <w:t>VodafoneThree</w:t>
      </w:r>
      <w:proofErr w:type="spellEnd"/>
      <w:r w:rsidRPr="00FB2B8F">
        <w:rPr>
          <w:rFonts w:ascii="Arial" w:hAnsi="Arial" w:cs="Arial"/>
          <w:sz w:val="22"/>
          <w:szCs w:val="22"/>
        </w:rPr>
        <w:t xml:space="preserve"> can strengthen its competitive advantage while creating long-term value for customers, shareholders and the wider UK economy.</w:t>
      </w:r>
    </w:p>
    <w:p w14:paraId="47F4D088" w14:textId="77777777" w:rsidR="00A76F41" w:rsidRPr="00A76F41" w:rsidRDefault="00A76F41" w:rsidP="00B223D6">
      <w:pPr>
        <w:spacing w:line="276" w:lineRule="auto"/>
      </w:pPr>
    </w:p>
    <w:p w14:paraId="4353BF1F" w14:textId="7BF4D91E" w:rsidR="00B90274" w:rsidRPr="00775CEF" w:rsidRDefault="00B11A12" w:rsidP="00B223D6">
      <w:pPr>
        <w:pStyle w:val="NoSpacing"/>
        <w:spacing w:line="276" w:lineRule="auto"/>
        <w:rPr>
          <w:rFonts w:ascii="Arial" w:hAnsi="Arial" w:cs="Arial"/>
          <w:sz w:val="22"/>
          <w:szCs w:val="22"/>
        </w:rPr>
      </w:pP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r w:rsidRPr="00775CEF">
        <w:rPr>
          <w:rStyle w:val="Heading1Char"/>
          <w:rFonts w:ascii="Arial" w:hAnsi="Arial" w:cs="Arial"/>
          <w:b/>
          <w:bCs/>
          <w:color w:val="auto"/>
          <w:sz w:val="22"/>
          <w:szCs w:val="22"/>
        </w:rPr>
        <w:br/>
      </w:r>
      <w:bookmarkStart w:id="26" w:name="_Toc234859326"/>
      <w:bookmarkStart w:id="27" w:name="_Toc234860225"/>
      <w:r w:rsidR="00F255AA">
        <w:rPr>
          <w:rStyle w:val="Heading1Char"/>
          <w:rFonts w:ascii="Arial" w:hAnsi="Arial" w:cs="Arial"/>
          <w:b/>
          <w:bCs/>
          <w:color w:val="auto"/>
          <w:sz w:val="22"/>
          <w:szCs w:val="22"/>
        </w:rPr>
        <w:br/>
      </w:r>
      <w:r w:rsidR="00F255AA">
        <w:rPr>
          <w:rStyle w:val="Heading1Char"/>
          <w:rFonts w:ascii="Arial" w:hAnsi="Arial" w:cs="Arial"/>
          <w:b/>
          <w:bCs/>
          <w:color w:val="auto"/>
          <w:sz w:val="22"/>
          <w:szCs w:val="22"/>
        </w:rPr>
        <w:br/>
      </w:r>
      <w:r w:rsidR="00F255AA">
        <w:rPr>
          <w:rStyle w:val="Heading1Char"/>
          <w:rFonts w:ascii="Arial" w:hAnsi="Arial" w:cs="Arial"/>
          <w:b/>
          <w:bCs/>
          <w:color w:val="auto"/>
          <w:sz w:val="22"/>
          <w:szCs w:val="22"/>
        </w:rPr>
        <w:lastRenderedPageBreak/>
        <w:br/>
      </w:r>
      <w:r w:rsidR="00F255AA">
        <w:rPr>
          <w:rStyle w:val="Heading1Char"/>
          <w:rFonts w:ascii="Arial" w:hAnsi="Arial" w:cs="Arial"/>
          <w:b/>
          <w:bCs/>
          <w:color w:val="auto"/>
          <w:sz w:val="22"/>
          <w:szCs w:val="22"/>
        </w:rPr>
        <w:br/>
      </w:r>
      <w:r w:rsidR="00F255AA">
        <w:rPr>
          <w:rStyle w:val="Heading1Char"/>
          <w:rFonts w:ascii="Arial" w:hAnsi="Arial" w:cs="Arial"/>
          <w:b/>
          <w:bCs/>
          <w:color w:val="auto"/>
          <w:sz w:val="22"/>
          <w:szCs w:val="22"/>
        </w:rPr>
        <w:br/>
      </w:r>
      <w:r w:rsidR="00F255AA">
        <w:rPr>
          <w:rStyle w:val="Heading1Char"/>
          <w:rFonts w:ascii="Arial" w:hAnsi="Arial" w:cs="Arial"/>
          <w:b/>
          <w:bCs/>
          <w:color w:val="auto"/>
          <w:sz w:val="22"/>
          <w:szCs w:val="22"/>
        </w:rPr>
        <w:br/>
      </w:r>
      <w:r w:rsidR="00F255AA">
        <w:rPr>
          <w:rStyle w:val="Heading1Char"/>
          <w:rFonts w:ascii="Arial" w:hAnsi="Arial" w:cs="Arial"/>
          <w:b/>
          <w:bCs/>
          <w:color w:val="auto"/>
          <w:sz w:val="22"/>
          <w:szCs w:val="22"/>
        </w:rPr>
        <w:br/>
      </w:r>
      <w:r w:rsidR="00F255AA">
        <w:rPr>
          <w:rStyle w:val="Heading1Char"/>
          <w:rFonts w:ascii="Arial" w:hAnsi="Arial" w:cs="Arial"/>
          <w:b/>
          <w:bCs/>
          <w:color w:val="auto"/>
          <w:sz w:val="22"/>
          <w:szCs w:val="22"/>
        </w:rPr>
        <w:br/>
      </w:r>
      <w:r w:rsidR="00CA7E69">
        <w:rPr>
          <w:rStyle w:val="Heading1Char"/>
          <w:rFonts w:ascii="Arial" w:hAnsi="Arial" w:cs="Arial"/>
          <w:b/>
          <w:bCs/>
          <w:color w:val="auto"/>
          <w:sz w:val="22"/>
          <w:szCs w:val="22"/>
        </w:rPr>
        <w:br/>
      </w:r>
      <w:r w:rsidR="00CA7E69">
        <w:rPr>
          <w:rStyle w:val="Heading1Char"/>
          <w:rFonts w:ascii="Arial" w:hAnsi="Arial" w:cs="Arial"/>
          <w:b/>
          <w:bCs/>
          <w:color w:val="auto"/>
          <w:sz w:val="22"/>
          <w:szCs w:val="22"/>
        </w:rPr>
        <w:br/>
      </w:r>
      <w:bookmarkEnd w:id="24"/>
      <w:bookmarkEnd w:id="26"/>
      <w:bookmarkEnd w:id="27"/>
      <w:r w:rsidR="00614385" w:rsidRPr="00614385">
        <w:rPr>
          <w:rFonts w:ascii="Arial" w:eastAsiaTheme="majorEastAsia" w:hAnsi="Arial" w:cs="Arial"/>
          <w:b/>
          <w:bCs/>
          <w:sz w:val="22"/>
          <w:szCs w:val="22"/>
        </w:rPr>
        <w:t>Reference List</w:t>
      </w:r>
      <w:r w:rsidR="00CA7E69">
        <w:rPr>
          <w:rStyle w:val="Heading1Char"/>
          <w:rFonts w:ascii="Arial" w:hAnsi="Arial" w:cs="Arial"/>
          <w:b/>
          <w:bCs/>
          <w:color w:val="auto"/>
          <w:sz w:val="22"/>
          <w:szCs w:val="22"/>
        </w:rPr>
        <w:br/>
      </w:r>
      <w:r w:rsidR="00B90274" w:rsidRPr="00775CEF">
        <w:rPr>
          <w:rFonts w:ascii="Arial" w:hAnsi="Arial" w:cs="Arial"/>
          <w:sz w:val="22"/>
          <w:szCs w:val="22"/>
        </w:rPr>
        <w:br/>
        <w:t xml:space="preserve">Ansoff, H.I. (1957) ‘Strategies for diversification’, </w:t>
      </w:r>
      <w:r w:rsidR="00B90274" w:rsidRPr="00775CEF">
        <w:rPr>
          <w:rFonts w:ascii="Arial" w:hAnsi="Arial" w:cs="Arial"/>
          <w:i/>
          <w:iCs/>
          <w:sz w:val="22"/>
          <w:szCs w:val="22"/>
        </w:rPr>
        <w:t>Harvard Business Review</w:t>
      </w:r>
      <w:r w:rsidR="00B90274" w:rsidRPr="00775CEF">
        <w:rPr>
          <w:rFonts w:ascii="Arial" w:hAnsi="Arial" w:cs="Arial"/>
          <w:sz w:val="22"/>
          <w:szCs w:val="22"/>
        </w:rPr>
        <w:t>, 35(5), pp. 113–124.</w:t>
      </w:r>
    </w:p>
    <w:p w14:paraId="7ED7E6F8" w14:textId="77777777"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Barney, J.B. (1991) ‘Firm resources and sustained competitive advantage’, </w:t>
      </w:r>
      <w:r w:rsidRPr="00775CEF">
        <w:rPr>
          <w:rFonts w:ascii="Arial" w:hAnsi="Arial" w:cs="Arial"/>
          <w:i/>
          <w:iCs/>
          <w:sz w:val="22"/>
          <w:szCs w:val="22"/>
        </w:rPr>
        <w:t>Journal of Management</w:t>
      </w:r>
      <w:r w:rsidRPr="00775CEF">
        <w:rPr>
          <w:rFonts w:ascii="Arial" w:hAnsi="Arial" w:cs="Arial"/>
          <w:sz w:val="22"/>
          <w:szCs w:val="22"/>
        </w:rPr>
        <w:t>, 17(1), pp. 99–120.</w:t>
      </w:r>
    </w:p>
    <w:p w14:paraId="1E05BE9D" w14:textId="77777777" w:rsidR="00177EFE" w:rsidRPr="00775CEF" w:rsidRDefault="00177EFE" w:rsidP="00B223D6">
      <w:pPr>
        <w:pStyle w:val="NoSpacing"/>
        <w:spacing w:line="276" w:lineRule="auto"/>
        <w:rPr>
          <w:rFonts w:ascii="Arial" w:hAnsi="Arial" w:cs="Arial"/>
          <w:sz w:val="22"/>
          <w:szCs w:val="22"/>
        </w:rPr>
      </w:pPr>
      <w:r w:rsidRPr="00775CEF">
        <w:rPr>
          <w:rFonts w:ascii="Arial" w:hAnsi="Arial" w:cs="Arial"/>
          <w:sz w:val="22"/>
          <w:szCs w:val="22"/>
        </w:rPr>
        <w:t>Competition and Markets Authority (2025) Vodafone UK and Three UK merger inquiry. Available at: https://www.gov.uk/cma-cases/vodafone-slash-three-merger-inquiry (Accessed: 10 July 2026).</w:t>
      </w:r>
    </w:p>
    <w:p w14:paraId="4AB40CF0" w14:textId="7B7D1B7E" w:rsidR="00B90274" w:rsidRPr="00775CEF" w:rsidRDefault="00177EFE" w:rsidP="00B223D6">
      <w:pPr>
        <w:pStyle w:val="NoSpacing"/>
        <w:spacing w:line="276" w:lineRule="auto"/>
        <w:rPr>
          <w:rFonts w:ascii="Arial" w:hAnsi="Arial" w:cs="Arial"/>
          <w:sz w:val="22"/>
          <w:szCs w:val="22"/>
        </w:rPr>
      </w:pPr>
      <w:r w:rsidRPr="00775CEF">
        <w:rPr>
          <w:rFonts w:ascii="Arial" w:hAnsi="Arial" w:cs="Arial"/>
          <w:sz w:val="22"/>
          <w:szCs w:val="22"/>
        </w:rPr>
        <w:t xml:space="preserve">Freeman, R.E. (1984) Strategic Management: A Stakeholder Approach. Boston: </w:t>
      </w:r>
      <w:r w:rsidR="00BF1037" w:rsidRPr="00775CEF">
        <w:rPr>
          <w:rFonts w:ascii="Arial" w:hAnsi="Arial" w:cs="Arial"/>
          <w:sz w:val="22"/>
          <w:szCs w:val="22"/>
        </w:rPr>
        <w:t xml:space="preserve">Pitman. </w:t>
      </w:r>
      <w:r w:rsidR="00750D16" w:rsidRPr="00775CEF">
        <w:rPr>
          <w:rFonts w:ascii="Arial" w:hAnsi="Arial" w:cs="Arial"/>
          <w:sz w:val="22"/>
          <w:szCs w:val="22"/>
        </w:rPr>
        <w:br/>
      </w:r>
      <w:r w:rsidR="00750D16" w:rsidRPr="00775CEF">
        <w:rPr>
          <w:rFonts w:ascii="Arial" w:hAnsi="Arial" w:cs="Arial"/>
          <w:sz w:val="22"/>
          <w:szCs w:val="22"/>
        </w:rPr>
        <w:br/>
      </w:r>
      <w:r w:rsidR="00BF1037" w:rsidRPr="00775CEF">
        <w:rPr>
          <w:rFonts w:ascii="Arial" w:hAnsi="Arial" w:cs="Arial"/>
          <w:sz w:val="22"/>
          <w:szCs w:val="22"/>
        </w:rPr>
        <w:t>Information</w:t>
      </w:r>
      <w:r w:rsidR="00B90274" w:rsidRPr="00775CEF">
        <w:rPr>
          <w:rFonts w:ascii="Arial" w:hAnsi="Arial" w:cs="Arial"/>
          <w:sz w:val="22"/>
          <w:szCs w:val="22"/>
        </w:rPr>
        <w:t xml:space="preserve"> Commissioner's Office (2025) </w:t>
      </w:r>
      <w:r w:rsidR="00B90274" w:rsidRPr="00775CEF">
        <w:rPr>
          <w:rFonts w:ascii="Arial" w:hAnsi="Arial" w:cs="Arial"/>
          <w:i/>
          <w:iCs/>
          <w:sz w:val="22"/>
          <w:szCs w:val="22"/>
        </w:rPr>
        <w:t>Guide to the UK General Data Protection Regulation (UK GDPR).</w:t>
      </w:r>
      <w:r w:rsidR="00B90274" w:rsidRPr="00775CEF">
        <w:rPr>
          <w:rFonts w:ascii="Arial" w:hAnsi="Arial" w:cs="Arial"/>
          <w:sz w:val="22"/>
          <w:szCs w:val="22"/>
        </w:rPr>
        <w:t xml:space="preserve"> Available at: </w:t>
      </w:r>
      <w:hyperlink r:id="rId6" w:tgtFrame="_new" w:history="1">
        <w:r w:rsidR="00B90274" w:rsidRPr="00775CEF">
          <w:rPr>
            <w:rStyle w:val="Hyperlink"/>
            <w:rFonts w:ascii="Arial" w:hAnsi="Arial" w:cs="Arial"/>
            <w:color w:val="auto"/>
            <w:sz w:val="22"/>
            <w:szCs w:val="22"/>
          </w:rPr>
          <w:t>https://ico.org.uk/for-organisations/uk-gdpr-guidance-and-resources/</w:t>
        </w:r>
      </w:hyperlink>
      <w:r w:rsidR="00B90274" w:rsidRPr="00775CEF">
        <w:rPr>
          <w:rFonts w:ascii="Arial" w:hAnsi="Arial" w:cs="Arial"/>
          <w:sz w:val="22"/>
          <w:szCs w:val="22"/>
        </w:rPr>
        <w:t xml:space="preserve"> (Accessed: </w:t>
      </w:r>
      <w:r w:rsidR="00B60BEC" w:rsidRPr="00775CEF">
        <w:rPr>
          <w:rFonts w:ascii="Arial" w:hAnsi="Arial" w:cs="Arial"/>
          <w:sz w:val="22"/>
          <w:szCs w:val="22"/>
        </w:rPr>
        <w:t>9</w:t>
      </w:r>
      <w:r w:rsidR="00B90274" w:rsidRPr="00775CEF">
        <w:rPr>
          <w:rFonts w:ascii="Arial" w:hAnsi="Arial" w:cs="Arial"/>
          <w:sz w:val="22"/>
          <w:szCs w:val="22"/>
        </w:rPr>
        <w:t xml:space="preserve"> July 2026).</w:t>
      </w:r>
    </w:p>
    <w:p w14:paraId="786142AD" w14:textId="77777777"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Johnson, G., Scholes, K., Whittington, R., Angwin, D. and </w:t>
      </w:r>
      <w:proofErr w:type="spellStart"/>
      <w:r w:rsidRPr="00775CEF">
        <w:rPr>
          <w:rFonts w:ascii="Arial" w:hAnsi="Arial" w:cs="Arial"/>
          <w:sz w:val="22"/>
          <w:szCs w:val="22"/>
        </w:rPr>
        <w:t>Regnér</w:t>
      </w:r>
      <w:proofErr w:type="spellEnd"/>
      <w:r w:rsidRPr="00775CEF">
        <w:rPr>
          <w:rFonts w:ascii="Arial" w:hAnsi="Arial" w:cs="Arial"/>
          <w:sz w:val="22"/>
          <w:szCs w:val="22"/>
        </w:rPr>
        <w:t xml:space="preserve">, P. (2020) </w:t>
      </w:r>
      <w:r w:rsidRPr="00775CEF">
        <w:rPr>
          <w:rFonts w:ascii="Arial" w:hAnsi="Arial" w:cs="Arial"/>
          <w:i/>
          <w:iCs/>
          <w:sz w:val="22"/>
          <w:szCs w:val="22"/>
        </w:rPr>
        <w:t>Exploring Strategy</w:t>
      </w:r>
      <w:r w:rsidRPr="00775CEF">
        <w:rPr>
          <w:rFonts w:ascii="Arial" w:hAnsi="Arial" w:cs="Arial"/>
          <w:sz w:val="22"/>
          <w:szCs w:val="22"/>
        </w:rPr>
        <w:t xml:space="preserve">. 12th </w:t>
      </w:r>
      <w:proofErr w:type="spellStart"/>
      <w:r w:rsidRPr="00775CEF">
        <w:rPr>
          <w:rFonts w:ascii="Arial" w:hAnsi="Arial" w:cs="Arial"/>
          <w:sz w:val="22"/>
          <w:szCs w:val="22"/>
        </w:rPr>
        <w:t>edn</w:t>
      </w:r>
      <w:proofErr w:type="spellEnd"/>
      <w:r w:rsidRPr="00775CEF">
        <w:rPr>
          <w:rFonts w:ascii="Arial" w:hAnsi="Arial" w:cs="Arial"/>
          <w:sz w:val="22"/>
          <w:szCs w:val="22"/>
        </w:rPr>
        <w:t>. Harlow: Pearson.</w:t>
      </w:r>
    </w:p>
    <w:p w14:paraId="4647F1D7" w14:textId="77777777"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Ofcom (2025) </w:t>
      </w:r>
      <w:r w:rsidRPr="00775CEF">
        <w:rPr>
          <w:rFonts w:ascii="Arial" w:hAnsi="Arial" w:cs="Arial"/>
          <w:i/>
          <w:iCs/>
          <w:sz w:val="22"/>
          <w:szCs w:val="22"/>
        </w:rPr>
        <w:t>Connected Nations 2025</w:t>
      </w:r>
      <w:r w:rsidRPr="00775CEF">
        <w:rPr>
          <w:rFonts w:ascii="Arial" w:hAnsi="Arial" w:cs="Arial"/>
          <w:sz w:val="22"/>
          <w:szCs w:val="22"/>
        </w:rPr>
        <w:t>. Available at: https://www.ofcom.org.uk/research-and-data/multi-sector-research/infrastructure-research/connected-nations (Accessed: 10 July 2026).</w:t>
      </w:r>
    </w:p>
    <w:p w14:paraId="51159CD9" w14:textId="77777777"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Porter, M.E. (1980) </w:t>
      </w:r>
      <w:r w:rsidRPr="00775CEF">
        <w:rPr>
          <w:rFonts w:ascii="Arial" w:hAnsi="Arial" w:cs="Arial"/>
          <w:i/>
          <w:iCs/>
          <w:sz w:val="22"/>
          <w:szCs w:val="22"/>
        </w:rPr>
        <w:t>Competitive Strategy: Techniques for Analysing Industries and Competitors</w:t>
      </w:r>
      <w:r w:rsidRPr="00775CEF">
        <w:rPr>
          <w:rFonts w:ascii="Arial" w:hAnsi="Arial" w:cs="Arial"/>
          <w:sz w:val="22"/>
          <w:szCs w:val="22"/>
        </w:rPr>
        <w:t>. New York: Free Press.</w:t>
      </w:r>
    </w:p>
    <w:p w14:paraId="452EFF35" w14:textId="77777777"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Porter, M.E. (1985) </w:t>
      </w:r>
      <w:r w:rsidRPr="00775CEF">
        <w:rPr>
          <w:rFonts w:ascii="Arial" w:hAnsi="Arial" w:cs="Arial"/>
          <w:i/>
          <w:iCs/>
          <w:sz w:val="22"/>
          <w:szCs w:val="22"/>
        </w:rPr>
        <w:t>Competitive Advantage: Creating and Sustaining Superior Performance</w:t>
      </w:r>
      <w:r w:rsidRPr="00775CEF">
        <w:rPr>
          <w:rFonts w:ascii="Arial" w:hAnsi="Arial" w:cs="Arial"/>
          <w:sz w:val="22"/>
          <w:szCs w:val="22"/>
        </w:rPr>
        <w:t>. New York: Free Press.</w:t>
      </w:r>
    </w:p>
    <w:p w14:paraId="37016DF2" w14:textId="77777777"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Teece, D.J. (2018) ‘Business models and dynamic capabilities’, </w:t>
      </w:r>
      <w:r w:rsidRPr="00775CEF">
        <w:rPr>
          <w:rFonts w:ascii="Arial" w:hAnsi="Arial" w:cs="Arial"/>
          <w:i/>
          <w:iCs/>
          <w:sz w:val="22"/>
          <w:szCs w:val="22"/>
        </w:rPr>
        <w:t>Long Range Planning</w:t>
      </w:r>
      <w:r w:rsidRPr="00775CEF">
        <w:rPr>
          <w:rFonts w:ascii="Arial" w:hAnsi="Arial" w:cs="Arial"/>
          <w:sz w:val="22"/>
          <w:szCs w:val="22"/>
        </w:rPr>
        <w:t>, 51(1), pp. 40–49.</w:t>
      </w:r>
    </w:p>
    <w:p w14:paraId="4CE3A0A6" w14:textId="127829D5" w:rsidR="00B90274" w:rsidRPr="00775CEF" w:rsidRDefault="00B90274" w:rsidP="00B223D6">
      <w:pPr>
        <w:pStyle w:val="NoSpacing"/>
        <w:spacing w:line="276" w:lineRule="auto"/>
        <w:rPr>
          <w:rFonts w:ascii="Arial" w:hAnsi="Arial" w:cs="Arial"/>
          <w:sz w:val="22"/>
          <w:szCs w:val="22"/>
        </w:rPr>
      </w:pPr>
      <w:r w:rsidRPr="00775CEF">
        <w:rPr>
          <w:rFonts w:ascii="Arial" w:hAnsi="Arial" w:cs="Arial"/>
          <w:sz w:val="22"/>
          <w:szCs w:val="22"/>
        </w:rPr>
        <w:t xml:space="preserve">Vodafone Group Plc (2025) </w:t>
      </w:r>
      <w:r w:rsidRPr="00775CEF">
        <w:rPr>
          <w:rFonts w:ascii="Arial" w:hAnsi="Arial" w:cs="Arial"/>
          <w:i/>
          <w:iCs/>
          <w:sz w:val="22"/>
          <w:szCs w:val="22"/>
        </w:rPr>
        <w:t>Annual Report 2025</w:t>
      </w:r>
      <w:r w:rsidRPr="00775CEF">
        <w:rPr>
          <w:rFonts w:ascii="Arial" w:hAnsi="Arial" w:cs="Arial"/>
          <w:sz w:val="22"/>
          <w:szCs w:val="22"/>
        </w:rPr>
        <w:t xml:space="preserve">. Available at: </w:t>
      </w:r>
      <w:hyperlink r:id="rId7" w:history="1">
        <w:r w:rsidR="00C01D55" w:rsidRPr="00775CEF">
          <w:rPr>
            <w:rStyle w:val="Hyperlink"/>
            <w:rFonts w:ascii="Arial" w:hAnsi="Arial" w:cs="Arial"/>
            <w:color w:val="auto"/>
            <w:sz w:val="22"/>
            <w:szCs w:val="22"/>
          </w:rPr>
          <w:t>https://www.vodafone.com/investors/performance-and-reports/annual-reporting</w:t>
        </w:r>
      </w:hyperlink>
      <w:r w:rsidRPr="00775CEF">
        <w:rPr>
          <w:rFonts w:ascii="Arial" w:hAnsi="Arial" w:cs="Arial"/>
          <w:sz w:val="22"/>
          <w:szCs w:val="22"/>
        </w:rPr>
        <w:t xml:space="preserve"> (Accessed: </w:t>
      </w:r>
      <w:r w:rsidR="00B60BEC" w:rsidRPr="00775CEF">
        <w:rPr>
          <w:rFonts w:ascii="Arial" w:hAnsi="Arial" w:cs="Arial"/>
          <w:sz w:val="22"/>
          <w:szCs w:val="22"/>
        </w:rPr>
        <w:t>9</w:t>
      </w:r>
      <w:r w:rsidRPr="00775CEF">
        <w:rPr>
          <w:rFonts w:ascii="Arial" w:hAnsi="Arial" w:cs="Arial"/>
          <w:sz w:val="22"/>
          <w:szCs w:val="22"/>
        </w:rPr>
        <w:t xml:space="preserve"> July 2026).</w:t>
      </w:r>
    </w:p>
    <w:p w14:paraId="5396E1EF" w14:textId="687A0F9F" w:rsidR="00B90274" w:rsidRPr="00775CEF" w:rsidRDefault="00152696" w:rsidP="00B223D6">
      <w:pPr>
        <w:pStyle w:val="NoSpacing"/>
        <w:spacing w:line="276" w:lineRule="auto"/>
        <w:rPr>
          <w:rFonts w:ascii="Arial" w:hAnsi="Arial" w:cs="Arial"/>
          <w:sz w:val="22"/>
          <w:szCs w:val="22"/>
        </w:rPr>
      </w:pPr>
      <w:proofErr w:type="spellStart"/>
      <w:r w:rsidRPr="00775CEF">
        <w:rPr>
          <w:rFonts w:ascii="Arial" w:hAnsi="Arial" w:cs="Arial"/>
          <w:sz w:val="22"/>
          <w:szCs w:val="22"/>
        </w:rPr>
        <w:t>VodafoneThree</w:t>
      </w:r>
      <w:proofErr w:type="spellEnd"/>
      <w:r w:rsidRPr="00775CEF">
        <w:rPr>
          <w:rFonts w:ascii="Arial" w:hAnsi="Arial" w:cs="Arial"/>
          <w:sz w:val="22"/>
          <w:szCs w:val="22"/>
        </w:rPr>
        <w:t xml:space="preserve"> (2025) </w:t>
      </w:r>
      <w:r w:rsidRPr="00775CEF">
        <w:rPr>
          <w:rFonts w:ascii="Arial" w:hAnsi="Arial" w:cs="Arial"/>
          <w:i/>
          <w:iCs/>
          <w:sz w:val="22"/>
          <w:szCs w:val="22"/>
        </w:rPr>
        <w:t>Completion of Vodafone and Three merger in the UK</w:t>
      </w:r>
      <w:r w:rsidRPr="00775CEF">
        <w:rPr>
          <w:rFonts w:ascii="Arial" w:hAnsi="Arial" w:cs="Arial"/>
          <w:sz w:val="22"/>
          <w:szCs w:val="22"/>
        </w:rPr>
        <w:t xml:space="preserve">. Available at: </w:t>
      </w:r>
      <w:hyperlink r:id="rId8" w:history="1">
        <w:r w:rsidR="00F43974" w:rsidRPr="00775CEF">
          <w:rPr>
            <w:rStyle w:val="Hyperlink"/>
            <w:rFonts w:ascii="Arial" w:hAnsi="Arial" w:cs="Arial"/>
            <w:color w:val="auto"/>
            <w:sz w:val="22"/>
            <w:szCs w:val="22"/>
          </w:rPr>
          <w:t>https://www.vodafone.com/news/newsroom/corporate-and-financial/completion-of-vodafone-and-three-merger-in-the-uk?</w:t>
        </w:r>
      </w:hyperlink>
      <w:r w:rsidR="00F43974" w:rsidRPr="00775CEF">
        <w:rPr>
          <w:rFonts w:ascii="Arial" w:hAnsi="Arial" w:cs="Arial"/>
          <w:sz w:val="22"/>
          <w:szCs w:val="22"/>
        </w:rPr>
        <w:t xml:space="preserve"> </w:t>
      </w:r>
      <w:r w:rsidR="00B90274" w:rsidRPr="00775CEF">
        <w:rPr>
          <w:rFonts w:ascii="Arial" w:hAnsi="Arial" w:cs="Arial"/>
          <w:sz w:val="22"/>
          <w:szCs w:val="22"/>
        </w:rPr>
        <w:t xml:space="preserve">(Accessed: </w:t>
      </w:r>
      <w:r w:rsidR="00B60BEC" w:rsidRPr="00775CEF">
        <w:rPr>
          <w:rFonts w:ascii="Arial" w:hAnsi="Arial" w:cs="Arial"/>
          <w:sz w:val="22"/>
          <w:szCs w:val="22"/>
        </w:rPr>
        <w:t>9</w:t>
      </w:r>
      <w:r w:rsidR="00B90274" w:rsidRPr="00775CEF">
        <w:rPr>
          <w:rFonts w:ascii="Arial" w:hAnsi="Arial" w:cs="Arial"/>
          <w:sz w:val="22"/>
          <w:szCs w:val="22"/>
        </w:rPr>
        <w:t xml:space="preserve"> July 2026).</w:t>
      </w:r>
    </w:p>
    <w:p w14:paraId="0EE65899" w14:textId="5E6681A9" w:rsidR="00E51737" w:rsidRPr="00775CEF" w:rsidRDefault="00E51737" w:rsidP="00B223D6">
      <w:pPr>
        <w:pStyle w:val="NoSpacing"/>
        <w:spacing w:line="276" w:lineRule="auto"/>
        <w:rPr>
          <w:rFonts w:ascii="Arial" w:hAnsi="Arial" w:cs="Arial"/>
          <w:sz w:val="22"/>
          <w:szCs w:val="22"/>
        </w:rPr>
      </w:pPr>
    </w:p>
    <w:sectPr w:rsidR="00E51737" w:rsidRPr="00775CE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97D"/>
    <w:rsid w:val="000000DA"/>
    <w:rsid w:val="000078F0"/>
    <w:rsid w:val="00016393"/>
    <w:rsid w:val="00021992"/>
    <w:rsid w:val="0002764E"/>
    <w:rsid w:val="00032CAF"/>
    <w:rsid w:val="00033255"/>
    <w:rsid w:val="00035CAD"/>
    <w:rsid w:val="00043127"/>
    <w:rsid w:val="000456CD"/>
    <w:rsid w:val="000624EC"/>
    <w:rsid w:val="0007372F"/>
    <w:rsid w:val="00074A87"/>
    <w:rsid w:val="000879CE"/>
    <w:rsid w:val="000965E3"/>
    <w:rsid w:val="00097556"/>
    <w:rsid w:val="0009790A"/>
    <w:rsid w:val="000A7FDF"/>
    <w:rsid w:val="000B65F9"/>
    <w:rsid w:val="000C1087"/>
    <w:rsid w:val="000C4B1B"/>
    <w:rsid w:val="000E5457"/>
    <w:rsid w:val="000E7494"/>
    <w:rsid w:val="000F4A7A"/>
    <w:rsid w:val="000F524E"/>
    <w:rsid w:val="00102072"/>
    <w:rsid w:val="001339B2"/>
    <w:rsid w:val="00140C45"/>
    <w:rsid w:val="00152696"/>
    <w:rsid w:val="00161A72"/>
    <w:rsid w:val="00173CD9"/>
    <w:rsid w:val="00177EFE"/>
    <w:rsid w:val="001966B9"/>
    <w:rsid w:val="001A03D8"/>
    <w:rsid w:val="001A28BB"/>
    <w:rsid w:val="001A2A44"/>
    <w:rsid w:val="001A5947"/>
    <w:rsid w:val="001C311F"/>
    <w:rsid w:val="001C4432"/>
    <w:rsid w:val="001C70CF"/>
    <w:rsid w:val="001D097A"/>
    <w:rsid w:val="001E083F"/>
    <w:rsid w:val="001E3748"/>
    <w:rsid w:val="00201A20"/>
    <w:rsid w:val="0020514A"/>
    <w:rsid w:val="0021296D"/>
    <w:rsid w:val="002157FD"/>
    <w:rsid w:val="0021688F"/>
    <w:rsid w:val="00230D33"/>
    <w:rsid w:val="002439D6"/>
    <w:rsid w:val="00245756"/>
    <w:rsid w:val="00250D3F"/>
    <w:rsid w:val="00251E0B"/>
    <w:rsid w:val="00266638"/>
    <w:rsid w:val="00267779"/>
    <w:rsid w:val="00273E46"/>
    <w:rsid w:val="0027757A"/>
    <w:rsid w:val="0028149B"/>
    <w:rsid w:val="002844CF"/>
    <w:rsid w:val="00286EAF"/>
    <w:rsid w:val="0029460B"/>
    <w:rsid w:val="002A473E"/>
    <w:rsid w:val="002B1493"/>
    <w:rsid w:val="002B6211"/>
    <w:rsid w:val="002B6A6D"/>
    <w:rsid w:val="002F4E03"/>
    <w:rsid w:val="00302470"/>
    <w:rsid w:val="003152BC"/>
    <w:rsid w:val="0032099B"/>
    <w:rsid w:val="003273EF"/>
    <w:rsid w:val="00346E5B"/>
    <w:rsid w:val="00346EF4"/>
    <w:rsid w:val="00347C96"/>
    <w:rsid w:val="0037114B"/>
    <w:rsid w:val="00371B63"/>
    <w:rsid w:val="0037494F"/>
    <w:rsid w:val="003756C5"/>
    <w:rsid w:val="00380982"/>
    <w:rsid w:val="0039221B"/>
    <w:rsid w:val="00392998"/>
    <w:rsid w:val="00394DD0"/>
    <w:rsid w:val="003A63B5"/>
    <w:rsid w:val="003A6D5D"/>
    <w:rsid w:val="003A7160"/>
    <w:rsid w:val="003B4F78"/>
    <w:rsid w:val="003B6BA2"/>
    <w:rsid w:val="003C160E"/>
    <w:rsid w:val="003C4A48"/>
    <w:rsid w:val="003C651D"/>
    <w:rsid w:val="003D0187"/>
    <w:rsid w:val="003D42F5"/>
    <w:rsid w:val="003F58F9"/>
    <w:rsid w:val="004143E7"/>
    <w:rsid w:val="0044015F"/>
    <w:rsid w:val="00451E40"/>
    <w:rsid w:val="00477E09"/>
    <w:rsid w:val="00484F83"/>
    <w:rsid w:val="00487865"/>
    <w:rsid w:val="004A1FE3"/>
    <w:rsid w:val="004A3526"/>
    <w:rsid w:val="004C19F1"/>
    <w:rsid w:val="004C2E89"/>
    <w:rsid w:val="004F7BC0"/>
    <w:rsid w:val="005041A7"/>
    <w:rsid w:val="00514CBD"/>
    <w:rsid w:val="00527ED3"/>
    <w:rsid w:val="00552897"/>
    <w:rsid w:val="00556CC5"/>
    <w:rsid w:val="005608D3"/>
    <w:rsid w:val="00563D5B"/>
    <w:rsid w:val="00575127"/>
    <w:rsid w:val="00587DF2"/>
    <w:rsid w:val="005909F5"/>
    <w:rsid w:val="00597EAF"/>
    <w:rsid w:val="005A0419"/>
    <w:rsid w:val="005A4FB4"/>
    <w:rsid w:val="005F3B7D"/>
    <w:rsid w:val="0060595F"/>
    <w:rsid w:val="0060662F"/>
    <w:rsid w:val="00614385"/>
    <w:rsid w:val="0061550A"/>
    <w:rsid w:val="00631634"/>
    <w:rsid w:val="00641E6C"/>
    <w:rsid w:val="00650642"/>
    <w:rsid w:val="00654281"/>
    <w:rsid w:val="00655C74"/>
    <w:rsid w:val="00656E65"/>
    <w:rsid w:val="006631D1"/>
    <w:rsid w:val="00672DD6"/>
    <w:rsid w:val="0068154D"/>
    <w:rsid w:val="0068227E"/>
    <w:rsid w:val="00687550"/>
    <w:rsid w:val="00690113"/>
    <w:rsid w:val="00693326"/>
    <w:rsid w:val="006936BA"/>
    <w:rsid w:val="006952A2"/>
    <w:rsid w:val="006A47FA"/>
    <w:rsid w:val="006A5DD5"/>
    <w:rsid w:val="006B0B72"/>
    <w:rsid w:val="006B3685"/>
    <w:rsid w:val="006B49D9"/>
    <w:rsid w:val="006B7A8D"/>
    <w:rsid w:val="006C00D2"/>
    <w:rsid w:val="006C0B85"/>
    <w:rsid w:val="006C1831"/>
    <w:rsid w:val="006F05A8"/>
    <w:rsid w:val="006F07F0"/>
    <w:rsid w:val="006F788A"/>
    <w:rsid w:val="007066A5"/>
    <w:rsid w:val="00712DC7"/>
    <w:rsid w:val="00713370"/>
    <w:rsid w:val="00713B9F"/>
    <w:rsid w:val="0071576E"/>
    <w:rsid w:val="00721CDC"/>
    <w:rsid w:val="00737F25"/>
    <w:rsid w:val="00750D16"/>
    <w:rsid w:val="0076059F"/>
    <w:rsid w:val="00770C2D"/>
    <w:rsid w:val="007751B7"/>
    <w:rsid w:val="00775CEF"/>
    <w:rsid w:val="00780018"/>
    <w:rsid w:val="00784407"/>
    <w:rsid w:val="007949CA"/>
    <w:rsid w:val="007A78D3"/>
    <w:rsid w:val="007B0C52"/>
    <w:rsid w:val="007B4E25"/>
    <w:rsid w:val="007B4E5B"/>
    <w:rsid w:val="007C26C0"/>
    <w:rsid w:val="007C5365"/>
    <w:rsid w:val="007C677F"/>
    <w:rsid w:val="007E309E"/>
    <w:rsid w:val="007E7840"/>
    <w:rsid w:val="007F11CF"/>
    <w:rsid w:val="007F2F90"/>
    <w:rsid w:val="007F7DEB"/>
    <w:rsid w:val="008243FB"/>
    <w:rsid w:val="00825600"/>
    <w:rsid w:val="00836B1D"/>
    <w:rsid w:val="008414F8"/>
    <w:rsid w:val="0084387A"/>
    <w:rsid w:val="00851F44"/>
    <w:rsid w:val="00861CA8"/>
    <w:rsid w:val="008813C7"/>
    <w:rsid w:val="00883E11"/>
    <w:rsid w:val="008A1514"/>
    <w:rsid w:val="008A2F84"/>
    <w:rsid w:val="008A40B5"/>
    <w:rsid w:val="008B7A49"/>
    <w:rsid w:val="008B7A62"/>
    <w:rsid w:val="008D3706"/>
    <w:rsid w:val="008E6758"/>
    <w:rsid w:val="008F44A9"/>
    <w:rsid w:val="008F495B"/>
    <w:rsid w:val="009009AC"/>
    <w:rsid w:val="00900D57"/>
    <w:rsid w:val="00905B9F"/>
    <w:rsid w:val="009312C6"/>
    <w:rsid w:val="0093205E"/>
    <w:rsid w:val="00940E50"/>
    <w:rsid w:val="009462D7"/>
    <w:rsid w:val="009518F5"/>
    <w:rsid w:val="00964AC7"/>
    <w:rsid w:val="00972957"/>
    <w:rsid w:val="00972BA7"/>
    <w:rsid w:val="00974B02"/>
    <w:rsid w:val="00976662"/>
    <w:rsid w:val="009A443A"/>
    <w:rsid w:val="009B6503"/>
    <w:rsid w:val="009B6EAF"/>
    <w:rsid w:val="009C02B3"/>
    <w:rsid w:val="009C04E6"/>
    <w:rsid w:val="009C4D64"/>
    <w:rsid w:val="009C5B9A"/>
    <w:rsid w:val="009D22C6"/>
    <w:rsid w:val="009F00A0"/>
    <w:rsid w:val="009F02B8"/>
    <w:rsid w:val="009F18BE"/>
    <w:rsid w:val="00A042B4"/>
    <w:rsid w:val="00A162B1"/>
    <w:rsid w:val="00A3057D"/>
    <w:rsid w:val="00A35A09"/>
    <w:rsid w:val="00A526B5"/>
    <w:rsid w:val="00A5548E"/>
    <w:rsid w:val="00A76F41"/>
    <w:rsid w:val="00A77E9C"/>
    <w:rsid w:val="00A82EDA"/>
    <w:rsid w:val="00A94201"/>
    <w:rsid w:val="00A96D91"/>
    <w:rsid w:val="00AA0AB9"/>
    <w:rsid w:val="00AA1294"/>
    <w:rsid w:val="00AB16B2"/>
    <w:rsid w:val="00AB5DDB"/>
    <w:rsid w:val="00AC0648"/>
    <w:rsid w:val="00AC172B"/>
    <w:rsid w:val="00AC1D14"/>
    <w:rsid w:val="00AD0EF8"/>
    <w:rsid w:val="00AD67F1"/>
    <w:rsid w:val="00AF5945"/>
    <w:rsid w:val="00AF6B14"/>
    <w:rsid w:val="00B012A5"/>
    <w:rsid w:val="00B04442"/>
    <w:rsid w:val="00B046C4"/>
    <w:rsid w:val="00B11A12"/>
    <w:rsid w:val="00B15811"/>
    <w:rsid w:val="00B16015"/>
    <w:rsid w:val="00B223D6"/>
    <w:rsid w:val="00B2704A"/>
    <w:rsid w:val="00B3349A"/>
    <w:rsid w:val="00B347D6"/>
    <w:rsid w:val="00B37CC7"/>
    <w:rsid w:val="00B43B58"/>
    <w:rsid w:val="00B57B7D"/>
    <w:rsid w:val="00B60BEC"/>
    <w:rsid w:val="00B80A76"/>
    <w:rsid w:val="00B81294"/>
    <w:rsid w:val="00B813FA"/>
    <w:rsid w:val="00B8306E"/>
    <w:rsid w:val="00B90274"/>
    <w:rsid w:val="00BC33F2"/>
    <w:rsid w:val="00BD1F50"/>
    <w:rsid w:val="00BD3BE4"/>
    <w:rsid w:val="00BD5389"/>
    <w:rsid w:val="00BD6764"/>
    <w:rsid w:val="00BE22C9"/>
    <w:rsid w:val="00BE2920"/>
    <w:rsid w:val="00BF1037"/>
    <w:rsid w:val="00C0102A"/>
    <w:rsid w:val="00C01D55"/>
    <w:rsid w:val="00C04431"/>
    <w:rsid w:val="00C05799"/>
    <w:rsid w:val="00C17854"/>
    <w:rsid w:val="00C258E4"/>
    <w:rsid w:val="00C26691"/>
    <w:rsid w:val="00C354CB"/>
    <w:rsid w:val="00C43482"/>
    <w:rsid w:val="00C44002"/>
    <w:rsid w:val="00C53805"/>
    <w:rsid w:val="00C54AC8"/>
    <w:rsid w:val="00C81F81"/>
    <w:rsid w:val="00C84C22"/>
    <w:rsid w:val="00C9367B"/>
    <w:rsid w:val="00CA2881"/>
    <w:rsid w:val="00CA7E69"/>
    <w:rsid w:val="00CB3C3F"/>
    <w:rsid w:val="00CB54F5"/>
    <w:rsid w:val="00CB5FB2"/>
    <w:rsid w:val="00CC0B2D"/>
    <w:rsid w:val="00CC2F53"/>
    <w:rsid w:val="00CC4CFB"/>
    <w:rsid w:val="00CE33FD"/>
    <w:rsid w:val="00CE3678"/>
    <w:rsid w:val="00CE4421"/>
    <w:rsid w:val="00CE4717"/>
    <w:rsid w:val="00CF2C75"/>
    <w:rsid w:val="00D060D5"/>
    <w:rsid w:val="00D334F2"/>
    <w:rsid w:val="00D40CAF"/>
    <w:rsid w:val="00D40D44"/>
    <w:rsid w:val="00D50894"/>
    <w:rsid w:val="00D71E04"/>
    <w:rsid w:val="00D77578"/>
    <w:rsid w:val="00D94894"/>
    <w:rsid w:val="00DA28B1"/>
    <w:rsid w:val="00DA2C84"/>
    <w:rsid w:val="00DB1897"/>
    <w:rsid w:val="00DB4302"/>
    <w:rsid w:val="00DF122B"/>
    <w:rsid w:val="00DF16A3"/>
    <w:rsid w:val="00DF1A30"/>
    <w:rsid w:val="00DF5D2D"/>
    <w:rsid w:val="00DF7EBF"/>
    <w:rsid w:val="00E02B32"/>
    <w:rsid w:val="00E02E88"/>
    <w:rsid w:val="00E1297D"/>
    <w:rsid w:val="00E13B4F"/>
    <w:rsid w:val="00E2231F"/>
    <w:rsid w:val="00E312FB"/>
    <w:rsid w:val="00E40CA9"/>
    <w:rsid w:val="00E40D99"/>
    <w:rsid w:val="00E413BB"/>
    <w:rsid w:val="00E46A39"/>
    <w:rsid w:val="00E51737"/>
    <w:rsid w:val="00E536B9"/>
    <w:rsid w:val="00E732A0"/>
    <w:rsid w:val="00E74677"/>
    <w:rsid w:val="00E86C88"/>
    <w:rsid w:val="00EA474B"/>
    <w:rsid w:val="00ED65E0"/>
    <w:rsid w:val="00F02B4F"/>
    <w:rsid w:val="00F06A0E"/>
    <w:rsid w:val="00F15922"/>
    <w:rsid w:val="00F15BC1"/>
    <w:rsid w:val="00F17A05"/>
    <w:rsid w:val="00F17BFF"/>
    <w:rsid w:val="00F255AA"/>
    <w:rsid w:val="00F257BE"/>
    <w:rsid w:val="00F43974"/>
    <w:rsid w:val="00F53B0A"/>
    <w:rsid w:val="00F54F21"/>
    <w:rsid w:val="00F550E3"/>
    <w:rsid w:val="00F6428B"/>
    <w:rsid w:val="00F75E9D"/>
    <w:rsid w:val="00F80BE6"/>
    <w:rsid w:val="00F82441"/>
    <w:rsid w:val="00FB2B8F"/>
    <w:rsid w:val="00FB4CA6"/>
    <w:rsid w:val="00FE2E13"/>
    <w:rsid w:val="00FE4608"/>
    <w:rsid w:val="00FE4841"/>
    <w:rsid w:val="00FF6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C25B"/>
  <w15:chartTrackingRefBased/>
  <w15:docId w15:val="{95FE982A-3AC9-4D56-9994-76EA5AC14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9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9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9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9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97D"/>
    <w:rPr>
      <w:rFonts w:eastAsiaTheme="majorEastAsia" w:cstheme="majorBidi"/>
      <w:color w:val="272727" w:themeColor="text1" w:themeTint="D8"/>
    </w:rPr>
  </w:style>
  <w:style w:type="paragraph" w:styleId="Title">
    <w:name w:val="Title"/>
    <w:basedOn w:val="Normal"/>
    <w:next w:val="Normal"/>
    <w:link w:val="TitleChar"/>
    <w:uiPriority w:val="10"/>
    <w:qFormat/>
    <w:rsid w:val="00E12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9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97D"/>
    <w:pPr>
      <w:spacing w:before="160"/>
      <w:jc w:val="center"/>
    </w:pPr>
    <w:rPr>
      <w:i/>
      <w:iCs/>
      <w:color w:val="404040" w:themeColor="text1" w:themeTint="BF"/>
    </w:rPr>
  </w:style>
  <w:style w:type="character" w:customStyle="1" w:styleId="QuoteChar">
    <w:name w:val="Quote Char"/>
    <w:basedOn w:val="DefaultParagraphFont"/>
    <w:link w:val="Quote"/>
    <w:uiPriority w:val="29"/>
    <w:rsid w:val="00E1297D"/>
    <w:rPr>
      <w:i/>
      <w:iCs/>
      <w:color w:val="404040" w:themeColor="text1" w:themeTint="BF"/>
    </w:rPr>
  </w:style>
  <w:style w:type="paragraph" w:styleId="ListParagraph">
    <w:name w:val="List Paragraph"/>
    <w:basedOn w:val="Normal"/>
    <w:uiPriority w:val="34"/>
    <w:qFormat/>
    <w:rsid w:val="00E1297D"/>
    <w:pPr>
      <w:ind w:left="720"/>
      <w:contextualSpacing/>
    </w:pPr>
  </w:style>
  <w:style w:type="character" w:styleId="IntenseEmphasis">
    <w:name w:val="Intense Emphasis"/>
    <w:basedOn w:val="DefaultParagraphFont"/>
    <w:uiPriority w:val="21"/>
    <w:qFormat/>
    <w:rsid w:val="00E1297D"/>
    <w:rPr>
      <w:i/>
      <w:iCs/>
      <w:color w:val="0F4761" w:themeColor="accent1" w:themeShade="BF"/>
    </w:rPr>
  </w:style>
  <w:style w:type="paragraph" w:styleId="IntenseQuote">
    <w:name w:val="Intense Quote"/>
    <w:basedOn w:val="Normal"/>
    <w:next w:val="Normal"/>
    <w:link w:val="IntenseQuoteChar"/>
    <w:uiPriority w:val="30"/>
    <w:qFormat/>
    <w:rsid w:val="00E12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97D"/>
    <w:rPr>
      <w:i/>
      <w:iCs/>
      <w:color w:val="0F4761" w:themeColor="accent1" w:themeShade="BF"/>
    </w:rPr>
  </w:style>
  <w:style w:type="character" w:styleId="IntenseReference">
    <w:name w:val="Intense Reference"/>
    <w:basedOn w:val="DefaultParagraphFont"/>
    <w:uiPriority w:val="32"/>
    <w:qFormat/>
    <w:rsid w:val="00E1297D"/>
    <w:rPr>
      <w:b/>
      <w:bCs/>
      <w:smallCaps/>
      <w:color w:val="0F4761" w:themeColor="accent1" w:themeShade="BF"/>
      <w:spacing w:val="5"/>
    </w:rPr>
  </w:style>
  <w:style w:type="character" w:styleId="Hyperlink">
    <w:name w:val="Hyperlink"/>
    <w:basedOn w:val="DefaultParagraphFont"/>
    <w:uiPriority w:val="99"/>
    <w:unhideWhenUsed/>
    <w:rsid w:val="00BE22C9"/>
    <w:rPr>
      <w:color w:val="467886" w:themeColor="hyperlink"/>
      <w:u w:val="single"/>
    </w:rPr>
  </w:style>
  <w:style w:type="character" w:styleId="UnresolvedMention">
    <w:name w:val="Unresolved Mention"/>
    <w:basedOn w:val="DefaultParagraphFont"/>
    <w:uiPriority w:val="99"/>
    <w:semiHidden/>
    <w:unhideWhenUsed/>
    <w:rsid w:val="00BE22C9"/>
    <w:rPr>
      <w:color w:val="605E5C"/>
      <w:shd w:val="clear" w:color="auto" w:fill="E1DFDD"/>
    </w:rPr>
  </w:style>
  <w:style w:type="table" w:styleId="TableGrid">
    <w:name w:val="Table Grid"/>
    <w:basedOn w:val="TableNormal"/>
    <w:uiPriority w:val="39"/>
    <w:rsid w:val="00062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46E5B"/>
    <w:rPr>
      <w:color w:val="96607D" w:themeColor="followedHyperlink"/>
      <w:u w:val="single"/>
    </w:rPr>
  </w:style>
  <w:style w:type="paragraph" w:styleId="TOCHeading">
    <w:name w:val="TOC Heading"/>
    <w:basedOn w:val="Heading1"/>
    <w:next w:val="Normal"/>
    <w:uiPriority w:val="39"/>
    <w:unhideWhenUsed/>
    <w:qFormat/>
    <w:rsid w:val="007F11C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F11CF"/>
    <w:pPr>
      <w:spacing w:after="100"/>
    </w:pPr>
  </w:style>
  <w:style w:type="paragraph" w:styleId="TOC2">
    <w:name w:val="toc 2"/>
    <w:basedOn w:val="Normal"/>
    <w:next w:val="Normal"/>
    <w:autoRedefine/>
    <w:uiPriority w:val="39"/>
    <w:unhideWhenUsed/>
    <w:rsid w:val="007F11CF"/>
    <w:pPr>
      <w:spacing w:after="100"/>
      <w:ind w:left="240"/>
    </w:pPr>
  </w:style>
  <w:style w:type="paragraph" w:styleId="NoSpacing">
    <w:name w:val="No Spacing"/>
    <w:uiPriority w:val="1"/>
    <w:qFormat/>
    <w:rsid w:val="009C02B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m/news/newsroom/corporate-and-financial/completion-of-vodafone-and-three-merger-in-the-uk?" TargetMode="External"/><Relationship Id="rId3" Type="http://schemas.openxmlformats.org/officeDocument/2006/relationships/settings" Target="settings.xml"/><Relationship Id="rId7" Type="http://schemas.openxmlformats.org/officeDocument/2006/relationships/hyperlink" Target="https://www.vodafone.com/investors/performance-and-reports/annual-report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ico.org.uk/for-organisations/uk-gdpr-guidance-and-resource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D1727-26DE-4699-9636-C20EB6D7E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1051</TotalTime>
  <Pages>14</Pages>
  <Words>4785</Words>
  <Characters>27275</Characters>
  <Application>Microsoft Office Word</Application>
  <DocSecurity>0</DocSecurity>
  <Lines>227</Lines>
  <Paragraphs>63</Paragraphs>
  <ScaleCrop>false</ScaleCrop>
  <Company/>
  <LinksUpToDate>false</LinksUpToDate>
  <CharactersWithSpaces>31997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Lantash .</dc:creator>
  <cp:keywords/>
  <dc:description/>
  <cp:lastModifiedBy>Lantash .</cp:lastModifiedBy>
  <cp:revision>619</cp:revision>
  <dcterms:created xsi:type="dcterms:W3CDTF">2026-07-07T16:31:00Z</dcterms:created>
  <dcterms:modified xsi:type="dcterms:W3CDTF">2026-07-13T18:35:00Z</dcterms:modified>
</cp:coreProperties>
</file>