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A29A01" w14:textId="1E2CC831" w:rsidR="00A05AF1" w:rsidRPr="001D7532" w:rsidRDefault="0080526C" w:rsidP="0080526C">
      <w:pPr>
        <w:spacing w:line="360" w:lineRule="auto"/>
        <w:jc w:val="center"/>
        <w:rPr>
          <w:rFonts w:cs="Times New Roman"/>
          <w:b/>
          <w:bCs/>
          <w:szCs w:val="24"/>
        </w:rPr>
      </w:pPr>
      <w:r>
        <w:rPr>
          <w:noProof/>
        </w:rPr>
        <w:drawing>
          <wp:inline distT="0" distB="0" distL="0" distR="0" wp14:anchorId="3708C45C" wp14:editId="6661DEFA">
            <wp:extent cx="274320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743200" cy="990600"/>
                    </a:xfrm>
                    <a:prstGeom prst="rect">
                      <a:avLst/>
                    </a:prstGeom>
                  </pic:spPr>
                </pic:pic>
              </a:graphicData>
            </a:graphic>
          </wp:inline>
        </w:drawing>
      </w:r>
    </w:p>
    <w:p w14:paraId="551D5E99" w14:textId="77777777" w:rsidR="0080526C" w:rsidRDefault="0080526C" w:rsidP="0080526C">
      <w:pPr>
        <w:spacing w:after="200"/>
        <w:jc w:val="center"/>
        <w:rPr>
          <w:rFonts w:eastAsia="Times New Roman" w:cs="Times New Roman"/>
          <w:b/>
          <w:bCs/>
          <w:szCs w:val="24"/>
        </w:rPr>
      </w:pPr>
    </w:p>
    <w:p w14:paraId="6D2082A0" w14:textId="77777777" w:rsidR="0080526C" w:rsidRDefault="0080526C" w:rsidP="0080526C">
      <w:pPr>
        <w:spacing w:after="200"/>
        <w:jc w:val="center"/>
        <w:rPr>
          <w:rFonts w:eastAsia="Times New Roman" w:cs="Times New Roman"/>
          <w:b/>
          <w:bCs/>
          <w:szCs w:val="24"/>
        </w:rPr>
      </w:pPr>
    </w:p>
    <w:p w14:paraId="085D937B" w14:textId="62C2FAE8" w:rsidR="0080526C" w:rsidRDefault="0080526C" w:rsidP="0080526C">
      <w:pPr>
        <w:spacing w:after="200"/>
        <w:jc w:val="center"/>
      </w:pPr>
      <w:r>
        <w:rPr>
          <w:rFonts w:eastAsia="Times New Roman" w:cs="Times New Roman"/>
          <w:b/>
          <w:bCs/>
          <w:szCs w:val="24"/>
        </w:rPr>
        <w:t>Programme name: Master of Business Administration</w:t>
      </w:r>
    </w:p>
    <w:p w14:paraId="08EF8185" w14:textId="45676488" w:rsidR="0080526C" w:rsidRDefault="0080526C" w:rsidP="0080526C">
      <w:pPr>
        <w:spacing w:after="200"/>
        <w:jc w:val="center"/>
      </w:pPr>
      <w:r>
        <w:rPr>
          <w:rFonts w:eastAsia="Times New Roman" w:cs="Times New Roman"/>
          <w:b/>
          <w:bCs/>
          <w:szCs w:val="24"/>
        </w:rPr>
        <w:t xml:space="preserve">Module name and code: </w:t>
      </w:r>
      <w:r>
        <w:rPr>
          <w:rFonts w:ascii="Arial" w:hAnsi="Arial" w:cs="Arial"/>
          <w:b/>
          <w:sz w:val="22"/>
        </w:rPr>
        <w:t xml:space="preserve">Financial Management </w:t>
      </w:r>
      <w:r w:rsidRPr="1A5D6713">
        <w:rPr>
          <w:rFonts w:ascii="Arial" w:hAnsi="Arial" w:cs="Arial"/>
          <w:b/>
          <w:bCs/>
          <w:sz w:val="22"/>
        </w:rPr>
        <w:t>LCMB7002</w:t>
      </w:r>
    </w:p>
    <w:p w14:paraId="674888C1" w14:textId="74F4BA10" w:rsidR="0080526C" w:rsidRDefault="0080526C" w:rsidP="0080526C">
      <w:pPr>
        <w:spacing w:after="200"/>
        <w:jc w:val="center"/>
      </w:pPr>
      <w:r>
        <w:rPr>
          <w:rFonts w:eastAsia="Times New Roman" w:cs="Times New Roman"/>
          <w:b/>
          <w:bCs/>
          <w:szCs w:val="24"/>
        </w:rPr>
        <w:t>Lecturer's name:</w:t>
      </w:r>
      <w:r w:rsidR="00AF62DC">
        <w:rPr>
          <w:rFonts w:eastAsia="Times New Roman" w:cs="Times New Roman"/>
          <w:b/>
          <w:bCs/>
          <w:szCs w:val="24"/>
        </w:rPr>
        <w:t xml:space="preserve"> </w:t>
      </w:r>
      <w:r w:rsidRPr="1A5D6713">
        <w:rPr>
          <w:rFonts w:ascii="Arial" w:hAnsi="Arial" w:cs="Arial"/>
          <w:b/>
          <w:bCs/>
          <w:sz w:val="22"/>
        </w:rPr>
        <w:t xml:space="preserve">Patrick </w:t>
      </w:r>
      <w:proofErr w:type="spellStart"/>
      <w:r w:rsidRPr="1A5D6713">
        <w:rPr>
          <w:rFonts w:ascii="Arial" w:hAnsi="Arial" w:cs="Arial"/>
          <w:b/>
          <w:bCs/>
          <w:sz w:val="22"/>
        </w:rPr>
        <w:t>Yeboah</w:t>
      </w:r>
      <w:proofErr w:type="spellEnd"/>
      <w:r>
        <w:rPr>
          <w:rFonts w:ascii="Arial" w:hAnsi="Arial" w:cs="Arial"/>
          <w:b/>
          <w:bCs/>
          <w:sz w:val="22"/>
        </w:rPr>
        <w:t xml:space="preserve"> (Birmingham)</w:t>
      </w:r>
    </w:p>
    <w:p w14:paraId="64B35237" w14:textId="578A089D" w:rsidR="0080526C" w:rsidRDefault="0080526C" w:rsidP="0080526C">
      <w:pPr>
        <w:spacing w:after="200"/>
        <w:jc w:val="center"/>
      </w:pPr>
      <w:r>
        <w:rPr>
          <w:rFonts w:eastAsia="Times New Roman" w:cs="Times New Roman"/>
          <w:b/>
          <w:bCs/>
          <w:szCs w:val="24"/>
        </w:rPr>
        <w:t>Student’s name and ID: Het Sakariya, 2605591</w:t>
      </w:r>
    </w:p>
    <w:p w14:paraId="4E65FCB8" w14:textId="721A5AD5" w:rsidR="0080526C" w:rsidRDefault="0080526C" w:rsidP="0080526C">
      <w:pPr>
        <w:spacing w:after="200"/>
        <w:jc w:val="center"/>
      </w:pPr>
      <w:r>
        <w:rPr>
          <w:rFonts w:eastAsia="Times New Roman" w:cs="Times New Roman"/>
          <w:b/>
          <w:bCs/>
          <w:szCs w:val="24"/>
        </w:rPr>
        <w:t>Final word count: 5,110</w:t>
      </w:r>
    </w:p>
    <w:p w14:paraId="399CF889" w14:textId="10522AFC" w:rsidR="0080526C" w:rsidRDefault="0080526C" w:rsidP="0080526C">
      <w:pPr>
        <w:spacing w:after="200"/>
        <w:jc w:val="center"/>
        <w:rPr>
          <w:rFonts w:eastAsia="Times New Roman" w:cs="Times New Roman"/>
          <w:b/>
          <w:bCs/>
          <w:szCs w:val="24"/>
        </w:rPr>
      </w:pPr>
      <w:r>
        <w:rPr>
          <w:rFonts w:eastAsia="Times New Roman" w:cs="Times New Roman"/>
          <w:b/>
          <w:bCs/>
          <w:szCs w:val="24"/>
        </w:rPr>
        <w:t>Submission date:</w:t>
      </w:r>
      <w:r w:rsidR="00F150BD">
        <w:rPr>
          <w:rFonts w:eastAsia="Times New Roman" w:cs="Times New Roman"/>
          <w:b/>
          <w:bCs/>
          <w:szCs w:val="24"/>
        </w:rPr>
        <w:t xml:space="preserve"> 2</w:t>
      </w:r>
      <w:r w:rsidR="000D0AE5">
        <w:rPr>
          <w:rFonts w:eastAsia="Times New Roman" w:cs="Times New Roman"/>
          <w:b/>
          <w:bCs/>
          <w:szCs w:val="24"/>
        </w:rPr>
        <w:t>4/10/2026</w:t>
      </w:r>
    </w:p>
    <w:p w14:paraId="1F24A349" w14:textId="77777777" w:rsidR="0080526C" w:rsidRDefault="0080526C" w:rsidP="0080526C">
      <w:pPr>
        <w:spacing w:after="200"/>
        <w:jc w:val="center"/>
        <w:rPr>
          <w:rFonts w:eastAsia="Times New Roman" w:cs="Times New Roman"/>
          <w:b/>
          <w:bCs/>
          <w:szCs w:val="24"/>
        </w:rPr>
      </w:pPr>
    </w:p>
    <w:p w14:paraId="4A5E03AB" w14:textId="77777777" w:rsidR="000D0AE5" w:rsidRDefault="000D0AE5" w:rsidP="0080526C">
      <w:pPr>
        <w:spacing w:after="200"/>
        <w:jc w:val="center"/>
        <w:rPr>
          <w:rFonts w:eastAsia="Times New Roman" w:cs="Times New Roman"/>
          <w:b/>
          <w:bCs/>
          <w:szCs w:val="24"/>
        </w:rPr>
      </w:pPr>
    </w:p>
    <w:p w14:paraId="13C2870B" w14:textId="77777777" w:rsidR="0080526C" w:rsidRDefault="0080526C" w:rsidP="0080526C">
      <w:pPr>
        <w:spacing w:after="200"/>
        <w:jc w:val="center"/>
        <w:rPr>
          <w:rFonts w:eastAsia="Times New Roman" w:cs="Times New Roman"/>
          <w:b/>
          <w:bCs/>
          <w:szCs w:val="24"/>
        </w:rPr>
      </w:pPr>
    </w:p>
    <w:p w14:paraId="6AD868CA" w14:textId="77777777" w:rsidR="0080526C" w:rsidRDefault="0080526C" w:rsidP="0080526C">
      <w:pPr>
        <w:spacing w:after="200"/>
        <w:jc w:val="center"/>
        <w:rPr>
          <w:rFonts w:eastAsia="Times New Roman" w:cs="Times New Roman"/>
          <w:b/>
          <w:bCs/>
          <w:szCs w:val="24"/>
        </w:rPr>
      </w:pPr>
    </w:p>
    <w:p w14:paraId="2688E824" w14:textId="77777777" w:rsidR="0080526C" w:rsidRDefault="0080526C" w:rsidP="0080526C">
      <w:pPr>
        <w:spacing w:after="200"/>
        <w:jc w:val="center"/>
        <w:rPr>
          <w:rFonts w:eastAsia="Times New Roman" w:cs="Times New Roman"/>
          <w:b/>
          <w:bCs/>
          <w:szCs w:val="24"/>
        </w:rPr>
      </w:pPr>
    </w:p>
    <w:p w14:paraId="0FAE7ADF" w14:textId="77777777" w:rsidR="0080526C" w:rsidRDefault="0080526C" w:rsidP="0080526C">
      <w:pPr>
        <w:spacing w:after="200"/>
        <w:jc w:val="center"/>
        <w:rPr>
          <w:rFonts w:eastAsia="Times New Roman" w:cs="Times New Roman"/>
          <w:b/>
          <w:bCs/>
          <w:szCs w:val="24"/>
        </w:rPr>
      </w:pPr>
    </w:p>
    <w:p w14:paraId="76B35BC1" w14:textId="77777777" w:rsidR="0080526C" w:rsidRDefault="0080526C" w:rsidP="0080526C">
      <w:pPr>
        <w:spacing w:after="200"/>
        <w:jc w:val="center"/>
        <w:rPr>
          <w:rFonts w:eastAsia="Times New Roman" w:cs="Times New Roman"/>
          <w:b/>
          <w:bCs/>
          <w:szCs w:val="24"/>
        </w:rPr>
      </w:pPr>
    </w:p>
    <w:p w14:paraId="32EA54EE" w14:textId="77777777" w:rsidR="0080526C" w:rsidRDefault="0080526C" w:rsidP="0080526C">
      <w:pPr>
        <w:spacing w:after="200"/>
        <w:jc w:val="center"/>
        <w:rPr>
          <w:rFonts w:eastAsia="Times New Roman" w:cs="Times New Roman"/>
          <w:b/>
          <w:bCs/>
          <w:szCs w:val="24"/>
        </w:rPr>
      </w:pPr>
    </w:p>
    <w:p w14:paraId="5683D5CE" w14:textId="77777777" w:rsidR="0080526C" w:rsidRDefault="0080526C" w:rsidP="0080526C">
      <w:pPr>
        <w:spacing w:after="200"/>
        <w:jc w:val="center"/>
        <w:rPr>
          <w:rFonts w:eastAsia="Times New Roman" w:cs="Times New Roman"/>
          <w:b/>
          <w:bCs/>
          <w:szCs w:val="24"/>
        </w:rPr>
      </w:pPr>
    </w:p>
    <w:p w14:paraId="26F312CD" w14:textId="77777777" w:rsidR="0080526C" w:rsidRDefault="0080526C" w:rsidP="0080526C">
      <w:pPr>
        <w:spacing w:after="200"/>
        <w:jc w:val="center"/>
        <w:rPr>
          <w:rFonts w:eastAsia="Times New Roman" w:cs="Times New Roman"/>
          <w:b/>
          <w:bCs/>
          <w:szCs w:val="24"/>
        </w:rPr>
      </w:pPr>
    </w:p>
    <w:p w14:paraId="67A52747" w14:textId="77777777" w:rsidR="0080526C" w:rsidRDefault="0080526C" w:rsidP="0080526C">
      <w:pPr>
        <w:spacing w:after="200"/>
        <w:jc w:val="center"/>
        <w:rPr>
          <w:rFonts w:eastAsia="Times New Roman" w:cs="Times New Roman"/>
          <w:b/>
          <w:bCs/>
          <w:szCs w:val="24"/>
        </w:rPr>
      </w:pPr>
    </w:p>
    <w:p w14:paraId="590AE57E" w14:textId="77777777" w:rsidR="0080526C" w:rsidRDefault="0080526C" w:rsidP="0080526C">
      <w:pPr>
        <w:spacing w:after="200"/>
        <w:jc w:val="center"/>
      </w:pPr>
    </w:p>
    <w:p w14:paraId="0ACDB20A" w14:textId="77777777" w:rsidR="0080526C" w:rsidRDefault="0080526C" w:rsidP="009642C8">
      <w:pPr>
        <w:spacing w:line="360" w:lineRule="auto"/>
        <w:rPr>
          <w:rFonts w:cs="Times New Roman"/>
          <w:b/>
          <w:bCs/>
          <w:szCs w:val="24"/>
        </w:rPr>
      </w:pPr>
    </w:p>
    <w:p w14:paraId="675CC936" w14:textId="77777777" w:rsidR="0080526C" w:rsidRDefault="0080526C" w:rsidP="009642C8">
      <w:pPr>
        <w:spacing w:line="360" w:lineRule="auto"/>
        <w:rPr>
          <w:rFonts w:cs="Times New Roman"/>
          <w:b/>
          <w:bCs/>
          <w:szCs w:val="24"/>
        </w:rPr>
      </w:pPr>
    </w:p>
    <w:p w14:paraId="029CC1A2" w14:textId="77777777" w:rsidR="0080526C" w:rsidRPr="001D7532" w:rsidRDefault="0080526C" w:rsidP="009642C8">
      <w:pPr>
        <w:spacing w:line="360" w:lineRule="auto"/>
        <w:rPr>
          <w:rFonts w:cs="Times New Roman"/>
          <w:b/>
          <w:bCs/>
          <w:szCs w:val="24"/>
        </w:rPr>
      </w:pPr>
    </w:p>
    <w:sdt>
      <w:sdtPr>
        <w:rPr>
          <w:rFonts w:ascii="Times New Roman" w:eastAsiaTheme="minorHAnsi" w:hAnsi="Times New Roman" w:cs="Times New Roman"/>
          <w:color w:val="auto"/>
          <w:kern w:val="2"/>
          <w:sz w:val="24"/>
          <w:szCs w:val="24"/>
          <w:lang w:val="en-IN"/>
          <w14:ligatures w14:val="standardContextual"/>
        </w:rPr>
        <w:id w:val="-773553431"/>
        <w:docPartObj>
          <w:docPartGallery w:val="Table of Contents"/>
          <w:docPartUnique/>
        </w:docPartObj>
      </w:sdtPr>
      <w:sdtEndPr>
        <w:rPr>
          <w:b/>
          <w:bCs/>
          <w:noProof/>
        </w:rPr>
      </w:sdtEndPr>
      <w:sdtContent>
        <w:p w14:paraId="1F5D4C98" w14:textId="5EB88C7E" w:rsidR="00A05AF1" w:rsidRPr="001D7532" w:rsidRDefault="00A05AF1" w:rsidP="009642C8">
          <w:pPr>
            <w:pStyle w:val="TOCHeading"/>
            <w:spacing w:line="360" w:lineRule="auto"/>
            <w:rPr>
              <w:rFonts w:ascii="Times New Roman" w:hAnsi="Times New Roman" w:cs="Times New Roman"/>
              <w:sz w:val="24"/>
              <w:szCs w:val="24"/>
            </w:rPr>
          </w:pPr>
          <w:r w:rsidRPr="001D7532">
            <w:rPr>
              <w:rFonts w:ascii="Times New Roman" w:hAnsi="Times New Roman" w:cs="Times New Roman"/>
              <w:sz w:val="24"/>
              <w:szCs w:val="24"/>
            </w:rPr>
            <w:t>Contents</w:t>
          </w:r>
        </w:p>
        <w:p w14:paraId="76A5389B" w14:textId="0137E1E5" w:rsidR="0080526C" w:rsidRDefault="00A05AF1">
          <w:pPr>
            <w:pStyle w:val="TOC1"/>
            <w:tabs>
              <w:tab w:val="right" w:leader="dot" w:pos="9016"/>
            </w:tabs>
            <w:rPr>
              <w:rFonts w:asciiTheme="minorHAnsi" w:eastAsiaTheme="minorEastAsia" w:hAnsiTheme="minorHAnsi"/>
              <w:noProof/>
              <w:szCs w:val="24"/>
              <w:lang w:eastAsia="en-IN"/>
            </w:rPr>
          </w:pPr>
          <w:r w:rsidRPr="001D7532">
            <w:rPr>
              <w:rFonts w:cs="Times New Roman"/>
              <w:szCs w:val="24"/>
            </w:rPr>
            <w:fldChar w:fldCharType="begin"/>
          </w:r>
          <w:r w:rsidRPr="001D7532">
            <w:rPr>
              <w:rFonts w:cs="Times New Roman"/>
              <w:szCs w:val="24"/>
            </w:rPr>
            <w:instrText xml:space="preserve"> TOC \o "1-3" \h \z \u </w:instrText>
          </w:r>
          <w:r w:rsidRPr="001D7532">
            <w:rPr>
              <w:rFonts w:cs="Times New Roman"/>
              <w:szCs w:val="24"/>
            </w:rPr>
            <w:fldChar w:fldCharType="separate"/>
          </w:r>
          <w:hyperlink w:anchor="_Toc243773380" w:history="1">
            <w:r w:rsidR="0080526C" w:rsidRPr="00905390">
              <w:rPr>
                <w:rStyle w:val="Hyperlink"/>
                <w:rFonts w:cs="Times New Roman"/>
                <w:noProof/>
              </w:rPr>
              <w:t>1. Introduction</w:t>
            </w:r>
            <w:r w:rsidR="0080526C">
              <w:rPr>
                <w:noProof/>
                <w:webHidden/>
              </w:rPr>
              <w:tab/>
            </w:r>
            <w:r w:rsidR="0080526C">
              <w:rPr>
                <w:noProof/>
                <w:webHidden/>
              </w:rPr>
              <w:fldChar w:fldCharType="begin"/>
            </w:r>
            <w:r w:rsidR="0080526C">
              <w:rPr>
                <w:noProof/>
                <w:webHidden/>
              </w:rPr>
              <w:instrText xml:space="preserve"> PAGEREF _Toc243773380 \h </w:instrText>
            </w:r>
            <w:r w:rsidR="0080526C">
              <w:rPr>
                <w:noProof/>
                <w:webHidden/>
              </w:rPr>
            </w:r>
            <w:r w:rsidR="0080526C">
              <w:rPr>
                <w:noProof/>
                <w:webHidden/>
              </w:rPr>
              <w:fldChar w:fldCharType="separate"/>
            </w:r>
            <w:r w:rsidR="0080526C">
              <w:rPr>
                <w:noProof/>
                <w:webHidden/>
              </w:rPr>
              <w:t>3</w:t>
            </w:r>
            <w:r w:rsidR="0080526C">
              <w:rPr>
                <w:noProof/>
                <w:webHidden/>
              </w:rPr>
              <w:fldChar w:fldCharType="end"/>
            </w:r>
          </w:hyperlink>
        </w:p>
        <w:p w14:paraId="3B798147" w14:textId="0CA6F997" w:rsidR="0080526C" w:rsidRDefault="0080526C">
          <w:pPr>
            <w:pStyle w:val="TOC1"/>
            <w:tabs>
              <w:tab w:val="right" w:leader="dot" w:pos="9016"/>
            </w:tabs>
            <w:rPr>
              <w:rFonts w:asciiTheme="minorHAnsi" w:eastAsiaTheme="minorEastAsia" w:hAnsiTheme="minorHAnsi"/>
              <w:noProof/>
              <w:szCs w:val="24"/>
              <w:lang w:eastAsia="en-IN"/>
            </w:rPr>
          </w:pPr>
          <w:hyperlink w:anchor="_Toc243773381" w:history="1">
            <w:r w:rsidRPr="00905390">
              <w:rPr>
                <w:rStyle w:val="Hyperlink"/>
                <w:rFonts w:cs="Times New Roman"/>
                <w:noProof/>
              </w:rPr>
              <w:t>2. Financial health check of Shell PLC</w:t>
            </w:r>
            <w:r>
              <w:rPr>
                <w:noProof/>
                <w:webHidden/>
              </w:rPr>
              <w:tab/>
            </w:r>
            <w:r>
              <w:rPr>
                <w:noProof/>
                <w:webHidden/>
              </w:rPr>
              <w:fldChar w:fldCharType="begin"/>
            </w:r>
            <w:r>
              <w:rPr>
                <w:noProof/>
                <w:webHidden/>
              </w:rPr>
              <w:instrText xml:space="preserve"> PAGEREF _Toc243773381 \h </w:instrText>
            </w:r>
            <w:r>
              <w:rPr>
                <w:noProof/>
                <w:webHidden/>
              </w:rPr>
            </w:r>
            <w:r>
              <w:rPr>
                <w:noProof/>
                <w:webHidden/>
              </w:rPr>
              <w:fldChar w:fldCharType="separate"/>
            </w:r>
            <w:r>
              <w:rPr>
                <w:noProof/>
                <w:webHidden/>
              </w:rPr>
              <w:t>3</w:t>
            </w:r>
            <w:r>
              <w:rPr>
                <w:noProof/>
                <w:webHidden/>
              </w:rPr>
              <w:fldChar w:fldCharType="end"/>
            </w:r>
          </w:hyperlink>
        </w:p>
        <w:p w14:paraId="3F615B15" w14:textId="2F6FC968" w:rsidR="0080526C" w:rsidRDefault="0080526C">
          <w:pPr>
            <w:pStyle w:val="TOC2"/>
            <w:tabs>
              <w:tab w:val="right" w:leader="dot" w:pos="9016"/>
            </w:tabs>
            <w:rPr>
              <w:rFonts w:asciiTheme="minorHAnsi" w:eastAsiaTheme="minorEastAsia" w:hAnsiTheme="minorHAnsi"/>
              <w:noProof/>
              <w:szCs w:val="24"/>
              <w:lang w:eastAsia="en-IN"/>
            </w:rPr>
          </w:pPr>
          <w:hyperlink w:anchor="_Toc243773382" w:history="1">
            <w:r w:rsidRPr="00905390">
              <w:rPr>
                <w:rStyle w:val="Hyperlink"/>
                <w:rFonts w:cs="Times New Roman"/>
                <w:noProof/>
              </w:rPr>
              <w:t>2.1 Analysis of profitability</w:t>
            </w:r>
            <w:r>
              <w:rPr>
                <w:noProof/>
                <w:webHidden/>
              </w:rPr>
              <w:tab/>
            </w:r>
            <w:r>
              <w:rPr>
                <w:noProof/>
                <w:webHidden/>
              </w:rPr>
              <w:fldChar w:fldCharType="begin"/>
            </w:r>
            <w:r>
              <w:rPr>
                <w:noProof/>
                <w:webHidden/>
              </w:rPr>
              <w:instrText xml:space="preserve"> PAGEREF _Toc243773382 \h </w:instrText>
            </w:r>
            <w:r>
              <w:rPr>
                <w:noProof/>
                <w:webHidden/>
              </w:rPr>
            </w:r>
            <w:r>
              <w:rPr>
                <w:noProof/>
                <w:webHidden/>
              </w:rPr>
              <w:fldChar w:fldCharType="separate"/>
            </w:r>
            <w:r>
              <w:rPr>
                <w:noProof/>
                <w:webHidden/>
              </w:rPr>
              <w:t>3</w:t>
            </w:r>
            <w:r>
              <w:rPr>
                <w:noProof/>
                <w:webHidden/>
              </w:rPr>
              <w:fldChar w:fldCharType="end"/>
            </w:r>
          </w:hyperlink>
        </w:p>
        <w:p w14:paraId="14F009C0" w14:textId="6AF17FDC" w:rsidR="0080526C" w:rsidRDefault="0080526C">
          <w:pPr>
            <w:pStyle w:val="TOC2"/>
            <w:tabs>
              <w:tab w:val="right" w:leader="dot" w:pos="9016"/>
            </w:tabs>
            <w:rPr>
              <w:rFonts w:asciiTheme="minorHAnsi" w:eastAsiaTheme="minorEastAsia" w:hAnsiTheme="minorHAnsi"/>
              <w:noProof/>
              <w:szCs w:val="24"/>
              <w:lang w:eastAsia="en-IN"/>
            </w:rPr>
          </w:pPr>
          <w:hyperlink w:anchor="_Toc243773383" w:history="1">
            <w:r w:rsidRPr="00905390">
              <w:rPr>
                <w:rStyle w:val="Hyperlink"/>
                <w:rFonts w:cs="Times New Roman"/>
                <w:noProof/>
              </w:rPr>
              <w:t>2.2 Analysis of liquidity</w:t>
            </w:r>
            <w:r>
              <w:rPr>
                <w:noProof/>
                <w:webHidden/>
              </w:rPr>
              <w:tab/>
            </w:r>
            <w:r>
              <w:rPr>
                <w:noProof/>
                <w:webHidden/>
              </w:rPr>
              <w:fldChar w:fldCharType="begin"/>
            </w:r>
            <w:r>
              <w:rPr>
                <w:noProof/>
                <w:webHidden/>
              </w:rPr>
              <w:instrText xml:space="preserve"> PAGEREF _Toc243773383 \h </w:instrText>
            </w:r>
            <w:r>
              <w:rPr>
                <w:noProof/>
                <w:webHidden/>
              </w:rPr>
            </w:r>
            <w:r>
              <w:rPr>
                <w:noProof/>
                <w:webHidden/>
              </w:rPr>
              <w:fldChar w:fldCharType="separate"/>
            </w:r>
            <w:r>
              <w:rPr>
                <w:noProof/>
                <w:webHidden/>
              </w:rPr>
              <w:t>4</w:t>
            </w:r>
            <w:r>
              <w:rPr>
                <w:noProof/>
                <w:webHidden/>
              </w:rPr>
              <w:fldChar w:fldCharType="end"/>
            </w:r>
          </w:hyperlink>
        </w:p>
        <w:p w14:paraId="57B2CB69" w14:textId="512DE9C9" w:rsidR="0080526C" w:rsidRDefault="0080526C">
          <w:pPr>
            <w:pStyle w:val="TOC2"/>
            <w:tabs>
              <w:tab w:val="right" w:leader="dot" w:pos="9016"/>
            </w:tabs>
            <w:rPr>
              <w:rFonts w:asciiTheme="minorHAnsi" w:eastAsiaTheme="minorEastAsia" w:hAnsiTheme="minorHAnsi"/>
              <w:noProof/>
              <w:szCs w:val="24"/>
              <w:lang w:eastAsia="en-IN"/>
            </w:rPr>
          </w:pPr>
          <w:hyperlink w:anchor="_Toc243773384" w:history="1">
            <w:r w:rsidRPr="00905390">
              <w:rPr>
                <w:rStyle w:val="Hyperlink"/>
                <w:rFonts w:cs="Times New Roman"/>
                <w:noProof/>
              </w:rPr>
              <w:t>2.3 Analysis of efficiency and working capital performance</w:t>
            </w:r>
            <w:r>
              <w:rPr>
                <w:noProof/>
                <w:webHidden/>
              </w:rPr>
              <w:tab/>
            </w:r>
            <w:r>
              <w:rPr>
                <w:noProof/>
                <w:webHidden/>
              </w:rPr>
              <w:fldChar w:fldCharType="begin"/>
            </w:r>
            <w:r>
              <w:rPr>
                <w:noProof/>
                <w:webHidden/>
              </w:rPr>
              <w:instrText xml:space="preserve"> PAGEREF _Toc243773384 \h </w:instrText>
            </w:r>
            <w:r>
              <w:rPr>
                <w:noProof/>
                <w:webHidden/>
              </w:rPr>
            </w:r>
            <w:r>
              <w:rPr>
                <w:noProof/>
                <w:webHidden/>
              </w:rPr>
              <w:fldChar w:fldCharType="separate"/>
            </w:r>
            <w:r>
              <w:rPr>
                <w:noProof/>
                <w:webHidden/>
              </w:rPr>
              <w:t>5</w:t>
            </w:r>
            <w:r>
              <w:rPr>
                <w:noProof/>
                <w:webHidden/>
              </w:rPr>
              <w:fldChar w:fldCharType="end"/>
            </w:r>
          </w:hyperlink>
        </w:p>
        <w:p w14:paraId="013271FC" w14:textId="53CA712C" w:rsidR="0080526C" w:rsidRDefault="0080526C">
          <w:pPr>
            <w:pStyle w:val="TOC2"/>
            <w:tabs>
              <w:tab w:val="right" w:leader="dot" w:pos="9016"/>
            </w:tabs>
            <w:rPr>
              <w:rFonts w:asciiTheme="minorHAnsi" w:eastAsiaTheme="minorEastAsia" w:hAnsiTheme="minorHAnsi"/>
              <w:noProof/>
              <w:szCs w:val="24"/>
              <w:lang w:eastAsia="en-IN"/>
            </w:rPr>
          </w:pPr>
          <w:hyperlink w:anchor="_Toc243773385" w:history="1">
            <w:r w:rsidRPr="00905390">
              <w:rPr>
                <w:rStyle w:val="Hyperlink"/>
                <w:rFonts w:cs="Times New Roman"/>
                <w:noProof/>
              </w:rPr>
              <w:t>2.4 Analysis of gearing position</w:t>
            </w:r>
            <w:r>
              <w:rPr>
                <w:noProof/>
                <w:webHidden/>
              </w:rPr>
              <w:tab/>
            </w:r>
            <w:r>
              <w:rPr>
                <w:noProof/>
                <w:webHidden/>
              </w:rPr>
              <w:fldChar w:fldCharType="begin"/>
            </w:r>
            <w:r>
              <w:rPr>
                <w:noProof/>
                <w:webHidden/>
              </w:rPr>
              <w:instrText xml:space="preserve"> PAGEREF _Toc243773385 \h </w:instrText>
            </w:r>
            <w:r>
              <w:rPr>
                <w:noProof/>
                <w:webHidden/>
              </w:rPr>
            </w:r>
            <w:r>
              <w:rPr>
                <w:noProof/>
                <w:webHidden/>
              </w:rPr>
              <w:fldChar w:fldCharType="separate"/>
            </w:r>
            <w:r>
              <w:rPr>
                <w:noProof/>
                <w:webHidden/>
              </w:rPr>
              <w:t>6</w:t>
            </w:r>
            <w:r>
              <w:rPr>
                <w:noProof/>
                <w:webHidden/>
              </w:rPr>
              <w:fldChar w:fldCharType="end"/>
            </w:r>
          </w:hyperlink>
        </w:p>
        <w:p w14:paraId="074B872C" w14:textId="6145A320" w:rsidR="0080526C" w:rsidRDefault="0080526C">
          <w:pPr>
            <w:pStyle w:val="TOC2"/>
            <w:tabs>
              <w:tab w:val="right" w:leader="dot" w:pos="9016"/>
            </w:tabs>
            <w:rPr>
              <w:rFonts w:asciiTheme="minorHAnsi" w:eastAsiaTheme="minorEastAsia" w:hAnsiTheme="minorHAnsi"/>
              <w:noProof/>
              <w:szCs w:val="24"/>
              <w:lang w:eastAsia="en-IN"/>
            </w:rPr>
          </w:pPr>
          <w:hyperlink w:anchor="_Toc243773386" w:history="1">
            <w:r w:rsidRPr="00905390">
              <w:rPr>
                <w:rStyle w:val="Hyperlink"/>
                <w:rFonts w:cs="Times New Roman"/>
                <w:noProof/>
              </w:rPr>
              <w:t>2.5 Analysis of investment position</w:t>
            </w:r>
            <w:r>
              <w:rPr>
                <w:noProof/>
                <w:webHidden/>
              </w:rPr>
              <w:tab/>
            </w:r>
            <w:r>
              <w:rPr>
                <w:noProof/>
                <w:webHidden/>
              </w:rPr>
              <w:fldChar w:fldCharType="begin"/>
            </w:r>
            <w:r>
              <w:rPr>
                <w:noProof/>
                <w:webHidden/>
              </w:rPr>
              <w:instrText xml:space="preserve"> PAGEREF _Toc243773386 \h </w:instrText>
            </w:r>
            <w:r>
              <w:rPr>
                <w:noProof/>
                <w:webHidden/>
              </w:rPr>
            </w:r>
            <w:r>
              <w:rPr>
                <w:noProof/>
                <w:webHidden/>
              </w:rPr>
              <w:fldChar w:fldCharType="separate"/>
            </w:r>
            <w:r>
              <w:rPr>
                <w:noProof/>
                <w:webHidden/>
              </w:rPr>
              <w:t>6</w:t>
            </w:r>
            <w:r>
              <w:rPr>
                <w:noProof/>
                <w:webHidden/>
              </w:rPr>
              <w:fldChar w:fldCharType="end"/>
            </w:r>
          </w:hyperlink>
        </w:p>
        <w:p w14:paraId="778D666B" w14:textId="789E89A5" w:rsidR="0080526C" w:rsidRDefault="0080526C">
          <w:pPr>
            <w:pStyle w:val="TOC2"/>
            <w:tabs>
              <w:tab w:val="right" w:leader="dot" w:pos="9016"/>
            </w:tabs>
            <w:rPr>
              <w:rFonts w:asciiTheme="minorHAnsi" w:eastAsiaTheme="minorEastAsia" w:hAnsiTheme="minorHAnsi"/>
              <w:noProof/>
              <w:szCs w:val="24"/>
              <w:lang w:eastAsia="en-IN"/>
            </w:rPr>
          </w:pPr>
          <w:hyperlink w:anchor="_Toc243773387" w:history="1">
            <w:r w:rsidRPr="00905390">
              <w:rPr>
                <w:rStyle w:val="Hyperlink"/>
                <w:rFonts w:cs="Times New Roman"/>
                <w:noProof/>
              </w:rPr>
              <w:t>2.6 Analysis of cash flow position</w:t>
            </w:r>
            <w:r>
              <w:rPr>
                <w:noProof/>
                <w:webHidden/>
              </w:rPr>
              <w:tab/>
            </w:r>
            <w:r>
              <w:rPr>
                <w:noProof/>
                <w:webHidden/>
              </w:rPr>
              <w:fldChar w:fldCharType="begin"/>
            </w:r>
            <w:r>
              <w:rPr>
                <w:noProof/>
                <w:webHidden/>
              </w:rPr>
              <w:instrText xml:space="preserve"> PAGEREF _Toc243773387 \h </w:instrText>
            </w:r>
            <w:r>
              <w:rPr>
                <w:noProof/>
                <w:webHidden/>
              </w:rPr>
            </w:r>
            <w:r>
              <w:rPr>
                <w:noProof/>
                <w:webHidden/>
              </w:rPr>
              <w:fldChar w:fldCharType="separate"/>
            </w:r>
            <w:r>
              <w:rPr>
                <w:noProof/>
                <w:webHidden/>
              </w:rPr>
              <w:t>7</w:t>
            </w:r>
            <w:r>
              <w:rPr>
                <w:noProof/>
                <w:webHidden/>
              </w:rPr>
              <w:fldChar w:fldCharType="end"/>
            </w:r>
          </w:hyperlink>
        </w:p>
        <w:p w14:paraId="069F0E7F" w14:textId="0666729C" w:rsidR="0080526C" w:rsidRDefault="0080526C">
          <w:pPr>
            <w:pStyle w:val="TOC2"/>
            <w:tabs>
              <w:tab w:val="right" w:leader="dot" w:pos="9016"/>
            </w:tabs>
            <w:rPr>
              <w:rFonts w:asciiTheme="minorHAnsi" w:eastAsiaTheme="minorEastAsia" w:hAnsiTheme="minorHAnsi"/>
              <w:noProof/>
              <w:szCs w:val="24"/>
              <w:lang w:eastAsia="en-IN"/>
            </w:rPr>
          </w:pPr>
          <w:hyperlink w:anchor="_Toc243773388" w:history="1">
            <w:r w:rsidRPr="00905390">
              <w:rPr>
                <w:rStyle w:val="Hyperlink"/>
                <w:rFonts w:cs="Times New Roman"/>
                <w:noProof/>
              </w:rPr>
              <w:t>2.7 Analysis of strengths and potential threats</w:t>
            </w:r>
            <w:r>
              <w:rPr>
                <w:noProof/>
                <w:webHidden/>
              </w:rPr>
              <w:tab/>
            </w:r>
            <w:r>
              <w:rPr>
                <w:noProof/>
                <w:webHidden/>
              </w:rPr>
              <w:fldChar w:fldCharType="begin"/>
            </w:r>
            <w:r>
              <w:rPr>
                <w:noProof/>
                <w:webHidden/>
              </w:rPr>
              <w:instrText xml:space="preserve"> PAGEREF _Toc243773388 \h </w:instrText>
            </w:r>
            <w:r>
              <w:rPr>
                <w:noProof/>
                <w:webHidden/>
              </w:rPr>
            </w:r>
            <w:r>
              <w:rPr>
                <w:noProof/>
                <w:webHidden/>
              </w:rPr>
              <w:fldChar w:fldCharType="separate"/>
            </w:r>
            <w:r>
              <w:rPr>
                <w:noProof/>
                <w:webHidden/>
              </w:rPr>
              <w:t>7</w:t>
            </w:r>
            <w:r>
              <w:rPr>
                <w:noProof/>
                <w:webHidden/>
              </w:rPr>
              <w:fldChar w:fldCharType="end"/>
            </w:r>
          </w:hyperlink>
        </w:p>
        <w:p w14:paraId="1EFBE47F" w14:textId="0AC4B234" w:rsidR="0080526C" w:rsidRDefault="0080526C">
          <w:pPr>
            <w:pStyle w:val="TOC1"/>
            <w:tabs>
              <w:tab w:val="right" w:leader="dot" w:pos="9016"/>
            </w:tabs>
            <w:rPr>
              <w:rFonts w:asciiTheme="minorHAnsi" w:eastAsiaTheme="minorEastAsia" w:hAnsiTheme="minorHAnsi"/>
              <w:noProof/>
              <w:szCs w:val="24"/>
              <w:lang w:eastAsia="en-IN"/>
            </w:rPr>
          </w:pPr>
          <w:hyperlink w:anchor="_Toc243773389" w:history="1">
            <w:r w:rsidRPr="00905390">
              <w:rPr>
                <w:rStyle w:val="Hyperlink"/>
                <w:rFonts w:cs="Times New Roman"/>
                <w:noProof/>
              </w:rPr>
              <w:t>3. Analysis of working capital management</w:t>
            </w:r>
            <w:r>
              <w:rPr>
                <w:noProof/>
                <w:webHidden/>
              </w:rPr>
              <w:tab/>
            </w:r>
            <w:r>
              <w:rPr>
                <w:noProof/>
                <w:webHidden/>
              </w:rPr>
              <w:fldChar w:fldCharType="begin"/>
            </w:r>
            <w:r>
              <w:rPr>
                <w:noProof/>
                <w:webHidden/>
              </w:rPr>
              <w:instrText xml:space="preserve"> PAGEREF _Toc243773389 \h </w:instrText>
            </w:r>
            <w:r>
              <w:rPr>
                <w:noProof/>
                <w:webHidden/>
              </w:rPr>
            </w:r>
            <w:r>
              <w:rPr>
                <w:noProof/>
                <w:webHidden/>
              </w:rPr>
              <w:fldChar w:fldCharType="separate"/>
            </w:r>
            <w:r>
              <w:rPr>
                <w:noProof/>
                <w:webHidden/>
              </w:rPr>
              <w:t>8</w:t>
            </w:r>
            <w:r>
              <w:rPr>
                <w:noProof/>
                <w:webHidden/>
              </w:rPr>
              <w:fldChar w:fldCharType="end"/>
            </w:r>
          </w:hyperlink>
        </w:p>
        <w:p w14:paraId="4079A51E" w14:textId="741AC6D6" w:rsidR="0080526C" w:rsidRDefault="0080526C">
          <w:pPr>
            <w:pStyle w:val="TOC2"/>
            <w:tabs>
              <w:tab w:val="right" w:leader="dot" w:pos="9016"/>
            </w:tabs>
            <w:rPr>
              <w:rFonts w:asciiTheme="minorHAnsi" w:eastAsiaTheme="minorEastAsia" w:hAnsiTheme="minorHAnsi"/>
              <w:noProof/>
              <w:szCs w:val="24"/>
              <w:lang w:eastAsia="en-IN"/>
            </w:rPr>
          </w:pPr>
          <w:hyperlink w:anchor="_Toc243773390" w:history="1">
            <w:r w:rsidRPr="00905390">
              <w:rPr>
                <w:rStyle w:val="Hyperlink"/>
                <w:rFonts w:cs="Times New Roman"/>
                <w:noProof/>
              </w:rPr>
              <w:t>3.1 Analysis of cash operating cycle</w:t>
            </w:r>
            <w:r>
              <w:rPr>
                <w:noProof/>
                <w:webHidden/>
              </w:rPr>
              <w:tab/>
            </w:r>
            <w:r>
              <w:rPr>
                <w:noProof/>
                <w:webHidden/>
              </w:rPr>
              <w:fldChar w:fldCharType="begin"/>
            </w:r>
            <w:r>
              <w:rPr>
                <w:noProof/>
                <w:webHidden/>
              </w:rPr>
              <w:instrText xml:space="preserve"> PAGEREF _Toc243773390 \h </w:instrText>
            </w:r>
            <w:r>
              <w:rPr>
                <w:noProof/>
                <w:webHidden/>
              </w:rPr>
            </w:r>
            <w:r>
              <w:rPr>
                <w:noProof/>
                <w:webHidden/>
              </w:rPr>
              <w:fldChar w:fldCharType="separate"/>
            </w:r>
            <w:r>
              <w:rPr>
                <w:noProof/>
                <w:webHidden/>
              </w:rPr>
              <w:t>8</w:t>
            </w:r>
            <w:r>
              <w:rPr>
                <w:noProof/>
                <w:webHidden/>
              </w:rPr>
              <w:fldChar w:fldCharType="end"/>
            </w:r>
          </w:hyperlink>
        </w:p>
        <w:p w14:paraId="15C04698" w14:textId="52EAB16B" w:rsidR="0080526C" w:rsidRDefault="0080526C">
          <w:pPr>
            <w:pStyle w:val="TOC2"/>
            <w:tabs>
              <w:tab w:val="right" w:leader="dot" w:pos="9016"/>
            </w:tabs>
            <w:rPr>
              <w:rFonts w:asciiTheme="minorHAnsi" w:eastAsiaTheme="minorEastAsia" w:hAnsiTheme="minorHAnsi"/>
              <w:noProof/>
              <w:szCs w:val="24"/>
              <w:lang w:eastAsia="en-IN"/>
            </w:rPr>
          </w:pPr>
          <w:hyperlink w:anchor="_Toc243773391" w:history="1">
            <w:r w:rsidRPr="00905390">
              <w:rPr>
                <w:rStyle w:val="Hyperlink"/>
                <w:rFonts w:cs="Times New Roman"/>
                <w:noProof/>
              </w:rPr>
              <w:t>3.2 Strategies to improve liquidity position</w:t>
            </w:r>
            <w:r>
              <w:rPr>
                <w:noProof/>
                <w:webHidden/>
              </w:rPr>
              <w:tab/>
            </w:r>
            <w:r>
              <w:rPr>
                <w:noProof/>
                <w:webHidden/>
              </w:rPr>
              <w:fldChar w:fldCharType="begin"/>
            </w:r>
            <w:r>
              <w:rPr>
                <w:noProof/>
                <w:webHidden/>
              </w:rPr>
              <w:instrText xml:space="preserve"> PAGEREF _Toc243773391 \h </w:instrText>
            </w:r>
            <w:r>
              <w:rPr>
                <w:noProof/>
                <w:webHidden/>
              </w:rPr>
            </w:r>
            <w:r>
              <w:rPr>
                <w:noProof/>
                <w:webHidden/>
              </w:rPr>
              <w:fldChar w:fldCharType="separate"/>
            </w:r>
            <w:r>
              <w:rPr>
                <w:noProof/>
                <w:webHidden/>
              </w:rPr>
              <w:t>9</w:t>
            </w:r>
            <w:r>
              <w:rPr>
                <w:noProof/>
                <w:webHidden/>
              </w:rPr>
              <w:fldChar w:fldCharType="end"/>
            </w:r>
          </w:hyperlink>
        </w:p>
        <w:p w14:paraId="0C60EEC4" w14:textId="2D074093" w:rsidR="0080526C" w:rsidRDefault="0080526C">
          <w:pPr>
            <w:pStyle w:val="TOC2"/>
            <w:tabs>
              <w:tab w:val="right" w:leader="dot" w:pos="9016"/>
            </w:tabs>
            <w:rPr>
              <w:rFonts w:asciiTheme="minorHAnsi" w:eastAsiaTheme="minorEastAsia" w:hAnsiTheme="minorHAnsi"/>
              <w:noProof/>
              <w:szCs w:val="24"/>
              <w:lang w:eastAsia="en-IN"/>
            </w:rPr>
          </w:pPr>
          <w:hyperlink w:anchor="_Toc243773392" w:history="1">
            <w:r w:rsidRPr="00905390">
              <w:rPr>
                <w:rStyle w:val="Hyperlink"/>
                <w:rFonts w:cs="Times New Roman"/>
                <w:noProof/>
              </w:rPr>
              <w:t>3.3 Short-term vs long-term financing</w:t>
            </w:r>
            <w:r>
              <w:rPr>
                <w:noProof/>
                <w:webHidden/>
              </w:rPr>
              <w:tab/>
            </w:r>
            <w:r>
              <w:rPr>
                <w:noProof/>
                <w:webHidden/>
              </w:rPr>
              <w:fldChar w:fldCharType="begin"/>
            </w:r>
            <w:r>
              <w:rPr>
                <w:noProof/>
                <w:webHidden/>
              </w:rPr>
              <w:instrText xml:space="preserve"> PAGEREF _Toc243773392 \h </w:instrText>
            </w:r>
            <w:r>
              <w:rPr>
                <w:noProof/>
                <w:webHidden/>
              </w:rPr>
            </w:r>
            <w:r>
              <w:rPr>
                <w:noProof/>
                <w:webHidden/>
              </w:rPr>
              <w:fldChar w:fldCharType="separate"/>
            </w:r>
            <w:r>
              <w:rPr>
                <w:noProof/>
                <w:webHidden/>
              </w:rPr>
              <w:t>9</w:t>
            </w:r>
            <w:r>
              <w:rPr>
                <w:noProof/>
                <w:webHidden/>
              </w:rPr>
              <w:fldChar w:fldCharType="end"/>
            </w:r>
          </w:hyperlink>
        </w:p>
        <w:p w14:paraId="7DB49BDB" w14:textId="163C1A2D" w:rsidR="0080526C" w:rsidRDefault="0080526C">
          <w:pPr>
            <w:pStyle w:val="TOC1"/>
            <w:tabs>
              <w:tab w:val="right" w:leader="dot" w:pos="9016"/>
            </w:tabs>
            <w:rPr>
              <w:rFonts w:asciiTheme="minorHAnsi" w:eastAsiaTheme="minorEastAsia" w:hAnsiTheme="minorHAnsi"/>
              <w:noProof/>
              <w:szCs w:val="24"/>
              <w:lang w:eastAsia="en-IN"/>
            </w:rPr>
          </w:pPr>
          <w:hyperlink w:anchor="_Toc243773393" w:history="1">
            <w:r w:rsidRPr="00905390">
              <w:rPr>
                <w:rStyle w:val="Hyperlink"/>
                <w:rFonts w:cs="Times New Roman"/>
                <w:noProof/>
              </w:rPr>
              <w:t>4. Strategic financial restructuring plan</w:t>
            </w:r>
            <w:r>
              <w:rPr>
                <w:noProof/>
                <w:webHidden/>
              </w:rPr>
              <w:tab/>
            </w:r>
            <w:r>
              <w:rPr>
                <w:noProof/>
                <w:webHidden/>
              </w:rPr>
              <w:fldChar w:fldCharType="begin"/>
            </w:r>
            <w:r>
              <w:rPr>
                <w:noProof/>
                <w:webHidden/>
              </w:rPr>
              <w:instrText xml:space="preserve"> PAGEREF _Toc243773393 \h </w:instrText>
            </w:r>
            <w:r>
              <w:rPr>
                <w:noProof/>
                <w:webHidden/>
              </w:rPr>
            </w:r>
            <w:r>
              <w:rPr>
                <w:noProof/>
                <w:webHidden/>
              </w:rPr>
              <w:fldChar w:fldCharType="separate"/>
            </w:r>
            <w:r>
              <w:rPr>
                <w:noProof/>
                <w:webHidden/>
              </w:rPr>
              <w:t>10</w:t>
            </w:r>
            <w:r>
              <w:rPr>
                <w:noProof/>
                <w:webHidden/>
              </w:rPr>
              <w:fldChar w:fldCharType="end"/>
            </w:r>
          </w:hyperlink>
        </w:p>
        <w:p w14:paraId="14CC2BC7" w14:textId="10956E1C" w:rsidR="0080526C" w:rsidRDefault="0080526C">
          <w:pPr>
            <w:pStyle w:val="TOC2"/>
            <w:tabs>
              <w:tab w:val="right" w:leader="dot" w:pos="9016"/>
            </w:tabs>
            <w:rPr>
              <w:rFonts w:asciiTheme="minorHAnsi" w:eastAsiaTheme="minorEastAsia" w:hAnsiTheme="minorHAnsi"/>
              <w:noProof/>
              <w:szCs w:val="24"/>
              <w:lang w:eastAsia="en-IN"/>
            </w:rPr>
          </w:pPr>
          <w:hyperlink w:anchor="_Toc243773394" w:history="1">
            <w:r w:rsidRPr="00905390">
              <w:rPr>
                <w:rStyle w:val="Hyperlink"/>
                <w:rFonts w:cs="Times New Roman"/>
                <w:noProof/>
              </w:rPr>
              <w:t>4.1 Available financial restructuring options</w:t>
            </w:r>
            <w:r>
              <w:rPr>
                <w:noProof/>
                <w:webHidden/>
              </w:rPr>
              <w:tab/>
            </w:r>
            <w:r>
              <w:rPr>
                <w:noProof/>
                <w:webHidden/>
              </w:rPr>
              <w:fldChar w:fldCharType="begin"/>
            </w:r>
            <w:r>
              <w:rPr>
                <w:noProof/>
                <w:webHidden/>
              </w:rPr>
              <w:instrText xml:space="preserve"> PAGEREF _Toc243773394 \h </w:instrText>
            </w:r>
            <w:r>
              <w:rPr>
                <w:noProof/>
                <w:webHidden/>
              </w:rPr>
            </w:r>
            <w:r>
              <w:rPr>
                <w:noProof/>
                <w:webHidden/>
              </w:rPr>
              <w:fldChar w:fldCharType="separate"/>
            </w:r>
            <w:r>
              <w:rPr>
                <w:noProof/>
                <w:webHidden/>
              </w:rPr>
              <w:t>10</w:t>
            </w:r>
            <w:r>
              <w:rPr>
                <w:noProof/>
                <w:webHidden/>
              </w:rPr>
              <w:fldChar w:fldCharType="end"/>
            </w:r>
          </w:hyperlink>
        </w:p>
        <w:p w14:paraId="77B837A6" w14:textId="5C0C9E42" w:rsidR="0080526C" w:rsidRDefault="0080526C">
          <w:pPr>
            <w:pStyle w:val="TOC2"/>
            <w:tabs>
              <w:tab w:val="right" w:leader="dot" w:pos="9016"/>
            </w:tabs>
            <w:rPr>
              <w:rFonts w:asciiTheme="minorHAnsi" w:eastAsiaTheme="minorEastAsia" w:hAnsiTheme="minorHAnsi"/>
              <w:noProof/>
              <w:szCs w:val="24"/>
              <w:lang w:eastAsia="en-IN"/>
            </w:rPr>
          </w:pPr>
          <w:hyperlink w:anchor="_Toc243773395" w:history="1">
            <w:r w:rsidRPr="00905390">
              <w:rPr>
                <w:rStyle w:val="Hyperlink"/>
                <w:rFonts w:cs="Times New Roman"/>
                <w:noProof/>
              </w:rPr>
              <w:t>4.2 Impact on debt structure, shareholder’s value and operational flexibility</w:t>
            </w:r>
            <w:r>
              <w:rPr>
                <w:noProof/>
                <w:webHidden/>
              </w:rPr>
              <w:tab/>
            </w:r>
            <w:r>
              <w:rPr>
                <w:noProof/>
                <w:webHidden/>
              </w:rPr>
              <w:fldChar w:fldCharType="begin"/>
            </w:r>
            <w:r>
              <w:rPr>
                <w:noProof/>
                <w:webHidden/>
              </w:rPr>
              <w:instrText xml:space="preserve"> PAGEREF _Toc243773395 \h </w:instrText>
            </w:r>
            <w:r>
              <w:rPr>
                <w:noProof/>
                <w:webHidden/>
              </w:rPr>
            </w:r>
            <w:r>
              <w:rPr>
                <w:noProof/>
                <w:webHidden/>
              </w:rPr>
              <w:fldChar w:fldCharType="separate"/>
            </w:r>
            <w:r>
              <w:rPr>
                <w:noProof/>
                <w:webHidden/>
              </w:rPr>
              <w:t>11</w:t>
            </w:r>
            <w:r>
              <w:rPr>
                <w:noProof/>
                <w:webHidden/>
              </w:rPr>
              <w:fldChar w:fldCharType="end"/>
            </w:r>
          </w:hyperlink>
        </w:p>
        <w:p w14:paraId="713BCAA5" w14:textId="4F40CA1A" w:rsidR="0080526C" w:rsidRDefault="0080526C">
          <w:pPr>
            <w:pStyle w:val="TOC2"/>
            <w:tabs>
              <w:tab w:val="right" w:leader="dot" w:pos="9016"/>
            </w:tabs>
            <w:rPr>
              <w:rFonts w:asciiTheme="minorHAnsi" w:eastAsiaTheme="minorEastAsia" w:hAnsiTheme="minorHAnsi"/>
              <w:noProof/>
              <w:szCs w:val="24"/>
              <w:lang w:eastAsia="en-IN"/>
            </w:rPr>
          </w:pPr>
          <w:hyperlink w:anchor="_Toc243773396" w:history="1">
            <w:r w:rsidRPr="00905390">
              <w:rPr>
                <w:rStyle w:val="Hyperlink"/>
                <w:rFonts w:cs="Times New Roman"/>
                <w:noProof/>
              </w:rPr>
              <w:t>4.3 International and ethical considerations</w:t>
            </w:r>
            <w:r>
              <w:rPr>
                <w:noProof/>
                <w:webHidden/>
              </w:rPr>
              <w:tab/>
            </w:r>
            <w:r>
              <w:rPr>
                <w:noProof/>
                <w:webHidden/>
              </w:rPr>
              <w:fldChar w:fldCharType="begin"/>
            </w:r>
            <w:r>
              <w:rPr>
                <w:noProof/>
                <w:webHidden/>
              </w:rPr>
              <w:instrText xml:space="preserve"> PAGEREF _Toc243773396 \h </w:instrText>
            </w:r>
            <w:r>
              <w:rPr>
                <w:noProof/>
                <w:webHidden/>
              </w:rPr>
            </w:r>
            <w:r>
              <w:rPr>
                <w:noProof/>
                <w:webHidden/>
              </w:rPr>
              <w:fldChar w:fldCharType="separate"/>
            </w:r>
            <w:r>
              <w:rPr>
                <w:noProof/>
                <w:webHidden/>
              </w:rPr>
              <w:t>12</w:t>
            </w:r>
            <w:r>
              <w:rPr>
                <w:noProof/>
                <w:webHidden/>
              </w:rPr>
              <w:fldChar w:fldCharType="end"/>
            </w:r>
          </w:hyperlink>
        </w:p>
        <w:p w14:paraId="1DDA1926" w14:textId="2FD89297" w:rsidR="0080526C" w:rsidRDefault="0080526C">
          <w:pPr>
            <w:pStyle w:val="TOC1"/>
            <w:tabs>
              <w:tab w:val="right" w:leader="dot" w:pos="9016"/>
            </w:tabs>
            <w:rPr>
              <w:rFonts w:asciiTheme="minorHAnsi" w:eastAsiaTheme="minorEastAsia" w:hAnsiTheme="minorHAnsi"/>
              <w:noProof/>
              <w:szCs w:val="24"/>
              <w:lang w:eastAsia="en-IN"/>
            </w:rPr>
          </w:pPr>
          <w:hyperlink w:anchor="_Toc243773397" w:history="1">
            <w:r w:rsidRPr="00905390">
              <w:rPr>
                <w:rStyle w:val="Hyperlink"/>
                <w:rFonts w:cs="Times New Roman"/>
                <w:noProof/>
              </w:rPr>
              <w:t>5. Capital budgeting and investment appraisal</w:t>
            </w:r>
            <w:r>
              <w:rPr>
                <w:noProof/>
                <w:webHidden/>
              </w:rPr>
              <w:tab/>
            </w:r>
            <w:r>
              <w:rPr>
                <w:noProof/>
                <w:webHidden/>
              </w:rPr>
              <w:fldChar w:fldCharType="begin"/>
            </w:r>
            <w:r>
              <w:rPr>
                <w:noProof/>
                <w:webHidden/>
              </w:rPr>
              <w:instrText xml:space="preserve"> PAGEREF _Toc243773397 \h </w:instrText>
            </w:r>
            <w:r>
              <w:rPr>
                <w:noProof/>
                <w:webHidden/>
              </w:rPr>
            </w:r>
            <w:r>
              <w:rPr>
                <w:noProof/>
                <w:webHidden/>
              </w:rPr>
              <w:fldChar w:fldCharType="separate"/>
            </w:r>
            <w:r>
              <w:rPr>
                <w:noProof/>
                <w:webHidden/>
              </w:rPr>
              <w:t>13</w:t>
            </w:r>
            <w:r>
              <w:rPr>
                <w:noProof/>
                <w:webHidden/>
              </w:rPr>
              <w:fldChar w:fldCharType="end"/>
            </w:r>
          </w:hyperlink>
        </w:p>
        <w:p w14:paraId="53038E5C" w14:textId="1E90EB9D" w:rsidR="0080526C" w:rsidRDefault="0080526C">
          <w:pPr>
            <w:pStyle w:val="TOC2"/>
            <w:tabs>
              <w:tab w:val="right" w:leader="dot" w:pos="9016"/>
            </w:tabs>
            <w:rPr>
              <w:rFonts w:asciiTheme="minorHAnsi" w:eastAsiaTheme="minorEastAsia" w:hAnsiTheme="minorHAnsi"/>
              <w:noProof/>
              <w:szCs w:val="24"/>
              <w:lang w:eastAsia="en-IN"/>
            </w:rPr>
          </w:pPr>
          <w:hyperlink w:anchor="_Toc243773398" w:history="1">
            <w:r w:rsidRPr="00905390">
              <w:rPr>
                <w:rStyle w:val="Hyperlink"/>
                <w:rFonts w:cs="Times New Roman"/>
                <w:noProof/>
              </w:rPr>
              <w:t>5.1 Payback period</w:t>
            </w:r>
            <w:r>
              <w:rPr>
                <w:noProof/>
                <w:webHidden/>
              </w:rPr>
              <w:tab/>
            </w:r>
            <w:r>
              <w:rPr>
                <w:noProof/>
                <w:webHidden/>
              </w:rPr>
              <w:fldChar w:fldCharType="begin"/>
            </w:r>
            <w:r>
              <w:rPr>
                <w:noProof/>
                <w:webHidden/>
              </w:rPr>
              <w:instrText xml:space="preserve"> PAGEREF _Toc243773398 \h </w:instrText>
            </w:r>
            <w:r>
              <w:rPr>
                <w:noProof/>
                <w:webHidden/>
              </w:rPr>
            </w:r>
            <w:r>
              <w:rPr>
                <w:noProof/>
                <w:webHidden/>
              </w:rPr>
              <w:fldChar w:fldCharType="separate"/>
            </w:r>
            <w:r>
              <w:rPr>
                <w:noProof/>
                <w:webHidden/>
              </w:rPr>
              <w:t>13</w:t>
            </w:r>
            <w:r>
              <w:rPr>
                <w:noProof/>
                <w:webHidden/>
              </w:rPr>
              <w:fldChar w:fldCharType="end"/>
            </w:r>
          </w:hyperlink>
        </w:p>
        <w:p w14:paraId="4A794B2B" w14:textId="2C7D2D9F" w:rsidR="0080526C" w:rsidRDefault="0080526C">
          <w:pPr>
            <w:pStyle w:val="TOC2"/>
            <w:tabs>
              <w:tab w:val="right" w:leader="dot" w:pos="9016"/>
            </w:tabs>
            <w:rPr>
              <w:rFonts w:asciiTheme="minorHAnsi" w:eastAsiaTheme="minorEastAsia" w:hAnsiTheme="minorHAnsi"/>
              <w:noProof/>
              <w:szCs w:val="24"/>
              <w:lang w:eastAsia="en-IN"/>
            </w:rPr>
          </w:pPr>
          <w:hyperlink w:anchor="_Toc243773399" w:history="1">
            <w:r w:rsidRPr="00905390">
              <w:rPr>
                <w:rStyle w:val="Hyperlink"/>
                <w:rFonts w:cs="Times New Roman"/>
                <w:noProof/>
              </w:rPr>
              <w:t>5.2 Accounting rate of return</w:t>
            </w:r>
            <w:r>
              <w:rPr>
                <w:noProof/>
                <w:webHidden/>
              </w:rPr>
              <w:tab/>
            </w:r>
            <w:r>
              <w:rPr>
                <w:noProof/>
                <w:webHidden/>
              </w:rPr>
              <w:fldChar w:fldCharType="begin"/>
            </w:r>
            <w:r>
              <w:rPr>
                <w:noProof/>
                <w:webHidden/>
              </w:rPr>
              <w:instrText xml:space="preserve"> PAGEREF _Toc243773399 \h </w:instrText>
            </w:r>
            <w:r>
              <w:rPr>
                <w:noProof/>
                <w:webHidden/>
              </w:rPr>
            </w:r>
            <w:r>
              <w:rPr>
                <w:noProof/>
                <w:webHidden/>
              </w:rPr>
              <w:fldChar w:fldCharType="separate"/>
            </w:r>
            <w:r>
              <w:rPr>
                <w:noProof/>
                <w:webHidden/>
              </w:rPr>
              <w:t>13</w:t>
            </w:r>
            <w:r>
              <w:rPr>
                <w:noProof/>
                <w:webHidden/>
              </w:rPr>
              <w:fldChar w:fldCharType="end"/>
            </w:r>
          </w:hyperlink>
        </w:p>
        <w:p w14:paraId="2A45921B" w14:textId="53D71CED" w:rsidR="0080526C" w:rsidRDefault="0080526C">
          <w:pPr>
            <w:pStyle w:val="TOC2"/>
            <w:tabs>
              <w:tab w:val="right" w:leader="dot" w:pos="9016"/>
            </w:tabs>
            <w:rPr>
              <w:rFonts w:asciiTheme="minorHAnsi" w:eastAsiaTheme="minorEastAsia" w:hAnsiTheme="minorHAnsi"/>
              <w:noProof/>
              <w:szCs w:val="24"/>
              <w:lang w:eastAsia="en-IN"/>
            </w:rPr>
          </w:pPr>
          <w:hyperlink w:anchor="_Toc243773400" w:history="1">
            <w:r w:rsidRPr="00905390">
              <w:rPr>
                <w:rStyle w:val="Hyperlink"/>
                <w:rFonts w:cs="Times New Roman"/>
                <w:noProof/>
              </w:rPr>
              <w:t>5.3 Net present value</w:t>
            </w:r>
            <w:r>
              <w:rPr>
                <w:noProof/>
                <w:webHidden/>
              </w:rPr>
              <w:tab/>
            </w:r>
            <w:r>
              <w:rPr>
                <w:noProof/>
                <w:webHidden/>
              </w:rPr>
              <w:fldChar w:fldCharType="begin"/>
            </w:r>
            <w:r>
              <w:rPr>
                <w:noProof/>
                <w:webHidden/>
              </w:rPr>
              <w:instrText xml:space="preserve"> PAGEREF _Toc243773400 \h </w:instrText>
            </w:r>
            <w:r>
              <w:rPr>
                <w:noProof/>
                <w:webHidden/>
              </w:rPr>
            </w:r>
            <w:r>
              <w:rPr>
                <w:noProof/>
                <w:webHidden/>
              </w:rPr>
              <w:fldChar w:fldCharType="separate"/>
            </w:r>
            <w:r>
              <w:rPr>
                <w:noProof/>
                <w:webHidden/>
              </w:rPr>
              <w:t>13</w:t>
            </w:r>
            <w:r>
              <w:rPr>
                <w:noProof/>
                <w:webHidden/>
              </w:rPr>
              <w:fldChar w:fldCharType="end"/>
            </w:r>
          </w:hyperlink>
        </w:p>
        <w:p w14:paraId="4A02D559" w14:textId="35491E02" w:rsidR="0080526C" w:rsidRDefault="0080526C">
          <w:pPr>
            <w:pStyle w:val="TOC2"/>
            <w:tabs>
              <w:tab w:val="right" w:leader="dot" w:pos="9016"/>
            </w:tabs>
            <w:rPr>
              <w:rFonts w:asciiTheme="minorHAnsi" w:eastAsiaTheme="minorEastAsia" w:hAnsiTheme="minorHAnsi"/>
              <w:noProof/>
              <w:szCs w:val="24"/>
              <w:lang w:eastAsia="en-IN"/>
            </w:rPr>
          </w:pPr>
          <w:hyperlink w:anchor="_Toc243773401" w:history="1">
            <w:r w:rsidRPr="00905390">
              <w:rPr>
                <w:rStyle w:val="Hyperlink"/>
                <w:rFonts w:cs="Times New Roman"/>
                <w:noProof/>
              </w:rPr>
              <w:t>5.4 Profitability index</w:t>
            </w:r>
            <w:r>
              <w:rPr>
                <w:noProof/>
                <w:webHidden/>
              </w:rPr>
              <w:tab/>
            </w:r>
            <w:r>
              <w:rPr>
                <w:noProof/>
                <w:webHidden/>
              </w:rPr>
              <w:fldChar w:fldCharType="begin"/>
            </w:r>
            <w:r>
              <w:rPr>
                <w:noProof/>
                <w:webHidden/>
              </w:rPr>
              <w:instrText xml:space="preserve"> PAGEREF _Toc243773401 \h </w:instrText>
            </w:r>
            <w:r>
              <w:rPr>
                <w:noProof/>
                <w:webHidden/>
              </w:rPr>
            </w:r>
            <w:r>
              <w:rPr>
                <w:noProof/>
                <w:webHidden/>
              </w:rPr>
              <w:fldChar w:fldCharType="separate"/>
            </w:r>
            <w:r>
              <w:rPr>
                <w:noProof/>
                <w:webHidden/>
              </w:rPr>
              <w:t>14</w:t>
            </w:r>
            <w:r>
              <w:rPr>
                <w:noProof/>
                <w:webHidden/>
              </w:rPr>
              <w:fldChar w:fldCharType="end"/>
            </w:r>
          </w:hyperlink>
        </w:p>
        <w:p w14:paraId="69BF925E" w14:textId="17805850" w:rsidR="0080526C" w:rsidRDefault="0080526C">
          <w:pPr>
            <w:pStyle w:val="TOC2"/>
            <w:tabs>
              <w:tab w:val="right" w:leader="dot" w:pos="9016"/>
            </w:tabs>
            <w:rPr>
              <w:rFonts w:asciiTheme="minorHAnsi" w:eastAsiaTheme="minorEastAsia" w:hAnsiTheme="minorHAnsi"/>
              <w:noProof/>
              <w:szCs w:val="24"/>
              <w:lang w:eastAsia="en-IN"/>
            </w:rPr>
          </w:pPr>
          <w:hyperlink w:anchor="_Toc243773402" w:history="1">
            <w:r w:rsidRPr="00905390">
              <w:rPr>
                <w:rStyle w:val="Hyperlink"/>
                <w:rFonts w:cs="Times New Roman"/>
                <w:noProof/>
              </w:rPr>
              <w:t>5.5 Internal rate of return</w:t>
            </w:r>
            <w:r>
              <w:rPr>
                <w:noProof/>
                <w:webHidden/>
              </w:rPr>
              <w:tab/>
            </w:r>
            <w:r>
              <w:rPr>
                <w:noProof/>
                <w:webHidden/>
              </w:rPr>
              <w:fldChar w:fldCharType="begin"/>
            </w:r>
            <w:r>
              <w:rPr>
                <w:noProof/>
                <w:webHidden/>
              </w:rPr>
              <w:instrText xml:space="preserve"> PAGEREF _Toc243773402 \h </w:instrText>
            </w:r>
            <w:r>
              <w:rPr>
                <w:noProof/>
                <w:webHidden/>
              </w:rPr>
            </w:r>
            <w:r>
              <w:rPr>
                <w:noProof/>
                <w:webHidden/>
              </w:rPr>
              <w:fldChar w:fldCharType="separate"/>
            </w:r>
            <w:r>
              <w:rPr>
                <w:noProof/>
                <w:webHidden/>
              </w:rPr>
              <w:t>14</w:t>
            </w:r>
            <w:r>
              <w:rPr>
                <w:noProof/>
                <w:webHidden/>
              </w:rPr>
              <w:fldChar w:fldCharType="end"/>
            </w:r>
          </w:hyperlink>
        </w:p>
        <w:p w14:paraId="755F1496" w14:textId="7DCD9B92" w:rsidR="0080526C" w:rsidRDefault="0080526C">
          <w:pPr>
            <w:pStyle w:val="TOC2"/>
            <w:tabs>
              <w:tab w:val="right" w:leader="dot" w:pos="9016"/>
            </w:tabs>
            <w:rPr>
              <w:rFonts w:asciiTheme="minorHAnsi" w:eastAsiaTheme="minorEastAsia" w:hAnsiTheme="minorHAnsi"/>
              <w:noProof/>
              <w:szCs w:val="24"/>
              <w:lang w:eastAsia="en-IN"/>
            </w:rPr>
          </w:pPr>
          <w:hyperlink w:anchor="_Toc243773403" w:history="1">
            <w:r w:rsidRPr="00905390">
              <w:rPr>
                <w:rStyle w:val="Hyperlink"/>
                <w:rFonts w:cs="Times New Roman"/>
                <w:noProof/>
              </w:rPr>
              <w:t>5.6 Overall comparison of projects and recommendation on project to be selected</w:t>
            </w:r>
            <w:r>
              <w:rPr>
                <w:noProof/>
                <w:webHidden/>
              </w:rPr>
              <w:tab/>
            </w:r>
            <w:r>
              <w:rPr>
                <w:noProof/>
                <w:webHidden/>
              </w:rPr>
              <w:fldChar w:fldCharType="begin"/>
            </w:r>
            <w:r>
              <w:rPr>
                <w:noProof/>
                <w:webHidden/>
              </w:rPr>
              <w:instrText xml:space="preserve"> PAGEREF _Toc243773403 \h </w:instrText>
            </w:r>
            <w:r>
              <w:rPr>
                <w:noProof/>
                <w:webHidden/>
              </w:rPr>
            </w:r>
            <w:r>
              <w:rPr>
                <w:noProof/>
                <w:webHidden/>
              </w:rPr>
              <w:fldChar w:fldCharType="separate"/>
            </w:r>
            <w:r>
              <w:rPr>
                <w:noProof/>
                <w:webHidden/>
              </w:rPr>
              <w:t>15</w:t>
            </w:r>
            <w:r>
              <w:rPr>
                <w:noProof/>
                <w:webHidden/>
              </w:rPr>
              <w:fldChar w:fldCharType="end"/>
            </w:r>
          </w:hyperlink>
        </w:p>
        <w:p w14:paraId="5BA5A2AC" w14:textId="5C757BB7" w:rsidR="0080526C" w:rsidRDefault="0080526C">
          <w:pPr>
            <w:pStyle w:val="TOC2"/>
            <w:tabs>
              <w:tab w:val="right" w:leader="dot" w:pos="9016"/>
            </w:tabs>
            <w:rPr>
              <w:rFonts w:asciiTheme="minorHAnsi" w:eastAsiaTheme="minorEastAsia" w:hAnsiTheme="minorHAnsi"/>
              <w:noProof/>
              <w:szCs w:val="24"/>
              <w:lang w:eastAsia="en-IN"/>
            </w:rPr>
          </w:pPr>
          <w:hyperlink w:anchor="_Toc243773404" w:history="1">
            <w:r w:rsidRPr="00905390">
              <w:rPr>
                <w:rStyle w:val="Hyperlink"/>
                <w:rFonts w:cs="Times New Roman"/>
                <w:noProof/>
              </w:rPr>
              <w:t>5.7 Capital rationing</w:t>
            </w:r>
            <w:r>
              <w:rPr>
                <w:noProof/>
                <w:webHidden/>
              </w:rPr>
              <w:tab/>
            </w:r>
            <w:r>
              <w:rPr>
                <w:noProof/>
                <w:webHidden/>
              </w:rPr>
              <w:fldChar w:fldCharType="begin"/>
            </w:r>
            <w:r>
              <w:rPr>
                <w:noProof/>
                <w:webHidden/>
              </w:rPr>
              <w:instrText xml:space="preserve"> PAGEREF _Toc243773404 \h </w:instrText>
            </w:r>
            <w:r>
              <w:rPr>
                <w:noProof/>
                <w:webHidden/>
              </w:rPr>
            </w:r>
            <w:r>
              <w:rPr>
                <w:noProof/>
                <w:webHidden/>
              </w:rPr>
              <w:fldChar w:fldCharType="separate"/>
            </w:r>
            <w:r>
              <w:rPr>
                <w:noProof/>
                <w:webHidden/>
              </w:rPr>
              <w:t>16</w:t>
            </w:r>
            <w:r>
              <w:rPr>
                <w:noProof/>
                <w:webHidden/>
              </w:rPr>
              <w:fldChar w:fldCharType="end"/>
            </w:r>
          </w:hyperlink>
        </w:p>
        <w:p w14:paraId="7C5E74C6" w14:textId="0E9520A9" w:rsidR="0080526C" w:rsidRDefault="0080526C">
          <w:pPr>
            <w:pStyle w:val="TOC1"/>
            <w:tabs>
              <w:tab w:val="right" w:leader="dot" w:pos="9016"/>
            </w:tabs>
            <w:rPr>
              <w:rFonts w:asciiTheme="minorHAnsi" w:eastAsiaTheme="minorEastAsia" w:hAnsiTheme="minorHAnsi"/>
              <w:noProof/>
              <w:szCs w:val="24"/>
              <w:lang w:eastAsia="en-IN"/>
            </w:rPr>
          </w:pPr>
          <w:hyperlink w:anchor="_Toc243773405" w:history="1">
            <w:r w:rsidRPr="00905390">
              <w:rPr>
                <w:rStyle w:val="Hyperlink"/>
                <w:rFonts w:cs="Times New Roman"/>
                <w:noProof/>
              </w:rPr>
              <w:t>6. Self-reflection on financial management decisions</w:t>
            </w:r>
            <w:r>
              <w:rPr>
                <w:noProof/>
                <w:webHidden/>
              </w:rPr>
              <w:tab/>
            </w:r>
            <w:r>
              <w:rPr>
                <w:noProof/>
                <w:webHidden/>
              </w:rPr>
              <w:fldChar w:fldCharType="begin"/>
            </w:r>
            <w:r>
              <w:rPr>
                <w:noProof/>
                <w:webHidden/>
              </w:rPr>
              <w:instrText xml:space="preserve"> PAGEREF _Toc243773405 \h </w:instrText>
            </w:r>
            <w:r>
              <w:rPr>
                <w:noProof/>
                <w:webHidden/>
              </w:rPr>
            </w:r>
            <w:r>
              <w:rPr>
                <w:noProof/>
                <w:webHidden/>
              </w:rPr>
              <w:fldChar w:fldCharType="separate"/>
            </w:r>
            <w:r>
              <w:rPr>
                <w:noProof/>
                <w:webHidden/>
              </w:rPr>
              <w:t>16</w:t>
            </w:r>
            <w:r>
              <w:rPr>
                <w:noProof/>
                <w:webHidden/>
              </w:rPr>
              <w:fldChar w:fldCharType="end"/>
            </w:r>
          </w:hyperlink>
        </w:p>
        <w:p w14:paraId="4EB2DD65" w14:textId="07FA71CD" w:rsidR="0080526C" w:rsidRDefault="0080526C">
          <w:pPr>
            <w:pStyle w:val="TOC2"/>
            <w:tabs>
              <w:tab w:val="right" w:leader="dot" w:pos="9016"/>
            </w:tabs>
            <w:rPr>
              <w:rFonts w:asciiTheme="minorHAnsi" w:eastAsiaTheme="minorEastAsia" w:hAnsiTheme="minorHAnsi"/>
              <w:noProof/>
              <w:szCs w:val="24"/>
              <w:lang w:eastAsia="en-IN"/>
            </w:rPr>
          </w:pPr>
          <w:hyperlink w:anchor="_Toc243773406" w:history="1">
            <w:r w:rsidRPr="00905390">
              <w:rPr>
                <w:rStyle w:val="Hyperlink"/>
                <w:rFonts w:cs="Times New Roman"/>
                <w:noProof/>
              </w:rPr>
              <w:t>6.1 Justification of strategic decisions</w:t>
            </w:r>
            <w:r>
              <w:rPr>
                <w:noProof/>
                <w:webHidden/>
              </w:rPr>
              <w:tab/>
            </w:r>
            <w:r>
              <w:rPr>
                <w:noProof/>
                <w:webHidden/>
              </w:rPr>
              <w:fldChar w:fldCharType="begin"/>
            </w:r>
            <w:r>
              <w:rPr>
                <w:noProof/>
                <w:webHidden/>
              </w:rPr>
              <w:instrText xml:space="preserve"> PAGEREF _Toc243773406 \h </w:instrText>
            </w:r>
            <w:r>
              <w:rPr>
                <w:noProof/>
                <w:webHidden/>
              </w:rPr>
            </w:r>
            <w:r>
              <w:rPr>
                <w:noProof/>
                <w:webHidden/>
              </w:rPr>
              <w:fldChar w:fldCharType="separate"/>
            </w:r>
            <w:r>
              <w:rPr>
                <w:noProof/>
                <w:webHidden/>
              </w:rPr>
              <w:t>16</w:t>
            </w:r>
            <w:r>
              <w:rPr>
                <w:noProof/>
                <w:webHidden/>
              </w:rPr>
              <w:fldChar w:fldCharType="end"/>
            </w:r>
          </w:hyperlink>
        </w:p>
        <w:p w14:paraId="3EE44322" w14:textId="63507ACD" w:rsidR="0080526C" w:rsidRDefault="0080526C">
          <w:pPr>
            <w:pStyle w:val="TOC2"/>
            <w:tabs>
              <w:tab w:val="right" w:leader="dot" w:pos="9016"/>
            </w:tabs>
            <w:rPr>
              <w:rFonts w:asciiTheme="minorHAnsi" w:eastAsiaTheme="minorEastAsia" w:hAnsiTheme="minorHAnsi"/>
              <w:noProof/>
              <w:szCs w:val="24"/>
              <w:lang w:eastAsia="en-IN"/>
            </w:rPr>
          </w:pPr>
          <w:hyperlink w:anchor="_Toc243773407" w:history="1">
            <w:r w:rsidRPr="00905390">
              <w:rPr>
                <w:rStyle w:val="Hyperlink"/>
                <w:rFonts w:cs="Times New Roman"/>
                <w:noProof/>
              </w:rPr>
              <w:t>6.2 Professional judgement in decision-making</w:t>
            </w:r>
            <w:r>
              <w:rPr>
                <w:noProof/>
                <w:webHidden/>
              </w:rPr>
              <w:tab/>
            </w:r>
            <w:r>
              <w:rPr>
                <w:noProof/>
                <w:webHidden/>
              </w:rPr>
              <w:fldChar w:fldCharType="begin"/>
            </w:r>
            <w:r>
              <w:rPr>
                <w:noProof/>
                <w:webHidden/>
              </w:rPr>
              <w:instrText xml:space="preserve"> PAGEREF _Toc243773407 \h </w:instrText>
            </w:r>
            <w:r>
              <w:rPr>
                <w:noProof/>
                <w:webHidden/>
              </w:rPr>
            </w:r>
            <w:r>
              <w:rPr>
                <w:noProof/>
                <w:webHidden/>
              </w:rPr>
              <w:fldChar w:fldCharType="separate"/>
            </w:r>
            <w:r>
              <w:rPr>
                <w:noProof/>
                <w:webHidden/>
              </w:rPr>
              <w:t>18</w:t>
            </w:r>
            <w:r>
              <w:rPr>
                <w:noProof/>
                <w:webHidden/>
              </w:rPr>
              <w:fldChar w:fldCharType="end"/>
            </w:r>
          </w:hyperlink>
        </w:p>
        <w:p w14:paraId="55F04837" w14:textId="5FC5D599" w:rsidR="0080526C" w:rsidRDefault="0080526C">
          <w:pPr>
            <w:pStyle w:val="TOC2"/>
            <w:tabs>
              <w:tab w:val="right" w:leader="dot" w:pos="9016"/>
            </w:tabs>
            <w:rPr>
              <w:rFonts w:asciiTheme="minorHAnsi" w:eastAsiaTheme="minorEastAsia" w:hAnsiTheme="minorHAnsi"/>
              <w:noProof/>
              <w:szCs w:val="24"/>
              <w:lang w:eastAsia="en-IN"/>
            </w:rPr>
          </w:pPr>
          <w:hyperlink w:anchor="_Toc243773408" w:history="1">
            <w:r w:rsidRPr="00905390">
              <w:rPr>
                <w:rStyle w:val="Hyperlink"/>
                <w:rFonts w:cs="Times New Roman"/>
                <w:noProof/>
              </w:rPr>
              <w:t>6.3 Critical reflection on usage of AI</w:t>
            </w:r>
            <w:r>
              <w:rPr>
                <w:noProof/>
                <w:webHidden/>
              </w:rPr>
              <w:tab/>
            </w:r>
            <w:r>
              <w:rPr>
                <w:noProof/>
                <w:webHidden/>
              </w:rPr>
              <w:fldChar w:fldCharType="begin"/>
            </w:r>
            <w:r>
              <w:rPr>
                <w:noProof/>
                <w:webHidden/>
              </w:rPr>
              <w:instrText xml:space="preserve"> PAGEREF _Toc243773408 \h </w:instrText>
            </w:r>
            <w:r>
              <w:rPr>
                <w:noProof/>
                <w:webHidden/>
              </w:rPr>
            </w:r>
            <w:r>
              <w:rPr>
                <w:noProof/>
                <w:webHidden/>
              </w:rPr>
              <w:fldChar w:fldCharType="separate"/>
            </w:r>
            <w:r>
              <w:rPr>
                <w:noProof/>
                <w:webHidden/>
              </w:rPr>
              <w:t>18</w:t>
            </w:r>
            <w:r>
              <w:rPr>
                <w:noProof/>
                <w:webHidden/>
              </w:rPr>
              <w:fldChar w:fldCharType="end"/>
            </w:r>
          </w:hyperlink>
        </w:p>
        <w:p w14:paraId="7E0F5027" w14:textId="751887ED" w:rsidR="0080526C" w:rsidRDefault="0080526C">
          <w:pPr>
            <w:pStyle w:val="TOC1"/>
            <w:tabs>
              <w:tab w:val="right" w:leader="dot" w:pos="9016"/>
            </w:tabs>
            <w:rPr>
              <w:rFonts w:asciiTheme="minorHAnsi" w:eastAsiaTheme="minorEastAsia" w:hAnsiTheme="minorHAnsi"/>
              <w:noProof/>
              <w:szCs w:val="24"/>
              <w:lang w:eastAsia="en-IN"/>
            </w:rPr>
          </w:pPr>
          <w:hyperlink w:anchor="_Toc243773409" w:history="1">
            <w:r w:rsidRPr="00905390">
              <w:rPr>
                <w:rStyle w:val="Hyperlink"/>
                <w:rFonts w:cs="Times New Roman"/>
                <w:noProof/>
              </w:rPr>
              <w:t>7. References</w:t>
            </w:r>
            <w:r>
              <w:rPr>
                <w:noProof/>
                <w:webHidden/>
              </w:rPr>
              <w:tab/>
            </w:r>
            <w:r>
              <w:rPr>
                <w:noProof/>
                <w:webHidden/>
              </w:rPr>
              <w:fldChar w:fldCharType="begin"/>
            </w:r>
            <w:r>
              <w:rPr>
                <w:noProof/>
                <w:webHidden/>
              </w:rPr>
              <w:instrText xml:space="preserve"> PAGEREF _Toc243773409 \h </w:instrText>
            </w:r>
            <w:r>
              <w:rPr>
                <w:noProof/>
                <w:webHidden/>
              </w:rPr>
            </w:r>
            <w:r>
              <w:rPr>
                <w:noProof/>
                <w:webHidden/>
              </w:rPr>
              <w:fldChar w:fldCharType="separate"/>
            </w:r>
            <w:r>
              <w:rPr>
                <w:noProof/>
                <w:webHidden/>
              </w:rPr>
              <w:t>20</w:t>
            </w:r>
            <w:r>
              <w:rPr>
                <w:noProof/>
                <w:webHidden/>
              </w:rPr>
              <w:fldChar w:fldCharType="end"/>
            </w:r>
          </w:hyperlink>
        </w:p>
        <w:p w14:paraId="2C82D0C5" w14:textId="71EA496A" w:rsidR="0080526C" w:rsidRDefault="0080526C">
          <w:pPr>
            <w:pStyle w:val="TOC1"/>
            <w:tabs>
              <w:tab w:val="right" w:leader="dot" w:pos="9016"/>
            </w:tabs>
            <w:rPr>
              <w:rFonts w:asciiTheme="minorHAnsi" w:eastAsiaTheme="minorEastAsia" w:hAnsiTheme="minorHAnsi"/>
              <w:noProof/>
              <w:szCs w:val="24"/>
              <w:lang w:eastAsia="en-IN"/>
            </w:rPr>
          </w:pPr>
          <w:hyperlink w:anchor="_Toc243773410" w:history="1">
            <w:r w:rsidRPr="00905390">
              <w:rPr>
                <w:rStyle w:val="Hyperlink"/>
                <w:rFonts w:cs="Times New Roman"/>
                <w:noProof/>
              </w:rPr>
              <w:t>8. Appendix</w:t>
            </w:r>
            <w:r>
              <w:rPr>
                <w:noProof/>
                <w:webHidden/>
              </w:rPr>
              <w:tab/>
            </w:r>
            <w:r>
              <w:rPr>
                <w:noProof/>
                <w:webHidden/>
              </w:rPr>
              <w:fldChar w:fldCharType="begin"/>
            </w:r>
            <w:r>
              <w:rPr>
                <w:noProof/>
                <w:webHidden/>
              </w:rPr>
              <w:instrText xml:space="preserve"> PAGEREF _Toc243773410 \h </w:instrText>
            </w:r>
            <w:r>
              <w:rPr>
                <w:noProof/>
                <w:webHidden/>
              </w:rPr>
            </w:r>
            <w:r>
              <w:rPr>
                <w:noProof/>
                <w:webHidden/>
              </w:rPr>
              <w:fldChar w:fldCharType="separate"/>
            </w:r>
            <w:r>
              <w:rPr>
                <w:noProof/>
                <w:webHidden/>
              </w:rPr>
              <w:t>24</w:t>
            </w:r>
            <w:r>
              <w:rPr>
                <w:noProof/>
                <w:webHidden/>
              </w:rPr>
              <w:fldChar w:fldCharType="end"/>
            </w:r>
          </w:hyperlink>
        </w:p>
        <w:p w14:paraId="318FDEEC" w14:textId="19955649" w:rsidR="0080526C" w:rsidRDefault="0080526C">
          <w:pPr>
            <w:pStyle w:val="TOC2"/>
            <w:tabs>
              <w:tab w:val="right" w:leader="dot" w:pos="9016"/>
            </w:tabs>
            <w:rPr>
              <w:rFonts w:asciiTheme="minorHAnsi" w:eastAsiaTheme="minorEastAsia" w:hAnsiTheme="minorHAnsi"/>
              <w:noProof/>
              <w:szCs w:val="24"/>
              <w:lang w:eastAsia="en-IN"/>
            </w:rPr>
          </w:pPr>
          <w:hyperlink w:anchor="_Toc243773411" w:history="1">
            <w:r w:rsidRPr="00905390">
              <w:rPr>
                <w:rStyle w:val="Hyperlink"/>
                <w:rFonts w:cs="Times New Roman"/>
                <w:noProof/>
              </w:rPr>
              <w:t>8.1 Calculation of ratios</w:t>
            </w:r>
            <w:r>
              <w:rPr>
                <w:noProof/>
                <w:webHidden/>
              </w:rPr>
              <w:tab/>
            </w:r>
            <w:r>
              <w:rPr>
                <w:noProof/>
                <w:webHidden/>
              </w:rPr>
              <w:fldChar w:fldCharType="begin"/>
            </w:r>
            <w:r>
              <w:rPr>
                <w:noProof/>
                <w:webHidden/>
              </w:rPr>
              <w:instrText xml:space="preserve"> PAGEREF _Toc243773411 \h </w:instrText>
            </w:r>
            <w:r>
              <w:rPr>
                <w:noProof/>
                <w:webHidden/>
              </w:rPr>
            </w:r>
            <w:r>
              <w:rPr>
                <w:noProof/>
                <w:webHidden/>
              </w:rPr>
              <w:fldChar w:fldCharType="separate"/>
            </w:r>
            <w:r>
              <w:rPr>
                <w:noProof/>
                <w:webHidden/>
              </w:rPr>
              <w:t>24</w:t>
            </w:r>
            <w:r>
              <w:rPr>
                <w:noProof/>
                <w:webHidden/>
              </w:rPr>
              <w:fldChar w:fldCharType="end"/>
            </w:r>
          </w:hyperlink>
        </w:p>
        <w:p w14:paraId="7767D6E7" w14:textId="75B6E56F" w:rsidR="0080526C" w:rsidRDefault="0080526C">
          <w:pPr>
            <w:pStyle w:val="TOC2"/>
            <w:tabs>
              <w:tab w:val="right" w:leader="dot" w:pos="9016"/>
            </w:tabs>
            <w:rPr>
              <w:rFonts w:asciiTheme="minorHAnsi" w:eastAsiaTheme="minorEastAsia" w:hAnsiTheme="minorHAnsi"/>
              <w:noProof/>
              <w:szCs w:val="24"/>
              <w:lang w:eastAsia="en-IN"/>
            </w:rPr>
          </w:pPr>
          <w:hyperlink w:anchor="_Toc243773412" w:history="1">
            <w:r w:rsidRPr="00905390">
              <w:rPr>
                <w:rStyle w:val="Hyperlink"/>
                <w:rFonts w:cs="Times New Roman"/>
                <w:noProof/>
              </w:rPr>
              <w:t>8.2 Calculation of working capital ratios</w:t>
            </w:r>
            <w:r>
              <w:rPr>
                <w:noProof/>
                <w:webHidden/>
              </w:rPr>
              <w:tab/>
            </w:r>
            <w:r>
              <w:rPr>
                <w:noProof/>
                <w:webHidden/>
              </w:rPr>
              <w:fldChar w:fldCharType="begin"/>
            </w:r>
            <w:r>
              <w:rPr>
                <w:noProof/>
                <w:webHidden/>
              </w:rPr>
              <w:instrText xml:space="preserve"> PAGEREF _Toc243773412 \h </w:instrText>
            </w:r>
            <w:r>
              <w:rPr>
                <w:noProof/>
                <w:webHidden/>
              </w:rPr>
            </w:r>
            <w:r>
              <w:rPr>
                <w:noProof/>
                <w:webHidden/>
              </w:rPr>
              <w:fldChar w:fldCharType="separate"/>
            </w:r>
            <w:r>
              <w:rPr>
                <w:noProof/>
                <w:webHidden/>
              </w:rPr>
              <w:t>25</w:t>
            </w:r>
            <w:r>
              <w:rPr>
                <w:noProof/>
                <w:webHidden/>
              </w:rPr>
              <w:fldChar w:fldCharType="end"/>
            </w:r>
          </w:hyperlink>
        </w:p>
        <w:p w14:paraId="65AC4D95" w14:textId="2A288D61" w:rsidR="0080526C" w:rsidRDefault="0080526C">
          <w:pPr>
            <w:pStyle w:val="TOC2"/>
            <w:tabs>
              <w:tab w:val="right" w:leader="dot" w:pos="9016"/>
            </w:tabs>
            <w:rPr>
              <w:rFonts w:asciiTheme="minorHAnsi" w:eastAsiaTheme="minorEastAsia" w:hAnsiTheme="minorHAnsi"/>
              <w:noProof/>
              <w:szCs w:val="24"/>
              <w:lang w:eastAsia="en-IN"/>
            </w:rPr>
          </w:pPr>
          <w:hyperlink w:anchor="_Toc243773413" w:history="1">
            <w:r w:rsidRPr="00905390">
              <w:rPr>
                <w:rStyle w:val="Hyperlink"/>
                <w:rFonts w:cs="Times New Roman"/>
                <w:noProof/>
              </w:rPr>
              <w:t>8.3 Capital budgeting techniques</w:t>
            </w:r>
            <w:r>
              <w:rPr>
                <w:noProof/>
                <w:webHidden/>
              </w:rPr>
              <w:tab/>
            </w:r>
            <w:r>
              <w:rPr>
                <w:noProof/>
                <w:webHidden/>
              </w:rPr>
              <w:fldChar w:fldCharType="begin"/>
            </w:r>
            <w:r>
              <w:rPr>
                <w:noProof/>
                <w:webHidden/>
              </w:rPr>
              <w:instrText xml:space="preserve"> PAGEREF _Toc243773413 \h </w:instrText>
            </w:r>
            <w:r>
              <w:rPr>
                <w:noProof/>
                <w:webHidden/>
              </w:rPr>
            </w:r>
            <w:r>
              <w:rPr>
                <w:noProof/>
                <w:webHidden/>
              </w:rPr>
              <w:fldChar w:fldCharType="separate"/>
            </w:r>
            <w:r>
              <w:rPr>
                <w:noProof/>
                <w:webHidden/>
              </w:rPr>
              <w:t>25</w:t>
            </w:r>
            <w:r>
              <w:rPr>
                <w:noProof/>
                <w:webHidden/>
              </w:rPr>
              <w:fldChar w:fldCharType="end"/>
            </w:r>
          </w:hyperlink>
        </w:p>
        <w:p w14:paraId="1D376DEB" w14:textId="1E293C1A" w:rsidR="00A05AF1" w:rsidRPr="001D7532" w:rsidRDefault="00A05AF1" w:rsidP="009642C8">
          <w:pPr>
            <w:spacing w:line="360" w:lineRule="auto"/>
            <w:rPr>
              <w:rFonts w:cs="Times New Roman"/>
              <w:szCs w:val="24"/>
            </w:rPr>
          </w:pPr>
          <w:r w:rsidRPr="001D7532">
            <w:rPr>
              <w:rFonts w:cs="Times New Roman"/>
              <w:b/>
              <w:bCs/>
              <w:noProof/>
              <w:szCs w:val="24"/>
            </w:rPr>
            <w:lastRenderedPageBreak/>
            <w:fldChar w:fldCharType="end"/>
          </w:r>
        </w:p>
      </w:sdtContent>
    </w:sdt>
    <w:p w14:paraId="0FED1DCD" w14:textId="498C15BF" w:rsidR="00A05AF1" w:rsidRPr="001D7532" w:rsidRDefault="00EA3DDC" w:rsidP="009642C8">
      <w:pPr>
        <w:pStyle w:val="Heading1"/>
        <w:spacing w:line="360" w:lineRule="auto"/>
        <w:rPr>
          <w:rFonts w:ascii="Times New Roman" w:hAnsi="Times New Roman" w:cs="Times New Roman"/>
          <w:sz w:val="24"/>
          <w:szCs w:val="24"/>
        </w:rPr>
      </w:pPr>
      <w:bookmarkStart w:id="0" w:name="_Toc243773380"/>
      <w:r w:rsidRPr="001D7532">
        <w:rPr>
          <w:rFonts w:ascii="Times New Roman" w:hAnsi="Times New Roman" w:cs="Times New Roman"/>
          <w:sz w:val="24"/>
          <w:szCs w:val="24"/>
        </w:rPr>
        <w:t>1. Introduction</w:t>
      </w:r>
      <w:bookmarkEnd w:id="0"/>
    </w:p>
    <w:p w14:paraId="4DB492C3" w14:textId="753AE41D" w:rsidR="00EA3DDC" w:rsidRDefault="001D7532" w:rsidP="009642C8">
      <w:pPr>
        <w:spacing w:line="360" w:lineRule="auto"/>
      </w:pPr>
      <w:r>
        <w:rPr>
          <w:rFonts w:cs="Times New Roman"/>
          <w:szCs w:val="24"/>
        </w:rPr>
        <w:t xml:space="preserve">The given </w:t>
      </w:r>
      <w:r w:rsidRPr="00427391">
        <w:rPr>
          <w:rFonts w:cs="Times New Roman"/>
          <w:b/>
          <w:bCs/>
          <w:szCs w:val="24"/>
        </w:rPr>
        <w:t xml:space="preserve">report is focussed on evaluating the financial performance and strategic position of selected company </w:t>
      </w:r>
      <w:r w:rsidR="00BC2DAE" w:rsidRPr="00427391">
        <w:rPr>
          <w:rFonts w:cs="Times New Roman"/>
          <w:b/>
          <w:bCs/>
          <w:szCs w:val="24"/>
        </w:rPr>
        <w:t xml:space="preserve">during the last five years </w:t>
      </w:r>
      <w:r w:rsidRPr="00427391">
        <w:rPr>
          <w:rFonts w:cs="Times New Roman"/>
          <w:b/>
          <w:bCs/>
          <w:szCs w:val="24"/>
        </w:rPr>
        <w:t>(Shell PLC)</w:t>
      </w:r>
      <w:r w:rsidR="00BC2DAE" w:rsidRPr="00427391">
        <w:rPr>
          <w:rFonts w:cs="Times New Roman"/>
          <w:b/>
          <w:bCs/>
          <w:szCs w:val="24"/>
        </w:rPr>
        <w:t xml:space="preserve"> which is a UK based leading company in energy sector</w:t>
      </w:r>
      <w:r w:rsidR="00BC2DAE">
        <w:rPr>
          <w:rFonts w:cs="Times New Roman"/>
          <w:szCs w:val="24"/>
        </w:rPr>
        <w:t xml:space="preserve">. </w:t>
      </w:r>
      <w:r w:rsidR="00124E7D">
        <w:rPr>
          <w:rFonts w:cs="Times New Roman"/>
          <w:szCs w:val="24"/>
        </w:rPr>
        <w:t xml:space="preserve">From the perspective of CFO, the report evaluates </w:t>
      </w:r>
      <w:r w:rsidR="00124E7D" w:rsidRPr="00124E7D">
        <w:t>liquidity</w:t>
      </w:r>
      <w:r w:rsidR="00124E7D">
        <w:t xml:space="preserve">, </w:t>
      </w:r>
      <w:r w:rsidR="00674286" w:rsidRPr="00674286">
        <w:t>profitability</w:t>
      </w:r>
      <w:r w:rsidR="00674286">
        <w:t xml:space="preserve">, </w:t>
      </w:r>
      <w:r w:rsidR="00674286" w:rsidRPr="00674286">
        <w:t>gearing</w:t>
      </w:r>
      <w:r w:rsidR="00674286">
        <w:t xml:space="preserve">, </w:t>
      </w:r>
      <w:r w:rsidR="00674286" w:rsidRPr="00674286">
        <w:t>efficiency</w:t>
      </w:r>
      <w:r w:rsidR="00674286">
        <w:t xml:space="preserve">, cash flow position and investment performance </w:t>
      </w:r>
      <w:r w:rsidR="00640FCD">
        <w:t xml:space="preserve">to identify key financial strengths and weakness of Shell PLC. </w:t>
      </w:r>
      <w:r w:rsidR="00713F85">
        <w:t xml:space="preserve">The report also includes analysis of working capital management, </w:t>
      </w:r>
      <w:r w:rsidR="00CC7AE8" w:rsidRPr="00CC7AE8">
        <w:t>strategic financial restructuring measures</w:t>
      </w:r>
      <w:r w:rsidR="00CC7AE8">
        <w:t xml:space="preserve"> and investment opportunities with the application of different capital budgeting techniques. Lastly, the report covers </w:t>
      </w:r>
      <w:r w:rsidR="00961427" w:rsidRPr="00961427">
        <w:t>international</w:t>
      </w:r>
      <w:r w:rsidR="00961427">
        <w:t xml:space="preserve">, </w:t>
      </w:r>
      <w:r w:rsidR="00961427" w:rsidRPr="00961427">
        <w:t>ethical</w:t>
      </w:r>
      <w:r w:rsidR="00961427">
        <w:t xml:space="preserve"> and sustainability implications of the financial decisions </w:t>
      </w:r>
      <w:r w:rsidR="00381D68">
        <w:t xml:space="preserve">for development of financially viable strategy focussed on enhancing </w:t>
      </w:r>
      <w:r w:rsidR="008D32EB" w:rsidRPr="008D32EB">
        <w:t>operational resilience</w:t>
      </w:r>
      <w:r w:rsidR="008D32EB">
        <w:t>, improving shareholder’s value and supporting in long-term sustainable growth.</w:t>
      </w:r>
    </w:p>
    <w:p w14:paraId="0628E40C" w14:textId="30553E39" w:rsidR="008D32EB" w:rsidRPr="001D7532" w:rsidRDefault="008D32EB" w:rsidP="009642C8">
      <w:pPr>
        <w:pStyle w:val="Heading1"/>
        <w:spacing w:line="360" w:lineRule="auto"/>
        <w:rPr>
          <w:rFonts w:ascii="Times New Roman" w:hAnsi="Times New Roman" w:cs="Times New Roman"/>
          <w:sz w:val="24"/>
          <w:szCs w:val="24"/>
        </w:rPr>
      </w:pPr>
      <w:bookmarkStart w:id="1" w:name="_Toc243773381"/>
      <w:r>
        <w:rPr>
          <w:rFonts w:ascii="Times New Roman" w:hAnsi="Times New Roman" w:cs="Times New Roman"/>
          <w:sz w:val="24"/>
          <w:szCs w:val="24"/>
        </w:rPr>
        <w:t>2</w:t>
      </w:r>
      <w:r w:rsidRPr="001D7532">
        <w:rPr>
          <w:rFonts w:ascii="Times New Roman" w:hAnsi="Times New Roman" w:cs="Times New Roman"/>
          <w:sz w:val="24"/>
          <w:szCs w:val="24"/>
        </w:rPr>
        <w:t xml:space="preserve">. </w:t>
      </w:r>
      <w:r w:rsidR="00282A6F">
        <w:rPr>
          <w:rFonts w:ascii="Times New Roman" w:hAnsi="Times New Roman" w:cs="Times New Roman"/>
          <w:sz w:val="24"/>
          <w:szCs w:val="24"/>
        </w:rPr>
        <w:t>Financial health check of Shell PLC</w:t>
      </w:r>
      <w:bookmarkEnd w:id="1"/>
    </w:p>
    <w:p w14:paraId="224E5769" w14:textId="6EFB02D6" w:rsidR="008D32EB" w:rsidRDefault="005C4097" w:rsidP="009642C8">
      <w:pPr>
        <w:spacing w:line="360" w:lineRule="auto"/>
        <w:rPr>
          <w:rFonts w:cs="Times New Roman"/>
          <w:szCs w:val="24"/>
        </w:rPr>
      </w:pPr>
      <w:r>
        <w:rPr>
          <w:rFonts w:cs="Times New Roman"/>
          <w:szCs w:val="24"/>
        </w:rPr>
        <w:t xml:space="preserve">Shell PLC is one of </w:t>
      </w:r>
      <w:r w:rsidRPr="00282FF9">
        <w:rPr>
          <w:rFonts w:cs="Times New Roman"/>
          <w:b/>
          <w:bCs/>
          <w:szCs w:val="24"/>
        </w:rPr>
        <w:t xml:space="preserve">leading company in energy sector which operate across </w:t>
      </w:r>
      <w:r w:rsidR="00D90E79" w:rsidRPr="00282FF9">
        <w:rPr>
          <w:rFonts w:cs="Times New Roman"/>
          <w:b/>
          <w:bCs/>
          <w:szCs w:val="24"/>
        </w:rPr>
        <w:t>natural gas, oil, LNG, chemicals and energy transition markets</w:t>
      </w:r>
      <w:r w:rsidR="003501BF">
        <w:rPr>
          <w:rFonts w:cs="Times New Roman"/>
          <w:b/>
          <w:bCs/>
          <w:szCs w:val="24"/>
        </w:rPr>
        <w:t xml:space="preserve"> (</w:t>
      </w:r>
      <w:r w:rsidR="003501BF" w:rsidRPr="001433A7">
        <w:t>Andini</w:t>
      </w:r>
      <w:r w:rsidR="003501BF">
        <w:t>, 2026)</w:t>
      </w:r>
      <w:r w:rsidR="00D90E79">
        <w:rPr>
          <w:rFonts w:cs="Times New Roman"/>
          <w:szCs w:val="24"/>
        </w:rPr>
        <w:t xml:space="preserve">. </w:t>
      </w:r>
      <w:r w:rsidR="00230474">
        <w:rPr>
          <w:rFonts w:cs="Times New Roman"/>
          <w:szCs w:val="24"/>
        </w:rPr>
        <w:t>Evaluating financial health of company requires the detailed assessment of liquidity, profitability</w:t>
      </w:r>
      <w:r w:rsidR="00B26D52">
        <w:rPr>
          <w:rFonts w:cs="Times New Roman"/>
          <w:szCs w:val="24"/>
        </w:rPr>
        <w:t>, capital structure, operational efficiency, cash generation and shareholders returns</w:t>
      </w:r>
      <w:r w:rsidR="003249E4">
        <w:rPr>
          <w:rFonts w:cs="Times New Roman"/>
          <w:szCs w:val="24"/>
        </w:rPr>
        <w:t xml:space="preserve"> during the selected period (2021 to 2025). </w:t>
      </w:r>
      <w:r w:rsidR="00115C22">
        <w:rPr>
          <w:rFonts w:cs="Times New Roman"/>
          <w:szCs w:val="24"/>
        </w:rPr>
        <w:t xml:space="preserve">The given analysis has been </w:t>
      </w:r>
      <w:r w:rsidR="004706DD">
        <w:rPr>
          <w:rFonts w:cs="Times New Roman"/>
          <w:szCs w:val="24"/>
        </w:rPr>
        <w:t>carried on by calculating ratios across different categories during the period 2021 to 2025</w:t>
      </w:r>
      <w:r w:rsidR="00D2568E">
        <w:rPr>
          <w:rFonts w:cs="Times New Roman"/>
          <w:szCs w:val="24"/>
        </w:rPr>
        <w:t xml:space="preserve"> along with comparison of liquidity position of company with </w:t>
      </w:r>
      <w:r w:rsidR="00D2568E" w:rsidRPr="00B57803">
        <w:rPr>
          <w:rFonts w:cs="Times New Roman"/>
          <w:szCs w:val="24"/>
        </w:rPr>
        <w:t xml:space="preserve">its peer companies operating in the same sector. </w:t>
      </w:r>
    </w:p>
    <w:p w14:paraId="75111962" w14:textId="52D6D745" w:rsidR="005234B7" w:rsidRPr="00B57803" w:rsidRDefault="005234B7" w:rsidP="009642C8">
      <w:pPr>
        <w:spacing w:line="360" w:lineRule="auto"/>
        <w:rPr>
          <w:rFonts w:cs="Times New Roman"/>
          <w:szCs w:val="24"/>
        </w:rPr>
      </w:pPr>
      <w:r>
        <w:rPr>
          <w:rFonts w:cs="Times New Roman"/>
          <w:szCs w:val="24"/>
        </w:rPr>
        <w:t xml:space="preserve">Calculations of all ratios are provided in </w:t>
      </w:r>
      <w:r w:rsidRPr="005234B7">
        <w:rPr>
          <w:rFonts w:cs="Times New Roman"/>
          <w:b/>
          <w:bCs/>
          <w:szCs w:val="24"/>
          <w:u w:val="single"/>
        </w:rPr>
        <w:t>Appendix-1</w:t>
      </w:r>
      <w:r>
        <w:rPr>
          <w:rFonts w:cs="Times New Roman"/>
          <w:b/>
          <w:bCs/>
          <w:szCs w:val="24"/>
          <w:u w:val="single"/>
        </w:rPr>
        <w:t>.</w:t>
      </w:r>
    </w:p>
    <w:p w14:paraId="0FFA91E2" w14:textId="0ADE9D99" w:rsidR="00B57803" w:rsidRPr="00B57803" w:rsidRDefault="00B57803" w:rsidP="009642C8">
      <w:pPr>
        <w:pStyle w:val="Heading2"/>
        <w:spacing w:line="360" w:lineRule="auto"/>
        <w:rPr>
          <w:rFonts w:ascii="Times New Roman" w:hAnsi="Times New Roman" w:cs="Times New Roman"/>
          <w:sz w:val="24"/>
          <w:szCs w:val="24"/>
        </w:rPr>
      </w:pPr>
      <w:bookmarkStart w:id="2" w:name="_Toc243773382"/>
      <w:r w:rsidRPr="00B57803">
        <w:rPr>
          <w:rFonts w:ascii="Times New Roman" w:hAnsi="Times New Roman" w:cs="Times New Roman"/>
          <w:sz w:val="24"/>
          <w:szCs w:val="24"/>
        </w:rPr>
        <w:t>2.1 Analysis of profitability</w:t>
      </w:r>
      <w:bookmarkEnd w:id="2"/>
    </w:p>
    <w:p w14:paraId="33BD223A" w14:textId="1D42D950" w:rsidR="00C96C16" w:rsidRPr="00E12232" w:rsidRDefault="00C96C16" w:rsidP="009642C8">
      <w:pPr>
        <w:spacing w:line="360" w:lineRule="auto"/>
        <w:rPr>
          <w:rFonts w:cs="Times New Roman"/>
          <w:szCs w:val="24"/>
          <w:u w:val="single"/>
        </w:rPr>
      </w:pPr>
      <w:r w:rsidRPr="00E12232">
        <w:rPr>
          <w:rFonts w:cs="Times New Roman"/>
          <w:szCs w:val="24"/>
          <w:u w:val="single"/>
        </w:rPr>
        <w:t xml:space="preserve">Summary of </w:t>
      </w:r>
      <w:r w:rsidR="001D4D3F" w:rsidRPr="00E12232">
        <w:rPr>
          <w:rFonts w:cs="Times New Roman"/>
          <w:szCs w:val="24"/>
          <w:u w:val="single"/>
        </w:rPr>
        <w:t>all profitability ratios</w:t>
      </w:r>
      <w:r w:rsidR="00E12232" w:rsidRPr="00E12232">
        <w:rPr>
          <w:rFonts w:cs="Times New Roman"/>
          <w:szCs w:val="24"/>
          <w:u w:val="single"/>
        </w:rPr>
        <w:t xml:space="preserve"> of company are provided below:</w:t>
      </w:r>
    </w:p>
    <w:p w14:paraId="59ED59A7" w14:textId="4DFD45B1" w:rsidR="00E12232" w:rsidRPr="00B57803" w:rsidRDefault="003C105F" w:rsidP="009642C8">
      <w:pPr>
        <w:spacing w:line="360" w:lineRule="auto"/>
        <w:rPr>
          <w:rFonts w:cs="Times New Roman"/>
          <w:szCs w:val="24"/>
        </w:rPr>
      </w:pPr>
      <w:r w:rsidRPr="003C105F">
        <w:rPr>
          <w:rFonts w:cs="Times New Roman"/>
          <w:noProof/>
          <w:szCs w:val="24"/>
        </w:rPr>
        <w:drawing>
          <wp:inline distT="0" distB="0" distL="0" distR="0" wp14:anchorId="086766F4" wp14:editId="33CD105B">
            <wp:extent cx="5731510" cy="1278255"/>
            <wp:effectExtent l="0" t="0" r="2540" b="0"/>
            <wp:docPr id="912742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42460" name=""/>
                    <pic:cNvPicPr/>
                  </pic:nvPicPr>
                  <pic:blipFill>
                    <a:blip r:embed="rId9"/>
                    <a:stretch>
                      <a:fillRect/>
                    </a:stretch>
                  </pic:blipFill>
                  <pic:spPr>
                    <a:xfrm>
                      <a:off x="0" y="0"/>
                      <a:ext cx="5731510" cy="1278255"/>
                    </a:xfrm>
                    <a:prstGeom prst="rect">
                      <a:avLst/>
                    </a:prstGeom>
                  </pic:spPr>
                </pic:pic>
              </a:graphicData>
            </a:graphic>
          </wp:inline>
        </w:drawing>
      </w:r>
    </w:p>
    <w:p w14:paraId="0A29F1AB" w14:textId="77777777" w:rsidR="008D32EB" w:rsidRDefault="008D32EB" w:rsidP="009642C8">
      <w:pPr>
        <w:spacing w:line="360" w:lineRule="auto"/>
        <w:rPr>
          <w:rFonts w:cs="Times New Roman"/>
          <w:szCs w:val="24"/>
        </w:rPr>
      </w:pPr>
    </w:p>
    <w:p w14:paraId="62401E37" w14:textId="73CBEFD4" w:rsidR="003C105F" w:rsidRDefault="00FD2E39" w:rsidP="009642C8">
      <w:pPr>
        <w:spacing w:line="360" w:lineRule="auto"/>
        <w:rPr>
          <w:rFonts w:cs="Times New Roman"/>
          <w:szCs w:val="24"/>
        </w:rPr>
      </w:pPr>
      <w:r>
        <w:rPr>
          <w:rFonts w:cs="Times New Roman"/>
          <w:b/>
          <w:bCs/>
          <w:szCs w:val="24"/>
          <w:u w:val="single"/>
        </w:rPr>
        <w:lastRenderedPageBreak/>
        <w:t>Gross profit margin</w:t>
      </w:r>
      <w:r>
        <w:rPr>
          <w:rFonts w:cs="Times New Roman"/>
          <w:szCs w:val="24"/>
        </w:rPr>
        <w:t xml:space="preserve"> of company increased from 15.20% in 2021 to 19.60%</w:t>
      </w:r>
      <w:r w:rsidR="00ED34D8">
        <w:rPr>
          <w:rFonts w:cs="Times New Roman"/>
          <w:szCs w:val="24"/>
        </w:rPr>
        <w:t xml:space="preserve"> in the year 2022 before declining to 17.10% during the year 2025. </w:t>
      </w:r>
      <w:r w:rsidR="0006395E">
        <w:rPr>
          <w:rFonts w:cs="Times New Roman"/>
          <w:szCs w:val="24"/>
        </w:rPr>
        <w:t xml:space="preserve">It indicates that the company was able to achieve strong gross profitability in the year 2022 </w:t>
      </w:r>
      <w:r w:rsidR="00357CAF">
        <w:rPr>
          <w:rFonts w:cs="Times New Roman"/>
          <w:szCs w:val="24"/>
        </w:rPr>
        <w:t xml:space="preserve">but subsequently it was faced with reducing gross profit margin from the revenue generated during the period. </w:t>
      </w:r>
      <w:r w:rsidR="0013770C">
        <w:rPr>
          <w:rFonts w:cs="Times New Roman"/>
          <w:szCs w:val="24"/>
        </w:rPr>
        <w:t>Revenue of the company increased from $</w:t>
      </w:r>
      <w:r w:rsidR="0013770C" w:rsidRPr="0013770C">
        <w:t xml:space="preserve"> </w:t>
      </w:r>
      <w:r w:rsidR="0013770C" w:rsidRPr="0013770C">
        <w:rPr>
          <w:rFonts w:cs="Times New Roman"/>
          <w:szCs w:val="24"/>
        </w:rPr>
        <w:t>261,504</w:t>
      </w:r>
      <w:r w:rsidR="0013770C">
        <w:rPr>
          <w:rFonts w:cs="Times New Roman"/>
          <w:szCs w:val="24"/>
        </w:rPr>
        <w:t xml:space="preserve"> in the year 2021 to $</w:t>
      </w:r>
      <w:r w:rsidR="0013770C" w:rsidRPr="0013770C">
        <w:t xml:space="preserve"> </w:t>
      </w:r>
      <w:r w:rsidR="0013770C" w:rsidRPr="0013770C">
        <w:rPr>
          <w:rFonts w:cs="Times New Roman"/>
          <w:szCs w:val="24"/>
        </w:rPr>
        <w:t>381,314</w:t>
      </w:r>
      <w:r w:rsidR="0013770C">
        <w:rPr>
          <w:rFonts w:cs="Times New Roman"/>
          <w:szCs w:val="24"/>
        </w:rPr>
        <w:t xml:space="preserve"> in the year 2022 before declining to $</w:t>
      </w:r>
      <w:r w:rsidR="006D5A85" w:rsidRPr="006D5A85">
        <w:t xml:space="preserve"> </w:t>
      </w:r>
      <w:r w:rsidR="006D5A85" w:rsidRPr="006D5A85">
        <w:rPr>
          <w:rFonts w:cs="Times New Roman"/>
          <w:szCs w:val="24"/>
        </w:rPr>
        <w:t>266,886</w:t>
      </w:r>
      <w:r w:rsidR="006D5A85">
        <w:rPr>
          <w:rFonts w:cs="Times New Roman"/>
          <w:szCs w:val="24"/>
        </w:rPr>
        <w:t xml:space="preserve"> by the year 2025. This trend observed in both revenue and grow </w:t>
      </w:r>
      <w:r w:rsidR="00D90F16">
        <w:rPr>
          <w:rFonts w:cs="Times New Roman"/>
          <w:szCs w:val="24"/>
        </w:rPr>
        <w:t>profit</w:t>
      </w:r>
      <w:r w:rsidR="006D5A85">
        <w:rPr>
          <w:rFonts w:cs="Times New Roman"/>
          <w:szCs w:val="24"/>
        </w:rPr>
        <w:t xml:space="preserve"> margin </w:t>
      </w:r>
      <w:r w:rsidR="004875DB">
        <w:rPr>
          <w:rFonts w:cs="Times New Roman"/>
          <w:szCs w:val="24"/>
        </w:rPr>
        <w:t xml:space="preserve">highlights the sensitivity of operational performance in energy sector to the refining margins, fluctuations in commodity prices </w:t>
      </w:r>
      <w:r w:rsidR="00D90F16">
        <w:rPr>
          <w:rFonts w:cs="Times New Roman"/>
          <w:szCs w:val="24"/>
        </w:rPr>
        <w:t>and global demand</w:t>
      </w:r>
      <w:r w:rsidR="003501BF">
        <w:rPr>
          <w:rFonts w:cs="Times New Roman"/>
          <w:szCs w:val="24"/>
        </w:rPr>
        <w:t xml:space="preserve"> (</w:t>
      </w:r>
      <w:r w:rsidR="003501BF" w:rsidRPr="00CC499D">
        <w:t>Aldo</w:t>
      </w:r>
      <w:r w:rsidR="003501BF">
        <w:t>, 2022)</w:t>
      </w:r>
      <w:r w:rsidR="00D90F16">
        <w:rPr>
          <w:rFonts w:cs="Times New Roman"/>
          <w:szCs w:val="24"/>
        </w:rPr>
        <w:t>.</w:t>
      </w:r>
    </w:p>
    <w:p w14:paraId="2D9D5C53" w14:textId="6467E63A" w:rsidR="00DF2F93" w:rsidRDefault="00D90F16" w:rsidP="009642C8">
      <w:pPr>
        <w:spacing w:line="360" w:lineRule="auto"/>
        <w:rPr>
          <w:rFonts w:cs="Times New Roman"/>
          <w:szCs w:val="24"/>
        </w:rPr>
      </w:pPr>
      <w:r>
        <w:rPr>
          <w:rFonts w:cs="Times New Roman"/>
          <w:b/>
          <w:bCs/>
          <w:szCs w:val="24"/>
          <w:u w:val="single"/>
        </w:rPr>
        <w:t xml:space="preserve">Net profit margin </w:t>
      </w:r>
      <w:r>
        <w:rPr>
          <w:rFonts w:cs="Times New Roman"/>
          <w:szCs w:val="24"/>
        </w:rPr>
        <w:t xml:space="preserve">observed a more </w:t>
      </w:r>
      <w:r w:rsidR="003F44EF" w:rsidRPr="003F44EF">
        <w:rPr>
          <w:rFonts w:cs="Times New Roman"/>
          <w:szCs w:val="24"/>
        </w:rPr>
        <w:t>pronounced pattern</w:t>
      </w:r>
      <w:r w:rsidR="003F44EF">
        <w:rPr>
          <w:rFonts w:cs="Times New Roman"/>
          <w:szCs w:val="24"/>
        </w:rPr>
        <w:t xml:space="preserve"> as it increased from 7.9% in the year  2021 to 11.2% in the year 2022 before declining to </w:t>
      </w:r>
      <w:r w:rsidR="0035720F">
        <w:rPr>
          <w:rFonts w:cs="Times New Roman"/>
          <w:szCs w:val="24"/>
        </w:rPr>
        <w:t xml:space="preserve">5.8% in the year 2024 and then recovering in 2025 with the ratio of 6.8%. Recovery in net profit margin </w:t>
      </w:r>
      <w:r w:rsidR="00307CC5">
        <w:rPr>
          <w:rFonts w:cs="Times New Roman"/>
          <w:szCs w:val="24"/>
        </w:rPr>
        <w:t>indicates improvement made by company in retaining the profits which remain after covering all expenses including tax</w:t>
      </w:r>
      <w:r w:rsidR="00B91C16">
        <w:rPr>
          <w:rFonts w:cs="Times New Roman"/>
          <w:szCs w:val="24"/>
        </w:rPr>
        <w:t xml:space="preserve"> (although the ratio in the year 2025 remained below the 2021 and 2022 level)</w:t>
      </w:r>
      <w:r w:rsidR="00307CC5">
        <w:rPr>
          <w:rFonts w:cs="Times New Roman"/>
          <w:szCs w:val="24"/>
        </w:rPr>
        <w:t>.</w:t>
      </w:r>
      <w:r w:rsidR="00B91C16">
        <w:rPr>
          <w:rFonts w:cs="Times New Roman"/>
          <w:szCs w:val="24"/>
        </w:rPr>
        <w:t xml:space="preserve"> Therefore, it can be said that </w:t>
      </w:r>
      <w:r w:rsidR="00DB33E9">
        <w:rPr>
          <w:rFonts w:cs="Times New Roman"/>
          <w:szCs w:val="24"/>
        </w:rPr>
        <w:t xml:space="preserve">company should focus more on </w:t>
      </w:r>
      <w:r w:rsidR="00DB33E9" w:rsidRPr="00DB33E9">
        <w:rPr>
          <w:rFonts w:cs="Times New Roman"/>
          <w:szCs w:val="24"/>
        </w:rPr>
        <w:t>portfolio optimisation</w:t>
      </w:r>
      <w:r w:rsidR="00DB33E9">
        <w:rPr>
          <w:rFonts w:cs="Times New Roman"/>
          <w:szCs w:val="24"/>
        </w:rPr>
        <w:t xml:space="preserve">, </w:t>
      </w:r>
      <w:r w:rsidR="00DB33E9" w:rsidRPr="00DB33E9">
        <w:rPr>
          <w:rFonts w:cs="Times New Roman"/>
          <w:szCs w:val="24"/>
        </w:rPr>
        <w:t>cost discipline</w:t>
      </w:r>
      <w:r w:rsidR="00DB33E9">
        <w:rPr>
          <w:rFonts w:cs="Times New Roman"/>
          <w:szCs w:val="24"/>
        </w:rPr>
        <w:t xml:space="preserve"> and </w:t>
      </w:r>
      <w:r w:rsidR="00DB33E9" w:rsidRPr="00DB33E9">
        <w:rPr>
          <w:rFonts w:cs="Times New Roman"/>
          <w:szCs w:val="24"/>
        </w:rPr>
        <w:t>operational efficiency</w:t>
      </w:r>
      <w:r w:rsidR="00DB33E9">
        <w:rPr>
          <w:rFonts w:cs="Times New Roman"/>
          <w:szCs w:val="24"/>
        </w:rPr>
        <w:t xml:space="preserve"> to protect the profit position </w:t>
      </w:r>
      <w:r w:rsidR="00DF2F93">
        <w:rPr>
          <w:rFonts w:cs="Times New Roman"/>
          <w:szCs w:val="24"/>
        </w:rPr>
        <w:t>even at the times of increasing energy prices</w:t>
      </w:r>
      <w:r w:rsidR="006D0FE4">
        <w:rPr>
          <w:rFonts w:cs="Times New Roman"/>
          <w:szCs w:val="24"/>
        </w:rPr>
        <w:t xml:space="preserve"> (</w:t>
      </w:r>
      <w:r w:rsidR="006D0FE4" w:rsidRPr="004E4A96">
        <w:t>Chrascina</w:t>
      </w:r>
      <w:r w:rsidR="006D0FE4">
        <w:t xml:space="preserve"> et al, 2024)</w:t>
      </w:r>
      <w:r w:rsidR="00DF2F93">
        <w:rPr>
          <w:rFonts w:cs="Times New Roman"/>
          <w:szCs w:val="24"/>
        </w:rPr>
        <w:t>.</w:t>
      </w:r>
    </w:p>
    <w:p w14:paraId="57A45B95" w14:textId="6E4C55C8" w:rsidR="00893057" w:rsidRDefault="00893057" w:rsidP="009642C8">
      <w:pPr>
        <w:spacing w:line="360" w:lineRule="auto"/>
        <w:rPr>
          <w:rFonts w:cs="Times New Roman"/>
          <w:szCs w:val="24"/>
        </w:rPr>
      </w:pPr>
      <w:r>
        <w:rPr>
          <w:rFonts w:cs="Times New Roman"/>
          <w:b/>
          <w:bCs/>
          <w:szCs w:val="24"/>
          <w:u w:val="single"/>
        </w:rPr>
        <w:t xml:space="preserve">Return on capital employed </w:t>
      </w:r>
      <w:r>
        <w:rPr>
          <w:rFonts w:cs="Times New Roman"/>
          <w:szCs w:val="24"/>
        </w:rPr>
        <w:t xml:space="preserve">also increased significantly from 8.5% in the year 2021 to 18.4% in the year 2022 </w:t>
      </w:r>
      <w:r w:rsidR="008149D8">
        <w:rPr>
          <w:rFonts w:cs="Times New Roman"/>
          <w:szCs w:val="24"/>
        </w:rPr>
        <w:t xml:space="preserve">and then it subsequently reduced to 10.7% in the year 2025. Reduction in this ratio indicates that </w:t>
      </w:r>
      <w:r w:rsidR="00064B87">
        <w:rPr>
          <w:rFonts w:cs="Times New Roman"/>
          <w:szCs w:val="24"/>
        </w:rPr>
        <w:t xml:space="preserve">capital employed in business was able to generate lower operating returns </w:t>
      </w:r>
      <w:r w:rsidR="00FA1EDD">
        <w:rPr>
          <w:rFonts w:cs="Times New Roman"/>
          <w:szCs w:val="24"/>
        </w:rPr>
        <w:t>except during the exceptional year 2022</w:t>
      </w:r>
      <w:r w:rsidR="006549A6">
        <w:rPr>
          <w:rFonts w:cs="Times New Roman"/>
          <w:szCs w:val="24"/>
        </w:rPr>
        <w:t xml:space="preserve"> (</w:t>
      </w:r>
      <w:r w:rsidR="006549A6" w:rsidRPr="00F33263">
        <w:t>Anofochi-Iyke</w:t>
      </w:r>
      <w:r w:rsidR="006549A6">
        <w:t xml:space="preserve"> &amp; </w:t>
      </w:r>
      <w:r w:rsidR="006549A6" w:rsidRPr="00F33263">
        <w:t>Orjinta</w:t>
      </w:r>
      <w:r w:rsidR="006549A6">
        <w:t>, 2026)</w:t>
      </w:r>
      <w:r w:rsidR="00FA1EDD">
        <w:rPr>
          <w:rFonts w:cs="Times New Roman"/>
          <w:szCs w:val="24"/>
        </w:rPr>
        <w:t xml:space="preserve">. </w:t>
      </w:r>
    </w:p>
    <w:p w14:paraId="04853B9D" w14:textId="324DCA0F" w:rsidR="003D3907" w:rsidRPr="00B57803" w:rsidRDefault="003D3907" w:rsidP="009642C8">
      <w:pPr>
        <w:pStyle w:val="Heading2"/>
        <w:spacing w:line="360" w:lineRule="auto"/>
        <w:rPr>
          <w:rFonts w:ascii="Times New Roman" w:hAnsi="Times New Roman" w:cs="Times New Roman"/>
          <w:sz w:val="24"/>
          <w:szCs w:val="24"/>
        </w:rPr>
      </w:pPr>
      <w:bookmarkStart w:id="3" w:name="_Toc243773383"/>
      <w:r w:rsidRPr="00B57803">
        <w:rPr>
          <w:rFonts w:ascii="Times New Roman" w:hAnsi="Times New Roman" w:cs="Times New Roman"/>
          <w:sz w:val="24"/>
          <w:szCs w:val="24"/>
        </w:rPr>
        <w:t>2.</w:t>
      </w:r>
      <w:r>
        <w:rPr>
          <w:rFonts w:ascii="Times New Roman" w:hAnsi="Times New Roman" w:cs="Times New Roman"/>
          <w:sz w:val="24"/>
          <w:szCs w:val="24"/>
        </w:rPr>
        <w:t>2</w:t>
      </w:r>
      <w:r w:rsidRPr="00B57803">
        <w:rPr>
          <w:rFonts w:ascii="Times New Roman" w:hAnsi="Times New Roman" w:cs="Times New Roman"/>
          <w:sz w:val="24"/>
          <w:szCs w:val="24"/>
        </w:rPr>
        <w:t xml:space="preserve"> Analysis of </w:t>
      </w:r>
      <w:r>
        <w:rPr>
          <w:rFonts w:ascii="Times New Roman" w:hAnsi="Times New Roman" w:cs="Times New Roman"/>
          <w:sz w:val="24"/>
          <w:szCs w:val="24"/>
        </w:rPr>
        <w:t>liquidity</w:t>
      </w:r>
      <w:bookmarkEnd w:id="3"/>
    </w:p>
    <w:p w14:paraId="72ECBBE5" w14:textId="6984FA44" w:rsidR="00241139" w:rsidRPr="00E12232" w:rsidRDefault="00241139" w:rsidP="009642C8">
      <w:pPr>
        <w:spacing w:line="360" w:lineRule="auto"/>
        <w:rPr>
          <w:rFonts w:cs="Times New Roman"/>
          <w:szCs w:val="24"/>
          <w:u w:val="single"/>
        </w:rPr>
      </w:pPr>
      <w:r w:rsidRPr="00E12232">
        <w:rPr>
          <w:rFonts w:cs="Times New Roman"/>
          <w:szCs w:val="24"/>
          <w:u w:val="single"/>
        </w:rPr>
        <w:t xml:space="preserve">Summary of all </w:t>
      </w:r>
      <w:r>
        <w:rPr>
          <w:rFonts w:cs="Times New Roman"/>
          <w:szCs w:val="24"/>
          <w:u w:val="single"/>
        </w:rPr>
        <w:t>liquidity</w:t>
      </w:r>
      <w:r w:rsidRPr="00E12232">
        <w:rPr>
          <w:rFonts w:cs="Times New Roman"/>
          <w:szCs w:val="24"/>
          <w:u w:val="single"/>
        </w:rPr>
        <w:t xml:space="preserve"> ratios of company are provided below:</w:t>
      </w:r>
    </w:p>
    <w:p w14:paraId="4B3327A8" w14:textId="2F5EA59A" w:rsidR="003D3907" w:rsidRDefault="002F3597" w:rsidP="009642C8">
      <w:pPr>
        <w:spacing w:line="360" w:lineRule="auto"/>
        <w:rPr>
          <w:rFonts w:cs="Times New Roman"/>
          <w:szCs w:val="24"/>
        </w:rPr>
      </w:pPr>
      <w:r w:rsidRPr="002F3597">
        <w:rPr>
          <w:rFonts w:cs="Times New Roman"/>
          <w:noProof/>
          <w:szCs w:val="24"/>
        </w:rPr>
        <w:drawing>
          <wp:inline distT="0" distB="0" distL="0" distR="0" wp14:anchorId="5D03DC3C" wp14:editId="17DC5829">
            <wp:extent cx="5731510" cy="832485"/>
            <wp:effectExtent l="0" t="0" r="2540" b="5715"/>
            <wp:docPr id="1794797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97170" name=""/>
                    <pic:cNvPicPr/>
                  </pic:nvPicPr>
                  <pic:blipFill>
                    <a:blip r:embed="rId10"/>
                    <a:stretch>
                      <a:fillRect/>
                    </a:stretch>
                  </pic:blipFill>
                  <pic:spPr>
                    <a:xfrm>
                      <a:off x="0" y="0"/>
                      <a:ext cx="5731510" cy="832485"/>
                    </a:xfrm>
                    <a:prstGeom prst="rect">
                      <a:avLst/>
                    </a:prstGeom>
                  </pic:spPr>
                </pic:pic>
              </a:graphicData>
            </a:graphic>
          </wp:inline>
        </w:drawing>
      </w:r>
    </w:p>
    <w:p w14:paraId="35BD9D2D" w14:textId="7B11E43D" w:rsidR="00766257" w:rsidRDefault="00704273" w:rsidP="009642C8">
      <w:pPr>
        <w:spacing w:line="360" w:lineRule="auto"/>
        <w:rPr>
          <w:rFonts w:cs="Times New Roman"/>
          <w:szCs w:val="24"/>
        </w:rPr>
      </w:pPr>
      <w:r>
        <w:rPr>
          <w:rFonts w:cs="Times New Roman"/>
          <w:b/>
          <w:bCs/>
          <w:szCs w:val="24"/>
          <w:u w:val="single"/>
        </w:rPr>
        <w:t>Current ratio</w:t>
      </w:r>
      <w:r>
        <w:rPr>
          <w:rFonts w:cs="Times New Roman"/>
          <w:szCs w:val="24"/>
        </w:rPr>
        <w:t xml:space="preserve"> of the company is more than 1 time throughout the five year period</w:t>
      </w:r>
      <w:r w:rsidR="00B22198">
        <w:rPr>
          <w:rFonts w:cs="Times New Roman"/>
          <w:szCs w:val="24"/>
        </w:rPr>
        <w:t xml:space="preserve"> which indicates sufficient current assets in business to meet short-term obligations</w:t>
      </w:r>
      <w:r>
        <w:rPr>
          <w:rFonts w:cs="Times New Roman"/>
          <w:szCs w:val="24"/>
        </w:rPr>
        <w:t>.</w:t>
      </w:r>
      <w:r w:rsidR="00B22198">
        <w:rPr>
          <w:rFonts w:cs="Times New Roman"/>
          <w:szCs w:val="24"/>
        </w:rPr>
        <w:t xml:space="preserve"> Ratio improved from 1.35 times in the year 2021 to </w:t>
      </w:r>
      <w:r w:rsidR="00C54EB5">
        <w:rPr>
          <w:rFonts w:cs="Times New Roman"/>
          <w:szCs w:val="24"/>
        </w:rPr>
        <w:t xml:space="preserve">1.40 times in the year 2023 before reducing to 1.30 times in the year 2025. Although, the latest trend followed by this ratio </w:t>
      </w:r>
      <w:r w:rsidR="00F51A6D">
        <w:rPr>
          <w:rFonts w:cs="Times New Roman"/>
          <w:szCs w:val="24"/>
        </w:rPr>
        <w:t xml:space="preserve">indicates the reduction of buffer available with the company of short-term liquidity but the company still have a positive </w:t>
      </w:r>
      <w:r w:rsidR="00766257">
        <w:rPr>
          <w:rFonts w:cs="Times New Roman"/>
          <w:szCs w:val="24"/>
        </w:rPr>
        <w:t>surplus of current assets</w:t>
      </w:r>
      <w:r w:rsidR="00EF39ED">
        <w:rPr>
          <w:rFonts w:cs="Times New Roman"/>
          <w:szCs w:val="24"/>
        </w:rPr>
        <w:t xml:space="preserve"> (</w:t>
      </w:r>
      <w:proofErr w:type="spellStart"/>
      <w:r w:rsidR="00EF39ED" w:rsidRPr="00714F9B">
        <w:t>Shumbanhete</w:t>
      </w:r>
      <w:proofErr w:type="spellEnd"/>
      <w:r w:rsidR="00EF39ED">
        <w:t xml:space="preserve"> &amp; </w:t>
      </w:r>
      <w:proofErr w:type="spellStart"/>
      <w:r w:rsidR="00EF39ED" w:rsidRPr="00714F9B">
        <w:t>Muzira</w:t>
      </w:r>
      <w:proofErr w:type="spellEnd"/>
      <w:r w:rsidR="00EF39ED">
        <w:t>, 2023)</w:t>
      </w:r>
      <w:r w:rsidR="00766257">
        <w:rPr>
          <w:rFonts w:cs="Times New Roman"/>
          <w:szCs w:val="24"/>
        </w:rPr>
        <w:t>.</w:t>
      </w:r>
    </w:p>
    <w:p w14:paraId="7B5887BE" w14:textId="77777777" w:rsidR="004802D8" w:rsidRDefault="00766257" w:rsidP="009642C8">
      <w:pPr>
        <w:spacing w:line="360" w:lineRule="auto"/>
        <w:rPr>
          <w:rFonts w:cs="Times New Roman"/>
          <w:szCs w:val="24"/>
        </w:rPr>
      </w:pPr>
      <w:r>
        <w:rPr>
          <w:rFonts w:cs="Times New Roman"/>
          <w:b/>
          <w:bCs/>
          <w:szCs w:val="24"/>
          <w:u w:val="single"/>
        </w:rPr>
        <w:lastRenderedPageBreak/>
        <w:t>Quick ratio</w:t>
      </w:r>
      <w:r>
        <w:rPr>
          <w:rFonts w:cs="Times New Roman"/>
          <w:szCs w:val="24"/>
        </w:rPr>
        <w:t xml:space="preserve"> which excludes the value of inventory while analysing the liquidity position </w:t>
      </w:r>
      <w:r w:rsidR="00D968CF">
        <w:rPr>
          <w:rFonts w:cs="Times New Roman"/>
          <w:szCs w:val="24"/>
        </w:rPr>
        <w:t xml:space="preserve">was at the highest level in 2023 at 1.13 times before reducing to 1.03 times </w:t>
      </w:r>
      <w:r w:rsidR="00DE25CF">
        <w:rPr>
          <w:rFonts w:cs="Times New Roman"/>
          <w:szCs w:val="24"/>
        </w:rPr>
        <w:t xml:space="preserve">in 2025. It shows that quick assets held in business </w:t>
      </w:r>
      <w:r w:rsidR="00646527">
        <w:rPr>
          <w:rFonts w:cs="Times New Roman"/>
          <w:szCs w:val="24"/>
        </w:rPr>
        <w:t xml:space="preserve">were only marginally higher than the current liabilities during the year 2025. Due to this, </w:t>
      </w:r>
      <w:r w:rsidR="004802D8">
        <w:rPr>
          <w:rFonts w:cs="Times New Roman"/>
          <w:szCs w:val="24"/>
        </w:rPr>
        <w:t xml:space="preserve">further </w:t>
      </w:r>
      <w:r w:rsidR="004802D8" w:rsidRPr="004802D8">
        <w:rPr>
          <w:rFonts w:cs="Times New Roman"/>
          <w:szCs w:val="24"/>
        </w:rPr>
        <w:t>unexpected expenditure</w:t>
      </w:r>
      <w:r w:rsidR="004802D8">
        <w:rPr>
          <w:rFonts w:cs="Times New Roman"/>
          <w:szCs w:val="24"/>
        </w:rPr>
        <w:t xml:space="preserve">, </w:t>
      </w:r>
      <w:r w:rsidR="004802D8" w:rsidRPr="004802D8">
        <w:rPr>
          <w:rFonts w:cs="Times New Roman"/>
          <w:szCs w:val="24"/>
        </w:rPr>
        <w:t>deterioration in cash generation</w:t>
      </w:r>
      <w:r w:rsidR="004802D8">
        <w:rPr>
          <w:rFonts w:cs="Times New Roman"/>
          <w:szCs w:val="24"/>
        </w:rPr>
        <w:t xml:space="preserve"> or </w:t>
      </w:r>
      <w:r w:rsidR="004802D8" w:rsidRPr="004802D8">
        <w:rPr>
          <w:rFonts w:cs="Times New Roman"/>
          <w:szCs w:val="24"/>
        </w:rPr>
        <w:t>delayed customer payments</w:t>
      </w:r>
      <w:r w:rsidR="004802D8">
        <w:rPr>
          <w:rFonts w:cs="Times New Roman"/>
          <w:szCs w:val="24"/>
        </w:rPr>
        <w:t xml:space="preserve"> could reduce financial flexibility.</w:t>
      </w:r>
    </w:p>
    <w:p w14:paraId="2D21A3F6" w14:textId="087522F8" w:rsidR="00EC5B9C" w:rsidRPr="00EC5B9C" w:rsidRDefault="009E2902" w:rsidP="009642C8">
      <w:pPr>
        <w:spacing w:line="360" w:lineRule="auto"/>
        <w:rPr>
          <w:rFonts w:cs="Times New Roman"/>
          <w:b/>
          <w:bCs/>
          <w:szCs w:val="24"/>
          <w:u w:val="single"/>
        </w:rPr>
      </w:pPr>
      <w:r w:rsidRPr="009E2902">
        <w:rPr>
          <w:rFonts w:cs="Times New Roman"/>
          <w:b/>
          <w:bCs/>
          <w:szCs w:val="24"/>
          <w:u w:val="single"/>
        </w:rPr>
        <w:t>Comparison of liquidity position with industry benchmarks</w:t>
      </w:r>
    </w:p>
    <w:tbl>
      <w:tblPr>
        <w:tblW w:w="9493" w:type="dxa"/>
        <w:tblLook w:val="04A0" w:firstRow="1" w:lastRow="0" w:firstColumn="1" w:lastColumn="0" w:noHBand="0" w:noVBand="1"/>
      </w:tblPr>
      <w:tblGrid>
        <w:gridCol w:w="1980"/>
        <w:gridCol w:w="1559"/>
        <w:gridCol w:w="1321"/>
        <w:gridCol w:w="1848"/>
        <w:gridCol w:w="1509"/>
        <w:gridCol w:w="1276"/>
      </w:tblGrid>
      <w:tr w:rsidR="00EC5B9C" w:rsidRPr="00EC5B9C" w14:paraId="4A9FAEA1" w14:textId="77777777" w:rsidTr="00EC5B9C">
        <w:trPr>
          <w:trHeight w:val="229"/>
        </w:trPr>
        <w:tc>
          <w:tcPr>
            <w:tcW w:w="1980" w:type="dxa"/>
            <w:tcBorders>
              <w:top w:val="single" w:sz="4" w:space="0" w:color="auto"/>
              <w:left w:val="single" w:sz="4" w:space="0" w:color="auto"/>
              <w:bottom w:val="single" w:sz="4" w:space="0" w:color="auto"/>
              <w:right w:val="single" w:sz="4" w:space="0" w:color="auto"/>
            </w:tcBorders>
            <w:shd w:val="clear" w:color="auto" w:fill="808080" w:themeFill="background1" w:themeFillShade="80"/>
            <w:noWrap/>
            <w:vAlign w:val="center"/>
            <w:hideMark/>
          </w:tcPr>
          <w:p w14:paraId="7E9BD879" w14:textId="77777777" w:rsidR="00EC5B9C" w:rsidRPr="00EC5B9C" w:rsidRDefault="00EC5B9C" w:rsidP="009642C8">
            <w:pPr>
              <w:spacing w:after="0" w:line="360" w:lineRule="auto"/>
              <w:jc w:val="center"/>
              <w:rPr>
                <w:rFonts w:eastAsia="Times New Roman" w:cs="Times New Roman"/>
                <w:b/>
                <w:bCs/>
                <w:color w:val="FFFFFF"/>
                <w:kern w:val="0"/>
                <w:sz w:val="20"/>
                <w:szCs w:val="20"/>
                <w:lang w:eastAsia="en-IN"/>
                <w14:ligatures w14:val="none"/>
              </w:rPr>
            </w:pPr>
            <w:r w:rsidRPr="00EC5B9C">
              <w:rPr>
                <w:rFonts w:eastAsia="Times New Roman" w:cs="Times New Roman"/>
                <w:b/>
                <w:bCs/>
                <w:color w:val="FFFFFF"/>
                <w:kern w:val="0"/>
                <w:sz w:val="20"/>
                <w:szCs w:val="20"/>
                <w:lang w:eastAsia="en-IN"/>
                <w14:ligatures w14:val="none"/>
              </w:rPr>
              <w:t>Company</w:t>
            </w:r>
          </w:p>
        </w:tc>
        <w:tc>
          <w:tcPr>
            <w:tcW w:w="1559"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BCC9E6E" w14:textId="77777777" w:rsidR="00EC5B9C" w:rsidRPr="00EC5B9C" w:rsidRDefault="00EC5B9C" w:rsidP="009642C8">
            <w:pPr>
              <w:spacing w:after="0" w:line="360" w:lineRule="auto"/>
              <w:jc w:val="center"/>
              <w:rPr>
                <w:rFonts w:eastAsia="Times New Roman" w:cs="Times New Roman"/>
                <w:b/>
                <w:bCs/>
                <w:color w:val="FFFFFF"/>
                <w:kern w:val="0"/>
                <w:sz w:val="20"/>
                <w:szCs w:val="20"/>
                <w:lang w:eastAsia="en-IN"/>
                <w14:ligatures w14:val="none"/>
              </w:rPr>
            </w:pPr>
            <w:r w:rsidRPr="00EC5B9C">
              <w:rPr>
                <w:rFonts w:eastAsia="Times New Roman" w:cs="Times New Roman"/>
                <w:b/>
                <w:bCs/>
                <w:color w:val="FFFFFF"/>
                <w:kern w:val="0"/>
                <w:sz w:val="20"/>
                <w:szCs w:val="20"/>
                <w:lang w:eastAsia="en-IN"/>
                <w14:ligatures w14:val="none"/>
              </w:rPr>
              <w:t>Current assets</w:t>
            </w:r>
          </w:p>
        </w:tc>
        <w:tc>
          <w:tcPr>
            <w:tcW w:w="1321"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3E6C132" w14:textId="77777777" w:rsidR="00EC5B9C" w:rsidRPr="00EC5B9C" w:rsidRDefault="00EC5B9C" w:rsidP="009642C8">
            <w:pPr>
              <w:spacing w:after="0" w:line="360" w:lineRule="auto"/>
              <w:jc w:val="center"/>
              <w:rPr>
                <w:rFonts w:eastAsia="Times New Roman" w:cs="Times New Roman"/>
                <w:b/>
                <w:bCs/>
                <w:color w:val="FFFFFF"/>
                <w:kern w:val="0"/>
                <w:sz w:val="20"/>
                <w:szCs w:val="20"/>
                <w:lang w:eastAsia="en-IN"/>
                <w14:ligatures w14:val="none"/>
              </w:rPr>
            </w:pPr>
            <w:r w:rsidRPr="00EC5B9C">
              <w:rPr>
                <w:rFonts w:eastAsia="Times New Roman" w:cs="Times New Roman"/>
                <w:b/>
                <w:bCs/>
                <w:color w:val="FFFFFF"/>
                <w:kern w:val="0"/>
                <w:sz w:val="20"/>
                <w:szCs w:val="20"/>
                <w:lang w:eastAsia="en-IN"/>
                <w14:ligatures w14:val="none"/>
              </w:rPr>
              <w:t>Inventories</w:t>
            </w:r>
          </w:p>
        </w:tc>
        <w:tc>
          <w:tcPr>
            <w:tcW w:w="1848"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68E6FD5" w14:textId="77777777" w:rsidR="00EC5B9C" w:rsidRPr="00EC5B9C" w:rsidRDefault="00EC5B9C" w:rsidP="009642C8">
            <w:pPr>
              <w:spacing w:after="0" w:line="360" w:lineRule="auto"/>
              <w:jc w:val="center"/>
              <w:rPr>
                <w:rFonts w:eastAsia="Times New Roman" w:cs="Times New Roman"/>
                <w:b/>
                <w:bCs/>
                <w:color w:val="FFFFFF"/>
                <w:kern w:val="0"/>
                <w:sz w:val="20"/>
                <w:szCs w:val="20"/>
                <w:lang w:eastAsia="en-IN"/>
                <w14:ligatures w14:val="none"/>
              </w:rPr>
            </w:pPr>
            <w:r w:rsidRPr="00EC5B9C">
              <w:rPr>
                <w:rFonts w:eastAsia="Times New Roman" w:cs="Times New Roman"/>
                <w:b/>
                <w:bCs/>
                <w:color w:val="FFFFFF"/>
                <w:kern w:val="0"/>
                <w:sz w:val="20"/>
                <w:szCs w:val="20"/>
                <w:lang w:eastAsia="en-IN"/>
                <w14:ligatures w14:val="none"/>
              </w:rPr>
              <w:t>Current liabilities</w:t>
            </w:r>
          </w:p>
        </w:tc>
        <w:tc>
          <w:tcPr>
            <w:tcW w:w="1509"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116521F6" w14:textId="77777777" w:rsidR="00EC5B9C" w:rsidRPr="00EC5B9C" w:rsidRDefault="00EC5B9C" w:rsidP="009642C8">
            <w:pPr>
              <w:spacing w:after="0" w:line="360" w:lineRule="auto"/>
              <w:jc w:val="center"/>
              <w:rPr>
                <w:rFonts w:eastAsia="Times New Roman" w:cs="Times New Roman"/>
                <w:b/>
                <w:bCs/>
                <w:color w:val="FFFFFF"/>
                <w:kern w:val="0"/>
                <w:sz w:val="20"/>
                <w:szCs w:val="20"/>
                <w:lang w:eastAsia="en-IN"/>
                <w14:ligatures w14:val="none"/>
              </w:rPr>
            </w:pPr>
            <w:r w:rsidRPr="00EC5B9C">
              <w:rPr>
                <w:rFonts w:eastAsia="Times New Roman" w:cs="Times New Roman"/>
                <w:b/>
                <w:bCs/>
                <w:color w:val="FFFFFF"/>
                <w:kern w:val="0"/>
                <w:sz w:val="20"/>
                <w:szCs w:val="20"/>
                <w:lang w:eastAsia="en-IN"/>
                <w14:ligatures w14:val="none"/>
              </w:rPr>
              <w:t>Current ratio</w:t>
            </w:r>
          </w:p>
        </w:tc>
        <w:tc>
          <w:tcPr>
            <w:tcW w:w="1276"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6FD49D33" w14:textId="77777777" w:rsidR="00EC5B9C" w:rsidRPr="00EC5B9C" w:rsidRDefault="00EC5B9C" w:rsidP="009642C8">
            <w:pPr>
              <w:spacing w:after="0" w:line="360" w:lineRule="auto"/>
              <w:jc w:val="center"/>
              <w:rPr>
                <w:rFonts w:eastAsia="Times New Roman" w:cs="Times New Roman"/>
                <w:b/>
                <w:bCs/>
                <w:color w:val="FFFFFF"/>
                <w:kern w:val="0"/>
                <w:sz w:val="20"/>
                <w:szCs w:val="20"/>
                <w:lang w:eastAsia="en-IN"/>
                <w14:ligatures w14:val="none"/>
              </w:rPr>
            </w:pPr>
            <w:r w:rsidRPr="00EC5B9C">
              <w:rPr>
                <w:rFonts w:eastAsia="Times New Roman" w:cs="Times New Roman"/>
                <w:b/>
                <w:bCs/>
                <w:color w:val="FFFFFF"/>
                <w:kern w:val="0"/>
                <w:sz w:val="20"/>
                <w:szCs w:val="20"/>
                <w:lang w:eastAsia="en-IN"/>
                <w14:ligatures w14:val="none"/>
              </w:rPr>
              <w:t>Quick ratio</w:t>
            </w:r>
          </w:p>
        </w:tc>
      </w:tr>
      <w:tr w:rsidR="00EC5B9C" w:rsidRPr="00EC5B9C" w14:paraId="1D38ACB8" w14:textId="77777777" w:rsidTr="00EC5B9C">
        <w:trPr>
          <w:trHeight w:val="229"/>
        </w:trPr>
        <w:tc>
          <w:tcPr>
            <w:tcW w:w="1980" w:type="dxa"/>
            <w:tcBorders>
              <w:top w:val="nil"/>
              <w:left w:val="single" w:sz="4" w:space="0" w:color="auto"/>
              <w:bottom w:val="single" w:sz="4" w:space="0" w:color="auto"/>
              <w:right w:val="single" w:sz="4" w:space="0" w:color="auto"/>
            </w:tcBorders>
            <w:noWrap/>
            <w:vAlign w:val="center"/>
            <w:hideMark/>
          </w:tcPr>
          <w:p w14:paraId="6AFB2F20" w14:textId="77777777" w:rsidR="00EC5B9C" w:rsidRPr="00EC5B9C" w:rsidRDefault="00EC5B9C" w:rsidP="009642C8">
            <w:pPr>
              <w:spacing w:after="0" w:line="360" w:lineRule="auto"/>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Shell plc</w:t>
            </w:r>
          </w:p>
        </w:tc>
        <w:tc>
          <w:tcPr>
            <w:tcW w:w="1559" w:type="dxa"/>
            <w:tcBorders>
              <w:top w:val="nil"/>
              <w:left w:val="nil"/>
              <w:bottom w:val="single" w:sz="4" w:space="0" w:color="auto"/>
              <w:right w:val="single" w:sz="4" w:space="0" w:color="auto"/>
            </w:tcBorders>
            <w:noWrap/>
            <w:vAlign w:val="center"/>
            <w:hideMark/>
          </w:tcPr>
          <w:p w14:paraId="414BDA42" w14:textId="5E4F3B4A"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127,926</w:t>
            </w:r>
          </w:p>
        </w:tc>
        <w:tc>
          <w:tcPr>
            <w:tcW w:w="1321" w:type="dxa"/>
            <w:tcBorders>
              <w:top w:val="nil"/>
              <w:left w:val="nil"/>
              <w:bottom w:val="single" w:sz="4" w:space="0" w:color="auto"/>
              <w:right w:val="single" w:sz="4" w:space="0" w:color="auto"/>
            </w:tcBorders>
            <w:noWrap/>
            <w:vAlign w:val="center"/>
            <w:hideMark/>
          </w:tcPr>
          <w:p w14:paraId="1600E4BB"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23,426</w:t>
            </w:r>
          </w:p>
        </w:tc>
        <w:tc>
          <w:tcPr>
            <w:tcW w:w="1848" w:type="dxa"/>
            <w:tcBorders>
              <w:top w:val="nil"/>
              <w:left w:val="nil"/>
              <w:bottom w:val="single" w:sz="4" w:space="0" w:color="auto"/>
              <w:right w:val="single" w:sz="4" w:space="0" w:color="auto"/>
            </w:tcBorders>
            <w:noWrap/>
            <w:vAlign w:val="center"/>
            <w:hideMark/>
          </w:tcPr>
          <w:p w14:paraId="3B5389BD"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95,034</w:t>
            </w:r>
          </w:p>
        </w:tc>
        <w:tc>
          <w:tcPr>
            <w:tcW w:w="1509" w:type="dxa"/>
            <w:tcBorders>
              <w:top w:val="nil"/>
              <w:left w:val="nil"/>
              <w:bottom w:val="single" w:sz="4" w:space="0" w:color="auto"/>
              <w:right w:val="single" w:sz="4" w:space="0" w:color="auto"/>
            </w:tcBorders>
            <w:noWrap/>
            <w:vAlign w:val="center"/>
            <w:hideMark/>
          </w:tcPr>
          <w:p w14:paraId="0ED7ED28"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1.35</w:t>
            </w:r>
          </w:p>
        </w:tc>
        <w:tc>
          <w:tcPr>
            <w:tcW w:w="1276" w:type="dxa"/>
            <w:tcBorders>
              <w:top w:val="nil"/>
              <w:left w:val="nil"/>
              <w:bottom w:val="single" w:sz="4" w:space="0" w:color="auto"/>
              <w:right w:val="single" w:sz="4" w:space="0" w:color="auto"/>
            </w:tcBorders>
            <w:noWrap/>
            <w:vAlign w:val="center"/>
            <w:hideMark/>
          </w:tcPr>
          <w:p w14:paraId="0CB1D4AD"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1.10</w:t>
            </w:r>
          </w:p>
        </w:tc>
      </w:tr>
      <w:tr w:rsidR="00EC5B9C" w:rsidRPr="00EC5B9C" w14:paraId="73ED56A4" w14:textId="77777777" w:rsidTr="00EC5B9C">
        <w:trPr>
          <w:trHeight w:val="229"/>
        </w:trPr>
        <w:tc>
          <w:tcPr>
            <w:tcW w:w="1980" w:type="dxa"/>
            <w:tcBorders>
              <w:top w:val="nil"/>
              <w:left w:val="single" w:sz="4" w:space="0" w:color="auto"/>
              <w:bottom w:val="single" w:sz="4" w:space="0" w:color="auto"/>
              <w:right w:val="single" w:sz="4" w:space="0" w:color="auto"/>
            </w:tcBorders>
            <w:noWrap/>
            <w:vAlign w:val="center"/>
            <w:hideMark/>
          </w:tcPr>
          <w:p w14:paraId="2246C758" w14:textId="77777777" w:rsidR="00EC5B9C" w:rsidRPr="00EC5B9C" w:rsidRDefault="00EC5B9C" w:rsidP="009642C8">
            <w:pPr>
              <w:spacing w:after="0" w:line="360" w:lineRule="auto"/>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BP plc</w:t>
            </w:r>
          </w:p>
        </w:tc>
        <w:tc>
          <w:tcPr>
            <w:tcW w:w="1559" w:type="dxa"/>
            <w:tcBorders>
              <w:top w:val="nil"/>
              <w:left w:val="nil"/>
              <w:bottom w:val="single" w:sz="4" w:space="0" w:color="auto"/>
              <w:right w:val="single" w:sz="4" w:space="0" w:color="auto"/>
            </w:tcBorders>
            <w:noWrap/>
            <w:vAlign w:val="center"/>
            <w:hideMark/>
          </w:tcPr>
          <w:p w14:paraId="105A2CCD" w14:textId="20A26C9D"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102,834</w:t>
            </w:r>
          </w:p>
        </w:tc>
        <w:tc>
          <w:tcPr>
            <w:tcW w:w="1321" w:type="dxa"/>
            <w:tcBorders>
              <w:top w:val="nil"/>
              <w:left w:val="nil"/>
              <w:bottom w:val="single" w:sz="4" w:space="0" w:color="auto"/>
              <w:right w:val="single" w:sz="4" w:space="0" w:color="auto"/>
            </w:tcBorders>
            <w:noWrap/>
            <w:vAlign w:val="center"/>
            <w:hideMark/>
          </w:tcPr>
          <w:p w14:paraId="6E755FEE"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23,232</w:t>
            </w:r>
          </w:p>
        </w:tc>
        <w:tc>
          <w:tcPr>
            <w:tcW w:w="1848" w:type="dxa"/>
            <w:tcBorders>
              <w:top w:val="nil"/>
              <w:left w:val="nil"/>
              <w:bottom w:val="single" w:sz="4" w:space="0" w:color="auto"/>
              <w:right w:val="single" w:sz="4" w:space="0" w:color="auto"/>
            </w:tcBorders>
            <w:noWrap/>
            <w:vAlign w:val="center"/>
            <w:hideMark/>
          </w:tcPr>
          <w:p w14:paraId="27EE14CA"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82,241</w:t>
            </w:r>
          </w:p>
        </w:tc>
        <w:tc>
          <w:tcPr>
            <w:tcW w:w="1509" w:type="dxa"/>
            <w:tcBorders>
              <w:top w:val="nil"/>
              <w:left w:val="nil"/>
              <w:bottom w:val="single" w:sz="4" w:space="0" w:color="auto"/>
              <w:right w:val="single" w:sz="4" w:space="0" w:color="auto"/>
            </w:tcBorders>
            <w:noWrap/>
            <w:vAlign w:val="center"/>
            <w:hideMark/>
          </w:tcPr>
          <w:p w14:paraId="73A04F70"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1.25</w:t>
            </w:r>
          </w:p>
        </w:tc>
        <w:tc>
          <w:tcPr>
            <w:tcW w:w="1276" w:type="dxa"/>
            <w:tcBorders>
              <w:top w:val="nil"/>
              <w:left w:val="nil"/>
              <w:bottom w:val="single" w:sz="4" w:space="0" w:color="auto"/>
              <w:right w:val="single" w:sz="4" w:space="0" w:color="auto"/>
            </w:tcBorders>
            <w:noWrap/>
            <w:vAlign w:val="center"/>
            <w:hideMark/>
          </w:tcPr>
          <w:p w14:paraId="68147585"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0.97</w:t>
            </w:r>
          </w:p>
        </w:tc>
      </w:tr>
      <w:tr w:rsidR="00EC5B9C" w:rsidRPr="00EC5B9C" w14:paraId="6200331F" w14:textId="77777777" w:rsidTr="00EC5B9C">
        <w:trPr>
          <w:trHeight w:val="229"/>
        </w:trPr>
        <w:tc>
          <w:tcPr>
            <w:tcW w:w="1980" w:type="dxa"/>
            <w:tcBorders>
              <w:top w:val="nil"/>
              <w:left w:val="single" w:sz="4" w:space="0" w:color="auto"/>
              <w:bottom w:val="single" w:sz="4" w:space="0" w:color="auto"/>
              <w:right w:val="single" w:sz="4" w:space="0" w:color="auto"/>
            </w:tcBorders>
            <w:noWrap/>
            <w:vAlign w:val="center"/>
            <w:hideMark/>
          </w:tcPr>
          <w:p w14:paraId="7321BDEC" w14:textId="77777777" w:rsidR="00EC5B9C" w:rsidRPr="00EC5B9C" w:rsidRDefault="00EC5B9C" w:rsidP="009642C8">
            <w:pPr>
              <w:spacing w:after="0" w:line="360" w:lineRule="auto"/>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ExxonMobil</w:t>
            </w:r>
          </w:p>
        </w:tc>
        <w:tc>
          <w:tcPr>
            <w:tcW w:w="1559" w:type="dxa"/>
            <w:tcBorders>
              <w:top w:val="nil"/>
              <w:left w:val="nil"/>
              <w:bottom w:val="single" w:sz="4" w:space="0" w:color="auto"/>
              <w:right w:val="single" w:sz="4" w:space="0" w:color="auto"/>
            </w:tcBorders>
            <w:noWrap/>
            <w:vAlign w:val="center"/>
            <w:hideMark/>
          </w:tcPr>
          <w:p w14:paraId="707FF9BF"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91,990</w:t>
            </w:r>
          </w:p>
        </w:tc>
        <w:tc>
          <w:tcPr>
            <w:tcW w:w="1321" w:type="dxa"/>
            <w:tcBorders>
              <w:top w:val="nil"/>
              <w:left w:val="nil"/>
              <w:bottom w:val="single" w:sz="4" w:space="0" w:color="auto"/>
              <w:right w:val="single" w:sz="4" w:space="0" w:color="auto"/>
            </w:tcBorders>
            <w:noWrap/>
            <w:vAlign w:val="center"/>
            <w:hideMark/>
          </w:tcPr>
          <w:p w14:paraId="789D0DB1"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23,524</w:t>
            </w:r>
          </w:p>
        </w:tc>
        <w:tc>
          <w:tcPr>
            <w:tcW w:w="1848" w:type="dxa"/>
            <w:tcBorders>
              <w:top w:val="nil"/>
              <w:left w:val="nil"/>
              <w:bottom w:val="single" w:sz="4" w:space="0" w:color="auto"/>
              <w:right w:val="single" w:sz="4" w:space="0" w:color="auto"/>
            </w:tcBorders>
            <w:noWrap/>
            <w:vAlign w:val="center"/>
            <w:hideMark/>
          </w:tcPr>
          <w:p w14:paraId="3C234280"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70,307</w:t>
            </w:r>
          </w:p>
        </w:tc>
        <w:tc>
          <w:tcPr>
            <w:tcW w:w="1509" w:type="dxa"/>
            <w:tcBorders>
              <w:top w:val="nil"/>
              <w:left w:val="nil"/>
              <w:bottom w:val="single" w:sz="4" w:space="0" w:color="auto"/>
              <w:right w:val="single" w:sz="4" w:space="0" w:color="auto"/>
            </w:tcBorders>
            <w:noWrap/>
            <w:vAlign w:val="center"/>
            <w:hideMark/>
          </w:tcPr>
          <w:p w14:paraId="2FBB0470"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1.31</w:t>
            </w:r>
          </w:p>
        </w:tc>
        <w:tc>
          <w:tcPr>
            <w:tcW w:w="1276" w:type="dxa"/>
            <w:tcBorders>
              <w:top w:val="nil"/>
              <w:left w:val="nil"/>
              <w:bottom w:val="single" w:sz="4" w:space="0" w:color="auto"/>
              <w:right w:val="single" w:sz="4" w:space="0" w:color="auto"/>
            </w:tcBorders>
            <w:noWrap/>
            <w:vAlign w:val="center"/>
            <w:hideMark/>
          </w:tcPr>
          <w:p w14:paraId="34A611A8"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0.97</w:t>
            </w:r>
          </w:p>
        </w:tc>
      </w:tr>
      <w:tr w:rsidR="00EC5B9C" w:rsidRPr="00EC5B9C" w14:paraId="1A1FE85C" w14:textId="77777777" w:rsidTr="00EC5B9C">
        <w:trPr>
          <w:trHeight w:val="229"/>
        </w:trPr>
        <w:tc>
          <w:tcPr>
            <w:tcW w:w="1980" w:type="dxa"/>
            <w:tcBorders>
              <w:top w:val="nil"/>
              <w:left w:val="single" w:sz="4" w:space="0" w:color="auto"/>
              <w:bottom w:val="single" w:sz="4" w:space="0" w:color="auto"/>
              <w:right w:val="single" w:sz="4" w:space="0" w:color="auto"/>
            </w:tcBorders>
            <w:noWrap/>
            <w:vAlign w:val="center"/>
            <w:hideMark/>
          </w:tcPr>
          <w:p w14:paraId="3CB604FA" w14:textId="77777777" w:rsidR="00EC5B9C" w:rsidRPr="00EC5B9C" w:rsidRDefault="00EC5B9C" w:rsidP="009642C8">
            <w:pPr>
              <w:spacing w:after="0" w:line="360" w:lineRule="auto"/>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Chevron</w:t>
            </w:r>
          </w:p>
        </w:tc>
        <w:tc>
          <w:tcPr>
            <w:tcW w:w="1559" w:type="dxa"/>
            <w:tcBorders>
              <w:top w:val="nil"/>
              <w:left w:val="nil"/>
              <w:bottom w:val="single" w:sz="4" w:space="0" w:color="auto"/>
              <w:right w:val="single" w:sz="4" w:space="0" w:color="auto"/>
            </w:tcBorders>
            <w:noWrap/>
            <w:vAlign w:val="center"/>
            <w:hideMark/>
          </w:tcPr>
          <w:p w14:paraId="2DE9C70F"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40,911</w:t>
            </w:r>
          </w:p>
        </w:tc>
        <w:tc>
          <w:tcPr>
            <w:tcW w:w="1321" w:type="dxa"/>
            <w:tcBorders>
              <w:top w:val="nil"/>
              <w:left w:val="nil"/>
              <w:bottom w:val="single" w:sz="4" w:space="0" w:color="auto"/>
              <w:right w:val="single" w:sz="4" w:space="0" w:color="auto"/>
            </w:tcBorders>
            <w:noWrap/>
            <w:vAlign w:val="center"/>
            <w:hideMark/>
          </w:tcPr>
          <w:p w14:paraId="7C8654ED"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9,074</w:t>
            </w:r>
          </w:p>
        </w:tc>
        <w:tc>
          <w:tcPr>
            <w:tcW w:w="1848" w:type="dxa"/>
            <w:tcBorders>
              <w:top w:val="nil"/>
              <w:left w:val="nil"/>
              <w:bottom w:val="single" w:sz="4" w:space="0" w:color="auto"/>
              <w:right w:val="single" w:sz="4" w:space="0" w:color="auto"/>
            </w:tcBorders>
            <w:noWrap/>
            <w:vAlign w:val="center"/>
            <w:hideMark/>
          </w:tcPr>
          <w:p w14:paraId="4874F711"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38,558</w:t>
            </w:r>
          </w:p>
        </w:tc>
        <w:tc>
          <w:tcPr>
            <w:tcW w:w="1509" w:type="dxa"/>
            <w:tcBorders>
              <w:top w:val="nil"/>
              <w:left w:val="nil"/>
              <w:bottom w:val="single" w:sz="4" w:space="0" w:color="auto"/>
              <w:right w:val="single" w:sz="4" w:space="0" w:color="auto"/>
            </w:tcBorders>
            <w:noWrap/>
            <w:vAlign w:val="center"/>
            <w:hideMark/>
          </w:tcPr>
          <w:p w14:paraId="4A372177"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1.06</w:t>
            </w:r>
          </w:p>
        </w:tc>
        <w:tc>
          <w:tcPr>
            <w:tcW w:w="1276" w:type="dxa"/>
            <w:tcBorders>
              <w:top w:val="nil"/>
              <w:left w:val="nil"/>
              <w:bottom w:val="single" w:sz="4" w:space="0" w:color="auto"/>
              <w:right w:val="single" w:sz="4" w:space="0" w:color="auto"/>
            </w:tcBorders>
            <w:noWrap/>
            <w:vAlign w:val="center"/>
            <w:hideMark/>
          </w:tcPr>
          <w:p w14:paraId="400BA759"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0.83</w:t>
            </w:r>
          </w:p>
        </w:tc>
      </w:tr>
      <w:tr w:rsidR="00EC5B9C" w:rsidRPr="00EC5B9C" w14:paraId="0FFC5E3A" w14:textId="77777777" w:rsidTr="00EC5B9C">
        <w:trPr>
          <w:trHeight w:val="229"/>
        </w:trPr>
        <w:tc>
          <w:tcPr>
            <w:tcW w:w="1980" w:type="dxa"/>
            <w:tcBorders>
              <w:top w:val="nil"/>
              <w:left w:val="single" w:sz="4" w:space="0" w:color="auto"/>
              <w:bottom w:val="single" w:sz="4" w:space="0" w:color="auto"/>
              <w:right w:val="single" w:sz="4" w:space="0" w:color="auto"/>
            </w:tcBorders>
            <w:noWrap/>
            <w:vAlign w:val="center"/>
            <w:hideMark/>
          </w:tcPr>
          <w:p w14:paraId="5521E1E5" w14:textId="77777777" w:rsidR="00EC5B9C" w:rsidRPr="00EC5B9C" w:rsidRDefault="00EC5B9C" w:rsidP="009642C8">
            <w:pPr>
              <w:spacing w:after="0" w:line="360" w:lineRule="auto"/>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TotalEnergies</w:t>
            </w:r>
          </w:p>
        </w:tc>
        <w:tc>
          <w:tcPr>
            <w:tcW w:w="1559" w:type="dxa"/>
            <w:tcBorders>
              <w:top w:val="nil"/>
              <w:left w:val="nil"/>
              <w:bottom w:val="single" w:sz="4" w:space="0" w:color="auto"/>
              <w:right w:val="single" w:sz="4" w:space="0" w:color="auto"/>
            </w:tcBorders>
            <w:noWrap/>
            <w:vAlign w:val="center"/>
            <w:hideMark/>
          </w:tcPr>
          <w:p w14:paraId="0FE3EB2E"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96,571</w:t>
            </w:r>
          </w:p>
        </w:tc>
        <w:tc>
          <w:tcPr>
            <w:tcW w:w="1321" w:type="dxa"/>
            <w:tcBorders>
              <w:top w:val="nil"/>
              <w:left w:val="nil"/>
              <w:bottom w:val="single" w:sz="4" w:space="0" w:color="auto"/>
              <w:right w:val="single" w:sz="4" w:space="0" w:color="auto"/>
            </w:tcBorders>
            <w:noWrap/>
            <w:vAlign w:val="center"/>
            <w:hideMark/>
          </w:tcPr>
          <w:p w14:paraId="35C20726"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18,868</w:t>
            </w:r>
          </w:p>
        </w:tc>
        <w:tc>
          <w:tcPr>
            <w:tcW w:w="1848" w:type="dxa"/>
            <w:tcBorders>
              <w:top w:val="nil"/>
              <w:left w:val="nil"/>
              <w:bottom w:val="single" w:sz="4" w:space="0" w:color="auto"/>
              <w:right w:val="single" w:sz="4" w:space="0" w:color="auto"/>
            </w:tcBorders>
            <w:noWrap/>
            <w:vAlign w:val="center"/>
            <w:hideMark/>
          </w:tcPr>
          <w:p w14:paraId="6F99028F"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87,960</w:t>
            </w:r>
          </w:p>
        </w:tc>
        <w:tc>
          <w:tcPr>
            <w:tcW w:w="1509" w:type="dxa"/>
            <w:tcBorders>
              <w:top w:val="nil"/>
              <w:left w:val="nil"/>
              <w:bottom w:val="single" w:sz="4" w:space="0" w:color="auto"/>
              <w:right w:val="single" w:sz="4" w:space="0" w:color="auto"/>
            </w:tcBorders>
            <w:noWrap/>
            <w:vAlign w:val="center"/>
            <w:hideMark/>
          </w:tcPr>
          <w:p w14:paraId="5C042C45"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1.10</w:t>
            </w:r>
          </w:p>
        </w:tc>
        <w:tc>
          <w:tcPr>
            <w:tcW w:w="1276" w:type="dxa"/>
            <w:tcBorders>
              <w:top w:val="nil"/>
              <w:left w:val="nil"/>
              <w:bottom w:val="single" w:sz="4" w:space="0" w:color="auto"/>
              <w:right w:val="single" w:sz="4" w:space="0" w:color="auto"/>
            </w:tcBorders>
            <w:noWrap/>
            <w:vAlign w:val="center"/>
            <w:hideMark/>
          </w:tcPr>
          <w:p w14:paraId="27234AE1" w14:textId="77777777" w:rsidR="00EC5B9C" w:rsidRPr="00EC5B9C" w:rsidRDefault="00EC5B9C" w:rsidP="009642C8">
            <w:pPr>
              <w:spacing w:after="0" w:line="360" w:lineRule="auto"/>
              <w:jc w:val="center"/>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0.88</w:t>
            </w:r>
          </w:p>
        </w:tc>
      </w:tr>
      <w:tr w:rsidR="00EC5B9C" w:rsidRPr="00EC5B9C" w14:paraId="7EDFB154" w14:textId="77777777" w:rsidTr="00EC5B9C">
        <w:trPr>
          <w:trHeight w:val="229"/>
        </w:trPr>
        <w:tc>
          <w:tcPr>
            <w:tcW w:w="1980" w:type="dxa"/>
            <w:tcBorders>
              <w:top w:val="nil"/>
              <w:left w:val="single" w:sz="4" w:space="0" w:color="auto"/>
              <w:bottom w:val="single" w:sz="4" w:space="0" w:color="auto"/>
              <w:right w:val="single" w:sz="4" w:space="0" w:color="auto"/>
            </w:tcBorders>
            <w:noWrap/>
            <w:vAlign w:val="center"/>
            <w:hideMark/>
          </w:tcPr>
          <w:p w14:paraId="5FB78B4B" w14:textId="77777777" w:rsidR="00EC5B9C" w:rsidRPr="00EC5B9C" w:rsidRDefault="00EC5B9C" w:rsidP="009642C8">
            <w:pPr>
              <w:spacing w:after="0" w:line="360" w:lineRule="auto"/>
              <w:rPr>
                <w:rFonts w:eastAsia="Times New Roman" w:cs="Times New Roman"/>
                <w:color w:val="000000"/>
                <w:kern w:val="0"/>
                <w:sz w:val="20"/>
                <w:szCs w:val="20"/>
                <w:lang w:eastAsia="en-IN"/>
                <w14:ligatures w14:val="none"/>
              </w:rPr>
            </w:pPr>
            <w:r w:rsidRPr="00EC5B9C">
              <w:rPr>
                <w:rFonts w:eastAsia="Times New Roman" w:cs="Times New Roman"/>
                <w:color w:val="000000"/>
                <w:kern w:val="0"/>
                <w:sz w:val="20"/>
                <w:szCs w:val="20"/>
                <w:lang w:eastAsia="en-IN"/>
                <w14:ligatures w14:val="none"/>
              </w:rPr>
              <w:t>Industry average</w:t>
            </w:r>
          </w:p>
        </w:tc>
        <w:tc>
          <w:tcPr>
            <w:tcW w:w="1559" w:type="dxa"/>
            <w:tcBorders>
              <w:top w:val="nil"/>
              <w:left w:val="nil"/>
              <w:bottom w:val="single" w:sz="4" w:space="0" w:color="auto"/>
              <w:right w:val="single" w:sz="4" w:space="0" w:color="auto"/>
            </w:tcBorders>
            <w:noWrap/>
            <w:vAlign w:val="center"/>
            <w:hideMark/>
          </w:tcPr>
          <w:p w14:paraId="1F67AD3E" w14:textId="0387EC9B" w:rsidR="00EC5B9C" w:rsidRPr="00EC5B9C" w:rsidRDefault="00EC5B9C" w:rsidP="009642C8">
            <w:pPr>
              <w:spacing w:after="0" w:line="360" w:lineRule="auto"/>
              <w:jc w:val="center"/>
              <w:rPr>
                <w:rFonts w:eastAsia="Times New Roman" w:cs="Times New Roman"/>
                <w:b/>
                <w:bCs/>
                <w:color w:val="000000"/>
                <w:kern w:val="0"/>
                <w:sz w:val="20"/>
                <w:szCs w:val="20"/>
                <w:lang w:eastAsia="en-IN"/>
                <w14:ligatures w14:val="none"/>
              </w:rPr>
            </w:pPr>
          </w:p>
        </w:tc>
        <w:tc>
          <w:tcPr>
            <w:tcW w:w="1321" w:type="dxa"/>
            <w:tcBorders>
              <w:top w:val="nil"/>
              <w:left w:val="nil"/>
              <w:bottom w:val="single" w:sz="4" w:space="0" w:color="auto"/>
              <w:right w:val="single" w:sz="4" w:space="0" w:color="auto"/>
            </w:tcBorders>
            <w:noWrap/>
            <w:vAlign w:val="center"/>
            <w:hideMark/>
          </w:tcPr>
          <w:p w14:paraId="676DD3B3" w14:textId="108CA55E" w:rsidR="00EC5B9C" w:rsidRPr="00EC5B9C" w:rsidRDefault="00EC5B9C" w:rsidP="009642C8">
            <w:pPr>
              <w:spacing w:after="0" w:line="360" w:lineRule="auto"/>
              <w:jc w:val="center"/>
              <w:rPr>
                <w:rFonts w:eastAsia="Times New Roman" w:cs="Times New Roman"/>
                <w:b/>
                <w:bCs/>
                <w:color w:val="000000"/>
                <w:kern w:val="0"/>
                <w:sz w:val="20"/>
                <w:szCs w:val="20"/>
                <w:lang w:eastAsia="en-IN"/>
                <w14:ligatures w14:val="none"/>
              </w:rPr>
            </w:pPr>
          </w:p>
        </w:tc>
        <w:tc>
          <w:tcPr>
            <w:tcW w:w="1848" w:type="dxa"/>
            <w:tcBorders>
              <w:top w:val="nil"/>
              <w:left w:val="nil"/>
              <w:bottom w:val="single" w:sz="4" w:space="0" w:color="auto"/>
              <w:right w:val="single" w:sz="4" w:space="0" w:color="auto"/>
            </w:tcBorders>
            <w:noWrap/>
            <w:vAlign w:val="center"/>
            <w:hideMark/>
          </w:tcPr>
          <w:p w14:paraId="7B5F725C" w14:textId="7EB0BD51" w:rsidR="00EC5B9C" w:rsidRPr="00EC5B9C" w:rsidRDefault="00EC5B9C" w:rsidP="009642C8">
            <w:pPr>
              <w:spacing w:after="0" w:line="360" w:lineRule="auto"/>
              <w:jc w:val="center"/>
              <w:rPr>
                <w:rFonts w:eastAsia="Times New Roman" w:cs="Times New Roman"/>
                <w:b/>
                <w:bCs/>
                <w:color w:val="000000"/>
                <w:kern w:val="0"/>
                <w:sz w:val="20"/>
                <w:szCs w:val="20"/>
                <w:lang w:eastAsia="en-IN"/>
                <w14:ligatures w14:val="none"/>
              </w:rPr>
            </w:pPr>
          </w:p>
        </w:tc>
        <w:tc>
          <w:tcPr>
            <w:tcW w:w="1509" w:type="dxa"/>
            <w:tcBorders>
              <w:top w:val="nil"/>
              <w:left w:val="nil"/>
              <w:bottom w:val="single" w:sz="4" w:space="0" w:color="auto"/>
              <w:right w:val="single" w:sz="4" w:space="0" w:color="auto"/>
            </w:tcBorders>
            <w:noWrap/>
            <w:vAlign w:val="center"/>
            <w:hideMark/>
          </w:tcPr>
          <w:p w14:paraId="17B328B0" w14:textId="77777777" w:rsidR="00EC5B9C" w:rsidRPr="00EC5B9C" w:rsidRDefault="00EC5B9C" w:rsidP="009642C8">
            <w:pPr>
              <w:spacing w:after="0" w:line="360" w:lineRule="auto"/>
              <w:jc w:val="center"/>
              <w:rPr>
                <w:rFonts w:eastAsia="Times New Roman" w:cs="Times New Roman"/>
                <w:b/>
                <w:bCs/>
                <w:color w:val="000000"/>
                <w:kern w:val="0"/>
                <w:sz w:val="20"/>
                <w:szCs w:val="20"/>
                <w:lang w:eastAsia="en-IN"/>
                <w14:ligatures w14:val="none"/>
              </w:rPr>
            </w:pPr>
            <w:r w:rsidRPr="00EC5B9C">
              <w:rPr>
                <w:rFonts w:eastAsia="Times New Roman" w:cs="Times New Roman"/>
                <w:b/>
                <w:bCs/>
                <w:color w:val="000000"/>
                <w:kern w:val="0"/>
                <w:sz w:val="20"/>
                <w:szCs w:val="20"/>
                <w:lang w:eastAsia="en-IN"/>
                <w14:ligatures w14:val="none"/>
              </w:rPr>
              <w:t>1.18</w:t>
            </w:r>
          </w:p>
        </w:tc>
        <w:tc>
          <w:tcPr>
            <w:tcW w:w="1276" w:type="dxa"/>
            <w:tcBorders>
              <w:top w:val="nil"/>
              <w:left w:val="nil"/>
              <w:bottom w:val="single" w:sz="4" w:space="0" w:color="auto"/>
              <w:right w:val="single" w:sz="4" w:space="0" w:color="auto"/>
            </w:tcBorders>
            <w:noWrap/>
            <w:vAlign w:val="center"/>
            <w:hideMark/>
          </w:tcPr>
          <w:p w14:paraId="4F2CA5C1" w14:textId="77777777" w:rsidR="00EC5B9C" w:rsidRPr="00EC5B9C" w:rsidRDefault="00EC5B9C" w:rsidP="009642C8">
            <w:pPr>
              <w:spacing w:after="0" w:line="360" w:lineRule="auto"/>
              <w:jc w:val="center"/>
              <w:rPr>
                <w:rFonts w:eastAsia="Times New Roman" w:cs="Times New Roman"/>
                <w:b/>
                <w:bCs/>
                <w:color w:val="000000"/>
                <w:kern w:val="0"/>
                <w:sz w:val="20"/>
                <w:szCs w:val="20"/>
                <w:lang w:eastAsia="en-IN"/>
                <w14:ligatures w14:val="none"/>
              </w:rPr>
            </w:pPr>
            <w:r w:rsidRPr="00EC5B9C">
              <w:rPr>
                <w:rFonts w:eastAsia="Times New Roman" w:cs="Times New Roman"/>
                <w:b/>
                <w:bCs/>
                <w:color w:val="000000"/>
                <w:kern w:val="0"/>
                <w:sz w:val="20"/>
                <w:szCs w:val="20"/>
                <w:lang w:eastAsia="en-IN"/>
                <w14:ligatures w14:val="none"/>
              </w:rPr>
              <w:t>0.91</w:t>
            </w:r>
          </w:p>
        </w:tc>
      </w:tr>
    </w:tbl>
    <w:p w14:paraId="510D5AE0" w14:textId="15F9D9B5" w:rsidR="002F3597" w:rsidRDefault="002F3597" w:rsidP="009642C8">
      <w:pPr>
        <w:spacing w:line="360" w:lineRule="auto"/>
        <w:rPr>
          <w:rFonts w:cs="Times New Roman"/>
          <w:szCs w:val="24"/>
        </w:rPr>
      </w:pPr>
    </w:p>
    <w:p w14:paraId="1AA68C12" w14:textId="28493C56" w:rsidR="00C1587B" w:rsidRDefault="00C1587B" w:rsidP="009642C8">
      <w:pPr>
        <w:spacing w:line="360" w:lineRule="auto"/>
        <w:rPr>
          <w:rFonts w:cs="Times New Roman"/>
          <w:szCs w:val="24"/>
        </w:rPr>
      </w:pPr>
      <w:r>
        <w:rPr>
          <w:rFonts w:cs="Times New Roman"/>
          <w:szCs w:val="24"/>
        </w:rPr>
        <w:t xml:space="preserve">Above table demonstrates that </w:t>
      </w:r>
      <w:r w:rsidR="0053691F">
        <w:rPr>
          <w:rFonts w:cs="Times New Roman"/>
          <w:szCs w:val="24"/>
        </w:rPr>
        <w:t xml:space="preserve">Shell PLC outperformed the peer companies in terms of liquidity as indicated by industry average of </w:t>
      </w:r>
      <w:r w:rsidR="009638E8">
        <w:rPr>
          <w:rFonts w:cs="Times New Roman"/>
          <w:szCs w:val="24"/>
        </w:rPr>
        <w:t xml:space="preserve">1.18 times and 0.91 times (current ratio and quick ratio) which is lower than that of company with 1.35 times and 1.10 times. </w:t>
      </w:r>
      <w:r w:rsidR="00E431B3">
        <w:rPr>
          <w:rFonts w:cs="Times New Roman"/>
          <w:szCs w:val="24"/>
        </w:rPr>
        <w:t xml:space="preserve">Further, liquidity ratio of company is highest in comparison to all the peer companies. </w:t>
      </w:r>
      <w:r w:rsidR="00D83F53">
        <w:rPr>
          <w:rFonts w:cs="Times New Roman"/>
          <w:szCs w:val="24"/>
        </w:rPr>
        <w:t xml:space="preserve">It indicates strong liquidity position in comparison to selected competitors. </w:t>
      </w:r>
    </w:p>
    <w:p w14:paraId="17099A6D" w14:textId="467E1006" w:rsidR="002B51C1" w:rsidRPr="00B57803" w:rsidRDefault="002B51C1" w:rsidP="009642C8">
      <w:pPr>
        <w:pStyle w:val="Heading2"/>
        <w:spacing w:line="360" w:lineRule="auto"/>
        <w:rPr>
          <w:rFonts w:ascii="Times New Roman" w:hAnsi="Times New Roman" w:cs="Times New Roman"/>
          <w:sz w:val="24"/>
          <w:szCs w:val="24"/>
        </w:rPr>
      </w:pPr>
      <w:bookmarkStart w:id="4" w:name="_Toc243773384"/>
      <w:r w:rsidRPr="00B57803">
        <w:rPr>
          <w:rFonts w:ascii="Times New Roman" w:hAnsi="Times New Roman" w:cs="Times New Roman"/>
          <w:sz w:val="24"/>
          <w:szCs w:val="24"/>
        </w:rPr>
        <w:t>2.</w:t>
      </w:r>
      <w:r>
        <w:rPr>
          <w:rFonts w:ascii="Times New Roman" w:hAnsi="Times New Roman" w:cs="Times New Roman"/>
          <w:sz w:val="24"/>
          <w:szCs w:val="24"/>
        </w:rPr>
        <w:t>3</w:t>
      </w:r>
      <w:r w:rsidRPr="00B57803">
        <w:rPr>
          <w:rFonts w:ascii="Times New Roman" w:hAnsi="Times New Roman" w:cs="Times New Roman"/>
          <w:sz w:val="24"/>
          <w:szCs w:val="24"/>
        </w:rPr>
        <w:t xml:space="preserve"> Analysis of </w:t>
      </w:r>
      <w:r>
        <w:rPr>
          <w:rFonts w:ascii="Times New Roman" w:hAnsi="Times New Roman" w:cs="Times New Roman"/>
          <w:sz w:val="24"/>
          <w:szCs w:val="24"/>
        </w:rPr>
        <w:t>efficiency and working capital performance</w:t>
      </w:r>
      <w:bookmarkEnd w:id="4"/>
    </w:p>
    <w:p w14:paraId="667608B5" w14:textId="6F55049D" w:rsidR="002B51C1" w:rsidRPr="00E12232" w:rsidRDefault="002B51C1" w:rsidP="009642C8">
      <w:pPr>
        <w:spacing w:line="360" w:lineRule="auto"/>
        <w:rPr>
          <w:rFonts w:cs="Times New Roman"/>
          <w:szCs w:val="24"/>
          <w:u w:val="single"/>
        </w:rPr>
      </w:pPr>
      <w:r w:rsidRPr="00E12232">
        <w:rPr>
          <w:rFonts w:cs="Times New Roman"/>
          <w:szCs w:val="24"/>
          <w:u w:val="single"/>
        </w:rPr>
        <w:t xml:space="preserve">Summary of all </w:t>
      </w:r>
      <w:r w:rsidR="00A41224">
        <w:rPr>
          <w:rFonts w:cs="Times New Roman"/>
          <w:szCs w:val="24"/>
          <w:u w:val="single"/>
        </w:rPr>
        <w:t>efficiency</w:t>
      </w:r>
      <w:r w:rsidRPr="00E12232">
        <w:rPr>
          <w:rFonts w:cs="Times New Roman"/>
          <w:szCs w:val="24"/>
          <w:u w:val="single"/>
        </w:rPr>
        <w:t xml:space="preserve"> ratios of company are provided below:</w:t>
      </w:r>
    </w:p>
    <w:p w14:paraId="65C6CF3F" w14:textId="208B45B7" w:rsidR="002B51C1" w:rsidRDefault="00C83D64" w:rsidP="009642C8">
      <w:pPr>
        <w:spacing w:line="360" w:lineRule="auto"/>
        <w:rPr>
          <w:rFonts w:cs="Times New Roman"/>
          <w:szCs w:val="24"/>
        </w:rPr>
      </w:pPr>
      <w:r w:rsidRPr="00C83D64">
        <w:rPr>
          <w:rFonts w:cs="Times New Roman"/>
          <w:noProof/>
          <w:szCs w:val="24"/>
        </w:rPr>
        <w:drawing>
          <wp:inline distT="0" distB="0" distL="0" distR="0" wp14:anchorId="19FE5406" wp14:editId="701B8408">
            <wp:extent cx="5731510" cy="939800"/>
            <wp:effectExtent l="0" t="0" r="2540" b="0"/>
            <wp:docPr id="1989972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972903" name=""/>
                    <pic:cNvPicPr/>
                  </pic:nvPicPr>
                  <pic:blipFill>
                    <a:blip r:embed="rId11"/>
                    <a:stretch>
                      <a:fillRect/>
                    </a:stretch>
                  </pic:blipFill>
                  <pic:spPr>
                    <a:xfrm>
                      <a:off x="0" y="0"/>
                      <a:ext cx="5731510" cy="939800"/>
                    </a:xfrm>
                    <a:prstGeom prst="rect">
                      <a:avLst/>
                    </a:prstGeom>
                  </pic:spPr>
                </pic:pic>
              </a:graphicData>
            </a:graphic>
          </wp:inline>
        </w:drawing>
      </w:r>
    </w:p>
    <w:p w14:paraId="5D0DEC97" w14:textId="4CDCDD74" w:rsidR="00C83D64" w:rsidRDefault="00C3432B" w:rsidP="009642C8">
      <w:pPr>
        <w:spacing w:line="360" w:lineRule="auto"/>
        <w:rPr>
          <w:rFonts w:cs="Times New Roman"/>
          <w:szCs w:val="24"/>
        </w:rPr>
      </w:pPr>
      <w:r>
        <w:rPr>
          <w:rFonts w:cs="Times New Roman"/>
          <w:b/>
          <w:bCs/>
          <w:szCs w:val="24"/>
          <w:u w:val="single"/>
        </w:rPr>
        <w:t xml:space="preserve">Assets </w:t>
      </w:r>
      <w:r w:rsidR="003B5684">
        <w:rPr>
          <w:rFonts w:cs="Times New Roman"/>
          <w:b/>
          <w:bCs/>
          <w:szCs w:val="24"/>
          <w:u w:val="single"/>
        </w:rPr>
        <w:t>turnover ratio</w:t>
      </w:r>
      <w:r w:rsidR="003B5684">
        <w:rPr>
          <w:rFonts w:cs="Times New Roman"/>
          <w:szCs w:val="24"/>
        </w:rPr>
        <w:t xml:space="preserve"> of the company increased from 0.65 times in the year 2021 to 0.86 times </w:t>
      </w:r>
      <w:r w:rsidR="000876B3">
        <w:rPr>
          <w:rFonts w:cs="Times New Roman"/>
          <w:szCs w:val="24"/>
        </w:rPr>
        <w:t xml:space="preserve">in the year 2022 but subsequently reduced to 0.72 times in 2025. </w:t>
      </w:r>
      <w:r w:rsidR="0077021F">
        <w:rPr>
          <w:rFonts w:cs="Times New Roman"/>
          <w:szCs w:val="24"/>
        </w:rPr>
        <w:t>Decline in ratio indicates lower revenue generated in business, changes in portfolio of assets</w:t>
      </w:r>
      <w:r w:rsidR="00C12022">
        <w:rPr>
          <w:rFonts w:cs="Times New Roman"/>
          <w:szCs w:val="24"/>
        </w:rPr>
        <w:t xml:space="preserve"> or capital intensive nature of company’s operations. </w:t>
      </w:r>
    </w:p>
    <w:p w14:paraId="3F6DECBE" w14:textId="4B96BB7D" w:rsidR="00C12022" w:rsidRDefault="00C12022" w:rsidP="009642C8">
      <w:pPr>
        <w:spacing w:line="360" w:lineRule="auto"/>
        <w:rPr>
          <w:rFonts w:cs="Times New Roman"/>
          <w:szCs w:val="24"/>
        </w:rPr>
      </w:pPr>
      <w:r>
        <w:rPr>
          <w:rFonts w:cs="Times New Roman"/>
          <w:b/>
          <w:bCs/>
          <w:szCs w:val="24"/>
          <w:u w:val="single"/>
        </w:rPr>
        <w:t>Inventory holding period</w:t>
      </w:r>
      <w:r w:rsidR="00796AC7">
        <w:rPr>
          <w:rFonts w:cs="Times New Roman"/>
          <w:szCs w:val="24"/>
        </w:rPr>
        <w:t xml:space="preserve"> reduced from 41.6 days in 2021 to 36.60 days in 2025 which indicate improvement in efficiency of inventory over a period of time. </w:t>
      </w:r>
      <w:r w:rsidR="00A747AB">
        <w:rPr>
          <w:rFonts w:cs="Times New Roman"/>
          <w:szCs w:val="24"/>
        </w:rPr>
        <w:t xml:space="preserve">However, the ratio has remained almost stable from the year 2023. </w:t>
      </w:r>
      <w:r w:rsidR="00B215F1">
        <w:rPr>
          <w:rFonts w:cs="Times New Roman"/>
          <w:szCs w:val="24"/>
        </w:rPr>
        <w:t xml:space="preserve">Improvement in ratio is attributable to </w:t>
      </w:r>
      <w:r w:rsidR="00B215F1" w:rsidRPr="00B215F1">
        <w:rPr>
          <w:rFonts w:cs="Times New Roman"/>
          <w:szCs w:val="24"/>
        </w:rPr>
        <w:t xml:space="preserve">inventory </w:t>
      </w:r>
      <w:r w:rsidR="00B215F1" w:rsidRPr="00B215F1">
        <w:rPr>
          <w:rFonts w:cs="Times New Roman"/>
          <w:szCs w:val="24"/>
        </w:rPr>
        <w:lastRenderedPageBreak/>
        <w:t>optimisation</w:t>
      </w:r>
      <w:r w:rsidR="00B215F1">
        <w:rPr>
          <w:rFonts w:cs="Times New Roman"/>
          <w:szCs w:val="24"/>
        </w:rPr>
        <w:t>, efficient demand forecasting</w:t>
      </w:r>
      <w:r w:rsidR="006D1906">
        <w:rPr>
          <w:rFonts w:cs="Times New Roman"/>
          <w:szCs w:val="24"/>
        </w:rPr>
        <w:t xml:space="preserve"> and reduced </w:t>
      </w:r>
      <w:r w:rsidR="006D1906" w:rsidRPr="006D1906">
        <w:rPr>
          <w:rFonts w:cs="Times New Roman"/>
          <w:szCs w:val="24"/>
        </w:rPr>
        <w:t>unnecessary storage</w:t>
      </w:r>
      <w:r w:rsidR="006D1906">
        <w:rPr>
          <w:rFonts w:cs="Times New Roman"/>
          <w:szCs w:val="24"/>
        </w:rPr>
        <w:t xml:space="preserve"> without compromising with reliability of energy supply</w:t>
      </w:r>
      <w:r w:rsidR="00EF39ED">
        <w:rPr>
          <w:rFonts w:cs="Times New Roman"/>
          <w:szCs w:val="24"/>
        </w:rPr>
        <w:t xml:space="preserve"> (</w:t>
      </w:r>
      <w:proofErr w:type="spellStart"/>
      <w:r w:rsidR="00EF39ED" w:rsidRPr="00666424">
        <w:t>Tulhayat</w:t>
      </w:r>
      <w:proofErr w:type="spellEnd"/>
      <w:r w:rsidR="00EF39ED">
        <w:t xml:space="preserve"> et al, 2025</w:t>
      </w:r>
      <w:r w:rsidR="00EF39ED">
        <w:rPr>
          <w:rFonts w:cs="Times New Roman"/>
          <w:szCs w:val="24"/>
        </w:rPr>
        <w:t>).</w:t>
      </w:r>
    </w:p>
    <w:p w14:paraId="2FCAF84D" w14:textId="6329657C" w:rsidR="006D1906" w:rsidRDefault="006D1906" w:rsidP="009642C8">
      <w:pPr>
        <w:spacing w:line="360" w:lineRule="auto"/>
        <w:rPr>
          <w:rFonts w:cs="Times New Roman"/>
          <w:szCs w:val="24"/>
        </w:rPr>
      </w:pPr>
      <w:r>
        <w:rPr>
          <w:rFonts w:cs="Times New Roman"/>
          <w:b/>
          <w:bCs/>
          <w:szCs w:val="24"/>
          <w:u w:val="single"/>
        </w:rPr>
        <w:t>Receivables collection period</w:t>
      </w:r>
      <w:r>
        <w:rPr>
          <w:rFonts w:cs="Times New Roman"/>
          <w:szCs w:val="24"/>
        </w:rPr>
        <w:t xml:space="preserve"> </w:t>
      </w:r>
      <w:r w:rsidR="00E8165E">
        <w:rPr>
          <w:rFonts w:cs="Times New Roman"/>
          <w:szCs w:val="24"/>
        </w:rPr>
        <w:t>reduced</w:t>
      </w:r>
      <w:r>
        <w:rPr>
          <w:rFonts w:cs="Times New Roman"/>
          <w:szCs w:val="24"/>
        </w:rPr>
        <w:t xml:space="preserve"> from 50 days in 2021 to 42</w:t>
      </w:r>
      <w:r w:rsidR="00E8165E">
        <w:rPr>
          <w:rFonts w:cs="Times New Roman"/>
          <w:szCs w:val="24"/>
        </w:rPr>
        <w:t xml:space="preserve"> days in 2025</w:t>
      </w:r>
      <w:r w:rsidR="00B037E1">
        <w:rPr>
          <w:rFonts w:cs="Times New Roman"/>
          <w:szCs w:val="24"/>
        </w:rPr>
        <w:t xml:space="preserve"> which indicates improved </w:t>
      </w:r>
      <w:r w:rsidR="00B037E1" w:rsidRPr="00B037E1">
        <w:rPr>
          <w:rFonts w:cs="Times New Roman"/>
          <w:szCs w:val="24"/>
        </w:rPr>
        <w:t>invoice accuracy</w:t>
      </w:r>
      <w:r w:rsidR="00B037E1">
        <w:rPr>
          <w:rFonts w:cs="Times New Roman"/>
          <w:szCs w:val="24"/>
        </w:rPr>
        <w:t xml:space="preserve"> and </w:t>
      </w:r>
      <w:r w:rsidR="00B037E1" w:rsidRPr="00B037E1">
        <w:rPr>
          <w:rFonts w:cs="Times New Roman"/>
          <w:szCs w:val="24"/>
        </w:rPr>
        <w:t>accelerate</w:t>
      </w:r>
      <w:r w:rsidR="00B037E1">
        <w:rPr>
          <w:rFonts w:cs="Times New Roman"/>
          <w:szCs w:val="24"/>
        </w:rPr>
        <w:t xml:space="preserve">d collection of outstanding dues from customers and </w:t>
      </w:r>
      <w:r w:rsidR="00942155" w:rsidRPr="00942155">
        <w:rPr>
          <w:rFonts w:cs="Times New Roman"/>
          <w:szCs w:val="24"/>
        </w:rPr>
        <w:t>trading counterparties</w:t>
      </w:r>
      <w:r w:rsidR="00942155">
        <w:rPr>
          <w:rFonts w:cs="Times New Roman"/>
          <w:szCs w:val="24"/>
        </w:rPr>
        <w:t>.</w:t>
      </w:r>
    </w:p>
    <w:p w14:paraId="680A4199" w14:textId="739EA5E5" w:rsidR="00942155" w:rsidRDefault="00942155" w:rsidP="009642C8">
      <w:pPr>
        <w:spacing w:line="360" w:lineRule="auto"/>
        <w:rPr>
          <w:rFonts w:cs="Times New Roman"/>
          <w:szCs w:val="24"/>
        </w:rPr>
      </w:pPr>
      <w:r>
        <w:rPr>
          <w:rFonts w:cs="Times New Roman"/>
          <w:b/>
          <w:bCs/>
          <w:szCs w:val="24"/>
          <w:u w:val="single"/>
        </w:rPr>
        <w:t xml:space="preserve">Payables payment period </w:t>
      </w:r>
      <w:r>
        <w:rPr>
          <w:rFonts w:cs="Times New Roman"/>
          <w:szCs w:val="24"/>
        </w:rPr>
        <w:t>reduced from 64 days in 2021 to 55 days in 2025</w:t>
      </w:r>
      <w:r w:rsidR="009D1DE2">
        <w:rPr>
          <w:rFonts w:cs="Times New Roman"/>
          <w:szCs w:val="24"/>
        </w:rPr>
        <w:t xml:space="preserve">. Although, making quick payment to suppliers can improve commercial relationships but it also reduces the period </w:t>
      </w:r>
      <w:r w:rsidR="008072D8">
        <w:rPr>
          <w:rFonts w:cs="Times New Roman"/>
          <w:szCs w:val="24"/>
        </w:rPr>
        <w:t xml:space="preserve">for which the said suppliers finance the operational activities. Combination of </w:t>
      </w:r>
      <w:r w:rsidR="00C145E4" w:rsidRPr="00C145E4">
        <w:rPr>
          <w:rFonts w:cs="Times New Roman"/>
          <w:szCs w:val="24"/>
        </w:rPr>
        <w:t>faster payments</w:t>
      </w:r>
      <w:r w:rsidR="00C145E4">
        <w:rPr>
          <w:rFonts w:cs="Times New Roman"/>
          <w:szCs w:val="24"/>
        </w:rPr>
        <w:t xml:space="preserve"> and faster collections indicated better management of working capital in business</w:t>
      </w:r>
      <w:r w:rsidR="00EF39ED">
        <w:rPr>
          <w:rFonts w:cs="Times New Roman"/>
          <w:szCs w:val="24"/>
        </w:rPr>
        <w:t xml:space="preserve"> (</w:t>
      </w:r>
      <w:proofErr w:type="spellStart"/>
      <w:r w:rsidR="00EF39ED" w:rsidRPr="00C45DA9">
        <w:t>Usodan</w:t>
      </w:r>
      <w:proofErr w:type="spellEnd"/>
      <w:r w:rsidR="00EF39ED">
        <w:t xml:space="preserve"> et al, 2025)</w:t>
      </w:r>
      <w:r w:rsidR="00C145E4">
        <w:rPr>
          <w:rFonts w:cs="Times New Roman"/>
          <w:szCs w:val="24"/>
        </w:rPr>
        <w:t xml:space="preserve">. </w:t>
      </w:r>
    </w:p>
    <w:p w14:paraId="5DB44BF7" w14:textId="1449CEA1" w:rsidR="00C145E4" w:rsidRPr="00B57803" w:rsidRDefault="00C145E4" w:rsidP="009642C8">
      <w:pPr>
        <w:pStyle w:val="Heading2"/>
        <w:spacing w:line="360" w:lineRule="auto"/>
        <w:rPr>
          <w:rFonts w:ascii="Times New Roman" w:hAnsi="Times New Roman" w:cs="Times New Roman"/>
          <w:sz w:val="24"/>
          <w:szCs w:val="24"/>
        </w:rPr>
      </w:pPr>
      <w:bookmarkStart w:id="5" w:name="_Toc243773385"/>
      <w:r w:rsidRPr="00B57803">
        <w:rPr>
          <w:rFonts w:ascii="Times New Roman" w:hAnsi="Times New Roman" w:cs="Times New Roman"/>
          <w:sz w:val="24"/>
          <w:szCs w:val="24"/>
        </w:rPr>
        <w:t>2.</w:t>
      </w:r>
      <w:r>
        <w:rPr>
          <w:rFonts w:ascii="Times New Roman" w:hAnsi="Times New Roman" w:cs="Times New Roman"/>
          <w:sz w:val="24"/>
          <w:szCs w:val="24"/>
        </w:rPr>
        <w:t>4</w:t>
      </w:r>
      <w:r w:rsidRPr="00B57803">
        <w:rPr>
          <w:rFonts w:ascii="Times New Roman" w:hAnsi="Times New Roman" w:cs="Times New Roman"/>
          <w:sz w:val="24"/>
          <w:szCs w:val="24"/>
        </w:rPr>
        <w:t xml:space="preserve"> Analysis of </w:t>
      </w:r>
      <w:r w:rsidR="00F40C7E">
        <w:rPr>
          <w:rFonts w:ascii="Times New Roman" w:hAnsi="Times New Roman" w:cs="Times New Roman"/>
          <w:sz w:val="24"/>
          <w:szCs w:val="24"/>
        </w:rPr>
        <w:t>gearing position</w:t>
      </w:r>
      <w:bookmarkEnd w:id="5"/>
    </w:p>
    <w:p w14:paraId="68D33046" w14:textId="4A7AC841" w:rsidR="00C145E4" w:rsidRDefault="00C145E4" w:rsidP="009642C8">
      <w:pPr>
        <w:spacing w:line="360" w:lineRule="auto"/>
        <w:rPr>
          <w:rFonts w:cs="Times New Roman"/>
          <w:szCs w:val="24"/>
          <w:u w:val="single"/>
        </w:rPr>
      </w:pPr>
      <w:r w:rsidRPr="00E12232">
        <w:rPr>
          <w:rFonts w:cs="Times New Roman"/>
          <w:szCs w:val="24"/>
          <w:u w:val="single"/>
        </w:rPr>
        <w:t xml:space="preserve">Summary of all </w:t>
      </w:r>
      <w:r w:rsidR="000254DD">
        <w:rPr>
          <w:rFonts w:cs="Times New Roman"/>
          <w:szCs w:val="24"/>
          <w:u w:val="single"/>
        </w:rPr>
        <w:t>gearing</w:t>
      </w:r>
      <w:r w:rsidRPr="00E12232">
        <w:rPr>
          <w:rFonts w:cs="Times New Roman"/>
          <w:szCs w:val="24"/>
          <w:u w:val="single"/>
        </w:rPr>
        <w:t xml:space="preserve"> ratios of company are provided below:</w:t>
      </w:r>
    </w:p>
    <w:p w14:paraId="255BD059" w14:textId="258AE088" w:rsidR="000254DD" w:rsidRDefault="002740C6" w:rsidP="009642C8">
      <w:pPr>
        <w:spacing w:line="360" w:lineRule="auto"/>
        <w:rPr>
          <w:rFonts w:cs="Times New Roman"/>
          <w:szCs w:val="24"/>
          <w:u w:val="single"/>
        </w:rPr>
      </w:pPr>
      <w:r w:rsidRPr="002740C6">
        <w:rPr>
          <w:rFonts w:cs="Times New Roman"/>
          <w:noProof/>
          <w:szCs w:val="24"/>
          <w:u w:val="single"/>
        </w:rPr>
        <w:drawing>
          <wp:inline distT="0" distB="0" distL="0" distR="0" wp14:anchorId="5BD497A6" wp14:editId="73D766D1">
            <wp:extent cx="5731510" cy="672465"/>
            <wp:effectExtent l="0" t="0" r="2540" b="0"/>
            <wp:docPr id="892535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35863" name=""/>
                    <pic:cNvPicPr/>
                  </pic:nvPicPr>
                  <pic:blipFill>
                    <a:blip r:embed="rId12"/>
                    <a:stretch>
                      <a:fillRect/>
                    </a:stretch>
                  </pic:blipFill>
                  <pic:spPr>
                    <a:xfrm>
                      <a:off x="0" y="0"/>
                      <a:ext cx="5731510" cy="672465"/>
                    </a:xfrm>
                    <a:prstGeom prst="rect">
                      <a:avLst/>
                    </a:prstGeom>
                  </pic:spPr>
                </pic:pic>
              </a:graphicData>
            </a:graphic>
          </wp:inline>
        </w:drawing>
      </w:r>
    </w:p>
    <w:p w14:paraId="21D8EE58" w14:textId="2D6C468C" w:rsidR="002740C6" w:rsidRDefault="00AA6C1F" w:rsidP="009642C8">
      <w:pPr>
        <w:spacing w:line="360" w:lineRule="auto"/>
        <w:rPr>
          <w:rFonts w:cs="Times New Roman"/>
          <w:szCs w:val="24"/>
        </w:rPr>
      </w:pPr>
      <w:r w:rsidRPr="00AA6C1F">
        <w:rPr>
          <w:rFonts w:cs="Times New Roman"/>
          <w:b/>
          <w:bCs/>
          <w:szCs w:val="24"/>
          <w:u w:val="single"/>
        </w:rPr>
        <w:t>Gearing ratio</w:t>
      </w:r>
      <w:r>
        <w:rPr>
          <w:rFonts w:cs="Times New Roman"/>
          <w:szCs w:val="24"/>
        </w:rPr>
        <w:t xml:space="preserve"> of the company declined from 43.2% in the year 2021 to 38.4% in the year 2024 </w:t>
      </w:r>
      <w:r w:rsidR="008A7AA0">
        <w:rPr>
          <w:rFonts w:cs="Times New Roman"/>
          <w:szCs w:val="24"/>
        </w:rPr>
        <w:t xml:space="preserve">and then slightly increased to 39.1% in 2025. This shows reduction in reliance of company on non-current liabilities </w:t>
      </w:r>
      <w:r w:rsidR="00EC5979">
        <w:rPr>
          <w:rFonts w:cs="Times New Roman"/>
          <w:szCs w:val="24"/>
        </w:rPr>
        <w:t>in the total capital employed. Gearing ratio of less than 40%</w:t>
      </w:r>
      <w:r w:rsidR="00393EBC">
        <w:rPr>
          <w:rFonts w:cs="Times New Roman"/>
          <w:szCs w:val="24"/>
        </w:rPr>
        <w:t xml:space="preserve"> in the year 2025 shows that the company retains higher proportion of equity in total capital employed.</w:t>
      </w:r>
    </w:p>
    <w:p w14:paraId="4C95617D" w14:textId="6629CDC8" w:rsidR="00393EBC" w:rsidRDefault="00461146" w:rsidP="009642C8">
      <w:pPr>
        <w:spacing w:line="360" w:lineRule="auto"/>
        <w:rPr>
          <w:rFonts w:cs="Times New Roman"/>
          <w:szCs w:val="24"/>
        </w:rPr>
      </w:pPr>
      <w:r w:rsidRPr="00461146">
        <w:rPr>
          <w:rFonts w:cs="Times New Roman"/>
          <w:b/>
          <w:bCs/>
          <w:szCs w:val="24"/>
          <w:u w:val="single"/>
        </w:rPr>
        <w:t>Interest coverage ratio</w:t>
      </w:r>
      <w:r>
        <w:rPr>
          <w:rFonts w:cs="Times New Roman"/>
          <w:b/>
          <w:bCs/>
          <w:szCs w:val="24"/>
          <w:u w:val="single"/>
        </w:rPr>
        <w:t xml:space="preserve"> </w:t>
      </w:r>
      <w:r>
        <w:rPr>
          <w:rFonts w:cs="Times New Roman"/>
          <w:szCs w:val="24"/>
        </w:rPr>
        <w:t xml:space="preserve">was 21.62 times in 2022 but then sharply reduced to 8.28 times in 2025. </w:t>
      </w:r>
      <w:r w:rsidR="006134FC">
        <w:rPr>
          <w:rFonts w:cs="Times New Roman"/>
          <w:szCs w:val="24"/>
        </w:rPr>
        <w:t xml:space="preserve">Despite of being higher than 1, it indicates that only a small cover is provided by operating profits </w:t>
      </w:r>
      <w:r w:rsidR="00943E26">
        <w:rPr>
          <w:rFonts w:cs="Times New Roman"/>
          <w:szCs w:val="24"/>
        </w:rPr>
        <w:t xml:space="preserve">against interest costs of the business </w:t>
      </w:r>
      <w:r w:rsidR="00D02B82">
        <w:rPr>
          <w:rFonts w:cs="Times New Roman"/>
          <w:szCs w:val="24"/>
        </w:rPr>
        <w:t>which shall be carefully monitored by management</w:t>
      </w:r>
      <w:r w:rsidR="006549A6">
        <w:rPr>
          <w:rFonts w:cs="Times New Roman"/>
          <w:szCs w:val="24"/>
        </w:rPr>
        <w:t xml:space="preserve"> (</w:t>
      </w:r>
      <w:r w:rsidR="006549A6" w:rsidRPr="001501D9">
        <w:t>Alwan</w:t>
      </w:r>
      <w:r w:rsidR="006549A6">
        <w:t xml:space="preserve"> &amp; </w:t>
      </w:r>
      <w:r w:rsidR="006549A6" w:rsidRPr="001501D9">
        <w:t>Risman</w:t>
      </w:r>
      <w:r w:rsidR="006549A6">
        <w:t>, 2023)</w:t>
      </w:r>
      <w:r w:rsidR="00D02B82">
        <w:rPr>
          <w:rFonts w:cs="Times New Roman"/>
          <w:szCs w:val="24"/>
        </w:rPr>
        <w:t>.</w:t>
      </w:r>
    </w:p>
    <w:p w14:paraId="088AFF9C" w14:textId="0660A763" w:rsidR="00D02B82" w:rsidRPr="00B57803" w:rsidRDefault="00D02B82" w:rsidP="009642C8">
      <w:pPr>
        <w:pStyle w:val="Heading2"/>
        <w:spacing w:line="360" w:lineRule="auto"/>
        <w:rPr>
          <w:rFonts w:ascii="Times New Roman" w:hAnsi="Times New Roman" w:cs="Times New Roman"/>
          <w:sz w:val="24"/>
          <w:szCs w:val="24"/>
        </w:rPr>
      </w:pPr>
      <w:bookmarkStart w:id="6" w:name="_Toc243773386"/>
      <w:r w:rsidRPr="00B57803">
        <w:rPr>
          <w:rFonts w:ascii="Times New Roman" w:hAnsi="Times New Roman" w:cs="Times New Roman"/>
          <w:sz w:val="24"/>
          <w:szCs w:val="24"/>
        </w:rPr>
        <w:t>2.</w:t>
      </w:r>
      <w:r>
        <w:rPr>
          <w:rFonts w:ascii="Times New Roman" w:hAnsi="Times New Roman" w:cs="Times New Roman"/>
          <w:sz w:val="24"/>
          <w:szCs w:val="24"/>
        </w:rPr>
        <w:t>5</w:t>
      </w:r>
      <w:r w:rsidRPr="00B57803">
        <w:rPr>
          <w:rFonts w:ascii="Times New Roman" w:hAnsi="Times New Roman" w:cs="Times New Roman"/>
          <w:sz w:val="24"/>
          <w:szCs w:val="24"/>
        </w:rPr>
        <w:t xml:space="preserve"> Analysis of </w:t>
      </w:r>
      <w:r>
        <w:rPr>
          <w:rFonts w:ascii="Times New Roman" w:hAnsi="Times New Roman" w:cs="Times New Roman"/>
          <w:sz w:val="24"/>
          <w:szCs w:val="24"/>
        </w:rPr>
        <w:t>investment position</w:t>
      </w:r>
      <w:bookmarkEnd w:id="6"/>
    </w:p>
    <w:p w14:paraId="577CC935" w14:textId="6804287C" w:rsidR="00D02B82" w:rsidRDefault="00D02B82" w:rsidP="009642C8">
      <w:pPr>
        <w:spacing w:line="360" w:lineRule="auto"/>
        <w:rPr>
          <w:rFonts w:cs="Times New Roman"/>
          <w:szCs w:val="24"/>
          <w:u w:val="single"/>
        </w:rPr>
      </w:pPr>
      <w:r w:rsidRPr="00E12232">
        <w:rPr>
          <w:rFonts w:cs="Times New Roman"/>
          <w:szCs w:val="24"/>
          <w:u w:val="single"/>
        </w:rPr>
        <w:t xml:space="preserve">Summary of all </w:t>
      </w:r>
      <w:r w:rsidR="00DF02DC">
        <w:rPr>
          <w:rFonts w:cs="Times New Roman"/>
          <w:szCs w:val="24"/>
          <w:u w:val="single"/>
        </w:rPr>
        <w:t>investment</w:t>
      </w:r>
      <w:r w:rsidRPr="00E12232">
        <w:rPr>
          <w:rFonts w:cs="Times New Roman"/>
          <w:szCs w:val="24"/>
          <w:u w:val="single"/>
        </w:rPr>
        <w:t xml:space="preserve"> ratios of company are provided below:</w:t>
      </w:r>
    </w:p>
    <w:p w14:paraId="6D55AC25" w14:textId="204ADEE4" w:rsidR="001A7CDB" w:rsidRDefault="007E30B7" w:rsidP="009642C8">
      <w:pPr>
        <w:spacing w:line="360" w:lineRule="auto"/>
        <w:rPr>
          <w:rFonts w:cs="Times New Roman"/>
          <w:szCs w:val="24"/>
          <w:u w:val="single"/>
        </w:rPr>
      </w:pPr>
      <w:r w:rsidRPr="007E30B7">
        <w:rPr>
          <w:rFonts w:cs="Times New Roman"/>
          <w:noProof/>
          <w:szCs w:val="24"/>
          <w:u w:val="single"/>
        </w:rPr>
        <w:drawing>
          <wp:inline distT="0" distB="0" distL="0" distR="0" wp14:anchorId="73559336" wp14:editId="767F0BCC">
            <wp:extent cx="5731510" cy="938530"/>
            <wp:effectExtent l="0" t="0" r="2540" b="0"/>
            <wp:docPr id="1888965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965106" name=""/>
                    <pic:cNvPicPr/>
                  </pic:nvPicPr>
                  <pic:blipFill>
                    <a:blip r:embed="rId13"/>
                    <a:stretch>
                      <a:fillRect/>
                    </a:stretch>
                  </pic:blipFill>
                  <pic:spPr>
                    <a:xfrm>
                      <a:off x="0" y="0"/>
                      <a:ext cx="5731510" cy="938530"/>
                    </a:xfrm>
                    <a:prstGeom prst="rect">
                      <a:avLst/>
                    </a:prstGeom>
                  </pic:spPr>
                </pic:pic>
              </a:graphicData>
            </a:graphic>
          </wp:inline>
        </w:drawing>
      </w:r>
    </w:p>
    <w:p w14:paraId="7A5DC87B" w14:textId="3DAB29D6" w:rsidR="007E30B7" w:rsidRDefault="00BB5B31" w:rsidP="009642C8">
      <w:pPr>
        <w:spacing w:line="360" w:lineRule="auto"/>
        <w:rPr>
          <w:rFonts w:cs="Times New Roman"/>
          <w:szCs w:val="24"/>
        </w:rPr>
      </w:pPr>
      <w:r w:rsidRPr="00BB5B31">
        <w:rPr>
          <w:rFonts w:cs="Times New Roman"/>
          <w:b/>
          <w:bCs/>
          <w:szCs w:val="24"/>
          <w:u w:val="single"/>
        </w:rPr>
        <w:t>EPS</w:t>
      </w:r>
      <w:r>
        <w:rPr>
          <w:rFonts w:cs="Times New Roman"/>
          <w:szCs w:val="24"/>
        </w:rPr>
        <w:t xml:space="preserve"> of the company significantly increased to $5.76 in 2022 before reducing to $2.55 in 2024</w:t>
      </w:r>
      <w:r w:rsidR="008616C7">
        <w:rPr>
          <w:rFonts w:cs="Times New Roman"/>
          <w:szCs w:val="24"/>
        </w:rPr>
        <w:t xml:space="preserve"> and then recovering to $3.03 in the year 2025. It shows that </w:t>
      </w:r>
      <w:r w:rsidR="00E804C7">
        <w:rPr>
          <w:rFonts w:cs="Times New Roman"/>
          <w:szCs w:val="24"/>
        </w:rPr>
        <w:t>earnings attributable to each equity share is highly sensitive to changes in overall profitability of business.</w:t>
      </w:r>
    </w:p>
    <w:p w14:paraId="04FBD5EF" w14:textId="0153F034" w:rsidR="00E804C7" w:rsidRDefault="00AE7BA9" w:rsidP="009642C8">
      <w:pPr>
        <w:spacing w:line="360" w:lineRule="auto"/>
        <w:rPr>
          <w:rFonts w:cs="Times New Roman"/>
          <w:szCs w:val="24"/>
        </w:rPr>
      </w:pPr>
      <w:r>
        <w:rPr>
          <w:rFonts w:cs="Times New Roman"/>
          <w:szCs w:val="24"/>
        </w:rPr>
        <w:t xml:space="preserve">However, </w:t>
      </w:r>
      <w:r>
        <w:rPr>
          <w:rFonts w:cs="Times New Roman"/>
          <w:b/>
          <w:bCs/>
          <w:szCs w:val="24"/>
          <w:u w:val="single"/>
        </w:rPr>
        <w:t>DPS</w:t>
      </w:r>
      <w:r>
        <w:rPr>
          <w:rFonts w:cs="Times New Roman"/>
          <w:szCs w:val="24"/>
        </w:rPr>
        <w:t xml:space="preserve"> has consistently increased from $0.81 to $1.48 during the 5 year period</w:t>
      </w:r>
      <w:r w:rsidR="000D1BDC">
        <w:rPr>
          <w:rFonts w:cs="Times New Roman"/>
          <w:szCs w:val="24"/>
        </w:rPr>
        <w:t xml:space="preserve"> which indicates commitment of company to shareholders distributions despite of volatility in its earnings</w:t>
      </w:r>
      <w:r w:rsidR="00EF39ED">
        <w:rPr>
          <w:rFonts w:cs="Times New Roman"/>
          <w:szCs w:val="24"/>
        </w:rPr>
        <w:t xml:space="preserve"> (</w:t>
      </w:r>
      <w:proofErr w:type="spellStart"/>
      <w:r w:rsidR="00EF39ED" w:rsidRPr="00427391">
        <w:t>Varchenko</w:t>
      </w:r>
      <w:proofErr w:type="spellEnd"/>
      <w:r w:rsidR="00EF39ED">
        <w:t xml:space="preserve"> et al, 2022)</w:t>
      </w:r>
      <w:r w:rsidR="000D1BDC">
        <w:rPr>
          <w:rFonts w:cs="Times New Roman"/>
          <w:szCs w:val="24"/>
        </w:rPr>
        <w:t>.</w:t>
      </w:r>
    </w:p>
    <w:p w14:paraId="5F0BA5D6" w14:textId="616236D4" w:rsidR="000D1BDC" w:rsidRDefault="009C32A1" w:rsidP="009642C8">
      <w:pPr>
        <w:spacing w:line="360" w:lineRule="auto"/>
        <w:rPr>
          <w:rFonts w:cs="Times New Roman"/>
          <w:szCs w:val="24"/>
        </w:rPr>
      </w:pPr>
      <w:r>
        <w:rPr>
          <w:rFonts w:cs="Times New Roman"/>
          <w:b/>
          <w:bCs/>
          <w:szCs w:val="24"/>
          <w:u w:val="single"/>
        </w:rPr>
        <w:t>Price-earnings ratio</w:t>
      </w:r>
      <w:r>
        <w:rPr>
          <w:rFonts w:cs="Times New Roman"/>
          <w:szCs w:val="24"/>
        </w:rPr>
        <w:t xml:space="preserve"> also increased to 12.19 times in the year 2025 in comparison to 4.89 times in the year 2022. </w:t>
      </w:r>
      <w:r w:rsidR="002A3DB9">
        <w:rPr>
          <w:rFonts w:cs="Times New Roman"/>
          <w:szCs w:val="24"/>
        </w:rPr>
        <w:t xml:space="preserve">This indicates </w:t>
      </w:r>
      <w:r w:rsidR="002A3DB9" w:rsidRPr="002A3DB9">
        <w:rPr>
          <w:rFonts w:cs="Times New Roman"/>
          <w:szCs w:val="24"/>
        </w:rPr>
        <w:t>improved market expectations</w:t>
      </w:r>
      <w:r w:rsidR="004817A1">
        <w:rPr>
          <w:rFonts w:cs="Times New Roman"/>
          <w:szCs w:val="24"/>
        </w:rPr>
        <w:t xml:space="preserve"> relative to earnings position in the business</w:t>
      </w:r>
      <w:r w:rsidR="004F7477">
        <w:rPr>
          <w:rFonts w:cs="Times New Roman"/>
          <w:szCs w:val="24"/>
        </w:rPr>
        <w:t>.</w:t>
      </w:r>
    </w:p>
    <w:p w14:paraId="2762956D" w14:textId="098D0D8C" w:rsidR="006F4AAC" w:rsidRPr="00B57803" w:rsidRDefault="006F4AAC" w:rsidP="009642C8">
      <w:pPr>
        <w:pStyle w:val="Heading2"/>
        <w:spacing w:line="360" w:lineRule="auto"/>
        <w:rPr>
          <w:rFonts w:ascii="Times New Roman" w:hAnsi="Times New Roman" w:cs="Times New Roman"/>
          <w:sz w:val="24"/>
          <w:szCs w:val="24"/>
        </w:rPr>
      </w:pPr>
      <w:bookmarkStart w:id="7" w:name="_Toc243773387"/>
      <w:r w:rsidRPr="00B57803">
        <w:rPr>
          <w:rFonts w:ascii="Times New Roman" w:hAnsi="Times New Roman" w:cs="Times New Roman"/>
          <w:sz w:val="24"/>
          <w:szCs w:val="24"/>
        </w:rPr>
        <w:t>2.</w:t>
      </w:r>
      <w:r>
        <w:rPr>
          <w:rFonts w:ascii="Times New Roman" w:hAnsi="Times New Roman" w:cs="Times New Roman"/>
          <w:sz w:val="24"/>
          <w:szCs w:val="24"/>
        </w:rPr>
        <w:t>6</w:t>
      </w:r>
      <w:r w:rsidRPr="00B57803">
        <w:rPr>
          <w:rFonts w:ascii="Times New Roman" w:hAnsi="Times New Roman" w:cs="Times New Roman"/>
          <w:sz w:val="24"/>
          <w:szCs w:val="24"/>
        </w:rPr>
        <w:t xml:space="preserve"> Analysis of </w:t>
      </w:r>
      <w:r w:rsidR="00912328">
        <w:rPr>
          <w:rFonts w:ascii="Times New Roman" w:hAnsi="Times New Roman" w:cs="Times New Roman"/>
          <w:sz w:val="24"/>
          <w:szCs w:val="24"/>
        </w:rPr>
        <w:t>cash flow position</w:t>
      </w:r>
      <w:bookmarkEnd w:id="7"/>
    </w:p>
    <w:p w14:paraId="0C0B4D38" w14:textId="66E85ACD" w:rsidR="006F4AAC" w:rsidRDefault="006F4AAC" w:rsidP="009642C8">
      <w:pPr>
        <w:spacing w:line="360" w:lineRule="auto"/>
        <w:rPr>
          <w:rFonts w:cs="Times New Roman"/>
          <w:szCs w:val="24"/>
          <w:u w:val="single"/>
        </w:rPr>
      </w:pPr>
      <w:r w:rsidRPr="00E12232">
        <w:rPr>
          <w:rFonts w:cs="Times New Roman"/>
          <w:szCs w:val="24"/>
          <w:u w:val="single"/>
        </w:rPr>
        <w:t xml:space="preserve">Summary of all </w:t>
      </w:r>
      <w:r w:rsidR="0057280F">
        <w:rPr>
          <w:rFonts w:cs="Times New Roman"/>
          <w:szCs w:val="24"/>
          <w:u w:val="single"/>
        </w:rPr>
        <w:t>cash flow</w:t>
      </w:r>
      <w:r w:rsidRPr="00E12232">
        <w:rPr>
          <w:rFonts w:cs="Times New Roman"/>
          <w:szCs w:val="24"/>
          <w:u w:val="single"/>
        </w:rPr>
        <w:t xml:space="preserve"> ratios of company are provided below:</w:t>
      </w:r>
    </w:p>
    <w:p w14:paraId="78685E2F" w14:textId="1DC1D172" w:rsidR="006F4AAC" w:rsidRDefault="00DC2E5F" w:rsidP="009642C8">
      <w:pPr>
        <w:spacing w:line="360" w:lineRule="auto"/>
        <w:rPr>
          <w:rFonts w:cs="Times New Roman"/>
          <w:szCs w:val="24"/>
        </w:rPr>
      </w:pPr>
      <w:r w:rsidRPr="00DC2E5F">
        <w:rPr>
          <w:rFonts w:cs="Times New Roman"/>
          <w:noProof/>
          <w:szCs w:val="24"/>
        </w:rPr>
        <w:drawing>
          <wp:inline distT="0" distB="0" distL="0" distR="0" wp14:anchorId="2F8CB691" wp14:editId="48C4233E">
            <wp:extent cx="5731510" cy="718185"/>
            <wp:effectExtent l="0" t="0" r="2540" b="5715"/>
            <wp:docPr id="2055463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63607" name=""/>
                    <pic:cNvPicPr/>
                  </pic:nvPicPr>
                  <pic:blipFill>
                    <a:blip r:embed="rId14"/>
                    <a:stretch>
                      <a:fillRect/>
                    </a:stretch>
                  </pic:blipFill>
                  <pic:spPr>
                    <a:xfrm>
                      <a:off x="0" y="0"/>
                      <a:ext cx="5731510" cy="718185"/>
                    </a:xfrm>
                    <a:prstGeom prst="rect">
                      <a:avLst/>
                    </a:prstGeom>
                  </pic:spPr>
                </pic:pic>
              </a:graphicData>
            </a:graphic>
          </wp:inline>
        </w:drawing>
      </w:r>
    </w:p>
    <w:p w14:paraId="731F9920" w14:textId="7CE7BE9B" w:rsidR="007E12B9" w:rsidRDefault="00306E00" w:rsidP="009642C8">
      <w:pPr>
        <w:spacing w:line="360" w:lineRule="auto"/>
        <w:rPr>
          <w:rFonts w:cs="Times New Roman"/>
          <w:szCs w:val="24"/>
        </w:rPr>
      </w:pPr>
      <w:r>
        <w:rPr>
          <w:rFonts w:cs="Times New Roman"/>
          <w:b/>
          <w:bCs/>
          <w:szCs w:val="24"/>
          <w:u w:val="single"/>
        </w:rPr>
        <w:t>Operating cash flow margin</w:t>
      </w:r>
      <w:r>
        <w:rPr>
          <w:rFonts w:cs="Times New Roman"/>
          <w:szCs w:val="24"/>
        </w:rPr>
        <w:t xml:space="preserve"> of company has improved from 15.9% in the year 2021 to 18.50% in the year 2024 which indicate </w:t>
      </w:r>
      <w:r w:rsidR="003A418A">
        <w:rPr>
          <w:rFonts w:cs="Times New Roman"/>
          <w:szCs w:val="24"/>
        </w:rPr>
        <w:t>strong cash flow generation in relation to turnover. However, it reduced to 15.30% in the year 2025</w:t>
      </w:r>
      <w:r w:rsidR="00446A3A">
        <w:rPr>
          <w:rFonts w:cs="Times New Roman"/>
          <w:szCs w:val="24"/>
        </w:rPr>
        <w:t xml:space="preserve"> which is the lowest level in the </w:t>
      </w:r>
      <w:r w:rsidR="00320E1F">
        <w:rPr>
          <w:rFonts w:cs="Times New Roman"/>
          <w:szCs w:val="24"/>
        </w:rPr>
        <w:t>five-year</w:t>
      </w:r>
      <w:r w:rsidR="00446A3A">
        <w:rPr>
          <w:rFonts w:cs="Times New Roman"/>
          <w:szCs w:val="24"/>
        </w:rPr>
        <w:t xml:space="preserve"> period. Reduction is significant as accounting profits alone are not sufficient </w:t>
      </w:r>
      <w:r w:rsidR="007E12B9">
        <w:rPr>
          <w:rFonts w:cs="Times New Roman"/>
          <w:szCs w:val="24"/>
        </w:rPr>
        <w:t>to finance capital expenditure, dividend payments and debt repayments and these commitments require available cash balance</w:t>
      </w:r>
      <w:r w:rsidR="00EF39ED">
        <w:rPr>
          <w:rFonts w:cs="Times New Roman"/>
          <w:szCs w:val="24"/>
        </w:rPr>
        <w:t xml:space="preserve"> (</w:t>
      </w:r>
      <w:r w:rsidR="00EF39ED" w:rsidRPr="00550333">
        <w:t>Walters</w:t>
      </w:r>
      <w:r w:rsidR="00EF39ED">
        <w:t xml:space="preserve"> &amp; </w:t>
      </w:r>
      <w:r w:rsidR="00EF39ED" w:rsidRPr="00550333">
        <w:t>Helman</w:t>
      </w:r>
      <w:r w:rsidR="00EF39ED">
        <w:t>, 2019)</w:t>
      </w:r>
      <w:r w:rsidR="007E12B9">
        <w:rPr>
          <w:rFonts w:cs="Times New Roman"/>
          <w:szCs w:val="24"/>
        </w:rPr>
        <w:t>.</w:t>
      </w:r>
    </w:p>
    <w:p w14:paraId="2C18F802" w14:textId="2EF7EC2E" w:rsidR="007545CC" w:rsidRPr="00B57803" w:rsidRDefault="007545CC" w:rsidP="009642C8">
      <w:pPr>
        <w:pStyle w:val="Heading2"/>
        <w:spacing w:line="360" w:lineRule="auto"/>
        <w:rPr>
          <w:rFonts w:ascii="Times New Roman" w:hAnsi="Times New Roman" w:cs="Times New Roman"/>
          <w:sz w:val="24"/>
          <w:szCs w:val="24"/>
        </w:rPr>
      </w:pPr>
      <w:bookmarkStart w:id="8" w:name="_Toc243773388"/>
      <w:r w:rsidRPr="00B57803">
        <w:rPr>
          <w:rFonts w:ascii="Times New Roman" w:hAnsi="Times New Roman" w:cs="Times New Roman"/>
          <w:sz w:val="24"/>
          <w:szCs w:val="24"/>
        </w:rPr>
        <w:t>2.</w:t>
      </w:r>
      <w:r>
        <w:rPr>
          <w:rFonts w:ascii="Times New Roman" w:hAnsi="Times New Roman" w:cs="Times New Roman"/>
          <w:sz w:val="24"/>
          <w:szCs w:val="24"/>
        </w:rPr>
        <w:t>7</w:t>
      </w:r>
      <w:r w:rsidRPr="00B57803">
        <w:rPr>
          <w:rFonts w:ascii="Times New Roman" w:hAnsi="Times New Roman" w:cs="Times New Roman"/>
          <w:sz w:val="24"/>
          <w:szCs w:val="24"/>
        </w:rPr>
        <w:t xml:space="preserve"> </w:t>
      </w:r>
      <w:r w:rsidR="005D2D06">
        <w:rPr>
          <w:rFonts w:ascii="Times New Roman" w:hAnsi="Times New Roman" w:cs="Times New Roman"/>
          <w:sz w:val="24"/>
          <w:szCs w:val="24"/>
        </w:rPr>
        <w:t>Analysis of strengths and potential threats</w:t>
      </w:r>
      <w:bookmarkEnd w:id="8"/>
    </w:p>
    <w:p w14:paraId="3A716ABF" w14:textId="517BD743" w:rsidR="007545CC" w:rsidRDefault="005D2D06" w:rsidP="009642C8">
      <w:pPr>
        <w:spacing w:line="360" w:lineRule="auto"/>
        <w:rPr>
          <w:rFonts w:cs="Times New Roman"/>
          <w:szCs w:val="24"/>
          <w:u w:val="single"/>
        </w:rPr>
      </w:pPr>
      <w:r>
        <w:rPr>
          <w:rFonts w:cs="Times New Roman"/>
          <w:szCs w:val="24"/>
          <w:u w:val="single"/>
        </w:rPr>
        <w:t>Key strengths of company include the following:</w:t>
      </w:r>
    </w:p>
    <w:p w14:paraId="2A5B6C10" w14:textId="4187CF96" w:rsidR="005D2D06" w:rsidRDefault="002444F3" w:rsidP="009642C8">
      <w:pPr>
        <w:pStyle w:val="ListParagraph"/>
        <w:numPr>
          <w:ilvl w:val="0"/>
          <w:numId w:val="1"/>
        </w:numPr>
        <w:tabs>
          <w:tab w:val="left" w:pos="426"/>
        </w:tabs>
        <w:spacing w:line="360" w:lineRule="auto"/>
        <w:ind w:left="284" w:hanging="284"/>
        <w:rPr>
          <w:rFonts w:cs="Times New Roman"/>
          <w:szCs w:val="24"/>
        </w:rPr>
      </w:pPr>
      <w:r>
        <w:rPr>
          <w:rFonts w:cs="Times New Roman"/>
          <w:szCs w:val="24"/>
        </w:rPr>
        <w:t xml:space="preserve">Better liquidity position (as indicated by higher current and quick ratio) </w:t>
      </w:r>
      <w:r w:rsidR="00232F5B">
        <w:rPr>
          <w:rFonts w:cs="Times New Roman"/>
          <w:szCs w:val="24"/>
        </w:rPr>
        <w:t>in comparison to other competitors in the same sector.</w:t>
      </w:r>
    </w:p>
    <w:p w14:paraId="086D9CCA" w14:textId="7E5EB0D6" w:rsidR="007605B9" w:rsidRDefault="007605B9" w:rsidP="009642C8">
      <w:pPr>
        <w:pStyle w:val="ListParagraph"/>
        <w:numPr>
          <w:ilvl w:val="0"/>
          <w:numId w:val="1"/>
        </w:numPr>
        <w:tabs>
          <w:tab w:val="left" w:pos="426"/>
        </w:tabs>
        <w:spacing w:line="360" w:lineRule="auto"/>
        <w:ind w:left="284" w:hanging="284"/>
        <w:rPr>
          <w:rFonts w:cs="Times New Roman"/>
          <w:szCs w:val="24"/>
        </w:rPr>
      </w:pPr>
      <w:r>
        <w:rPr>
          <w:rFonts w:cs="Times New Roman"/>
          <w:szCs w:val="24"/>
        </w:rPr>
        <w:t xml:space="preserve">EPS of the company recovered in the year 2025 while dividend payments have </w:t>
      </w:r>
      <w:r w:rsidR="00E24E8E">
        <w:rPr>
          <w:rFonts w:cs="Times New Roman"/>
          <w:szCs w:val="24"/>
        </w:rPr>
        <w:t xml:space="preserve">increased throughout the </w:t>
      </w:r>
      <w:r w:rsidR="001D0D04">
        <w:rPr>
          <w:rFonts w:cs="Times New Roman"/>
          <w:szCs w:val="24"/>
        </w:rPr>
        <w:t>five-year</w:t>
      </w:r>
      <w:r w:rsidR="00E24E8E">
        <w:rPr>
          <w:rFonts w:cs="Times New Roman"/>
          <w:szCs w:val="24"/>
        </w:rPr>
        <w:t xml:space="preserve"> period.</w:t>
      </w:r>
    </w:p>
    <w:p w14:paraId="60E41168" w14:textId="6D35DD68" w:rsidR="00E24E8E" w:rsidRDefault="00E24E8E" w:rsidP="009642C8">
      <w:pPr>
        <w:pStyle w:val="ListParagraph"/>
        <w:numPr>
          <w:ilvl w:val="0"/>
          <w:numId w:val="1"/>
        </w:numPr>
        <w:tabs>
          <w:tab w:val="left" w:pos="426"/>
        </w:tabs>
        <w:spacing w:line="360" w:lineRule="auto"/>
        <w:ind w:left="284" w:hanging="284"/>
        <w:rPr>
          <w:rFonts w:cs="Times New Roman"/>
          <w:szCs w:val="24"/>
        </w:rPr>
      </w:pPr>
      <w:r>
        <w:rPr>
          <w:rFonts w:cs="Times New Roman"/>
          <w:szCs w:val="24"/>
        </w:rPr>
        <w:t>Inventory holding period has remained below the 2021 level</w:t>
      </w:r>
      <w:r w:rsidR="001D0D04">
        <w:rPr>
          <w:rFonts w:cs="Times New Roman"/>
          <w:szCs w:val="24"/>
        </w:rPr>
        <w:t xml:space="preserve"> which suggest better management of available inventory in business.</w:t>
      </w:r>
    </w:p>
    <w:p w14:paraId="07E4976E" w14:textId="24CFAC74" w:rsidR="001D0D04" w:rsidRPr="001D0D04" w:rsidRDefault="001D0D04" w:rsidP="009642C8">
      <w:pPr>
        <w:spacing w:line="360" w:lineRule="auto"/>
        <w:rPr>
          <w:rFonts w:cs="Times New Roman"/>
          <w:szCs w:val="24"/>
          <w:u w:val="single"/>
        </w:rPr>
      </w:pPr>
      <w:r>
        <w:rPr>
          <w:rFonts w:cs="Times New Roman"/>
          <w:szCs w:val="24"/>
          <w:u w:val="single"/>
        </w:rPr>
        <w:t>Potential threats</w:t>
      </w:r>
      <w:r w:rsidRPr="001D0D04">
        <w:rPr>
          <w:rFonts w:cs="Times New Roman"/>
          <w:szCs w:val="24"/>
          <w:u w:val="single"/>
        </w:rPr>
        <w:t xml:space="preserve"> of company include the following:</w:t>
      </w:r>
    </w:p>
    <w:p w14:paraId="751A2AB0" w14:textId="078CCF78" w:rsidR="001D0D04" w:rsidRDefault="006841B7" w:rsidP="009642C8">
      <w:pPr>
        <w:pStyle w:val="ListParagraph"/>
        <w:numPr>
          <w:ilvl w:val="0"/>
          <w:numId w:val="1"/>
        </w:numPr>
        <w:tabs>
          <w:tab w:val="left" w:pos="426"/>
        </w:tabs>
        <w:spacing w:line="360" w:lineRule="auto"/>
        <w:ind w:left="284" w:hanging="284"/>
        <w:rPr>
          <w:rFonts w:cs="Times New Roman"/>
          <w:szCs w:val="24"/>
        </w:rPr>
      </w:pPr>
      <w:r>
        <w:rPr>
          <w:rFonts w:cs="Times New Roman"/>
          <w:szCs w:val="24"/>
        </w:rPr>
        <w:t>ROCE reduced from 18.4% in 2022 to 10.8% in 2025</w:t>
      </w:r>
      <w:r w:rsidR="00D02D8B">
        <w:rPr>
          <w:rFonts w:cs="Times New Roman"/>
          <w:szCs w:val="24"/>
        </w:rPr>
        <w:t xml:space="preserve"> which implies reduced returns on capital employed.</w:t>
      </w:r>
    </w:p>
    <w:p w14:paraId="5853E9E8" w14:textId="73F11D90" w:rsidR="00D02D8B" w:rsidRDefault="00D02D8B" w:rsidP="009642C8">
      <w:pPr>
        <w:pStyle w:val="ListParagraph"/>
        <w:numPr>
          <w:ilvl w:val="0"/>
          <w:numId w:val="1"/>
        </w:numPr>
        <w:tabs>
          <w:tab w:val="left" w:pos="426"/>
        </w:tabs>
        <w:spacing w:line="360" w:lineRule="auto"/>
        <w:ind w:left="284" w:hanging="284"/>
        <w:rPr>
          <w:rFonts w:cs="Times New Roman"/>
          <w:szCs w:val="24"/>
        </w:rPr>
      </w:pPr>
      <w:r>
        <w:rPr>
          <w:rFonts w:cs="Times New Roman"/>
          <w:szCs w:val="24"/>
        </w:rPr>
        <w:t>Declining operating cash flow margin to 15.3% in 2025</w:t>
      </w:r>
      <w:r w:rsidR="00EA18DD">
        <w:rPr>
          <w:rFonts w:cs="Times New Roman"/>
          <w:szCs w:val="24"/>
        </w:rPr>
        <w:t xml:space="preserve"> which can constrain investment and distributions.</w:t>
      </w:r>
    </w:p>
    <w:p w14:paraId="5A4C8825" w14:textId="54F156F6" w:rsidR="000668D1" w:rsidRPr="000668D1" w:rsidRDefault="0041042B" w:rsidP="009642C8">
      <w:pPr>
        <w:pStyle w:val="ListParagraph"/>
        <w:numPr>
          <w:ilvl w:val="0"/>
          <w:numId w:val="1"/>
        </w:numPr>
        <w:tabs>
          <w:tab w:val="left" w:pos="426"/>
        </w:tabs>
        <w:spacing w:line="360" w:lineRule="auto"/>
        <w:ind w:left="284" w:hanging="284"/>
        <w:rPr>
          <w:rFonts w:cs="Times New Roman"/>
          <w:szCs w:val="24"/>
        </w:rPr>
      </w:pPr>
      <w:r>
        <w:rPr>
          <w:rFonts w:cs="Times New Roman"/>
          <w:szCs w:val="24"/>
        </w:rPr>
        <w:t>G</w:t>
      </w:r>
      <w:r w:rsidRPr="0041042B">
        <w:rPr>
          <w:rFonts w:cs="Times New Roman"/>
          <w:szCs w:val="24"/>
        </w:rPr>
        <w:t>eopolitical instability</w:t>
      </w:r>
      <w:r>
        <w:rPr>
          <w:rFonts w:cs="Times New Roman"/>
          <w:szCs w:val="24"/>
        </w:rPr>
        <w:t>, c</w:t>
      </w:r>
      <w:r w:rsidRPr="0041042B">
        <w:rPr>
          <w:rFonts w:cs="Times New Roman"/>
          <w:szCs w:val="24"/>
        </w:rPr>
        <w:t>ommodity-price fluctuations</w:t>
      </w:r>
      <w:r>
        <w:rPr>
          <w:rFonts w:cs="Times New Roman"/>
          <w:szCs w:val="24"/>
        </w:rPr>
        <w:t xml:space="preserve">, </w:t>
      </w:r>
      <w:r w:rsidRPr="0041042B">
        <w:rPr>
          <w:rFonts w:cs="Times New Roman"/>
          <w:szCs w:val="24"/>
        </w:rPr>
        <w:t>carbon-transition requirements</w:t>
      </w:r>
      <w:r>
        <w:rPr>
          <w:rFonts w:cs="Times New Roman"/>
          <w:szCs w:val="24"/>
        </w:rPr>
        <w:t xml:space="preserve">, </w:t>
      </w:r>
      <w:r w:rsidR="006447EA" w:rsidRPr="006447EA">
        <w:rPr>
          <w:rFonts w:cs="Times New Roman"/>
          <w:szCs w:val="24"/>
        </w:rPr>
        <w:t>regulatory changes,</w:t>
      </w:r>
      <w:r w:rsidR="006447EA">
        <w:rPr>
          <w:rFonts w:cs="Times New Roman"/>
          <w:szCs w:val="24"/>
        </w:rPr>
        <w:t xml:space="preserve"> and </w:t>
      </w:r>
      <w:r w:rsidR="006447EA" w:rsidRPr="006447EA">
        <w:rPr>
          <w:rFonts w:cs="Times New Roman"/>
          <w:szCs w:val="24"/>
        </w:rPr>
        <w:t>foreign-exchange movements</w:t>
      </w:r>
      <w:r w:rsidR="006447EA">
        <w:rPr>
          <w:rFonts w:cs="Times New Roman"/>
          <w:szCs w:val="24"/>
        </w:rPr>
        <w:t xml:space="preserve"> can impact future investment returns and profitability</w:t>
      </w:r>
      <w:r w:rsidR="00EF39ED">
        <w:rPr>
          <w:rFonts w:cs="Times New Roman"/>
          <w:szCs w:val="24"/>
        </w:rPr>
        <w:t xml:space="preserve"> (</w:t>
      </w:r>
      <w:r w:rsidR="00EF39ED" w:rsidRPr="00792708">
        <w:t>Zatrochova</w:t>
      </w:r>
      <w:r w:rsidR="00EF39ED">
        <w:t xml:space="preserve"> &amp; </w:t>
      </w:r>
      <w:r w:rsidR="00EF39ED" w:rsidRPr="00792708">
        <w:t>Katrencik</w:t>
      </w:r>
      <w:r w:rsidR="00EF39ED">
        <w:t>, 2023)</w:t>
      </w:r>
      <w:r w:rsidR="006447EA">
        <w:rPr>
          <w:rFonts w:cs="Times New Roman"/>
          <w:szCs w:val="24"/>
        </w:rPr>
        <w:t>.</w:t>
      </w:r>
    </w:p>
    <w:p w14:paraId="7837748F" w14:textId="5A485395" w:rsidR="000668D1" w:rsidRPr="001D7532" w:rsidRDefault="000668D1" w:rsidP="009642C8">
      <w:pPr>
        <w:pStyle w:val="Heading1"/>
        <w:spacing w:line="360" w:lineRule="auto"/>
        <w:rPr>
          <w:rFonts w:ascii="Times New Roman" w:hAnsi="Times New Roman" w:cs="Times New Roman"/>
          <w:sz w:val="24"/>
          <w:szCs w:val="24"/>
        </w:rPr>
      </w:pPr>
      <w:bookmarkStart w:id="9" w:name="_Toc243773389"/>
      <w:r>
        <w:rPr>
          <w:rFonts w:ascii="Times New Roman" w:hAnsi="Times New Roman" w:cs="Times New Roman"/>
          <w:sz w:val="24"/>
          <w:szCs w:val="24"/>
        </w:rPr>
        <w:t>3</w:t>
      </w:r>
      <w:r w:rsidRPr="001D7532">
        <w:rPr>
          <w:rFonts w:ascii="Times New Roman" w:hAnsi="Times New Roman" w:cs="Times New Roman"/>
          <w:sz w:val="24"/>
          <w:szCs w:val="24"/>
        </w:rPr>
        <w:t xml:space="preserve">. </w:t>
      </w:r>
      <w:r w:rsidR="003925F2">
        <w:rPr>
          <w:rFonts w:ascii="Times New Roman" w:hAnsi="Times New Roman" w:cs="Times New Roman"/>
          <w:sz w:val="24"/>
          <w:szCs w:val="24"/>
        </w:rPr>
        <w:t>Analysis of working capital management</w:t>
      </w:r>
      <w:bookmarkEnd w:id="9"/>
    </w:p>
    <w:p w14:paraId="31C07E18" w14:textId="626C78DD" w:rsidR="0028702E" w:rsidRPr="00B57803" w:rsidRDefault="0028702E" w:rsidP="009642C8">
      <w:pPr>
        <w:pStyle w:val="Heading2"/>
        <w:spacing w:line="360" w:lineRule="auto"/>
        <w:rPr>
          <w:rFonts w:ascii="Times New Roman" w:hAnsi="Times New Roman" w:cs="Times New Roman"/>
          <w:sz w:val="24"/>
          <w:szCs w:val="24"/>
        </w:rPr>
      </w:pPr>
      <w:bookmarkStart w:id="10" w:name="_Toc243773390"/>
      <w:r>
        <w:rPr>
          <w:rFonts w:ascii="Times New Roman" w:hAnsi="Times New Roman" w:cs="Times New Roman"/>
          <w:sz w:val="24"/>
          <w:szCs w:val="24"/>
        </w:rPr>
        <w:t>3.1</w:t>
      </w:r>
      <w:r w:rsidRPr="00B57803">
        <w:rPr>
          <w:rFonts w:ascii="Times New Roman" w:hAnsi="Times New Roman" w:cs="Times New Roman"/>
          <w:sz w:val="24"/>
          <w:szCs w:val="24"/>
        </w:rPr>
        <w:t xml:space="preserve"> </w:t>
      </w:r>
      <w:r>
        <w:rPr>
          <w:rFonts w:ascii="Times New Roman" w:hAnsi="Times New Roman" w:cs="Times New Roman"/>
          <w:sz w:val="24"/>
          <w:szCs w:val="24"/>
        </w:rPr>
        <w:t>Analysis of cash operating cycle</w:t>
      </w:r>
      <w:bookmarkEnd w:id="10"/>
    </w:p>
    <w:p w14:paraId="12579439" w14:textId="4E858862" w:rsidR="007545CC" w:rsidRDefault="00270A44" w:rsidP="009642C8">
      <w:pPr>
        <w:spacing w:line="360" w:lineRule="auto"/>
        <w:rPr>
          <w:rFonts w:cs="Times New Roman"/>
          <w:szCs w:val="24"/>
        </w:rPr>
      </w:pPr>
      <w:r>
        <w:rPr>
          <w:rFonts w:cs="Times New Roman"/>
          <w:szCs w:val="24"/>
        </w:rPr>
        <w:t xml:space="preserve">Effective management of working capital is important for Shell </w:t>
      </w:r>
      <w:r w:rsidR="00E81387">
        <w:rPr>
          <w:rFonts w:cs="Times New Roman"/>
          <w:szCs w:val="24"/>
        </w:rPr>
        <w:t xml:space="preserve">as international energy operations of company require substantial amount of investment in </w:t>
      </w:r>
      <w:r w:rsidR="00E81387" w:rsidRPr="00E81387">
        <w:rPr>
          <w:rFonts w:cs="Times New Roman"/>
          <w:szCs w:val="24"/>
        </w:rPr>
        <w:t>customer receivables</w:t>
      </w:r>
      <w:r w:rsidR="00E81387">
        <w:rPr>
          <w:rFonts w:cs="Times New Roman"/>
          <w:szCs w:val="24"/>
        </w:rPr>
        <w:t xml:space="preserve">, </w:t>
      </w:r>
      <w:r w:rsidR="00E81387" w:rsidRPr="00E81387">
        <w:rPr>
          <w:rFonts w:cs="Times New Roman"/>
          <w:szCs w:val="24"/>
        </w:rPr>
        <w:t>inventory</w:t>
      </w:r>
      <w:r w:rsidR="00E81387">
        <w:rPr>
          <w:rFonts w:cs="Times New Roman"/>
          <w:szCs w:val="24"/>
        </w:rPr>
        <w:t xml:space="preserve"> and </w:t>
      </w:r>
      <w:r w:rsidR="001632CF" w:rsidRPr="001632CF">
        <w:rPr>
          <w:rFonts w:cs="Times New Roman"/>
          <w:szCs w:val="24"/>
        </w:rPr>
        <w:t>supplier payments</w:t>
      </w:r>
      <w:r w:rsidR="001632CF">
        <w:rPr>
          <w:rFonts w:cs="Times New Roman"/>
          <w:szCs w:val="24"/>
        </w:rPr>
        <w:t xml:space="preserve">. </w:t>
      </w:r>
    </w:p>
    <w:p w14:paraId="4018BDB0" w14:textId="6B3BBFFF" w:rsidR="001632CF" w:rsidRDefault="001632CF" w:rsidP="009642C8">
      <w:pPr>
        <w:spacing w:line="360" w:lineRule="auto"/>
        <w:rPr>
          <w:rFonts w:cs="Times New Roman"/>
          <w:b/>
          <w:bCs/>
          <w:szCs w:val="24"/>
          <w:u w:val="single"/>
        </w:rPr>
      </w:pPr>
      <w:r>
        <w:rPr>
          <w:rFonts w:cs="Times New Roman"/>
          <w:szCs w:val="24"/>
        </w:rPr>
        <w:t xml:space="preserve">Calculation of cash conversion cycle in provided in </w:t>
      </w:r>
      <w:r>
        <w:rPr>
          <w:rFonts w:cs="Times New Roman"/>
          <w:b/>
          <w:bCs/>
          <w:szCs w:val="24"/>
          <w:u w:val="single"/>
        </w:rPr>
        <w:t>Annexure-2.</w:t>
      </w:r>
    </w:p>
    <w:p w14:paraId="62FA3E68" w14:textId="41FAF99D" w:rsidR="001632CF" w:rsidRDefault="001632CF" w:rsidP="009642C8">
      <w:pPr>
        <w:spacing w:line="360" w:lineRule="auto"/>
        <w:rPr>
          <w:rFonts w:cs="Times New Roman"/>
          <w:szCs w:val="24"/>
        </w:rPr>
      </w:pPr>
      <w:r>
        <w:rPr>
          <w:rFonts w:cs="Times New Roman"/>
          <w:szCs w:val="24"/>
        </w:rPr>
        <w:t xml:space="preserve">The said table indicates that </w:t>
      </w:r>
      <w:r w:rsidR="00190B44" w:rsidRPr="00BE3C39">
        <w:rPr>
          <w:rFonts w:cs="Times New Roman"/>
          <w:b/>
          <w:bCs/>
          <w:szCs w:val="24"/>
        </w:rPr>
        <w:t>cash conversion cycle of company has considerably improved from 27 days in 2021 to 17 days in 2022</w:t>
      </w:r>
      <w:r w:rsidR="00190B44">
        <w:rPr>
          <w:rFonts w:cs="Times New Roman"/>
          <w:szCs w:val="24"/>
        </w:rPr>
        <w:t xml:space="preserve"> which indicate </w:t>
      </w:r>
      <w:r w:rsidR="004240EE">
        <w:rPr>
          <w:rFonts w:cs="Times New Roman"/>
          <w:szCs w:val="24"/>
        </w:rPr>
        <w:t xml:space="preserve">better management of working capital during the said period. However, it </w:t>
      </w:r>
      <w:r w:rsidR="004240EE" w:rsidRPr="00BE3C39">
        <w:rPr>
          <w:rFonts w:cs="Times New Roman"/>
          <w:b/>
          <w:bCs/>
          <w:szCs w:val="24"/>
        </w:rPr>
        <w:t>later increased to 24 days in 2025</w:t>
      </w:r>
      <w:r w:rsidR="00F02E83">
        <w:rPr>
          <w:rFonts w:cs="Times New Roman"/>
          <w:szCs w:val="24"/>
        </w:rPr>
        <w:t xml:space="preserve"> which indicate that cash held in the business remained tied up to the operating activities for around 6 days higher in comparison to the year 2022 </w:t>
      </w:r>
      <w:r w:rsidR="00BE3C39">
        <w:rPr>
          <w:rFonts w:cs="Times New Roman"/>
          <w:szCs w:val="24"/>
        </w:rPr>
        <w:t xml:space="preserve">and thus potentially increasing </w:t>
      </w:r>
      <w:r w:rsidR="00BE3C39" w:rsidRPr="00BE3C39">
        <w:rPr>
          <w:rFonts w:cs="Times New Roman"/>
          <w:szCs w:val="24"/>
        </w:rPr>
        <w:t>short-term financing requirements</w:t>
      </w:r>
      <w:r w:rsidR="00BE3C39">
        <w:rPr>
          <w:rFonts w:cs="Times New Roman"/>
          <w:szCs w:val="24"/>
        </w:rPr>
        <w:t>.</w:t>
      </w:r>
    </w:p>
    <w:p w14:paraId="3CE97FA6" w14:textId="5F04F727" w:rsidR="00BE3C39" w:rsidRDefault="00A94D71" w:rsidP="009642C8">
      <w:pPr>
        <w:spacing w:line="360" w:lineRule="auto"/>
        <w:rPr>
          <w:rFonts w:cs="Times New Roman"/>
          <w:szCs w:val="24"/>
        </w:rPr>
      </w:pPr>
      <w:r>
        <w:rPr>
          <w:rFonts w:cs="Times New Roman"/>
          <w:szCs w:val="24"/>
        </w:rPr>
        <w:t xml:space="preserve">As discussed previously, </w:t>
      </w:r>
      <w:r w:rsidRPr="00504F5A">
        <w:rPr>
          <w:rFonts w:cs="Times New Roman"/>
          <w:b/>
          <w:bCs/>
          <w:szCs w:val="24"/>
        </w:rPr>
        <w:t>inventory turnover days</w:t>
      </w:r>
      <w:r>
        <w:rPr>
          <w:rFonts w:cs="Times New Roman"/>
          <w:szCs w:val="24"/>
        </w:rPr>
        <w:t xml:space="preserve"> has remained stable </w:t>
      </w:r>
      <w:r w:rsidR="00175E5C">
        <w:rPr>
          <w:rFonts w:cs="Times New Roman"/>
          <w:szCs w:val="24"/>
        </w:rPr>
        <w:t xml:space="preserve">to around 36 days from the year 2022 and thus company should consider optimizing </w:t>
      </w:r>
      <w:r w:rsidR="00C76214" w:rsidRPr="00C76214">
        <w:rPr>
          <w:rFonts w:cs="Times New Roman"/>
          <w:szCs w:val="24"/>
        </w:rPr>
        <w:t>inventory levels</w:t>
      </w:r>
      <w:r w:rsidR="00C76214">
        <w:rPr>
          <w:rFonts w:cs="Times New Roman"/>
          <w:szCs w:val="24"/>
        </w:rPr>
        <w:t xml:space="preserve"> by way of improved inventory monitoring and demand forecasting while also maintaining </w:t>
      </w:r>
      <w:r w:rsidR="00504F5A" w:rsidRPr="00504F5A">
        <w:rPr>
          <w:rFonts w:cs="Times New Roman"/>
          <w:szCs w:val="24"/>
        </w:rPr>
        <w:t>sufficient reserves</w:t>
      </w:r>
      <w:r w:rsidR="00504F5A">
        <w:rPr>
          <w:rFonts w:cs="Times New Roman"/>
          <w:szCs w:val="24"/>
        </w:rPr>
        <w:t xml:space="preserve"> to protect reliability of energy supply.</w:t>
      </w:r>
    </w:p>
    <w:p w14:paraId="5EA1ED8B" w14:textId="161C961F" w:rsidR="00504F5A" w:rsidRDefault="00504F5A" w:rsidP="009642C8">
      <w:pPr>
        <w:spacing w:line="360" w:lineRule="auto"/>
        <w:rPr>
          <w:rFonts w:cs="Times New Roman"/>
          <w:szCs w:val="24"/>
        </w:rPr>
      </w:pPr>
      <w:r>
        <w:rPr>
          <w:rFonts w:cs="Times New Roman"/>
          <w:b/>
          <w:bCs/>
          <w:szCs w:val="24"/>
        </w:rPr>
        <w:t>Receivables collection period</w:t>
      </w:r>
      <w:r w:rsidR="00D45626">
        <w:rPr>
          <w:rFonts w:cs="Times New Roman"/>
          <w:szCs w:val="24"/>
        </w:rPr>
        <w:t xml:space="preserve"> also increased from 41 days in the year 2024 to 42 days in 2025 which although a </w:t>
      </w:r>
      <w:r w:rsidR="00D45626" w:rsidRPr="00D45626">
        <w:rPr>
          <w:rFonts w:cs="Times New Roman"/>
          <w:szCs w:val="24"/>
        </w:rPr>
        <w:t>modest deterioration</w:t>
      </w:r>
      <w:r w:rsidR="00D45626">
        <w:rPr>
          <w:rFonts w:cs="Times New Roman"/>
          <w:szCs w:val="24"/>
        </w:rPr>
        <w:t xml:space="preserve">, but </w:t>
      </w:r>
      <w:r w:rsidR="002D0B92">
        <w:rPr>
          <w:rFonts w:cs="Times New Roman"/>
          <w:szCs w:val="24"/>
        </w:rPr>
        <w:t xml:space="preserve">delayed collections from customers can restrict availability of cash. Thus, company should strengthen </w:t>
      </w:r>
      <w:r w:rsidR="00E5399A">
        <w:rPr>
          <w:rFonts w:cs="Times New Roman"/>
          <w:szCs w:val="24"/>
        </w:rPr>
        <w:t xml:space="preserve">its credit assessment procedures, </w:t>
      </w:r>
      <w:r w:rsidR="00E5399A" w:rsidRPr="00E5399A">
        <w:rPr>
          <w:rFonts w:cs="Times New Roman"/>
          <w:szCs w:val="24"/>
        </w:rPr>
        <w:t>implement regular monitoring of overdue accounts</w:t>
      </w:r>
      <w:r w:rsidR="00E5399A">
        <w:rPr>
          <w:rFonts w:cs="Times New Roman"/>
          <w:szCs w:val="24"/>
        </w:rPr>
        <w:t xml:space="preserve"> and </w:t>
      </w:r>
      <w:r w:rsidR="00E5399A" w:rsidRPr="00E5399A">
        <w:rPr>
          <w:rFonts w:cs="Times New Roman"/>
          <w:szCs w:val="24"/>
        </w:rPr>
        <w:t>automate invoicing</w:t>
      </w:r>
      <w:r w:rsidR="00E5399A">
        <w:rPr>
          <w:rFonts w:cs="Times New Roman"/>
          <w:szCs w:val="24"/>
        </w:rPr>
        <w:t>.</w:t>
      </w:r>
    </w:p>
    <w:p w14:paraId="646B25B1" w14:textId="5AAD94B9" w:rsidR="00E5399A" w:rsidRDefault="00E5399A" w:rsidP="009642C8">
      <w:pPr>
        <w:spacing w:line="360" w:lineRule="auto"/>
        <w:rPr>
          <w:rFonts w:cs="Times New Roman"/>
          <w:szCs w:val="24"/>
        </w:rPr>
      </w:pPr>
      <w:r>
        <w:rPr>
          <w:rFonts w:cs="Times New Roman"/>
          <w:szCs w:val="24"/>
        </w:rPr>
        <w:t xml:space="preserve">On the other hand, </w:t>
      </w:r>
      <w:r w:rsidRPr="00E5399A">
        <w:rPr>
          <w:rFonts w:cs="Times New Roman"/>
          <w:b/>
          <w:bCs/>
          <w:szCs w:val="24"/>
        </w:rPr>
        <w:t>payables payment period</w:t>
      </w:r>
      <w:r>
        <w:rPr>
          <w:rFonts w:cs="Times New Roman"/>
          <w:b/>
          <w:bCs/>
          <w:szCs w:val="24"/>
        </w:rPr>
        <w:t xml:space="preserve"> </w:t>
      </w:r>
      <w:r>
        <w:rPr>
          <w:rFonts w:cs="Times New Roman"/>
          <w:szCs w:val="24"/>
        </w:rPr>
        <w:t xml:space="preserve">has reduced from </w:t>
      </w:r>
      <w:r w:rsidR="00851C00">
        <w:rPr>
          <w:rFonts w:cs="Times New Roman"/>
          <w:szCs w:val="24"/>
        </w:rPr>
        <w:t xml:space="preserve">64 days in 2021 to 55 days in 2025. Company should consider negotiating with suppliers </w:t>
      </w:r>
      <w:r w:rsidR="00983122">
        <w:rPr>
          <w:rFonts w:cs="Times New Roman"/>
          <w:szCs w:val="24"/>
        </w:rPr>
        <w:t>for c</w:t>
      </w:r>
      <w:r w:rsidR="00983122" w:rsidRPr="00983122">
        <w:rPr>
          <w:rFonts w:cs="Times New Roman"/>
          <w:szCs w:val="24"/>
        </w:rPr>
        <w:t>ommercially reasonable payment terms</w:t>
      </w:r>
      <w:r w:rsidR="00983122">
        <w:rPr>
          <w:rFonts w:cs="Times New Roman"/>
          <w:szCs w:val="24"/>
        </w:rPr>
        <w:t xml:space="preserve"> without impacting long-term relationships with them. </w:t>
      </w:r>
    </w:p>
    <w:p w14:paraId="710AD149" w14:textId="55165099" w:rsidR="00983122" w:rsidRPr="00B57803" w:rsidRDefault="00983122" w:rsidP="009642C8">
      <w:pPr>
        <w:pStyle w:val="Heading2"/>
        <w:spacing w:line="360" w:lineRule="auto"/>
        <w:rPr>
          <w:rFonts w:ascii="Times New Roman" w:hAnsi="Times New Roman" w:cs="Times New Roman"/>
          <w:sz w:val="24"/>
          <w:szCs w:val="24"/>
        </w:rPr>
      </w:pPr>
      <w:bookmarkStart w:id="11" w:name="_Toc243773391"/>
      <w:r>
        <w:rPr>
          <w:rFonts w:ascii="Times New Roman" w:hAnsi="Times New Roman" w:cs="Times New Roman"/>
          <w:sz w:val="24"/>
          <w:szCs w:val="24"/>
        </w:rPr>
        <w:t>3.2</w:t>
      </w:r>
      <w:r w:rsidRPr="00B57803">
        <w:rPr>
          <w:rFonts w:ascii="Times New Roman" w:hAnsi="Times New Roman" w:cs="Times New Roman"/>
          <w:sz w:val="24"/>
          <w:szCs w:val="24"/>
        </w:rPr>
        <w:t xml:space="preserve"> </w:t>
      </w:r>
      <w:r>
        <w:rPr>
          <w:rFonts w:ascii="Times New Roman" w:hAnsi="Times New Roman" w:cs="Times New Roman"/>
          <w:sz w:val="24"/>
          <w:szCs w:val="24"/>
        </w:rPr>
        <w:t>Strategies to improve liquidity position</w:t>
      </w:r>
      <w:bookmarkEnd w:id="11"/>
    </w:p>
    <w:p w14:paraId="0DC3B458" w14:textId="77777777" w:rsidR="001F0AA3" w:rsidRDefault="00C570AF" w:rsidP="009642C8">
      <w:pPr>
        <w:pStyle w:val="ListParagraph"/>
        <w:numPr>
          <w:ilvl w:val="0"/>
          <w:numId w:val="2"/>
        </w:numPr>
        <w:spacing w:line="360" w:lineRule="auto"/>
        <w:ind w:left="284" w:hanging="284"/>
        <w:rPr>
          <w:rFonts w:cs="Times New Roman"/>
          <w:szCs w:val="24"/>
        </w:rPr>
      </w:pPr>
      <w:r w:rsidRPr="00E12DE2">
        <w:rPr>
          <w:rFonts w:cs="Times New Roman"/>
          <w:b/>
          <w:bCs/>
          <w:szCs w:val="24"/>
        </w:rPr>
        <w:t>Implementation of integrated working capital reforms</w:t>
      </w:r>
      <w:r>
        <w:rPr>
          <w:rFonts w:cs="Times New Roman"/>
          <w:szCs w:val="24"/>
        </w:rPr>
        <w:t xml:space="preserve"> for reducing </w:t>
      </w:r>
      <w:r w:rsidRPr="00C570AF">
        <w:rPr>
          <w:rFonts w:cs="Times New Roman"/>
          <w:szCs w:val="24"/>
        </w:rPr>
        <w:t>cash tied up in operations</w:t>
      </w:r>
      <w:r>
        <w:rPr>
          <w:rFonts w:cs="Times New Roman"/>
          <w:szCs w:val="24"/>
        </w:rPr>
        <w:t xml:space="preserve">. </w:t>
      </w:r>
    </w:p>
    <w:p w14:paraId="1DE63B9E" w14:textId="44B50107" w:rsidR="001F0AA3" w:rsidRDefault="00C570AF" w:rsidP="009642C8">
      <w:pPr>
        <w:pStyle w:val="ListParagraph"/>
        <w:spacing w:line="360" w:lineRule="auto"/>
        <w:ind w:left="284"/>
        <w:rPr>
          <w:rFonts w:cs="Times New Roman"/>
          <w:szCs w:val="24"/>
        </w:rPr>
      </w:pPr>
      <w:r>
        <w:rPr>
          <w:rFonts w:cs="Times New Roman"/>
          <w:szCs w:val="24"/>
        </w:rPr>
        <w:t xml:space="preserve">This can be done by way of </w:t>
      </w:r>
      <w:r w:rsidR="003A7CD3" w:rsidRPr="00E12DE2">
        <w:rPr>
          <w:rFonts w:cs="Times New Roman"/>
          <w:b/>
          <w:bCs/>
          <w:szCs w:val="24"/>
        </w:rPr>
        <w:t>efficient management of inventory</w:t>
      </w:r>
      <w:r w:rsidR="003A7CD3">
        <w:rPr>
          <w:rFonts w:cs="Times New Roman"/>
          <w:szCs w:val="24"/>
        </w:rPr>
        <w:t xml:space="preserve"> through </w:t>
      </w:r>
      <w:r w:rsidR="003A7CD3" w:rsidRPr="003A7CD3">
        <w:rPr>
          <w:rFonts w:cs="Times New Roman"/>
          <w:szCs w:val="24"/>
        </w:rPr>
        <w:t>real-time monitoring</w:t>
      </w:r>
      <w:r w:rsidR="003A7CD3">
        <w:rPr>
          <w:rFonts w:cs="Times New Roman"/>
          <w:szCs w:val="24"/>
        </w:rPr>
        <w:t xml:space="preserve"> of inventory, </w:t>
      </w:r>
      <w:r w:rsidR="003A7CD3" w:rsidRPr="003A7CD3">
        <w:rPr>
          <w:rFonts w:cs="Times New Roman"/>
          <w:szCs w:val="24"/>
        </w:rPr>
        <w:t>demand forecasting</w:t>
      </w:r>
      <w:r w:rsidR="003A7CD3">
        <w:rPr>
          <w:rFonts w:cs="Times New Roman"/>
          <w:szCs w:val="24"/>
        </w:rPr>
        <w:t xml:space="preserve"> </w:t>
      </w:r>
      <w:r w:rsidR="001F0AA3">
        <w:rPr>
          <w:rFonts w:cs="Times New Roman"/>
          <w:szCs w:val="24"/>
        </w:rPr>
        <w:t xml:space="preserve">and identification of </w:t>
      </w:r>
      <w:r w:rsidR="001F0AA3" w:rsidRPr="001F0AA3">
        <w:rPr>
          <w:rFonts w:cs="Times New Roman"/>
          <w:szCs w:val="24"/>
        </w:rPr>
        <w:t>excess</w:t>
      </w:r>
      <w:r w:rsidR="001F0AA3">
        <w:rPr>
          <w:rFonts w:cs="Times New Roman"/>
          <w:szCs w:val="24"/>
        </w:rPr>
        <w:t xml:space="preserve"> or </w:t>
      </w:r>
      <w:r w:rsidR="00320E1F">
        <w:rPr>
          <w:rFonts w:cs="Times New Roman"/>
          <w:szCs w:val="24"/>
        </w:rPr>
        <w:t>slow-moving</w:t>
      </w:r>
      <w:r w:rsidR="001F0AA3">
        <w:rPr>
          <w:rFonts w:cs="Times New Roman"/>
          <w:szCs w:val="24"/>
        </w:rPr>
        <w:t xml:space="preserve"> inventory.</w:t>
      </w:r>
    </w:p>
    <w:p w14:paraId="1D6CAA86" w14:textId="77777777" w:rsidR="00A63648" w:rsidRDefault="006413D7" w:rsidP="009642C8">
      <w:pPr>
        <w:pStyle w:val="ListParagraph"/>
        <w:spacing w:line="360" w:lineRule="auto"/>
        <w:ind w:left="284"/>
        <w:rPr>
          <w:rFonts w:cs="Times New Roman"/>
          <w:szCs w:val="24"/>
        </w:rPr>
      </w:pPr>
      <w:r w:rsidRPr="00E12DE2">
        <w:rPr>
          <w:rFonts w:cs="Times New Roman"/>
          <w:b/>
          <w:bCs/>
          <w:szCs w:val="24"/>
        </w:rPr>
        <w:t>Receivables management</w:t>
      </w:r>
      <w:r>
        <w:rPr>
          <w:rFonts w:cs="Times New Roman"/>
          <w:szCs w:val="24"/>
        </w:rPr>
        <w:t xml:space="preserve"> can be improved by way of </w:t>
      </w:r>
      <w:r w:rsidRPr="006413D7">
        <w:rPr>
          <w:rFonts w:cs="Times New Roman"/>
          <w:szCs w:val="24"/>
        </w:rPr>
        <w:t>clearly defined credit terms</w:t>
      </w:r>
      <w:r>
        <w:rPr>
          <w:rFonts w:cs="Times New Roman"/>
          <w:szCs w:val="24"/>
        </w:rPr>
        <w:t xml:space="preserve">, </w:t>
      </w:r>
      <w:r w:rsidRPr="006413D7">
        <w:rPr>
          <w:rFonts w:cs="Times New Roman"/>
          <w:szCs w:val="24"/>
        </w:rPr>
        <w:t>automated billing</w:t>
      </w:r>
      <w:r>
        <w:rPr>
          <w:rFonts w:cs="Times New Roman"/>
          <w:szCs w:val="24"/>
        </w:rPr>
        <w:t xml:space="preserve"> and </w:t>
      </w:r>
      <w:r w:rsidR="009225CB" w:rsidRPr="009225CB">
        <w:rPr>
          <w:rFonts w:cs="Times New Roman"/>
          <w:szCs w:val="24"/>
        </w:rPr>
        <w:t>systematic follow-up of overdue invoices</w:t>
      </w:r>
      <w:r w:rsidR="009225CB">
        <w:rPr>
          <w:rFonts w:cs="Times New Roman"/>
          <w:szCs w:val="24"/>
        </w:rPr>
        <w:t xml:space="preserve">. Early payment incentives can be given to customers where the financial benefit </w:t>
      </w:r>
      <w:r w:rsidR="00A63648">
        <w:rPr>
          <w:rFonts w:cs="Times New Roman"/>
          <w:szCs w:val="24"/>
        </w:rPr>
        <w:t xml:space="preserve">is higher than the cost of discount. </w:t>
      </w:r>
    </w:p>
    <w:p w14:paraId="4958DE39" w14:textId="1D8A8427" w:rsidR="00E12DE2" w:rsidRPr="00E12DE2" w:rsidRDefault="00A63648" w:rsidP="009642C8">
      <w:pPr>
        <w:pStyle w:val="ListParagraph"/>
        <w:spacing w:line="360" w:lineRule="auto"/>
        <w:ind w:left="284"/>
        <w:rPr>
          <w:rFonts w:cs="Times New Roman"/>
          <w:szCs w:val="24"/>
        </w:rPr>
      </w:pPr>
      <w:r w:rsidRPr="00E12DE2">
        <w:rPr>
          <w:rFonts w:cs="Times New Roman"/>
          <w:b/>
          <w:bCs/>
          <w:szCs w:val="24"/>
        </w:rPr>
        <w:t>Supplier payment terms</w:t>
      </w:r>
      <w:r>
        <w:rPr>
          <w:rFonts w:cs="Times New Roman"/>
          <w:szCs w:val="24"/>
        </w:rPr>
        <w:t xml:space="preserve"> shall be reviewed and extensions can be negotiated with such suppliers </w:t>
      </w:r>
      <w:r w:rsidR="00E12DE2">
        <w:rPr>
          <w:rFonts w:cs="Times New Roman"/>
          <w:szCs w:val="24"/>
        </w:rPr>
        <w:t xml:space="preserve">if commercially appropriate. </w:t>
      </w:r>
    </w:p>
    <w:p w14:paraId="49FFA3CC" w14:textId="7E203CE7" w:rsidR="00504F5A" w:rsidRDefault="00D8349B" w:rsidP="009642C8">
      <w:pPr>
        <w:pStyle w:val="ListParagraph"/>
        <w:numPr>
          <w:ilvl w:val="0"/>
          <w:numId w:val="2"/>
        </w:numPr>
        <w:spacing w:line="360" w:lineRule="auto"/>
        <w:ind w:left="284" w:hanging="284"/>
        <w:rPr>
          <w:rFonts w:cs="Times New Roman"/>
          <w:szCs w:val="24"/>
        </w:rPr>
      </w:pPr>
      <w:r>
        <w:rPr>
          <w:rFonts w:cs="Times New Roman"/>
          <w:b/>
          <w:bCs/>
          <w:szCs w:val="24"/>
        </w:rPr>
        <w:t xml:space="preserve">Rolling cash flow budgets </w:t>
      </w:r>
      <w:r>
        <w:rPr>
          <w:rFonts w:cs="Times New Roman"/>
          <w:szCs w:val="24"/>
        </w:rPr>
        <w:t xml:space="preserve">should also be prepared to anticipate </w:t>
      </w:r>
      <w:r w:rsidRPr="00D8349B">
        <w:rPr>
          <w:rFonts w:cs="Times New Roman"/>
          <w:szCs w:val="24"/>
        </w:rPr>
        <w:t>liquidity shortage</w:t>
      </w:r>
      <w:r>
        <w:rPr>
          <w:rFonts w:cs="Times New Roman"/>
          <w:szCs w:val="24"/>
        </w:rPr>
        <w:t xml:space="preserve"> issues </w:t>
      </w:r>
      <w:r w:rsidR="000563EF">
        <w:rPr>
          <w:rFonts w:cs="Times New Roman"/>
          <w:szCs w:val="24"/>
        </w:rPr>
        <w:t xml:space="preserve">and coordinate working capital requirement with </w:t>
      </w:r>
      <w:r w:rsidR="000563EF" w:rsidRPr="000563EF">
        <w:rPr>
          <w:rFonts w:cs="Times New Roman"/>
          <w:szCs w:val="24"/>
        </w:rPr>
        <w:t>debt repayments</w:t>
      </w:r>
      <w:r w:rsidR="000563EF">
        <w:rPr>
          <w:rFonts w:cs="Times New Roman"/>
          <w:szCs w:val="24"/>
        </w:rPr>
        <w:t xml:space="preserve">, </w:t>
      </w:r>
      <w:r w:rsidR="000563EF" w:rsidRPr="000563EF">
        <w:rPr>
          <w:rFonts w:cs="Times New Roman"/>
          <w:szCs w:val="24"/>
        </w:rPr>
        <w:t>capital expenditure</w:t>
      </w:r>
      <w:r w:rsidR="000563EF">
        <w:rPr>
          <w:rFonts w:cs="Times New Roman"/>
          <w:szCs w:val="24"/>
        </w:rPr>
        <w:t xml:space="preserve"> and </w:t>
      </w:r>
      <w:r w:rsidR="000563EF" w:rsidRPr="000563EF">
        <w:rPr>
          <w:rFonts w:cs="Times New Roman"/>
          <w:szCs w:val="24"/>
        </w:rPr>
        <w:t>shareholder distributions</w:t>
      </w:r>
      <w:r w:rsidR="000563EF">
        <w:rPr>
          <w:rFonts w:cs="Times New Roman"/>
          <w:szCs w:val="24"/>
        </w:rPr>
        <w:t xml:space="preserve">. </w:t>
      </w:r>
    </w:p>
    <w:p w14:paraId="2743CA46" w14:textId="69E9E27C" w:rsidR="00523985" w:rsidRPr="00B57803" w:rsidRDefault="00523985" w:rsidP="009642C8">
      <w:pPr>
        <w:pStyle w:val="Heading2"/>
        <w:spacing w:line="360" w:lineRule="auto"/>
        <w:rPr>
          <w:rFonts w:ascii="Times New Roman" w:hAnsi="Times New Roman" w:cs="Times New Roman"/>
          <w:sz w:val="24"/>
          <w:szCs w:val="24"/>
        </w:rPr>
      </w:pPr>
      <w:bookmarkStart w:id="12" w:name="_Toc243773392"/>
      <w:r>
        <w:rPr>
          <w:rFonts w:ascii="Times New Roman" w:hAnsi="Times New Roman" w:cs="Times New Roman"/>
          <w:sz w:val="24"/>
          <w:szCs w:val="24"/>
        </w:rPr>
        <w:t>3.3</w:t>
      </w:r>
      <w:r w:rsidRPr="00B57803">
        <w:rPr>
          <w:rFonts w:ascii="Times New Roman" w:hAnsi="Times New Roman" w:cs="Times New Roman"/>
          <w:sz w:val="24"/>
          <w:szCs w:val="24"/>
        </w:rPr>
        <w:t xml:space="preserve"> </w:t>
      </w:r>
      <w:r>
        <w:rPr>
          <w:rFonts w:ascii="Times New Roman" w:hAnsi="Times New Roman" w:cs="Times New Roman"/>
          <w:sz w:val="24"/>
          <w:szCs w:val="24"/>
        </w:rPr>
        <w:t>Short-term vs long-term financing</w:t>
      </w:r>
      <w:bookmarkEnd w:id="12"/>
    </w:p>
    <w:p w14:paraId="6EB3B153" w14:textId="2BD92F1E" w:rsidR="00523985" w:rsidRDefault="009C3033" w:rsidP="009642C8">
      <w:pPr>
        <w:spacing w:line="360" w:lineRule="auto"/>
        <w:rPr>
          <w:rFonts w:cs="Times New Roman"/>
          <w:szCs w:val="24"/>
        </w:rPr>
      </w:pPr>
      <w:r w:rsidRPr="009C3033">
        <w:rPr>
          <w:rFonts w:cs="Times New Roman"/>
          <w:szCs w:val="24"/>
        </w:rPr>
        <w:t xml:space="preserve">Debt structure of </w:t>
      </w:r>
      <w:r>
        <w:rPr>
          <w:rFonts w:cs="Times New Roman"/>
          <w:szCs w:val="24"/>
        </w:rPr>
        <w:t>Shell PLC demonstrates a greater reliance on long-term financing.</w:t>
      </w:r>
    </w:p>
    <w:tbl>
      <w:tblPr>
        <w:tblW w:w="94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37"/>
        <w:gridCol w:w="1321"/>
        <w:gridCol w:w="1478"/>
        <w:gridCol w:w="1321"/>
        <w:gridCol w:w="1321"/>
        <w:gridCol w:w="1321"/>
      </w:tblGrid>
      <w:tr w:rsidR="00AD0B45" w:rsidRPr="00AD0B45" w14:paraId="69963776" w14:textId="77777777" w:rsidTr="00AD0B45">
        <w:trPr>
          <w:trHeight w:val="280"/>
        </w:trPr>
        <w:tc>
          <w:tcPr>
            <w:tcW w:w="2737" w:type="dxa"/>
            <w:shd w:val="clear" w:color="auto" w:fill="808080" w:themeFill="background1" w:themeFillShade="80"/>
            <w:noWrap/>
            <w:vAlign w:val="bottom"/>
            <w:hideMark/>
          </w:tcPr>
          <w:p w14:paraId="0E489706" w14:textId="77777777" w:rsidR="00AD0B45" w:rsidRPr="00AD0B45" w:rsidRDefault="00AD0B45" w:rsidP="009642C8">
            <w:pPr>
              <w:spacing w:after="0" w:line="360" w:lineRule="auto"/>
              <w:rPr>
                <w:rFonts w:eastAsia="Times New Roman" w:cs="Times New Roman"/>
                <w:kern w:val="0"/>
                <w:sz w:val="22"/>
                <w:lang w:eastAsia="en-IN"/>
                <w14:ligatures w14:val="none"/>
              </w:rPr>
            </w:pPr>
          </w:p>
        </w:tc>
        <w:tc>
          <w:tcPr>
            <w:tcW w:w="1321" w:type="dxa"/>
            <w:shd w:val="clear" w:color="auto" w:fill="808080" w:themeFill="background1" w:themeFillShade="80"/>
            <w:noWrap/>
            <w:vAlign w:val="bottom"/>
            <w:hideMark/>
          </w:tcPr>
          <w:p w14:paraId="11D67050" w14:textId="77777777" w:rsidR="00AD0B45" w:rsidRPr="00AD0B45" w:rsidRDefault="00AD0B45" w:rsidP="009642C8">
            <w:pPr>
              <w:spacing w:after="0" w:line="360" w:lineRule="auto"/>
              <w:jc w:val="right"/>
              <w:rPr>
                <w:rFonts w:eastAsia="Times New Roman" w:cs="Times New Roman"/>
                <w:b/>
                <w:bCs/>
                <w:color w:val="FFFFFF"/>
                <w:kern w:val="0"/>
                <w:sz w:val="22"/>
                <w:lang w:eastAsia="en-IN"/>
                <w14:ligatures w14:val="none"/>
              </w:rPr>
            </w:pPr>
            <w:r w:rsidRPr="00AD0B45">
              <w:rPr>
                <w:rFonts w:eastAsia="Times New Roman" w:cs="Times New Roman"/>
                <w:b/>
                <w:bCs/>
                <w:color w:val="FFFFFF"/>
                <w:kern w:val="0"/>
                <w:sz w:val="22"/>
                <w:lang w:eastAsia="en-IN"/>
                <w14:ligatures w14:val="none"/>
              </w:rPr>
              <w:t>2021</w:t>
            </w:r>
          </w:p>
        </w:tc>
        <w:tc>
          <w:tcPr>
            <w:tcW w:w="1478" w:type="dxa"/>
            <w:shd w:val="clear" w:color="auto" w:fill="808080" w:themeFill="background1" w:themeFillShade="80"/>
            <w:noWrap/>
            <w:vAlign w:val="bottom"/>
            <w:hideMark/>
          </w:tcPr>
          <w:p w14:paraId="6A9F6A34" w14:textId="77777777" w:rsidR="00AD0B45" w:rsidRPr="00AD0B45" w:rsidRDefault="00AD0B45" w:rsidP="009642C8">
            <w:pPr>
              <w:spacing w:after="0" w:line="360" w:lineRule="auto"/>
              <w:jc w:val="right"/>
              <w:rPr>
                <w:rFonts w:eastAsia="Times New Roman" w:cs="Times New Roman"/>
                <w:b/>
                <w:bCs/>
                <w:color w:val="FFFFFF"/>
                <w:kern w:val="0"/>
                <w:sz w:val="22"/>
                <w:lang w:eastAsia="en-IN"/>
                <w14:ligatures w14:val="none"/>
              </w:rPr>
            </w:pPr>
            <w:r w:rsidRPr="00AD0B45">
              <w:rPr>
                <w:rFonts w:eastAsia="Times New Roman" w:cs="Times New Roman"/>
                <w:b/>
                <w:bCs/>
                <w:color w:val="FFFFFF"/>
                <w:kern w:val="0"/>
                <w:sz w:val="22"/>
                <w:lang w:eastAsia="en-IN"/>
                <w14:ligatures w14:val="none"/>
              </w:rPr>
              <w:t>2022</w:t>
            </w:r>
          </w:p>
        </w:tc>
        <w:tc>
          <w:tcPr>
            <w:tcW w:w="1321" w:type="dxa"/>
            <w:shd w:val="clear" w:color="auto" w:fill="808080" w:themeFill="background1" w:themeFillShade="80"/>
            <w:noWrap/>
            <w:vAlign w:val="bottom"/>
            <w:hideMark/>
          </w:tcPr>
          <w:p w14:paraId="00BA2F20" w14:textId="77777777" w:rsidR="00AD0B45" w:rsidRPr="00AD0B45" w:rsidRDefault="00AD0B45" w:rsidP="009642C8">
            <w:pPr>
              <w:spacing w:after="0" w:line="360" w:lineRule="auto"/>
              <w:jc w:val="right"/>
              <w:rPr>
                <w:rFonts w:eastAsia="Times New Roman" w:cs="Times New Roman"/>
                <w:b/>
                <w:bCs/>
                <w:color w:val="FFFFFF"/>
                <w:kern w:val="0"/>
                <w:sz w:val="22"/>
                <w:lang w:eastAsia="en-IN"/>
                <w14:ligatures w14:val="none"/>
              </w:rPr>
            </w:pPr>
            <w:r w:rsidRPr="00AD0B45">
              <w:rPr>
                <w:rFonts w:eastAsia="Times New Roman" w:cs="Times New Roman"/>
                <w:b/>
                <w:bCs/>
                <w:color w:val="FFFFFF"/>
                <w:kern w:val="0"/>
                <w:sz w:val="22"/>
                <w:lang w:eastAsia="en-IN"/>
                <w14:ligatures w14:val="none"/>
              </w:rPr>
              <w:t>2023</w:t>
            </w:r>
          </w:p>
        </w:tc>
        <w:tc>
          <w:tcPr>
            <w:tcW w:w="1321" w:type="dxa"/>
            <w:shd w:val="clear" w:color="auto" w:fill="808080" w:themeFill="background1" w:themeFillShade="80"/>
            <w:noWrap/>
            <w:vAlign w:val="bottom"/>
            <w:hideMark/>
          </w:tcPr>
          <w:p w14:paraId="01AE9720" w14:textId="77777777" w:rsidR="00AD0B45" w:rsidRPr="00AD0B45" w:rsidRDefault="00AD0B45" w:rsidP="009642C8">
            <w:pPr>
              <w:spacing w:after="0" w:line="360" w:lineRule="auto"/>
              <w:jc w:val="right"/>
              <w:rPr>
                <w:rFonts w:eastAsia="Times New Roman" w:cs="Times New Roman"/>
                <w:b/>
                <w:bCs/>
                <w:color w:val="FFFFFF"/>
                <w:kern w:val="0"/>
                <w:sz w:val="22"/>
                <w:lang w:eastAsia="en-IN"/>
                <w14:ligatures w14:val="none"/>
              </w:rPr>
            </w:pPr>
            <w:r w:rsidRPr="00AD0B45">
              <w:rPr>
                <w:rFonts w:eastAsia="Times New Roman" w:cs="Times New Roman"/>
                <w:b/>
                <w:bCs/>
                <w:color w:val="FFFFFF"/>
                <w:kern w:val="0"/>
                <w:sz w:val="22"/>
                <w:lang w:eastAsia="en-IN"/>
                <w14:ligatures w14:val="none"/>
              </w:rPr>
              <w:t>2024</w:t>
            </w:r>
          </w:p>
        </w:tc>
        <w:tc>
          <w:tcPr>
            <w:tcW w:w="1321" w:type="dxa"/>
            <w:shd w:val="clear" w:color="auto" w:fill="808080" w:themeFill="background1" w:themeFillShade="80"/>
            <w:noWrap/>
            <w:vAlign w:val="bottom"/>
            <w:hideMark/>
          </w:tcPr>
          <w:p w14:paraId="21E85875" w14:textId="77777777" w:rsidR="00AD0B45" w:rsidRPr="00AD0B45" w:rsidRDefault="00AD0B45" w:rsidP="009642C8">
            <w:pPr>
              <w:spacing w:after="0" w:line="360" w:lineRule="auto"/>
              <w:jc w:val="right"/>
              <w:rPr>
                <w:rFonts w:eastAsia="Times New Roman" w:cs="Times New Roman"/>
                <w:b/>
                <w:bCs/>
                <w:color w:val="FFFFFF"/>
                <w:kern w:val="0"/>
                <w:sz w:val="22"/>
                <w:lang w:eastAsia="en-IN"/>
                <w14:ligatures w14:val="none"/>
              </w:rPr>
            </w:pPr>
            <w:r w:rsidRPr="00AD0B45">
              <w:rPr>
                <w:rFonts w:eastAsia="Times New Roman" w:cs="Times New Roman"/>
                <w:b/>
                <w:bCs/>
                <w:color w:val="FFFFFF"/>
                <w:kern w:val="0"/>
                <w:sz w:val="22"/>
                <w:lang w:eastAsia="en-IN"/>
                <w14:ligatures w14:val="none"/>
              </w:rPr>
              <w:t>2025</w:t>
            </w:r>
          </w:p>
        </w:tc>
      </w:tr>
      <w:tr w:rsidR="00AD0B45" w:rsidRPr="00AD0B45" w14:paraId="0E9D11FC" w14:textId="77777777" w:rsidTr="00AD0B45">
        <w:trPr>
          <w:trHeight w:val="280"/>
        </w:trPr>
        <w:tc>
          <w:tcPr>
            <w:tcW w:w="2737" w:type="dxa"/>
            <w:noWrap/>
            <w:vAlign w:val="bottom"/>
            <w:hideMark/>
          </w:tcPr>
          <w:p w14:paraId="42DA88D7" w14:textId="77777777" w:rsidR="00AD0B45" w:rsidRPr="00AD0B45" w:rsidRDefault="00AD0B45" w:rsidP="009642C8">
            <w:pPr>
              <w:spacing w:after="0" w:line="360" w:lineRule="auto"/>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Short-term debt</w:t>
            </w:r>
          </w:p>
        </w:tc>
        <w:tc>
          <w:tcPr>
            <w:tcW w:w="1321" w:type="dxa"/>
            <w:noWrap/>
            <w:vAlign w:val="bottom"/>
            <w:hideMark/>
          </w:tcPr>
          <w:p w14:paraId="54C06F87"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8,218</w:t>
            </w:r>
          </w:p>
        </w:tc>
        <w:tc>
          <w:tcPr>
            <w:tcW w:w="1478" w:type="dxa"/>
            <w:noWrap/>
            <w:vAlign w:val="bottom"/>
            <w:hideMark/>
          </w:tcPr>
          <w:p w14:paraId="75837C8F"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9,001</w:t>
            </w:r>
          </w:p>
        </w:tc>
        <w:tc>
          <w:tcPr>
            <w:tcW w:w="1321" w:type="dxa"/>
            <w:noWrap/>
            <w:vAlign w:val="bottom"/>
            <w:hideMark/>
          </w:tcPr>
          <w:p w14:paraId="504E7714"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9,931</w:t>
            </w:r>
          </w:p>
        </w:tc>
        <w:tc>
          <w:tcPr>
            <w:tcW w:w="1321" w:type="dxa"/>
            <w:noWrap/>
            <w:vAlign w:val="bottom"/>
            <w:hideMark/>
          </w:tcPr>
          <w:p w14:paraId="6D3B214A"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11,630</w:t>
            </w:r>
          </w:p>
        </w:tc>
        <w:tc>
          <w:tcPr>
            <w:tcW w:w="1321" w:type="dxa"/>
            <w:noWrap/>
            <w:vAlign w:val="bottom"/>
            <w:hideMark/>
          </w:tcPr>
          <w:p w14:paraId="10790AB9"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9,128</w:t>
            </w:r>
          </w:p>
        </w:tc>
      </w:tr>
      <w:tr w:rsidR="00AD0B45" w:rsidRPr="00AD0B45" w14:paraId="4991DB1E" w14:textId="77777777" w:rsidTr="00AD0B45">
        <w:trPr>
          <w:trHeight w:val="280"/>
        </w:trPr>
        <w:tc>
          <w:tcPr>
            <w:tcW w:w="2737" w:type="dxa"/>
            <w:noWrap/>
            <w:vAlign w:val="bottom"/>
            <w:hideMark/>
          </w:tcPr>
          <w:p w14:paraId="3AC79B8E" w14:textId="77777777" w:rsidR="00AD0B45" w:rsidRPr="00AD0B45" w:rsidRDefault="00AD0B45" w:rsidP="009642C8">
            <w:pPr>
              <w:spacing w:after="0" w:line="360" w:lineRule="auto"/>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Long-term debt</w:t>
            </w:r>
          </w:p>
        </w:tc>
        <w:tc>
          <w:tcPr>
            <w:tcW w:w="1321" w:type="dxa"/>
            <w:noWrap/>
            <w:vAlign w:val="bottom"/>
            <w:hideMark/>
          </w:tcPr>
          <w:p w14:paraId="16A77A78"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80,868</w:t>
            </w:r>
          </w:p>
        </w:tc>
        <w:tc>
          <w:tcPr>
            <w:tcW w:w="1478" w:type="dxa"/>
            <w:noWrap/>
            <w:vAlign w:val="bottom"/>
            <w:hideMark/>
          </w:tcPr>
          <w:p w14:paraId="321205F1"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74,794</w:t>
            </w:r>
          </w:p>
        </w:tc>
        <w:tc>
          <w:tcPr>
            <w:tcW w:w="1321" w:type="dxa"/>
            <w:noWrap/>
            <w:vAlign w:val="bottom"/>
            <w:hideMark/>
          </w:tcPr>
          <w:p w14:paraId="787AB8CD"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71,610</w:t>
            </w:r>
          </w:p>
        </w:tc>
        <w:tc>
          <w:tcPr>
            <w:tcW w:w="1321" w:type="dxa"/>
            <w:noWrap/>
            <w:vAlign w:val="bottom"/>
            <w:hideMark/>
          </w:tcPr>
          <w:p w14:paraId="171090E7"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65,448</w:t>
            </w:r>
          </w:p>
        </w:tc>
        <w:tc>
          <w:tcPr>
            <w:tcW w:w="1321" w:type="dxa"/>
            <w:noWrap/>
            <w:vAlign w:val="bottom"/>
            <w:hideMark/>
          </w:tcPr>
          <w:p w14:paraId="7193AE47" w14:textId="77777777" w:rsidR="00AD0B45" w:rsidRPr="00AD0B45" w:rsidRDefault="00AD0B45" w:rsidP="009642C8">
            <w:pPr>
              <w:spacing w:after="0" w:line="360" w:lineRule="auto"/>
              <w:jc w:val="right"/>
              <w:rPr>
                <w:rFonts w:eastAsia="Times New Roman" w:cs="Times New Roman"/>
                <w:color w:val="000000"/>
                <w:kern w:val="0"/>
                <w:sz w:val="22"/>
                <w:lang w:eastAsia="en-IN"/>
                <w14:ligatures w14:val="none"/>
              </w:rPr>
            </w:pPr>
            <w:r w:rsidRPr="00AD0B45">
              <w:rPr>
                <w:rFonts w:eastAsia="Times New Roman" w:cs="Times New Roman"/>
                <w:color w:val="000000"/>
                <w:kern w:val="0"/>
                <w:sz w:val="22"/>
                <w:lang w:eastAsia="en-IN"/>
                <w14:ligatures w14:val="none"/>
              </w:rPr>
              <w:t>66,515</w:t>
            </w:r>
          </w:p>
        </w:tc>
      </w:tr>
      <w:tr w:rsidR="00AD0B45" w:rsidRPr="00AD0B45" w14:paraId="2505F117" w14:textId="77777777" w:rsidTr="00AD0B45">
        <w:trPr>
          <w:trHeight w:val="280"/>
        </w:trPr>
        <w:tc>
          <w:tcPr>
            <w:tcW w:w="2737" w:type="dxa"/>
            <w:noWrap/>
            <w:vAlign w:val="bottom"/>
            <w:hideMark/>
          </w:tcPr>
          <w:p w14:paraId="7B8FFB84" w14:textId="77777777" w:rsidR="00AD0B45" w:rsidRPr="00AD0B45" w:rsidRDefault="00AD0B45" w:rsidP="009642C8">
            <w:pPr>
              <w:spacing w:after="0" w:line="360" w:lineRule="auto"/>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Total debt</w:t>
            </w:r>
          </w:p>
        </w:tc>
        <w:tc>
          <w:tcPr>
            <w:tcW w:w="1321" w:type="dxa"/>
            <w:noWrap/>
            <w:vAlign w:val="bottom"/>
            <w:hideMark/>
          </w:tcPr>
          <w:p w14:paraId="5DB0ED30"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89,086</w:t>
            </w:r>
          </w:p>
        </w:tc>
        <w:tc>
          <w:tcPr>
            <w:tcW w:w="1478" w:type="dxa"/>
            <w:noWrap/>
            <w:vAlign w:val="bottom"/>
            <w:hideMark/>
          </w:tcPr>
          <w:p w14:paraId="67883C8D"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83,795</w:t>
            </w:r>
          </w:p>
        </w:tc>
        <w:tc>
          <w:tcPr>
            <w:tcW w:w="1321" w:type="dxa"/>
            <w:noWrap/>
            <w:vAlign w:val="bottom"/>
            <w:hideMark/>
          </w:tcPr>
          <w:p w14:paraId="7087DF90"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81,541</w:t>
            </w:r>
          </w:p>
        </w:tc>
        <w:tc>
          <w:tcPr>
            <w:tcW w:w="1321" w:type="dxa"/>
            <w:noWrap/>
            <w:vAlign w:val="bottom"/>
            <w:hideMark/>
          </w:tcPr>
          <w:p w14:paraId="27987832"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77,078</w:t>
            </w:r>
          </w:p>
        </w:tc>
        <w:tc>
          <w:tcPr>
            <w:tcW w:w="1321" w:type="dxa"/>
            <w:noWrap/>
            <w:vAlign w:val="bottom"/>
            <w:hideMark/>
          </w:tcPr>
          <w:p w14:paraId="1F47EAC3"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75,643</w:t>
            </w:r>
          </w:p>
        </w:tc>
      </w:tr>
      <w:tr w:rsidR="00AD0B45" w:rsidRPr="00AD0B45" w14:paraId="3FFD65F2" w14:textId="77777777" w:rsidTr="00AD0B45">
        <w:trPr>
          <w:trHeight w:val="280"/>
        </w:trPr>
        <w:tc>
          <w:tcPr>
            <w:tcW w:w="2737" w:type="dxa"/>
            <w:noWrap/>
            <w:vAlign w:val="bottom"/>
            <w:hideMark/>
          </w:tcPr>
          <w:p w14:paraId="6FFEC64F" w14:textId="21B26E15" w:rsidR="00AD0B45" w:rsidRPr="00AD0B45" w:rsidRDefault="00AD0B45" w:rsidP="009642C8">
            <w:pPr>
              <w:spacing w:after="0" w:line="360" w:lineRule="auto"/>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Short-term debt %</w:t>
            </w:r>
          </w:p>
        </w:tc>
        <w:tc>
          <w:tcPr>
            <w:tcW w:w="1321" w:type="dxa"/>
            <w:noWrap/>
            <w:vAlign w:val="bottom"/>
            <w:hideMark/>
          </w:tcPr>
          <w:p w14:paraId="1C0AC56E"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9.2%</w:t>
            </w:r>
          </w:p>
        </w:tc>
        <w:tc>
          <w:tcPr>
            <w:tcW w:w="1478" w:type="dxa"/>
            <w:noWrap/>
            <w:vAlign w:val="bottom"/>
            <w:hideMark/>
          </w:tcPr>
          <w:p w14:paraId="6444C2D5"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10.7%</w:t>
            </w:r>
          </w:p>
        </w:tc>
        <w:tc>
          <w:tcPr>
            <w:tcW w:w="1321" w:type="dxa"/>
            <w:noWrap/>
            <w:vAlign w:val="bottom"/>
            <w:hideMark/>
          </w:tcPr>
          <w:p w14:paraId="3CF35639"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12.2%</w:t>
            </w:r>
          </w:p>
        </w:tc>
        <w:tc>
          <w:tcPr>
            <w:tcW w:w="1321" w:type="dxa"/>
            <w:noWrap/>
            <w:vAlign w:val="bottom"/>
            <w:hideMark/>
          </w:tcPr>
          <w:p w14:paraId="5E3F9150"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15.1%</w:t>
            </w:r>
          </w:p>
        </w:tc>
        <w:tc>
          <w:tcPr>
            <w:tcW w:w="1321" w:type="dxa"/>
            <w:noWrap/>
            <w:vAlign w:val="bottom"/>
            <w:hideMark/>
          </w:tcPr>
          <w:p w14:paraId="47B68447"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12.1%</w:t>
            </w:r>
          </w:p>
        </w:tc>
      </w:tr>
      <w:tr w:rsidR="00AD0B45" w:rsidRPr="00AD0B45" w14:paraId="5F2B5C44" w14:textId="77777777" w:rsidTr="00AD0B45">
        <w:trPr>
          <w:trHeight w:val="280"/>
        </w:trPr>
        <w:tc>
          <w:tcPr>
            <w:tcW w:w="2737" w:type="dxa"/>
            <w:noWrap/>
            <w:vAlign w:val="bottom"/>
            <w:hideMark/>
          </w:tcPr>
          <w:p w14:paraId="773CB9B2" w14:textId="02C03699" w:rsidR="00AD0B45" w:rsidRPr="00AD0B45" w:rsidRDefault="00AD0B45" w:rsidP="009642C8">
            <w:pPr>
              <w:spacing w:after="0" w:line="360" w:lineRule="auto"/>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 xml:space="preserve">Long-term debt % </w:t>
            </w:r>
          </w:p>
        </w:tc>
        <w:tc>
          <w:tcPr>
            <w:tcW w:w="1321" w:type="dxa"/>
            <w:noWrap/>
            <w:vAlign w:val="bottom"/>
            <w:hideMark/>
          </w:tcPr>
          <w:p w14:paraId="6FACD820"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90.8%</w:t>
            </w:r>
          </w:p>
        </w:tc>
        <w:tc>
          <w:tcPr>
            <w:tcW w:w="1478" w:type="dxa"/>
            <w:noWrap/>
            <w:vAlign w:val="bottom"/>
            <w:hideMark/>
          </w:tcPr>
          <w:p w14:paraId="54EC2435"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89.3%</w:t>
            </w:r>
          </w:p>
        </w:tc>
        <w:tc>
          <w:tcPr>
            <w:tcW w:w="1321" w:type="dxa"/>
            <w:noWrap/>
            <w:vAlign w:val="bottom"/>
            <w:hideMark/>
          </w:tcPr>
          <w:p w14:paraId="0235E458"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87.8%</w:t>
            </w:r>
          </w:p>
        </w:tc>
        <w:tc>
          <w:tcPr>
            <w:tcW w:w="1321" w:type="dxa"/>
            <w:noWrap/>
            <w:vAlign w:val="bottom"/>
            <w:hideMark/>
          </w:tcPr>
          <w:p w14:paraId="6885A456"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84.9%</w:t>
            </w:r>
          </w:p>
        </w:tc>
        <w:tc>
          <w:tcPr>
            <w:tcW w:w="1321" w:type="dxa"/>
            <w:noWrap/>
            <w:vAlign w:val="bottom"/>
            <w:hideMark/>
          </w:tcPr>
          <w:p w14:paraId="69FE6310" w14:textId="77777777" w:rsidR="00AD0B45" w:rsidRPr="00AD0B45" w:rsidRDefault="00AD0B45" w:rsidP="009642C8">
            <w:pPr>
              <w:spacing w:after="0" w:line="360" w:lineRule="auto"/>
              <w:jc w:val="right"/>
              <w:rPr>
                <w:rFonts w:eastAsia="Times New Roman" w:cs="Times New Roman"/>
                <w:b/>
                <w:bCs/>
                <w:color w:val="000000"/>
                <w:kern w:val="0"/>
                <w:sz w:val="22"/>
                <w:lang w:eastAsia="en-IN"/>
                <w14:ligatures w14:val="none"/>
              </w:rPr>
            </w:pPr>
            <w:r w:rsidRPr="00AD0B45">
              <w:rPr>
                <w:rFonts w:eastAsia="Times New Roman" w:cs="Times New Roman"/>
                <w:b/>
                <w:bCs/>
                <w:color w:val="000000"/>
                <w:kern w:val="0"/>
                <w:sz w:val="22"/>
                <w:lang w:eastAsia="en-IN"/>
                <w14:ligatures w14:val="none"/>
              </w:rPr>
              <w:t>87.9%</w:t>
            </w:r>
          </w:p>
        </w:tc>
      </w:tr>
    </w:tbl>
    <w:p w14:paraId="58AB0FBF" w14:textId="77777777" w:rsidR="009C3033" w:rsidRPr="009C3033" w:rsidRDefault="009C3033" w:rsidP="009642C8">
      <w:pPr>
        <w:spacing w:line="360" w:lineRule="auto"/>
        <w:rPr>
          <w:rFonts w:cs="Times New Roman"/>
          <w:szCs w:val="24"/>
        </w:rPr>
      </w:pPr>
    </w:p>
    <w:p w14:paraId="00BEEC98" w14:textId="659714DE" w:rsidR="00523985" w:rsidRDefault="00AB3AF2" w:rsidP="009642C8">
      <w:pPr>
        <w:spacing w:line="360" w:lineRule="auto"/>
        <w:rPr>
          <w:rFonts w:cs="Times New Roman"/>
          <w:szCs w:val="24"/>
        </w:rPr>
      </w:pPr>
      <w:r w:rsidRPr="00DD7F81">
        <w:rPr>
          <w:rFonts w:cs="Times New Roman"/>
          <w:b/>
          <w:bCs/>
          <w:szCs w:val="24"/>
        </w:rPr>
        <w:t>Short-term debt</w:t>
      </w:r>
      <w:r>
        <w:rPr>
          <w:rFonts w:cs="Times New Roman"/>
          <w:szCs w:val="24"/>
        </w:rPr>
        <w:t xml:space="preserve"> provides flexibility to the business </w:t>
      </w:r>
      <w:r w:rsidR="005F14F0">
        <w:rPr>
          <w:rFonts w:cs="Times New Roman"/>
          <w:szCs w:val="24"/>
        </w:rPr>
        <w:t xml:space="preserve">to meet temporary cash shortages and seasonal working capital needs. It also has </w:t>
      </w:r>
      <w:r w:rsidR="005F14F0" w:rsidRPr="005F14F0">
        <w:rPr>
          <w:rFonts w:cs="Times New Roman"/>
          <w:szCs w:val="24"/>
        </w:rPr>
        <w:t>lower initial borrowing costs</w:t>
      </w:r>
      <w:r w:rsidR="004579E5">
        <w:rPr>
          <w:rFonts w:cs="Times New Roman"/>
          <w:szCs w:val="24"/>
        </w:rPr>
        <w:t xml:space="preserve"> but comes with refinancing risk as repayments are required to be made relatively quicker</w:t>
      </w:r>
      <w:r w:rsidR="00294F76">
        <w:rPr>
          <w:rFonts w:cs="Times New Roman"/>
          <w:szCs w:val="24"/>
        </w:rPr>
        <w:t xml:space="preserve"> and borrowing costs could increase if facilities are renewed. </w:t>
      </w:r>
    </w:p>
    <w:p w14:paraId="0F5AA8B2" w14:textId="6EB2604F" w:rsidR="00294F76" w:rsidRDefault="00294F76" w:rsidP="009642C8">
      <w:pPr>
        <w:spacing w:line="360" w:lineRule="auto"/>
        <w:rPr>
          <w:rFonts w:cs="Times New Roman"/>
          <w:szCs w:val="24"/>
        </w:rPr>
      </w:pPr>
      <w:r>
        <w:rPr>
          <w:rFonts w:cs="Times New Roman"/>
          <w:szCs w:val="24"/>
        </w:rPr>
        <w:t xml:space="preserve">Considering company’s </w:t>
      </w:r>
      <w:r w:rsidR="00E10FE8">
        <w:rPr>
          <w:rFonts w:cs="Times New Roman"/>
          <w:szCs w:val="24"/>
        </w:rPr>
        <w:t xml:space="preserve">increasing cash operating cycle from 2022, its excessive reliance on </w:t>
      </w:r>
      <w:r w:rsidR="00E10FE8" w:rsidRPr="00E10FE8">
        <w:rPr>
          <w:rFonts w:cs="Times New Roman"/>
          <w:szCs w:val="24"/>
        </w:rPr>
        <w:t>short-term borrowing</w:t>
      </w:r>
      <w:r w:rsidR="00E10FE8">
        <w:rPr>
          <w:rFonts w:cs="Times New Roman"/>
          <w:szCs w:val="24"/>
        </w:rPr>
        <w:t xml:space="preserve">s </w:t>
      </w:r>
      <w:r w:rsidR="008C2C52">
        <w:rPr>
          <w:rFonts w:cs="Times New Roman"/>
          <w:szCs w:val="24"/>
        </w:rPr>
        <w:t>could expose the company to liquidity pressures.</w:t>
      </w:r>
    </w:p>
    <w:p w14:paraId="5D59B413" w14:textId="6738D2C3" w:rsidR="008C2C52" w:rsidRDefault="008C2C52" w:rsidP="009642C8">
      <w:pPr>
        <w:spacing w:line="360" w:lineRule="auto"/>
        <w:rPr>
          <w:rFonts w:cs="Times New Roman"/>
          <w:szCs w:val="24"/>
        </w:rPr>
      </w:pPr>
      <w:r>
        <w:rPr>
          <w:rFonts w:cs="Times New Roman"/>
          <w:szCs w:val="24"/>
        </w:rPr>
        <w:t xml:space="preserve">On the other hand, </w:t>
      </w:r>
      <w:r w:rsidRPr="00DD7F81">
        <w:rPr>
          <w:rFonts w:cs="Times New Roman"/>
          <w:b/>
          <w:bCs/>
          <w:szCs w:val="24"/>
        </w:rPr>
        <w:t>long term debt</w:t>
      </w:r>
      <w:r>
        <w:rPr>
          <w:rFonts w:cs="Times New Roman"/>
          <w:szCs w:val="24"/>
        </w:rPr>
        <w:t xml:space="preserve"> provides more stable funding to the business </w:t>
      </w:r>
      <w:r w:rsidR="00A206C9">
        <w:rPr>
          <w:rFonts w:cs="Times New Roman"/>
          <w:szCs w:val="24"/>
        </w:rPr>
        <w:t xml:space="preserve">and better suited to finance capital-intensive investments including energy projects and infrastructure </w:t>
      </w:r>
      <w:r w:rsidR="00116093">
        <w:rPr>
          <w:rFonts w:cs="Times New Roman"/>
          <w:szCs w:val="24"/>
        </w:rPr>
        <w:t xml:space="preserve">with the extended payback period. However, it has continuous interest obligations </w:t>
      </w:r>
      <w:r w:rsidR="004B7B36">
        <w:rPr>
          <w:rFonts w:cs="Times New Roman"/>
          <w:szCs w:val="24"/>
        </w:rPr>
        <w:t xml:space="preserve">and could restrict financial flexibility in business through </w:t>
      </w:r>
      <w:r w:rsidR="004B7B36" w:rsidRPr="004B7B36">
        <w:rPr>
          <w:rFonts w:cs="Times New Roman"/>
          <w:szCs w:val="24"/>
        </w:rPr>
        <w:t>lending covenants</w:t>
      </w:r>
      <w:r w:rsidR="004B7B36">
        <w:rPr>
          <w:rFonts w:cs="Times New Roman"/>
          <w:szCs w:val="24"/>
        </w:rPr>
        <w:t xml:space="preserve"> and </w:t>
      </w:r>
      <w:r w:rsidR="00F93501" w:rsidRPr="00F93501">
        <w:rPr>
          <w:rFonts w:cs="Times New Roman"/>
          <w:szCs w:val="24"/>
        </w:rPr>
        <w:t>repayment commitments</w:t>
      </w:r>
      <w:r w:rsidR="00F93501">
        <w:rPr>
          <w:rFonts w:cs="Times New Roman"/>
          <w:szCs w:val="24"/>
        </w:rPr>
        <w:t xml:space="preserve">. </w:t>
      </w:r>
    </w:p>
    <w:p w14:paraId="5E667E6B" w14:textId="4B909FAD" w:rsidR="001F031E" w:rsidRDefault="001F031E" w:rsidP="009642C8">
      <w:pPr>
        <w:pStyle w:val="Heading1"/>
        <w:spacing w:line="360" w:lineRule="auto"/>
        <w:rPr>
          <w:rFonts w:ascii="Times New Roman" w:hAnsi="Times New Roman" w:cs="Times New Roman"/>
          <w:sz w:val="24"/>
          <w:szCs w:val="24"/>
        </w:rPr>
      </w:pPr>
      <w:bookmarkStart w:id="13" w:name="_Toc243773393"/>
      <w:r>
        <w:rPr>
          <w:rFonts w:ascii="Times New Roman" w:hAnsi="Times New Roman" w:cs="Times New Roman"/>
          <w:sz w:val="24"/>
          <w:szCs w:val="24"/>
        </w:rPr>
        <w:t>4</w:t>
      </w:r>
      <w:r w:rsidRPr="001D7532">
        <w:rPr>
          <w:rFonts w:ascii="Times New Roman" w:hAnsi="Times New Roman" w:cs="Times New Roman"/>
          <w:sz w:val="24"/>
          <w:szCs w:val="24"/>
        </w:rPr>
        <w:t xml:space="preserve">. </w:t>
      </w:r>
      <w:r>
        <w:rPr>
          <w:rFonts w:ascii="Times New Roman" w:hAnsi="Times New Roman" w:cs="Times New Roman"/>
          <w:sz w:val="24"/>
          <w:szCs w:val="24"/>
        </w:rPr>
        <w:t>Strategic financial restructuring plan</w:t>
      </w:r>
      <w:bookmarkEnd w:id="13"/>
    </w:p>
    <w:p w14:paraId="4CFC7063" w14:textId="37E5E1DA" w:rsidR="00AB5058" w:rsidRPr="00AB5058" w:rsidRDefault="00AB5058" w:rsidP="009642C8">
      <w:pPr>
        <w:spacing w:line="360" w:lineRule="auto"/>
      </w:pPr>
      <w:r>
        <w:t xml:space="preserve">In case of Shell PLC, restructuring is specifically important </w:t>
      </w:r>
      <w:r w:rsidR="009642C8">
        <w:t xml:space="preserve">as the five-year ratio analysis carried out above indicates that cash generation ability and profitability </w:t>
      </w:r>
      <w:r w:rsidR="00016BCC">
        <w:t>have reduced since 2022. ROCE had reduced from 18.5% in 2022</w:t>
      </w:r>
      <w:r w:rsidR="007E7017">
        <w:t xml:space="preserve"> to 10.7% in 2025 while operating cash flow margin have reduced from 18.6% in 2024 to 15.2% in 2025</w:t>
      </w:r>
      <w:r w:rsidR="003E3EB4">
        <w:t xml:space="preserve">. Although, gearing position of company have almost remained stable in 2025, however, the reduction in interest coverage ratio to 8.30 times </w:t>
      </w:r>
      <w:r w:rsidR="009252AD">
        <w:t xml:space="preserve">highlights the necessity to maintain financial flexibility in business. Accordingly, </w:t>
      </w:r>
      <w:r w:rsidR="00D84B10">
        <w:t xml:space="preserve">company should implement a restructuring strategy focussed on </w:t>
      </w:r>
      <w:r w:rsidR="00D84B10" w:rsidRPr="00D84B10">
        <w:t>prudent borrowing</w:t>
      </w:r>
      <w:r w:rsidR="00D84B10">
        <w:t xml:space="preserve">, </w:t>
      </w:r>
      <w:r w:rsidR="00D84B10" w:rsidRPr="00D84B10">
        <w:t>capital efficiency</w:t>
      </w:r>
      <w:r w:rsidR="00D84B10">
        <w:t xml:space="preserve"> and </w:t>
      </w:r>
      <w:r w:rsidR="001818FF" w:rsidRPr="001818FF">
        <w:t>sustainable investment</w:t>
      </w:r>
      <w:r w:rsidR="001818FF">
        <w:t>.</w:t>
      </w:r>
    </w:p>
    <w:p w14:paraId="1D0CBF0B" w14:textId="6A8FABB5" w:rsidR="001F031E" w:rsidRPr="00B57803" w:rsidRDefault="001F031E" w:rsidP="009642C8">
      <w:pPr>
        <w:pStyle w:val="Heading2"/>
        <w:spacing w:line="360" w:lineRule="auto"/>
        <w:rPr>
          <w:rFonts w:ascii="Times New Roman" w:hAnsi="Times New Roman" w:cs="Times New Roman"/>
          <w:sz w:val="24"/>
          <w:szCs w:val="24"/>
        </w:rPr>
      </w:pPr>
      <w:bookmarkStart w:id="14" w:name="_Toc243773394"/>
      <w:r>
        <w:rPr>
          <w:rFonts w:ascii="Times New Roman" w:hAnsi="Times New Roman" w:cs="Times New Roman"/>
          <w:sz w:val="24"/>
          <w:szCs w:val="24"/>
        </w:rPr>
        <w:t>4.1</w:t>
      </w:r>
      <w:r w:rsidRPr="00B57803">
        <w:rPr>
          <w:rFonts w:ascii="Times New Roman" w:hAnsi="Times New Roman" w:cs="Times New Roman"/>
          <w:sz w:val="24"/>
          <w:szCs w:val="24"/>
        </w:rPr>
        <w:t xml:space="preserve"> </w:t>
      </w:r>
      <w:r w:rsidR="00564F38">
        <w:rPr>
          <w:rFonts w:ascii="Times New Roman" w:hAnsi="Times New Roman" w:cs="Times New Roman"/>
          <w:sz w:val="24"/>
          <w:szCs w:val="24"/>
        </w:rPr>
        <w:t>Available financial restructuring options</w:t>
      </w:r>
      <w:bookmarkEnd w:id="14"/>
    </w:p>
    <w:p w14:paraId="0D09B941" w14:textId="01D129DC" w:rsidR="001F031E" w:rsidRPr="001818FF" w:rsidRDefault="001F031E" w:rsidP="009642C8">
      <w:pPr>
        <w:spacing w:line="360" w:lineRule="auto"/>
        <w:rPr>
          <w:rFonts w:cs="Times New Roman"/>
          <w:b/>
          <w:bCs/>
          <w:szCs w:val="24"/>
          <w:u w:val="single"/>
        </w:rPr>
      </w:pPr>
      <w:r>
        <w:rPr>
          <w:rFonts w:cs="Times New Roman"/>
          <w:szCs w:val="24"/>
        </w:rPr>
        <w:t xml:space="preserve"> </w:t>
      </w:r>
      <w:r w:rsidR="001818FF" w:rsidRPr="001818FF">
        <w:rPr>
          <w:rFonts w:cs="Times New Roman"/>
          <w:b/>
          <w:bCs/>
          <w:szCs w:val="24"/>
          <w:u w:val="single"/>
        </w:rPr>
        <w:t>a) Portfolio optimization and strategic divestiture</w:t>
      </w:r>
    </w:p>
    <w:p w14:paraId="61A05194" w14:textId="720EE44A" w:rsidR="001F031E" w:rsidRDefault="00BE41CD" w:rsidP="009642C8">
      <w:pPr>
        <w:spacing w:line="360" w:lineRule="auto"/>
        <w:rPr>
          <w:rFonts w:cs="Times New Roman"/>
          <w:szCs w:val="24"/>
        </w:rPr>
      </w:pPr>
      <w:r>
        <w:rPr>
          <w:rFonts w:cs="Times New Roman"/>
          <w:szCs w:val="24"/>
        </w:rPr>
        <w:t xml:space="preserve">Company should review its portfolio of assets and consider </w:t>
      </w:r>
      <w:r w:rsidRPr="00DD7F81">
        <w:rPr>
          <w:rFonts w:cs="Times New Roman"/>
          <w:b/>
          <w:bCs/>
          <w:szCs w:val="24"/>
        </w:rPr>
        <w:t xml:space="preserve">divesting underperforming, non-core or capital-intensive assets </w:t>
      </w:r>
      <w:r w:rsidR="000100E8" w:rsidRPr="00DD7F81">
        <w:rPr>
          <w:rFonts w:cs="Times New Roman"/>
          <w:b/>
          <w:bCs/>
          <w:szCs w:val="24"/>
        </w:rPr>
        <w:t>which no longer meet its strategic return requirements.</w:t>
      </w:r>
      <w:r w:rsidR="000100E8">
        <w:rPr>
          <w:rFonts w:cs="Times New Roman"/>
          <w:szCs w:val="24"/>
        </w:rPr>
        <w:t xml:space="preserve"> However, any divesture plan implemented by company should follow </w:t>
      </w:r>
      <w:r w:rsidR="00C32FF2" w:rsidRPr="00C32FF2">
        <w:rPr>
          <w:rFonts w:cs="Times New Roman"/>
          <w:szCs w:val="24"/>
        </w:rPr>
        <w:t>environmental</w:t>
      </w:r>
      <w:r w:rsidR="00C32FF2">
        <w:rPr>
          <w:rFonts w:cs="Times New Roman"/>
          <w:szCs w:val="24"/>
        </w:rPr>
        <w:t xml:space="preserve"> and financial due diligence instead of being solely focussed on </w:t>
      </w:r>
      <w:r w:rsidR="00C32FF2" w:rsidRPr="00C32FF2">
        <w:rPr>
          <w:rFonts w:cs="Times New Roman"/>
          <w:szCs w:val="24"/>
        </w:rPr>
        <w:t>short-term profitability</w:t>
      </w:r>
      <w:r w:rsidR="00C32FF2">
        <w:rPr>
          <w:rFonts w:cs="Times New Roman"/>
          <w:szCs w:val="24"/>
        </w:rPr>
        <w:t xml:space="preserve">. </w:t>
      </w:r>
    </w:p>
    <w:p w14:paraId="117ACA3F" w14:textId="1E0A1E33" w:rsidR="008F4F4C" w:rsidRDefault="008F4F4C" w:rsidP="009642C8">
      <w:pPr>
        <w:spacing w:line="360" w:lineRule="auto"/>
        <w:rPr>
          <w:rFonts w:cs="Times New Roman"/>
          <w:szCs w:val="24"/>
        </w:rPr>
      </w:pPr>
      <w:r>
        <w:rPr>
          <w:rFonts w:cs="Times New Roman"/>
          <w:szCs w:val="24"/>
        </w:rPr>
        <w:t xml:space="preserve">It will help in releasing the capital which can then be redirected towards </w:t>
      </w:r>
      <w:r w:rsidRPr="008F4F4C">
        <w:rPr>
          <w:rFonts w:cs="Times New Roman"/>
          <w:szCs w:val="24"/>
        </w:rPr>
        <w:t>higher-return projects</w:t>
      </w:r>
      <w:r>
        <w:rPr>
          <w:rFonts w:cs="Times New Roman"/>
          <w:szCs w:val="24"/>
        </w:rPr>
        <w:t xml:space="preserve">, </w:t>
      </w:r>
      <w:r w:rsidRPr="008F4F4C">
        <w:rPr>
          <w:rFonts w:cs="Times New Roman"/>
          <w:szCs w:val="24"/>
        </w:rPr>
        <w:t>debt reduction</w:t>
      </w:r>
      <w:r>
        <w:rPr>
          <w:rFonts w:cs="Times New Roman"/>
          <w:szCs w:val="24"/>
        </w:rPr>
        <w:t xml:space="preserve"> and </w:t>
      </w:r>
      <w:r w:rsidR="0020409E" w:rsidRPr="0020409E">
        <w:rPr>
          <w:rFonts w:cs="Times New Roman"/>
          <w:szCs w:val="24"/>
        </w:rPr>
        <w:t>operational improvements</w:t>
      </w:r>
      <w:r w:rsidR="0020409E">
        <w:rPr>
          <w:rFonts w:cs="Times New Roman"/>
          <w:szCs w:val="24"/>
        </w:rPr>
        <w:t>. It will also improve the liquidity position in the business and reduce reliance on additional borrowings. Considering the decline in return on capital employed from 18.4% to 10.7%</w:t>
      </w:r>
      <w:r w:rsidR="00C41B07">
        <w:rPr>
          <w:rFonts w:cs="Times New Roman"/>
          <w:szCs w:val="24"/>
        </w:rPr>
        <w:t xml:space="preserve">, </w:t>
      </w:r>
      <w:r w:rsidR="00C41B07" w:rsidRPr="00D16AD8">
        <w:rPr>
          <w:rFonts w:cs="Times New Roman"/>
          <w:b/>
          <w:bCs/>
          <w:szCs w:val="24"/>
        </w:rPr>
        <w:t>prioritizing assets which are able to generate higher risk-adjusted returns can improve the overall capital efficiency</w:t>
      </w:r>
      <w:r w:rsidR="00C41B07">
        <w:rPr>
          <w:rFonts w:cs="Times New Roman"/>
          <w:szCs w:val="24"/>
        </w:rPr>
        <w:t>.</w:t>
      </w:r>
    </w:p>
    <w:p w14:paraId="666B6C95" w14:textId="3D1D79FF" w:rsidR="00FB5178" w:rsidRDefault="00FB5178" w:rsidP="009642C8">
      <w:pPr>
        <w:spacing w:line="360" w:lineRule="auto"/>
        <w:rPr>
          <w:rFonts w:cs="Times New Roman"/>
          <w:b/>
          <w:bCs/>
          <w:szCs w:val="24"/>
          <w:u w:val="single"/>
        </w:rPr>
      </w:pPr>
      <w:r>
        <w:rPr>
          <w:rFonts w:cs="Times New Roman"/>
          <w:b/>
          <w:bCs/>
          <w:szCs w:val="24"/>
          <w:u w:val="single"/>
        </w:rPr>
        <w:t>b) Liability management and debt restructuring</w:t>
      </w:r>
    </w:p>
    <w:p w14:paraId="1431E5C4" w14:textId="121DFA65" w:rsidR="00FB5178" w:rsidRDefault="009E5F8B" w:rsidP="009642C8">
      <w:pPr>
        <w:spacing w:line="360" w:lineRule="auto"/>
        <w:rPr>
          <w:rFonts w:cs="Times New Roman"/>
          <w:szCs w:val="24"/>
        </w:rPr>
      </w:pPr>
      <w:r>
        <w:rPr>
          <w:rFonts w:cs="Times New Roman"/>
          <w:szCs w:val="24"/>
        </w:rPr>
        <w:t xml:space="preserve">Company should </w:t>
      </w:r>
      <w:r w:rsidRPr="00D16AD8">
        <w:rPr>
          <w:rFonts w:cs="Times New Roman"/>
          <w:b/>
          <w:bCs/>
          <w:szCs w:val="24"/>
        </w:rPr>
        <w:t xml:space="preserve">maintain its current position of pre-dominant long-term financing </w:t>
      </w:r>
      <w:r w:rsidR="00217DB9" w:rsidRPr="00D16AD8">
        <w:rPr>
          <w:rFonts w:cs="Times New Roman"/>
          <w:b/>
          <w:bCs/>
          <w:szCs w:val="24"/>
        </w:rPr>
        <w:t>while reviewing its current borrowing costs, refinancing requirements and repayment schedules</w:t>
      </w:r>
      <w:r w:rsidR="00217DB9">
        <w:rPr>
          <w:rFonts w:cs="Times New Roman"/>
          <w:szCs w:val="24"/>
        </w:rPr>
        <w:t>.</w:t>
      </w:r>
      <w:r w:rsidR="004B6FFD">
        <w:rPr>
          <w:rFonts w:cs="Times New Roman"/>
          <w:szCs w:val="24"/>
        </w:rPr>
        <w:t xml:space="preserve"> Total debt of the company reduced from $89,086 in the year 2021 to $75,643 in the year 2025</w:t>
      </w:r>
      <w:r w:rsidR="004425D6">
        <w:rPr>
          <w:rFonts w:cs="Times New Roman"/>
          <w:szCs w:val="24"/>
        </w:rPr>
        <w:t xml:space="preserve"> while the long-term debt accounted for 87.9% of total debt in business. It shows that company has reduced overall borrowings </w:t>
      </w:r>
      <w:r w:rsidR="00C65B12">
        <w:rPr>
          <w:rFonts w:cs="Times New Roman"/>
          <w:szCs w:val="24"/>
        </w:rPr>
        <w:t>while also retaining a stable source of long-term finance</w:t>
      </w:r>
      <w:r w:rsidR="00EF39ED">
        <w:rPr>
          <w:rFonts w:cs="Times New Roman"/>
          <w:szCs w:val="24"/>
        </w:rPr>
        <w:t xml:space="preserve"> (</w:t>
      </w:r>
      <w:r w:rsidR="00EF39ED" w:rsidRPr="00406494">
        <w:t>Rao</w:t>
      </w:r>
      <w:r w:rsidR="00EF39ED">
        <w:t xml:space="preserve"> &amp; </w:t>
      </w:r>
      <w:r w:rsidR="00EF39ED" w:rsidRPr="00406494">
        <w:t>Ranjitha</w:t>
      </w:r>
      <w:r w:rsidR="00EF39ED">
        <w:t>, 2026)</w:t>
      </w:r>
      <w:r w:rsidR="00C65B12">
        <w:rPr>
          <w:rFonts w:cs="Times New Roman"/>
          <w:szCs w:val="24"/>
        </w:rPr>
        <w:t xml:space="preserve">. </w:t>
      </w:r>
    </w:p>
    <w:p w14:paraId="79D50CFC" w14:textId="3F224675" w:rsidR="00C65B12" w:rsidRDefault="00C65B12" w:rsidP="009642C8">
      <w:pPr>
        <w:spacing w:line="360" w:lineRule="auto"/>
        <w:rPr>
          <w:rFonts w:cs="Times New Roman"/>
          <w:szCs w:val="24"/>
        </w:rPr>
      </w:pPr>
      <w:r>
        <w:rPr>
          <w:rFonts w:cs="Times New Roman"/>
          <w:szCs w:val="24"/>
        </w:rPr>
        <w:t xml:space="preserve">Therefore, management should continue to </w:t>
      </w:r>
      <w:r w:rsidR="009950C4" w:rsidRPr="009950C4">
        <w:rPr>
          <w:rFonts w:cs="Times New Roman"/>
          <w:szCs w:val="24"/>
        </w:rPr>
        <w:t>prioritise</w:t>
      </w:r>
      <w:r w:rsidR="009950C4">
        <w:rPr>
          <w:rFonts w:cs="Times New Roman"/>
          <w:szCs w:val="24"/>
        </w:rPr>
        <w:t xml:space="preserve"> debt payment where the effective cost of borrowing is higher than </w:t>
      </w:r>
      <w:r w:rsidR="009950C4" w:rsidRPr="009950C4">
        <w:rPr>
          <w:rFonts w:cs="Times New Roman"/>
          <w:szCs w:val="24"/>
        </w:rPr>
        <w:t>expected risk-adjusted return</w:t>
      </w:r>
      <w:r w:rsidR="009950C4">
        <w:rPr>
          <w:rFonts w:cs="Times New Roman"/>
          <w:szCs w:val="24"/>
        </w:rPr>
        <w:t xml:space="preserve">. </w:t>
      </w:r>
      <w:r w:rsidR="009950C4" w:rsidRPr="00D16AD8">
        <w:rPr>
          <w:rFonts w:cs="Times New Roman"/>
          <w:b/>
          <w:bCs/>
          <w:szCs w:val="24"/>
        </w:rPr>
        <w:t xml:space="preserve">Staggering </w:t>
      </w:r>
      <w:r w:rsidR="008E72C9" w:rsidRPr="00D16AD8">
        <w:rPr>
          <w:rFonts w:cs="Times New Roman"/>
          <w:b/>
          <w:bCs/>
          <w:szCs w:val="24"/>
        </w:rPr>
        <w:t xml:space="preserve">maturities, refinancing expensive debt and maintaining committed credit facilities could help in reducing refinancing risk </w:t>
      </w:r>
      <w:r w:rsidR="000D3829" w:rsidRPr="00D16AD8">
        <w:rPr>
          <w:rFonts w:cs="Times New Roman"/>
          <w:b/>
          <w:bCs/>
          <w:szCs w:val="24"/>
        </w:rPr>
        <w:t>and protect liquidity position at the times of volatile energy prices</w:t>
      </w:r>
      <w:r w:rsidR="000D3829">
        <w:rPr>
          <w:rFonts w:cs="Times New Roman"/>
          <w:szCs w:val="24"/>
        </w:rPr>
        <w:t xml:space="preserve">. </w:t>
      </w:r>
    </w:p>
    <w:p w14:paraId="6DBC49B1" w14:textId="6CE617B5" w:rsidR="00522E8A" w:rsidRDefault="00522E8A" w:rsidP="009642C8">
      <w:pPr>
        <w:spacing w:line="360" w:lineRule="auto"/>
        <w:rPr>
          <w:rFonts w:cs="Times New Roman"/>
          <w:szCs w:val="24"/>
        </w:rPr>
      </w:pPr>
      <w:r>
        <w:rPr>
          <w:rFonts w:cs="Times New Roman"/>
          <w:szCs w:val="24"/>
        </w:rPr>
        <w:t xml:space="preserve">It is to be noted that excessive debt repayment </w:t>
      </w:r>
      <w:r w:rsidR="0086101E">
        <w:rPr>
          <w:rFonts w:cs="Times New Roman"/>
          <w:szCs w:val="24"/>
        </w:rPr>
        <w:t xml:space="preserve">could restrict funds available in the business for </w:t>
      </w:r>
      <w:r w:rsidR="0086101E" w:rsidRPr="0086101E">
        <w:rPr>
          <w:rFonts w:cs="Times New Roman"/>
          <w:szCs w:val="24"/>
        </w:rPr>
        <w:t>strategically important investments</w:t>
      </w:r>
      <w:r w:rsidR="0086101E">
        <w:rPr>
          <w:rFonts w:cs="Times New Roman"/>
          <w:szCs w:val="24"/>
        </w:rPr>
        <w:t xml:space="preserve">. Therefore, company should establish a </w:t>
      </w:r>
      <w:r w:rsidR="00133B6F" w:rsidRPr="00133B6F">
        <w:rPr>
          <w:rFonts w:cs="Times New Roman"/>
          <w:szCs w:val="24"/>
        </w:rPr>
        <w:t>minimum liquidity reserve</w:t>
      </w:r>
      <w:r w:rsidR="00133B6F">
        <w:rPr>
          <w:rFonts w:cs="Times New Roman"/>
          <w:szCs w:val="24"/>
        </w:rPr>
        <w:t xml:space="preserve"> and evaluate reduction of debt alongside </w:t>
      </w:r>
      <w:r w:rsidR="000A6F73" w:rsidRPr="000A6F73">
        <w:rPr>
          <w:rFonts w:cs="Times New Roman"/>
          <w:szCs w:val="24"/>
        </w:rPr>
        <w:t>dividend commitments</w:t>
      </w:r>
      <w:r w:rsidR="000A6F73">
        <w:rPr>
          <w:rFonts w:cs="Times New Roman"/>
          <w:szCs w:val="24"/>
        </w:rPr>
        <w:t xml:space="preserve">, </w:t>
      </w:r>
      <w:r w:rsidR="000A6F73" w:rsidRPr="000A6F73">
        <w:rPr>
          <w:rFonts w:cs="Times New Roman"/>
          <w:szCs w:val="24"/>
        </w:rPr>
        <w:t>capital expenditure</w:t>
      </w:r>
      <w:r w:rsidR="000A6F73">
        <w:rPr>
          <w:rFonts w:cs="Times New Roman"/>
          <w:szCs w:val="24"/>
        </w:rPr>
        <w:t xml:space="preserve"> and </w:t>
      </w:r>
      <w:r w:rsidR="000A6F73" w:rsidRPr="000A6F73">
        <w:rPr>
          <w:rFonts w:cs="Times New Roman"/>
          <w:szCs w:val="24"/>
        </w:rPr>
        <w:t>investment opportunities</w:t>
      </w:r>
      <w:r w:rsidR="00EF39ED">
        <w:rPr>
          <w:rFonts w:cs="Times New Roman"/>
          <w:szCs w:val="24"/>
        </w:rPr>
        <w:t xml:space="preserve"> (</w:t>
      </w:r>
      <w:r w:rsidR="00EF39ED" w:rsidRPr="003258CD">
        <w:t>Silva</w:t>
      </w:r>
      <w:r w:rsidR="00EF39ED">
        <w:t>, 2025)</w:t>
      </w:r>
      <w:r w:rsidR="000A6F73">
        <w:rPr>
          <w:rFonts w:cs="Times New Roman"/>
          <w:szCs w:val="24"/>
        </w:rPr>
        <w:t xml:space="preserve">. </w:t>
      </w:r>
    </w:p>
    <w:p w14:paraId="585E5148" w14:textId="6031E7E8" w:rsidR="000A6F73" w:rsidRDefault="000A6F73" w:rsidP="009642C8">
      <w:pPr>
        <w:spacing w:line="360" w:lineRule="auto"/>
        <w:rPr>
          <w:rFonts w:cs="Times New Roman"/>
          <w:b/>
          <w:bCs/>
          <w:szCs w:val="24"/>
          <w:u w:val="single"/>
        </w:rPr>
      </w:pPr>
      <w:r>
        <w:rPr>
          <w:rFonts w:cs="Times New Roman"/>
          <w:b/>
          <w:bCs/>
          <w:szCs w:val="24"/>
          <w:u w:val="single"/>
        </w:rPr>
        <w:t>c) Equity financing and selective investments</w:t>
      </w:r>
    </w:p>
    <w:p w14:paraId="456B71D9" w14:textId="56B6E1EF" w:rsidR="000A6F73" w:rsidRDefault="00573A91" w:rsidP="009642C8">
      <w:pPr>
        <w:spacing w:line="360" w:lineRule="auto"/>
        <w:rPr>
          <w:rFonts w:cs="Times New Roman"/>
          <w:szCs w:val="24"/>
        </w:rPr>
      </w:pPr>
      <w:r>
        <w:rPr>
          <w:rFonts w:cs="Times New Roman"/>
          <w:szCs w:val="24"/>
        </w:rPr>
        <w:t xml:space="preserve">Company should apply stricter investment criteria to new projects by prioritizing initiatives </w:t>
      </w:r>
      <w:r w:rsidR="00DD7060">
        <w:rPr>
          <w:rFonts w:cs="Times New Roman"/>
          <w:szCs w:val="24"/>
        </w:rPr>
        <w:t xml:space="preserve">which are capable of providing </w:t>
      </w:r>
      <w:r w:rsidR="00DD7060" w:rsidRPr="00DD7060">
        <w:rPr>
          <w:rFonts w:cs="Times New Roman"/>
          <w:szCs w:val="24"/>
        </w:rPr>
        <w:t>credible cash flow forecasts</w:t>
      </w:r>
      <w:r w:rsidR="00DD7060">
        <w:rPr>
          <w:rFonts w:cs="Times New Roman"/>
          <w:szCs w:val="24"/>
        </w:rPr>
        <w:t xml:space="preserve">, </w:t>
      </w:r>
      <w:r w:rsidR="00DD7060" w:rsidRPr="00DD7060">
        <w:rPr>
          <w:rFonts w:cs="Times New Roman"/>
          <w:szCs w:val="24"/>
        </w:rPr>
        <w:t>positive net present value</w:t>
      </w:r>
      <w:r w:rsidR="00DD7060">
        <w:rPr>
          <w:rFonts w:cs="Times New Roman"/>
          <w:szCs w:val="24"/>
        </w:rPr>
        <w:t xml:space="preserve"> and </w:t>
      </w:r>
      <w:r w:rsidR="005C7BC0" w:rsidRPr="005C7BC0">
        <w:rPr>
          <w:rFonts w:cs="Times New Roman"/>
          <w:szCs w:val="24"/>
        </w:rPr>
        <w:t>acceptable</w:t>
      </w:r>
      <w:r w:rsidR="005C7BC0">
        <w:rPr>
          <w:rFonts w:cs="Times New Roman"/>
          <w:szCs w:val="24"/>
        </w:rPr>
        <w:t xml:space="preserve"> </w:t>
      </w:r>
      <w:r w:rsidR="005C7BC0" w:rsidRPr="005C7BC0">
        <w:rPr>
          <w:rFonts w:cs="Times New Roman"/>
          <w:szCs w:val="24"/>
        </w:rPr>
        <w:t>political</w:t>
      </w:r>
      <w:r w:rsidR="005C7BC0">
        <w:rPr>
          <w:rFonts w:cs="Times New Roman"/>
          <w:szCs w:val="24"/>
        </w:rPr>
        <w:t xml:space="preserve"> and </w:t>
      </w:r>
      <w:r w:rsidR="005C7BC0" w:rsidRPr="005C7BC0">
        <w:rPr>
          <w:rFonts w:cs="Times New Roman"/>
          <w:szCs w:val="24"/>
        </w:rPr>
        <w:t>environmental</w:t>
      </w:r>
      <w:r w:rsidR="005C7BC0">
        <w:rPr>
          <w:rFonts w:cs="Times New Roman"/>
          <w:szCs w:val="24"/>
        </w:rPr>
        <w:t xml:space="preserve"> risk. </w:t>
      </w:r>
      <w:r w:rsidR="005C7BC0" w:rsidRPr="000C423A">
        <w:rPr>
          <w:rFonts w:cs="Times New Roman"/>
          <w:b/>
          <w:bCs/>
          <w:szCs w:val="24"/>
        </w:rPr>
        <w:t xml:space="preserve">Investments in lower-carbon energy solutions, operational efficiency and </w:t>
      </w:r>
      <w:r w:rsidR="000549CB" w:rsidRPr="000C423A">
        <w:rPr>
          <w:rFonts w:cs="Times New Roman"/>
          <w:b/>
          <w:bCs/>
          <w:szCs w:val="24"/>
        </w:rPr>
        <w:t>technologies</w:t>
      </w:r>
      <w:r w:rsidR="000549CB">
        <w:rPr>
          <w:rFonts w:cs="Times New Roman"/>
          <w:szCs w:val="24"/>
        </w:rPr>
        <w:t xml:space="preserve"> which improve existing capabilities </w:t>
      </w:r>
      <w:r w:rsidR="00FD1533">
        <w:rPr>
          <w:rFonts w:cs="Times New Roman"/>
          <w:szCs w:val="24"/>
        </w:rPr>
        <w:t xml:space="preserve">could offer </w:t>
      </w:r>
      <w:r w:rsidR="00FD1533" w:rsidRPr="00FD1533">
        <w:rPr>
          <w:rFonts w:cs="Times New Roman"/>
          <w:szCs w:val="24"/>
        </w:rPr>
        <w:t>opportunities</w:t>
      </w:r>
      <w:r w:rsidR="00FD1533">
        <w:rPr>
          <w:rFonts w:cs="Times New Roman"/>
          <w:szCs w:val="24"/>
        </w:rPr>
        <w:t xml:space="preserve"> to the company to diversify future earnings</w:t>
      </w:r>
      <w:r w:rsidR="00EF39ED">
        <w:rPr>
          <w:rFonts w:cs="Times New Roman"/>
          <w:szCs w:val="24"/>
        </w:rPr>
        <w:t xml:space="preserve"> (</w:t>
      </w:r>
      <w:r w:rsidR="00EF39ED" w:rsidRPr="00C5795F">
        <w:t>Ofoeda</w:t>
      </w:r>
      <w:r w:rsidR="00EF39ED">
        <w:t xml:space="preserve"> et al, 2025)</w:t>
      </w:r>
      <w:r w:rsidR="00FD1533">
        <w:rPr>
          <w:rFonts w:cs="Times New Roman"/>
          <w:szCs w:val="24"/>
        </w:rPr>
        <w:t xml:space="preserve">. </w:t>
      </w:r>
    </w:p>
    <w:p w14:paraId="2C69F94A" w14:textId="22A28A62" w:rsidR="0011732A" w:rsidRDefault="0011732A" w:rsidP="009642C8">
      <w:pPr>
        <w:spacing w:line="360" w:lineRule="auto"/>
        <w:rPr>
          <w:rFonts w:cs="Times New Roman"/>
          <w:szCs w:val="24"/>
        </w:rPr>
      </w:pPr>
      <w:r>
        <w:rPr>
          <w:rFonts w:cs="Times New Roman"/>
          <w:szCs w:val="24"/>
        </w:rPr>
        <w:t xml:space="preserve">An </w:t>
      </w:r>
      <w:r w:rsidRPr="000C423A">
        <w:rPr>
          <w:rFonts w:cs="Times New Roman"/>
          <w:b/>
          <w:bCs/>
          <w:szCs w:val="24"/>
        </w:rPr>
        <w:t>equity injection</w:t>
      </w:r>
      <w:r>
        <w:rPr>
          <w:rFonts w:cs="Times New Roman"/>
          <w:szCs w:val="24"/>
        </w:rPr>
        <w:t xml:space="preserve"> can also be considered by company if it has in place a </w:t>
      </w:r>
      <w:r w:rsidR="00390E39" w:rsidRPr="00390E39">
        <w:rPr>
          <w:rFonts w:cs="Times New Roman"/>
          <w:szCs w:val="24"/>
        </w:rPr>
        <w:t>major strategic investment</w:t>
      </w:r>
      <w:r w:rsidR="00390E39">
        <w:rPr>
          <w:rFonts w:cs="Times New Roman"/>
          <w:szCs w:val="24"/>
        </w:rPr>
        <w:t xml:space="preserve"> which could not be funded prudently through debt and internal cash flows. Equity financing avoids </w:t>
      </w:r>
      <w:r w:rsidR="00DA17E7" w:rsidRPr="00DA17E7">
        <w:rPr>
          <w:rFonts w:cs="Times New Roman"/>
          <w:szCs w:val="24"/>
        </w:rPr>
        <w:t>repayment obligations</w:t>
      </w:r>
      <w:r w:rsidR="00DA17E7">
        <w:rPr>
          <w:rFonts w:cs="Times New Roman"/>
          <w:szCs w:val="24"/>
        </w:rPr>
        <w:t xml:space="preserve"> and </w:t>
      </w:r>
      <w:r w:rsidR="00DA17E7" w:rsidRPr="00DA17E7">
        <w:rPr>
          <w:rFonts w:cs="Times New Roman"/>
          <w:szCs w:val="24"/>
        </w:rPr>
        <w:t>contractual interest</w:t>
      </w:r>
      <w:r w:rsidR="00DA17E7">
        <w:rPr>
          <w:rFonts w:cs="Times New Roman"/>
          <w:szCs w:val="24"/>
        </w:rPr>
        <w:t xml:space="preserve"> which could potentially </w:t>
      </w:r>
      <w:r w:rsidR="00DA17E7" w:rsidRPr="00DA17E7">
        <w:rPr>
          <w:rFonts w:cs="Times New Roman"/>
          <w:szCs w:val="24"/>
        </w:rPr>
        <w:t>strengthening</w:t>
      </w:r>
      <w:r w:rsidR="00DA17E7">
        <w:rPr>
          <w:rFonts w:cs="Times New Roman"/>
          <w:szCs w:val="24"/>
        </w:rPr>
        <w:t xml:space="preserve"> the balance sheet of company</w:t>
      </w:r>
      <w:r w:rsidR="00111C8C">
        <w:rPr>
          <w:rFonts w:cs="Times New Roman"/>
          <w:szCs w:val="24"/>
        </w:rPr>
        <w:t xml:space="preserve">. </w:t>
      </w:r>
    </w:p>
    <w:p w14:paraId="5D82DB46" w14:textId="3C7D7344" w:rsidR="00EC29A7" w:rsidRPr="00B57803" w:rsidRDefault="00EC29A7" w:rsidP="00EC29A7">
      <w:pPr>
        <w:pStyle w:val="Heading2"/>
        <w:spacing w:line="360" w:lineRule="auto"/>
        <w:rPr>
          <w:rFonts w:ascii="Times New Roman" w:hAnsi="Times New Roman" w:cs="Times New Roman"/>
          <w:sz w:val="24"/>
          <w:szCs w:val="24"/>
        </w:rPr>
      </w:pPr>
      <w:bookmarkStart w:id="15" w:name="_Toc243773395"/>
      <w:r>
        <w:rPr>
          <w:rFonts w:ascii="Times New Roman" w:hAnsi="Times New Roman" w:cs="Times New Roman"/>
          <w:sz w:val="24"/>
          <w:szCs w:val="24"/>
        </w:rPr>
        <w:t>4.2</w:t>
      </w:r>
      <w:r w:rsidRPr="00B57803">
        <w:rPr>
          <w:rFonts w:ascii="Times New Roman" w:hAnsi="Times New Roman" w:cs="Times New Roman"/>
          <w:sz w:val="24"/>
          <w:szCs w:val="24"/>
        </w:rPr>
        <w:t xml:space="preserve"> </w:t>
      </w:r>
      <w:r w:rsidR="00827493">
        <w:rPr>
          <w:rFonts w:ascii="Times New Roman" w:hAnsi="Times New Roman" w:cs="Times New Roman"/>
          <w:sz w:val="24"/>
          <w:szCs w:val="24"/>
        </w:rPr>
        <w:t xml:space="preserve">Impact on </w:t>
      </w:r>
      <w:r w:rsidR="00106307">
        <w:rPr>
          <w:rFonts w:ascii="Times New Roman" w:hAnsi="Times New Roman" w:cs="Times New Roman"/>
          <w:sz w:val="24"/>
          <w:szCs w:val="24"/>
        </w:rPr>
        <w:t xml:space="preserve">debt structure, </w:t>
      </w:r>
      <w:r w:rsidR="00A32DCB">
        <w:rPr>
          <w:rFonts w:ascii="Times New Roman" w:hAnsi="Times New Roman" w:cs="Times New Roman"/>
          <w:sz w:val="24"/>
          <w:szCs w:val="24"/>
        </w:rPr>
        <w:t xml:space="preserve">shareholder’s value </w:t>
      </w:r>
      <w:r w:rsidR="00CA30FA">
        <w:rPr>
          <w:rFonts w:ascii="Times New Roman" w:hAnsi="Times New Roman" w:cs="Times New Roman"/>
          <w:sz w:val="24"/>
          <w:szCs w:val="24"/>
        </w:rPr>
        <w:t>and operational flexibility</w:t>
      </w:r>
      <w:bookmarkEnd w:id="15"/>
    </w:p>
    <w:p w14:paraId="3F0FD59E" w14:textId="13E37B99" w:rsidR="00EC29A7" w:rsidRDefault="00EC29A7" w:rsidP="00EC29A7">
      <w:pPr>
        <w:spacing w:line="360" w:lineRule="auto"/>
        <w:rPr>
          <w:rFonts w:cs="Times New Roman"/>
          <w:szCs w:val="24"/>
        </w:rPr>
      </w:pPr>
      <w:r>
        <w:rPr>
          <w:rFonts w:cs="Times New Roman"/>
          <w:szCs w:val="24"/>
        </w:rPr>
        <w:t xml:space="preserve"> </w:t>
      </w:r>
      <w:r w:rsidR="00DD7F81">
        <w:rPr>
          <w:rFonts w:cs="Times New Roman"/>
          <w:szCs w:val="24"/>
        </w:rPr>
        <w:t xml:space="preserve">The recommended restructuring plan would help in </w:t>
      </w:r>
      <w:r w:rsidR="00DD7F81" w:rsidRPr="00FA3748">
        <w:rPr>
          <w:rFonts w:cs="Times New Roman"/>
          <w:b/>
          <w:bCs/>
          <w:szCs w:val="24"/>
        </w:rPr>
        <w:t>improving</w:t>
      </w:r>
      <w:r w:rsidR="000C423A" w:rsidRPr="00FA3748">
        <w:rPr>
          <w:rFonts w:cs="Times New Roman"/>
          <w:b/>
          <w:bCs/>
          <w:szCs w:val="24"/>
        </w:rPr>
        <w:t xml:space="preserve"> shareholders value by directing capital towards </w:t>
      </w:r>
      <w:r w:rsidR="00197D0E" w:rsidRPr="00FA3748">
        <w:rPr>
          <w:rFonts w:cs="Times New Roman"/>
          <w:b/>
          <w:bCs/>
          <w:szCs w:val="24"/>
        </w:rPr>
        <w:t>high-performing assets and reducing exposure to low-return investments</w:t>
      </w:r>
      <w:r w:rsidR="00197D0E">
        <w:rPr>
          <w:rFonts w:cs="Times New Roman"/>
          <w:szCs w:val="24"/>
        </w:rPr>
        <w:t>. Divesture would help in generating</w:t>
      </w:r>
      <w:r w:rsidR="00DF5C8F">
        <w:rPr>
          <w:rFonts w:cs="Times New Roman"/>
          <w:szCs w:val="24"/>
        </w:rPr>
        <w:t xml:space="preserve"> </w:t>
      </w:r>
      <w:r w:rsidR="00DF5C8F" w:rsidRPr="00DF5C8F">
        <w:rPr>
          <w:rFonts w:cs="Times New Roman"/>
          <w:szCs w:val="24"/>
        </w:rPr>
        <w:t>immediate cash proceeds</w:t>
      </w:r>
      <w:r w:rsidR="00DF5C8F">
        <w:rPr>
          <w:rFonts w:cs="Times New Roman"/>
          <w:szCs w:val="24"/>
        </w:rPr>
        <w:t xml:space="preserve"> </w:t>
      </w:r>
      <w:r w:rsidR="00A6577B">
        <w:rPr>
          <w:rFonts w:cs="Times New Roman"/>
          <w:szCs w:val="24"/>
        </w:rPr>
        <w:t xml:space="preserve">and debt </w:t>
      </w:r>
      <w:r w:rsidR="00A6577B" w:rsidRPr="00A6577B">
        <w:rPr>
          <w:rFonts w:cs="Times New Roman"/>
          <w:szCs w:val="24"/>
        </w:rPr>
        <w:t>optimisation</w:t>
      </w:r>
      <w:r w:rsidR="00A6577B">
        <w:rPr>
          <w:rFonts w:cs="Times New Roman"/>
          <w:szCs w:val="24"/>
        </w:rPr>
        <w:t xml:space="preserve"> would help in reducing finance costs and improve </w:t>
      </w:r>
      <w:r w:rsidR="00B30F73" w:rsidRPr="00B30F73">
        <w:rPr>
          <w:rFonts w:cs="Times New Roman"/>
          <w:szCs w:val="24"/>
        </w:rPr>
        <w:t>resilience</w:t>
      </w:r>
      <w:r w:rsidR="00B30F73">
        <w:rPr>
          <w:rFonts w:cs="Times New Roman"/>
          <w:szCs w:val="24"/>
        </w:rPr>
        <w:t xml:space="preserve"> of company during times of weak operating performance</w:t>
      </w:r>
      <w:r w:rsidR="00EF39ED">
        <w:rPr>
          <w:rFonts w:cs="Times New Roman"/>
          <w:szCs w:val="24"/>
        </w:rPr>
        <w:t xml:space="preserve"> (</w:t>
      </w:r>
      <w:r w:rsidR="00EF39ED" w:rsidRPr="00F33263">
        <w:t>Nasution</w:t>
      </w:r>
      <w:r w:rsidR="00EF39ED">
        <w:t xml:space="preserve"> &amp; </w:t>
      </w:r>
      <w:r w:rsidR="00EF39ED" w:rsidRPr="00F33263">
        <w:t>Yusleny</w:t>
      </w:r>
      <w:r w:rsidR="00EF39ED">
        <w:t>, 2023)</w:t>
      </w:r>
      <w:r w:rsidR="00B30F73">
        <w:rPr>
          <w:rFonts w:cs="Times New Roman"/>
          <w:szCs w:val="24"/>
        </w:rPr>
        <w:t xml:space="preserve">. </w:t>
      </w:r>
    </w:p>
    <w:p w14:paraId="710A376D" w14:textId="621E1367" w:rsidR="00B30F73" w:rsidRDefault="00B30F73" w:rsidP="00EC29A7">
      <w:pPr>
        <w:spacing w:line="360" w:lineRule="auto"/>
        <w:rPr>
          <w:rFonts w:cs="Times New Roman"/>
          <w:szCs w:val="24"/>
        </w:rPr>
      </w:pPr>
      <w:r>
        <w:rPr>
          <w:rFonts w:cs="Times New Roman"/>
          <w:szCs w:val="24"/>
        </w:rPr>
        <w:t xml:space="preserve">However, shareholders value </w:t>
      </w:r>
      <w:r w:rsidR="008D306D">
        <w:rPr>
          <w:rFonts w:cs="Times New Roman"/>
          <w:szCs w:val="24"/>
        </w:rPr>
        <w:t xml:space="preserve">should not be solely measured through share price movements or short-term earnings. Sale of </w:t>
      </w:r>
      <w:r w:rsidR="00D378B1">
        <w:rPr>
          <w:rFonts w:cs="Times New Roman"/>
          <w:szCs w:val="24"/>
        </w:rPr>
        <w:t xml:space="preserve">profitable assets may increase </w:t>
      </w:r>
      <w:r w:rsidR="00D378B1" w:rsidRPr="00D378B1">
        <w:rPr>
          <w:rFonts w:cs="Times New Roman"/>
          <w:szCs w:val="24"/>
        </w:rPr>
        <w:t>immediate liquidity</w:t>
      </w:r>
      <w:r w:rsidR="00D378B1">
        <w:rPr>
          <w:rFonts w:cs="Times New Roman"/>
          <w:szCs w:val="24"/>
        </w:rPr>
        <w:t xml:space="preserve"> but can reduce </w:t>
      </w:r>
      <w:r w:rsidR="00D378B1" w:rsidRPr="00D378B1">
        <w:rPr>
          <w:rFonts w:cs="Times New Roman"/>
          <w:szCs w:val="24"/>
        </w:rPr>
        <w:t>future earnings capacity</w:t>
      </w:r>
      <w:r w:rsidR="00D378B1">
        <w:rPr>
          <w:rFonts w:cs="Times New Roman"/>
          <w:szCs w:val="24"/>
        </w:rPr>
        <w:t xml:space="preserve">. </w:t>
      </w:r>
      <w:r w:rsidR="00E244E6">
        <w:rPr>
          <w:rFonts w:cs="Times New Roman"/>
          <w:szCs w:val="24"/>
        </w:rPr>
        <w:t xml:space="preserve">Similarly, reduction of dividend payments to finance </w:t>
      </w:r>
      <w:r w:rsidR="00027D18">
        <w:rPr>
          <w:rFonts w:cs="Times New Roman"/>
          <w:szCs w:val="24"/>
        </w:rPr>
        <w:t xml:space="preserve">strategic investments may disappoint </w:t>
      </w:r>
      <w:r w:rsidR="00027D18" w:rsidRPr="00027D18">
        <w:rPr>
          <w:rFonts w:cs="Times New Roman"/>
          <w:szCs w:val="24"/>
        </w:rPr>
        <w:t>income-oriented shareholders in the short term</w:t>
      </w:r>
      <w:r w:rsidR="00027D18">
        <w:rPr>
          <w:rFonts w:cs="Times New Roman"/>
          <w:szCs w:val="24"/>
        </w:rPr>
        <w:t xml:space="preserve">, even if it could result in </w:t>
      </w:r>
      <w:r w:rsidR="00572DF8" w:rsidRPr="00572DF8">
        <w:rPr>
          <w:rFonts w:cs="Times New Roman"/>
          <w:szCs w:val="24"/>
        </w:rPr>
        <w:t>greater long-term value</w:t>
      </w:r>
      <w:r w:rsidR="00572DF8">
        <w:rPr>
          <w:rFonts w:cs="Times New Roman"/>
          <w:szCs w:val="24"/>
        </w:rPr>
        <w:t xml:space="preserve">. Therefore, company should communicate its </w:t>
      </w:r>
      <w:r w:rsidR="00572DF8" w:rsidRPr="00572DF8">
        <w:rPr>
          <w:rFonts w:cs="Times New Roman"/>
          <w:szCs w:val="24"/>
        </w:rPr>
        <w:t>capital allocation</w:t>
      </w:r>
      <w:r w:rsidR="00572DF8">
        <w:rPr>
          <w:rFonts w:cs="Times New Roman"/>
          <w:szCs w:val="24"/>
        </w:rPr>
        <w:t xml:space="preserve"> plans </w:t>
      </w:r>
      <w:r w:rsidR="00572DF8" w:rsidRPr="00572DF8">
        <w:rPr>
          <w:rFonts w:cs="Times New Roman"/>
          <w:szCs w:val="24"/>
        </w:rPr>
        <w:t>transparently</w:t>
      </w:r>
      <w:r w:rsidR="00572DF8">
        <w:rPr>
          <w:rFonts w:cs="Times New Roman"/>
          <w:szCs w:val="24"/>
        </w:rPr>
        <w:t xml:space="preserve"> and show how the given restructuring decisions </w:t>
      </w:r>
      <w:r w:rsidR="009A6EF4">
        <w:rPr>
          <w:rFonts w:cs="Times New Roman"/>
          <w:szCs w:val="24"/>
        </w:rPr>
        <w:t xml:space="preserve">would help in achieving sustainable returns. </w:t>
      </w:r>
    </w:p>
    <w:p w14:paraId="161894A3" w14:textId="00FB03C7" w:rsidR="009A6EF4" w:rsidRDefault="009A6EF4" w:rsidP="00EC29A7">
      <w:pPr>
        <w:spacing w:line="360" w:lineRule="auto"/>
        <w:rPr>
          <w:rFonts w:cs="Times New Roman"/>
          <w:szCs w:val="24"/>
        </w:rPr>
      </w:pPr>
      <w:r>
        <w:rPr>
          <w:rFonts w:cs="Times New Roman"/>
          <w:szCs w:val="24"/>
        </w:rPr>
        <w:t xml:space="preserve">In terms of debt structure, </w:t>
      </w:r>
      <w:r w:rsidR="00834039" w:rsidRPr="00B95FE5">
        <w:rPr>
          <w:rFonts w:cs="Times New Roman"/>
          <w:b/>
          <w:bCs/>
          <w:szCs w:val="24"/>
        </w:rPr>
        <w:t xml:space="preserve">having a high proportion of long-term debt provides </w:t>
      </w:r>
      <w:r w:rsidR="004529C4" w:rsidRPr="00B95FE5">
        <w:rPr>
          <w:rFonts w:cs="Times New Roman"/>
          <w:b/>
          <w:bCs/>
          <w:szCs w:val="24"/>
        </w:rPr>
        <w:t>greater repayment stability than excessive reliance on short-term borrowing</w:t>
      </w:r>
      <w:r w:rsidR="004529C4">
        <w:rPr>
          <w:rFonts w:cs="Times New Roman"/>
          <w:szCs w:val="24"/>
        </w:rPr>
        <w:t xml:space="preserve">. Although, long-term debt still exposes the company to </w:t>
      </w:r>
      <w:r w:rsidR="00897540" w:rsidRPr="00897540">
        <w:rPr>
          <w:rFonts w:cs="Times New Roman"/>
          <w:szCs w:val="24"/>
        </w:rPr>
        <w:t>refinancing</w:t>
      </w:r>
      <w:r w:rsidR="00897540">
        <w:rPr>
          <w:rFonts w:cs="Times New Roman"/>
          <w:szCs w:val="24"/>
        </w:rPr>
        <w:t xml:space="preserve"> risk, </w:t>
      </w:r>
      <w:r w:rsidR="00897540" w:rsidRPr="00897540">
        <w:rPr>
          <w:rFonts w:cs="Times New Roman"/>
          <w:szCs w:val="24"/>
        </w:rPr>
        <w:t>interest rate</w:t>
      </w:r>
      <w:r w:rsidR="00897540">
        <w:rPr>
          <w:rFonts w:cs="Times New Roman"/>
          <w:szCs w:val="24"/>
        </w:rPr>
        <w:t xml:space="preserve"> and </w:t>
      </w:r>
      <w:r w:rsidR="00897540" w:rsidRPr="00897540">
        <w:rPr>
          <w:rFonts w:cs="Times New Roman"/>
          <w:szCs w:val="24"/>
        </w:rPr>
        <w:t>covenant risks</w:t>
      </w:r>
      <w:r w:rsidR="00897540">
        <w:rPr>
          <w:rFonts w:cs="Times New Roman"/>
          <w:szCs w:val="24"/>
        </w:rPr>
        <w:t xml:space="preserve">. Management should monitor gearing position, </w:t>
      </w:r>
      <w:r w:rsidR="0039545F" w:rsidRPr="0039545F">
        <w:rPr>
          <w:rFonts w:cs="Times New Roman"/>
          <w:szCs w:val="24"/>
        </w:rPr>
        <w:t>interest coverage</w:t>
      </w:r>
      <w:r w:rsidR="0039545F">
        <w:rPr>
          <w:rFonts w:cs="Times New Roman"/>
          <w:szCs w:val="24"/>
        </w:rPr>
        <w:t xml:space="preserve"> and cash flow position along with operating cash flow forecast</w:t>
      </w:r>
      <w:r w:rsidR="00EF39ED">
        <w:rPr>
          <w:rFonts w:cs="Times New Roman"/>
          <w:szCs w:val="24"/>
        </w:rPr>
        <w:t xml:space="preserve"> (</w:t>
      </w:r>
      <w:r w:rsidR="00EF39ED" w:rsidRPr="00746D81">
        <w:t>Li</w:t>
      </w:r>
      <w:r w:rsidR="00EF39ED">
        <w:t>, 2024)</w:t>
      </w:r>
      <w:r w:rsidR="0039545F">
        <w:rPr>
          <w:rFonts w:cs="Times New Roman"/>
          <w:szCs w:val="24"/>
        </w:rPr>
        <w:t xml:space="preserve">. </w:t>
      </w:r>
    </w:p>
    <w:p w14:paraId="6A15EF90" w14:textId="6291AD2C" w:rsidR="00750CC1" w:rsidRDefault="00750CC1" w:rsidP="00EC29A7">
      <w:pPr>
        <w:spacing w:line="360" w:lineRule="auto"/>
        <w:rPr>
          <w:rFonts w:cs="Times New Roman"/>
          <w:szCs w:val="24"/>
        </w:rPr>
      </w:pPr>
      <w:r w:rsidRPr="00B95FE5">
        <w:rPr>
          <w:rFonts w:cs="Times New Roman"/>
          <w:b/>
          <w:bCs/>
          <w:szCs w:val="24"/>
        </w:rPr>
        <w:t>Operating flexibility of the company would improve</w:t>
      </w:r>
      <w:r>
        <w:rPr>
          <w:rFonts w:cs="Times New Roman"/>
          <w:szCs w:val="24"/>
        </w:rPr>
        <w:t xml:space="preserve"> if it i</w:t>
      </w:r>
      <w:r w:rsidR="007B4E55">
        <w:rPr>
          <w:rFonts w:cs="Times New Roman"/>
          <w:szCs w:val="24"/>
        </w:rPr>
        <w:t>s able to maintain</w:t>
      </w:r>
      <w:r w:rsidR="007A042E">
        <w:rPr>
          <w:rFonts w:cs="Times New Roman"/>
          <w:szCs w:val="24"/>
        </w:rPr>
        <w:t xml:space="preserve"> sufficient liquidity position in business, </w:t>
      </w:r>
      <w:r w:rsidR="007A042E" w:rsidRPr="007A042E">
        <w:rPr>
          <w:rFonts w:cs="Times New Roman"/>
          <w:szCs w:val="24"/>
        </w:rPr>
        <w:t>reduced investment in underperforming assets</w:t>
      </w:r>
      <w:r w:rsidR="007A042E">
        <w:rPr>
          <w:rFonts w:cs="Times New Roman"/>
          <w:szCs w:val="24"/>
        </w:rPr>
        <w:t xml:space="preserve"> and avoid </w:t>
      </w:r>
      <w:r w:rsidR="00FA3748" w:rsidRPr="00FA3748">
        <w:rPr>
          <w:rFonts w:cs="Times New Roman"/>
          <w:szCs w:val="24"/>
        </w:rPr>
        <w:t>excessive leverage</w:t>
      </w:r>
      <w:r w:rsidR="00FA3748">
        <w:rPr>
          <w:rFonts w:cs="Times New Roman"/>
          <w:szCs w:val="24"/>
        </w:rPr>
        <w:t xml:space="preserve">. </w:t>
      </w:r>
    </w:p>
    <w:p w14:paraId="40BF989B" w14:textId="3137FBB8" w:rsidR="004C2ECB" w:rsidRPr="00B57803" w:rsidRDefault="004C2ECB" w:rsidP="004C2ECB">
      <w:pPr>
        <w:pStyle w:val="Heading2"/>
        <w:spacing w:line="360" w:lineRule="auto"/>
        <w:rPr>
          <w:rFonts w:ascii="Times New Roman" w:hAnsi="Times New Roman" w:cs="Times New Roman"/>
          <w:sz w:val="24"/>
          <w:szCs w:val="24"/>
        </w:rPr>
      </w:pPr>
      <w:bookmarkStart w:id="16" w:name="_Toc243773396"/>
      <w:r>
        <w:rPr>
          <w:rFonts w:ascii="Times New Roman" w:hAnsi="Times New Roman" w:cs="Times New Roman"/>
          <w:sz w:val="24"/>
          <w:szCs w:val="24"/>
        </w:rPr>
        <w:t>4.3</w:t>
      </w:r>
      <w:r w:rsidRPr="00B57803">
        <w:rPr>
          <w:rFonts w:ascii="Times New Roman" w:hAnsi="Times New Roman" w:cs="Times New Roman"/>
          <w:sz w:val="24"/>
          <w:szCs w:val="24"/>
        </w:rPr>
        <w:t xml:space="preserve"> </w:t>
      </w:r>
      <w:r>
        <w:rPr>
          <w:rFonts w:ascii="Times New Roman" w:hAnsi="Times New Roman" w:cs="Times New Roman"/>
          <w:sz w:val="24"/>
          <w:szCs w:val="24"/>
        </w:rPr>
        <w:t>International and ethical considerations</w:t>
      </w:r>
      <w:bookmarkEnd w:id="16"/>
    </w:p>
    <w:p w14:paraId="684862DF" w14:textId="3AA53B79" w:rsidR="0074113C" w:rsidRDefault="00027F0F" w:rsidP="00EC29A7">
      <w:pPr>
        <w:spacing w:line="360" w:lineRule="auto"/>
        <w:rPr>
          <w:rFonts w:cs="Times New Roman"/>
          <w:szCs w:val="24"/>
        </w:rPr>
      </w:pPr>
      <w:r w:rsidRPr="00893E22">
        <w:rPr>
          <w:rFonts w:cs="Times New Roman"/>
          <w:b/>
          <w:bCs/>
          <w:szCs w:val="24"/>
        </w:rPr>
        <w:t xml:space="preserve">Reorganizations, divestures, and </w:t>
      </w:r>
      <w:r w:rsidR="00042C9A">
        <w:rPr>
          <w:rFonts w:cs="Times New Roman"/>
          <w:b/>
          <w:bCs/>
          <w:szCs w:val="24"/>
        </w:rPr>
        <w:t>c</w:t>
      </w:r>
      <w:r w:rsidRPr="00893E22">
        <w:rPr>
          <w:rFonts w:cs="Times New Roman"/>
          <w:b/>
          <w:bCs/>
          <w:szCs w:val="24"/>
        </w:rPr>
        <w:t xml:space="preserve">ross-border financing arrangements would result in </w:t>
      </w:r>
      <w:r w:rsidR="00A91A24" w:rsidRPr="00893E22">
        <w:rPr>
          <w:rFonts w:cs="Times New Roman"/>
          <w:b/>
          <w:bCs/>
          <w:szCs w:val="24"/>
        </w:rPr>
        <w:t>withholding taxes, capital gains taxes, transfer-pricing requirements and other related obligations.</w:t>
      </w:r>
      <w:r w:rsidR="00A91A24">
        <w:rPr>
          <w:rFonts w:cs="Times New Roman"/>
          <w:szCs w:val="24"/>
        </w:rPr>
        <w:t xml:space="preserve"> Therefore, company should structure transactions </w:t>
      </w:r>
      <w:r w:rsidR="00391F38">
        <w:rPr>
          <w:rFonts w:cs="Times New Roman"/>
          <w:szCs w:val="24"/>
        </w:rPr>
        <w:t xml:space="preserve">in accordance with international standards and </w:t>
      </w:r>
      <w:r w:rsidR="00391F38" w:rsidRPr="00391F38">
        <w:rPr>
          <w:rFonts w:cs="Times New Roman"/>
          <w:szCs w:val="24"/>
        </w:rPr>
        <w:t>applicable tax laws</w:t>
      </w:r>
      <w:r w:rsidR="00391F38">
        <w:rPr>
          <w:rFonts w:cs="Times New Roman"/>
          <w:szCs w:val="24"/>
        </w:rPr>
        <w:t xml:space="preserve"> instead of </w:t>
      </w:r>
      <w:r w:rsidR="00391F38" w:rsidRPr="00391F38">
        <w:rPr>
          <w:rFonts w:cs="Times New Roman"/>
          <w:szCs w:val="24"/>
        </w:rPr>
        <w:t>pursuing arrangements</w:t>
      </w:r>
      <w:r w:rsidR="00391F38">
        <w:rPr>
          <w:rFonts w:cs="Times New Roman"/>
          <w:szCs w:val="24"/>
        </w:rPr>
        <w:t xml:space="preserve"> which are primarily designed to </w:t>
      </w:r>
      <w:r w:rsidR="0074113C" w:rsidRPr="0074113C">
        <w:rPr>
          <w:rFonts w:cs="Times New Roman"/>
          <w:szCs w:val="24"/>
        </w:rPr>
        <w:t>exploit regulatory differences.</w:t>
      </w:r>
      <w:r w:rsidR="0074113C">
        <w:rPr>
          <w:rFonts w:cs="Times New Roman"/>
          <w:szCs w:val="24"/>
        </w:rPr>
        <w:t xml:space="preserve"> </w:t>
      </w:r>
    </w:p>
    <w:p w14:paraId="2AC2A2F6" w14:textId="475CB4A4" w:rsidR="004C2ECB" w:rsidRDefault="0074113C" w:rsidP="00EC29A7">
      <w:pPr>
        <w:spacing w:line="360" w:lineRule="auto"/>
        <w:rPr>
          <w:rFonts w:cs="Times New Roman"/>
          <w:szCs w:val="24"/>
        </w:rPr>
      </w:pPr>
      <w:r w:rsidRPr="00893E22">
        <w:rPr>
          <w:rFonts w:cs="Times New Roman"/>
          <w:b/>
          <w:bCs/>
          <w:szCs w:val="24"/>
        </w:rPr>
        <w:t>Currency risk</w:t>
      </w:r>
      <w:r>
        <w:rPr>
          <w:rFonts w:cs="Times New Roman"/>
          <w:szCs w:val="24"/>
        </w:rPr>
        <w:t xml:space="preserve"> remains the other important consideration </w:t>
      </w:r>
      <w:r w:rsidR="000C018C">
        <w:rPr>
          <w:rFonts w:cs="Times New Roman"/>
          <w:szCs w:val="24"/>
        </w:rPr>
        <w:t xml:space="preserve">for the company </w:t>
      </w:r>
      <w:r w:rsidR="005758C9">
        <w:rPr>
          <w:rFonts w:cs="Times New Roman"/>
          <w:szCs w:val="24"/>
        </w:rPr>
        <w:t>as it earns revenue, incur operating expenditure and raise finance across different currencies.</w:t>
      </w:r>
      <w:r w:rsidR="00EB2290">
        <w:rPr>
          <w:rFonts w:cs="Times New Roman"/>
          <w:szCs w:val="24"/>
        </w:rPr>
        <w:t xml:space="preserve"> Fluctuations in exchange rate could impact </w:t>
      </w:r>
      <w:r w:rsidR="00EB2290" w:rsidRPr="00EB2290">
        <w:rPr>
          <w:rFonts w:cs="Times New Roman"/>
          <w:szCs w:val="24"/>
        </w:rPr>
        <w:t>debt servicing</w:t>
      </w:r>
      <w:r w:rsidR="00EB2290">
        <w:rPr>
          <w:rFonts w:cs="Times New Roman"/>
          <w:szCs w:val="24"/>
        </w:rPr>
        <w:t xml:space="preserve">, </w:t>
      </w:r>
      <w:r w:rsidR="005E6A8F" w:rsidRPr="005E6A8F">
        <w:rPr>
          <w:rFonts w:cs="Times New Roman"/>
          <w:szCs w:val="24"/>
        </w:rPr>
        <w:t>reported earnings</w:t>
      </w:r>
      <w:r w:rsidR="005E6A8F">
        <w:rPr>
          <w:rFonts w:cs="Times New Roman"/>
          <w:szCs w:val="24"/>
        </w:rPr>
        <w:t xml:space="preserve"> and cost of </w:t>
      </w:r>
      <w:r w:rsidR="005E6A8F" w:rsidRPr="005E6A8F">
        <w:rPr>
          <w:rFonts w:cs="Times New Roman"/>
          <w:szCs w:val="24"/>
        </w:rPr>
        <w:t>international investments</w:t>
      </w:r>
      <w:r w:rsidR="00EF39ED">
        <w:rPr>
          <w:rFonts w:cs="Times New Roman"/>
          <w:szCs w:val="24"/>
        </w:rPr>
        <w:t xml:space="preserve"> (</w:t>
      </w:r>
      <w:r w:rsidR="00EF39ED" w:rsidRPr="00DE2EF6">
        <w:t>Kariyawasam</w:t>
      </w:r>
      <w:r w:rsidR="00EF39ED">
        <w:t>, 2019)</w:t>
      </w:r>
      <w:r w:rsidR="005E6A8F">
        <w:rPr>
          <w:rFonts w:cs="Times New Roman"/>
          <w:szCs w:val="24"/>
        </w:rPr>
        <w:t xml:space="preserve">. </w:t>
      </w:r>
      <w:r w:rsidR="00997F0C">
        <w:rPr>
          <w:rFonts w:cs="Times New Roman"/>
          <w:szCs w:val="24"/>
        </w:rPr>
        <w:t xml:space="preserve">Therefore, company should finance its </w:t>
      </w:r>
      <w:r w:rsidR="00997F0C" w:rsidRPr="00997F0C">
        <w:rPr>
          <w:rFonts w:cs="Times New Roman"/>
          <w:szCs w:val="24"/>
        </w:rPr>
        <w:t>financing currencies</w:t>
      </w:r>
      <w:r w:rsidR="00997F0C">
        <w:rPr>
          <w:rFonts w:cs="Times New Roman"/>
          <w:szCs w:val="24"/>
        </w:rPr>
        <w:t xml:space="preserve"> in the currency of </w:t>
      </w:r>
      <w:r w:rsidR="008868CF" w:rsidRPr="008868CF">
        <w:rPr>
          <w:rFonts w:cs="Times New Roman"/>
          <w:szCs w:val="24"/>
        </w:rPr>
        <w:t>expected operating cash flows</w:t>
      </w:r>
      <w:r w:rsidR="008868CF">
        <w:rPr>
          <w:rFonts w:cs="Times New Roman"/>
          <w:szCs w:val="24"/>
        </w:rPr>
        <w:t xml:space="preserve"> and appropriate </w:t>
      </w:r>
      <w:r w:rsidR="00F6314C">
        <w:rPr>
          <w:rFonts w:cs="Times New Roman"/>
          <w:szCs w:val="24"/>
        </w:rPr>
        <w:t xml:space="preserve">hedging instruments should be used for material exposures. It will help to reduce volatility </w:t>
      </w:r>
      <w:r w:rsidR="00D41111">
        <w:rPr>
          <w:rFonts w:cs="Times New Roman"/>
          <w:szCs w:val="24"/>
        </w:rPr>
        <w:t xml:space="preserve">without any requirement to eliminate every </w:t>
      </w:r>
      <w:r w:rsidR="00596286" w:rsidRPr="00596286">
        <w:rPr>
          <w:rFonts w:cs="Times New Roman"/>
          <w:szCs w:val="24"/>
        </w:rPr>
        <w:t>currency movement at excessive cost</w:t>
      </w:r>
      <w:r w:rsidR="00596286">
        <w:rPr>
          <w:rFonts w:cs="Times New Roman"/>
          <w:szCs w:val="24"/>
        </w:rPr>
        <w:t>.</w:t>
      </w:r>
    </w:p>
    <w:p w14:paraId="6F395451" w14:textId="52FC4DC0" w:rsidR="00596286" w:rsidRDefault="009A6FE1" w:rsidP="00EC29A7">
      <w:pPr>
        <w:spacing w:line="360" w:lineRule="auto"/>
        <w:rPr>
          <w:rFonts w:cs="Times New Roman"/>
          <w:szCs w:val="24"/>
        </w:rPr>
      </w:pPr>
      <w:r w:rsidRPr="00075CDA">
        <w:rPr>
          <w:rFonts w:cs="Times New Roman"/>
          <w:b/>
          <w:bCs/>
          <w:szCs w:val="24"/>
        </w:rPr>
        <w:t>Inflation</w:t>
      </w:r>
      <w:r>
        <w:rPr>
          <w:rFonts w:cs="Times New Roman"/>
          <w:szCs w:val="24"/>
        </w:rPr>
        <w:t xml:space="preserve"> also has </w:t>
      </w:r>
      <w:r w:rsidR="00320E1F">
        <w:rPr>
          <w:rFonts w:cs="Times New Roman"/>
          <w:szCs w:val="24"/>
        </w:rPr>
        <w:t>an</w:t>
      </w:r>
      <w:r>
        <w:rPr>
          <w:rFonts w:cs="Times New Roman"/>
          <w:szCs w:val="24"/>
        </w:rPr>
        <w:t xml:space="preserve"> impact on restructuring decisions </w:t>
      </w:r>
      <w:r w:rsidR="00A87FF8">
        <w:rPr>
          <w:rFonts w:cs="Times New Roman"/>
          <w:szCs w:val="24"/>
        </w:rPr>
        <w:t xml:space="preserve">because of </w:t>
      </w:r>
      <w:r w:rsidR="00A87FF8" w:rsidRPr="00A87FF8">
        <w:rPr>
          <w:rFonts w:cs="Times New Roman"/>
          <w:szCs w:val="24"/>
        </w:rPr>
        <w:t>equipment prices</w:t>
      </w:r>
      <w:r w:rsidR="00A87FF8">
        <w:rPr>
          <w:rFonts w:cs="Times New Roman"/>
          <w:szCs w:val="24"/>
        </w:rPr>
        <w:t xml:space="preserve">, </w:t>
      </w:r>
      <w:r w:rsidR="00A87FF8" w:rsidRPr="00A87FF8">
        <w:rPr>
          <w:rFonts w:cs="Times New Roman"/>
          <w:szCs w:val="24"/>
        </w:rPr>
        <w:t>higher labour costs</w:t>
      </w:r>
      <w:r w:rsidR="00A87FF8">
        <w:rPr>
          <w:rFonts w:cs="Times New Roman"/>
          <w:szCs w:val="24"/>
        </w:rPr>
        <w:t xml:space="preserve">, </w:t>
      </w:r>
      <w:r w:rsidR="00A87FF8" w:rsidRPr="00A87FF8">
        <w:rPr>
          <w:rFonts w:cs="Times New Roman"/>
          <w:szCs w:val="24"/>
        </w:rPr>
        <w:t>financing costs</w:t>
      </w:r>
      <w:r w:rsidR="00A87FF8">
        <w:rPr>
          <w:rFonts w:cs="Times New Roman"/>
          <w:szCs w:val="24"/>
        </w:rPr>
        <w:t xml:space="preserve"> and </w:t>
      </w:r>
      <w:r w:rsidR="002378FB" w:rsidRPr="002378FB">
        <w:rPr>
          <w:rFonts w:cs="Times New Roman"/>
          <w:szCs w:val="24"/>
        </w:rPr>
        <w:t>construction expenditure</w:t>
      </w:r>
      <w:r w:rsidR="002378FB">
        <w:rPr>
          <w:rFonts w:cs="Times New Roman"/>
          <w:szCs w:val="24"/>
        </w:rPr>
        <w:t>. Investment appraisals shoul</w:t>
      </w:r>
      <w:r w:rsidR="00750002">
        <w:rPr>
          <w:rFonts w:cs="Times New Roman"/>
          <w:szCs w:val="24"/>
        </w:rPr>
        <w:t xml:space="preserve">d incorporate realistic assumptions for </w:t>
      </w:r>
      <w:r w:rsidR="00750002" w:rsidRPr="00750002">
        <w:rPr>
          <w:rFonts w:cs="Times New Roman"/>
          <w:szCs w:val="24"/>
        </w:rPr>
        <w:t>operating expenditure</w:t>
      </w:r>
      <w:r w:rsidR="00750002">
        <w:rPr>
          <w:rFonts w:cs="Times New Roman"/>
          <w:szCs w:val="24"/>
        </w:rPr>
        <w:t xml:space="preserve">, </w:t>
      </w:r>
      <w:r w:rsidR="00750002" w:rsidRPr="00750002">
        <w:rPr>
          <w:rFonts w:cs="Times New Roman"/>
          <w:szCs w:val="24"/>
        </w:rPr>
        <w:t>inflation</w:t>
      </w:r>
      <w:r w:rsidR="00750002">
        <w:rPr>
          <w:rFonts w:cs="Times New Roman"/>
          <w:szCs w:val="24"/>
        </w:rPr>
        <w:t xml:space="preserve"> and future cash flows. </w:t>
      </w:r>
      <w:r w:rsidR="007345E0">
        <w:rPr>
          <w:rFonts w:cs="Times New Roman"/>
          <w:szCs w:val="24"/>
        </w:rPr>
        <w:t xml:space="preserve">Huge reliance should not be placed on </w:t>
      </w:r>
      <w:r w:rsidR="007345E0" w:rsidRPr="007345E0">
        <w:rPr>
          <w:rFonts w:cs="Times New Roman"/>
          <w:szCs w:val="24"/>
        </w:rPr>
        <w:t>historical project costs</w:t>
      </w:r>
      <w:r w:rsidR="007345E0">
        <w:rPr>
          <w:rFonts w:cs="Times New Roman"/>
          <w:szCs w:val="24"/>
        </w:rPr>
        <w:t xml:space="preserve"> to evaluate whether investments are commercially viable or not. </w:t>
      </w:r>
    </w:p>
    <w:p w14:paraId="01C0E65D" w14:textId="05527C48" w:rsidR="00075CDA" w:rsidRDefault="00075CDA" w:rsidP="00EC29A7">
      <w:pPr>
        <w:spacing w:line="360" w:lineRule="auto"/>
        <w:rPr>
          <w:rFonts w:cs="Times New Roman"/>
          <w:szCs w:val="24"/>
        </w:rPr>
      </w:pPr>
      <w:r>
        <w:rPr>
          <w:rFonts w:cs="Times New Roman"/>
          <w:b/>
          <w:bCs/>
          <w:szCs w:val="24"/>
        </w:rPr>
        <w:t>ESG (</w:t>
      </w:r>
      <w:r w:rsidRPr="00075CDA">
        <w:rPr>
          <w:rFonts w:cs="Times New Roman"/>
          <w:b/>
          <w:bCs/>
          <w:szCs w:val="24"/>
        </w:rPr>
        <w:t>Environmental, social and governance</w:t>
      </w:r>
      <w:r>
        <w:rPr>
          <w:rFonts w:cs="Times New Roman"/>
          <w:b/>
          <w:bCs/>
          <w:szCs w:val="24"/>
        </w:rPr>
        <w:t>)</w:t>
      </w:r>
      <w:r>
        <w:rPr>
          <w:rFonts w:cs="Times New Roman"/>
          <w:szCs w:val="24"/>
        </w:rPr>
        <w:t xml:space="preserve"> considerations </w:t>
      </w:r>
      <w:r w:rsidR="0079623D">
        <w:rPr>
          <w:rFonts w:cs="Times New Roman"/>
          <w:szCs w:val="24"/>
        </w:rPr>
        <w:t xml:space="preserve">shall also impact portfolio decisions. Sale of </w:t>
      </w:r>
      <w:r w:rsidR="0079623D" w:rsidRPr="0079623D">
        <w:rPr>
          <w:rFonts w:cs="Times New Roman"/>
          <w:szCs w:val="24"/>
        </w:rPr>
        <w:t>carbon-intensive assets</w:t>
      </w:r>
      <w:r w:rsidR="0079623D">
        <w:rPr>
          <w:rFonts w:cs="Times New Roman"/>
          <w:szCs w:val="24"/>
        </w:rPr>
        <w:t xml:space="preserve"> may reduce direct exposure of company </w:t>
      </w:r>
      <w:r w:rsidR="00344A58" w:rsidRPr="00344A58">
        <w:rPr>
          <w:rFonts w:cs="Times New Roman"/>
          <w:szCs w:val="24"/>
        </w:rPr>
        <w:t>to certain environmental liabilities</w:t>
      </w:r>
      <w:r w:rsidR="00344A58">
        <w:rPr>
          <w:rFonts w:cs="Times New Roman"/>
          <w:szCs w:val="24"/>
        </w:rPr>
        <w:t xml:space="preserve"> but it will not automatically eliminate the related ethical concerns. </w:t>
      </w:r>
      <w:r w:rsidR="0026352B">
        <w:rPr>
          <w:rFonts w:cs="Times New Roman"/>
          <w:szCs w:val="24"/>
        </w:rPr>
        <w:t xml:space="preserve">Therefore, company should also evaluate </w:t>
      </w:r>
      <w:r w:rsidR="0026352B" w:rsidRPr="0026352B">
        <w:rPr>
          <w:rFonts w:cs="Times New Roman"/>
          <w:szCs w:val="24"/>
        </w:rPr>
        <w:t>emissions</w:t>
      </w:r>
      <w:r w:rsidR="0026352B">
        <w:rPr>
          <w:rFonts w:cs="Times New Roman"/>
          <w:szCs w:val="24"/>
        </w:rPr>
        <w:t xml:space="preserve">, </w:t>
      </w:r>
      <w:r w:rsidR="0026352B" w:rsidRPr="0026352B">
        <w:rPr>
          <w:rFonts w:cs="Times New Roman"/>
          <w:szCs w:val="24"/>
        </w:rPr>
        <w:t>decommissioning obligations</w:t>
      </w:r>
      <w:r w:rsidR="0026352B">
        <w:rPr>
          <w:rFonts w:cs="Times New Roman"/>
          <w:szCs w:val="24"/>
        </w:rPr>
        <w:t xml:space="preserve">, </w:t>
      </w:r>
      <w:r w:rsidR="003F7650" w:rsidRPr="003F7650">
        <w:rPr>
          <w:rFonts w:cs="Times New Roman"/>
          <w:szCs w:val="24"/>
        </w:rPr>
        <w:t>community impacts</w:t>
      </w:r>
      <w:r w:rsidR="003F7650">
        <w:rPr>
          <w:rFonts w:cs="Times New Roman"/>
          <w:szCs w:val="24"/>
        </w:rPr>
        <w:t xml:space="preserve"> and </w:t>
      </w:r>
      <w:r w:rsidR="003F7650" w:rsidRPr="003F7650">
        <w:rPr>
          <w:rFonts w:cs="Times New Roman"/>
          <w:szCs w:val="24"/>
        </w:rPr>
        <w:t>worker protections</w:t>
      </w:r>
      <w:r w:rsidR="003F7650">
        <w:rPr>
          <w:rFonts w:cs="Times New Roman"/>
          <w:szCs w:val="24"/>
        </w:rPr>
        <w:t xml:space="preserve"> before finalizing any divesture decision. Restructuring decision should also take into account </w:t>
      </w:r>
      <w:r w:rsidR="00335E56">
        <w:rPr>
          <w:rFonts w:cs="Times New Roman"/>
          <w:szCs w:val="24"/>
        </w:rPr>
        <w:t xml:space="preserve">the employees impacted by </w:t>
      </w:r>
      <w:r w:rsidR="00335E56" w:rsidRPr="00335E56">
        <w:rPr>
          <w:rFonts w:cs="Times New Roman"/>
          <w:szCs w:val="24"/>
        </w:rPr>
        <w:t>disposals</w:t>
      </w:r>
      <w:r w:rsidR="00335E56">
        <w:rPr>
          <w:rFonts w:cs="Times New Roman"/>
          <w:szCs w:val="24"/>
        </w:rPr>
        <w:t xml:space="preserve"> or </w:t>
      </w:r>
      <w:r w:rsidR="00335E56" w:rsidRPr="00335E56">
        <w:rPr>
          <w:rFonts w:cs="Times New Roman"/>
          <w:szCs w:val="24"/>
        </w:rPr>
        <w:t>closures</w:t>
      </w:r>
      <w:r w:rsidR="00335E56">
        <w:rPr>
          <w:rFonts w:cs="Times New Roman"/>
          <w:szCs w:val="24"/>
        </w:rPr>
        <w:t xml:space="preserve"> by way of appropriate </w:t>
      </w:r>
      <w:r w:rsidR="00BA68A6" w:rsidRPr="00BA68A6">
        <w:rPr>
          <w:rFonts w:cs="Times New Roman"/>
          <w:szCs w:val="24"/>
        </w:rPr>
        <w:t>redeployment</w:t>
      </w:r>
      <w:r w:rsidR="00BA68A6">
        <w:rPr>
          <w:rFonts w:cs="Times New Roman"/>
          <w:szCs w:val="24"/>
        </w:rPr>
        <w:t xml:space="preserve">, </w:t>
      </w:r>
      <w:r w:rsidR="00BA68A6" w:rsidRPr="00BA68A6">
        <w:rPr>
          <w:rFonts w:cs="Times New Roman"/>
          <w:szCs w:val="24"/>
        </w:rPr>
        <w:t>consultation</w:t>
      </w:r>
      <w:r w:rsidR="00BA68A6">
        <w:rPr>
          <w:rFonts w:cs="Times New Roman"/>
          <w:szCs w:val="24"/>
        </w:rPr>
        <w:t xml:space="preserve"> and transition support</w:t>
      </w:r>
      <w:r w:rsidR="00EF39ED">
        <w:rPr>
          <w:rFonts w:cs="Times New Roman"/>
          <w:szCs w:val="24"/>
        </w:rPr>
        <w:t xml:space="preserve"> (</w:t>
      </w:r>
      <w:r w:rsidR="00EF39ED" w:rsidRPr="00027988">
        <w:t>Floros</w:t>
      </w:r>
      <w:r w:rsidR="00EF39ED">
        <w:t xml:space="preserve"> &amp; </w:t>
      </w:r>
      <w:r w:rsidR="00EF39ED" w:rsidRPr="00027988">
        <w:t>Sapp</w:t>
      </w:r>
      <w:r w:rsidR="00EF39ED">
        <w:t>, 2021)</w:t>
      </w:r>
      <w:r w:rsidR="00BA68A6">
        <w:rPr>
          <w:rFonts w:cs="Times New Roman"/>
          <w:szCs w:val="24"/>
        </w:rPr>
        <w:t>.</w:t>
      </w:r>
    </w:p>
    <w:p w14:paraId="4F87B580" w14:textId="2BE2D6F1" w:rsidR="00BA68A6" w:rsidRDefault="00BA68A6" w:rsidP="00BA68A6">
      <w:pPr>
        <w:pStyle w:val="Heading1"/>
        <w:spacing w:line="360" w:lineRule="auto"/>
        <w:rPr>
          <w:rFonts w:ascii="Times New Roman" w:hAnsi="Times New Roman" w:cs="Times New Roman"/>
          <w:sz w:val="24"/>
          <w:szCs w:val="24"/>
        </w:rPr>
      </w:pPr>
      <w:bookmarkStart w:id="17" w:name="_Toc243773397"/>
      <w:r>
        <w:rPr>
          <w:rFonts w:ascii="Times New Roman" w:hAnsi="Times New Roman" w:cs="Times New Roman"/>
          <w:sz w:val="24"/>
          <w:szCs w:val="24"/>
        </w:rPr>
        <w:t>5</w:t>
      </w:r>
      <w:r w:rsidRPr="001D7532">
        <w:rPr>
          <w:rFonts w:ascii="Times New Roman" w:hAnsi="Times New Roman" w:cs="Times New Roman"/>
          <w:sz w:val="24"/>
          <w:szCs w:val="24"/>
        </w:rPr>
        <w:t xml:space="preserve">. </w:t>
      </w:r>
      <w:r w:rsidR="000518FC">
        <w:rPr>
          <w:rFonts w:ascii="Times New Roman" w:hAnsi="Times New Roman" w:cs="Times New Roman"/>
          <w:sz w:val="24"/>
          <w:szCs w:val="24"/>
        </w:rPr>
        <w:t>Capital budgeting and investment appraisal</w:t>
      </w:r>
      <w:bookmarkEnd w:id="17"/>
    </w:p>
    <w:p w14:paraId="6DB3BCCD" w14:textId="3A104DAF" w:rsidR="00B91BD0" w:rsidRPr="00B57803" w:rsidRDefault="00B91BD0" w:rsidP="00B91BD0">
      <w:pPr>
        <w:pStyle w:val="Heading2"/>
        <w:spacing w:line="360" w:lineRule="auto"/>
        <w:rPr>
          <w:rFonts w:ascii="Times New Roman" w:hAnsi="Times New Roman" w:cs="Times New Roman"/>
          <w:sz w:val="24"/>
          <w:szCs w:val="24"/>
        </w:rPr>
      </w:pPr>
      <w:bookmarkStart w:id="18" w:name="_Toc243773398"/>
      <w:r>
        <w:rPr>
          <w:rFonts w:ascii="Times New Roman" w:hAnsi="Times New Roman" w:cs="Times New Roman"/>
          <w:sz w:val="24"/>
          <w:szCs w:val="24"/>
        </w:rPr>
        <w:t>5.1</w:t>
      </w:r>
      <w:r w:rsidRPr="00B57803">
        <w:rPr>
          <w:rFonts w:ascii="Times New Roman" w:hAnsi="Times New Roman" w:cs="Times New Roman"/>
          <w:sz w:val="24"/>
          <w:szCs w:val="24"/>
        </w:rPr>
        <w:t xml:space="preserve"> </w:t>
      </w:r>
      <w:r>
        <w:rPr>
          <w:rFonts w:ascii="Times New Roman" w:hAnsi="Times New Roman" w:cs="Times New Roman"/>
          <w:sz w:val="24"/>
          <w:szCs w:val="24"/>
        </w:rPr>
        <w:t>Payback period</w:t>
      </w:r>
      <w:bookmarkEnd w:id="18"/>
    </w:p>
    <w:p w14:paraId="79B58B77" w14:textId="34B31451" w:rsidR="00FD6F14" w:rsidRDefault="00FD6F14" w:rsidP="009642C8">
      <w:pPr>
        <w:spacing w:line="360" w:lineRule="auto"/>
        <w:rPr>
          <w:rFonts w:cs="Times New Roman"/>
          <w:b/>
          <w:bCs/>
          <w:szCs w:val="24"/>
        </w:rPr>
      </w:pPr>
      <w:r>
        <w:rPr>
          <w:rFonts w:cs="Times New Roman"/>
          <w:szCs w:val="24"/>
        </w:rPr>
        <w:t xml:space="preserve">Calculations of payback period are provided in </w:t>
      </w:r>
      <w:r>
        <w:rPr>
          <w:rFonts w:cs="Times New Roman"/>
          <w:b/>
          <w:bCs/>
          <w:szCs w:val="24"/>
        </w:rPr>
        <w:t xml:space="preserve">Annexure </w:t>
      </w:r>
      <w:r w:rsidR="007C351F">
        <w:rPr>
          <w:rFonts w:cs="Times New Roman"/>
          <w:b/>
          <w:bCs/>
          <w:szCs w:val="24"/>
        </w:rPr>
        <w:t>C</w:t>
      </w:r>
      <w:r>
        <w:rPr>
          <w:rFonts w:cs="Times New Roman"/>
          <w:b/>
          <w:bCs/>
          <w:szCs w:val="24"/>
        </w:rPr>
        <w:t>.</w:t>
      </w:r>
    </w:p>
    <w:p w14:paraId="5B300EB6" w14:textId="074F04B6" w:rsidR="008E56B5" w:rsidRDefault="00365053" w:rsidP="009642C8">
      <w:pPr>
        <w:spacing w:line="360" w:lineRule="auto"/>
        <w:rPr>
          <w:rFonts w:cs="Times New Roman"/>
          <w:szCs w:val="24"/>
        </w:rPr>
      </w:pPr>
      <w:r>
        <w:rPr>
          <w:rFonts w:cs="Times New Roman"/>
          <w:szCs w:val="24"/>
        </w:rPr>
        <w:t xml:space="preserve">The said tables </w:t>
      </w:r>
      <w:r w:rsidR="00320E1F">
        <w:rPr>
          <w:rFonts w:cs="Times New Roman"/>
          <w:szCs w:val="24"/>
        </w:rPr>
        <w:t>indicate</w:t>
      </w:r>
      <w:r>
        <w:rPr>
          <w:rFonts w:cs="Times New Roman"/>
          <w:szCs w:val="24"/>
        </w:rPr>
        <w:t xml:space="preserve"> that </w:t>
      </w:r>
      <w:r w:rsidRPr="00365053">
        <w:rPr>
          <w:rFonts w:cs="Times New Roman"/>
          <w:b/>
          <w:bCs/>
          <w:szCs w:val="24"/>
        </w:rPr>
        <w:t>payback period of project A, B &amp; C are 4.50 years, 4.55 years and 3.60 years respectively</w:t>
      </w:r>
      <w:r>
        <w:rPr>
          <w:rFonts w:cs="Times New Roman"/>
          <w:szCs w:val="24"/>
        </w:rPr>
        <w:t xml:space="preserve">. </w:t>
      </w:r>
      <w:r w:rsidR="00F479D5">
        <w:rPr>
          <w:rFonts w:cs="Times New Roman"/>
          <w:szCs w:val="24"/>
        </w:rPr>
        <w:t>Thus, project C has shortest payback period which is able to recover its investment in the 4</w:t>
      </w:r>
      <w:r w:rsidR="00F479D5" w:rsidRPr="00F479D5">
        <w:rPr>
          <w:rFonts w:cs="Times New Roman"/>
          <w:szCs w:val="24"/>
          <w:vertAlign w:val="superscript"/>
        </w:rPr>
        <w:t>th</w:t>
      </w:r>
      <w:r w:rsidR="00F479D5">
        <w:rPr>
          <w:rFonts w:cs="Times New Roman"/>
          <w:szCs w:val="24"/>
        </w:rPr>
        <w:t xml:space="preserve"> year. </w:t>
      </w:r>
      <w:r w:rsidR="00FF4966">
        <w:rPr>
          <w:rFonts w:cs="Times New Roman"/>
          <w:szCs w:val="24"/>
        </w:rPr>
        <w:t>This is particularly important in case of Shell PLC because faster recovery of cash would improve its liquidity position</w:t>
      </w:r>
      <w:r w:rsidR="002C4B5F">
        <w:rPr>
          <w:rFonts w:cs="Times New Roman"/>
          <w:szCs w:val="24"/>
        </w:rPr>
        <w:t xml:space="preserve"> and reduce the time period during which invested capital remain exposed to market and operational risk. </w:t>
      </w:r>
    </w:p>
    <w:p w14:paraId="0F6FC5E7" w14:textId="7C634B40" w:rsidR="00DE3D6D" w:rsidRDefault="00DE3D6D" w:rsidP="009642C8">
      <w:pPr>
        <w:spacing w:line="360" w:lineRule="auto"/>
        <w:rPr>
          <w:rFonts w:cs="Times New Roman"/>
          <w:szCs w:val="24"/>
        </w:rPr>
      </w:pPr>
      <w:r>
        <w:rPr>
          <w:rFonts w:cs="Times New Roman"/>
          <w:szCs w:val="24"/>
        </w:rPr>
        <w:t>However, this method ignores cash flows received after the completion of payback period and time value of money</w:t>
      </w:r>
      <w:r w:rsidR="00575825">
        <w:rPr>
          <w:rFonts w:cs="Times New Roman"/>
          <w:szCs w:val="24"/>
        </w:rPr>
        <w:t>. Therefore, this method alone should not be the basis to take any investment decision.</w:t>
      </w:r>
    </w:p>
    <w:p w14:paraId="19226FA3" w14:textId="28412B1A" w:rsidR="00575825" w:rsidRPr="00B57803" w:rsidRDefault="00575825" w:rsidP="00575825">
      <w:pPr>
        <w:pStyle w:val="Heading2"/>
        <w:spacing w:line="360" w:lineRule="auto"/>
        <w:rPr>
          <w:rFonts w:ascii="Times New Roman" w:hAnsi="Times New Roman" w:cs="Times New Roman"/>
          <w:sz w:val="24"/>
          <w:szCs w:val="24"/>
        </w:rPr>
      </w:pPr>
      <w:bookmarkStart w:id="19" w:name="_Toc243773399"/>
      <w:r>
        <w:rPr>
          <w:rFonts w:ascii="Times New Roman" w:hAnsi="Times New Roman" w:cs="Times New Roman"/>
          <w:sz w:val="24"/>
          <w:szCs w:val="24"/>
        </w:rPr>
        <w:t>5.2</w:t>
      </w:r>
      <w:r w:rsidRPr="00B57803">
        <w:rPr>
          <w:rFonts w:ascii="Times New Roman" w:hAnsi="Times New Roman" w:cs="Times New Roman"/>
          <w:sz w:val="24"/>
          <w:szCs w:val="24"/>
        </w:rPr>
        <w:t xml:space="preserve"> </w:t>
      </w:r>
      <w:r w:rsidR="00745EFC">
        <w:rPr>
          <w:rFonts w:ascii="Times New Roman" w:hAnsi="Times New Roman" w:cs="Times New Roman"/>
          <w:sz w:val="24"/>
          <w:szCs w:val="24"/>
        </w:rPr>
        <w:t>Accounting rate of return</w:t>
      </w:r>
      <w:bookmarkEnd w:id="19"/>
    </w:p>
    <w:p w14:paraId="565152B7" w14:textId="2C5F50A2" w:rsidR="00745EFC" w:rsidRDefault="00745EFC" w:rsidP="00745EFC">
      <w:pPr>
        <w:spacing w:line="360" w:lineRule="auto"/>
        <w:rPr>
          <w:rFonts w:cs="Times New Roman"/>
          <w:b/>
          <w:bCs/>
          <w:szCs w:val="24"/>
        </w:rPr>
      </w:pPr>
      <w:r>
        <w:rPr>
          <w:rFonts w:cs="Times New Roman"/>
          <w:szCs w:val="24"/>
        </w:rPr>
        <w:t xml:space="preserve">Calculations of ARR are provided in </w:t>
      </w:r>
      <w:r>
        <w:rPr>
          <w:rFonts w:cs="Times New Roman"/>
          <w:b/>
          <w:bCs/>
          <w:szCs w:val="24"/>
        </w:rPr>
        <w:t xml:space="preserve">Annexure </w:t>
      </w:r>
      <w:r w:rsidR="007C351F">
        <w:rPr>
          <w:rFonts w:cs="Times New Roman"/>
          <w:b/>
          <w:bCs/>
          <w:szCs w:val="24"/>
        </w:rPr>
        <w:t>C</w:t>
      </w:r>
      <w:r>
        <w:rPr>
          <w:rFonts w:cs="Times New Roman"/>
          <w:b/>
          <w:bCs/>
          <w:szCs w:val="24"/>
        </w:rPr>
        <w:t>.</w:t>
      </w:r>
    </w:p>
    <w:p w14:paraId="20C044DA" w14:textId="778047AC" w:rsidR="00ED78AF" w:rsidRDefault="00745EFC" w:rsidP="00BE0840">
      <w:pPr>
        <w:spacing w:line="360" w:lineRule="auto"/>
      </w:pPr>
      <w:r>
        <w:rPr>
          <w:rFonts w:cs="Times New Roman"/>
          <w:szCs w:val="24"/>
        </w:rPr>
        <w:t xml:space="preserve">The said tables </w:t>
      </w:r>
      <w:r w:rsidR="00320E1F">
        <w:rPr>
          <w:rFonts w:cs="Times New Roman"/>
          <w:szCs w:val="24"/>
        </w:rPr>
        <w:t>indicate</w:t>
      </w:r>
      <w:r>
        <w:rPr>
          <w:rFonts w:cs="Times New Roman"/>
          <w:szCs w:val="24"/>
        </w:rPr>
        <w:t xml:space="preserve"> that </w:t>
      </w:r>
      <w:r>
        <w:rPr>
          <w:rFonts w:cs="Times New Roman"/>
          <w:b/>
          <w:bCs/>
          <w:szCs w:val="24"/>
        </w:rPr>
        <w:t>ARR</w:t>
      </w:r>
      <w:r w:rsidRPr="00365053">
        <w:rPr>
          <w:rFonts w:cs="Times New Roman"/>
          <w:b/>
          <w:bCs/>
          <w:szCs w:val="24"/>
        </w:rPr>
        <w:t xml:space="preserve"> of project A, B &amp; C </w:t>
      </w:r>
      <w:r>
        <w:rPr>
          <w:rFonts w:cs="Times New Roman"/>
          <w:b/>
          <w:bCs/>
          <w:szCs w:val="24"/>
        </w:rPr>
        <w:t>is 3.2%, 4% and 12% respectively.</w:t>
      </w:r>
      <w:r w:rsidR="00BE0840">
        <w:rPr>
          <w:rFonts w:cs="Times New Roman"/>
          <w:b/>
          <w:bCs/>
          <w:szCs w:val="24"/>
        </w:rPr>
        <w:t xml:space="preserve"> </w:t>
      </w:r>
      <w:r w:rsidR="00BE0840">
        <w:rPr>
          <w:rFonts w:cs="Times New Roman"/>
          <w:szCs w:val="24"/>
        </w:rPr>
        <w:t>Thus, in terms of this method also, project C is generating s</w:t>
      </w:r>
      <w:r w:rsidR="00BE0840" w:rsidRPr="00BE0840">
        <w:t>trongest accounting return</w:t>
      </w:r>
      <w:r w:rsidR="00BE0840">
        <w:t xml:space="preserve"> in relation to the average investment. </w:t>
      </w:r>
      <w:r w:rsidR="004E55A6">
        <w:t xml:space="preserve">Basis this, ARR method also supports selection of Project C, </w:t>
      </w:r>
      <w:r w:rsidR="00ED78AF">
        <w:t>specifically given the recent decline in capital returns of Shell</w:t>
      </w:r>
      <w:r w:rsidR="006549A6">
        <w:t xml:space="preserve"> (</w:t>
      </w:r>
      <w:r w:rsidR="006549A6" w:rsidRPr="006554B3">
        <w:t>Arjunan</w:t>
      </w:r>
      <w:r w:rsidR="006549A6">
        <w:t>, 2022)</w:t>
      </w:r>
      <w:r w:rsidR="00ED78AF">
        <w:t>.</w:t>
      </w:r>
    </w:p>
    <w:p w14:paraId="646A865B" w14:textId="79378E1C" w:rsidR="00BE0840" w:rsidRDefault="00ED78AF" w:rsidP="00BE0840">
      <w:pPr>
        <w:spacing w:line="360" w:lineRule="auto"/>
      </w:pPr>
      <w:r>
        <w:t xml:space="preserve">However, it is to be noted that this method is based on accounting profits and not cash flows </w:t>
      </w:r>
      <w:r w:rsidR="00487ED5">
        <w:t xml:space="preserve">and it also does not discount future earnings. Therefore, results of this method should also be considered alongside other investment appraisal techniques such as </w:t>
      </w:r>
      <w:r w:rsidR="00CA1F57">
        <w:t>NPV which provides a more direct assessment of value created by any project</w:t>
      </w:r>
      <w:r w:rsidR="00EF39ED">
        <w:t xml:space="preserve"> (</w:t>
      </w:r>
      <w:r w:rsidR="00EF39ED" w:rsidRPr="00C070BF">
        <w:t>Ferriswara</w:t>
      </w:r>
      <w:r w:rsidR="00EF39ED">
        <w:t xml:space="preserve"> et al, 2022)</w:t>
      </w:r>
      <w:r w:rsidR="00CA1F57">
        <w:t>.</w:t>
      </w:r>
      <w:r>
        <w:t xml:space="preserve"> </w:t>
      </w:r>
    </w:p>
    <w:p w14:paraId="479E4F51" w14:textId="7FD6AC41" w:rsidR="00CA1F57" w:rsidRPr="00B57803" w:rsidRDefault="00CA1F57" w:rsidP="00CA1F57">
      <w:pPr>
        <w:pStyle w:val="Heading2"/>
        <w:spacing w:line="360" w:lineRule="auto"/>
        <w:rPr>
          <w:rFonts w:ascii="Times New Roman" w:hAnsi="Times New Roman" w:cs="Times New Roman"/>
          <w:sz w:val="24"/>
          <w:szCs w:val="24"/>
        </w:rPr>
      </w:pPr>
      <w:bookmarkStart w:id="20" w:name="_Toc243773400"/>
      <w:r>
        <w:rPr>
          <w:rFonts w:ascii="Times New Roman" w:hAnsi="Times New Roman" w:cs="Times New Roman"/>
          <w:sz w:val="24"/>
          <w:szCs w:val="24"/>
        </w:rPr>
        <w:t>5.3</w:t>
      </w:r>
      <w:r w:rsidRPr="00B57803">
        <w:rPr>
          <w:rFonts w:ascii="Times New Roman" w:hAnsi="Times New Roman" w:cs="Times New Roman"/>
          <w:sz w:val="24"/>
          <w:szCs w:val="24"/>
        </w:rPr>
        <w:t xml:space="preserve"> </w:t>
      </w:r>
      <w:r>
        <w:rPr>
          <w:rFonts w:ascii="Times New Roman" w:hAnsi="Times New Roman" w:cs="Times New Roman"/>
          <w:sz w:val="24"/>
          <w:szCs w:val="24"/>
        </w:rPr>
        <w:t>Net present value</w:t>
      </w:r>
      <w:bookmarkEnd w:id="20"/>
    </w:p>
    <w:p w14:paraId="1F55BE81" w14:textId="5DCE590B" w:rsidR="00CA1F57" w:rsidRDefault="00CA1F57" w:rsidP="00CA1F57">
      <w:pPr>
        <w:spacing w:line="360" w:lineRule="auto"/>
        <w:rPr>
          <w:rFonts w:cs="Times New Roman"/>
          <w:b/>
          <w:bCs/>
          <w:szCs w:val="24"/>
        </w:rPr>
      </w:pPr>
      <w:r>
        <w:rPr>
          <w:rFonts w:cs="Times New Roman"/>
          <w:szCs w:val="24"/>
        </w:rPr>
        <w:t xml:space="preserve">Calculations of NPV are provided in </w:t>
      </w:r>
      <w:r>
        <w:rPr>
          <w:rFonts w:cs="Times New Roman"/>
          <w:b/>
          <w:bCs/>
          <w:szCs w:val="24"/>
        </w:rPr>
        <w:t xml:space="preserve">Annexure </w:t>
      </w:r>
      <w:r w:rsidR="007C351F">
        <w:rPr>
          <w:rFonts w:cs="Times New Roman"/>
          <w:b/>
          <w:bCs/>
          <w:szCs w:val="24"/>
        </w:rPr>
        <w:t>C</w:t>
      </w:r>
      <w:r>
        <w:rPr>
          <w:rFonts w:cs="Times New Roman"/>
          <w:b/>
          <w:bCs/>
          <w:szCs w:val="24"/>
        </w:rPr>
        <w:t>.</w:t>
      </w:r>
    </w:p>
    <w:p w14:paraId="76AC35F1" w14:textId="37E9BF89" w:rsidR="00CA1F57" w:rsidRDefault="00CA1F57" w:rsidP="00CA1F57">
      <w:pPr>
        <w:spacing w:line="360" w:lineRule="auto"/>
        <w:rPr>
          <w:rFonts w:cs="Times New Roman"/>
          <w:szCs w:val="24"/>
        </w:rPr>
      </w:pPr>
      <w:r>
        <w:rPr>
          <w:rFonts w:cs="Times New Roman"/>
          <w:szCs w:val="24"/>
        </w:rPr>
        <w:t xml:space="preserve">The said tables </w:t>
      </w:r>
      <w:r w:rsidR="00320E1F">
        <w:rPr>
          <w:rFonts w:cs="Times New Roman"/>
          <w:szCs w:val="24"/>
        </w:rPr>
        <w:t>indicate</w:t>
      </w:r>
      <w:r>
        <w:rPr>
          <w:rFonts w:cs="Times New Roman"/>
          <w:szCs w:val="24"/>
        </w:rPr>
        <w:t xml:space="preserve"> that </w:t>
      </w:r>
      <w:r w:rsidR="00131F42">
        <w:rPr>
          <w:rFonts w:cs="Times New Roman"/>
          <w:b/>
          <w:bCs/>
          <w:szCs w:val="24"/>
        </w:rPr>
        <w:t>NPV</w:t>
      </w:r>
      <w:r w:rsidRPr="00365053">
        <w:rPr>
          <w:rFonts w:cs="Times New Roman"/>
          <w:b/>
          <w:bCs/>
          <w:szCs w:val="24"/>
        </w:rPr>
        <w:t xml:space="preserve"> of project A, B &amp; C </w:t>
      </w:r>
      <w:r w:rsidR="00131F42">
        <w:rPr>
          <w:rFonts w:cs="Times New Roman"/>
          <w:b/>
          <w:bCs/>
          <w:szCs w:val="24"/>
        </w:rPr>
        <w:t>are</w:t>
      </w:r>
      <w:r>
        <w:rPr>
          <w:rFonts w:cs="Times New Roman"/>
          <w:b/>
          <w:bCs/>
          <w:szCs w:val="24"/>
        </w:rPr>
        <w:t xml:space="preserve"> </w:t>
      </w:r>
      <w:r w:rsidR="00131F42">
        <w:rPr>
          <w:rFonts w:cs="Times New Roman"/>
          <w:b/>
          <w:bCs/>
          <w:szCs w:val="24"/>
        </w:rPr>
        <w:t>(</w:t>
      </w:r>
      <w:r w:rsidR="002313D5">
        <w:rPr>
          <w:rFonts w:cs="Times New Roman"/>
          <w:szCs w:val="24"/>
        </w:rPr>
        <w:t>£</w:t>
      </w:r>
      <w:r w:rsidR="00131F42">
        <w:rPr>
          <w:rFonts w:cs="Times New Roman"/>
          <w:b/>
          <w:bCs/>
          <w:szCs w:val="24"/>
        </w:rPr>
        <w:t>6.54</w:t>
      </w:r>
      <w:r w:rsidR="00F03FB3">
        <w:rPr>
          <w:rFonts w:cs="Times New Roman"/>
          <w:b/>
          <w:bCs/>
          <w:szCs w:val="24"/>
        </w:rPr>
        <w:t xml:space="preserve">m), </w:t>
      </w:r>
      <w:r w:rsidR="001B5E4F">
        <w:rPr>
          <w:rFonts w:cs="Times New Roman"/>
          <w:b/>
          <w:bCs/>
          <w:szCs w:val="24"/>
        </w:rPr>
        <w:t>(</w:t>
      </w:r>
      <w:r w:rsidR="002313D5">
        <w:rPr>
          <w:rFonts w:cs="Times New Roman"/>
          <w:szCs w:val="24"/>
        </w:rPr>
        <w:t>£</w:t>
      </w:r>
      <w:r w:rsidR="001B5E4F">
        <w:rPr>
          <w:rFonts w:cs="Times New Roman"/>
          <w:b/>
          <w:bCs/>
          <w:szCs w:val="24"/>
        </w:rPr>
        <w:t xml:space="preserve">6.08m) and </w:t>
      </w:r>
      <w:r w:rsidR="002313D5">
        <w:rPr>
          <w:rFonts w:cs="Times New Roman"/>
          <w:szCs w:val="24"/>
        </w:rPr>
        <w:t>£</w:t>
      </w:r>
      <w:r w:rsidR="001B5E4F">
        <w:rPr>
          <w:rFonts w:cs="Times New Roman"/>
          <w:b/>
          <w:bCs/>
          <w:szCs w:val="24"/>
        </w:rPr>
        <w:t xml:space="preserve">0.86 m </w:t>
      </w:r>
      <w:r>
        <w:rPr>
          <w:rFonts w:cs="Times New Roman"/>
          <w:b/>
          <w:bCs/>
          <w:szCs w:val="24"/>
        </w:rPr>
        <w:t xml:space="preserve">respectively. </w:t>
      </w:r>
      <w:r w:rsidR="001B5E4F">
        <w:rPr>
          <w:rFonts w:cs="Times New Roman"/>
          <w:szCs w:val="24"/>
        </w:rPr>
        <w:t xml:space="preserve">It implies that </w:t>
      </w:r>
      <w:r w:rsidR="00506386">
        <w:rPr>
          <w:rFonts w:cs="Times New Roman"/>
          <w:szCs w:val="24"/>
        </w:rPr>
        <w:t xml:space="preserve">both project A and B are having negative NPV, meaning thereby that there are expected to generate returns </w:t>
      </w:r>
      <w:r w:rsidR="00A74317">
        <w:rPr>
          <w:rFonts w:cs="Times New Roman"/>
          <w:szCs w:val="24"/>
        </w:rPr>
        <w:t xml:space="preserve">which is lower than the require return of 8%. Therefore, acceptance of either of the project would result in reduction of shareholder’s value under the stated assumptions. </w:t>
      </w:r>
    </w:p>
    <w:p w14:paraId="1EBF28FD" w14:textId="36B78F90" w:rsidR="00A74317" w:rsidRDefault="00A74317" w:rsidP="00CA1F57">
      <w:pPr>
        <w:spacing w:line="360" w:lineRule="auto"/>
        <w:rPr>
          <w:rFonts w:cs="Times New Roman"/>
          <w:szCs w:val="24"/>
        </w:rPr>
      </w:pPr>
      <w:r>
        <w:rPr>
          <w:rFonts w:cs="Times New Roman"/>
          <w:szCs w:val="24"/>
        </w:rPr>
        <w:t>On the other hand, Project C has a positive NPV</w:t>
      </w:r>
      <w:r w:rsidR="008F017E">
        <w:rPr>
          <w:rFonts w:cs="Times New Roman"/>
          <w:szCs w:val="24"/>
        </w:rPr>
        <w:t xml:space="preserve"> which mean that discounted cash flows generated by this project are higher than the initial investment amount involved. </w:t>
      </w:r>
      <w:r w:rsidR="00BD3ED1">
        <w:rPr>
          <w:rFonts w:cs="Times New Roman"/>
          <w:szCs w:val="24"/>
        </w:rPr>
        <w:t xml:space="preserve">Although, the surplus value addition in relatively smaller but this is the only project </w:t>
      </w:r>
      <w:r w:rsidR="00CD36B3">
        <w:rPr>
          <w:rFonts w:cs="Times New Roman"/>
          <w:szCs w:val="24"/>
        </w:rPr>
        <w:t xml:space="preserve">which is able to create positive net present value at the required rate of return. Further, this method should </w:t>
      </w:r>
      <w:r w:rsidR="006D632D">
        <w:rPr>
          <w:rFonts w:cs="Times New Roman"/>
          <w:szCs w:val="24"/>
        </w:rPr>
        <w:t>have the largest weight in the final decision as it directly estimates the financial value addition made by a given project</w:t>
      </w:r>
      <w:r w:rsidR="006549A6">
        <w:rPr>
          <w:rFonts w:cs="Times New Roman"/>
          <w:szCs w:val="24"/>
        </w:rPr>
        <w:t xml:space="preserve"> (</w:t>
      </w:r>
      <w:r w:rsidR="006549A6" w:rsidRPr="00C70C94">
        <w:t>Boateng</w:t>
      </w:r>
      <w:r w:rsidR="006549A6">
        <w:t xml:space="preserve"> et al, 2022)</w:t>
      </w:r>
      <w:r w:rsidR="006D632D">
        <w:rPr>
          <w:rFonts w:cs="Times New Roman"/>
          <w:szCs w:val="24"/>
        </w:rPr>
        <w:t xml:space="preserve">. </w:t>
      </w:r>
    </w:p>
    <w:p w14:paraId="6C3DB4C7" w14:textId="16346ADF" w:rsidR="00B0196B" w:rsidRPr="00B57803" w:rsidRDefault="00B0196B" w:rsidP="00B0196B">
      <w:pPr>
        <w:pStyle w:val="Heading2"/>
        <w:spacing w:line="360" w:lineRule="auto"/>
        <w:rPr>
          <w:rFonts w:ascii="Times New Roman" w:hAnsi="Times New Roman" w:cs="Times New Roman"/>
          <w:sz w:val="24"/>
          <w:szCs w:val="24"/>
        </w:rPr>
      </w:pPr>
      <w:bookmarkStart w:id="21" w:name="_Toc243773401"/>
      <w:r>
        <w:rPr>
          <w:rFonts w:ascii="Times New Roman" w:hAnsi="Times New Roman" w:cs="Times New Roman"/>
          <w:sz w:val="24"/>
          <w:szCs w:val="24"/>
        </w:rPr>
        <w:t>5.4</w:t>
      </w:r>
      <w:r w:rsidRPr="00B57803">
        <w:rPr>
          <w:rFonts w:ascii="Times New Roman" w:hAnsi="Times New Roman" w:cs="Times New Roman"/>
          <w:sz w:val="24"/>
          <w:szCs w:val="24"/>
        </w:rPr>
        <w:t xml:space="preserve"> </w:t>
      </w:r>
      <w:r>
        <w:rPr>
          <w:rFonts w:ascii="Times New Roman" w:hAnsi="Times New Roman" w:cs="Times New Roman"/>
          <w:sz w:val="24"/>
          <w:szCs w:val="24"/>
        </w:rPr>
        <w:t>Profitability index</w:t>
      </w:r>
      <w:bookmarkEnd w:id="21"/>
    </w:p>
    <w:p w14:paraId="164D34DA" w14:textId="7CFB1C4A" w:rsidR="00B0196B" w:rsidRDefault="00B0196B" w:rsidP="00B0196B">
      <w:pPr>
        <w:spacing w:line="360" w:lineRule="auto"/>
        <w:rPr>
          <w:rFonts w:cs="Times New Roman"/>
          <w:b/>
          <w:bCs/>
          <w:szCs w:val="24"/>
        </w:rPr>
      </w:pPr>
      <w:r>
        <w:rPr>
          <w:rFonts w:cs="Times New Roman"/>
          <w:szCs w:val="24"/>
        </w:rPr>
        <w:t xml:space="preserve">Calculations of profitability index are provided in </w:t>
      </w:r>
      <w:r>
        <w:rPr>
          <w:rFonts w:cs="Times New Roman"/>
          <w:b/>
          <w:bCs/>
          <w:szCs w:val="24"/>
        </w:rPr>
        <w:t xml:space="preserve">Annexure </w:t>
      </w:r>
      <w:r w:rsidR="007C351F">
        <w:rPr>
          <w:rFonts w:cs="Times New Roman"/>
          <w:b/>
          <w:bCs/>
          <w:szCs w:val="24"/>
        </w:rPr>
        <w:t>C</w:t>
      </w:r>
      <w:r>
        <w:rPr>
          <w:rFonts w:cs="Times New Roman"/>
          <w:b/>
          <w:bCs/>
          <w:szCs w:val="24"/>
        </w:rPr>
        <w:t>.</w:t>
      </w:r>
    </w:p>
    <w:p w14:paraId="07D20662" w14:textId="61126A6D" w:rsidR="00BA0671" w:rsidRDefault="00B0196B" w:rsidP="00B0196B">
      <w:pPr>
        <w:spacing w:line="360" w:lineRule="auto"/>
        <w:rPr>
          <w:rFonts w:cs="Times New Roman"/>
          <w:szCs w:val="24"/>
        </w:rPr>
      </w:pPr>
      <w:r>
        <w:rPr>
          <w:rFonts w:cs="Times New Roman"/>
          <w:szCs w:val="24"/>
        </w:rPr>
        <w:t xml:space="preserve">The said tables </w:t>
      </w:r>
      <w:r w:rsidR="00320E1F">
        <w:rPr>
          <w:rFonts w:cs="Times New Roman"/>
          <w:szCs w:val="24"/>
        </w:rPr>
        <w:t>indicate</w:t>
      </w:r>
      <w:r>
        <w:rPr>
          <w:rFonts w:cs="Times New Roman"/>
          <w:szCs w:val="24"/>
        </w:rPr>
        <w:t xml:space="preserve"> that </w:t>
      </w:r>
      <w:r>
        <w:rPr>
          <w:rFonts w:cs="Times New Roman"/>
          <w:b/>
          <w:bCs/>
          <w:szCs w:val="24"/>
        </w:rPr>
        <w:t>PI</w:t>
      </w:r>
      <w:r w:rsidRPr="00365053">
        <w:rPr>
          <w:rFonts w:cs="Times New Roman"/>
          <w:b/>
          <w:bCs/>
          <w:szCs w:val="24"/>
        </w:rPr>
        <w:t xml:space="preserve"> of project A, B &amp; C </w:t>
      </w:r>
      <w:r>
        <w:rPr>
          <w:rFonts w:cs="Times New Roman"/>
          <w:b/>
          <w:bCs/>
          <w:szCs w:val="24"/>
        </w:rPr>
        <w:t>are</w:t>
      </w:r>
      <w:r w:rsidR="00BA0671">
        <w:rPr>
          <w:rFonts w:cs="Times New Roman"/>
          <w:b/>
          <w:bCs/>
          <w:szCs w:val="24"/>
        </w:rPr>
        <w:t xml:space="preserve"> 0.87, 0.88 and 1.02 respectively</w:t>
      </w:r>
      <w:r>
        <w:rPr>
          <w:rFonts w:cs="Times New Roman"/>
          <w:b/>
          <w:bCs/>
          <w:szCs w:val="24"/>
        </w:rPr>
        <w:t>.</w:t>
      </w:r>
      <w:r w:rsidR="00BA0671">
        <w:rPr>
          <w:rFonts w:cs="Times New Roman"/>
          <w:szCs w:val="24"/>
        </w:rPr>
        <w:t xml:space="preserve"> Thus, pr</w:t>
      </w:r>
      <w:r w:rsidR="00187E57">
        <w:rPr>
          <w:rFonts w:cs="Times New Roman"/>
          <w:szCs w:val="24"/>
        </w:rPr>
        <w:t>oject C has the highest PI of 1.02</w:t>
      </w:r>
      <w:r w:rsidR="00924F52">
        <w:rPr>
          <w:rFonts w:cs="Times New Roman"/>
          <w:szCs w:val="24"/>
        </w:rPr>
        <w:t xml:space="preserve"> which implies that for every </w:t>
      </w:r>
      <w:r w:rsidR="002313D5">
        <w:rPr>
          <w:rFonts w:cs="Times New Roman"/>
          <w:szCs w:val="24"/>
        </w:rPr>
        <w:t>£</w:t>
      </w:r>
      <w:r w:rsidR="00924F52">
        <w:rPr>
          <w:rFonts w:cs="Times New Roman"/>
          <w:szCs w:val="24"/>
        </w:rPr>
        <w:t xml:space="preserve">1 invested, this project is able to generate the NPV of </w:t>
      </w:r>
      <w:r w:rsidR="000F563D">
        <w:rPr>
          <w:rFonts w:cs="Times New Roman"/>
          <w:szCs w:val="24"/>
        </w:rPr>
        <w:t>£</w:t>
      </w:r>
      <w:r w:rsidR="00924F52">
        <w:rPr>
          <w:rFonts w:cs="Times New Roman"/>
          <w:szCs w:val="24"/>
        </w:rPr>
        <w:t xml:space="preserve">1.02. </w:t>
      </w:r>
      <w:r w:rsidR="000544D6">
        <w:rPr>
          <w:rFonts w:cs="Times New Roman"/>
          <w:szCs w:val="24"/>
        </w:rPr>
        <w:t xml:space="preserve">On the other hand, project A and B have PI of lower than 1 which again confirm that </w:t>
      </w:r>
      <w:r w:rsidR="00C2674B">
        <w:rPr>
          <w:rFonts w:cs="Times New Roman"/>
          <w:szCs w:val="24"/>
        </w:rPr>
        <w:t xml:space="preserve">their discounted cash inflows are not able to recover the initial investment amount. </w:t>
      </w:r>
    </w:p>
    <w:p w14:paraId="7B4A0BF6" w14:textId="2F2C8A14" w:rsidR="00C2674B" w:rsidRDefault="00C2674B" w:rsidP="00B0196B">
      <w:pPr>
        <w:spacing w:line="360" w:lineRule="auto"/>
        <w:rPr>
          <w:rFonts w:cs="Times New Roman"/>
          <w:szCs w:val="24"/>
        </w:rPr>
      </w:pPr>
      <w:r>
        <w:rPr>
          <w:rFonts w:cs="Times New Roman"/>
          <w:szCs w:val="24"/>
        </w:rPr>
        <w:t xml:space="preserve">This method is specifically important </w:t>
      </w:r>
      <w:r w:rsidR="008F465C">
        <w:rPr>
          <w:rFonts w:cs="Times New Roman"/>
          <w:szCs w:val="24"/>
        </w:rPr>
        <w:t xml:space="preserve">when available capital is restricted as it helps to compare the value generation for each unit of investment made. </w:t>
      </w:r>
      <w:r w:rsidR="00D97198">
        <w:rPr>
          <w:rFonts w:cs="Times New Roman"/>
          <w:szCs w:val="24"/>
        </w:rPr>
        <w:t xml:space="preserve">However, results of this method should be considered with total NPV when a combination of indivisible projects </w:t>
      </w:r>
      <w:r w:rsidR="00320E1F">
        <w:rPr>
          <w:rFonts w:cs="Times New Roman"/>
          <w:szCs w:val="24"/>
        </w:rPr>
        <w:t>is</w:t>
      </w:r>
      <w:r w:rsidR="00D97198">
        <w:rPr>
          <w:rFonts w:cs="Times New Roman"/>
          <w:szCs w:val="24"/>
        </w:rPr>
        <w:t xml:space="preserve"> selected</w:t>
      </w:r>
      <w:r w:rsidR="00EF39ED">
        <w:rPr>
          <w:rFonts w:cs="Times New Roman"/>
          <w:szCs w:val="24"/>
        </w:rPr>
        <w:t xml:space="preserve"> (</w:t>
      </w:r>
      <w:r w:rsidR="00EF39ED" w:rsidRPr="001501D9">
        <w:t>European Investment Bank</w:t>
      </w:r>
      <w:r w:rsidR="00EF39ED">
        <w:t>, 2023)</w:t>
      </w:r>
      <w:r w:rsidR="00D97198">
        <w:rPr>
          <w:rFonts w:cs="Times New Roman"/>
          <w:szCs w:val="24"/>
        </w:rPr>
        <w:t>.</w:t>
      </w:r>
    </w:p>
    <w:p w14:paraId="2A0E17C1" w14:textId="2682067F" w:rsidR="005610C1" w:rsidRPr="00B57803" w:rsidRDefault="005610C1" w:rsidP="005610C1">
      <w:pPr>
        <w:pStyle w:val="Heading2"/>
        <w:spacing w:line="360" w:lineRule="auto"/>
        <w:rPr>
          <w:rFonts w:ascii="Times New Roman" w:hAnsi="Times New Roman" w:cs="Times New Roman"/>
          <w:sz w:val="24"/>
          <w:szCs w:val="24"/>
        </w:rPr>
      </w:pPr>
      <w:bookmarkStart w:id="22" w:name="_Toc243773402"/>
      <w:r>
        <w:rPr>
          <w:rFonts w:ascii="Times New Roman" w:hAnsi="Times New Roman" w:cs="Times New Roman"/>
          <w:sz w:val="24"/>
          <w:szCs w:val="24"/>
        </w:rPr>
        <w:t>5.5</w:t>
      </w:r>
      <w:r w:rsidRPr="00B57803">
        <w:rPr>
          <w:rFonts w:ascii="Times New Roman" w:hAnsi="Times New Roman" w:cs="Times New Roman"/>
          <w:sz w:val="24"/>
          <w:szCs w:val="24"/>
        </w:rPr>
        <w:t xml:space="preserve"> </w:t>
      </w:r>
      <w:r>
        <w:rPr>
          <w:rFonts w:ascii="Times New Roman" w:hAnsi="Times New Roman" w:cs="Times New Roman"/>
          <w:sz w:val="24"/>
          <w:szCs w:val="24"/>
        </w:rPr>
        <w:t>Internal rate of return</w:t>
      </w:r>
      <w:bookmarkEnd w:id="22"/>
    </w:p>
    <w:p w14:paraId="79B21FC0" w14:textId="6D9F854A" w:rsidR="005610C1" w:rsidRDefault="005610C1" w:rsidP="005610C1">
      <w:pPr>
        <w:spacing w:line="360" w:lineRule="auto"/>
        <w:rPr>
          <w:rFonts w:cs="Times New Roman"/>
          <w:b/>
          <w:bCs/>
          <w:szCs w:val="24"/>
        </w:rPr>
      </w:pPr>
      <w:r>
        <w:rPr>
          <w:rFonts w:cs="Times New Roman"/>
          <w:szCs w:val="24"/>
        </w:rPr>
        <w:t xml:space="preserve">Calculations of IRR are provided in </w:t>
      </w:r>
      <w:r>
        <w:rPr>
          <w:rFonts w:cs="Times New Roman"/>
          <w:b/>
          <w:bCs/>
          <w:szCs w:val="24"/>
        </w:rPr>
        <w:t xml:space="preserve">Annexure </w:t>
      </w:r>
      <w:r w:rsidR="007C351F">
        <w:rPr>
          <w:rFonts w:cs="Times New Roman"/>
          <w:b/>
          <w:bCs/>
          <w:szCs w:val="24"/>
        </w:rPr>
        <w:t>C</w:t>
      </w:r>
      <w:r>
        <w:rPr>
          <w:rFonts w:cs="Times New Roman"/>
          <w:b/>
          <w:bCs/>
          <w:szCs w:val="24"/>
        </w:rPr>
        <w:t>.</w:t>
      </w:r>
    </w:p>
    <w:p w14:paraId="7D89C9C2" w14:textId="278A9E88" w:rsidR="005610C1" w:rsidRDefault="005610C1" w:rsidP="005610C1">
      <w:pPr>
        <w:spacing w:line="360" w:lineRule="auto"/>
        <w:rPr>
          <w:rFonts w:cs="Times New Roman"/>
          <w:szCs w:val="24"/>
        </w:rPr>
      </w:pPr>
      <w:r>
        <w:rPr>
          <w:rFonts w:cs="Times New Roman"/>
          <w:szCs w:val="24"/>
        </w:rPr>
        <w:t xml:space="preserve">The said tables </w:t>
      </w:r>
      <w:r w:rsidR="00320E1F">
        <w:rPr>
          <w:rFonts w:cs="Times New Roman"/>
          <w:szCs w:val="24"/>
        </w:rPr>
        <w:t>indicate</w:t>
      </w:r>
      <w:r>
        <w:rPr>
          <w:rFonts w:cs="Times New Roman"/>
          <w:szCs w:val="24"/>
        </w:rPr>
        <w:t xml:space="preserve"> that </w:t>
      </w:r>
      <w:r>
        <w:rPr>
          <w:rFonts w:cs="Times New Roman"/>
          <w:b/>
          <w:bCs/>
          <w:szCs w:val="24"/>
        </w:rPr>
        <w:t>IRR</w:t>
      </w:r>
      <w:r w:rsidRPr="00365053">
        <w:rPr>
          <w:rFonts w:cs="Times New Roman"/>
          <w:b/>
          <w:bCs/>
          <w:szCs w:val="24"/>
        </w:rPr>
        <w:t xml:space="preserve"> of project A, B &amp; C </w:t>
      </w:r>
      <w:r>
        <w:rPr>
          <w:rFonts w:cs="Times New Roman"/>
          <w:b/>
          <w:bCs/>
          <w:szCs w:val="24"/>
        </w:rPr>
        <w:t>are 2.85%, 3.45% and 8.77% respectively.</w:t>
      </w:r>
      <w:r w:rsidR="00B51530">
        <w:rPr>
          <w:rFonts w:cs="Times New Roman"/>
          <w:b/>
          <w:bCs/>
          <w:szCs w:val="24"/>
        </w:rPr>
        <w:t xml:space="preserve"> </w:t>
      </w:r>
      <w:r w:rsidR="00B51530">
        <w:rPr>
          <w:rFonts w:cs="Times New Roman"/>
          <w:szCs w:val="24"/>
        </w:rPr>
        <w:t>Thus, based on this method also, Project C has the highest IRR which is also higher than the required rate of return of 8%</w:t>
      </w:r>
      <w:r w:rsidR="006A1B77">
        <w:rPr>
          <w:rFonts w:cs="Times New Roman"/>
          <w:szCs w:val="24"/>
        </w:rPr>
        <w:t xml:space="preserve">. On the other hand, IRR of project A and B is lower than 8% which demonstrates that </w:t>
      </w:r>
      <w:r w:rsidR="007D5F5E">
        <w:rPr>
          <w:rFonts w:cs="Times New Roman"/>
          <w:szCs w:val="24"/>
        </w:rPr>
        <w:t>expected returns from these projects do not meet the investment hurdle</w:t>
      </w:r>
      <w:r w:rsidR="00EF39ED">
        <w:rPr>
          <w:rFonts w:cs="Times New Roman"/>
          <w:szCs w:val="24"/>
        </w:rPr>
        <w:t xml:space="preserve"> (</w:t>
      </w:r>
      <w:r w:rsidR="00EF39ED" w:rsidRPr="003A2B0A">
        <w:t>DURGA</w:t>
      </w:r>
      <w:r w:rsidR="00EF39ED">
        <w:t>, 2026)</w:t>
      </w:r>
      <w:r w:rsidR="007D5F5E">
        <w:rPr>
          <w:rFonts w:cs="Times New Roman"/>
          <w:szCs w:val="24"/>
        </w:rPr>
        <w:t xml:space="preserve">. </w:t>
      </w:r>
      <w:r w:rsidR="006A1B77">
        <w:rPr>
          <w:rFonts w:cs="Times New Roman"/>
          <w:szCs w:val="24"/>
        </w:rPr>
        <w:t xml:space="preserve"> </w:t>
      </w:r>
    </w:p>
    <w:p w14:paraId="3647346B" w14:textId="1753CE4C" w:rsidR="00BF206F" w:rsidRPr="00B57803" w:rsidRDefault="00BF206F" w:rsidP="00BF206F">
      <w:pPr>
        <w:pStyle w:val="Heading2"/>
        <w:spacing w:line="360" w:lineRule="auto"/>
        <w:rPr>
          <w:rFonts w:ascii="Times New Roman" w:hAnsi="Times New Roman" w:cs="Times New Roman"/>
          <w:sz w:val="24"/>
          <w:szCs w:val="24"/>
        </w:rPr>
      </w:pPr>
      <w:bookmarkStart w:id="23" w:name="_Toc243773403"/>
      <w:r>
        <w:rPr>
          <w:rFonts w:ascii="Times New Roman" w:hAnsi="Times New Roman" w:cs="Times New Roman"/>
          <w:sz w:val="24"/>
          <w:szCs w:val="24"/>
        </w:rPr>
        <w:t>5.6</w:t>
      </w:r>
      <w:r w:rsidRPr="00B57803">
        <w:rPr>
          <w:rFonts w:ascii="Times New Roman" w:hAnsi="Times New Roman" w:cs="Times New Roman"/>
          <w:sz w:val="24"/>
          <w:szCs w:val="24"/>
        </w:rPr>
        <w:t xml:space="preserve"> </w:t>
      </w:r>
      <w:r>
        <w:rPr>
          <w:rFonts w:ascii="Times New Roman" w:hAnsi="Times New Roman" w:cs="Times New Roman"/>
          <w:sz w:val="24"/>
          <w:szCs w:val="24"/>
        </w:rPr>
        <w:t xml:space="preserve">Overall comparison of projects and </w:t>
      </w:r>
      <w:r w:rsidR="00B70212">
        <w:rPr>
          <w:rFonts w:ascii="Times New Roman" w:hAnsi="Times New Roman" w:cs="Times New Roman"/>
          <w:sz w:val="24"/>
          <w:szCs w:val="24"/>
        </w:rPr>
        <w:t>recommendation on project to be selected</w:t>
      </w:r>
      <w:bookmarkEnd w:id="23"/>
    </w:p>
    <w:p w14:paraId="09FFECB9" w14:textId="77777777" w:rsidR="00126D3C" w:rsidRDefault="00B70212" w:rsidP="00BF206F">
      <w:pPr>
        <w:spacing w:line="360" w:lineRule="auto"/>
        <w:rPr>
          <w:rFonts w:cs="Times New Roman"/>
          <w:szCs w:val="24"/>
        </w:rPr>
      </w:pPr>
      <w:r>
        <w:rPr>
          <w:rFonts w:cs="Times New Roman"/>
          <w:szCs w:val="24"/>
        </w:rPr>
        <w:t xml:space="preserve">Application of all the investment appraisal techniques demonstrates that </w:t>
      </w:r>
      <w:r>
        <w:rPr>
          <w:rFonts w:cs="Times New Roman"/>
          <w:b/>
          <w:bCs/>
          <w:szCs w:val="24"/>
        </w:rPr>
        <w:t xml:space="preserve">Project C should be selected. </w:t>
      </w:r>
      <w:r w:rsidR="00C73F34">
        <w:rPr>
          <w:rFonts w:cs="Times New Roman"/>
          <w:szCs w:val="24"/>
        </w:rPr>
        <w:t xml:space="preserve">This is because </w:t>
      </w:r>
      <w:r w:rsidR="00C73F34" w:rsidRPr="00126D3C">
        <w:rPr>
          <w:rFonts w:cs="Times New Roman"/>
          <w:b/>
          <w:bCs/>
          <w:szCs w:val="24"/>
        </w:rPr>
        <w:t>this project has the shortest payback period, highest NPV, ARR</w:t>
      </w:r>
      <w:r w:rsidR="00026F27" w:rsidRPr="00126D3C">
        <w:rPr>
          <w:rFonts w:cs="Times New Roman"/>
          <w:b/>
          <w:bCs/>
          <w:szCs w:val="24"/>
        </w:rPr>
        <w:t>, PI and IRR</w:t>
      </w:r>
      <w:r w:rsidR="00026F27">
        <w:rPr>
          <w:rFonts w:cs="Times New Roman"/>
          <w:szCs w:val="24"/>
        </w:rPr>
        <w:t xml:space="preserve">. </w:t>
      </w:r>
    </w:p>
    <w:p w14:paraId="7BE90A90" w14:textId="6A5996ED" w:rsidR="00BF206F" w:rsidRDefault="00026F27" w:rsidP="00BF206F">
      <w:pPr>
        <w:spacing w:line="360" w:lineRule="auto"/>
        <w:rPr>
          <w:rFonts w:cs="Times New Roman"/>
          <w:szCs w:val="24"/>
        </w:rPr>
      </w:pPr>
      <w:r>
        <w:rPr>
          <w:rFonts w:cs="Times New Roman"/>
          <w:szCs w:val="24"/>
        </w:rPr>
        <w:t xml:space="preserve">On the other hand, </w:t>
      </w:r>
      <w:r w:rsidRPr="00126D3C">
        <w:rPr>
          <w:rFonts w:cs="Times New Roman"/>
          <w:b/>
          <w:bCs/>
          <w:szCs w:val="24"/>
        </w:rPr>
        <w:t>Project A is least favourable</w:t>
      </w:r>
      <w:r>
        <w:rPr>
          <w:rFonts w:cs="Times New Roman"/>
          <w:szCs w:val="24"/>
        </w:rPr>
        <w:t xml:space="preserve"> in terms of all NPV, ARR</w:t>
      </w:r>
      <w:r w:rsidR="004D00E9">
        <w:rPr>
          <w:rFonts w:cs="Times New Roman"/>
          <w:szCs w:val="24"/>
        </w:rPr>
        <w:t>, PI and IRR while project B has a slightly better IRR and NPV in comparison to Project A</w:t>
      </w:r>
      <w:r w:rsidR="00403591">
        <w:rPr>
          <w:rFonts w:cs="Times New Roman"/>
          <w:szCs w:val="24"/>
        </w:rPr>
        <w:t xml:space="preserve"> but it still fails to achieve the required rate of return.</w:t>
      </w:r>
    </w:p>
    <w:p w14:paraId="0216472D" w14:textId="683C37EA" w:rsidR="00403591" w:rsidRDefault="00403591" w:rsidP="00BF206F">
      <w:pPr>
        <w:spacing w:line="360" w:lineRule="auto"/>
        <w:rPr>
          <w:rFonts w:cs="Times New Roman"/>
          <w:szCs w:val="24"/>
        </w:rPr>
      </w:pPr>
      <w:r>
        <w:rPr>
          <w:rFonts w:cs="Times New Roman"/>
          <w:szCs w:val="24"/>
        </w:rPr>
        <w:t xml:space="preserve">The current financial position of Shell </w:t>
      </w:r>
      <w:r w:rsidR="000A7005">
        <w:rPr>
          <w:rFonts w:cs="Times New Roman"/>
          <w:szCs w:val="24"/>
        </w:rPr>
        <w:t xml:space="preserve">strengthens the case for selective allocation of capital. Strong liquidity ratios of company </w:t>
      </w:r>
      <w:r w:rsidR="001546AD">
        <w:rPr>
          <w:rFonts w:cs="Times New Roman"/>
          <w:szCs w:val="24"/>
        </w:rPr>
        <w:t>provide it with some capacity to finance the selected investment but declining operating cash flow margin</w:t>
      </w:r>
      <w:r w:rsidR="00AD2684">
        <w:rPr>
          <w:rFonts w:cs="Times New Roman"/>
          <w:szCs w:val="24"/>
        </w:rPr>
        <w:t xml:space="preserve"> and return on capital employed implies that capital should not be invested in the projects </w:t>
      </w:r>
      <w:r w:rsidR="00371115">
        <w:rPr>
          <w:rFonts w:cs="Times New Roman"/>
          <w:szCs w:val="24"/>
        </w:rPr>
        <w:t xml:space="preserve">merely for expanding business operations. Positive NPV of project C and its IRR exceeding 8% </w:t>
      </w:r>
      <w:r w:rsidR="00BB6760">
        <w:rPr>
          <w:rFonts w:cs="Times New Roman"/>
          <w:szCs w:val="24"/>
        </w:rPr>
        <w:t xml:space="preserve">provide a financial basis for making investment provided that </w:t>
      </w:r>
      <w:r w:rsidR="00330DD1">
        <w:rPr>
          <w:rFonts w:cs="Times New Roman"/>
          <w:szCs w:val="24"/>
        </w:rPr>
        <w:t>subsequent due diligence carried out in this context confirms the reliability of projected cash inflows</w:t>
      </w:r>
      <w:r w:rsidR="006D0FE4">
        <w:rPr>
          <w:rFonts w:cs="Times New Roman"/>
          <w:szCs w:val="24"/>
        </w:rPr>
        <w:t xml:space="preserve"> (</w:t>
      </w:r>
      <w:r w:rsidR="006D0FE4" w:rsidRPr="00666424">
        <w:t>Brusov</w:t>
      </w:r>
      <w:r w:rsidR="006D0FE4">
        <w:t xml:space="preserve"> et al, 2026)</w:t>
      </w:r>
      <w:r w:rsidR="00330DD1">
        <w:rPr>
          <w:rFonts w:cs="Times New Roman"/>
          <w:szCs w:val="24"/>
        </w:rPr>
        <w:t>.</w:t>
      </w:r>
    </w:p>
    <w:p w14:paraId="5AC513D2" w14:textId="5ECC1DD5" w:rsidR="00126D3C" w:rsidRPr="00A064D2" w:rsidRDefault="00A064D2" w:rsidP="00BF206F">
      <w:pPr>
        <w:spacing w:line="360" w:lineRule="auto"/>
        <w:rPr>
          <w:rFonts w:cs="Times New Roman"/>
          <w:b/>
          <w:bCs/>
          <w:szCs w:val="24"/>
          <w:u w:val="single"/>
        </w:rPr>
      </w:pPr>
      <w:r w:rsidRPr="00A064D2">
        <w:rPr>
          <w:rFonts w:cs="Times New Roman"/>
          <w:b/>
          <w:bCs/>
          <w:szCs w:val="24"/>
          <w:u w:val="single"/>
        </w:rPr>
        <w:t>Non-financial factors and strategic suitability</w:t>
      </w:r>
    </w:p>
    <w:p w14:paraId="372229AE" w14:textId="77777777" w:rsidR="00C26CEC" w:rsidRDefault="008737D6" w:rsidP="00575825">
      <w:pPr>
        <w:spacing w:line="360" w:lineRule="auto"/>
        <w:rPr>
          <w:rFonts w:cs="Times New Roman"/>
          <w:szCs w:val="24"/>
        </w:rPr>
      </w:pPr>
      <w:r>
        <w:rPr>
          <w:rFonts w:cs="Times New Roman"/>
          <w:szCs w:val="24"/>
        </w:rPr>
        <w:t>Although Project C appears to be financially suitable</w:t>
      </w:r>
      <w:r w:rsidR="00F6594E">
        <w:rPr>
          <w:rFonts w:cs="Times New Roman"/>
          <w:szCs w:val="24"/>
        </w:rPr>
        <w:t>, however, company should</w:t>
      </w:r>
      <w:r w:rsidR="00725060">
        <w:rPr>
          <w:rFonts w:cs="Times New Roman"/>
          <w:szCs w:val="24"/>
        </w:rPr>
        <w:t xml:space="preserve"> also take into account its operational and non-financial risks before investing </w:t>
      </w:r>
      <w:r w:rsidR="000F563D">
        <w:rPr>
          <w:rFonts w:cs="Times New Roman"/>
          <w:szCs w:val="24"/>
        </w:rPr>
        <w:t>£</w:t>
      </w:r>
      <w:r w:rsidR="00725060">
        <w:rPr>
          <w:rFonts w:cs="Times New Roman"/>
          <w:szCs w:val="24"/>
        </w:rPr>
        <w:t xml:space="preserve">50m. </w:t>
      </w:r>
      <w:r w:rsidR="00176D7C">
        <w:rPr>
          <w:rFonts w:cs="Times New Roman"/>
          <w:szCs w:val="24"/>
        </w:rPr>
        <w:t>This project is generating substantial cash inflows in year 3 and 4 (</w:t>
      </w:r>
      <w:r w:rsidR="000F563D">
        <w:rPr>
          <w:rFonts w:cs="Times New Roman"/>
          <w:szCs w:val="24"/>
        </w:rPr>
        <w:t>£</w:t>
      </w:r>
      <w:r w:rsidR="00176D7C">
        <w:rPr>
          <w:rFonts w:cs="Times New Roman"/>
          <w:szCs w:val="24"/>
        </w:rPr>
        <w:t xml:space="preserve">20m and </w:t>
      </w:r>
      <w:r w:rsidR="000F563D">
        <w:rPr>
          <w:rFonts w:cs="Times New Roman"/>
          <w:szCs w:val="24"/>
        </w:rPr>
        <w:t>£</w:t>
      </w:r>
      <w:r w:rsidR="00176D7C">
        <w:rPr>
          <w:rFonts w:cs="Times New Roman"/>
          <w:szCs w:val="24"/>
        </w:rPr>
        <w:t>25m respectively</w:t>
      </w:r>
      <w:r w:rsidR="000F563D">
        <w:rPr>
          <w:rFonts w:cs="Times New Roman"/>
          <w:szCs w:val="24"/>
        </w:rPr>
        <w:t>)</w:t>
      </w:r>
      <w:r w:rsidR="00D83E4F">
        <w:rPr>
          <w:rFonts w:cs="Times New Roman"/>
          <w:szCs w:val="24"/>
        </w:rPr>
        <w:t xml:space="preserve"> but in year 5 it is able to generate only £5m. </w:t>
      </w:r>
      <w:r w:rsidR="00DE1DE9">
        <w:rPr>
          <w:rFonts w:cs="Times New Roman"/>
          <w:szCs w:val="24"/>
        </w:rPr>
        <w:t xml:space="preserve">This </w:t>
      </w:r>
      <w:r w:rsidR="00DE1DE9" w:rsidRPr="00E443D5">
        <w:rPr>
          <w:rFonts w:cs="Times New Roman"/>
          <w:b/>
          <w:bCs/>
          <w:szCs w:val="24"/>
        </w:rPr>
        <w:t>uneven cash flow trend</w:t>
      </w:r>
      <w:r w:rsidR="00DE1DE9">
        <w:rPr>
          <w:rFonts w:cs="Times New Roman"/>
          <w:szCs w:val="24"/>
        </w:rPr>
        <w:t xml:space="preserve"> creates uncertainty </w:t>
      </w:r>
      <w:r w:rsidR="00525B2C">
        <w:rPr>
          <w:rFonts w:cs="Times New Roman"/>
          <w:szCs w:val="24"/>
        </w:rPr>
        <w:t xml:space="preserve">regarding the reliability and timing of returns. Cost overruns or delays </w:t>
      </w:r>
      <w:r w:rsidR="00356E2B">
        <w:rPr>
          <w:rFonts w:cs="Times New Roman"/>
          <w:szCs w:val="24"/>
        </w:rPr>
        <w:t xml:space="preserve">during the mid years </w:t>
      </w:r>
      <w:r w:rsidR="00C26CEC">
        <w:rPr>
          <w:rFonts w:cs="Times New Roman"/>
          <w:szCs w:val="24"/>
        </w:rPr>
        <w:t>could materially impact the NPV of project.</w:t>
      </w:r>
    </w:p>
    <w:p w14:paraId="4658FF7B" w14:textId="7F36CF3A" w:rsidR="0015781B" w:rsidRDefault="00C26CEC" w:rsidP="00575825">
      <w:pPr>
        <w:spacing w:line="360" w:lineRule="auto"/>
      </w:pPr>
      <w:r w:rsidRPr="00E443D5">
        <w:rPr>
          <w:rFonts w:cs="Times New Roman"/>
          <w:b/>
          <w:bCs/>
          <w:szCs w:val="24"/>
        </w:rPr>
        <w:t>Regulatory and political risks</w:t>
      </w:r>
      <w:r>
        <w:rPr>
          <w:rFonts w:cs="Times New Roman"/>
          <w:szCs w:val="24"/>
        </w:rPr>
        <w:t xml:space="preserve"> </w:t>
      </w:r>
      <w:r w:rsidR="00686995">
        <w:rPr>
          <w:rFonts w:cs="Times New Roman"/>
          <w:szCs w:val="24"/>
        </w:rPr>
        <w:t xml:space="preserve">shall also be carefully considered. </w:t>
      </w:r>
      <w:r w:rsidR="00D25AFF">
        <w:rPr>
          <w:rFonts w:cs="Times New Roman"/>
          <w:szCs w:val="24"/>
        </w:rPr>
        <w:t xml:space="preserve">If implementation of project C involves carrying out operations in </w:t>
      </w:r>
      <w:r w:rsidR="00F34F47" w:rsidRPr="00F34F47">
        <w:t>politically unstable jurisdiction</w:t>
      </w:r>
      <w:r w:rsidR="00F34F47">
        <w:t xml:space="preserve">, </w:t>
      </w:r>
      <w:r w:rsidR="00F34F47" w:rsidRPr="00F34F47">
        <w:t>environmental</w:t>
      </w:r>
      <w:r w:rsidR="00F34F47">
        <w:t xml:space="preserve"> </w:t>
      </w:r>
      <w:r w:rsidR="00F34F47" w:rsidRPr="00F34F47">
        <w:t>regulation</w:t>
      </w:r>
      <w:r w:rsidR="00F34F47">
        <w:t xml:space="preserve">, </w:t>
      </w:r>
      <w:r w:rsidR="00F34F47" w:rsidRPr="00F34F47">
        <w:t>changes in taxation</w:t>
      </w:r>
      <w:r w:rsidR="00F34F47">
        <w:t>, trade restrictions</w:t>
      </w:r>
      <w:r w:rsidR="00902E7A">
        <w:t xml:space="preserve"> or licencing conditions then it could directly impact projected returns. </w:t>
      </w:r>
      <w:r w:rsidR="00C05C25">
        <w:t xml:space="preserve">Therefore, company should undertake country-level assessment and assess the potential impact of </w:t>
      </w:r>
      <w:r w:rsidR="00B41135">
        <w:t>fluctuations in exchange rate and inflation on project revenue and costs</w:t>
      </w:r>
      <w:r w:rsidR="00EF39ED">
        <w:t xml:space="preserve"> (</w:t>
      </w:r>
      <w:r w:rsidR="00EF39ED" w:rsidRPr="00A822D3">
        <w:t>Das</w:t>
      </w:r>
      <w:r w:rsidR="00EF39ED">
        <w:t xml:space="preserve"> &amp; </w:t>
      </w:r>
      <w:r w:rsidR="00EF39ED" w:rsidRPr="00A822D3">
        <w:t>Swain</w:t>
      </w:r>
      <w:r w:rsidR="00EF39ED">
        <w:t>, 2018)</w:t>
      </w:r>
      <w:r w:rsidR="00B41135">
        <w:t xml:space="preserve">. </w:t>
      </w:r>
    </w:p>
    <w:p w14:paraId="76904E8D" w14:textId="132FE236" w:rsidR="00575825" w:rsidRDefault="0015781B" w:rsidP="00575825">
      <w:pPr>
        <w:spacing w:line="360" w:lineRule="auto"/>
        <w:rPr>
          <w:rFonts w:cs="Times New Roman"/>
          <w:szCs w:val="24"/>
        </w:rPr>
      </w:pPr>
      <w:r w:rsidRPr="00E443D5">
        <w:rPr>
          <w:b/>
          <w:bCs/>
        </w:rPr>
        <w:t xml:space="preserve">Market demand and </w:t>
      </w:r>
      <w:r w:rsidR="00780DB4" w:rsidRPr="00E443D5">
        <w:rPr>
          <w:b/>
          <w:bCs/>
        </w:rPr>
        <w:t>customer loyalty</w:t>
      </w:r>
      <w:r w:rsidR="00780DB4">
        <w:t xml:space="preserve"> shall also be considered before acceptance of any project. Projects which are linked to </w:t>
      </w:r>
      <w:r w:rsidR="00845962" w:rsidRPr="00845962">
        <w:t>long-term supply agreements</w:t>
      </w:r>
      <w:r w:rsidR="00845962">
        <w:t xml:space="preserve"> or </w:t>
      </w:r>
      <w:r w:rsidR="00845962" w:rsidRPr="00845962">
        <w:t>established customers</w:t>
      </w:r>
      <w:r w:rsidR="00845962">
        <w:t xml:space="preserve"> may provide more predictable cash flows </w:t>
      </w:r>
      <w:r w:rsidR="007F134D">
        <w:t xml:space="preserve">in comparison to projects which have uncertain future demand. Therefore, company should evaluate </w:t>
      </w:r>
      <w:r w:rsidR="00304DE9">
        <w:t xml:space="preserve">competitive landscape, </w:t>
      </w:r>
      <w:r w:rsidR="00304DE9" w:rsidRPr="00304DE9">
        <w:t>customer commitments</w:t>
      </w:r>
      <w:r w:rsidR="00304DE9">
        <w:t xml:space="preserve"> and the possibility of </w:t>
      </w:r>
      <w:r w:rsidR="00304DE9" w:rsidRPr="00304DE9">
        <w:t xml:space="preserve">regulatory </w:t>
      </w:r>
      <w:r w:rsidR="00304DE9">
        <w:t xml:space="preserve">or </w:t>
      </w:r>
      <w:r w:rsidR="00304DE9" w:rsidRPr="00304DE9">
        <w:t xml:space="preserve">technological </w:t>
      </w:r>
      <w:r w:rsidR="00304DE9">
        <w:t>changes impacting the commercial viability of project.</w:t>
      </w:r>
      <w:r w:rsidR="00525B2C">
        <w:rPr>
          <w:rFonts w:cs="Times New Roman"/>
          <w:szCs w:val="24"/>
        </w:rPr>
        <w:t xml:space="preserve"> </w:t>
      </w:r>
    </w:p>
    <w:p w14:paraId="7B35A1A4" w14:textId="4EB44F20" w:rsidR="00E443D5" w:rsidRPr="00B57803" w:rsidRDefault="00E443D5" w:rsidP="00E443D5">
      <w:pPr>
        <w:pStyle w:val="Heading2"/>
        <w:spacing w:line="360" w:lineRule="auto"/>
        <w:rPr>
          <w:rFonts w:ascii="Times New Roman" w:hAnsi="Times New Roman" w:cs="Times New Roman"/>
          <w:sz w:val="24"/>
          <w:szCs w:val="24"/>
        </w:rPr>
      </w:pPr>
      <w:bookmarkStart w:id="24" w:name="_Toc243773404"/>
      <w:r>
        <w:rPr>
          <w:rFonts w:ascii="Times New Roman" w:hAnsi="Times New Roman" w:cs="Times New Roman"/>
          <w:sz w:val="24"/>
          <w:szCs w:val="24"/>
        </w:rPr>
        <w:t>5.7</w:t>
      </w:r>
      <w:r w:rsidRPr="00B57803">
        <w:rPr>
          <w:rFonts w:ascii="Times New Roman" w:hAnsi="Times New Roman" w:cs="Times New Roman"/>
          <w:sz w:val="24"/>
          <w:szCs w:val="24"/>
        </w:rPr>
        <w:t xml:space="preserve"> </w:t>
      </w:r>
      <w:r w:rsidR="000E6E91">
        <w:rPr>
          <w:rFonts w:ascii="Times New Roman" w:hAnsi="Times New Roman" w:cs="Times New Roman"/>
          <w:sz w:val="24"/>
          <w:szCs w:val="24"/>
        </w:rPr>
        <w:t>Capital rationing</w:t>
      </w:r>
      <w:bookmarkEnd w:id="24"/>
    </w:p>
    <w:p w14:paraId="7036A3C5" w14:textId="2675E2FD" w:rsidR="00E443D5" w:rsidRDefault="00885ED4" w:rsidP="00E443D5">
      <w:pPr>
        <w:spacing w:line="360" w:lineRule="auto"/>
      </w:pPr>
      <w:r>
        <w:t xml:space="preserve">In the instant case, Shell has </w:t>
      </w:r>
      <w:r w:rsidR="007256CF">
        <w:t xml:space="preserve">maximum investment amount of </w:t>
      </w:r>
      <w:r w:rsidR="007256CF">
        <w:rPr>
          <w:rFonts w:cs="Times New Roman"/>
        </w:rPr>
        <w:t>£</w:t>
      </w:r>
      <w:r w:rsidR="007256CF">
        <w:t xml:space="preserve">100m and each project requires investment of </w:t>
      </w:r>
      <w:r w:rsidR="007256CF">
        <w:rPr>
          <w:rFonts w:cs="Times New Roman"/>
        </w:rPr>
        <w:t>£</w:t>
      </w:r>
      <w:r w:rsidR="007256CF">
        <w:t xml:space="preserve">50m. </w:t>
      </w:r>
      <w:r w:rsidR="003014DF">
        <w:t xml:space="preserve">Since projects are indivisible in nature, thus company can take maximum two projects simultaneously. </w:t>
      </w:r>
    </w:p>
    <w:p w14:paraId="46CE0CDB" w14:textId="01C7C530" w:rsidR="00CE3074" w:rsidRPr="00CE3074" w:rsidRDefault="00CE3074" w:rsidP="00E443D5">
      <w:pPr>
        <w:spacing w:line="360" w:lineRule="auto"/>
        <w:rPr>
          <w:u w:val="single"/>
        </w:rPr>
      </w:pPr>
      <w:r w:rsidRPr="00CE3074">
        <w:rPr>
          <w:u w:val="single"/>
        </w:rPr>
        <w:t>Following are the possible combinations of projects:</w:t>
      </w:r>
    </w:p>
    <w:tbl>
      <w:tblPr>
        <w:tblW w:w="9000" w:type="dxa"/>
        <w:tblLook w:val="04A0" w:firstRow="1" w:lastRow="0" w:firstColumn="1" w:lastColumn="0" w:noHBand="0" w:noVBand="1"/>
      </w:tblPr>
      <w:tblGrid>
        <w:gridCol w:w="5200"/>
        <w:gridCol w:w="1900"/>
        <w:gridCol w:w="1900"/>
      </w:tblGrid>
      <w:tr w:rsidR="00DA430E" w:rsidRPr="00DA430E" w14:paraId="45CC1EFB" w14:textId="77777777" w:rsidTr="00046C90">
        <w:trPr>
          <w:trHeight w:val="290"/>
        </w:trPr>
        <w:tc>
          <w:tcPr>
            <w:tcW w:w="5200" w:type="dxa"/>
            <w:tcBorders>
              <w:top w:val="single" w:sz="4" w:space="0" w:color="auto"/>
              <w:left w:val="single" w:sz="4" w:space="0" w:color="auto"/>
              <w:bottom w:val="single" w:sz="4" w:space="0" w:color="auto"/>
              <w:right w:val="single" w:sz="4" w:space="0" w:color="auto"/>
            </w:tcBorders>
            <w:shd w:val="clear" w:color="auto" w:fill="808080" w:themeFill="background1" w:themeFillShade="80"/>
            <w:noWrap/>
            <w:vAlign w:val="center"/>
            <w:hideMark/>
          </w:tcPr>
          <w:p w14:paraId="0F105696" w14:textId="77777777" w:rsidR="00DA430E" w:rsidRPr="00DA430E" w:rsidRDefault="00DA430E" w:rsidP="00046C90">
            <w:pPr>
              <w:spacing w:after="0" w:line="240" w:lineRule="auto"/>
              <w:jc w:val="center"/>
              <w:rPr>
                <w:rFonts w:eastAsia="Times New Roman" w:cs="Times New Roman"/>
                <w:b/>
                <w:bCs/>
                <w:color w:val="FFFFFF"/>
                <w:kern w:val="0"/>
                <w:sz w:val="22"/>
                <w:lang w:eastAsia="en-IN"/>
                <w14:ligatures w14:val="none"/>
              </w:rPr>
            </w:pPr>
            <w:r w:rsidRPr="00DA430E">
              <w:rPr>
                <w:rFonts w:eastAsia="Times New Roman" w:cs="Times New Roman"/>
                <w:b/>
                <w:bCs/>
                <w:color w:val="FFFFFF"/>
                <w:kern w:val="0"/>
                <w:sz w:val="22"/>
                <w:lang w:eastAsia="en-IN"/>
                <w14:ligatures w14:val="none"/>
              </w:rPr>
              <w:t>Combination</w:t>
            </w:r>
          </w:p>
        </w:tc>
        <w:tc>
          <w:tcPr>
            <w:tcW w:w="1900"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00D664DB" w14:textId="77777777" w:rsidR="00DA430E" w:rsidRPr="00DA430E" w:rsidRDefault="00DA430E" w:rsidP="00046C90">
            <w:pPr>
              <w:spacing w:after="0" w:line="240" w:lineRule="auto"/>
              <w:jc w:val="center"/>
              <w:rPr>
                <w:rFonts w:eastAsia="Times New Roman" w:cs="Times New Roman"/>
                <w:b/>
                <w:bCs/>
                <w:color w:val="FFFFFF"/>
                <w:kern w:val="0"/>
                <w:sz w:val="22"/>
                <w:lang w:eastAsia="en-IN"/>
                <w14:ligatures w14:val="none"/>
              </w:rPr>
            </w:pPr>
            <w:r w:rsidRPr="00DA430E">
              <w:rPr>
                <w:rFonts w:eastAsia="Times New Roman" w:cs="Times New Roman"/>
                <w:b/>
                <w:bCs/>
                <w:color w:val="FFFFFF"/>
                <w:kern w:val="0"/>
                <w:sz w:val="22"/>
                <w:lang w:eastAsia="en-IN"/>
                <w14:ligatures w14:val="none"/>
              </w:rPr>
              <w:t>Total investment</w:t>
            </w:r>
          </w:p>
        </w:tc>
        <w:tc>
          <w:tcPr>
            <w:tcW w:w="1900" w:type="dxa"/>
            <w:tcBorders>
              <w:top w:val="single" w:sz="4" w:space="0" w:color="auto"/>
              <w:left w:val="nil"/>
              <w:bottom w:val="single" w:sz="4" w:space="0" w:color="auto"/>
              <w:right w:val="single" w:sz="4" w:space="0" w:color="auto"/>
            </w:tcBorders>
            <w:shd w:val="clear" w:color="auto" w:fill="808080" w:themeFill="background1" w:themeFillShade="80"/>
            <w:noWrap/>
            <w:vAlign w:val="center"/>
            <w:hideMark/>
          </w:tcPr>
          <w:p w14:paraId="3BE7C70D" w14:textId="77777777" w:rsidR="00DA430E" w:rsidRPr="00DA430E" w:rsidRDefault="00DA430E" w:rsidP="00046C90">
            <w:pPr>
              <w:spacing w:after="0" w:line="240" w:lineRule="auto"/>
              <w:jc w:val="center"/>
              <w:rPr>
                <w:rFonts w:eastAsia="Times New Roman" w:cs="Times New Roman"/>
                <w:b/>
                <w:bCs/>
                <w:color w:val="FFFFFF"/>
                <w:kern w:val="0"/>
                <w:sz w:val="22"/>
                <w:lang w:eastAsia="en-IN"/>
                <w14:ligatures w14:val="none"/>
              </w:rPr>
            </w:pPr>
            <w:r w:rsidRPr="00DA430E">
              <w:rPr>
                <w:rFonts w:eastAsia="Times New Roman" w:cs="Times New Roman"/>
                <w:b/>
                <w:bCs/>
                <w:color w:val="FFFFFF"/>
                <w:kern w:val="0"/>
                <w:sz w:val="22"/>
                <w:lang w:eastAsia="en-IN"/>
                <w14:ligatures w14:val="none"/>
              </w:rPr>
              <w:t>Total NPV</w:t>
            </w:r>
          </w:p>
        </w:tc>
      </w:tr>
      <w:tr w:rsidR="00DA430E" w:rsidRPr="00DA430E" w14:paraId="7C3DB3D0" w14:textId="77777777" w:rsidTr="00DA430E">
        <w:trPr>
          <w:trHeight w:val="290"/>
        </w:trPr>
        <w:tc>
          <w:tcPr>
            <w:tcW w:w="5200" w:type="dxa"/>
            <w:tcBorders>
              <w:top w:val="nil"/>
              <w:left w:val="single" w:sz="4" w:space="0" w:color="auto"/>
              <w:bottom w:val="single" w:sz="4" w:space="0" w:color="auto"/>
              <w:right w:val="single" w:sz="4" w:space="0" w:color="auto"/>
            </w:tcBorders>
            <w:noWrap/>
            <w:vAlign w:val="bottom"/>
            <w:hideMark/>
          </w:tcPr>
          <w:p w14:paraId="42CD5FA5" w14:textId="03756B4D" w:rsidR="00DA430E" w:rsidRPr="00DA430E" w:rsidRDefault="00DA430E" w:rsidP="00DA430E">
            <w:pPr>
              <w:spacing w:after="0" w:line="240" w:lineRule="auto"/>
              <w:rPr>
                <w:rFonts w:eastAsia="Times New Roman" w:cs="Times New Roman"/>
                <w:color w:val="000000"/>
                <w:kern w:val="0"/>
                <w:sz w:val="22"/>
                <w:lang w:eastAsia="en-IN"/>
                <w14:ligatures w14:val="none"/>
              </w:rPr>
            </w:pPr>
            <w:r>
              <w:rPr>
                <w:rFonts w:eastAsia="Times New Roman" w:cs="Times New Roman"/>
                <w:color w:val="000000"/>
                <w:kern w:val="0"/>
                <w:sz w:val="22"/>
                <w:lang w:eastAsia="en-IN"/>
                <w14:ligatures w14:val="none"/>
              </w:rPr>
              <w:t>Project A and B</w:t>
            </w:r>
          </w:p>
        </w:tc>
        <w:tc>
          <w:tcPr>
            <w:tcW w:w="1900" w:type="dxa"/>
            <w:tcBorders>
              <w:top w:val="nil"/>
              <w:left w:val="nil"/>
              <w:bottom w:val="single" w:sz="4" w:space="0" w:color="auto"/>
              <w:right w:val="single" w:sz="4" w:space="0" w:color="auto"/>
            </w:tcBorders>
            <w:noWrap/>
            <w:vAlign w:val="center"/>
            <w:hideMark/>
          </w:tcPr>
          <w:p w14:paraId="5BDB1C53"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100.00</w:t>
            </w:r>
          </w:p>
        </w:tc>
        <w:tc>
          <w:tcPr>
            <w:tcW w:w="1900" w:type="dxa"/>
            <w:tcBorders>
              <w:top w:val="nil"/>
              <w:left w:val="nil"/>
              <w:bottom w:val="single" w:sz="4" w:space="0" w:color="auto"/>
              <w:right w:val="single" w:sz="4" w:space="0" w:color="auto"/>
            </w:tcBorders>
            <w:noWrap/>
            <w:vAlign w:val="center"/>
            <w:hideMark/>
          </w:tcPr>
          <w:p w14:paraId="7FDA7EC1"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(12.62)</w:t>
            </w:r>
          </w:p>
        </w:tc>
      </w:tr>
      <w:tr w:rsidR="00DA430E" w:rsidRPr="00DA430E" w14:paraId="6235074C" w14:textId="77777777" w:rsidTr="00DA430E">
        <w:trPr>
          <w:trHeight w:val="290"/>
        </w:trPr>
        <w:tc>
          <w:tcPr>
            <w:tcW w:w="5200" w:type="dxa"/>
            <w:tcBorders>
              <w:top w:val="nil"/>
              <w:left w:val="single" w:sz="4" w:space="0" w:color="auto"/>
              <w:bottom w:val="single" w:sz="4" w:space="0" w:color="auto"/>
              <w:right w:val="single" w:sz="4" w:space="0" w:color="auto"/>
            </w:tcBorders>
            <w:noWrap/>
            <w:vAlign w:val="bottom"/>
            <w:hideMark/>
          </w:tcPr>
          <w:p w14:paraId="66281C96" w14:textId="4FED66CE" w:rsidR="00DA430E" w:rsidRPr="00DA430E" w:rsidRDefault="00DA430E" w:rsidP="00DA430E">
            <w:pPr>
              <w:spacing w:after="0" w:line="240" w:lineRule="auto"/>
              <w:rPr>
                <w:rFonts w:eastAsia="Times New Roman" w:cs="Times New Roman"/>
                <w:color w:val="000000"/>
                <w:kern w:val="0"/>
                <w:sz w:val="22"/>
                <w:lang w:eastAsia="en-IN"/>
                <w14:ligatures w14:val="none"/>
              </w:rPr>
            </w:pPr>
            <w:r>
              <w:rPr>
                <w:rFonts w:eastAsia="Times New Roman" w:cs="Times New Roman"/>
                <w:color w:val="000000"/>
                <w:kern w:val="0"/>
                <w:sz w:val="22"/>
                <w:lang w:eastAsia="en-IN"/>
                <w14:ligatures w14:val="none"/>
              </w:rPr>
              <w:t>Project A and C</w:t>
            </w:r>
          </w:p>
        </w:tc>
        <w:tc>
          <w:tcPr>
            <w:tcW w:w="1900" w:type="dxa"/>
            <w:tcBorders>
              <w:top w:val="nil"/>
              <w:left w:val="nil"/>
              <w:bottom w:val="single" w:sz="4" w:space="0" w:color="auto"/>
              <w:right w:val="single" w:sz="4" w:space="0" w:color="auto"/>
            </w:tcBorders>
            <w:noWrap/>
            <w:vAlign w:val="center"/>
            <w:hideMark/>
          </w:tcPr>
          <w:p w14:paraId="2BDD813B"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100.00</w:t>
            </w:r>
          </w:p>
        </w:tc>
        <w:tc>
          <w:tcPr>
            <w:tcW w:w="1900" w:type="dxa"/>
            <w:tcBorders>
              <w:top w:val="nil"/>
              <w:left w:val="nil"/>
              <w:bottom w:val="single" w:sz="4" w:space="0" w:color="auto"/>
              <w:right w:val="single" w:sz="4" w:space="0" w:color="auto"/>
            </w:tcBorders>
            <w:noWrap/>
            <w:vAlign w:val="center"/>
            <w:hideMark/>
          </w:tcPr>
          <w:p w14:paraId="6BB38CFF"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(5.69)</w:t>
            </w:r>
          </w:p>
        </w:tc>
      </w:tr>
      <w:tr w:rsidR="00DA430E" w:rsidRPr="00DA430E" w14:paraId="1D27F29B" w14:textId="77777777" w:rsidTr="00DA430E">
        <w:trPr>
          <w:trHeight w:val="290"/>
        </w:trPr>
        <w:tc>
          <w:tcPr>
            <w:tcW w:w="5200" w:type="dxa"/>
            <w:tcBorders>
              <w:top w:val="nil"/>
              <w:left w:val="single" w:sz="4" w:space="0" w:color="auto"/>
              <w:bottom w:val="single" w:sz="4" w:space="0" w:color="auto"/>
              <w:right w:val="single" w:sz="4" w:space="0" w:color="auto"/>
            </w:tcBorders>
            <w:noWrap/>
            <w:vAlign w:val="bottom"/>
            <w:hideMark/>
          </w:tcPr>
          <w:p w14:paraId="2765E7C5" w14:textId="73E81D9F" w:rsidR="00DA430E" w:rsidRPr="00DA430E" w:rsidRDefault="00DA430E" w:rsidP="00DA430E">
            <w:pPr>
              <w:spacing w:after="0" w:line="240" w:lineRule="auto"/>
              <w:rPr>
                <w:rFonts w:eastAsia="Times New Roman" w:cs="Times New Roman"/>
                <w:color w:val="000000"/>
                <w:kern w:val="0"/>
                <w:sz w:val="22"/>
                <w:lang w:eastAsia="en-IN"/>
                <w14:ligatures w14:val="none"/>
              </w:rPr>
            </w:pPr>
            <w:r>
              <w:rPr>
                <w:rFonts w:eastAsia="Times New Roman" w:cs="Times New Roman"/>
                <w:color w:val="000000"/>
                <w:kern w:val="0"/>
                <w:sz w:val="22"/>
                <w:lang w:eastAsia="en-IN"/>
                <w14:ligatures w14:val="none"/>
              </w:rPr>
              <w:t>Project B and C</w:t>
            </w:r>
          </w:p>
        </w:tc>
        <w:tc>
          <w:tcPr>
            <w:tcW w:w="1900" w:type="dxa"/>
            <w:tcBorders>
              <w:top w:val="nil"/>
              <w:left w:val="nil"/>
              <w:bottom w:val="single" w:sz="4" w:space="0" w:color="auto"/>
              <w:right w:val="single" w:sz="4" w:space="0" w:color="auto"/>
            </w:tcBorders>
            <w:noWrap/>
            <w:vAlign w:val="center"/>
            <w:hideMark/>
          </w:tcPr>
          <w:p w14:paraId="0B793F65"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100.00</w:t>
            </w:r>
          </w:p>
        </w:tc>
        <w:tc>
          <w:tcPr>
            <w:tcW w:w="1900" w:type="dxa"/>
            <w:tcBorders>
              <w:top w:val="nil"/>
              <w:left w:val="nil"/>
              <w:bottom w:val="single" w:sz="4" w:space="0" w:color="auto"/>
              <w:right w:val="single" w:sz="4" w:space="0" w:color="auto"/>
            </w:tcBorders>
            <w:noWrap/>
            <w:vAlign w:val="center"/>
            <w:hideMark/>
          </w:tcPr>
          <w:p w14:paraId="4581BC77"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(5.22)</w:t>
            </w:r>
          </w:p>
        </w:tc>
      </w:tr>
      <w:tr w:rsidR="00DA430E" w:rsidRPr="00DA430E" w14:paraId="323D75B3" w14:textId="77777777" w:rsidTr="00DA430E">
        <w:trPr>
          <w:trHeight w:val="290"/>
        </w:trPr>
        <w:tc>
          <w:tcPr>
            <w:tcW w:w="5200" w:type="dxa"/>
            <w:tcBorders>
              <w:top w:val="nil"/>
              <w:left w:val="single" w:sz="4" w:space="0" w:color="auto"/>
              <w:bottom w:val="single" w:sz="4" w:space="0" w:color="auto"/>
              <w:right w:val="single" w:sz="4" w:space="0" w:color="auto"/>
            </w:tcBorders>
            <w:noWrap/>
            <w:vAlign w:val="bottom"/>
            <w:hideMark/>
          </w:tcPr>
          <w:p w14:paraId="2092E1D4" w14:textId="25AA8249" w:rsidR="00DA430E" w:rsidRPr="00DA430E" w:rsidRDefault="00DA430E" w:rsidP="00DA430E">
            <w:pPr>
              <w:spacing w:after="0" w:line="240" w:lineRule="auto"/>
              <w:rPr>
                <w:rFonts w:eastAsia="Times New Roman" w:cs="Times New Roman"/>
                <w:color w:val="000000"/>
                <w:kern w:val="0"/>
                <w:sz w:val="22"/>
                <w:lang w:eastAsia="en-IN"/>
                <w14:ligatures w14:val="none"/>
              </w:rPr>
            </w:pPr>
            <w:r>
              <w:rPr>
                <w:rFonts w:eastAsia="Times New Roman" w:cs="Times New Roman"/>
                <w:color w:val="000000"/>
                <w:kern w:val="0"/>
                <w:sz w:val="22"/>
                <w:lang w:eastAsia="en-IN"/>
                <w14:ligatures w14:val="none"/>
              </w:rPr>
              <w:t>Project C only</w:t>
            </w:r>
          </w:p>
        </w:tc>
        <w:tc>
          <w:tcPr>
            <w:tcW w:w="1900" w:type="dxa"/>
            <w:tcBorders>
              <w:top w:val="nil"/>
              <w:left w:val="nil"/>
              <w:bottom w:val="single" w:sz="4" w:space="0" w:color="auto"/>
              <w:right w:val="single" w:sz="4" w:space="0" w:color="auto"/>
            </w:tcBorders>
            <w:noWrap/>
            <w:vAlign w:val="center"/>
            <w:hideMark/>
          </w:tcPr>
          <w:p w14:paraId="3DEE3A5D"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50.00</w:t>
            </w:r>
          </w:p>
        </w:tc>
        <w:tc>
          <w:tcPr>
            <w:tcW w:w="1900" w:type="dxa"/>
            <w:tcBorders>
              <w:top w:val="nil"/>
              <w:left w:val="nil"/>
              <w:bottom w:val="single" w:sz="4" w:space="0" w:color="auto"/>
              <w:right w:val="single" w:sz="4" w:space="0" w:color="auto"/>
            </w:tcBorders>
            <w:noWrap/>
            <w:vAlign w:val="center"/>
            <w:hideMark/>
          </w:tcPr>
          <w:p w14:paraId="7741CC09" w14:textId="77777777"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0.86</w:t>
            </w:r>
          </w:p>
        </w:tc>
      </w:tr>
      <w:tr w:rsidR="00DA430E" w:rsidRPr="00DA430E" w14:paraId="3CE5CBD0" w14:textId="77777777" w:rsidTr="00DA430E">
        <w:trPr>
          <w:trHeight w:val="290"/>
        </w:trPr>
        <w:tc>
          <w:tcPr>
            <w:tcW w:w="5200" w:type="dxa"/>
            <w:tcBorders>
              <w:top w:val="nil"/>
              <w:left w:val="single" w:sz="4" w:space="0" w:color="auto"/>
              <w:bottom w:val="single" w:sz="4" w:space="0" w:color="auto"/>
              <w:right w:val="single" w:sz="4" w:space="0" w:color="auto"/>
            </w:tcBorders>
            <w:noWrap/>
            <w:vAlign w:val="bottom"/>
            <w:hideMark/>
          </w:tcPr>
          <w:p w14:paraId="7AD91463" w14:textId="77777777" w:rsidR="00DA430E" w:rsidRPr="00DA430E" w:rsidRDefault="00DA430E" w:rsidP="00DA430E">
            <w:pPr>
              <w:spacing w:after="0" w:line="240" w:lineRule="auto"/>
              <w:rPr>
                <w:rFonts w:eastAsia="Times New Roman" w:cs="Times New Roman"/>
                <w:color w:val="000000"/>
                <w:kern w:val="0"/>
                <w:sz w:val="22"/>
                <w:lang w:eastAsia="en-IN"/>
                <w14:ligatures w14:val="none"/>
              </w:rPr>
            </w:pPr>
            <w:r w:rsidRPr="00DA430E">
              <w:rPr>
                <w:rFonts w:eastAsia="Times New Roman" w:cs="Times New Roman"/>
                <w:color w:val="000000"/>
                <w:kern w:val="0"/>
                <w:sz w:val="22"/>
                <w:lang w:eastAsia="en-IN"/>
                <w14:ligatures w14:val="none"/>
              </w:rPr>
              <w:t> </w:t>
            </w:r>
          </w:p>
        </w:tc>
        <w:tc>
          <w:tcPr>
            <w:tcW w:w="1900" w:type="dxa"/>
            <w:tcBorders>
              <w:top w:val="nil"/>
              <w:left w:val="nil"/>
              <w:bottom w:val="single" w:sz="4" w:space="0" w:color="auto"/>
              <w:right w:val="single" w:sz="4" w:space="0" w:color="auto"/>
            </w:tcBorders>
            <w:noWrap/>
            <w:vAlign w:val="center"/>
            <w:hideMark/>
          </w:tcPr>
          <w:p w14:paraId="74F01B4A" w14:textId="795469EC"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p>
        </w:tc>
        <w:tc>
          <w:tcPr>
            <w:tcW w:w="1900" w:type="dxa"/>
            <w:tcBorders>
              <w:top w:val="nil"/>
              <w:left w:val="nil"/>
              <w:bottom w:val="single" w:sz="4" w:space="0" w:color="auto"/>
              <w:right w:val="single" w:sz="4" w:space="0" w:color="auto"/>
            </w:tcBorders>
            <w:noWrap/>
            <w:vAlign w:val="center"/>
            <w:hideMark/>
          </w:tcPr>
          <w:p w14:paraId="3A53D381" w14:textId="36706EA2" w:rsidR="00DA430E" w:rsidRPr="00DA430E" w:rsidRDefault="00DA430E" w:rsidP="00DA430E">
            <w:pPr>
              <w:spacing w:after="0" w:line="240" w:lineRule="auto"/>
              <w:jc w:val="center"/>
              <w:rPr>
                <w:rFonts w:eastAsia="Times New Roman" w:cs="Times New Roman"/>
                <w:color w:val="000000"/>
                <w:kern w:val="0"/>
                <w:sz w:val="22"/>
                <w:lang w:eastAsia="en-IN"/>
                <w14:ligatures w14:val="none"/>
              </w:rPr>
            </w:pPr>
          </w:p>
        </w:tc>
      </w:tr>
      <w:tr w:rsidR="00DA430E" w:rsidRPr="00DA430E" w14:paraId="568425F1" w14:textId="77777777" w:rsidTr="00DA430E">
        <w:trPr>
          <w:trHeight w:val="290"/>
        </w:trPr>
        <w:tc>
          <w:tcPr>
            <w:tcW w:w="5200" w:type="dxa"/>
            <w:tcBorders>
              <w:top w:val="nil"/>
              <w:left w:val="single" w:sz="4" w:space="0" w:color="auto"/>
              <w:bottom w:val="single" w:sz="4" w:space="0" w:color="auto"/>
              <w:right w:val="single" w:sz="4" w:space="0" w:color="auto"/>
            </w:tcBorders>
            <w:noWrap/>
            <w:vAlign w:val="bottom"/>
            <w:hideMark/>
          </w:tcPr>
          <w:p w14:paraId="56C8BD22" w14:textId="77777777" w:rsidR="00DA430E" w:rsidRPr="00DA430E" w:rsidRDefault="00DA430E" w:rsidP="00DA430E">
            <w:pPr>
              <w:spacing w:after="0" w:line="240" w:lineRule="auto"/>
              <w:rPr>
                <w:rFonts w:eastAsia="Times New Roman" w:cs="Times New Roman"/>
                <w:b/>
                <w:bCs/>
                <w:color w:val="000000"/>
                <w:kern w:val="0"/>
                <w:sz w:val="22"/>
                <w:lang w:eastAsia="en-IN"/>
                <w14:ligatures w14:val="none"/>
              </w:rPr>
            </w:pPr>
            <w:r w:rsidRPr="00DA430E">
              <w:rPr>
                <w:rFonts w:eastAsia="Times New Roman" w:cs="Times New Roman"/>
                <w:b/>
                <w:bCs/>
                <w:color w:val="000000"/>
                <w:kern w:val="0"/>
                <w:sz w:val="22"/>
                <w:lang w:eastAsia="en-IN"/>
                <w14:ligatures w14:val="none"/>
              </w:rPr>
              <w:t>Highest total NPV using full £100m (2 projects)</w:t>
            </w:r>
          </w:p>
        </w:tc>
        <w:tc>
          <w:tcPr>
            <w:tcW w:w="1900" w:type="dxa"/>
            <w:tcBorders>
              <w:top w:val="nil"/>
              <w:left w:val="nil"/>
              <w:bottom w:val="single" w:sz="4" w:space="0" w:color="auto"/>
              <w:right w:val="single" w:sz="4" w:space="0" w:color="auto"/>
            </w:tcBorders>
            <w:noWrap/>
            <w:vAlign w:val="center"/>
            <w:hideMark/>
          </w:tcPr>
          <w:p w14:paraId="6E0CA1A2" w14:textId="125105E9" w:rsidR="00DA430E" w:rsidRPr="00DA430E" w:rsidRDefault="00DA430E" w:rsidP="00DA430E">
            <w:pPr>
              <w:spacing w:after="0" w:line="240" w:lineRule="auto"/>
              <w:jc w:val="center"/>
              <w:rPr>
                <w:rFonts w:eastAsia="Times New Roman" w:cs="Times New Roman"/>
                <w:b/>
                <w:bCs/>
                <w:color w:val="000000"/>
                <w:kern w:val="0"/>
                <w:sz w:val="22"/>
                <w:lang w:eastAsia="en-IN"/>
                <w14:ligatures w14:val="none"/>
              </w:rPr>
            </w:pPr>
          </w:p>
        </w:tc>
        <w:tc>
          <w:tcPr>
            <w:tcW w:w="1900" w:type="dxa"/>
            <w:tcBorders>
              <w:top w:val="nil"/>
              <w:left w:val="nil"/>
              <w:bottom w:val="single" w:sz="4" w:space="0" w:color="auto"/>
              <w:right w:val="single" w:sz="4" w:space="0" w:color="auto"/>
            </w:tcBorders>
            <w:noWrap/>
            <w:vAlign w:val="center"/>
            <w:hideMark/>
          </w:tcPr>
          <w:p w14:paraId="75A1AD59" w14:textId="77777777" w:rsidR="00DA430E" w:rsidRPr="00DA430E" w:rsidRDefault="00DA430E" w:rsidP="00DA430E">
            <w:pPr>
              <w:spacing w:after="0" w:line="240" w:lineRule="auto"/>
              <w:jc w:val="center"/>
              <w:rPr>
                <w:rFonts w:eastAsia="Times New Roman" w:cs="Times New Roman"/>
                <w:b/>
                <w:bCs/>
                <w:color w:val="000000"/>
                <w:kern w:val="0"/>
                <w:sz w:val="22"/>
                <w:lang w:eastAsia="en-IN"/>
                <w14:ligatures w14:val="none"/>
              </w:rPr>
            </w:pPr>
            <w:r w:rsidRPr="00DA430E">
              <w:rPr>
                <w:rFonts w:eastAsia="Times New Roman" w:cs="Times New Roman"/>
                <w:b/>
                <w:bCs/>
                <w:color w:val="000000"/>
                <w:kern w:val="0"/>
                <w:sz w:val="22"/>
                <w:lang w:eastAsia="en-IN"/>
                <w14:ligatures w14:val="none"/>
              </w:rPr>
              <w:t>(5.22)</w:t>
            </w:r>
          </w:p>
        </w:tc>
      </w:tr>
    </w:tbl>
    <w:p w14:paraId="446F4DF5" w14:textId="77777777" w:rsidR="00CE3074" w:rsidRPr="00F34F47" w:rsidRDefault="00CE3074" w:rsidP="00E443D5">
      <w:pPr>
        <w:spacing w:line="360" w:lineRule="auto"/>
      </w:pPr>
    </w:p>
    <w:p w14:paraId="41BF7FCB" w14:textId="77777777" w:rsidR="009A5D45" w:rsidRDefault="00046C90" w:rsidP="009642C8">
      <w:pPr>
        <w:spacing w:line="360" w:lineRule="auto"/>
        <w:rPr>
          <w:rFonts w:cs="Times New Roman"/>
          <w:szCs w:val="24"/>
        </w:rPr>
      </w:pPr>
      <w:r>
        <w:rPr>
          <w:rFonts w:cs="Times New Roman"/>
          <w:szCs w:val="24"/>
        </w:rPr>
        <w:t xml:space="preserve">Based on above, it can be said that </w:t>
      </w:r>
      <w:r w:rsidR="008E6A4B">
        <w:rPr>
          <w:rFonts w:cs="Times New Roman"/>
          <w:szCs w:val="24"/>
        </w:rPr>
        <w:t xml:space="preserve">if full £100m investment budget is used, </w:t>
      </w:r>
      <w:r w:rsidR="00B712B0">
        <w:rPr>
          <w:rFonts w:cs="Times New Roman"/>
          <w:szCs w:val="24"/>
        </w:rPr>
        <w:t>then project B and C has highest total NPV of (£5.22m)</w:t>
      </w:r>
      <w:r w:rsidR="009A5D45">
        <w:rPr>
          <w:rFonts w:cs="Times New Roman"/>
          <w:szCs w:val="24"/>
        </w:rPr>
        <w:t>.</w:t>
      </w:r>
    </w:p>
    <w:p w14:paraId="6FB83DBB" w14:textId="0D01B402" w:rsidR="00B10AD6" w:rsidRDefault="009A5D45" w:rsidP="009642C8">
      <w:pPr>
        <w:spacing w:line="360" w:lineRule="auto"/>
        <w:rPr>
          <w:rFonts w:cs="Times New Roman"/>
          <w:szCs w:val="24"/>
        </w:rPr>
      </w:pPr>
      <w:r>
        <w:rPr>
          <w:rFonts w:cs="Times New Roman"/>
          <w:szCs w:val="24"/>
        </w:rPr>
        <w:t xml:space="preserve">However, it does not imply that it is financially optimal to invest the whole £100m. </w:t>
      </w:r>
      <w:r w:rsidR="00FF759B">
        <w:rPr>
          <w:rFonts w:cs="Times New Roman"/>
          <w:szCs w:val="24"/>
        </w:rPr>
        <w:t xml:space="preserve">Project A and B individually have negative NPV which mean that </w:t>
      </w:r>
      <w:r w:rsidR="0004494F">
        <w:rPr>
          <w:rFonts w:cs="Times New Roman"/>
          <w:szCs w:val="24"/>
        </w:rPr>
        <w:t xml:space="preserve">they are expected to destroy value at the required rate of return of 8%. Selection of either of the project with Project C </w:t>
      </w:r>
      <w:r w:rsidR="00390D75">
        <w:rPr>
          <w:rFonts w:cs="Times New Roman"/>
          <w:szCs w:val="24"/>
        </w:rPr>
        <w:t>would reduce the combined value of investment in comparison to if only project C is accepted</w:t>
      </w:r>
      <w:r w:rsidR="006D0FE4">
        <w:rPr>
          <w:rFonts w:cs="Times New Roman"/>
          <w:szCs w:val="24"/>
        </w:rPr>
        <w:t xml:space="preserve"> (</w:t>
      </w:r>
      <w:r w:rsidR="006D0FE4" w:rsidRPr="00406494">
        <w:t>Chandra</w:t>
      </w:r>
      <w:r w:rsidR="006D0FE4">
        <w:t xml:space="preserve"> &amp; </w:t>
      </w:r>
      <w:r w:rsidR="006D0FE4" w:rsidRPr="00406494">
        <w:t>Naik</w:t>
      </w:r>
      <w:r w:rsidR="006D0FE4">
        <w:t>, 2025)</w:t>
      </w:r>
      <w:r w:rsidR="00390D75">
        <w:rPr>
          <w:rFonts w:cs="Times New Roman"/>
          <w:szCs w:val="24"/>
        </w:rPr>
        <w:t xml:space="preserve">. </w:t>
      </w:r>
    </w:p>
    <w:p w14:paraId="3A768D70" w14:textId="79EC98F0" w:rsidR="00575825" w:rsidRDefault="00B10AD6" w:rsidP="009642C8">
      <w:pPr>
        <w:spacing w:line="360" w:lineRule="auto"/>
        <w:rPr>
          <w:rFonts w:cs="Times New Roman"/>
          <w:szCs w:val="24"/>
        </w:rPr>
      </w:pPr>
      <w:r>
        <w:rPr>
          <w:rFonts w:cs="Times New Roman"/>
          <w:szCs w:val="24"/>
        </w:rPr>
        <w:t xml:space="preserve">It can thus be said that </w:t>
      </w:r>
      <w:r>
        <w:rPr>
          <w:rFonts w:cs="Times New Roman"/>
          <w:b/>
          <w:bCs/>
          <w:szCs w:val="24"/>
        </w:rPr>
        <w:t>only project C should be accepted,</w:t>
      </w:r>
      <w:r w:rsidR="00A44BDA">
        <w:rPr>
          <w:rFonts w:cs="Times New Roman"/>
          <w:b/>
          <w:bCs/>
          <w:szCs w:val="24"/>
        </w:rPr>
        <w:t xml:space="preserve"> as it </w:t>
      </w:r>
      <w:r w:rsidR="00320E1F">
        <w:rPr>
          <w:rFonts w:cs="Times New Roman"/>
          <w:b/>
          <w:bCs/>
          <w:szCs w:val="24"/>
        </w:rPr>
        <w:t>generates</w:t>
      </w:r>
      <w:r w:rsidR="00A44BDA">
        <w:rPr>
          <w:rFonts w:cs="Times New Roman"/>
          <w:b/>
          <w:bCs/>
          <w:szCs w:val="24"/>
        </w:rPr>
        <w:t xml:space="preserve"> a positive NPV of £0.86m</w:t>
      </w:r>
      <w:r w:rsidR="00861D1E">
        <w:rPr>
          <w:rFonts w:cs="Times New Roman"/>
          <w:b/>
          <w:bCs/>
          <w:szCs w:val="24"/>
        </w:rPr>
        <w:t xml:space="preserve"> and does not required allocation of £50m to any project. </w:t>
      </w:r>
      <w:r w:rsidR="00861D1E">
        <w:rPr>
          <w:rFonts w:cs="Times New Roman"/>
          <w:szCs w:val="24"/>
        </w:rPr>
        <w:t xml:space="preserve">Company can retain such </w:t>
      </w:r>
      <w:r w:rsidR="00E8639A">
        <w:rPr>
          <w:rFonts w:cs="Times New Roman"/>
          <w:szCs w:val="24"/>
        </w:rPr>
        <w:t xml:space="preserve">unallocated capital as a liquidity reserve or consider investing the same to those projects which are capable of generating positive NPV. </w:t>
      </w:r>
      <w:r w:rsidR="008E6A4B">
        <w:rPr>
          <w:rFonts w:cs="Times New Roman"/>
          <w:szCs w:val="24"/>
        </w:rPr>
        <w:t xml:space="preserve"> </w:t>
      </w:r>
    </w:p>
    <w:p w14:paraId="2094E0BE" w14:textId="21AE3615" w:rsidR="006C0BEC" w:rsidRDefault="000358D2" w:rsidP="006C0BEC">
      <w:pPr>
        <w:pStyle w:val="Heading1"/>
        <w:spacing w:line="360" w:lineRule="auto"/>
        <w:rPr>
          <w:rFonts w:ascii="Times New Roman" w:hAnsi="Times New Roman" w:cs="Times New Roman"/>
          <w:sz w:val="24"/>
          <w:szCs w:val="24"/>
        </w:rPr>
      </w:pPr>
      <w:bookmarkStart w:id="25" w:name="_Toc243773405"/>
      <w:r>
        <w:rPr>
          <w:rFonts w:ascii="Times New Roman" w:hAnsi="Times New Roman" w:cs="Times New Roman"/>
          <w:sz w:val="24"/>
          <w:szCs w:val="24"/>
        </w:rPr>
        <w:t>6</w:t>
      </w:r>
      <w:r w:rsidR="006C0BEC" w:rsidRPr="001D7532">
        <w:rPr>
          <w:rFonts w:ascii="Times New Roman" w:hAnsi="Times New Roman" w:cs="Times New Roman"/>
          <w:sz w:val="24"/>
          <w:szCs w:val="24"/>
        </w:rPr>
        <w:t>.</w:t>
      </w:r>
      <w:r>
        <w:rPr>
          <w:rFonts w:ascii="Times New Roman" w:hAnsi="Times New Roman" w:cs="Times New Roman"/>
          <w:sz w:val="24"/>
          <w:szCs w:val="24"/>
        </w:rPr>
        <w:t xml:space="preserve"> Self-reflection on financial management decisions</w:t>
      </w:r>
      <w:bookmarkEnd w:id="25"/>
      <w:r w:rsidR="006C0BEC" w:rsidRPr="001D7532">
        <w:rPr>
          <w:rFonts w:ascii="Times New Roman" w:hAnsi="Times New Roman" w:cs="Times New Roman"/>
          <w:sz w:val="24"/>
          <w:szCs w:val="24"/>
        </w:rPr>
        <w:t xml:space="preserve"> </w:t>
      </w:r>
    </w:p>
    <w:p w14:paraId="3573364C" w14:textId="36D0AF01" w:rsidR="0092126D" w:rsidRPr="00B57803" w:rsidRDefault="0092126D" w:rsidP="0092126D">
      <w:pPr>
        <w:pStyle w:val="Heading2"/>
        <w:spacing w:line="360" w:lineRule="auto"/>
        <w:rPr>
          <w:rFonts w:ascii="Times New Roman" w:hAnsi="Times New Roman" w:cs="Times New Roman"/>
          <w:sz w:val="24"/>
          <w:szCs w:val="24"/>
        </w:rPr>
      </w:pPr>
      <w:bookmarkStart w:id="26" w:name="_Toc243773406"/>
      <w:r>
        <w:rPr>
          <w:rFonts w:ascii="Times New Roman" w:hAnsi="Times New Roman" w:cs="Times New Roman"/>
          <w:sz w:val="24"/>
          <w:szCs w:val="24"/>
        </w:rPr>
        <w:t>6.1</w:t>
      </w:r>
      <w:r w:rsidRPr="00B57803">
        <w:rPr>
          <w:rFonts w:ascii="Times New Roman" w:hAnsi="Times New Roman" w:cs="Times New Roman"/>
          <w:sz w:val="24"/>
          <w:szCs w:val="24"/>
        </w:rPr>
        <w:t xml:space="preserve"> </w:t>
      </w:r>
      <w:r>
        <w:rPr>
          <w:rFonts w:ascii="Times New Roman" w:hAnsi="Times New Roman" w:cs="Times New Roman"/>
          <w:sz w:val="24"/>
          <w:szCs w:val="24"/>
        </w:rPr>
        <w:t xml:space="preserve">Justification of </w:t>
      </w:r>
      <w:r w:rsidR="00D31CA8">
        <w:rPr>
          <w:rFonts w:ascii="Times New Roman" w:hAnsi="Times New Roman" w:cs="Times New Roman"/>
          <w:sz w:val="24"/>
          <w:szCs w:val="24"/>
        </w:rPr>
        <w:t>strategic decisions</w:t>
      </w:r>
      <w:bookmarkEnd w:id="26"/>
    </w:p>
    <w:p w14:paraId="61CA1502" w14:textId="0C864615" w:rsidR="006C0BEC" w:rsidRDefault="00AA15E0" w:rsidP="0092126D">
      <w:pPr>
        <w:spacing w:line="360" w:lineRule="auto"/>
      </w:pPr>
      <w:r w:rsidRPr="002C67A3">
        <w:rPr>
          <w:b/>
          <w:bCs/>
        </w:rPr>
        <w:t xml:space="preserve">Constructing a financial strategy for Shell required me to understand how financial performance, </w:t>
      </w:r>
      <w:r w:rsidR="009E5107" w:rsidRPr="002C67A3">
        <w:rPr>
          <w:b/>
          <w:bCs/>
        </w:rPr>
        <w:t>liquidity position, risk and long-term value creation interact with each other</w:t>
      </w:r>
      <w:r w:rsidR="009E5107">
        <w:t xml:space="preserve">. I selected </w:t>
      </w:r>
      <w:r w:rsidR="00DB6F0D" w:rsidRPr="00DB6F0D">
        <w:t>liquidity</w:t>
      </w:r>
      <w:r w:rsidR="00DB6F0D">
        <w:t xml:space="preserve">, </w:t>
      </w:r>
      <w:r w:rsidR="00DB6F0D" w:rsidRPr="00DB6F0D">
        <w:t>profitability</w:t>
      </w:r>
      <w:r w:rsidR="00DB6F0D">
        <w:t xml:space="preserve">, </w:t>
      </w:r>
      <w:r w:rsidR="00DB6F0D" w:rsidRPr="00DB6F0D">
        <w:t>gearing</w:t>
      </w:r>
      <w:r w:rsidR="00DB6F0D">
        <w:t xml:space="preserve">, </w:t>
      </w:r>
      <w:r w:rsidR="00DB6F0D" w:rsidRPr="00DB6F0D">
        <w:t>efficiency</w:t>
      </w:r>
      <w:r w:rsidR="00DB6F0D">
        <w:t xml:space="preserve">, </w:t>
      </w:r>
      <w:r w:rsidR="00DB6F0D" w:rsidRPr="00DB6F0D">
        <w:t>cash flow</w:t>
      </w:r>
      <w:r w:rsidR="00DB6F0D">
        <w:t xml:space="preserve"> and investment ratios as no single measure </w:t>
      </w:r>
      <w:r w:rsidR="00A2093E">
        <w:t xml:space="preserve">could provide a complete assessment of financial health of company. </w:t>
      </w:r>
    </w:p>
    <w:p w14:paraId="7BE9FF8E" w14:textId="3A3CAC4C" w:rsidR="005B431F" w:rsidRDefault="005B431F" w:rsidP="0092126D">
      <w:pPr>
        <w:spacing w:line="360" w:lineRule="auto"/>
      </w:pPr>
      <w:r>
        <w:t xml:space="preserve">Profitability ratios </w:t>
      </w:r>
      <w:r w:rsidR="00912737">
        <w:t>helped me to assess the returns generated from revenue, shareholders’ funds and capital invested in business.</w:t>
      </w:r>
      <w:r w:rsidR="006C0096">
        <w:t xml:space="preserve"> Liquidity ratios helped in ascertaining the ability of company to meet short-term obligations </w:t>
      </w:r>
      <w:r w:rsidR="000E08F5">
        <w:t xml:space="preserve">and the efficiency ratios highlighted the effectiveness of </w:t>
      </w:r>
      <w:r w:rsidR="000E08F5" w:rsidRPr="000E08F5">
        <w:t>receivables</w:t>
      </w:r>
      <w:r w:rsidR="000E08F5">
        <w:t xml:space="preserve">, payables and inventory management. Analysis of gearing position </w:t>
      </w:r>
      <w:r w:rsidR="004A5927">
        <w:t>provided useful insights about financial risk prevai</w:t>
      </w:r>
      <w:r w:rsidR="00D6055E">
        <w:t>ling in the</w:t>
      </w:r>
      <w:r w:rsidR="004F561A">
        <w:t xml:space="preserve"> business</w:t>
      </w:r>
      <w:r w:rsidR="00E6411B">
        <w:t xml:space="preserve"> and cash flow and investment ratios helped in ascertain </w:t>
      </w:r>
      <w:r w:rsidR="00E6411B" w:rsidRPr="00E6411B">
        <w:t>sustainability of cash generatio</w:t>
      </w:r>
      <w:r w:rsidR="00E6411B">
        <w:t xml:space="preserve">n and </w:t>
      </w:r>
      <w:r w:rsidR="00E6411B" w:rsidRPr="00E6411B">
        <w:t>shareholder returns</w:t>
      </w:r>
      <w:r w:rsidR="00E6411B">
        <w:t>.</w:t>
      </w:r>
    </w:p>
    <w:p w14:paraId="648098E2" w14:textId="61629A8B" w:rsidR="00B945CF" w:rsidRDefault="00B945CF" w:rsidP="0092126D">
      <w:pPr>
        <w:spacing w:line="360" w:lineRule="auto"/>
      </w:pPr>
      <w:r>
        <w:t>Findings from the calculation of such ratios influenced by recommendations on how to strengthen working capital management</w:t>
      </w:r>
      <w:r w:rsidR="000C68F3">
        <w:t xml:space="preserve"> and improve allocation of capital instead of prioritizing expansion alone. </w:t>
      </w:r>
    </w:p>
    <w:p w14:paraId="1FE37C16" w14:textId="769CE616" w:rsidR="00B8742E" w:rsidRDefault="00B8742E" w:rsidP="0092126D">
      <w:pPr>
        <w:spacing w:line="360" w:lineRule="auto"/>
      </w:pPr>
      <w:r>
        <w:t xml:space="preserve">While developing the restructuring plan, I focussed on debt optimization and selective </w:t>
      </w:r>
      <w:r w:rsidR="00720B0A" w:rsidRPr="00720B0A">
        <w:t xml:space="preserve">divestiture </w:t>
      </w:r>
      <w:r w:rsidR="00720B0A">
        <w:t xml:space="preserve">over an immediate equity injection. Debt optimization </w:t>
      </w:r>
      <w:r w:rsidR="0040700E">
        <w:t xml:space="preserve">could reduce </w:t>
      </w:r>
      <w:r w:rsidR="0040700E" w:rsidRPr="0040700E">
        <w:t>refinancing risks</w:t>
      </w:r>
      <w:r w:rsidR="0040700E">
        <w:t xml:space="preserve"> and </w:t>
      </w:r>
      <w:r w:rsidR="0040700E" w:rsidRPr="0040700E">
        <w:t>financing costs</w:t>
      </w:r>
      <w:r w:rsidR="0040700E">
        <w:t xml:space="preserve"> while divestiture </w:t>
      </w:r>
      <w:r w:rsidR="00A532AE">
        <w:t xml:space="preserve">could help in reducing the funds from under-performing assets. Equity injection was considered as a less attractive option </w:t>
      </w:r>
      <w:r w:rsidR="00707EBA">
        <w:t xml:space="preserve">as it could result in dilution of ownership of existing shareholders </w:t>
      </w:r>
      <w:r w:rsidR="005A430B">
        <w:t xml:space="preserve">and was not appearing to be useful considering the company’s </w:t>
      </w:r>
      <w:r w:rsidR="00B66FDF" w:rsidRPr="00B66FDF">
        <w:t>declining debt levels</w:t>
      </w:r>
      <w:r w:rsidR="00B66FDF">
        <w:t xml:space="preserve"> and strong liquidity position.</w:t>
      </w:r>
    </w:p>
    <w:p w14:paraId="02F39356" w14:textId="2BC9C2E2" w:rsidR="00BC13F1" w:rsidRDefault="002D10D9" w:rsidP="0092126D">
      <w:pPr>
        <w:spacing w:line="360" w:lineRule="auto"/>
      </w:pPr>
      <w:r>
        <w:t xml:space="preserve">Further, </w:t>
      </w:r>
      <w:r w:rsidRPr="002C67A3">
        <w:rPr>
          <w:b/>
          <w:bCs/>
        </w:rPr>
        <w:t xml:space="preserve">application of different investment appraisal techniques required me to balance </w:t>
      </w:r>
      <w:r w:rsidR="005A64DE" w:rsidRPr="002C67A3">
        <w:rPr>
          <w:b/>
          <w:bCs/>
        </w:rPr>
        <w:t>cash recovery, profitability and uncertainty</w:t>
      </w:r>
      <w:r w:rsidR="005A64DE">
        <w:t xml:space="preserve">. Different techniques provided different perspectives on attractiveness of each of the available project. </w:t>
      </w:r>
      <w:r w:rsidR="0078644B">
        <w:t>Although payback period method ascertains the speed of cash recovery and ARR method measures accounting profitability</w:t>
      </w:r>
      <w:r w:rsidR="002C67A3">
        <w:t>, but neither of the method takes into account the time value of money. Therefore, more weightage was given to NPV method along with PI and IRR while carrying out project analysis.</w:t>
      </w:r>
    </w:p>
    <w:p w14:paraId="7E4458BA" w14:textId="6367A759" w:rsidR="002C67A3" w:rsidRDefault="00B9582E" w:rsidP="0092126D">
      <w:pPr>
        <w:spacing w:line="360" w:lineRule="auto"/>
      </w:pPr>
      <w:r>
        <w:t xml:space="preserve">Project C was selected as it was generating highest NPV, ARR, PI and IRR which was higher than the required rate of return. </w:t>
      </w:r>
      <w:r w:rsidR="00475150">
        <w:t>However, I also recognized that positive NPV of project C was relatively smaller and cash flows generated by it were also uneven</w:t>
      </w:r>
      <w:r w:rsidR="006335CA">
        <w:t xml:space="preserve"> with substantial cash flows generated in year 3 and 4. This creates uncertainty because cost overrun and delays </w:t>
      </w:r>
      <w:r w:rsidR="009E69EA">
        <w:t>could impact expected financial benefit. Basis this</w:t>
      </w:r>
      <w:r w:rsidR="0003502A">
        <w:t>, I concluded that project C should be implemented only after carrying out careful due diligence</w:t>
      </w:r>
      <w:r w:rsidR="00217D7A">
        <w:t xml:space="preserve">. </w:t>
      </w:r>
    </w:p>
    <w:p w14:paraId="35BC7103" w14:textId="72E2BBB6" w:rsidR="00B66FDF" w:rsidRPr="00B57803" w:rsidRDefault="00B66FDF" w:rsidP="00B66FDF">
      <w:pPr>
        <w:pStyle w:val="Heading2"/>
        <w:spacing w:line="360" w:lineRule="auto"/>
        <w:rPr>
          <w:rFonts w:ascii="Times New Roman" w:hAnsi="Times New Roman" w:cs="Times New Roman"/>
          <w:sz w:val="24"/>
          <w:szCs w:val="24"/>
        </w:rPr>
      </w:pPr>
      <w:bookmarkStart w:id="27" w:name="_Toc243773407"/>
      <w:r>
        <w:rPr>
          <w:rFonts w:ascii="Times New Roman" w:hAnsi="Times New Roman" w:cs="Times New Roman"/>
          <w:sz w:val="24"/>
          <w:szCs w:val="24"/>
        </w:rPr>
        <w:t>6.2</w:t>
      </w:r>
      <w:r w:rsidR="00E03953">
        <w:rPr>
          <w:rFonts w:ascii="Times New Roman" w:hAnsi="Times New Roman" w:cs="Times New Roman"/>
          <w:sz w:val="24"/>
          <w:szCs w:val="24"/>
        </w:rPr>
        <w:t xml:space="preserve"> Professional judgement in decision-making</w:t>
      </w:r>
      <w:bookmarkEnd w:id="27"/>
    </w:p>
    <w:p w14:paraId="50F3D843" w14:textId="0CAB0230" w:rsidR="00B66FDF" w:rsidRDefault="00217D7A" w:rsidP="00B66FDF">
      <w:pPr>
        <w:spacing w:line="360" w:lineRule="auto"/>
      </w:pPr>
      <w:r>
        <w:t>Principal challenge faced by me was to balance c</w:t>
      </w:r>
      <w:r w:rsidRPr="00217D7A">
        <w:t>ompeting financial priorities</w:t>
      </w:r>
      <w:r>
        <w:t xml:space="preserve">. </w:t>
      </w:r>
      <w:r w:rsidR="006743A7">
        <w:t xml:space="preserve">Improving profitability position could require additional investment while preserving liquidity position </w:t>
      </w:r>
      <w:r w:rsidR="000467CC">
        <w:t xml:space="preserve">would </w:t>
      </w:r>
      <w:r w:rsidR="00320E1F">
        <w:t>require</w:t>
      </w:r>
      <w:r w:rsidR="000467CC">
        <w:t xml:space="preserve"> limiting expenditure and retaining cash reserves. Similarly, reduction of debt could improve financial stability </w:t>
      </w:r>
      <w:r w:rsidR="00026935">
        <w:t xml:space="preserve">but it would result in reduction of funds available for future growth. These competing priorities were addressed </w:t>
      </w:r>
      <w:r w:rsidR="006A505B">
        <w:t xml:space="preserve">by recommending </w:t>
      </w:r>
      <w:r w:rsidR="006A505B" w:rsidRPr="006A505B">
        <w:t>selective investment</w:t>
      </w:r>
      <w:r w:rsidR="006A505B">
        <w:t xml:space="preserve">, </w:t>
      </w:r>
      <w:r w:rsidR="006A505B" w:rsidRPr="006A505B">
        <w:t>working capital reforms</w:t>
      </w:r>
      <w:r w:rsidR="006A505B">
        <w:t xml:space="preserve"> and controlled borrowings instead of pursuing a single objective in isolation. </w:t>
      </w:r>
    </w:p>
    <w:p w14:paraId="7E0BDFF0" w14:textId="4356A9C1" w:rsidR="00FE039F" w:rsidRDefault="00FE039F" w:rsidP="00B66FDF">
      <w:pPr>
        <w:spacing w:line="360" w:lineRule="auto"/>
      </w:pPr>
      <w:r>
        <w:t xml:space="preserve">The analysis highlighted </w:t>
      </w:r>
      <w:r w:rsidR="008E7195">
        <w:t xml:space="preserve">the limitations of making decisions based on historical financial ratios. Financial performance of shell </w:t>
      </w:r>
      <w:r w:rsidR="00331F23">
        <w:t xml:space="preserve">was significantly stronger in 2022 in comparison to subsequent years </w:t>
      </w:r>
      <w:r w:rsidR="00B40CDB">
        <w:t xml:space="preserve">which implies that exceptional result of that year </w:t>
      </w:r>
      <w:r w:rsidR="00F040A3">
        <w:t xml:space="preserve">cannot automatically be treated as </w:t>
      </w:r>
      <w:r w:rsidR="009D7EBB">
        <w:t xml:space="preserve">reliable forecast. </w:t>
      </w:r>
      <w:r w:rsidR="002B7950">
        <w:t>Therefore, five</w:t>
      </w:r>
      <w:r w:rsidR="001A406F">
        <w:t>-</w:t>
      </w:r>
      <w:r w:rsidR="002B7950">
        <w:t xml:space="preserve">year trend was considered </w:t>
      </w:r>
      <w:r w:rsidR="003C1956">
        <w:t xml:space="preserve">instead of solely relying on </w:t>
      </w:r>
      <w:r w:rsidR="009A4C2F">
        <w:t xml:space="preserve">single year and recognized the potential impact of </w:t>
      </w:r>
      <w:r w:rsidR="00790A34" w:rsidRPr="00790A34">
        <w:t>foreign exchange</w:t>
      </w:r>
      <w:r w:rsidR="00790A34">
        <w:t xml:space="preserve">, </w:t>
      </w:r>
      <w:r w:rsidR="00790A34" w:rsidRPr="00790A34">
        <w:t>commodity prices</w:t>
      </w:r>
      <w:r w:rsidR="00790A34">
        <w:t xml:space="preserve">, </w:t>
      </w:r>
      <w:r w:rsidR="00790A34" w:rsidRPr="00790A34">
        <w:t>geopolitical developments</w:t>
      </w:r>
      <w:r w:rsidR="00790A34">
        <w:t xml:space="preserve"> and inflation. </w:t>
      </w:r>
    </w:p>
    <w:p w14:paraId="50B86557" w14:textId="672669C2" w:rsidR="001A406F" w:rsidRDefault="001A406F" w:rsidP="00B66FDF">
      <w:pPr>
        <w:spacing w:line="360" w:lineRule="auto"/>
      </w:pPr>
      <w:r>
        <w:t xml:space="preserve">Further, I recognized that </w:t>
      </w:r>
      <w:r w:rsidR="00BE447D">
        <w:t xml:space="preserve">incomplete information required professional caution. </w:t>
      </w:r>
      <w:r w:rsidR="00642A8D">
        <w:t xml:space="preserve">Adequate information was not available relating to </w:t>
      </w:r>
      <w:r w:rsidR="00144FC4" w:rsidRPr="00144FC4">
        <w:t>country-specific risks</w:t>
      </w:r>
      <w:r w:rsidR="00144FC4">
        <w:t xml:space="preserve">, </w:t>
      </w:r>
      <w:r w:rsidR="00144FC4" w:rsidRPr="00144FC4">
        <w:t>project descriptions</w:t>
      </w:r>
      <w:r w:rsidR="00144FC4">
        <w:t xml:space="preserve">, </w:t>
      </w:r>
      <w:r w:rsidR="00144FC4" w:rsidRPr="00144FC4">
        <w:t>sensitivity analyses</w:t>
      </w:r>
      <w:r w:rsidR="00144FC4">
        <w:t xml:space="preserve"> or customer contracts. </w:t>
      </w:r>
      <w:r w:rsidR="003D2909">
        <w:t>Consequently</w:t>
      </w:r>
      <w:r w:rsidR="00C15B46">
        <w:t xml:space="preserve">, </w:t>
      </w:r>
      <w:r w:rsidR="00545AC2">
        <w:t xml:space="preserve">commercial </w:t>
      </w:r>
      <w:r w:rsidR="00BD10CD">
        <w:t xml:space="preserve">feasibility </w:t>
      </w:r>
      <w:r w:rsidR="00747384">
        <w:t>of Project C could not be accessed definitively beyond its stated financial projections.</w:t>
      </w:r>
    </w:p>
    <w:p w14:paraId="64BD8679" w14:textId="19BCDF7E" w:rsidR="00D4556B" w:rsidRPr="00B57803" w:rsidRDefault="00D4556B" w:rsidP="00D4556B">
      <w:pPr>
        <w:pStyle w:val="Heading2"/>
        <w:spacing w:line="360" w:lineRule="auto"/>
        <w:rPr>
          <w:rFonts w:ascii="Times New Roman" w:hAnsi="Times New Roman" w:cs="Times New Roman"/>
          <w:sz w:val="24"/>
          <w:szCs w:val="24"/>
        </w:rPr>
      </w:pPr>
      <w:bookmarkStart w:id="28" w:name="_Toc243773408"/>
      <w:r>
        <w:rPr>
          <w:rFonts w:ascii="Times New Roman" w:hAnsi="Times New Roman" w:cs="Times New Roman"/>
          <w:sz w:val="24"/>
          <w:szCs w:val="24"/>
        </w:rPr>
        <w:t xml:space="preserve">6.3 </w:t>
      </w:r>
      <w:r w:rsidR="00536D12">
        <w:rPr>
          <w:rFonts w:ascii="Times New Roman" w:hAnsi="Times New Roman" w:cs="Times New Roman"/>
          <w:sz w:val="24"/>
          <w:szCs w:val="24"/>
        </w:rPr>
        <w:t>Critical reflection on usage of AI</w:t>
      </w:r>
      <w:bookmarkEnd w:id="28"/>
    </w:p>
    <w:p w14:paraId="186B3ADA" w14:textId="5F5F882B" w:rsidR="00D4556B" w:rsidRDefault="00445788" w:rsidP="00D4556B">
      <w:pPr>
        <w:spacing w:line="360" w:lineRule="auto"/>
      </w:pPr>
      <w:r>
        <w:t xml:space="preserve">I used </w:t>
      </w:r>
      <w:r w:rsidR="00862039">
        <w:t xml:space="preserve">ChatGPT as </w:t>
      </w:r>
      <w:r w:rsidR="00A36F14">
        <w:t xml:space="preserve">assistance tool for preparation of this report, primarily to support </w:t>
      </w:r>
      <w:r w:rsidR="00771DAF">
        <w:t xml:space="preserve">structuring, drafting and presentation of written content. All the financial calculations including working capital management, </w:t>
      </w:r>
      <w:r w:rsidR="00E551D7">
        <w:t xml:space="preserve">ratio analysis, investment appraisal and capital rationing were prepared independently on Microsoft excel. </w:t>
      </w:r>
      <w:r w:rsidR="00D32184">
        <w:t xml:space="preserve">No AI tool was used to perform such calculations or generate numerical results. The role of AI was limited to explaining the findings of numerical </w:t>
      </w:r>
      <w:r w:rsidR="003E385F">
        <w:t>results and improve the academic presentation of analysis.</w:t>
      </w:r>
    </w:p>
    <w:p w14:paraId="33E10712" w14:textId="26B17B97" w:rsidR="003E385F" w:rsidRDefault="003E385F" w:rsidP="00D4556B">
      <w:pPr>
        <w:spacing w:line="360" w:lineRule="auto"/>
      </w:pPr>
      <w:r>
        <w:t xml:space="preserve">To ensure accuracy of the report, AI-assisted explanations were reviewed by me </w:t>
      </w:r>
      <w:r w:rsidR="007B4190">
        <w:t xml:space="preserve">against my own calculations to determine whether such interpretations were consistent with the numerical results. </w:t>
      </w:r>
      <w:r w:rsidR="007E038E">
        <w:t>Final recommendation on investment appraisal was based on my own calculations</w:t>
      </w:r>
      <w:r w:rsidR="00B0311B">
        <w:t>.</w:t>
      </w:r>
    </w:p>
    <w:p w14:paraId="641F5F15" w14:textId="794E43FE" w:rsidR="00B0311B" w:rsidRDefault="00B0311B" w:rsidP="00D4556B">
      <w:pPr>
        <w:spacing w:line="360" w:lineRule="auto"/>
      </w:pPr>
      <w:r>
        <w:t xml:space="preserve">The main advantage of using ChatGPT was its ability to improve the structure of report. </w:t>
      </w:r>
      <w:r w:rsidR="004922E9">
        <w:t xml:space="preserve">It assisted me </w:t>
      </w:r>
      <w:r w:rsidR="00290ED8">
        <w:t xml:space="preserve">to present </w:t>
      </w:r>
      <w:r w:rsidR="007337B7">
        <w:t xml:space="preserve">complex financial calculations in a logical sequence </w:t>
      </w:r>
      <w:r w:rsidR="00D629CB">
        <w:t>and made writing process more efficient.</w:t>
      </w:r>
    </w:p>
    <w:p w14:paraId="11D35DA4" w14:textId="3903172B" w:rsidR="00D629CB" w:rsidRDefault="00D629CB" w:rsidP="00D4556B">
      <w:pPr>
        <w:spacing w:line="360" w:lineRule="auto"/>
      </w:pPr>
      <w:r>
        <w:t xml:space="preserve">However, I was aware that </w:t>
      </w:r>
      <w:r w:rsidR="00E97F65">
        <w:t xml:space="preserve">AI-generated content may comprise of </w:t>
      </w:r>
      <w:r w:rsidR="00E97F65" w:rsidRPr="00E97F65">
        <w:t>inaccurate interpretations</w:t>
      </w:r>
      <w:r w:rsidR="00E97F65">
        <w:t xml:space="preserve">, </w:t>
      </w:r>
      <w:r w:rsidR="00E97F65" w:rsidRPr="00E97F65">
        <w:t>unsupported assumptions</w:t>
      </w:r>
      <w:r w:rsidR="00E97F65">
        <w:t xml:space="preserve"> or generalizations </w:t>
      </w:r>
      <w:r w:rsidR="002F6650">
        <w:t xml:space="preserve">that do not fully reflect the </w:t>
      </w:r>
      <w:r w:rsidR="00F61960">
        <w:t xml:space="preserve">circumstances of company. </w:t>
      </w:r>
      <w:r w:rsidR="006D0AFC">
        <w:t xml:space="preserve">Therefore, I reviewed the content provided by AI </w:t>
      </w:r>
      <w:r w:rsidR="00581113">
        <w:t xml:space="preserve">against the excel based calculations and then considered whether the recommendations </w:t>
      </w:r>
      <w:r w:rsidR="007B15EE">
        <w:t xml:space="preserve">were justified by the evidence or not. </w:t>
      </w:r>
    </w:p>
    <w:p w14:paraId="3E07D3D1" w14:textId="77777777" w:rsidR="0080526C" w:rsidRDefault="0080526C" w:rsidP="00D4556B">
      <w:pPr>
        <w:spacing w:line="360" w:lineRule="auto"/>
      </w:pPr>
    </w:p>
    <w:p w14:paraId="71B9ECE8" w14:textId="77777777" w:rsidR="0080526C" w:rsidRDefault="0080526C" w:rsidP="00D4556B">
      <w:pPr>
        <w:spacing w:line="360" w:lineRule="auto"/>
      </w:pPr>
    </w:p>
    <w:p w14:paraId="6AE974F7" w14:textId="77777777" w:rsidR="0080526C" w:rsidRDefault="0080526C" w:rsidP="00D4556B">
      <w:pPr>
        <w:spacing w:line="360" w:lineRule="auto"/>
      </w:pPr>
    </w:p>
    <w:p w14:paraId="2F060BC5" w14:textId="77777777" w:rsidR="0080526C" w:rsidRDefault="0080526C" w:rsidP="00D4556B">
      <w:pPr>
        <w:spacing w:line="360" w:lineRule="auto"/>
      </w:pPr>
    </w:p>
    <w:p w14:paraId="19E68E48" w14:textId="77777777" w:rsidR="0080526C" w:rsidRDefault="0080526C" w:rsidP="00D4556B">
      <w:pPr>
        <w:spacing w:line="360" w:lineRule="auto"/>
      </w:pPr>
    </w:p>
    <w:p w14:paraId="50487B24" w14:textId="77777777" w:rsidR="0080526C" w:rsidRDefault="0080526C" w:rsidP="00D4556B">
      <w:pPr>
        <w:spacing w:line="360" w:lineRule="auto"/>
      </w:pPr>
    </w:p>
    <w:p w14:paraId="2BC51C24" w14:textId="77777777" w:rsidR="0080526C" w:rsidRDefault="0080526C" w:rsidP="00D4556B">
      <w:pPr>
        <w:spacing w:line="360" w:lineRule="auto"/>
      </w:pPr>
    </w:p>
    <w:p w14:paraId="0703066E" w14:textId="77777777" w:rsidR="0080526C" w:rsidRDefault="0080526C" w:rsidP="00D4556B">
      <w:pPr>
        <w:spacing w:line="360" w:lineRule="auto"/>
      </w:pPr>
    </w:p>
    <w:p w14:paraId="366F6C8D" w14:textId="77777777" w:rsidR="0080526C" w:rsidRDefault="0080526C" w:rsidP="00D4556B">
      <w:pPr>
        <w:spacing w:line="360" w:lineRule="auto"/>
      </w:pPr>
    </w:p>
    <w:p w14:paraId="56BDEC16" w14:textId="77777777" w:rsidR="0080526C" w:rsidRDefault="0080526C" w:rsidP="00D4556B">
      <w:pPr>
        <w:spacing w:line="360" w:lineRule="auto"/>
      </w:pPr>
    </w:p>
    <w:p w14:paraId="56114EF3" w14:textId="77777777" w:rsidR="0080526C" w:rsidRDefault="0080526C" w:rsidP="00D4556B">
      <w:pPr>
        <w:spacing w:line="360" w:lineRule="auto"/>
      </w:pPr>
    </w:p>
    <w:p w14:paraId="68DE6389" w14:textId="77777777" w:rsidR="0080526C" w:rsidRDefault="0080526C" w:rsidP="00D4556B">
      <w:pPr>
        <w:spacing w:line="360" w:lineRule="auto"/>
      </w:pPr>
    </w:p>
    <w:p w14:paraId="76D52FAC" w14:textId="77777777" w:rsidR="0080526C" w:rsidRDefault="0080526C" w:rsidP="00D4556B">
      <w:pPr>
        <w:spacing w:line="360" w:lineRule="auto"/>
      </w:pPr>
    </w:p>
    <w:p w14:paraId="5CCBE0E5" w14:textId="77777777" w:rsidR="0080526C" w:rsidRDefault="0080526C" w:rsidP="00D4556B">
      <w:pPr>
        <w:spacing w:line="360" w:lineRule="auto"/>
      </w:pPr>
    </w:p>
    <w:p w14:paraId="5AB4E875" w14:textId="77777777" w:rsidR="0080526C" w:rsidRDefault="0080526C" w:rsidP="00D4556B">
      <w:pPr>
        <w:spacing w:line="360" w:lineRule="auto"/>
      </w:pPr>
    </w:p>
    <w:p w14:paraId="106BA931" w14:textId="77777777" w:rsidR="0080526C" w:rsidRDefault="0080526C" w:rsidP="00D4556B">
      <w:pPr>
        <w:spacing w:line="360" w:lineRule="auto"/>
      </w:pPr>
    </w:p>
    <w:p w14:paraId="38684C10" w14:textId="27056AE5" w:rsidR="0080526C" w:rsidRDefault="0080526C" w:rsidP="0080526C">
      <w:pPr>
        <w:pStyle w:val="Heading1"/>
        <w:spacing w:line="360" w:lineRule="auto"/>
        <w:rPr>
          <w:rFonts w:ascii="Times New Roman" w:hAnsi="Times New Roman" w:cs="Times New Roman"/>
          <w:sz w:val="24"/>
          <w:szCs w:val="24"/>
        </w:rPr>
      </w:pPr>
      <w:bookmarkStart w:id="29" w:name="_Toc243773409"/>
      <w:r>
        <w:rPr>
          <w:rFonts w:ascii="Times New Roman" w:hAnsi="Times New Roman" w:cs="Times New Roman"/>
          <w:sz w:val="24"/>
          <w:szCs w:val="24"/>
        </w:rPr>
        <w:t>7</w:t>
      </w:r>
      <w:r w:rsidRPr="001D7532">
        <w:rPr>
          <w:rFonts w:ascii="Times New Roman" w:hAnsi="Times New Roman" w:cs="Times New Roman"/>
          <w:sz w:val="24"/>
          <w:szCs w:val="24"/>
        </w:rPr>
        <w:t>.</w:t>
      </w:r>
      <w:r>
        <w:rPr>
          <w:rFonts w:ascii="Times New Roman" w:hAnsi="Times New Roman" w:cs="Times New Roman"/>
          <w:sz w:val="24"/>
          <w:szCs w:val="24"/>
        </w:rPr>
        <w:t xml:space="preserve"> References</w:t>
      </w:r>
      <w:bookmarkEnd w:id="29"/>
    </w:p>
    <w:p w14:paraId="143AD6DC" w14:textId="77777777" w:rsidR="0080526C" w:rsidRDefault="0080526C" w:rsidP="0080526C">
      <w:pPr>
        <w:spacing w:line="360" w:lineRule="auto"/>
      </w:pPr>
      <w:r w:rsidRPr="001433A7">
        <w:t xml:space="preserve">Andini, Y.S., 2026. Analysis of Financial Performance of Industrial Sector Companies Through Liquidity, Leverage and Efficiency Ratios. </w:t>
      </w:r>
      <w:r w:rsidRPr="001433A7">
        <w:rPr>
          <w:i/>
          <w:iCs/>
        </w:rPr>
        <w:t>Journal of Governance, Taxation and Auditing</w:t>
      </w:r>
      <w:r w:rsidRPr="001433A7">
        <w:t xml:space="preserve">, </w:t>
      </w:r>
      <w:r w:rsidRPr="001433A7">
        <w:rPr>
          <w:i/>
          <w:iCs/>
        </w:rPr>
        <w:t>4</w:t>
      </w:r>
      <w:r w:rsidRPr="001433A7">
        <w:t>(3), pp.639-659.</w:t>
      </w:r>
      <w:r>
        <w:t xml:space="preserve"> Available at: </w:t>
      </w:r>
      <w:hyperlink r:id="rId15" w:history="1">
        <w:r w:rsidRPr="008750DF">
          <w:rPr>
            <w:rStyle w:val="Hyperlink"/>
          </w:rPr>
          <w:t>https://www.journalkeberlanjutan.com/index.php/JoGTA/article/view/1734</w:t>
        </w:r>
      </w:hyperlink>
      <w:r>
        <w:t xml:space="preserve">. </w:t>
      </w:r>
    </w:p>
    <w:p w14:paraId="30516F9E" w14:textId="77777777" w:rsidR="0080526C" w:rsidRDefault="0080526C" w:rsidP="0080526C">
      <w:pPr>
        <w:spacing w:line="360" w:lineRule="auto"/>
      </w:pPr>
      <w:r w:rsidRPr="00CC499D">
        <w:t xml:space="preserve">Aldo, M., 2022. The Effect of Gearing, Price Earnings Ratio, Interest Rate, Risk on Abnormal Return. </w:t>
      </w:r>
      <w:r w:rsidRPr="00CC499D">
        <w:rPr>
          <w:i/>
          <w:iCs/>
        </w:rPr>
        <w:t>Indonesian Interdisciplinary Journal of Sharia Economics (IIJSE)</w:t>
      </w:r>
      <w:r w:rsidRPr="00CC499D">
        <w:t xml:space="preserve">, </w:t>
      </w:r>
      <w:r w:rsidRPr="00CC499D">
        <w:rPr>
          <w:i/>
          <w:iCs/>
        </w:rPr>
        <w:t>5</w:t>
      </w:r>
      <w:r w:rsidRPr="00CC499D">
        <w:t>(2), pp.751-767.</w:t>
      </w:r>
      <w:r>
        <w:t xml:space="preserve"> Available at: </w:t>
      </w:r>
      <w:hyperlink r:id="rId16" w:history="1">
        <w:r w:rsidRPr="008750DF">
          <w:rPr>
            <w:rStyle w:val="Hyperlink"/>
          </w:rPr>
          <w:t>https://e-journal.uac.ac.id/index.php/iijse/article/view/2195</w:t>
        </w:r>
      </w:hyperlink>
      <w:r>
        <w:t xml:space="preserve">. </w:t>
      </w:r>
    </w:p>
    <w:p w14:paraId="3F33D4FE" w14:textId="77777777" w:rsidR="0080526C" w:rsidRDefault="0080526C" w:rsidP="0080526C">
      <w:pPr>
        <w:spacing w:line="360" w:lineRule="auto"/>
      </w:pPr>
      <w:r w:rsidRPr="00F33263">
        <w:t xml:space="preserve">Anofochi-Iyke, C.T. and Orjinta, I., 2026. Effect of Gearing Ratios on Shareholders Value of Consumer Goods Firms in Nigeria. </w:t>
      </w:r>
      <w:r w:rsidRPr="00F33263">
        <w:rPr>
          <w:i/>
          <w:iCs/>
        </w:rPr>
        <w:t>JOURNAL OF EMERGING TRENDS IN MANAGEMENT SCIENCES AND ENTREPRENEURSHIP</w:t>
      </w:r>
      <w:r w:rsidRPr="00F33263">
        <w:t xml:space="preserve">, </w:t>
      </w:r>
      <w:r w:rsidRPr="00F33263">
        <w:rPr>
          <w:i/>
          <w:iCs/>
        </w:rPr>
        <w:t>8</w:t>
      </w:r>
      <w:r w:rsidRPr="00F33263">
        <w:t>(3), pp.394-409.</w:t>
      </w:r>
      <w:r>
        <w:t xml:space="preserve"> Available at: </w:t>
      </w:r>
      <w:hyperlink r:id="rId17" w:history="1">
        <w:r w:rsidRPr="008750DF">
          <w:rPr>
            <w:rStyle w:val="Hyperlink"/>
          </w:rPr>
          <w:t>http://www.jetmase.com/index.php/jetmase/article/view/289</w:t>
        </w:r>
      </w:hyperlink>
      <w:r>
        <w:t xml:space="preserve">. </w:t>
      </w:r>
    </w:p>
    <w:p w14:paraId="427EF0E3" w14:textId="77777777" w:rsidR="0080526C" w:rsidRDefault="0080526C" w:rsidP="0080526C">
      <w:pPr>
        <w:spacing w:line="360" w:lineRule="auto"/>
      </w:pPr>
      <w:r w:rsidRPr="001501D9">
        <w:t xml:space="preserve">Alwan, R. and Risman, A., 2023. Determinants of firm's value through capital structure, financial performance, and company growth. </w:t>
      </w:r>
      <w:r w:rsidRPr="001501D9">
        <w:rPr>
          <w:i/>
          <w:iCs/>
        </w:rPr>
        <w:t>Indicator: Jurnal Ilmiah Manajemen dan Bisnis</w:t>
      </w:r>
      <w:r w:rsidRPr="001501D9">
        <w:t xml:space="preserve">, </w:t>
      </w:r>
      <w:r w:rsidRPr="001501D9">
        <w:rPr>
          <w:i/>
          <w:iCs/>
        </w:rPr>
        <w:t>7</w:t>
      </w:r>
      <w:r w:rsidRPr="001501D9">
        <w:t>(2), pp.81-89.</w:t>
      </w:r>
      <w:r>
        <w:t xml:space="preserve"> Available at: </w:t>
      </w:r>
      <w:hyperlink r:id="rId18" w:history="1">
        <w:r w:rsidRPr="008750DF">
          <w:rPr>
            <w:rStyle w:val="Hyperlink"/>
          </w:rPr>
          <w:t>https://www.mdpi.com/1911-8074/15/2/55</w:t>
        </w:r>
      </w:hyperlink>
      <w:r>
        <w:t xml:space="preserve">. </w:t>
      </w:r>
    </w:p>
    <w:p w14:paraId="1AEBFB6D" w14:textId="77777777" w:rsidR="0080526C" w:rsidRDefault="0080526C" w:rsidP="0080526C">
      <w:pPr>
        <w:spacing w:line="360" w:lineRule="auto"/>
      </w:pPr>
      <w:r w:rsidRPr="006554B3">
        <w:t xml:space="preserve">Arjunan, K., 2022. A new method to estimate NPV and IRR from the capital amortization schedule and the advantages of the new method. </w:t>
      </w:r>
      <w:r w:rsidRPr="006554B3">
        <w:rPr>
          <w:i/>
          <w:iCs/>
        </w:rPr>
        <w:t>Australasian Accounting, Business and Finance Journal</w:t>
      </w:r>
      <w:r w:rsidRPr="006554B3">
        <w:t xml:space="preserve">, </w:t>
      </w:r>
      <w:r w:rsidRPr="006554B3">
        <w:rPr>
          <w:i/>
          <w:iCs/>
        </w:rPr>
        <w:t>16</w:t>
      </w:r>
      <w:r w:rsidRPr="006554B3">
        <w:t>(6).</w:t>
      </w:r>
      <w:r>
        <w:t xml:space="preserve"> Available at: </w:t>
      </w:r>
      <w:hyperlink r:id="rId19" w:history="1">
        <w:r w:rsidRPr="008750DF">
          <w:rPr>
            <w:rStyle w:val="Hyperlink"/>
          </w:rPr>
          <w:t>https://www.uowoajournals.org/aabfj/article/id/941/</w:t>
        </w:r>
      </w:hyperlink>
      <w:r>
        <w:t xml:space="preserve">. </w:t>
      </w:r>
    </w:p>
    <w:p w14:paraId="6A193898" w14:textId="77777777" w:rsidR="0080526C" w:rsidRDefault="0080526C" w:rsidP="0080526C">
      <w:pPr>
        <w:spacing w:line="360" w:lineRule="auto"/>
      </w:pPr>
      <w:r w:rsidRPr="00C70C94">
        <w:t xml:space="preserve">Boateng, P.Y., Ahamed, B.I., Soku, M.G., Addo, S.O. and Tetteh, L.A., 2022. Influencing factors that determine capital structure decisions: A review from the past to present. </w:t>
      </w:r>
      <w:r w:rsidRPr="00C70C94">
        <w:rPr>
          <w:i/>
          <w:iCs/>
        </w:rPr>
        <w:t>Cogent Business &amp; Management</w:t>
      </w:r>
      <w:r w:rsidRPr="00C70C94">
        <w:t xml:space="preserve">, </w:t>
      </w:r>
      <w:r w:rsidRPr="00C70C94">
        <w:rPr>
          <w:i/>
          <w:iCs/>
        </w:rPr>
        <w:t>9</w:t>
      </w:r>
      <w:r w:rsidRPr="00C70C94">
        <w:t>(1), p.2152647.</w:t>
      </w:r>
      <w:r>
        <w:t xml:space="preserve"> Available at: </w:t>
      </w:r>
      <w:hyperlink r:id="rId20" w:history="1">
        <w:r w:rsidRPr="008750DF">
          <w:rPr>
            <w:rStyle w:val="Hyperlink"/>
          </w:rPr>
          <w:t>https://www.tandfonline.com/doi/abs/10.1080/23311975.2022.2152647</w:t>
        </w:r>
      </w:hyperlink>
      <w:r>
        <w:t xml:space="preserve">. </w:t>
      </w:r>
    </w:p>
    <w:p w14:paraId="649D21AB" w14:textId="77777777" w:rsidR="0080526C" w:rsidRDefault="0080526C" w:rsidP="0080526C">
      <w:pPr>
        <w:spacing w:line="360" w:lineRule="auto"/>
      </w:pPr>
      <w:r w:rsidRPr="00666424">
        <w:t>Brusov, P. and Filatova, T., Efficiency of Investment Projects.</w:t>
      </w:r>
      <w:r>
        <w:t xml:space="preserve"> Available at: </w:t>
      </w:r>
      <w:hyperlink r:id="rId21" w:history="1">
        <w:r w:rsidRPr="008750DF">
          <w:rPr>
            <w:rStyle w:val="Hyperlink"/>
          </w:rPr>
          <w:t>https://link.springer.com/book/10.1007/978-3-032-01028-5</w:t>
        </w:r>
      </w:hyperlink>
      <w:r>
        <w:t xml:space="preserve">. </w:t>
      </w:r>
    </w:p>
    <w:p w14:paraId="7B218006" w14:textId="77777777" w:rsidR="0080526C" w:rsidRDefault="0080526C" w:rsidP="0080526C">
      <w:pPr>
        <w:spacing w:line="360" w:lineRule="auto"/>
      </w:pPr>
      <w:r w:rsidRPr="004E4A96">
        <w:t xml:space="preserve">Chrascina, M., Vaněk, M. and Pekarčíková, K., 2024. Intrinsic value of stocks of “big oil” companies. </w:t>
      </w:r>
      <w:r w:rsidRPr="004E4A96">
        <w:rPr>
          <w:i/>
          <w:iCs/>
        </w:rPr>
        <w:t>GeoScience Engineering</w:t>
      </w:r>
      <w:r w:rsidRPr="004E4A96">
        <w:t xml:space="preserve">, </w:t>
      </w:r>
      <w:r w:rsidRPr="004E4A96">
        <w:rPr>
          <w:i/>
          <w:iCs/>
        </w:rPr>
        <w:t>70</w:t>
      </w:r>
      <w:r w:rsidRPr="004E4A96">
        <w:t>(1), pp.67-77.</w:t>
      </w:r>
      <w:r>
        <w:t xml:space="preserve"> Available at: </w:t>
      </w:r>
      <w:hyperlink r:id="rId22" w:history="1">
        <w:r w:rsidRPr="008750DF">
          <w:rPr>
            <w:rStyle w:val="Hyperlink"/>
          </w:rPr>
          <w:t>https://www.geoscience.cz/ojs/index.php/GSE/article/view/495</w:t>
        </w:r>
      </w:hyperlink>
      <w:r>
        <w:t xml:space="preserve">. </w:t>
      </w:r>
    </w:p>
    <w:p w14:paraId="4F395D64" w14:textId="77777777" w:rsidR="0080526C" w:rsidRDefault="0080526C" w:rsidP="0080526C">
      <w:pPr>
        <w:spacing w:line="360" w:lineRule="auto"/>
      </w:pPr>
      <w:r w:rsidRPr="00406494">
        <w:t xml:space="preserve">Chandra, S.R. and Naik M, D., 2025. Net Present Index Rate The Dcf-Method For Product Lifecycle Cost Based Capital Budgeting-An Innovative Application Of Profitability Index. </w:t>
      </w:r>
      <w:r w:rsidRPr="00406494">
        <w:rPr>
          <w:i/>
          <w:iCs/>
        </w:rPr>
        <w:t>Advances in Consumer Research</w:t>
      </w:r>
      <w:r w:rsidRPr="00406494">
        <w:t xml:space="preserve">, </w:t>
      </w:r>
      <w:r w:rsidRPr="00406494">
        <w:rPr>
          <w:i/>
          <w:iCs/>
        </w:rPr>
        <w:t>2</w:t>
      </w:r>
      <w:r w:rsidRPr="00406494">
        <w:t>(2).</w:t>
      </w:r>
      <w:r>
        <w:t xml:space="preserve"> Available at: </w:t>
      </w:r>
      <w:hyperlink r:id="rId23" w:history="1">
        <w:r w:rsidRPr="008750DF">
          <w:rPr>
            <w:rStyle w:val="Hyperlink"/>
          </w:rPr>
          <w:t>https://openurl.ebsco.com/not_found/detailv2?sid=ebsco%3Aplink%3Acrawler-gcd&amp;id=ebsco%3Agcd%3A190173029&amp;crl=c&amp;jrnl=00989258&amp;link_origin=scholar.google.com</w:t>
        </w:r>
      </w:hyperlink>
      <w:r>
        <w:t xml:space="preserve">. </w:t>
      </w:r>
    </w:p>
    <w:p w14:paraId="66C09EDE" w14:textId="77777777" w:rsidR="0080526C" w:rsidRDefault="0080526C" w:rsidP="0080526C">
      <w:pPr>
        <w:spacing w:line="360" w:lineRule="auto"/>
      </w:pPr>
      <w:r w:rsidRPr="00A822D3">
        <w:t xml:space="preserve">Das, C.P. and Swain, R.K., 2018. Influence of capital structure on financial performance. </w:t>
      </w:r>
      <w:proofErr w:type="spellStart"/>
      <w:r w:rsidRPr="00A822D3">
        <w:rPr>
          <w:i/>
          <w:iCs/>
        </w:rPr>
        <w:t>Parikalpana</w:t>
      </w:r>
      <w:proofErr w:type="spellEnd"/>
      <w:r w:rsidRPr="00A822D3">
        <w:rPr>
          <w:i/>
          <w:iCs/>
        </w:rPr>
        <w:t>: KIIT Journal of Management</w:t>
      </w:r>
      <w:r w:rsidRPr="00A822D3">
        <w:t xml:space="preserve">, </w:t>
      </w:r>
      <w:r w:rsidRPr="00A822D3">
        <w:rPr>
          <w:i/>
          <w:iCs/>
        </w:rPr>
        <w:t>14</w:t>
      </w:r>
      <w:r w:rsidRPr="00A822D3">
        <w:t>(1), pp.161-171.</w:t>
      </w:r>
      <w:r>
        <w:t xml:space="preserve"> Available at: </w:t>
      </w:r>
      <w:hyperlink r:id="rId24" w:history="1">
        <w:r w:rsidRPr="008750DF">
          <w:rPr>
            <w:rStyle w:val="Hyperlink"/>
          </w:rPr>
          <w:t>https://indianjournals.com/article/pkjm-14-1-012</w:t>
        </w:r>
      </w:hyperlink>
      <w:r>
        <w:t xml:space="preserve">. </w:t>
      </w:r>
    </w:p>
    <w:p w14:paraId="069B86D0" w14:textId="77777777" w:rsidR="0080526C" w:rsidRDefault="0080526C" w:rsidP="0080526C">
      <w:pPr>
        <w:spacing w:line="360" w:lineRule="auto"/>
      </w:pPr>
      <w:r w:rsidRPr="003A2B0A">
        <w:t>DURGA, V.K., 2026. An Analytical Study on Capital Budgeting Techniques in Mahindra and Mahindra Limited.</w:t>
      </w:r>
      <w:r>
        <w:t xml:space="preserve"> Available at: </w:t>
      </w:r>
      <w:hyperlink r:id="rId25" w:history="1">
        <w:r w:rsidRPr="008750DF">
          <w:rPr>
            <w:rStyle w:val="Hyperlink"/>
          </w:rPr>
          <w:t>https://ijsrem.com/uploads/production/IJSREM.GSTCOS124_1785326092218.pdf</w:t>
        </w:r>
      </w:hyperlink>
      <w:r>
        <w:t xml:space="preserve">. </w:t>
      </w:r>
    </w:p>
    <w:p w14:paraId="178F9D13" w14:textId="77777777" w:rsidR="0080526C" w:rsidRDefault="0080526C" w:rsidP="0080526C">
      <w:pPr>
        <w:spacing w:line="360" w:lineRule="auto"/>
      </w:pPr>
      <w:r w:rsidRPr="001501D9">
        <w:t xml:space="preserve">European Investment Bank ed., 2023. </w:t>
      </w:r>
      <w:r w:rsidRPr="001501D9">
        <w:rPr>
          <w:i/>
          <w:iCs/>
        </w:rPr>
        <w:t>The economic appraisal of investment projects at the EIB</w:t>
      </w:r>
      <w:r w:rsidRPr="001501D9">
        <w:t>. European Investment Bank.</w:t>
      </w:r>
      <w:r>
        <w:t xml:space="preserve"> Available at: </w:t>
      </w:r>
      <w:hyperlink r:id="rId26" w:anchor="v=onepage&amp;q=investment%20appraisal%20techniques&amp;f=false" w:history="1">
        <w:r w:rsidRPr="008750DF">
          <w:rPr>
            <w:rStyle w:val="Hyperlink"/>
          </w:rPr>
          <w:t>https://books.google.co.in/books?hl=en&amp;lr=&amp;id=WCe9EAAAQBAJ&amp;oi=fnd&amp;pg=PT5&amp;dq=investment+appraisal+techniques&amp;ots=6yYhzVpcpR&amp;sig=mT8eiHmLwQX_iCaBJDDKo-Ueysg&amp;redir_esc=y#v=onepage&amp;q=investment%20appraisal%20techniques&amp;f=false</w:t>
        </w:r>
      </w:hyperlink>
      <w:r>
        <w:t xml:space="preserve">. </w:t>
      </w:r>
    </w:p>
    <w:p w14:paraId="7B89AEA0" w14:textId="77777777" w:rsidR="0080526C" w:rsidRDefault="0080526C" w:rsidP="0080526C">
      <w:pPr>
        <w:spacing w:line="360" w:lineRule="auto"/>
      </w:pPr>
      <w:r w:rsidRPr="00C070BF">
        <w:t xml:space="preserve">Ferriswara, D., </w:t>
      </w:r>
      <w:proofErr w:type="spellStart"/>
      <w:r w:rsidRPr="00C070BF">
        <w:t>Sayidah</w:t>
      </w:r>
      <w:proofErr w:type="spellEnd"/>
      <w:r w:rsidRPr="00C070BF">
        <w:t xml:space="preserve">, N. and </w:t>
      </w:r>
      <w:proofErr w:type="spellStart"/>
      <w:r w:rsidRPr="00C070BF">
        <w:t>Agus</w:t>
      </w:r>
      <w:proofErr w:type="spellEnd"/>
      <w:r w:rsidRPr="00C070BF">
        <w:t xml:space="preserve"> </w:t>
      </w:r>
      <w:proofErr w:type="spellStart"/>
      <w:r w:rsidRPr="00C070BF">
        <w:t>Buniarto</w:t>
      </w:r>
      <w:proofErr w:type="spellEnd"/>
      <w:r w:rsidRPr="00C070BF">
        <w:t xml:space="preserve">, E., 2022. Do corporate governance, capital structure predict financial performance and firm value?(empirical study of Jakarta Islamic index). </w:t>
      </w:r>
      <w:r w:rsidRPr="00C070BF">
        <w:rPr>
          <w:i/>
          <w:iCs/>
        </w:rPr>
        <w:t>Cogent Business &amp; Management</w:t>
      </w:r>
      <w:r w:rsidRPr="00C070BF">
        <w:t xml:space="preserve">, </w:t>
      </w:r>
      <w:r w:rsidRPr="00C070BF">
        <w:rPr>
          <w:i/>
          <w:iCs/>
        </w:rPr>
        <w:t>9</w:t>
      </w:r>
      <w:r w:rsidRPr="00C070BF">
        <w:t>(1), p.2147123.</w:t>
      </w:r>
      <w:r>
        <w:t xml:space="preserve"> Available at: </w:t>
      </w:r>
      <w:hyperlink r:id="rId27" w:history="1">
        <w:r w:rsidRPr="008750DF">
          <w:rPr>
            <w:rStyle w:val="Hyperlink"/>
          </w:rPr>
          <w:t>https://www.tandfonline.com/doi/abs/10.1080/23311975.2022.2147123</w:t>
        </w:r>
      </w:hyperlink>
      <w:r>
        <w:t xml:space="preserve">. </w:t>
      </w:r>
    </w:p>
    <w:p w14:paraId="6BFD3053" w14:textId="77777777" w:rsidR="0080526C" w:rsidRDefault="0080526C" w:rsidP="0080526C">
      <w:pPr>
        <w:spacing w:line="360" w:lineRule="auto"/>
      </w:pPr>
      <w:r w:rsidRPr="00027988">
        <w:t>Floros, I.V. and Sapp, T.R., 20</w:t>
      </w:r>
      <w:r>
        <w:t>2</w:t>
      </w:r>
      <w:r w:rsidRPr="00027988">
        <w:t xml:space="preserve">1. Shell games: On the value of shell companies. </w:t>
      </w:r>
      <w:r w:rsidRPr="00027988">
        <w:rPr>
          <w:i/>
          <w:iCs/>
        </w:rPr>
        <w:t>Journal of Corporate Finance</w:t>
      </w:r>
      <w:r w:rsidRPr="00027988">
        <w:t xml:space="preserve">, </w:t>
      </w:r>
      <w:r w:rsidRPr="00027988">
        <w:rPr>
          <w:i/>
          <w:iCs/>
        </w:rPr>
        <w:t>17</w:t>
      </w:r>
      <w:r w:rsidRPr="00027988">
        <w:t>(4), pp.850-867.</w:t>
      </w:r>
      <w:r>
        <w:t xml:space="preserve"> Available at: </w:t>
      </w:r>
      <w:hyperlink r:id="rId28" w:history="1">
        <w:r w:rsidRPr="008750DF">
          <w:rPr>
            <w:rStyle w:val="Hyperlink"/>
          </w:rPr>
          <w:t>https://www.sciencedirect.com/science/article/pii/S0929119911000198</w:t>
        </w:r>
      </w:hyperlink>
      <w:r>
        <w:t xml:space="preserve">. </w:t>
      </w:r>
    </w:p>
    <w:p w14:paraId="6B33D843" w14:textId="77777777" w:rsidR="0080526C" w:rsidRDefault="0080526C" w:rsidP="0080526C">
      <w:pPr>
        <w:spacing w:line="360" w:lineRule="auto"/>
      </w:pPr>
      <w:r w:rsidRPr="00DE2EF6">
        <w:t>Kariyawasam, A.H.N., 2019. Analysing the impact of financial ratios on a company’s financial performance.</w:t>
      </w:r>
      <w:r>
        <w:t xml:space="preserve"> Available at: </w:t>
      </w:r>
      <w:hyperlink r:id="rId29" w:history="1">
        <w:r w:rsidRPr="008750DF">
          <w:rPr>
            <w:rStyle w:val="Hyperlink"/>
          </w:rPr>
          <w:t>http://www.dr.lib.sjp.ac.lk/bitstream/handle/123456789/11904/FMSC%20-%20Analysing%20the%20Impact%20of%20Financial%20Ratios%20on%20a%20Company%20s.pdf?sequence=1</w:t>
        </w:r>
      </w:hyperlink>
      <w:r>
        <w:t xml:space="preserve">. </w:t>
      </w:r>
    </w:p>
    <w:p w14:paraId="3EFC62C6" w14:textId="77777777" w:rsidR="0080526C" w:rsidRDefault="0080526C" w:rsidP="0080526C">
      <w:pPr>
        <w:spacing w:line="360" w:lineRule="auto"/>
      </w:pPr>
      <w:r w:rsidRPr="00746D81">
        <w:t xml:space="preserve">Li, J., 2024, May. Oil Industry Shell Company Business Strategy Analysis. In </w:t>
      </w:r>
      <w:r w:rsidRPr="00746D81">
        <w:rPr>
          <w:i/>
          <w:iCs/>
        </w:rPr>
        <w:t>9th International Conference on Financial Innovation and Economic Development (ICFIED 2024)</w:t>
      </w:r>
      <w:r w:rsidRPr="00746D81">
        <w:t xml:space="preserve"> (pp. 450-457). Atlantis Press.</w:t>
      </w:r>
      <w:r>
        <w:t xml:space="preserve"> Available at: </w:t>
      </w:r>
      <w:hyperlink r:id="rId30" w:anchor="v=onepage&amp;q&amp;f=false" w:history="1">
        <w:r w:rsidRPr="008750DF">
          <w:rPr>
            <w:rStyle w:val="Hyperlink"/>
          </w:rPr>
          <w:t>https://books.google.co.in/books?hl=en&amp;lr=&amp;id=imcGEQAAQBAJ&amp;oi=fnd&amp;pg=PA450&amp;dq=ratio+analysis+of+shell+plc&amp;ots=Fhhsdt64To&amp;sig=KaICfs2z5JLSQeSQRdmXMven_R4&amp;redir_esc=y#v=onepage&amp;q&amp;f=false</w:t>
        </w:r>
      </w:hyperlink>
      <w:r>
        <w:t xml:space="preserve">. </w:t>
      </w:r>
    </w:p>
    <w:p w14:paraId="73661713" w14:textId="77777777" w:rsidR="0080526C" w:rsidRDefault="0080526C" w:rsidP="0080526C">
      <w:pPr>
        <w:spacing w:line="360" w:lineRule="auto"/>
      </w:pPr>
      <w:r w:rsidRPr="00F33263">
        <w:t xml:space="preserve">Nasution, Y.A. and Yusleny, Y., 2023, February. Financial Performance Measurement Using Profitability Ratios And Liquidity Ratios. In </w:t>
      </w:r>
      <w:r w:rsidRPr="00F33263">
        <w:rPr>
          <w:i/>
          <w:iCs/>
        </w:rPr>
        <w:t>Proceeding Medan International Conference on Economic and Business</w:t>
      </w:r>
      <w:r w:rsidRPr="00F33263">
        <w:t xml:space="preserve"> (Vol. 1, pp. 1730-1741).</w:t>
      </w:r>
      <w:r>
        <w:t xml:space="preserve"> Available at: </w:t>
      </w:r>
      <w:hyperlink r:id="rId31" w:history="1">
        <w:r w:rsidRPr="008750DF">
          <w:rPr>
            <w:rStyle w:val="Hyperlink"/>
          </w:rPr>
          <w:t>https://proceeding.umsu.ac.id/index.php/Miceb/article/view/282</w:t>
        </w:r>
      </w:hyperlink>
      <w:r>
        <w:t xml:space="preserve">. </w:t>
      </w:r>
    </w:p>
    <w:p w14:paraId="2E90293E" w14:textId="77777777" w:rsidR="0080526C" w:rsidRDefault="0080526C" w:rsidP="0080526C">
      <w:pPr>
        <w:spacing w:line="360" w:lineRule="auto"/>
      </w:pPr>
      <w:r w:rsidRPr="00C5795F">
        <w:t xml:space="preserve">Ofoeda, I., Doku, J.N. and Vanderpuye, S.O., 2025. Firm investment decisions. In </w:t>
      </w:r>
      <w:r w:rsidRPr="00C5795F">
        <w:rPr>
          <w:i/>
          <w:iCs/>
        </w:rPr>
        <w:t>The Elgar Companion to Financial Economics</w:t>
      </w:r>
      <w:r w:rsidRPr="00C5795F">
        <w:t xml:space="preserve"> (pp. 92-113). Edward Elgar Publishing.</w:t>
      </w:r>
      <w:r>
        <w:t xml:space="preserve"> Available at: </w:t>
      </w:r>
      <w:hyperlink r:id="rId32" w:history="1">
        <w:r w:rsidRPr="008750DF">
          <w:rPr>
            <w:rStyle w:val="Hyperlink"/>
          </w:rPr>
          <w:t>https://www.elgaronline.com/edcollchap/book/9781035341405/chapter5.xml</w:t>
        </w:r>
      </w:hyperlink>
      <w:r>
        <w:t xml:space="preserve">. </w:t>
      </w:r>
    </w:p>
    <w:p w14:paraId="6B8AF461" w14:textId="77777777" w:rsidR="0080526C" w:rsidRDefault="0080526C" w:rsidP="0080526C">
      <w:pPr>
        <w:spacing w:line="360" w:lineRule="auto"/>
      </w:pPr>
      <w:r w:rsidRPr="00406494">
        <w:t>Rao, M.P. and Ranjitha, V., 2026. A Study on Investment Appraisal Techniques and Capital Budgeting Practices in Wipro Ltd.</w:t>
      </w:r>
      <w:r>
        <w:t xml:space="preserve"> Available at: </w:t>
      </w:r>
      <w:hyperlink r:id="rId33" w:history="1">
        <w:r w:rsidRPr="008750DF">
          <w:rPr>
            <w:rStyle w:val="Hyperlink"/>
          </w:rPr>
          <w:t>https://ijsrem.com/uploads/production/IJSREM65383_1782190656489.pdf</w:t>
        </w:r>
      </w:hyperlink>
      <w:r>
        <w:t xml:space="preserve">. </w:t>
      </w:r>
    </w:p>
    <w:p w14:paraId="4CCE2AAB" w14:textId="77777777" w:rsidR="0080526C" w:rsidRDefault="0080526C" w:rsidP="0080526C">
      <w:pPr>
        <w:spacing w:line="360" w:lineRule="auto"/>
      </w:pPr>
      <w:r w:rsidRPr="003258CD">
        <w:t>Silva, T.A.M.D., 2025. Equity research: shell PLC.</w:t>
      </w:r>
      <w:r>
        <w:t xml:space="preserve"> Available at: </w:t>
      </w:r>
      <w:hyperlink r:id="rId34" w:history="1">
        <w:r w:rsidRPr="008750DF">
          <w:rPr>
            <w:rStyle w:val="Hyperlink"/>
          </w:rPr>
          <w:t>https://repositorio.ulisboa.pt/entities/publication/82b427ad-a20d-48ab-a56f-3325b0f792df</w:t>
        </w:r>
      </w:hyperlink>
      <w:r>
        <w:t xml:space="preserve">. </w:t>
      </w:r>
    </w:p>
    <w:p w14:paraId="1C47BEA9" w14:textId="77777777" w:rsidR="0080526C" w:rsidRDefault="0080526C" w:rsidP="0080526C">
      <w:pPr>
        <w:spacing w:line="360" w:lineRule="auto"/>
      </w:pPr>
      <w:proofErr w:type="spellStart"/>
      <w:r w:rsidRPr="00714F9B">
        <w:t>Shumbanhete</w:t>
      </w:r>
      <w:proofErr w:type="spellEnd"/>
      <w:r w:rsidRPr="00714F9B">
        <w:t xml:space="preserve">, B. and Muzira, D.R., 2023. Investment Analysis in Agribusiness, Mitigating Capital Risk. In </w:t>
      </w:r>
      <w:r w:rsidRPr="00714F9B">
        <w:rPr>
          <w:i/>
          <w:iCs/>
        </w:rPr>
        <w:t>Sustainable Agricultural Marketing and Agribusiness Development: An African Perspective</w:t>
      </w:r>
      <w:r w:rsidRPr="00714F9B">
        <w:t xml:space="preserve"> (pp. 102-114). GB: CABI.</w:t>
      </w:r>
      <w:r>
        <w:t xml:space="preserve"> Available at: </w:t>
      </w:r>
      <w:hyperlink r:id="rId35" w:history="1">
        <w:r w:rsidRPr="008750DF">
          <w:rPr>
            <w:rStyle w:val="Hyperlink"/>
          </w:rPr>
          <w:t>https://access.heinonline.com/HOL/LandingPage?handle=hein.journals/ijlmhs23&amp;div=307&amp;id=&amp;page=</w:t>
        </w:r>
      </w:hyperlink>
      <w:r>
        <w:t xml:space="preserve">. </w:t>
      </w:r>
    </w:p>
    <w:p w14:paraId="076A1963" w14:textId="77777777" w:rsidR="0080526C" w:rsidRDefault="0080526C" w:rsidP="0080526C">
      <w:pPr>
        <w:spacing w:line="360" w:lineRule="auto"/>
      </w:pPr>
      <w:proofErr w:type="spellStart"/>
      <w:r w:rsidRPr="00666424">
        <w:t>Tulhayat</w:t>
      </w:r>
      <w:proofErr w:type="spellEnd"/>
      <w:r w:rsidRPr="00666424">
        <w:t xml:space="preserve">, J.M., </w:t>
      </w:r>
      <w:proofErr w:type="spellStart"/>
      <w:r w:rsidRPr="00666424">
        <w:t>Azis</w:t>
      </w:r>
      <w:proofErr w:type="spellEnd"/>
      <w:r w:rsidRPr="00666424">
        <w:t xml:space="preserve">, F. and Musa, K.S.P., 2025. Investment Feasibility Analysis in MSMEs Using Payback Period and Profitability Index Approaches: Case Study on </w:t>
      </w:r>
      <w:proofErr w:type="spellStart"/>
      <w:r w:rsidRPr="00666424">
        <w:t>Jalangkote</w:t>
      </w:r>
      <w:proofErr w:type="spellEnd"/>
      <w:r w:rsidRPr="00666424">
        <w:t xml:space="preserve"> Master. </w:t>
      </w:r>
      <w:r w:rsidRPr="00666424">
        <w:rPr>
          <w:i/>
          <w:iCs/>
        </w:rPr>
        <w:t>SIMAK</w:t>
      </w:r>
      <w:r w:rsidRPr="00666424">
        <w:t xml:space="preserve">, </w:t>
      </w:r>
      <w:r w:rsidRPr="00666424">
        <w:rPr>
          <w:i/>
          <w:iCs/>
        </w:rPr>
        <w:t>23</w:t>
      </w:r>
      <w:r w:rsidRPr="00666424">
        <w:t>(02), pp.103-116.</w:t>
      </w:r>
      <w:r>
        <w:t xml:space="preserve"> Available at: </w:t>
      </w:r>
      <w:hyperlink r:id="rId36" w:history="1">
        <w:r w:rsidRPr="008750DF">
          <w:rPr>
            <w:rStyle w:val="Hyperlink"/>
          </w:rPr>
          <w:t>http://ojs.feb.uajm.ac.id/index.php/simak/article/view/658</w:t>
        </w:r>
      </w:hyperlink>
      <w:r>
        <w:t xml:space="preserve">. </w:t>
      </w:r>
    </w:p>
    <w:p w14:paraId="0C5CA317" w14:textId="77777777" w:rsidR="0080526C" w:rsidRDefault="0080526C" w:rsidP="0080526C">
      <w:pPr>
        <w:spacing w:line="360" w:lineRule="auto"/>
      </w:pPr>
      <w:proofErr w:type="spellStart"/>
      <w:r w:rsidRPr="00C45DA9">
        <w:t>Usodan</w:t>
      </w:r>
      <w:proofErr w:type="spellEnd"/>
      <w:r w:rsidRPr="00C45DA9">
        <w:t xml:space="preserve">, A.K.M., Jalal, F.D.H., Bandera, A.D. and Usman-Macadaag, O.M., 2025. Making the Right Choice: A Literature-Based Analysis on Investment Appraisal. </w:t>
      </w:r>
      <w:r w:rsidRPr="00C45DA9">
        <w:rPr>
          <w:i/>
          <w:iCs/>
        </w:rPr>
        <w:t>International Research Journal of Economics and Management Studies IRJEMS</w:t>
      </w:r>
      <w:r w:rsidRPr="00C45DA9">
        <w:t xml:space="preserve">, </w:t>
      </w:r>
      <w:r w:rsidRPr="00C45DA9">
        <w:rPr>
          <w:i/>
          <w:iCs/>
        </w:rPr>
        <w:t>4</w:t>
      </w:r>
      <w:r w:rsidRPr="00C45DA9">
        <w:t>(11).</w:t>
      </w:r>
      <w:r>
        <w:t xml:space="preserve"> Available at: </w:t>
      </w:r>
      <w:hyperlink r:id="rId37" w:history="1">
        <w:r w:rsidRPr="008750DF">
          <w:rPr>
            <w:rStyle w:val="Hyperlink"/>
          </w:rPr>
          <w:t>https://irjems.org/irjems-v4i11p113.html</w:t>
        </w:r>
      </w:hyperlink>
      <w:r>
        <w:t xml:space="preserve">. </w:t>
      </w:r>
    </w:p>
    <w:p w14:paraId="58E95EB4" w14:textId="77777777" w:rsidR="0080526C" w:rsidRDefault="0080526C" w:rsidP="0080526C">
      <w:pPr>
        <w:spacing w:line="360" w:lineRule="auto"/>
      </w:pPr>
      <w:r w:rsidRPr="00427391">
        <w:t>Varchenko, O., Tkachenko, K. and Verniuk, N., 2022. The system of indicators for evaluating investment projects taking into account the environmental impact.</w:t>
      </w:r>
      <w:r>
        <w:t xml:space="preserve"> Available at: </w:t>
      </w:r>
      <w:hyperlink r:id="rId38" w:history="1">
        <w:r w:rsidRPr="008750DF">
          <w:rPr>
            <w:rStyle w:val="Hyperlink"/>
          </w:rPr>
          <w:t>http://rep.btsau.edu.ua/handle/BNAU/9329</w:t>
        </w:r>
      </w:hyperlink>
      <w:r>
        <w:t xml:space="preserve">. </w:t>
      </w:r>
    </w:p>
    <w:p w14:paraId="0BE305D2" w14:textId="77777777" w:rsidR="0080526C" w:rsidRDefault="0080526C" w:rsidP="0080526C">
      <w:pPr>
        <w:spacing w:line="360" w:lineRule="auto"/>
      </w:pPr>
      <w:r w:rsidRPr="00550333">
        <w:t xml:space="preserve">Walters, D. and Helman, D., 2019. Profitability: Interpretations and considerations. In </w:t>
      </w:r>
      <w:r w:rsidRPr="00550333">
        <w:rPr>
          <w:i/>
          <w:iCs/>
        </w:rPr>
        <w:t xml:space="preserve">Strategic Capability Response Analysis: The Convergence of </w:t>
      </w:r>
      <w:proofErr w:type="spellStart"/>
      <w:r w:rsidRPr="00550333">
        <w:rPr>
          <w:i/>
          <w:iCs/>
        </w:rPr>
        <w:t>Industrié</w:t>
      </w:r>
      <w:proofErr w:type="spellEnd"/>
      <w:r w:rsidRPr="00550333">
        <w:rPr>
          <w:i/>
          <w:iCs/>
        </w:rPr>
        <w:t xml:space="preserve"> 4.0, Value Chain Network Management 2.0 and Stakeholder Value-Led Management</w:t>
      </w:r>
      <w:r w:rsidRPr="00550333">
        <w:t xml:space="preserve"> (pp. 99-139). Cham: Springer International Publishing.</w:t>
      </w:r>
      <w:r>
        <w:t xml:space="preserve"> Available at: </w:t>
      </w:r>
      <w:hyperlink r:id="rId39" w:history="1">
        <w:r w:rsidRPr="008750DF">
          <w:rPr>
            <w:rStyle w:val="Hyperlink"/>
          </w:rPr>
          <w:t>https://link.springer.com/chapter/10.1007/978-3-030-22944-3_5</w:t>
        </w:r>
      </w:hyperlink>
      <w:r>
        <w:t xml:space="preserve">. </w:t>
      </w:r>
    </w:p>
    <w:p w14:paraId="1F630862" w14:textId="77777777" w:rsidR="0080526C" w:rsidRPr="007B15EE" w:rsidRDefault="0080526C" w:rsidP="0080526C">
      <w:pPr>
        <w:spacing w:line="360" w:lineRule="auto"/>
      </w:pPr>
      <w:r w:rsidRPr="00792708">
        <w:t xml:space="preserve">Zatrochova, M. and Katrencik, I., 2023. Investment evaluation methods for business performance. In </w:t>
      </w:r>
      <w:r w:rsidRPr="00792708">
        <w:rPr>
          <w:i/>
          <w:iCs/>
        </w:rPr>
        <w:t>Developments in Information and Knowledge Management Systems for Business Applications: Volume 6</w:t>
      </w:r>
      <w:r w:rsidRPr="00792708">
        <w:t xml:space="preserve"> (pp. 211-244). Cham: Springer Nature Switzerland.</w:t>
      </w:r>
      <w:r>
        <w:t xml:space="preserve"> Available at: </w:t>
      </w:r>
      <w:hyperlink r:id="rId40" w:history="1">
        <w:r w:rsidRPr="008750DF">
          <w:rPr>
            <w:rStyle w:val="Hyperlink"/>
          </w:rPr>
          <w:t>https://www.researchgate.net/profile/Enyi-Enyi/publication/410035597_Towards_a_Security-Centered_Theory_of_Investment_Appraisal_Integrating_Probabilistic_Risk_Analysis_and_Continuous_Performance_Assessment/links/6a57f862f6cec25ad2d98946/Towards-a-Security-Centered-Theory-of-Investment-Appraisal-Integrating-Probabilistic-Risk-Analysis-and-Continuous-Performance-Assessment.pdf?__cf_chl_tk=H.5eQORNwiVj8sTXstiHqMwAVVyXjzT8RJTUkfHFJMw-1792313001-1.0.1.1-6U0OFEQU5VXekX73Toutqdi1cou4xOJE4OzFbg1Ha54</w:t>
        </w:r>
      </w:hyperlink>
      <w:r>
        <w:t xml:space="preserve">. </w:t>
      </w:r>
    </w:p>
    <w:p w14:paraId="746DEE9F" w14:textId="77777777" w:rsidR="0080526C" w:rsidRDefault="0080526C" w:rsidP="00D4556B">
      <w:pPr>
        <w:spacing w:line="360" w:lineRule="auto"/>
      </w:pPr>
    </w:p>
    <w:p w14:paraId="6C641938" w14:textId="77777777" w:rsidR="007B15EE" w:rsidRDefault="007B15EE" w:rsidP="00D4556B">
      <w:pPr>
        <w:spacing w:line="360" w:lineRule="auto"/>
      </w:pPr>
    </w:p>
    <w:p w14:paraId="4225B726" w14:textId="77777777" w:rsidR="007B15EE" w:rsidRDefault="007B15EE" w:rsidP="00D4556B">
      <w:pPr>
        <w:spacing w:line="360" w:lineRule="auto"/>
      </w:pPr>
    </w:p>
    <w:p w14:paraId="002DB149" w14:textId="77777777" w:rsidR="007B15EE" w:rsidRDefault="007B15EE" w:rsidP="00D4556B">
      <w:pPr>
        <w:spacing w:line="360" w:lineRule="auto"/>
      </w:pPr>
    </w:p>
    <w:p w14:paraId="617FEFB7" w14:textId="77777777" w:rsidR="007B15EE" w:rsidRDefault="007B15EE" w:rsidP="00D4556B">
      <w:pPr>
        <w:spacing w:line="360" w:lineRule="auto"/>
      </w:pPr>
    </w:p>
    <w:p w14:paraId="49AA3AEB" w14:textId="77777777" w:rsidR="007B15EE" w:rsidRDefault="007B15EE" w:rsidP="00D4556B">
      <w:pPr>
        <w:spacing w:line="360" w:lineRule="auto"/>
      </w:pPr>
    </w:p>
    <w:p w14:paraId="6A817E25" w14:textId="77777777" w:rsidR="007B15EE" w:rsidRDefault="007B15EE" w:rsidP="00D4556B">
      <w:pPr>
        <w:spacing w:line="360" w:lineRule="auto"/>
      </w:pPr>
    </w:p>
    <w:p w14:paraId="6B13D12F" w14:textId="77777777" w:rsidR="007B15EE" w:rsidRDefault="007B15EE" w:rsidP="00D4556B">
      <w:pPr>
        <w:spacing w:line="360" w:lineRule="auto"/>
      </w:pPr>
    </w:p>
    <w:p w14:paraId="0A683560" w14:textId="77777777" w:rsidR="007B15EE" w:rsidRDefault="007B15EE" w:rsidP="00D4556B">
      <w:pPr>
        <w:spacing w:line="360" w:lineRule="auto"/>
      </w:pPr>
    </w:p>
    <w:p w14:paraId="20A3584C" w14:textId="77777777" w:rsidR="007B15EE" w:rsidRDefault="007B15EE" w:rsidP="00D4556B">
      <w:pPr>
        <w:spacing w:line="360" w:lineRule="auto"/>
      </w:pPr>
    </w:p>
    <w:p w14:paraId="6B189B1F" w14:textId="77777777" w:rsidR="007B15EE" w:rsidRDefault="007B15EE" w:rsidP="00D4556B">
      <w:pPr>
        <w:spacing w:line="360" w:lineRule="auto"/>
      </w:pPr>
    </w:p>
    <w:p w14:paraId="50A7A6AF" w14:textId="77777777" w:rsidR="007B15EE" w:rsidRDefault="007B15EE" w:rsidP="00D4556B">
      <w:pPr>
        <w:spacing w:line="360" w:lineRule="auto"/>
      </w:pPr>
    </w:p>
    <w:p w14:paraId="55AD0C05" w14:textId="310420E3" w:rsidR="007B15EE" w:rsidRDefault="0080526C" w:rsidP="007B15EE">
      <w:pPr>
        <w:pStyle w:val="Heading1"/>
        <w:spacing w:line="360" w:lineRule="auto"/>
        <w:rPr>
          <w:rFonts w:ascii="Times New Roman" w:hAnsi="Times New Roman" w:cs="Times New Roman"/>
          <w:sz w:val="24"/>
          <w:szCs w:val="24"/>
        </w:rPr>
      </w:pPr>
      <w:bookmarkStart w:id="30" w:name="_Toc243773410"/>
      <w:r>
        <w:rPr>
          <w:rFonts w:ascii="Times New Roman" w:hAnsi="Times New Roman" w:cs="Times New Roman"/>
          <w:sz w:val="24"/>
          <w:szCs w:val="24"/>
        </w:rPr>
        <w:t>8</w:t>
      </w:r>
      <w:r w:rsidR="007B15EE" w:rsidRPr="001D7532">
        <w:rPr>
          <w:rFonts w:ascii="Times New Roman" w:hAnsi="Times New Roman" w:cs="Times New Roman"/>
          <w:sz w:val="24"/>
          <w:szCs w:val="24"/>
        </w:rPr>
        <w:t>.</w:t>
      </w:r>
      <w:r w:rsidR="007B15EE">
        <w:rPr>
          <w:rFonts w:ascii="Times New Roman" w:hAnsi="Times New Roman" w:cs="Times New Roman"/>
          <w:sz w:val="24"/>
          <w:szCs w:val="24"/>
        </w:rPr>
        <w:t xml:space="preserve"> Appendix</w:t>
      </w:r>
      <w:bookmarkEnd w:id="30"/>
    </w:p>
    <w:p w14:paraId="6243A77B" w14:textId="53FF5566" w:rsidR="007C351F" w:rsidRPr="00B57803" w:rsidRDefault="0080526C" w:rsidP="007C351F">
      <w:pPr>
        <w:pStyle w:val="Heading2"/>
        <w:spacing w:line="360" w:lineRule="auto"/>
        <w:rPr>
          <w:rFonts w:ascii="Times New Roman" w:hAnsi="Times New Roman" w:cs="Times New Roman"/>
          <w:sz w:val="24"/>
          <w:szCs w:val="24"/>
        </w:rPr>
      </w:pPr>
      <w:bookmarkStart w:id="31" w:name="_Toc243773411"/>
      <w:r>
        <w:rPr>
          <w:rFonts w:ascii="Times New Roman" w:hAnsi="Times New Roman" w:cs="Times New Roman"/>
          <w:sz w:val="24"/>
          <w:szCs w:val="24"/>
        </w:rPr>
        <w:t>8</w:t>
      </w:r>
      <w:r w:rsidR="007C351F">
        <w:rPr>
          <w:rFonts w:ascii="Times New Roman" w:hAnsi="Times New Roman" w:cs="Times New Roman"/>
          <w:sz w:val="24"/>
          <w:szCs w:val="24"/>
        </w:rPr>
        <w:t>.1 Calculation of ratios</w:t>
      </w:r>
      <w:bookmarkEnd w:id="31"/>
    </w:p>
    <w:p w14:paraId="396E407F" w14:textId="308ADFA2" w:rsidR="007B15EE" w:rsidRDefault="007731BE" w:rsidP="0080526C">
      <w:pPr>
        <w:spacing w:line="360" w:lineRule="auto"/>
        <w:jc w:val="center"/>
      </w:pPr>
      <w:r w:rsidRPr="007731BE">
        <w:rPr>
          <w:noProof/>
        </w:rPr>
        <w:drawing>
          <wp:inline distT="0" distB="0" distL="0" distR="0" wp14:anchorId="2D5918FB" wp14:editId="3733A47F">
            <wp:extent cx="4159250" cy="7035800"/>
            <wp:effectExtent l="0" t="0" r="0" b="0"/>
            <wp:docPr id="490310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159250" cy="7035800"/>
                    </a:xfrm>
                    <a:prstGeom prst="rect">
                      <a:avLst/>
                    </a:prstGeom>
                    <a:noFill/>
                    <a:ln>
                      <a:noFill/>
                    </a:ln>
                  </pic:spPr>
                </pic:pic>
              </a:graphicData>
            </a:graphic>
          </wp:inline>
        </w:drawing>
      </w:r>
    </w:p>
    <w:p w14:paraId="456C4567" w14:textId="0179EFC7" w:rsidR="007C351F" w:rsidRDefault="0080526C" w:rsidP="007C351F">
      <w:pPr>
        <w:pStyle w:val="Heading2"/>
        <w:spacing w:line="360" w:lineRule="auto"/>
        <w:rPr>
          <w:rFonts w:ascii="Times New Roman" w:hAnsi="Times New Roman" w:cs="Times New Roman"/>
          <w:sz w:val="24"/>
          <w:szCs w:val="24"/>
        </w:rPr>
      </w:pPr>
      <w:bookmarkStart w:id="32" w:name="_Toc243773412"/>
      <w:r>
        <w:rPr>
          <w:rFonts w:ascii="Times New Roman" w:hAnsi="Times New Roman" w:cs="Times New Roman"/>
          <w:sz w:val="24"/>
          <w:szCs w:val="24"/>
        </w:rPr>
        <w:t>8</w:t>
      </w:r>
      <w:r w:rsidR="007C351F">
        <w:rPr>
          <w:rFonts w:ascii="Times New Roman" w:hAnsi="Times New Roman" w:cs="Times New Roman"/>
          <w:sz w:val="24"/>
          <w:szCs w:val="24"/>
        </w:rPr>
        <w:t>.2 Calculation of working capital ratios</w:t>
      </w:r>
      <w:bookmarkEnd w:id="32"/>
    </w:p>
    <w:p w14:paraId="07E70421" w14:textId="04AE85F8" w:rsidR="007C351F" w:rsidRDefault="00B55C31" w:rsidP="007C351F">
      <w:r w:rsidRPr="00B55C31">
        <w:rPr>
          <w:noProof/>
        </w:rPr>
        <w:drawing>
          <wp:inline distT="0" distB="0" distL="0" distR="0" wp14:anchorId="359D60BF" wp14:editId="621DF25E">
            <wp:extent cx="5308600" cy="1327150"/>
            <wp:effectExtent l="0" t="0" r="6350" b="6350"/>
            <wp:docPr id="115305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08600" cy="1327150"/>
                    </a:xfrm>
                    <a:prstGeom prst="rect">
                      <a:avLst/>
                    </a:prstGeom>
                    <a:noFill/>
                    <a:ln>
                      <a:noFill/>
                    </a:ln>
                  </pic:spPr>
                </pic:pic>
              </a:graphicData>
            </a:graphic>
          </wp:inline>
        </w:drawing>
      </w:r>
    </w:p>
    <w:p w14:paraId="2FB21CFC" w14:textId="474E1D77" w:rsidR="007C351F" w:rsidRDefault="0080526C" w:rsidP="007C351F">
      <w:pPr>
        <w:pStyle w:val="Heading2"/>
        <w:spacing w:line="360" w:lineRule="auto"/>
        <w:rPr>
          <w:rFonts w:ascii="Times New Roman" w:hAnsi="Times New Roman" w:cs="Times New Roman"/>
          <w:sz w:val="24"/>
          <w:szCs w:val="24"/>
        </w:rPr>
      </w:pPr>
      <w:bookmarkStart w:id="33" w:name="_Toc243773413"/>
      <w:r>
        <w:rPr>
          <w:rFonts w:ascii="Times New Roman" w:hAnsi="Times New Roman" w:cs="Times New Roman"/>
          <w:sz w:val="24"/>
          <w:szCs w:val="24"/>
        </w:rPr>
        <w:t>8</w:t>
      </w:r>
      <w:r w:rsidR="007C351F">
        <w:rPr>
          <w:rFonts w:ascii="Times New Roman" w:hAnsi="Times New Roman" w:cs="Times New Roman"/>
          <w:sz w:val="24"/>
          <w:szCs w:val="24"/>
        </w:rPr>
        <w:t>.3 Capital budgeting techniques</w:t>
      </w:r>
      <w:bookmarkEnd w:id="33"/>
    </w:p>
    <w:p w14:paraId="221E1594" w14:textId="469AAC58" w:rsidR="00B55C31" w:rsidRPr="00B55C31" w:rsidRDefault="00B55C31" w:rsidP="00B55C31">
      <w:pPr>
        <w:rPr>
          <w:b/>
          <w:bCs/>
          <w:u w:val="single"/>
        </w:rPr>
      </w:pPr>
      <w:r w:rsidRPr="00B55C31">
        <w:rPr>
          <w:b/>
          <w:bCs/>
          <w:u w:val="single"/>
        </w:rPr>
        <w:t>a) Payback period</w:t>
      </w:r>
    </w:p>
    <w:p w14:paraId="2467BBA7" w14:textId="0D6999A6" w:rsidR="00B55C31" w:rsidRPr="00B55C31" w:rsidRDefault="00B55C31" w:rsidP="00B55C31">
      <w:r w:rsidRPr="00B55C31">
        <w:rPr>
          <w:noProof/>
        </w:rPr>
        <w:drawing>
          <wp:inline distT="0" distB="0" distL="0" distR="0" wp14:anchorId="3EECAFB8" wp14:editId="4C8F341D">
            <wp:extent cx="5731510" cy="2018030"/>
            <wp:effectExtent l="0" t="0" r="2540" b="1270"/>
            <wp:docPr id="5278933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018030"/>
                    </a:xfrm>
                    <a:prstGeom prst="rect">
                      <a:avLst/>
                    </a:prstGeom>
                    <a:noFill/>
                    <a:ln>
                      <a:noFill/>
                    </a:ln>
                  </pic:spPr>
                </pic:pic>
              </a:graphicData>
            </a:graphic>
          </wp:inline>
        </w:drawing>
      </w:r>
    </w:p>
    <w:p w14:paraId="4E1C533D" w14:textId="22EB4378" w:rsidR="007C351F" w:rsidRDefault="00B55C31" w:rsidP="007C351F">
      <w:pPr>
        <w:rPr>
          <w:b/>
          <w:bCs/>
          <w:u w:val="single"/>
        </w:rPr>
      </w:pPr>
      <w:r>
        <w:rPr>
          <w:b/>
          <w:bCs/>
          <w:u w:val="single"/>
        </w:rPr>
        <w:t>b) ARR</w:t>
      </w:r>
    </w:p>
    <w:p w14:paraId="1B74B12E" w14:textId="42B2AE43" w:rsidR="00B55C31" w:rsidRPr="00B55C31" w:rsidRDefault="00AC2C00" w:rsidP="007C351F">
      <w:pPr>
        <w:rPr>
          <w:b/>
          <w:bCs/>
          <w:u w:val="single"/>
        </w:rPr>
      </w:pPr>
      <w:r w:rsidRPr="00AC2C00">
        <w:rPr>
          <w:b/>
          <w:bCs/>
          <w:noProof/>
          <w:u w:val="single"/>
        </w:rPr>
        <w:drawing>
          <wp:inline distT="0" distB="0" distL="0" distR="0" wp14:anchorId="6DDC5EA2" wp14:editId="52171637">
            <wp:extent cx="4895850" cy="1231900"/>
            <wp:effectExtent l="0" t="0" r="0" b="6350"/>
            <wp:docPr id="18932787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95850" cy="1231900"/>
                    </a:xfrm>
                    <a:prstGeom prst="rect">
                      <a:avLst/>
                    </a:prstGeom>
                    <a:noFill/>
                    <a:ln>
                      <a:noFill/>
                    </a:ln>
                  </pic:spPr>
                </pic:pic>
              </a:graphicData>
            </a:graphic>
          </wp:inline>
        </w:drawing>
      </w:r>
    </w:p>
    <w:p w14:paraId="61AD0381" w14:textId="0132CFBA" w:rsidR="007C351F" w:rsidRPr="00AC2C00" w:rsidRDefault="00AC2C00" w:rsidP="007C351F">
      <w:pPr>
        <w:spacing w:line="360" w:lineRule="auto"/>
        <w:rPr>
          <w:b/>
          <w:bCs/>
          <w:u w:val="single"/>
        </w:rPr>
      </w:pPr>
      <w:r w:rsidRPr="00AC2C00">
        <w:rPr>
          <w:b/>
          <w:bCs/>
          <w:u w:val="single"/>
        </w:rPr>
        <w:t>c) NPV</w:t>
      </w:r>
    </w:p>
    <w:p w14:paraId="3A6D973B" w14:textId="3D7746CB" w:rsidR="000240DE" w:rsidRDefault="000E3951" w:rsidP="007B15EE">
      <w:pPr>
        <w:spacing w:line="360" w:lineRule="auto"/>
      </w:pPr>
      <w:r w:rsidRPr="000E3951">
        <w:rPr>
          <w:noProof/>
        </w:rPr>
        <w:drawing>
          <wp:inline distT="0" distB="0" distL="0" distR="0" wp14:anchorId="6851B4B0" wp14:editId="4FDA13B5">
            <wp:extent cx="5731510" cy="1228725"/>
            <wp:effectExtent l="0" t="0" r="2540" b="9525"/>
            <wp:docPr id="2050445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1228725"/>
                    </a:xfrm>
                    <a:prstGeom prst="rect">
                      <a:avLst/>
                    </a:prstGeom>
                    <a:noFill/>
                    <a:ln>
                      <a:noFill/>
                    </a:ln>
                  </pic:spPr>
                </pic:pic>
              </a:graphicData>
            </a:graphic>
          </wp:inline>
        </w:drawing>
      </w:r>
    </w:p>
    <w:p w14:paraId="54DE488B" w14:textId="4083AE3D" w:rsidR="000240DE" w:rsidRDefault="000E3951" w:rsidP="007B15EE">
      <w:pPr>
        <w:spacing w:line="360" w:lineRule="auto"/>
        <w:rPr>
          <w:b/>
          <w:bCs/>
          <w:u w:val="single"/>
        </w:rPr>
      </w:pPr>
      <w:r>
        <w:rPr>
          <w:b/>
          <w:bCs/>
          <w:u w:val="single"/>
        </w:rPr>
        <w:t>d) Profitability index</w:t>
      </w:r>
    </w:p>
    <w:p w14:paraId="688BDF2B" w14:textId="7C06CED7" w:rsidR="000E3951" w:rsidRDefault="00EC67A8" w:rsidP="007B15EE">
      <w:pPr>
        <w:spacing w:line="360" w:lineRule="auto"/>
        <w:rPr>
          <w:b/>
          <w:bCs/>
          <w:u w:val="single"/>
        </w:rPr>
      </w:pPr>
      <w:r w:rsidRPr="00EC67A8">
        <w:rPr>
          <w:b/>
          <w:bCs/>
          <w:noProof/>
          <w:u w:val="single"/>
        </w:rPr>
        <w:drawing>
          <wp:inline distT="0" distB="0" distL="0" distR="0" wp14:anchorId="4DB1E555" wp14:editId="651F477F">
            <wp:extent cx="4895850" cy="908050"/>
            <wp:effectExtent l="0" t="0" r="0" b="6350"/>
            <wp:docPr id="17533302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95850" cy="908050"/>
                    </a:xfrm>
                    <a:prstGeom prst="rect">
                      <a:avLst/>
                    </a:prstGeom>
                    <a:noFill/>
                    <a:ln>
                      <a:noFill/>
                    </a:ln>
                  </pic:spPr>
                </pic:pic>
              </a:graphicData>
            </a:graphic>
          </wp:inline>
        </w:drawing>
      </w:r>
    </w:p>
    <w:p w14:paraId="499FE5E4" w14:textId="734C9A72" w:rsidR="00EC67A8" w:rsidRDefault="00EC67A8" w:rsidP="007B15EE">
      <w:pPr>
        <w:spacing w:line="360" w:lineRule="auto"/>
        <w:rPr>
          <w:b/>
          <w:bCs/>
          <w:u w:val="single"/>
        </w:rPr>
      </w:pPr>
      <w:r>
        <w:rPr>
          <w:b/>
          <w:bCs/>
          <w:u w:val="single"/>
        </w:rPr>
        <w:t>e) IRR</w:t>
      </w:r>
    </w:p>
    <w:p w14:paraId="66B0CE06" w14:textId="587118AC" w:rsidR="00EC67A8" w:rsidRPr="000E3951" w:rsidRDefault="00EC67A8" w:rsidP="007B15EE">
      <w:pPr>
        <w:spacing w:line="360" w:lineRule="auto"/>
        <w:rPr>
          <w:b/>
          <w:bCs/>
          <w:u w:val="single"/>
        </w:rPr>
      </w:pPr>
      <w:r w:rsidRPr="00EC67A8">
        <w:rPr>
          <w:b/>
          <w:bCs/>
          <w:noProof/>
          <w:u w:val="single"/>
        </w:rPr>
        <w:drawing>
          <wp:inline distT="0" distB="0" distL="0" distR="0" wp14:anchorId="6BBA0A74" wp14:editId="4E9E04E1">
            <wp:extent cx="5731510" cy="1389380"/>
            <wp:effectExtent l="0" t="0" r="2540" b="1270"/>
            <wp:docPr id="2790746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1389380"/>
                    </a:xfrm>
                    <a:prstGeom prst="rect">
                      <a:avLst/>
                    </a:prstGeom>
                    <a:noFill/>
                    <a:ln>
                      <a:noFill/>
                    </a:ln>
                  </pic:spPr>
                </pic:pic>
              </a:graphicData>
            </a:graphic>
          </wp:inline>
        </w:drawing>
      </w:r>
    </w:p>
    <w:p w14:paraId="6C3D0E63" w14:textId="77777777" w:rsidR="000240DE" w:rsidRDefault="000240DE" w:rsidP="007B15EE">
      <w:pPr>
        <w:spacing w:line="360" w:lineRule="auto"/>
      </w:pPr>
    </w:p>
    <w:p w14:paraId="12CD7253" w14:textId="77777777" w:rsidR="000240DE" w:rsidRDefault="000240DE" w:rsidP="007B15EE">
      <w:pPr>
        <w:spacing w:line="360" w:lineRule="auto"/>
      </w:pPr>
    </w:p>
    <w:p w14:paraId="2FCB4A50" w14:textId="77777777" w:rsidR="000240DE" w:rsidRDefault="000240DE" w:rsidP="007B15EE">
      <w:pPr>
        <w:spacing w:line="360" w:lineRule="auto"/>
      </w:pPr>
    </w:p>
    <w:p w14:paraId="73835B3F" w14:textId="77777777" w:rsidR="000240DE" w:rsidRDefault="000240DE" w:rsidP="007B15EE">
      <w:pPr>
        <w:spacing w:line="360" w:lineRule="auto"/>
      </w:pPr>
    </w:p>
    <w:p w14:paraId="5460B15E" w14:textId="77777777" w:rsidR="000240DE" w:rsidRDefault="000240DE" w:rsidP="007B15EE">
      <w:pPr>
        <w:spacing w:line="360" w:lineRule="auto"/>
      </w:pPr>
    </w:p>
    <w:p w14:paraId="23B776F9" w14:textId="77777777" w:rsidR="000240DE" w:rsidRDefault="000240DE" w:rsidP="007B15EE">
      <w:pPr>
        <w:spacing w:line="360" w:lineRule="auto"/>
      </w:pPr>
    </w:p>
    <w:p w14:paraId="7466CC69" w14:textId="77777777" w:rsidR="000240DE" w:rsidRDefault="000240DE" w:rsidP="007B15EE">
      <w:pPr>
        <w:spacing w:line="360" w:lineRule="auto"/>
      </w:pPr>
    </w:p>
    <w:p w14:paraId="33381D5D" w14:textId="77777777" w:rsidR="000240DE" w:rsidRDefault="000240DE" w:rsidP="007B15EE">
      <w:pPr>
        <w:spacing w:line="360" w:lineRule="auto"/>
      </w:pPr>
    </w:p>
    <w:p w14:paraId="3192DF50" w14:textId="77777777" w:rsidR="000240DE" w:rsidRDefault="000240DE" w:rsidP="007B15EE">
      <w:pPr>
        <w:spacing w:line="360" w:lineRule="auto"/>
      </w:pPr>
    </w:p>
    <w:p w14:paraId="5BE247A3" w14:textId="77777777" w:rsidR="000240DE" w:rsidRDefault="000240DE" w:rsidP="007B15EE">
      <w:pPr>
        <w:spacing w:line="360" w:lineRule="auto"/>
      </w:pPr>
    </w:p>
    <w:p w14:paraId="2CCB0E2A" w14:textId="77777777" w:rsidR="000240DE" w:rsidRDefault="000240DE" w:rsidP="007B15EE">
      <w:pPr>
        <w:spacing w:line="360" w:lineRule="auto"/>
      </w:pPr>
    </w:p>
    <w:p w14:paraId="4C758037" w14:textId="77777777" w:rsidR="000240DE" w:rsidRDefault="000240DE" w:rsidP="007B15EE">
      <w:pPr>
        <w:spacing w:line="360" w:lineRule="auto"/>
      </w:pPr>
    </w:p>
    <w:p w14:paraId="5AB94831" w14:textId="77777777" w:rsidR="000240DE" w:rsidRDefault="000240DE" w:rsidP="007B15EE">
      <w:pPr>
        <w:spacing w:line="360" w:lineRule="auto"/>
      </w:pPr>
    </w:p>
    <w:p w14:paraId="32426DA2" w14:textId="77777777" w:rsidR="000240DE" w:rsidRDefault="000240DE" w:rsidP="007B15EE">
      <w:pPr>
        <w:spacing w:line="360" w:lineRule="auto"/>
      </w:pPr>
    </w:p>
    <w:p w14:paraId="6E0D09C5" w14:textId="77777777" w:rsidR="000240DE" w:rsidRDefault="000240DE" w:rsidP="007B15EE">
      <w:pPr>
        <w:spacing w:line="360" w:lineRule="auto"/>
      </w:pPr>
    </w:p>
    <w:p w14:paraId="0644454C" w14:textId="1ACD3C0B" w:rsidR="00D90F16" w:rsidRPr="00D90F16" w:rsidRDefault="00D90F16" w:rsidP="009642C8">
      <w:pPr>
        <w:spacing w:line="360" w:lineRule="auto"/>
        <w:rPr>
          <w:rFonts w:cs="Times New Roman"/>
          <w:szCs w:val="24"/>
        </w:rPr>
      </w:pPr>
    </w:p>
    <w:sectPr w:rsidR="00D90F16" w:rsidRPr="00D90F16">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3422FC3" w14:textId="77777777" w:rsidR="00DA0F7D" w:rsidRDefault="00DA0F7D" w:rsidP="00EC67A8">
      <w:pPr>
        <w:spacing w:after="0" w:line="240" w:lineRule="auto"/>
      </w:pPr>
      <w:r>
        <w:separator/>
      </w:r>
    </w:p>
  </w:endnote>
  <w:endnote w:type="continuationSeparator" w:id="0">
    <w:p w14:paraId="0649646D" w14:textId="77777777" w:rsidR="00DA0F7D" w:rsidRDefault="00DA0F7D" w:rsidP="00EC6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64738304"/>
      <w:docPartObj>
        <w:docPartGallery w:val="Page Numbers (Bottom of Page)"/>
        <w:docPartUnique/>
      </w:docPartObj>
    </w:sdtPr>
    <w:sdtEndPr>
      <w:rPr>
        <w:noProof/>
      </w:rPr>
    </w:sdtEndPr>
    <w:sdtContent>
      <w:p w14:paraId="17315CC5" w14:textId="08322C8D" w:rsidR="00EC67A8" w:rsidRDefault="00EC67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AD8F0F" w14:textId="77777777" w:rsidR="00EC67A8" w:rsidRDefault="00EC6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9036CE" w14:textId="77777777" w:rsidR="00DA0F7D" w:rsidRDefault="00DA0F7D" w:rsidP="00EC67A8">
      <w:pPr>
        <w:spacing w:after="0" w:line="240" w:lineRule="auto"/>
      </w:pPr>
      <w:r>
        <w:separator/>
      </w:r>
    </w:p>
  </w:footnote>
  <w:footnote w:type="continuationSeparator" w:id="0">
    <w:p w14:paraId="7BCF813A" w14:textId="77777777" w:rsidR="00DA0F7D" w:rsidRDefault="00DA0F7D" w:rsidP="00EC6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D36E4F"/>
    <w:multiLevelType w:val="hybridMultilevel"/>
    <w:tmpl w:val="146A8D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B245D4B"/>
    <w:multiLevelType w:val="hybridMultilevel"/>
    <w:tmpl w:val="7BC4A3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73483549">
    <w:abstractNumId w:val="0"/>
  </w:num>
  <w:num w:numId="2" w16cid:durableId="175717199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11"/>
    <w:rsid w:val="000100E8"/>
    <w:rsid w:val="00016BCC"/>
    <w:rsid w:val="000240DE"/>
    <w:rsid w:val="000254DD"/>
    <w:rsid w:val="00026935"/>
    <w:rsid w:val="00026F27"/>
    <w:rsid w:val="00027988"/>
    <w:rsid w:val="00027D18"/>
    <w:rsid w:val="00027F0F"/>
    <w:rsid w:val="0003502A"/>
    <w:rsid w:val="000358D2"/>
    <w:rsid w:val="00042C9A"/>
    <w:rsid w:val="0004494F"/>
    <w:rsid w:val="000467CC"/>
    <w:rsid w:val="00046C90"/>
    <w:rsid w:val="000518FC"/>
    <w:rsid w:val="000544D6"/>
    <w:rsid w:val="000549CB"/>
    <w:rsid w:val="00056273"/>
    <w:rsid w:val="000563EF"/>
    <w:rsid w:val="0006395E"/>
    <w:rsid w:val="00064B87"/>
    <w:rsid w:val="000668D1"/>
    <w:rsid w:val="0007366A"/>
    <w:rsid w:val="00075CDA"/>
    <w:rsid w:val="000876B3"/>
    <w:rsid w:val="000A3789"/>
    <w:rsid w:val="000A6F73"/>
    <w:rsid w:val="000A7005"/>
    <w:rsid w:val="000C018C"/>
    <w:rsid w:val="000C423A"/>
    <w:rsid w:val="000C68F3"/>
    <w:rsid w:val="000D0AE5"/>
    <w:rsid w:val="000D1BDC"/>
    <w:rsid w:val="000D3829"/>
    <w:rsid w:val="000E08F5"/>
    <w:rsid w:val="000E3951"/>
    <w:rsid w:val="000E6E91"/>
    <w:rsid w:val="000F563D"/>
    <w:rsid w:val="00106307"/>
    <w:rsid w:val="00111C8C"/>
    <w:rsid w:val="00115C22"/>
    <w:rsid w:val="00116093"/>
    <w:rsid w:val="0011732A"/>
    <w:rsid w:val="00124E7D"/>
    <w:rsid w:val="00126D3C"/>
    <w:rsid w:val="00131F42"/>
    <w:rsid w:val="00133A54"/>
    <w:rsid w:val="00133B6F"/>
    <w:rsid w:val="0013770C"/>
    <w:rsid w:val="00142267"/>
    <w:rsid w:val="001433A7"/>
    <w:rsid w:val="00144FC4"/>
    <w:rsid w:val="001501D9"/>
    <w:rsid w:val="001546AD"/>
    <w:rsid w:val="0015781B"/>
    <w:rsid w:val="001632CF"/>
    <w:rsid w:val="00175E5C"/>
    <w:rsid w:val="00176D7C"/>
    <w:rsid w:val="001818FF"/>
    <w:rsid w:val="00187E57"/>
    <w:rsid w:val="00190B44"/>
    <w:rsid w:val="00197D0E"/>
    <w:rsid w:val="001A406F"/>
    <w:rsid w:val="001A7CDB"/>
    <w:rsid w:val="001B5E4F"/>
    <w:rsid w:val="001D0D04"/>
    <w:rsid w:val="001D1F6E"/>
    <w:rsid w:val="001D4D3F"/>
    <w:rsid w:val="001D7532"/>
    <w:rsid w:val="001F031E"/>
    <w:rsid w:val="001F0AA3"/>
    <w:rsid w:val="0020409E"/>
    <w:rsid w:val="00217D7A"/>
    <w:rsid w:val="00217DB9"/>
    <w:rsid w:val="00230474"/>
    <w:rsid w:val="002313D5"/>
    <w:rsid w:val="00232F5B"/>
    <w:rsid w:val="002378FB"/>
    <w:rsid w:val="00241139"/>
    <w:rsid w:val="002444F3"/>
    <w:rsid w:val="0026352B"/>
    <w:rsid w:val="00270A44"/>
    <w:rsid w:val="002740C6"/>
    <w:rsid w:val="00282A6F"/>
    <w:rsid w:val="00282FF9"/>
    <w:rsid w:val="0028702E"/>
    <w:rsid w:val="00290ED8"/>
    <w:rsid w:val="00294F76"/>
    <w:rsid w:val="002A3DB9"/>
    <w:rsid w:val="002B51C1"/>
    <w:rsid w:val="002B7950"/>
    <w:rsid w:val="002C4B5F"/>
    <w:rsid w:val="002C67A3"/>
    <w:rsid w:val="002D0B92"/>
    <w:rsid w:val="002D10D9"/>
    <w:rsid w:val="002F3597"/>
    <w:rsid w:val="002F6650"/>
    <w:rsid w:val="00301211"/>
    <w:rsid w:val="003014DF"/>
    <w:rsid w:val="00304DE9"/>
    <w:rsid w:val="0030503F"/>
    <w:rsid w:val="00306E00"/>
    <w:rsid w:val="00307CC5"/>
    <w:rsid w:val="00317E59"/>
    <w:rsid w:val="00320E1F"/>
    <w:rsid w:val="003249E4"/>
    <w:rsid w:val="003258CD"/>
    <w:rsid w:val="00330DD1"/>
    <w:rsid w:val="00331F23"/>
    <w:rsid w:val="00335E56"/>
    <w:rsid w:val="00336198"/>
    <w:rsid w:val="00344A58"/>
    <w:rsid w:val="003501BF"/>
    <w:rsid w:val="00356E2B"/>
    <w:rsid w:val="0035720F"/>
    <w:rsid w:val="00357CAF"/>
    <w:rsid w:val="00365053"/>
    <w:rsid w:val="00371115"/>
    <w:rsid w:val="00381D68"/>
    <w:rsid w:val="00390D75"/>
    <w:rsid w:val="00390E39"/>
    <w:rsid w:val="00391F38"/>
    <w:rsid w:val="003925F2"/>
    <w:rsid w:val="00393EBC"/>
    <w:rsid w:val="0039545F"/>
    <w:rsid w:val="003A2B0A"/>
    <w:rsid w:val="003A418A"/>
    <w:rsid w:val="003A7CD3"/>
    <w:rsid w:val="003B5684"/>
    <w:rsid w:val="003C105F"/>
    <w:rsid w:val="003C1956"/>
    <w:rsid w:val="003C6C17"/>
    <w:rsid w:val="003D2909"/>
    <w:rsid w:val="003D3907"/>
    <w:rsid w:val="003E385F"/>
    <w:rsid w:val="003E3EB4"/>
    <w:rsid w:val="003F44EF"/>
    <w:rsid w:val="003F7650"/>
    <w:rsid w:val="00403591"/>
    <w:rsid w:val="00406494"/>
    <w:rsid w:val="0040700E"/>
    <w:rsid w:val="0041042B"/>
    <w:rsid w:val="004240EE"/>
    <w:rsid w:val="00427391"/>
    <w:rsid w:val="004425D6"/>
    <w:rsid w:val="00445788"/>
    <w:rsid w:val="00446A3A"/>
    <w:rsid w:val="004529C4"/>
    <w:rsid w:val="004579E5"/>
    <w:rsid w:val="00461146"/>
    <w:rsid w:val="004706DD"/>
    <w:rsid w:val="00475150"/>
    <w:rsid w:val="004802D8"/>
    <w:rsid w:val="004817A1"/>
    <w:rsid w:val="004875DB"/>
    <w:rsid w:val="00487ED5"/>
    <w:rsid w:val="004922E9"/>
    <w:rsid w:val="004A5927"/>
    <w:rsid w:val="004B6FFD"/>
    <w:rsid w:val="004B7B36"/>
    <w:rsid w:val="004C2ECB"/>
    <w:rsid w:val="004D00E9"/>
    <w:rsid w:val="004E4A96"/>
    <w:rsid w:val="004E55A6"/>
    <w:rsid w:val="004F561A"/>
    <w:rsid w:val="004F7477"/>
    <w:rsid w:val="00501A29"/>
    <w:rsid w:val="00504F5A"/>
    <w:rsid w:val="00506386"/>
    <w:rsid w:val="00522E8A"/>
    <w:rsid w:val="005234B7"/>
    <w:rsid w:val="00523985"/>
    <w:rsid w:val="00525B2C"/>
    <w:rsid w:val="0053691F"/>
    <w:rsid w:val="00536D12"/>
    <w:rsid w:val="00545AC2"/>
    <w:rsid w:val="00550333"/>
    <w:rsid w:val="005610C1"/>
    <w:rsid w:val="00564F38"/>
    <w:rsid w:val="0057280F"/>
    <w:rsid w:val="00572DF8"/>
    <w:rsid w:val="00573A91"/>
    <w:rsid w:val="00575825"/>
    <w:rsid w:val="005758C9"/>
    <w:rsid w:val="00581113"/>
    <w:rsid w:val="00583E7E"/>
    <w:rsid w:val="00590BF7"/>
    <w:rsid w:val="00596286"/>
    <w:rsid w:val="00597870"/>
    <w:rsid w:val="005A430B"/>
    <w:rsid w:val="005A64DE"/>
    <w:rsid w:val="005A6D9B"/>
    <w:rsid w:val="005B431F"/>
    <w:rsid w:val="005C4097"/>
    <w:rsid w:val="005C7BC0"/>
    <w:rsid w:val="005D2D06"/>
    <w:rsid w:val="005E6A8F"/>
    <w:rsid w:val="005F14F0"/>
    <w:rsid w:val="006134FC"/>
    <w:rsid w:val="00615222"/>
    <w:rsid w:val="006325F2"/>
    <w:rsid w:val="006335CA"/>
    <w:rsid w:val="00640FCD"/>
    <w:rsid w:val="006413D7"/>
    <w:rsid w:val="00642A8D"/>
    <w:rsid w:val="006447EA"/>
    <w:rsid w:val="00646527"/>
    <w:rsid w:val="006549A6"/>
    <w:rsid w:val="006554B3"/>
    <w:rsid w:val="0066582F"/>
    <w:rsid w:val="00666424"/>
    <w:rsid w:val="00674286"/>
    <w:rsid w:val="006743A7"/>
    <w:rsid w:val="006841B7"/>
    <w:rsid w:val="00686995"/>
    <w:rsid w:val="006A1B77"/>
    <w:rsid w:val="006A505B"/>
    <w:rsid w:val="006C0096"/>
    <w:rsid w:val="006C0BEC"/>
    <w:rsid w:val="006D0AFC"/>
    <w:rsid w:val="006D0FE4"/>
    <w:rsid w:val="006D1906"/>
    <w:rsid w:val="006D5A85"/>
    <w:rsid w:val="006D632D"/>
    <w:rsid w:val="006F4AAC"/>
    <w:rsid w:val="00704273"/>
    <w:rsid w:val="00707EBA"/>
    <w:rsid w:val="00713F85"/>
    <w:rsid w:val="00714F9B"/>
    <w:rsid w:val="00720B0A"/>
    <w:rsid w:val="00725060"/>
    <w:rsid w:val="007256CF"/>
    <w:rsid w:val="007337B7"/>
    <w:rsid w:val="007345E0"/>
    <w:rsid w:val="0074113C"/>
    <w:rsid w:val="00745EFC"/>
    <w:rsid w:val="00746D81"/>
    <w:rsid w:val="00747384"/>
    <w:rsid w:val="00750002"/>
    <w:rsid w:val="00750CC1"/>
    <w:rsid w:val="007533C4"/>
    <w:rsid w:val="007545CC"/>
    <w:rsid w:val="007605B9"/>
    <w:rsid w:val="00766257"/>
    <w:rsid w:val="0077021F"/>
    <w:rsid w:val="00771DAF"/>
    <w:rsid w:val="007731BE"/>
    <w:rsid w:val="00780DB4"/>
    <w:rsid w:val="0078644B"/>
    <w:rsid w:val="00790A34"/>
    <w:rsid w:val="00792708"/>
    <w:rsid w:val="0079623D"/>
    <w:rsid w:val="00796AC7"/>
    <w:rsid w:val="007A042E"/>
    <w:rsid w:val="007B15EE"/>
    <w:rsid w:val="007B4190"/>
    <w:rsid w:val="007B4E55"/>
    <w:rsid w:val="007C351F"/>
    <w:rsid w:val="007D5F5E"/>
    <w:rsid w:val="007E038E"/>
    <w:rsid w:val="007E12B9"/>
    <w:rsid w:val="007E30B7"/>
    <w:rsid w:val="007E7017"/>
    <w:rsid w:val="007F134D"/>
    <w:rsid w:val="0080526C"/>
    <w:rsid w:val="00805CF2"/>
    <w:rsid w:val="008072D8"/>
    <w:rsid w:val="00807812"/>
    <w:rsid w:val="008149D8"/>
    <w:rsid w:val="00827493"/>
    <w:rsid w:val="00834039"/>
    <w:rsid w:val="00845962"/>
    <w:rsid w:val="00851C00"/>
    <w:rsid w:val="0086101E"/>
    <w:rsid w:val="008616C7"/>
    <w:rsid w:val="00861D1E"/>
    <w:rsid w:val="00862039"/>
    <w:rsid w:val="008737D6"/>
    <w:rsid w:val="00885ED4"/>
    <w:rsid w:val="008868CF"/>
    <w:rsid w:val="00893057"/>
    <w:rsid w:val="00893E22"/>
    <w:rsid w:val="00893F12"/>
    <w:rsid w:val="00897540"/>
    <w:rsid w:val="008A7AA0"/>
    <w:rsid w:val="008A7FA4"/>
    <w:rsid w:val="008C2C52"/>
    <w:rsid w:val="008D306D"/>
    <w:rsid w:val="008D32EB"/>
    <w:rsid w:val="008E407A"/>
    <w:rsid w:val="008E56B5"/>
    <w:rsid w:val="008E6A4B"/>
    <w:rsid w:val="008E7195"/>
    <w:rsid w:val="008E72C9"/>
    <w:rsid w:val="008F017E"/>
    <w:rsid w:val="008F465C"/>
    <w:rsid w:val="008F4F4C"/>
    <w:rsid w:val="00902E7A"/>
    <w:rsid w:val="00906880"/>
    <w:rsid w:val="00912328"/>
    <w:rsid w:val="00912737"/>
    <w:rsid w:val="0092126D"/>
    <w:rsid w:val="009225CB"/>
    <w:rsid w:val="00924F52"/>
    <w:rsid w:val="009252AD"/>
    <w:rsid w:val="00942155"/>
    <w:rsid w:val="00943E26"/>
    <w:rsid w:val="00961427"/>
    <w:rsid w:val="009638E8"/>
    <w:rsid w:val="009642C8"/>
    <w:rsid w:val="00983122"/>
    <w:rsid w:val="009950C4"/>
    <w:rsid w:val="00997F0C"/>
    <w:rsid w:val="009A4C2F"/>
    <w:rsid w:val="009A5D45"/>
    <w:rsid w:val="009A6EF4"/>
    <w:rsid w:val="009A6FE1"/>
    <w:rsid w:val="009C3033"/>
    <w:rsid w:val="009C32A1"/>
    <w:rsid w:val="009D1DE2"/>
    <w:rsid w:val="009D7EB4"/>
    <w:rsid w:val="009D7EBB"/>
    <w:rsid w:val="009E2902"/>
    <w:rsid w:val="009E5107"/>
    <w:rsid w:val="009E5F8B"/>
    <w:rsid w:val="009E69EA"/>
    <w:rsid w:val="00A05AF1"/>
    <w:rsid w:val="00A064D2"/>
    <w:rsid w:val="00A13BCB"/>
    <w:rsid w:val="00A206C9"/>
    <w:rsid w:val="00A2093E"/>
    <w:rsid w:val="00A32DCB"/>
    <w:rsid w:val="00A36F14"/>
    <w:rsid w:val="00A41224"/>
    <w:rsid w:val="00A44BDA"/>
    <w:rsid w:val="00A532AE"/>
    <w:rsid w:val="00A63648"/>
    <w:rsid w:val="00A64E46"/>
    <w:rsid w:val="00A6577B"/>
    <w:rsid w:val="00A74317"/>
    <w:rsid w:val="00A747AB"/>
    <w:rsid w:val="00A822D3"/>
    <w:rsid w:val="00A866C2"/>
    <w:rsid w:val="00A87FF8"/>
    <w:rsid w:val="00A91A24"/>
    <w:rsid w:val="00A94626"/>
    <w:rsid w:val="00A94D71"/>
    <w:rsid w:val="00A96574"/>
    <w:rsid w:val="00AA15E0"/>
    <w:rsid w:val="00AA6C1F"/>
    <w:rsid w:val="00AB3AF2"/>
    <w:rsid w:val="00AB5058"/>
    <w:rsid w:val="00AB5352"/>
    <w:rsid w:val="00AC2C00"/>
    <w:rsid w:val="00AD0B45"/>
    <w:rsid w:val="00AD1A53"/>
    <w:rsid w:val="00AD2684"/>
    <w:rsid w:val="00AE7BA9"/>
    <w:rsid w:val="00AF62DC"/>
    <w:rsid w:val="00AF6577"/>
    <w:rsid w:val="00B0196B"/>
    <w:rsid w:val="00B0311B"/>
    <w:rsid w:val="00B037E1"/>
    <w:rsid w:val="00B10AD6"/>
    <w:rsid w:val="00B215F1"/>
    <w:rsid w:val="00B22198"/>
    <w:rsid w:val="00B26D52"/>
    <w:rsid w:val="00B30F73"/>
    <w:rsid w:val="00B40CDB"/>
    <w:rsid w:val="00B41135"/>
    <w:rsid w:val="00B51530"/>
    <w:rsid w:val="00B55C31"/>
    <w:rsid w:val="00B569FC"/>
    <w:rsid w:val="00B57803"/>
    <w:rsid w:val="00B66FDF"/>
    <w:rsid w:val="00B70212"/>
    <w:rsid w:val="00B712B0"/>
    <w:rsid w:val="00B8742E"/>
    <w:rsid w:val="00B91BD0"/>
    <w:rsid w:val="00B91C16"/>
    <w:rsid w:val="00B945CF"/>
    <w:rsid w:val="00B9582E"/>
    <w:rsid w:val="00B95FE5"/>
    <w:rsid w:val="00BA0671"/>
    <w:rsid w:val="00BA68A6"/>
    <w:rsid w:val="00BB5B31"/>
    <w:rsid w:val="00BB6760"/>
    <w:rsid w:val="00BC13F1"/>
    <w:rsid w:val="00BC2DAE"/>
    <w:rsid w:val="00BD10CD"/>
    <w:rsid w:val="00BD3ED1"/>
    <w:rsid w:val="00BE0840"/>
    <w:rsid w:val="00BE3C39"/>
    <w:rsid w:val="00BE41CD"/>
    <w:rsid w:val="00BE447D"/>
    <w:rsid w:val="00BF206F"/>
    <w:rsid w:val="00C05C25"/>
    <w:rsid w:val="00C070BF"/>
    <w:rsid w:val="00C12022"/>
    <w:rsid w:val="00C145E4"/>
    <w:rsid w:val="00C1587B"/>
    <w:rsid w:val="00C15B46"/>
    <w:rsid w:val="00C2674B"/>
    <w:rsid w:val="00C26CEC"/>
    <w:rsid w:val="00C32FF2"/>
    <w:rsid w:val="00C3432B"/>
    <w:rsid w:val="00C41B07"/>
    <w:rsid w:val="00C45DA9"/>
    <w:rsid w:val="00C54EB5"/>
    <w:rsid w:val="00C570AF"/>
    <w:rsid w:val="00C5795F"/>
    <w:rsid w:val="00C65B12"/>
    <w:rsid w:val="00C67112"/>
    <w:rsid w:val="00C70C94"/>
    <w:rsid w:val="00C73F34"/>
    <w:rsid w:val="00C76214"/>
    <w:rsid w:val="00C83D64"/>
    <w:rsid w:val="00C96C16"/>
    <w:rsid w:val="00CA1F57"/>
    <w:rsid w:val="00CA30FA"/>
    <w:rsid w:val="00CC499D"/>
    <w:rsid w:val="00CC7AE8"/>
    <w:rsid w:val="00CD36B3"/>
    <w:rsid w:val="00CE3074"/>
    <w:rsid w:val="00CF3217"/>
    <w:rsid w:val="00D02B82"/>
    <w:rsid w:val="00D02D8B"/>
    <w:rsid w:val="00D16AD8"/>
    <w:rsid w:val="00D2568E"/>
    <w:rsid w:val="00D25AFF"/>
    <w:rsid w:val="00D31CA8"/>
    <w:rsid w:val="00D32184"/>
    <w:rsid w:val="00D378B1"/>
    <w:rsid w:val="00D41111"/>
    <w:rsid w:val="00D4556B"/>
    <w:rsid w:val="00D45626"/>
    <w:rsid w:val="00D6055E"/>
    <w:rsid w:val="00D629CB"/>
    <w:rsid w:val="00D8349B"/>
    <w:rsid w:val="00D83E4F"/>
    <w:rsid w:val="00D83F53"/>
    <w:rsid w:val="00D84B10"/>
    <w:rsid w:val="00D90E79"/>
    <w:rsid w:val="00D90F16"/>
    <w:rsid w:val="00D968CF"/>
    <w:rsid w:val="00D97198"/>
    <w:rsid w:val="00DA0F7D"/>
    <w:rsid w:val="00DA17E7"/>
    <w:rsid w:val="00DA430E"/>
    <w:rsid w:val="00DB33E9"/>
    <w:rsid w:val="00DB6F0D"/>
    <w:rsid w:val="00DC2E5F"/>
    <w:rsid w:val="00DD7060"/>
    <w:rsid w:val="00DD7F81"/>
    <w:rsid w:val="00DE1DE9"/>
    <w:rsid w:val="00DE25CF"/>
    <w:rsid w:val="00DE2EF6"/>
    <w:rsid w:val="00DE3D6D"/>
    <w:rsid w:val="00DF02DC"/>
    <w:rsid w:val="00DF2F93"/>
    <w:rsid w:val="00DF5C8F"/>
    <w:rsid w:val="00E03953"/>
    <w:rsid w:val="00E10FE8"/>
    <w:rsid w:val="00E12232"/>
    <w:rsid w:val="00E12DE2"/>
    <w:rsid w:val="00E244E6"/>
    <w:rsid w:val="00E24E8E"/>
    <w:rsid w:val="00E431B3"/>
    <w:rsid w:val="00E443D5"/>
    <w:rsid w:val="00E5399A"/>
    <w:rsid w:val="00E551D7"/>
    <w:rsid w:val="00E6411B"/>
    <w:rsid w:val="00E64A3A"/>
    <w:rsid w:val="00E804C7"/>
    <w:rsid w:val="00E81387"/>
    <w:rsid w:val="00E8165E"/>
    <w:rsid w:val="00E8639A"/>
    <w:rsid w:val="00E96257"/>
    <w:rsid w:val="00E97F65"/>
    <w:rsid w:val="00EA18DD"/>
    <w:rsid w:val="00EA3DDC"/>
    <w:rsid w:val="00EB2290"/>
    <w:rsid w:val="00EB28CD"/>
    <w:rsid w:val="00EC29A7"/>
    <w:rsid w:val="00EC5979"/>
    <w:rsid w:val="00EC5B9C"/>
    <w:rsid w:val="00EC67A8"/>
    <w:rsid w:val="00ED34D8"/>
    <w:rsid w:val="00ED78AF"/>
    <w:rsid w:val="00EF39ED"/>
    <w:rsid w:val="00EF515D"/>
    <w:rsid w:val="00F02E83"/>
    <w:rsid w:val="00F03FB3"/>
    <w:rsid w:val="00F040A3"/>
    <w:rsid w:val="00F13436"/>
    <w:rsid w:val="00F150BD"/>
    <w:rsid w:val="00F310AC"/>
    <w:rsid w:val="00F33263"/>
    <w:rsid w:val="00F34F47"/>
    <w:rsid w:val="00F40C7E"/>
    <w:rsid w:val="00F479D5"/>
    <w:rsid w:val="00F51A6D"/>
    <w:rsid w:val="00F61960"/>
    <w:rsid w:val="00F6314C"/>
    <w:rsid w:val="00F6594E"/>
    <w:rsid w:val="00F93501"/>
    <w:rsid w:val="00FA1EDD"/>
    <w:rsid w:val="00FA3748"/>
    <w:rsid w:val="00FB5178"/>
    <w:rsid w:val="00FD1533"/>
    <w:rsid w:val="00FD2E39"/>
    <w:rsid w:val="00FD6F14"/>
    <w:rsid w:val="00FE039F"/>
    <w:rsid w:val="00FF4966"/>
    <w:rsid w:val="00FF75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55842"/>
  <w15:chartTrackingRefBased/>
  <w15:docId w15:val="{F1D7E91C-C3EA-43DD-863C-FF3408184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kern w:val="2"/>
        <w:sz w:val="24"/>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1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21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21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0121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0121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0121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0121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0121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1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21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21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0121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0121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0121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0121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0121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01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21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21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01211"/>
    <w:pPr>
      <w:spacing w:before="160"/>
      <w:jc w:val="center"/>
    </w:pPr>
    <w:rPr>
      <w:i/>
      <w:iCs/>
      <w:color w:val="404040" w:themeColor="text1" w:themeTint="BF"/>
    </w:rPr>
  </w:style>
  <w:style w:type="character" w:customStyle="1" w:styleId="QuoteChar">
    <w:name w:val="Quote Char"/>
    <w:basedOn w:val="DefaultParagraphFont"/>
    <w:link w:val="Quote"/>
    <w:uiPriority w:val="29"/>
    <w:rsid w:val="00301211"/>
    <w:rPr>
      <w:i/>
      <w:iCs/>
      <w:color w:val="404040" w:themeColor="text1" w:themeTint="BF"/>
    </w:rPr>
  </w:style>
  <w:style w:type="paragraph" w:styleId="ListParagraph">
    <w:name w:val="List Paragraph"/>
    <w:basedOn w:val="Normal"/>
    <w:uiPriority w:val="34"/>
    <w:qFormat/>
    <w:rsid w:val="00301211"/>
    <w:pPr>
      <w:ind w:left="720"/>
      <w:contextualSpacing/>
    </w:pPr>
  </w:style>
  <w:style w:type="character" w:styleId="IntenseEmphasis">
    <w:name w:val="Intense Emphasis"/>
    <w:basedOn w:val="DefaultParagraphFont"/>
    <w:uiPriority w:val="21"/>
    <w:qFormat/>
    <w:rsid w:val="00301211"/>
    <w:rPr>
      <w:i/>
      <w:iCs/>
      <w:color w:val="0F4761" w:themeColor="accent1" w:themeShade="BF"/>
    </w:rPr>
  </w:style>
  <w:style w:type="paragraph" w:styleId="IntenseQuote">
    <w:name w:val="Intense Quote"/>
    <w:basedOn w:val="Normal"/>
    <w:next w:val="Normal"/>
    <w:link w:val="IntenseQuoteChar"/>
    <w:uiPriority w:val="30"/>
    <w:qFormat/>
    <w:rsid w:val="00301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211"/>
    <w:rPr>
      <w:i/>
      <w:iCs/>
      <w:color w:val="0F4761" w:themeColor="accent1" w:themeShade="BF"/>
    </w:rPr>
  </w:style>
  <w:style w:type="character" w:styleId="IntenseReference">
    <w:name w:val="Intense Reference"/>
    <w:basedOn w:val="DefaultParagraphFont"/>
    <w:uiPriority w:val="32"/>
    <w:qFormat/>
    <w:rsid w:val="00301211"/>
    <w:rPr>
      <w:b/>
      <w:bCs/>
      <w:smallCaps/>
      <w:color w:val="0F4761" w:themeColor="accent1" w:themeShade="BF"/>
      <w:spacing w:val="5"/>
    </w:rPr>
  </w:style>
  <w:style w:type="paragraph" w:styleId="TOCHeading">
    <w:name w:val="TOC Heading"/>
    <w:basedOn w:val="Heading1"/>
    <w:next w:val="Normal"/>
    <w:uiPriority w:val="39"/>
    <w:unhideWhenUsed/>
    <w:qFormat/>
    <w:rsid w:val="00A05AF1"/>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124E7D"/>
    <w:rPr>
      <w:rFonts w:cs="Times New Roman"/>
      <w:szCs w:val="24"/>
    </w:rPr>
  </w:style>
  <w:style w:type="character" w:styleId="Hyperlink">
    <w:name w:val="Hyperlink"/>
    <w:basedOn w:val="DefaultParagraphFont"/>
    <w:uiPriority w:val="99"/>
    <w:unhideWhenUsed/>
    <w:rsid w:val="00746D81"/>
    <w:rPr>
      <w:color w:val="467886" w:themeColor="hyperlink"/>
      <w:u w:val="single"/>
    </w:rPr>
  </w:style>
  <w:style w:type="character" w:styleId="UnresolvedMention">
    <w:name w:val="Unresolved Mention"/>
    <w:basedOn w:val="DefaultParagraphFont"/>
    <w:uiPriority w:val="99"/>
    <w:semiHidden/>
    <w:unhideWhenUsed/>
    <w:rsid w:val="00746D81"/>
    <w:rPr>
      <w:color w:val="605E5C"/>
      <w:shd w:val="clear" w:color="auto" w:fill="E1DFDD"/>
    </w:rPr>
  </w:style>
  <w:style w:type="paragraph" w:styleId="TOC1">
    <w:name w:val="toc 1"/>
    <w:basedOn w:val="Normal"/>
    <w:next w:val="Normal"/>
    <w:autoRedefine/>
    <w:uiPriority w:val="39"/>
    <w:unhideWhenUsed/>
    <w:rsid w:val="00427391"/>
    <w:pPr>
      <w:spacing w:after="100"/>
    </w:pPr>
  </w:style>
  <w:style w:type="paragraph" w:styleId="TOC2">
    <w:name w:val="toc 2"/>
    <w:basedOn w:val="Normal"/>
    <w:next w:val="Normal"/>
    <w:autoRedefine/>
    <w:uiPriority w:val="39"/>
    <w:unhideWhenUsed/>
    <w:rsid w:val="00427391"/>
    <w:pPr>
      <w:spacing w:after="100"/>
      <w:ind w:left="240"/>
    </w:pPr>
  </w:style>
  <w:style w:type="paragraph" w:styleId="Header">
    <w:name w:val="header"/>
    <w:basedOn w:val="Normal"/>
    <w:link w:val="HeaderChar"/>
    <w:uiPriority w:val="99"/>
    <w:unhideWhenUsed/>
    <w:rsid w:val="00EC6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7A8"/>
  </w:style>
  <w:style w:type="paragraph" w:styleId="Footer">
    <w:name w:val="footer"/>
    <w:basedOn w:val="Normal"/>
    <w:link w:val="FooterChar"/>
    <w:uiPriority w:val="99"/>
    <w:unhideWhenUsed/>
    <w:rsid w:val="00EC6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mdpi.com/1911-8074/15/2/55" TargetMode="External"/><Relationship Id="rId26" Type="http://schemas.openxmlformats.org/officeDocument/2006/relationships/hyperlink" Target="https://books.google.co.in/books?hl=en&amp;lr=&amp;id=WCe9EAAAQBAJ&amp;oi=fnd&amp;pg=PT5&amp;dq=investment+appraisal+techniques&amp;ots=6yYhzVpcpR&amp;sig=mT8eiHmLwQX_iCaBJDDKo-Ueysg&amp;redir_esc=y" TargetMode="External"/><Relationship Id="rId39" Type="http://schemas.openxmlformats.org/officeDocument/2006/relationships/hyperlink" Target="https://link.springer.com/chapter/10.1007/978-3-030-22944-3_5" TargetMode="External"/><Relationship Id="rId21" Type="http://schemas.openxmlformats.org/officeDocument/2006/relationships/hyperlink" Target="https://link.springer.com/book/10.1007/978-3-032-01028-5" TargetMode="External"/><Relationship Id="rId34" Type="http://schemas.openxmlformats.org/officeDocument/2006/relationships/hyperlink" Target="https://repositorio.ulisboa.pt/entities/publication/82b427ad-a20d-48ab-a56f-3325b0f792df" TargetMode="External"/><Relationship Id="rId42" Type="http://schemas.openxmlformats.org/officeDocument/2006/relationships/image" Target="media/image9.emf"/><Relationship Id="rId47" Type="http://schemas.openxmlformats.org/officeDocument/2006/relationships/image" Target="media/image14.emf"/><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journal.uac.ac.id/index.php/iijse/article/view/2195" TargetMode="External"/><Relationship Id="rId29" Type="http://schemas.openxmlformats.org/officeDocument/2006/relationships/hyperlink" Target="http://www.dr.lib.sjp.ac.lk/bitstream/handle/123456789/11904/FMSC%20-%20Analysing%20the%20Impact%20of%20Financial%20Ratios%20on%20a%20Company%20s.pdf?sequence=1" TargetMode="External"/><Relationship Id="rId11" Type="http://schemas.openxmlformats.org/officeDocument/2006/relationships/image" Target="media/image4.png"/><Relationship Id="rId24" Type="http://schemas.openxmlformats.org/officeDocument/2006/relationships/hyperlink" Target="https://indianjournals.com/article/pkjm-14-1-012" TargetMode="External"/><Relationship Id="rId32" Type="http://schemas.openxmlformats.org/officeDocument/2006/relationships/hyperlink" Target="https://www.elgaronline.com/edcollchap/book/9781035341405/chapter5.xml" TargetMode="External"/><Relationship Id="rId37" Type="http://schemas.openxmlformats.org/officeDocument/2006/relationships/hyperlink" Target="https://irjems.org/irjems-v4i11p113.html" TargetMode="External"/><Relationship Id="rId40" Type="http://schemas.openxmlformats.org/officeDocument/2006/relationships/hyperlink" Target="https://www.researchgate.net/profile/Enyi-Enyi/publication/410035597_Towards_a_Security-Centered_Theory_of_Investment_Appraisal_Integrating_Probabilistic_Risk_Analysis_and_Continuous_Performance_Assessment/links/6a57f862f6cec25ad2d98946/Towards-a-Security-Centered-Theory-of-Investment-Appraisal-Integrating-Probabilistic-Risk-Analysis-and-Continuous-Performance-Assessment.pdf?__cf_chl_tk=H.5eQORNwiVj8sTXstiHqMwAVVyXjzT8RJTUkfHFJMw-1792313001-1.0.1.1-6U0OFEQU5VXekX73Toutqdi1cou4xOJE4OzFbg1Ha54" TargetMode="External"/><Relationship Id="rId45" Type="http://schemas.openxmlformats.org/officeDocument/2006/relationships/image" Target="media/image12.emf"/><Relationship Id="rId5" Type="http://schemas.openxmlformats.org/officeDocument/2006/relationships/webSettings" Target="webSettings.xml"/><Relationship Id="rId15" Type="http://schemas.openxmlformats.org/officeDocument/2006/relationships/hyperlink" Target="https://www.journalkeberlanjutan.com/index.php/JoGTA/article/view/1734" TargetMode="External"/><Relationship Id="rId23" Type="http://schemas.openxmlformats.org/officeDocument/2006/relationships/hyperlink" Target="https://openurl.ebsco.com/not_found/detailv2?sid=ebsco%3Aplink%3Acrawler-gcd&amp;id=ebsco%3Agcd%3A190173029&amp;crl=c&amp;jrnl=00989258&amp;link_origin=scholar.google.com" TargetMode="External"/><Relationship Id="rId28" Type="http://schemas.openxmlformats.org/officeDocument/2006/relationships/hyperlink" Target="https://www.sciencedirect.com/science/article/pii/S0929119911000198" TargetMode="External"/><Relationship Id="rId36" Type="http://schemas.openxmlformats.org/officeDocument/2006/relationships/hyperlink" Target="http://ojs.feb.uajm.ac.id/index.php/simak/article/view/658"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uowoajournals.org/aabfj/article/id/941/" TargetMode="External"/><Relationship Id="rId31" Type="http://schemas.openxmlformats.org/officeDocument/2006/relationships/hyperlink" Target="https://proceeding.umsu.ac.id/index.php/Miceb/article/view/282" TargetMode="External"/><Relationship Id="rId44"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eoscience.cz/ojs/index.php/GSE/article/view/495" TargetMode="External"/><Relationship Id="rId27" Type="http://schemas.openxmlformats.org/officeDocument/2006/relationships/hyperlink" Target="https://www.tandfonline.com/doi/abs/10.1080/23311975.2022.2147123" TargetMode="External"/><Relationship Id="rId30" Type="http://schemas.openxmlformats.org/officeDocument/2006/relationships/hyperlink" Target="https://books.google.co.in/books?hl=en&amp;lr=&amp;id=imcGEQAAQBAJ&amp;oi=fnd&amp;pg=PA450&amp;dq=ratio+analysis+of+shell+plc&amp;ots=Fhhsdt64To&amp;sig=KaICfs2z5JLSQeSQRdmXMven_R4&amp;redir_esc=y" TargetMode="External"/><Relationship Id="rId35" Type="http://schemas.openxmlformats.org/officeDocument/2006/relationships/hyperlink" Target="https://access.heinonline.com/HOL/LandingPage?handle=hein.journals/ijlmhs23&amp;div=307&amp;id=&amp;page=" TargetMode="External"/><Relationship Id="rId43" Type="http://schemas.openxmlformats.org/officeDocument/2006/relationships/image" Target="media/image10.emf"/><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www.jetmase.com/index.php/jetmase/article/view/289" TargetMode="External"/><Relationship Id="rId25" Type="http://schemas.openxmlformats.org/officeDocument/2006/relationships/hyperlink" Target="https://ijsrem.com/uploads/production/IJSREM.GSTCOS124_1785326092218.pdf" TargetMode="External"/><Relationship Id="rId33" Type="http://schemas.openxmlformats.org/officeDocument/2006/relationships/hyperlink" Target="https://ijsrem.com/uploads/production/IJSREM65383_1782190656489.pdf" TargetMode="External"/><Relationship Id="rId38" Type="http://schemas.openxmlformats.org/officeDocument/2006/relationships/hyperlink" Target="http://rep.btsau.edu.ua/handle/BNAU/9329" TargetMode="External"/><Relationship Id="rId46" Type="http://schemas.openxmlformats.org/officeDocument/2006/relationships/image" Target="media/image13.emf"/><Relationship Id="rId20" Type="http://schemas.openxmlformats.org/officeDocument/2006/relationships/hyperlink" Target="https://www.tandfonline.com/doi/abs/10.1080/23311975.2022.2152647" TargetMode="External"/><Relationship Id="rId41"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6518B-8F17-4680-AEC4-DF6B3321B8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2203</TotalTime>
  <Pages>1</Pages>
  <Words>7320</Words>
  <Characters>41726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Kriti Singal</dc:creator>
  <cp:keywords/>
  <dc:description/>
  <cp:lastModifiedBy>Het Sakariya</cp:lastModifiedBy>
  <cp:revision>504</cp:revision>
  <dcterms:created xsi:type="dcterms:W3CDTF">2026-10-13T11:19:00Z</dcterms:created>
  <dcterms:modified xsi:type="dcterms:W3CDTF">2026-10-24T21:20:00Z</dcterms:modified>
</cp:coreProperties>
</file>