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276571" w14:textId="242AD513" w:rsidR="0093519B" w:rsidRDefault="00257608">
      <w:r w:rsidRPr="00257608">
        <w:rPr>
          <w:noProof/>
        </w:rPr>
        <w:drawing>
          <wp:inline distT="0" distB="0" distL="0" distR="0" wp14:anchorId="2722A860" wp14:editId="77A2307B">
            <wp:extent cx="5619750" cy="3333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619750" cy="3333750"/>
                    </a:xfrm>
                    <a:prstGeom prst="rect">
                      <a:avLst/>
                    </a:prstGeom>
                  </pic:spPr>
                </pic:pic>
              </a:graphicData>
            </a:graphic>
          </wp:inline>
        </w:drawing>
      </w:r>
    </w:p>
    <w:p w14:paraId="1A3CED15" w14:textId="189365B0" w:rsidR="00257608" w:rsidRPr="00257608" w:rsidRDefault="00257608" w:rsidP="00257608"/>
    <w:p w14:paraId="69B0C469" w14:textId="3D6BE82E" w:rsidR="00257608" w:rsidRPr="00257608" w:rsidRDefault="00257608" w:rsidP="00257608">
      <w:pPr>
        <w:jc w:val="center"/>
      </w:pPr>
    </w:p>
    <w:p w14:paraId="6FB70619" w14:textId="5B71E1AB" w:rsidR="00257608" w:rsidRDefault="00257608" w:rsidP="00257608">
      <w:pPr>
        <w:jc w:val="center"/>
      </w:pPr>
    </w:p>
    <w:p w14:paraId="3AEB4F3D" w14:textId="16299EDF" w:rsidR="00257608" w:rsidRDefault="00257608" w:rsidP="00257608">
      <w:pPr>
        <w:tabs>
          <w:tab w:val="left" w:pos="2160"/>
        </w:tabs>
        <w:jc w:val="center"/>
      </w:pPr>
      <w:r>
        <w:t>Claire Mann</w:t>
      </w:r>
    </w:p>
    <w:p w14:paraId="7C8FFB1E" w14:textId="456D3B1A" w:rsidR="00257608" w:rsidRDefault="00257608" w:rsidP="00257608">
      <w:pPr>
        <w:tabs>
          <w:tab w:val="left" w:pos="2160"/>
        </w:tabs>
        <w:jc w:val="center"/>
      </w:pPr>
      <w:r>
        <w:t>1602593</w:t>
      </w:r>
    </w:p>
    <w:p w14:paraId="0A811E8E" w14:textId="55C0884F" w:rsidR="00257608" w:rsidRDefault="00257608" w:rsidP="00257608">
      <w:pPr>
        <w:tabs>
          <w:tab w:val="left" w:pos="2160"/>
        </w:tabs>
        <w:jc w:val="center"/>
      </w:pPr>
      <w:r>
        <w:t>HPHI5009</w:t>
      </w:r>
    </w:p>
    <w:p w14:paraId="27B3CA68" w14:textId="563A1A7C" w:rsidR="00257608" w:rsidRDefault="00257608" w:rsidP="00257608">
      <w:pPr>
        <w:tabs>
          <w:tab w:val="left" w:pos="2160"/>
        </w:tabs>
        <w:jc w:val="center"/>
      </w:pPr>
      <w:r>
        <w:t>Identity and Myth: The Normans and their World</w:t>
      </w:r>
    </w:p>
    <w:p w14:paraId="0E16F472" w14:textId="21AC7463" w:rsidR="00257608" w:rsidRDefault="00257608" w:rsidP="00257608">
      <w:pPr>
        <w:tabs>
          <w:tab w:val="left" w:pos="2160"/>
        </w:tabs>
        <w:jc w:val="center"/>
      </w:pPr>
    </w:p>
    <w:p w14:paraId="6FF9AB91" w14:textId="5837BCF4" w:rsidR="00257608" w:rsidRDefault="00257608" w:rsidP="00257608">
      <w:pPr>
        <w:tabs>
          <w:tab w:val="left" w:pos="2160"/>
        </w:tabs>
        <w:jc w:val="center"/>
      </w:pPr>
    </w:p>
    <w:p w14:paraId="6D58D067" w14:textId="033FF19D" w:rsidR="00257608" w:rsidRDefault="00257608" w:rsidP="00257608">
      <w:pPr>
        <w:tabs>
          <w:tab w:val="left" w:pos="2160"/>
        </w:tabs>
        <w:jc w:val="center"/>
      </w:pPr>
    </w:p>
    <w:p w14:paraId="4724C09E" w14:textId="67FE4A29" w:rsidR="00257608" w:rsidRDefault="00257608" w:rsidP="00257608">
      <w:pPr>
        <w:tabs>
          <w:tab w:val="left" w:pos="2160"/>
        </w:tabs>
        <w:jc w:val="center"/>
      </w:pPr>
    </w:p>
    <w:p w14:paraId="216FF2CB" w14:textId="5EC21ECD" w:rsidR="00257608" w:rsidRDefault="00257608" w:rsidP="00257608">
      <w:pPr>
        <w:tabs>
          <w:tab w:val="left" w:pos="2160"/>
        </w:tabs>
        <w:jc w:val="center"/>
      </w:pPr>
    </w:p>
    <w:p w14:paraId="58247C22" w14:textId="0ABB0024" w:rsidR="00257608" w:rsidRDefault="00257608" w:rsidP="00257608">
      <w:pPr>
        <w:tabs>
          <w:tab w:val="left" w:pos="2160"/>
        </w:tabs>
        <w:jc w:val="center"/>
      </w:pPr>
    </w:p>
    <w:p w14:paraId="43012C1C" w14:textId="1F060F82" w:rsidR="00257608" w:rsidRDefault="00257608" w:rsidP="00257608">
      <w:pPr>
        <w:tabs>
          <w:tab w:val="left" w:pos="2160"/>
        </w:tabs>
        <w:jc w:val="center"/>
      </w:pPr>
    </w:p>
    <w:p w14:paraId="468D9FD4" w14:textId="42396B4C" w:rsidR="00257608" w:rsidRDefault="00257608" w:rsidP="00257608">
      <w:pPr>
        <w:tabs>
          <w:tab w:val="left" w:pos="2160"/>
        </w:tabs>
        <w:jc w:val="center"/>
      </w:pPr>
    </w:p>
    <w:p w14:paraId="2FD60FF0" w14:textId="422E2F0C" w:rsidR="00257608" w:rsidRDefault="00257608" w:rsidP="00257608">
      <w:pPr>
        <w:tabs>
          <w:tab w:val="left" w:pos="2160"/>
        </w:tabs>
        <w:jc w:val="center"/>
      </w:pPr>
    </w:p>
    <w:p w14:paraId="00CFB66E" w14:textId="3B964FFC" w:rsidR="00257608" w:rsidRDefault="00257608" w:rsidP="00257608">
      <w:pPr>
        <w:tabs>
          <w:tab w:val="left" w:pos="2160"/>
        </w:tabs>
        <w:jc w:val="center"/>
      </w:pPr>
    </w:p>
    <w:p w14:paraId="10874EF7" w14:textId="31ED258F" w:rsidR="00257608" w:rsidRDefault="00257608" w:rsidP="00257608">
      <w:pPr>
        <w:tabs>
          <w:tab w:val="left" w:pos="2160"/>
        </w:tabs>
        <w:jc w:val="center"/>
      </w:pPr>
    </w:p>
    <w:p w14:paraId="71C6B1E4" w14:textId="6EA37AF3" w:rsidR="00257608" w:rsidRDefault="00257608" w:rsidP="00257608">
      <w:pPr>
        <w:tabs>
          <w:tab w:val="left" w:pos="2160"/>
        </w:tabs>
        <w:jc w:val="center"/>
      </w:pPr>
    </w:p>
    <w:p w14:paraId="10B0B7B0" w14:textId="64D51731" w:rsidR="00257608" w:rsidRDefault="00257608" w:rsidP="00257608">
      <w:pPr>
        <w:tabs>
          <w:tab w:val="left" w:pos="2160"/>
        </w:tabs>
        <w:rPr>
          <w:b/>
          <w:bCs/>
        </w:rPr>
      </w:pPr>
      <w:r w:rsidRPr="00257608">
        <w:rPr>
          <w:b/>
          <w:bCs/>
        </w:rPr>
        <w:lastRenderedPageBreak/>
        <w:t>How useful is the Bayeux Tapestry as a source for the events surrounding the Norman invasion of England?</w:t>
      </w:r>
    </w:p>
    <w:p w14:paraId="5DE7AEA8" w14:textId="77777777" w:rsidR="00112BE1" w:rsidRDefault="00112BE1" w:rsidP="00257608">
      <w:pPr>
        <w:tabs>
          <w:tab w:val="left" w:pos="2160"/>
        </w:tabs>
        <w:rPr>
          <w:b/>
          <w:bCs/>
        </w:rPr>
      </w:pPr>
    </w:p>
    <w:p w14:paraId="50058CC8" w14:textId="508FED5E" w:rsidR="00257608" w:rsidRDefault="001E3472" w:rsidP="001E3472">
      <w:pPr>
        <w:tabs>
          <w:tab w:val="left" w:pos="2160"/>
        </w:tabs>
        <w:spacing w:line="480" w:lineRule="auto"/>
      </w:pPr>
      <w:r>
        <w:t>To answer this, I will first discuss the tapestry and some of its content, then consider when it was made, by whom and what was the purpose of the piece</w:t>
      </w:r>
      <w:r w:rsidR="00CE3D2A">
        <w:t xml:space="preserve">, who was the </w:t>
      </w:r>
      <w:r w:rsidRPr="001944E1">
        <w:t>intended audience.</w:t>
      </w:r>
      <w:r w:rsidR="001944E1">
        <w:t xml:space="preserve"> I would then like to do a ‘virtual’ tour of the tapestry paying particular attention to a few key scenes</w:t>
      </w:r>
      <w:r w:rsidR="000C64C3">
        <w:t xml:space="preserve"> within the narrative.</w:t>
      </w:r>
    </w:p>
    <w:p w14:paraId="287FC025" w14:textId="023310DB" w:rsidR="000214CC" w:rsidRDefault="00380A66" w:rsidP="00207151">
      <w:pPr>
        <w:tabs>
          <w:tab w:val="left" w:pos="2160"/>
        </w:tabs>
        <w:spacing w:line="480" w:lineRule="auto"/>
      </w:pPr>
      <w:r>
        <w:t xml:space="preserve">The Bayeux Tapestry is a </w:t>
      </w:r>
      <w:r w:rsidR="00073EC7">
        <w:t xml:space="preserve">unique </w:t>
      </w:r>
      <w:r>
        <w:t>masterpiece of 11</w:t>
      </w:r>
      <w:r w:rsidRPr="00380A66">
        <w:rPr>
          <w:vertAlign w:val="superscript"/>
        </w:rPr>
        <w:t>th</w:t>
      </w:r>
      <w:r>
        <w:t xml:space="preserve"> century Romanesque art.  It measures </w:t>
      </w:r>
      <w:r w:rsidR="00073EC7">
        <w:t>approximately 68.38 metres long and varying between 45.7</w:t>
      </w:r>
      <w:r w:rsidR="000214CC">
        <w:t>cm</w:t>
      </w:r>
      <w:r w:rsidR="00073EC7">
        <w:t xml:space="preserve"> and 53.6cm in height</w:t>
      </w:r>
      <w:r>
        <w:t>,</w:t>
      </w:r>
      <w:r w:rsidR="00073EC7">
        <w:rPr>
          <w:rStyle w:val="FootnoteReference"/>
        </w:rPr>
        <w:footnoteReference w:id="1"/>
      </w:r>
      <w:r>
        <w:t xml:space="preserve"> it</w:t>
      </w:r>
      <w:r w:rsidR="004B376D">
        <w:t xml:space="preserve"> i</w:t>
      </w:r>
      <w:r>
        <w:t>s composed of several individual panels</w:t>
      </w:r>
      <w:r w:rsidR="00E13DD0">
        <w:t xml:space="preserve"> of linen</w:t>
      </w:r>
      <w:r>
        <w:t xml:space="preserve"> that are all sewn together</w:t>
      </w:r>
      <w:r w:rsidR="00BD1692">
        <w:t>, creating the ‘</w:t>
      </w:r>
      <w:r w:rsidR="00BD1692" w:rsidRPr="00BD1692">
        <w:rPr>
          <w:i/>
          <w:iCs/>
        </w:rPr>
        <w:t xml:space="preserve">La </w:t>
      </w:r>
      <w:proofErr w:type="spellStart"/>
      <w:r w:rsidR="00BD1692" w:rsidRPr="00BD1692">
        <w:rPr>
          <w:i/>
          <w:iCs/>
        </w:rPr>
        <w:t>Tapisserie</w:t>
      </w:r>
      <w:proofErr w:type="spellEnd"/>
      <w:r w:rsidR="00BD1692" w:rsidRPr="00BD1692">
        <w:rPr>
          <w:i/>
          <w:iCs/>
        </w:rPr>
        <w:t xml:space="preserve"> de Bayeux</w:t>
      </w:r>
      <w:r w:rsidR="00BD1692">
        <w:rPr>
          <w:i/>
          <w:iCs/>
        </w:rPr>
        <w:t>’</w:t>
      </w:r>
      <w:r>
        <w:t>.</w:t>
      </w:r>
      <w:r w:rsidR="00094166">
        <w:rPr>
          <w:rStyle w:val="FootnoteReference"/>
        </w:rPr>
        <w:footnoteReference w:id="2"/>
      </w:r>
      <w:r>
        <w:t xml:space="preserve"> </w:t>
      </w:r>
      <w:r w:rsidR="000214CC">
        <w:t>‘</w:t>
      </w:r>
      <w:proofErr w:type="spellStart"/>
      <w:r w:rsidR="000214CC">
        <w:t>Tapisserie</w:t>
      </w:r>
      <w:proofErr w:type="spellEnd"/>
      <w:r w:rsidR="000214CC">
        <w:t>’ being a borrowed French term meaning a curtain, hanging or similar.</w:t>
      </w:r>
    </w:p>
    <w:p w14:paraId="134EDEE3" w14:textId="3110619D" w:rsidR="00380A66" w:rsidRDefault="00BD1692" w:rsidP="00207151">
      <w:pPr>
        <w:tabs>
          <w:tab w:val="left" w:pos="2160"/>
        </w:tabs>
        <w:spacing w:line="480" w:lineRule="auto"/>
      </w:pPr>
      <w:r>
        <w:t xml:space="preserve">It contains more than 70 scenes that are embroidered </w:t>
      </w:r>
      <w:r w:rsidR="009902A0">
        <w:t xml:space="preserve">onto linen </w:t>
      </w:r>
      <w:r>
        <w:t>using eight colours of two-ply wool yarn</w:t>
      </w:r>
      <w:r w:rsidR="009902A0">
        <w:t xml:space="preserve"> (so </w:t>
      </w:r>
      <w:r w:rsidR="00CE3D2A">
        <w:t>is not</w:t>
      </w:r>
      <w:r w:rsidR="009902A0">
        <w:t xml:space="preserve"> actually a tapestry at all)</w:t>
      </w:r>
      <w:r w:rsidR="00FC118B">
        <w:t xml:space="preserve"> </w:t>
      </w:r>
      <w:r w:rsidR="009E2692">
        <w:t xml:space="preserve">and tells one of the most famous stories in English history, the story of </w:t>
      </w:r>
      <w:r w:rsidR="00143B2F">
        <w:t xml:space="preserve">events leading up to </w:t>
      </w:r>
      <w:r w:rsidR="009E2692">
        <w:t>the Norman Conquest of 1066</w:t>
      </w:r>
      <w:r w:rsidR="004B376D">
        <w:t>,</w:t>
      </w:r>
      <w:r w:rsidR="00143B2F">
        <w:t xml:space="preserve"> where Duke William of Normandy led the force that defeated King Harold II of England at the Battle of Hastings on 14</w:t>
      </w:r>
      <w:r w:rsidR="00143B2F" w:rsidRPr="00143B2F">
        <w:rPr>
          <w:vertAlign w:val="superscript"/>
        </w:rPr>
        <w:t>th</w:t>
      </w:r>
      <w:r w:rsidR="00143B2F">
        <w:t xml:space="preserve"> October 1066.</w:t>
      </w:r>
      <w:r w:rsidR="00207151">
        <w:t xml:space="preserve">  The tapestry is a cartoon style frieze framed to the top and bottom with illustrated borders that feature</w:t>
      </w:r>
      <w:r w:rsidR="00CE3D2A">
        <w:t xml:space="preserve"> people, scenes of husbandry and hunting,</w:t>
      </w:r>
      <w:r w:rsidR="00207151">
        <w:t xml:space="preserve"> animals, natural and mystical, as well as other scenes thought to depict Aesop</w:t>
      </w:r>
      <w:r w:rsidR="00626903">
        <w:t>ian</w:t>
      </w:r>
      <w:r w:rsidR="00207151">
        <w:t xml:space="preserve"> fables</w:t>
      </w:r>
      <w:r w:rsidR="00626903">
        <w:t xml:space="preserve"> that serve as a stimulus for interpreting the larger narrative</w:t>
      </w:r>
      <w:r w:rsidR="00286EF8">
        <w:t>,</w:t>
      </w:r>
      <w:r w:rsidR="00094166">
        <w:rPr>
          <w:rStyle w:val="FootnoteReference"/>
        </w:rPr>
        <w:footnoteReference w:id="3"/>
      </w:r>
      <w:r w:rsidR="00286EF8">
        <w:t xml:space="preserve"> also, short</w:t>
      </w:r>
      <w:r w:rsidR="00C174EA">
        <w:t>, vague</w:t>
      </w:r>
      <w:r w:rsidR="00286EF8">
        <w:t xml:space="preserve"> Latin captions or inscriptions</w:t>
      </w:r>
      <w:r w:rsidR="006654CC">
        <w:t xml:space="preserve"> (</w:t>
      </w:r>
      <w:r w:rsidR="006654CC" w:rsidRPr="006654CC">
        <w:rPr>
          <w:i/>
          <w:iCs/>
        </w:rPr>
        <w:t>tituli</w:t>
      </w:r>
      <w:r w:rsidR="006654CC">
        <w:t>)</w:t>
      </w:r>
      <w:r w:rsidR="00286EF8">
        <w:t xml:space="preserve"> appear throughout providing talking points, to </w:t>
      </w:r>
      <w:r w:rsidR="00056843">
        <w:t xml:space="preserve">aid the </w:t>
      </w:r>
      <w:r w:rsidR="00286EF8">
        <w:t>narrative</w:t>
      </w:r>
      <w:r w:rsidR="00056843">
        <w:t xml:space="preserve"> and make it </w:t>
      </w:r>
      <w:r w:rsidR="00286EF8">
        <w:t>believable.</w:t>
      </w:r>
    </w:p>
    <w:p w14:paraId="2756292E" w14:textId="688912DD" w:rsidR="00C174EA" w:rsidRDefault="00207151" w:rsidP="00207151">
      <w:pPr>
        <w:tabs>
          <w:tab w:val="left" w:pos="2160"/>
        </w:tabs>
        <w:spacing w:line="480" w:lineRule="auto"/>
      </w:pPr>
      <w:r>
        <w:t xml:space="preserve">Where, when and why the tapestry was created has caused much scholarly </w:t>
      </w:r>
      <w:r w:rsidR="00D44921">
        <w:t>debate, most historians today would accept that the tapestry was produced within the first couple of decades</w:t>
      </w:r>
      <w:r w:rsidR="008308E7">
        <w:t xml:space="preserve"> after the </w:t>
      </w:r>
      <w:r w:rsidR="008308E7">
        <w:lastRenderedPageBreak/>
        <w:t>Battle of Hastings in 1066.</w:t>
      </w:r>
      <w:r w:rsidR="008308E7">
        <w:rPr>
          <w:rStyle w:val="FootnoteReference"/>
        </w:rPr>
        <w:footnoteReference w:id="4"/>
      </w:r>
      <w:r w:rsidR="00BD45A9">
        <w:t xml:space="preserve"> </w:t>
      </w:r>
      <w:r w:rsidR="00D23F4B">
        <w:t>However, there is no clear contemporary documentation of the Bayeux Tapestry in the first four centuries of its existence, until it appears at item number 262 within the inventory of Bayeux Cathedral, that was compiled in 1476.</w:t>
      </w:r>
      <w:r w:rsidR="00D23F4B">
        <w:rPr>
          <w:rStyle w:val="FootnoteReference"/>
        </w:rPr>
        <w:footnoteReference w:id="5"/>
      </w:r>
      <w:r w:rsidR="00D23F4B">
        <w:t xml:space="preserve">  Where it states its purpose was to </w:t>
      </w:r>
      <w:r w:rsidR="00F24DB7">
        <w:t>decorate the nave of the Cathedral at Bayeux,</w:t>
      </w:r>
      <w:r w:rsidR="00D23F4B">
        <w:t xml:space="preserve"> once a year</w:t>
      </w:r>
      <w:r w:rsidR="00F24DB7">
        <w:t>,</w:t>
      </w:r>
      <w:r w:rsidR="00D23F4B">
        <w:t xml:space="preserve"> </w:t>
      </w:r>
      <w:r w:rsidR="00F24DB7">
        <w:t xml:space="preserve">for the feast of John the Baptist. With that information in mind, I feel </w:t>
      </w:r>
      <w:proofErr w:type="spellStart"/>
      <w:r w:rsidR="00F24DB7">
        <w:t>Odo</w:t>
      </w:r>
      <w:proofErr w:type="spellEnd"/>
      <w:r w:rsidR="00F24DB7">
        <w:t>, the Bishop of Bayeux and half brother to William the Conqueror is a perfect candidate for the person who commissioned its production.</w:t>
      </w:r>
      <w:r w:rsidR="001B7BF2">
        <w:t xml:space="preserve">  Also, the fact he appears in the tapestry makes it look like he had a role to play in the ‘story’. </w:t>
      </w:r>
      <w:r w:rsidR="00CE54D0">
        <w:t xml:space="preserve">Where it was made is a little more problematic, and has again caused much debate, Professor Shirley Ann Brown favours the idea that it was created in Bayeux, and that </w:t>
      </w:r>
      <w:r w:rsidR="00073C21">
        <w:t xml:space="preserve">that </w:t>
      </w:r>
      <w:r w:rsidR="00CE54D0">
        <w:t>romantically links it to Matilda, William the Conquerors wife, who is thought to have stitched it with her own hands while her husband was away conquering England.  Canterbury is also a strong contender, the pictures/depictions that appear throughout the tapestry stylistically match those of illustrated manuscripts, particularly the ones from Canterbury. Professor Elizabeth Pastan also supports this theory</w:t>
      </w:r>
      <w:r w:rsidR="00537669">
        <w:t xml:space="preserve"> in her</w:t>
      </w:r>
      <w:r w:rsidR="00B013CD">
        <w:t xml:space="preserve"> article: </w:t>
      </w:r>
      <w:r w:rsidR="00B013CD" w:rsidRPr="00073C21">
        <w:rPr>
          <w:i/>
          <w:iCs/>
        </w:rPr>
        <w:t xml:space="preserve">Building stories, the representation of architecture in the Bayeux </w:t>
      </w:r>
      <w:r w:rsidR="00073C21">
        <w:rPr>
          <w:i/>
          <w:iCs/>
        </w:rPr>
        <w:t>T</w:t>
      </w:r>
      <w:r w:rsidR="00B013CD" w:rsidRPr="00073C21">
        <w:rPr>
          <w:i/>
          <w:iCs/>
        </w:rPr>
        <w:t xml:space="preserve">apestry </w:t>
      </w:r>
      <w:r w:rsidR="00B013CD">
        <w:t>where she explains there are 33 buildings spanning the tapestry, of those, 3 have been identified and named, West</w:t>
      </w:r>
      <w:r w:rsidR="006E40E9">
        <w:t>m</w:t>
      </w:r>
      <w:r w:rsidR="00B013CD">
        <w:t>inster Abbey, Mont Saint-Michel and Bosham each pertaining to the Canterbury narrative.</w:t>
      </w:r>
      <w:r w:rsidR="00B013CD">
        <w:rPr>
          <w:rStyle w:val="FootnoteReference"/>
        </w:rPr>
        <w:footnoteReference w:id="6"/>
      </w:r>
      <w:r w:rsidR="009902A0">
        <w:t xml:space="preserve"> </w:t>
      </w:r>
    </w:p>
    <w:p w14:paraId="5244EF6F" w14:textId="0B2B1FBC" w:rsidR="00CE3D2A" w:rsidRDefault="00CE3D2A" w:rsidP="00207151">
      <w:pPr>
        <w:tabs>
          <w:tab w:val="left" w:pos="2160"/>
        </w:tabs>
        <w:spacing w:line="480" w:lineRule="auto"/>
      </w:pPr>
      <w:r>
        <w:t xml:space="preserve">Next, I would like to consider its function, purpose and intended audience. </w:t>
      </w:r>
      <w:r w:rsidR="00FB2196">
        <w:t xml:space="preserve">Professor Elizabeth van Hauts suggests that the audience for the tapestry in the first instance would have been family and friends of the people who took part on the Norman side, she believes its original purpose was to hang in a secular hall rather than a cathedral, in an aristocratic environment where the secular lords </w:t>
      </w:r>
      <w:r w:rsidR="00FB2196">
        <w:lastRenderedPageBreak/>
        <w:t>of Normandy could view the evolving story of the conquest.  She goes on</w:t>
      </w:r>
      <w:r w:rsidR="006E40E9">
        <w:t xml:space="preserve"> </w:t>
      </w:r>
      <w:r w:rsidR="00FB2196">
        <w:t>to suggest the small vague Latin inscriptions were possibl</w:t>
      </w:r>
      <w:r w:rsidR="00C46C5A">
        <w:t>y</w:t>
      </w:r>
      <w:r w:rsidR="00FB2196">
        <w:t xml:space="preserve"> included for reference </w:t>
      </w:r>
      <w:r w:rsidR="006E40E9">
        <w:t>later</w:t>
      </w:r>
      <w:r w:rsidR="00FB2196">
        <w:t xml:space="preserve">.  People at the time could easily identify the people within the embroidery, however, </w:t>
      </w:r>
      <w:proofErr w:type="gramStart"/>
      <w:r w:rsidR="00FB2196">
        <w:t>later on</w:t>
      </w:r>
      <w:proofErr w:type="gramEnd"/>
      <w:r w:rsidR="00FB2196">
        <w:t xml:space="preserve"> in some fifty years or even nearly a thousand years on, as we view it today, identifying individuals could prove problematic without the small references included.</w:t>
      </w:r>
      <w:r w:rsidR="00C46C5A">
        <w:t xml:space="preserve">  Professor Shirley Ann Brown puts forward her theory that the intended audience was in fact the monastic congregation of St Augustine and Canterbury, she believes the artwork to be a means of reconciliation, a way of recognising the sins of the nation and goes onto point out that Bayeux is not a strong character featuring throughout the embroidery</w:t>
      </w:r>
      <w:r w:rsidR="00AF1144">
        <w:t xml:space="preserve">, which in turn makes the whole textile appear as a passion of England.  I feel given the age and condition of the tapestry; the idea suggested earlier that it was used once a year to decorate the hall of the Cathedral of Bayeux is a reasonable assumption given the </w:t>
      </w:r>
      <w:r w:rsidR="000C64C3">
        <w:t>well-preserved</w:t>
      </w:r>
      <w:r w:rsidR="00AF1144">
        <w:t xml:space="preserve"> condition of the fabric.  I do feel, if that </w:t>
      </w:r>
      <w:r w:rsidR="000C64C3">
        <w:t>were</w:t>
      </w:r>
      <w:r w:rsidR="00AF1144">
        <w:t xml:space="preserve"> the original intended purpose, it would have been made more luxurious.  Rather than linen, silk could have been used, the same with the choice of colours within the main frieze, I would have expected gold and silver threads to have been incorporated rather than the colours be represented by </w:t>
      </w:r>
      <w:r w:rsidR="009414A8">
        <w:t>mustard yellow, dyed with woad and blue.  Though its great size and the magnitude of its manufacture suggests that it cannot have been cheap to produce</w:t>
      </w:r>
      <w:r w:rsidR="006E40E9">
        <w:t>,</w:t>
      </w:r>
      <w:r w:rsidR="009414A8">
        <w:rPr>
          <w:rStyle w:val="FootnoteReference"/>
        </w:rPr>
        <w:footnoteReference w:id="7"/>
      </w:r>
      <w:r w:rsidR="009414A8">
        <w:t xml:space="preserve"> </w:t>
      </w:r>
      <w:r w:rsidR="006E40E9">
        <w:t>a</w:t>
      </w:r>
      <w:r w:rsidR="009414A8">
        <w:t>nd whoever intended on displaying it must have been incredibly wealthy to have an area large enough to display it.</w:t>
      </w:r>
    </w:p>
    <w:p w14:paraId="00C8A232" w14:textId="2C02F6BD" w:rsidR="00D546B1" w:rsidRDefault="000C64C3" w:rsidP="00207151">
      <w:pPr>
        <w:tabs>
          <w:tab w:val="left" w:pos="2160"/>
        </w:tabs>
        <w:spacing w:line="480" w:lineRule="auto"/>
      </w:pPr>
      <w:r>
        <w:t>Another possible explanation, given the way its constructed, and the wooden chest in Bayeux Cathedral in which the tapestry is said to be stored</w:t>
      </w:r>
      <w:r w:rsidR="00F5691B">
        <w:rPr>
          <w:rStyle w:val="FootnoteReference"/>
        </w:rPr>
        <w:footnoteReference w:id="8"/>
      </w:r>
      <w:r w:rsidR="00F5691B">
        <w:t xml:space="preserve"> could imply that it was intended as a travelling piece of art intended for all manner of audiences</w:t>
      </w:r>
      <w:r w:rsidR="00D546B1">
        <w:t>.  I do find this suggestion the hardest one to accept given the condition of the tapestry today.</w:t>
      </w:r>
    </w:p>
    <w:p w14:paraId="296DF213" w14:textId="68E97446" w:rsidR="00E15B00" w:rsidRDefault="000C64C3" w:rsidP="00207151">
      <w:pPr>
        <w:tabs>
          <w:tab w:val="left" w:pos="2160"/>
        </w:tabs>
        <w:spacing w:line="480" w:lineRule="auto"/>
      </w:pPr>
      <w:r>
        <w:lastRenderedPageBreak/>
        <w:t xml:space="preserve">I would now like to give a brief </w:t>
      </w:r>
      <w:r w:rsidR="00D546B1">
        <w:t>overview</w:t>
      </w:r>
      <w:r>
        <w:t xml:space="preserve"> </w:t>
      </w:r>
      <w:r w:rsidR="00D546B1">
        <w:t>or ‘virtual tour’ of</w:t>
      </w:r>
      <w:r>
        <w:t xml:space="preserve"> scenes from the entire tapestry, paying particular attention and elaborating on some key parts</w:t>
      </w:r>
      <w:r w:rsidR="00D546B1">
        <w:t xml:space="preserve">, </w:t>
      </w:r>
      <w:r w:rsidR="00E15B00">
        <w:t xml:space="preserve">and see how they </w:t>
      </w:r>
      <w:r w:rsidR="00265C06">
        <w:t xml:space="preserve">compare </w:t>
      </w:r>
      <w:r w:rsidR="00E15B00">
        <w:t xml:space="preserve">to other contemporary narrative sources of the time. </w:t>
      </w:r>
    </w:p>
    <w:p w14:paraId="2B629BEF" w14:textId="56960990" w:rsidR="000C64C3" w:rsidRPr="00385AB9" w:rsidRDefault="00E15B00" w:rsidP="00207151">
      <w:pPr>
        <w:tabs>
          <w:tab w:val="left" w:pos="2160"/>
        </w:tabs>
        <w:spacing w:line="480" w:lineRule="auto"/>
      </w:pPr>
      <w:r>
        <w:t>The tapestry begins with King Edward in conversation with a man who is believed to be Earl Harold, possibly discussing his leaving for the continent, the scenes believed to be set at Westminster</w:t>
      </w:r>
      <w:r w:rsidR="00265C06">
        <w:t>.</w:t>
      </w:r>
      <w:r w:rsidR="00A93799">
        <w:t xml:space="preserve"> Next Harold is depicted at Bosham where he leaves to cross the channel, before getting into difficulty and being captured by Count Guy of Po</w:t>
      </w:r>
      <w:r w:rsidR="00CF5573">
        <w:t>nthieu</w:t>
      </w:r>
      <w:r w:rsidR="00A93799">
        <w:t>.</w:t>
      </w:r>
      <w:r w:rsidR="00CE01F9">
        <w:t xml:space="preserve">  Harold is next seen at the court of Duke William of Normandy prior to them both heading off on their military campaign to </w:t>
      </w:r>
      <w:proofErr w:type="spellStart"/>
      <w:r w:rsidR="00CE01F9">
        <w:t>Britanny</w:t>
      </w:r>
      <w:proofErr w:type="spellEnd"/>
      <w:r w:rsidR="00CF5573">
        <w:t>.  The next scene is Harold taking an oath, which is considered a key piece within the embroidery</w:t>
      </w:r>
      <w:r w:rsidR="00DA02C2">
        <w:t>.  The nature of the oath is not clear,</w:t>
      </w:r>
      <w:r w:rsidR="008A7AEA">
        <w:t xml:space="preserve"> but the text inscription offers us an important but characteristically Delphic statement: </w:t>
      </w:r>
      <w:r w:rsidR="008A7AEA" w:rsidRPr="008A7AEA">
        <w:t xml:space="preserve">VBI </w:t>
      </w:r>
      <w:proofErr w:type="spellStart"/>
      <w:r w:rsidR="008A7AEA" w:rsidRPr="008A7AEA">
        <w:t>hAROLD</w:t>
      </w:r>
      <w:proofErr w:type="spellEnd"/>
      <w:r w:rsidR="008A7AEA" w:rsidRPr="008A7AEA">
        <w:t xml:space="preserve"> SACRAMENTVM FECIT VVILLELMO DVCI (Where Harold swore a sacred oath to Duke William).</w:t>
      </w:r>
      <w:r w:rsidR="008A7AEA">
        <w:rPr>
          <w:rStyle w:val="FootnoteReference"/>
        </w:rPr>
        <w:footnoteReference w:id="9"/>
      </w:r>
      <w:r w:rsidR="008A7AEA">
        <w:t xml:space="preserve">  Fortunately the documentary sources are far less opaque on the subject, Henry of Huntingdon documents the oath </w:t>
      </w:r>
      <w:r w:rsidR="00385AB9">
        <w:t>in the twelfth century where he unequivocally states that ‘Harold swore to William, on many precious relics, that he would marry his daughter and after Edward’s death would preserve England for Williams benefit.</w:t>
      </w:r>
      <w:r w:rsidR="00385AB9">
        <w:rPr>
          <w:rStyle w:val="FootnoteReference"/>
        </w:rPr>
        <w:footnoteReference w:id="10"/>
      </w:r>
      <w:r w:rsidR="00385AB9">
        <w:t xml:space="preserve"> In contrast, William of Poitiers gives his description of the oath within his </w:t>
      </w:r>
      <w:r w:rsidR="00385AB9" w:rsidRPr="00385AB9">
        <w:rPr>
          <w:i/>
          <w:iCs/>
        </w:rPr>
        <w:t xml:space="preserve">Gesta </w:t>
      </w:r>
      <w:proofErr w:type="spellStart"/>
      <w:r w:rsidR="00385AB9" w:rsidRPr="00385AB9">
        <w:rPr>
          <w:i/>
          <w:iCs/>
        </w:rPr>
        <w:t>Willelmi</w:t>
      </w:r>
      <w:proofErr w:type="spellEnd"/>
      <w:r w:rsidR="00385AB9" w:rsidRPr="00385AB9">
        <w:rPr>
          <w:i/>
          <w:iCs/>
        </w:rPr>
        <w:t xml:space="preserve"> </w:t>
      </w:r>
      <w:proofErr w:type="spellStart"/>
      <w:r w:rsidR="00385AB9" w:rsidRPr="00385AB9">
        <w:rPr>
          <w:i/>
          <w:iCs/>
        </w:rPr>
        <w:t>ducis</w:t>
      </w:r>
      <w:proofErr w:type="spellEnd"/>
      <w:r w:rsidR="00385AB9" w:rsidRPr="00385AB9">
        <w:rPr>
          <w:i/>
          <w:iCs/>
        </w:rPr>
        <w:t xml:space="preserve"> </w:t>
      </w:r>
      <w:proofErr w:type="spellStart"/>
      <w:r w:rsidR="00385AB9" w:rsidRPr="00385AB9">
        <w:rPr>
          <w:i/>
          <w:iCs/>
        </w:rPr>
        <w:t>Normannorum</w:t>
      </w:r>
      <w:proofErr w:type="spellEnd"/>
      <w:r w:rsidR="00385AB9" w:rsidRPr="00385AB9">
        <w:rPr>
          <w:i/>
          <w:iCs/>
        </w:rPr>
        <w:t xml:space="preserve"> et </w:t>
      </w:r>
      <w:proofErr w:type="spellStart"/>
      <w:r w:rsidR="00385AB9" w:rsidRPr="00385AB9">
        <w:rPr>
          <w:i/>
          <w:iCs/>
        </w:rPr>
        <w:t>regis</w:t>
      </w:r>
      <w:proofErr w:type="spellEnd"/>
      <w:r w:rsidR="00385AB9" w:rsidRPr="00385AB9">
        <w:rPr>
          <w:i/>
          <w:iCs/>
        </w:rPr>
        <w:t xml:space="preserve"> </w:t>
      </w:r>
      <w:proofErr w:type="spellStart"/>
      <w:r w:rsidR="00385AB9" w:rsidRPr="00385AB9">
        <w:rPr>
          <w:i/>
          <w:iCs/>
        </w:rPr>
        <w:t>Anglorum</w:t>
      </w:r>
      <w:proofErr w:type="spellEnd"/>
      <w:r w:rsidR="00385AB9">
        <w:rPr>
          <w:i/>
          <w:iCs/>
        </w:rPr>
        <w:t xml:space="preserve"> </w:t>
      </w:r>
      <w:r w:rsidR="00385AB9">
        <w:t>which translates to ‘ the deeds of William Duke of the Normans and King of the English’</w:t>
      </w:r>
      <w:r w:rsidR="00D3045A">
        <w:t>.</w:t>
      </w:r>
      <w:r w:rsidR="00385AB9">
        <w:t xml:space="preserve"> </w:t>
      </w:r>
    </w:p>
    <w:p w14:paraId="1EA006C7" w14:textId="2B77EA1A" w:rsidR="00A92CBB" w:rsidRDefault="00385AB9" w:rsidP="00207151">
      <w:pPr>
        <w:tabs>
          <w:tab w:val="left" w:pos="2160"/>
        </w:tabs>
        <w:spacing w:line="480" w:lineRule="auto"/>
      </w:pPr>
      <w:r>
        <w:t>‘T</w:t>
      </w:r>
      <w:r w:rsidRPr="00385AB9">
        <w:t xml:space="preserve">hat he would be the agent of duke William at the court of king Edward for as long as the king lived; that he would try with all his authority and power, to ensure for him the possession of the kingdom of England on Edward's death: and that meanwhile, he would hand over the castle of Dover, fortified under his direction and his own expense, to a garrison of the duke's knights; that he would deliver, at the same time, in various places in the kingdom, other castles to be fortified in the duke's orders; </w:t>
      </w:r>
      <w:r w:rsidRPr="00385AB9">
        <w:lastRenderedPageBreak/>
        <w:t>and that he would also provide abundantly for the provisioning of the garrisons.</w:t>
      </w:r>
      <w:r>
        <w:rPr>
          <w:rStyle w:val="FootnoteReference"/>
        </w:rPr>
        <w:footnoteReference w:id="11"/>
      </w:r>
      <w:r w:rsidR="00A92CBB">
        <w:t xml:space="preserve"> Which account is correct is very much a subject of debate, but just clarifies a picture really can speak a thousand words.</w:t>
      </w:r>
    </w:p>
    <w:p w14:paraId="6EACDD88" w14:textId="77777777" w:rsidR="00F25388" w:rsidRDefault="00A92CBB" w:rsidP="00207151">
      <w:pPr>
        <w:tabs>
          <w:tab w:val="left" w:pos="2160"/>
        </w:tabs>
        <w:spacing w:line="480" w:lineRule="auto"/>
      </w:pPr>
      <w:r>
        <w:t>The tapestry moves swiftly on to another key scene, where Harold has returned to the court of King Edward</w:t>
      </w:r>
      <w:r w:rsidR="00112BE1">
        <w:t>, where he is seen in his bed. Yet the changed appearance of him, from blue-black thread for his hair and beard in the opening scene, to red-brown striped with the pale-blue-that-can-represent-silver demonstrates his deterioration from powerful monarch to sickly old man</w:t>
      </w:r>
      <w:r w:rsidR="008D617E">
        <w:t xml:space="preserve"> </w:t>
      </w:r>
      <w:r w:rsidR="00112BE1">
        <w:t>as graphically as the replacement of his sceptre with a walking stick.</w:t>
      </w:r>
      <w:r w:rsidR="00112BE1">
        <w:rPr>
          <w:rStyle w:val="FootnoteReference"/>
        </w:rPr>
        <w:footnoteReference w:id="12"/>
      </w:r>
      <w:r w:rsidR="008D617E">
        <w:t xml:space="preserve">  </w:t>
      </w:r>
      <w:r w:rsidR="007D635E">
        <w:t>This scene appears in a double layer, to the upper storey of the building, Edwards seen lay dying while surrounded by his closest followers including Earl Harold and his wife Queen Edith. In the room below, his corpse is being prepared for burial.  Confusingly, the tapestry is in reverse as the previous scene documents his funeral at St Peters Church Westminster.  The next section of tapestry depicts Harold taking the throne, seemingly against the oath he took, though that is dependent on the actual content of the oath.  William then reacts to Harold’s deceit and he quickly assembles an army and fleet to cross the channel and confront him.  On their arrival at the English shores</w:t>
      </w:r>
      <w:r w:rsidR="00DB2B4C">
        <w:t>, they are depicted at a feast</w:t>
      </w:r>
      <w:r w:rsidR="006B4FF1">
        <w:t xml:space="preserve">, servants prepare food and bake bread in an outside oven, giving a good example of eleventh century life, while the assumed patron Bishop </w:t>
      </w:r>
      <w:proofErr w:type="spellStart"/>
      <w:r w:rsidR="006B4FF1">
        <w:t>Odo</w:t>
      </w:r>
      <w:proofErr w:type="spellEnd"/>
      <w:r w:rsidR="006B4FF1">
        <w:t xml:space="preserve"> blesses the meal.  From here the narrative quickly turns to development, the building of castles in scene 45 is captioned ISTE IVSSIT VT FODERETVR CASTELLVM </w:t>
      </w:r>
      <w:proofErr w:type="gramStart"/>
      <w:r w:rsidR="006B4FF1">
        <w:t>AT[</w:t>
      </w:r>
      <w:proofErr w:type="gramEnd"/>
      <w:r w:rsidR="006B4FF1">
        <w:t>sic, for AD] HESTENGA (this man has commanded that a castle should be dug at Hastings)</w:t>
      </w:r>
      <w:r w:rsidR="00FC55C7">
        <w:t>.</w:t>
      </w:r>
      <w:r w:rsidR="00FC55C7">
        <w:rPr>
          <w:rStyle w:val="FootnoteReference"/>
        </w:rPr>
        <w:footnoteReference w:id="13"/>
      </w:r>
      <w:r w:rsidR="006B4FF1">
        <w:t xml:space="preserve"> </w:t>
      </w:r>
    </w:p>
    <w:p w14:paraId="4B961BE2" w14:textId="4F8A5E14" w:rsidR="005257B7" w:rsidRDefault="00FC55C7" w:rsidP="00207151">
      <w:pPr>
        <w:tabs>
          <w:tab w:val="left" w:pos="2160"/>
        </w:tabs>
        <w:spacing w:line="480" w:lineRule="auto"/>
      </w:pPr>
      <w:r>
        <w:t xml:space="preserve">The final quarter of the tapestry </w:t>
      </w:r>
      <w:r w:rsidR="00F25388">
        <w:t xml:space="preserve">graphically </w:t>
      </w:r>
      <w:r>
        <w:t>documents the violence and brutality that occurred during the battle</w:t>
      </w:r>
      <w:r w:rsidR="00F25388">
        <w:t xml:space="preserve">.  The shields of the English are peppered with arrows, while over head spears fly in </w:t>
      </w:r>
      <w:r w:rsidR="00F25388">
        <w:lastRenderedPageBreak/>
        <w:t>both directions. This scene both evocative and terrible, demonstrates the essential difference between Norman and English tactics.</w:t>
      </w:r>
      <w:r w:rsidR="00F25388">
        <w:rPr>
          <w:rStyle w:val="FootnoteReference"/>
        </w:rPr>
        <w:footnoteReference w:id="14"/>
      </w:r>
      <w:r w:rsidR="005257B7">
        <w:t xml:space="preserve">  Here, sadly, the tapestry abruptly concludes, the final piece is missing, many scholars believe it carried the story through to the coronation of William the Conqueror.  Unfortunately, William of Poitiers vowed silence and put down his pen at a similar point within his gesta, which really leaves an element of mystery to the whole saga.</w:t>
      </w:r>
    </w:p>
    <w:p w14:paraId="3AB64A58" w14:textId="77777777" w:rsidR="00066EC3" w:rsidRDefault="00E302EE" w:rsidP="00207151">
      <w:pPr>
        <w:tabs>
          <w:tab w:val="left" w:pos="2160"/>
        </w:tabs>
        <w:spacing w:line="480" w:lineRule="auto"/>
      </w:pPr>
      <w:r w:rsidRPr="00E302EE">
        <w:t>From a twenty first century perspective, on the surface it appears that its purpose was to record William the Conqueror’s triumph</w:t>
      </w:r>
      <w:r>
        <w:t>.  However</w:t>
      </w:r>
      <w:r w:rsidR="00066EC3">
        <w:t>,</w:t>
      </w:r>
      <w:r>
        <w:t xml:space="preserve"> I feel the words of John Berger</w:t>
      </w:r>
      <w:r w:rsidR="00066EC3">
        <w:t xml:space="preserve"> in</w:t>
      </w:r>
      <w:r>
        <w:t xml:space="preserve"> </w:t>
      </w:r>
      <w:r w:rsidRPr="00066EC3">
        <w:rPr>
          <w:i/>
          <w:iCs/>
        </w:rPr>
        <w:t>ways of seeing</w:t>
      </w:r>
      <w:r w:rsidR="00066EC3">
        <w:rPr>
          <w:i/>
          <w:iCs/>
        </w:rPr>
        <w:t xml:space="preserve"> </w:t>
      </w:r>
      <w:r w:rsidR="00066EC3">
        <w:t>concludes this beautifully:</w:t>
      </w:r>
      <w:r>
        <w:t xml:space="preserve"> </w:t>
      </w:r>
    </w:p>
    <w:p w14:paraId="66DA8E23" w14:textId="2CF971A4" w:rsidR="00E302EE" w:rsidRDefault="00E302EE" w:rsidP="00207151">
      <w:pPr>
        <w:tabs>
          <w:tab w:val="left" w:pos="2160"/>
        </w:tabs>
        <w:spacing w:line="480" w:lineRule="auto"/>
      </w:pPr>
      <w:r>
        <w:t xml:space="preserve">‘Images were first made to conjure up the appearances of something that was absent.  Gradually it became evident that an image could outlast what it represented; it then showed how </w:t>
      </w:r>
      <w:r w:rsidR="00066EC3">
        <w:t>something,</w:t>
      </w:r>
      <w:r>
        <w:t xml:space="preserve"> or somebody had once looked-and thus by implication how the subject had once been seen by other people.  Later still the specific vision of the image-maker was also recognised as part of the record. An image became a record of how X had seen Y.’</w:t>
      </w:r>
    </w:p>
    <w:p w14:paraId="78896BF4" w14:textId="4AFF6581" w:rsidR="00066EC3" w:rsidRDefault="00066EC3" w:rsidP="00207151">
      <w:pPr>
        <w:tabs>
          <w:tab w:val="left" w:pos="2160"/>
        </w:tabs>
        <w:spacing w:line="480" w:lineRule="auto"/>
      </w:pPr>
    </w:p>
    <w:p w14:paraId="42E5D510" w14:textId="062BA06E" w:rsidR="00066EC3" w:rsidRDefault="00066EC3" w:rsidP="00207151">
      <w:pPr>
        <w:tabs>
          <w:tab w:val="left" w:pos="2160"/>
        </w:tabs>
        <w:spacing w:line="480" w:lineRule="auto"/>
      </w:pPr>
    </w:p>
    <w:p w14:paraId="52B658BA" w14:textId="3876BD53" w:rsidR="00066EC3" w:rsidRDefault="00066EC3" w:rsidP="00207151">
      <w:pPr>
        <w:tabs>
          <w:tab w:val="left" w:pos="2160"/>
        </w:tabs>
        <w:spacing w:line="480" w:lineRule="auto"/>
      </w:pPr>
    </w:p>
    <w:p w14:paraId="3E49E641" w14:textId="341321EF" w:rsidR="00066EC3" w:rsidRDefault="00066EC3" w:rsidP="00207151">
      <w:pPr>
        <w:tabs>
          <w:tab w:val="left" w:pos="2160"/>
        </w:tabs>
        <w:spacing w:line="480" w:lineRule="auto"/>
      </w:pPr>
    </w:p>
    <w:p w14:paraId="5D098AE4" w14:textId="05F63689" w:rsidR="00066EC3" w:rsidRDefault="00066EC3" w:rsidP="00207151">
      <w:pPr>
        <w:tabs>
          <w:tab w:val="left" w:pos="2160"/>
        </w:tabs>
        <w:spacing w:line="480" w:lineRule="auto"/>
      </w:pPr>
      <w:r w:rsidRPr="00066EC3">
        <w:lastRenderedPageBreak/>
        <w:drawing>
          <wp:inline distT="0" distB="0" distL="0" distR="0" wp14:anchorId="53F2BF21" wp14:editId="208F6F27">
            <wp:extent cx="5731510" cy="84258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8425815"/>
                    </a:xfrm>
                    <a:prstGeom prst="rect">
                      <a:avLst/>
                    </a:prstGeom>
                    <a:noFill/>
                    <a:ln>
                      <a:noFill/>
                    </a:ln>
                  </pic:spPr>
                </pic:pic>
              </a:graphicData>
            </a:graphic>
          </wp:inline>
        </w:drawing>
      </w:r>
    </w:p>
    <w:p w14:paraId="0368DD57" w14:textId="6900040E" w:rsidR="00066EC3" w:rsidRDefault="00066EC3" w:rsidP="00207151">
      <w:pPr>
        <w:tabs>
          <w:tab w:val="left" w:pos="2160"/>
        </w:tabs>
        <w:spacing w:line="480" w:lineRule="auto"/>
      </w:pPr>
    </w:p>
    <w:p w14:paraId="40A888CB" w14:textId="1C94A951" w:rsidR="00066EC3" w:rsidRDefault="00066EC3" w:rsidP="00207151">
      <w:pPr>
        <w:tabs>
          <w:tab w:val="left" w:pos="2160"/>
        </w:tabs>
        <w:spacing w:line="480" w:lineRule="auto"/>
      </w:pPr>
    </w:p>
    <w:p w14:paraId="0E304C8A" w14:textId="77777777" w:rsidR="00066EC3" w:rsidRDefault="00066EC3" w:rsidP="00207151">
      <w:pPr>
        <w:tabs>
          <w:tab w:val="left" w:pos="2160"/>
        </w:tabs>
        <w:spacing w:line="480" w:lineRule="auto"/>
      </w:pPr>
    </w:p>
    <w:p w14:paraId="1C87A946" w14:textId="77777777" w:rsidR="005257B7" w:rsidRDefault="005257B7" w:rsidP="00207151">
      <w:pPr>
        <w:tabs>
          <w:tab w:val="left" w:pos="2160"/>
        </w:tabs>
        <w:spacing w:line="480" w:lineRule="auto"/>
      </w:pPr>
    </w:p>
    <w:p w14:paraId="6D4F97D8" w14:textId="77777777" w:rsidR="00C174EA" w:rsidRDefault="00C174EA" w:rsidP="00207151">
      <w:pPr>
        <w:tabs>
          <w:tab w:val="left" w:pos="2160"/>
        </w:tabs>
        <w:spacing w:line="480" w:lineRule="auto"/>
      </w:pPr>
    </w:p>
    <w:p w14:paraId="60ECBF51" w14:textId="77777777" w:rsidR="00257608" w:rsidRPr="00257608" w:rsidRDefault="00257608" w:rsidP="00257608">
      <w:pPr>
        <w:tabs>
          <w:tab w:val="left" w:pos="2160"/>
        </w:tabs>
        <w:jc w:val="center"/>
      </w:pPr>
    </w:p>
    <w:sectPr w:rsidR="00257608" w:rsidRPr="0025760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88B25F" w14:textId="77777777" w:rsidR="006C3154" w:rsidRDefault="006C3154" w:rsidP="00626903">
      <w:pPr>
        <w:spacing w:after="0" w:line="240" w:lineRule="auto"/>
      </w:pPr>
      <w:r>
        <w:separator/>
      </w:r>
    </w:p>
  </w:endnote>
  <w:endnote w:type="continuationSeparator" w:id="0">
    <w:p w14:paraId="275E2320" w14:textId="77777777" w:rsidR="006C3154" w:rsidRDefault="006C3154" w:rsidP="006269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50A1AD" w14:textId="77777777" w:rsidR="006C3154" w:rsidRDefault="006C3154" w:rsidP="00626903">
      <w:pPr>
        <w:spacing w:after="0" w:line="240" w:lineRule="auto"/>
      </w:pPr>
      <w:r>
        <w:separator/>
      </w:r>
    </w:p>
  </w:footnote>
  <w:footnote w:type="continuationSeparator" w:id="0">
    <w:p w14:paraId="26D62D49" w14:textId="77777777" w:rsidR="006C3154" w:rsidRDefault="006C3154" w:rsidP="00626903">
      <w:pPr>
        <w:spacing w:after="0" w:line="240" w:lineRule="auto"/>
      </w:pPr>
      <w:r>
        <w:continuationSeparator/>
      </w:r>
    </w:p>
  </w:footnote>
  <w:footnote w:id="1">
    <w:p w14:paraId="6297A528" w14:textId="18B048AF" w:rsidR="00073EC7" w:rsidRPr="00845D2F" w:rsidRDefault="00073EC7" w:rsidP="00845D2F">
      <w:pPr>
        <w:pStyle w:val="NormalWeb"/>
        <w:ind w:left="720" w:hanging="720"/>
        <w:rPr>
          <w:rFonts w:asciiTheme="minorHAnsi" w:hAnsiTheme="minorHAnsi" w:cstheme="minorHAnsi"/>
          <w:sz w:val="20"/>
          <w:szCs w:val="20"/>
        </w:rPr>
      </w:pPr>
      <w:r w:rsidRPr="00094166">
        <w:rPr>
          <w:rStyle w:val="FootnoteReference"/>
          <w:rFonts w:asciiTheme="minorHAnsi" w:hAnsiTheme="minorHAnsi" w:cstheme="minorHAnsi"/>
          <w:sz w:val="20"/>
          <w:szCs w:val="20"/>
        </w:rPr>
        <w:footnoteRef/>
      </w:r>
      <w:r w:rsidRPr="00094166">
        <w:rPr>
          <w:rFonts w:asciiTheme="minorHAnsi" w:hAnsiTheme="minorHAnsi" w:cstheme="minorHAnsi"/>
          <w:sz w:val="20"/>
          <w:szCs w:val="20"/>
        </w:rPr>
        <w:t xml:space="preserve">  </w:t>
      </w:r>
      <w:r w:rsidR="00094166" w:rsidRPr="00094166">
        <w:rPr>
          <w:rFonts w:asciiTheme="minorHAnsi" w:hAnsiTheme="minorHAnsi" w:cstheme="minorHAnsi"/>
          <w:sz w:val="20"/>
          <w:szCs w:val="20"/>
        </w:rPr>
        <w:t xml:space="preserve">Wilson, D. M., &amp; Wilson, D. M. (2004). </w:t>
      </w:r>
      <w:r w:rsidR="00094166" w:rsidRPr="00094166">
        <w:rPr>
          <w:rFonts w:asciiTheme="minorHAnsi" w:hAnsiTheme="minorHAnsi" w:cstheme="minorHAnsi"/>
          <w:i/>
          <w:iCs/>
          <w:sz w:val="20"/>
          <w:szCs w:val="20"/>
        </w:rPr>
        <w:t>The Bayeux Tapestry</w:t>
      </w:r>
      <w:r w:rsidR="00094166" w:rsidRPr="00094166">
        <w:rPr>
          <w:rFonts w:asciiTheme="minorHAnsi" w:hAnsiTheme="minorHAnsi" w:cstheme="minorHAnsi"/>
          <w:sz w:val="20"/>
          <w:szCs w:val="20"/>
        </w:rPr>
        <w:t xml:space="preserve"> (Edition Unstated ed.). Thames &amp; Hudson.</w:t>
      </w:r>
      <w:r w:rsidR="00094166">
        <w:rPr>
          <w:rFonts w:asciiTheme="minorHAnsi" w:hAnsiTheme="minorHAnsi" w:cstheme="minorHAnsi"/>
          <w:sz w:val="20"/>
          <w:szCs w:val="20"/>
        </w:rPr>
        <w:t xml:space="preserve"> p.10</w:t>
      </w:r>
    </w:p>
  </w:footnote>
  <w:footnote w:id="2">
    <w:p w14:paraId="4C867793" w14:textId="0144F1E9" w:rsidR="008308E7" w:rsidRDefault="00094166">
      <w:pPr>
        <w:pStyle w:val="FootnoteText"/>
      </w:pPr>
      <w:r>
        <w:rPr>
          <w:rStyle w:val="FootnoteReference"/>
        </w:rPr>
        <w:footnoteRef/>
      </w:r>
      <w:r>
        <w:t xml:space="preserve"> </w:t>
      </w:r>
      <w:r w:rsidRPr="00094166">
        <w:t>Bayeux Tapestry - Visit of the Bayeux Tapestry. (2021, February 19). Bayeux Museum. https://www.bayeuxmuseum.com/en/the-bayeux-tapestry/</w:t>
      </w:r>
    </w:p>
  </w:footnote>
  <w:footnote w:id="3">
    <w:p w14:paraId="70E57DDD" w14:textId="4D01225A" w:rsidR="00094166" w:rsidRDefault="00094166">
      <w:pPr>
        <w:pStyle w:val="FootnoteText"/>
      </w:pPr>
      <w:r>
        <w:rPr>
          <w:rStyle w:val="FootnoteReference"/>
        </w:rPr>
        <w:footnoteRef/>
      </w:r>
      <w:r>
        <w:t xml:space="preserve"> </w:t>
      </w:r>
      <w:r w:rsidRPr="00094166">
        <w:t xml:space="preserve">Henderson, A. (2016). </w:t>
      </w:r>
      <w:r w:rsidRPr="00094166">
        <w:rPr>
          <w:i/>
          <w:iCs/>
        </w:rPr>
        <w:t>Making sense of the Bayeux Tapestry: Readings and reworkings (Studies in Design and Material Culture)</w:t>
      </w:r>
      <w:r w:rsidRPr="00094166">
        <w:t xml:space="preserve"> (1st ed.). Manchester University Press.</w:t>
      </w:r>
      <w:r>
        <w:t xml:space="preserve"> p.55</w:t>
      </w:r>
    </w:p>
  </w:footnote>
  <w:footnote w:id="4">
    <w:p w14:paraId="4F3A157F" w14:textId="6DA58F02" w:rsidR="008308E7" w:rsidRDefault="008308E7">
      <w:pPr>
        <w:pStyle w:val="FootnoteText"/>
      </w:pPr>
      <w:r>
        <w:rPr>
          <w:rStyle w:val="FootnoteReference"/>
        </w:rPr>
        <w:footnoteRef/>
      </w:r>
      <w:r w:rsidRPr="008308E7">
        <w:t>Musgrove, D., &amp; Lewis, M. (2021</w:t>
      </w:r>
      <w:r w:rsidRPr="008308E7">
        <w:rPr>
          <w:i/>
          <w:iCs/>
        </w:rPr>
        <w:t>). The Story of the Bayeux Tapestry: Unravel</w:t>
      </w:r>
      <w:r w:rsidR="006E40E9">
        <w:rPr>
          <w:i/>
          <w:iCs/>
        </w:rPr>
        <w:t>l</w:t>
      </w:r>
      <w:r w:rsidRPr="008308E7">
        <w:rPr>
          <w:i/>
          <w:iCs/>
        </w:rPr>
        <w:t>ing the Norman Conquest</w:t>
      </w:r>
      <w:r w:rsidRPr="008308E7">
        <w:t xml:space="preserve"> (1st ed.). Thames &amp; Hudson.</w:t>
      </w:r>
      <w:r>
        <w:t xml:space="preserve"> p.50</w:t>
      </w:r>
    </w:p>
  </w:footnote>
  <w:footnote w:id="5">
    <w:p w14:paraId="2C2F5405" w14:textId="35D77428" w:rsidR="00D23F4B" w:rsidRDefault="00D23F4B">
      <w:pPr>
        <w:pStyle w:val="FootnoteText"/>
      </w:pPr>
      <w:r>
        <w:rPr>
          <w:rStyle w:val="FootnoteReference"/>
        </w:rPr>
        <w:footnoteRef/>
      </w:r>
      <w:r>
        <w:t xml:space="preserve"> </w:t>
      </w:r>
      <w:r w:rsidRPr="00D23F4B">
        <w:t xml:space="preserve">Henderson, A. (2016a). Item, </w:t>
      </w:r>
      <w:proofErr w:type="spellStart"/>
      <w:r w:rsidRPr="00D23F4B">
        <w:t>une</w:t>
      </w:r>
      <w:proofErr w:type="spellEnd"/>
      <w:r w:rsidRPr="00D23F4B">
        <w:t xml:space="preserve"> </w:t>
      </w:r>
      <w:proofErr w:type="spellStart"/>
      <w:r w:rsidRPr="00D23F4B">
        <w:t>tente</w:t>
      </w:r>
      <w:proofErr w:type="spellEnd"/>
      <w:r w:rsidRPr="00D23F4B">
        <w:t xml:space="preserve"> </w:t>
      </w:r>
      <w:proofErr w:type="spellStart"/>
      <w:r w:rsidRPr="00D23F4B">
        <w:t>tres</w:t>
      </w:r>
      <w:proofErr w:type="spellEnd"/>
      <w:r w:rsidRPr="00D23F4B">
        <w:t>-longue: the inventory of Bayeux Cathedral and its implications for that textile. In E. C. Pastan (Ed.), Making sense of the Bayeux Tapestry: Readings and reworkings (Studies in Design and Material Culture) (1st ed., pp. 113–132). Manchester University Press.</w:t>
      </w:r>
    </w:p>
  </w:footnote>
  <w:footnote w:id="6">
    <w:p w14:paraId="3E07407A" w14:textId="77777777" w:rsidR="00B013CD" w:rsidRPr="00B013CD" w:rsidRDefault="00B013CD" w:rsidP="00B013CD">
      <w:pPr>
        <w:pStyle w:val="FootnoteText"/>
      </w:pPr>
      <w:r>
        <w:rPr>
          <w:rStyle w:val="FootnoteReference"/>
        </w:rPr>
        <w:footnoteRef/>
      </w:r>
      <w:r>
        <w:t xml:space="preserve"> </w:t>
      </w:r>
      <w:r w:rsidRPr="00B013CD">
        <w:t xml:space="preserve">Pastan, E. (2011). Building Stories, The Representation of Architecture in the Bayeux Embroidery. </w:t>
      </w:r>
      <w:r w:rsidRPr="00B013CD">
        <w:rPr>
          <w:i/>
          <w:iCs/>
        </w:rPr>
        <w:t>Anglo-Norman Studies</w:t>
      </w:r>
      <w:r w:rsidRPr="00B013CD">
        <w:t xml:space="preserve">, </w:t>
      </w:r>
      <w:r w:rsidRPr="00B013CD">
        <w:rPr>
          <w:i/>
          <w:iCs/>
        </w:rPr>
        <w:t>33</w:t>
      </w:r>
      <w:r w:rsidRPr="00B013CD">
        <w:t>, 150–185. https://www.academia.edu/41724298/Building_Stories_The_Representation_of_Architecture_in_the_Bayeux_Embroidery</w:t>
      </w:r>
    </w:p>
    <w:p w14:paraId="1783C53F" w14:textId="37414B62" w:rsidR="00B013CD" w:rsidRDefault="00B013CD">
      <w:pPr>
        <w:pStyle w:val="FootnoteText"/>
      </w:pPr>
    </w:p>
  </w:footnote>
  <w:footnote w:id="7">
    <w:p w14:paraId="5A6D4422" w14:textId="77777777" w:rsidR="009414A8" w:rsidRPr="009414A8" w:rsidRDefault="009414A8" w:rsidP="009414A8">
      <w:pPr>
        <w:pStyle w:val="FootnoteText"/>
      </w:pPr>
      <w:r>
        <w:rPr>
          <w:rStyle w:val="FootnoteReference"/>
        </w:rPr>
        <w:footnoteRef/>
      </w:r>
      <w:r>
        <w:t xml:space="preserve"> </w:t>
      </w:r>
      <w:r w:rsidRPr="009414A8">
        <w:t xml:space="preserve">Henderson, A. (2016c). Making sense of the Bayeux Tapestry: Readings and reworkings (Studies in Design and Material Culture). In G. R. Owen-Crocker (Ed.), </w:t>
      </w:r>
      <w:r w:rsidRPr="009414A8">
        <w:rPr>
          <w:i/>
          <w:iCs/>
        </w:rPr>
        <w:t>Colour and Imagination in the Bayeux Tapestry</w:t>
      </w:r>
      <w:r w:rsidRPr="009414A8">
        <w:t xml:space="preserve"> (pp. 41–54). Manchester University Press.</w:t>
      </w:r>
    </w:p>
    <w:p w14:paraId="2C67E555" w14:textId="2CDBB1A8" w:rsidR="009414A8" w:rsidRDefault="009414A8">
      <w:pPr>
        <w:pStyle w:val="FootnoteText"/>
      </w:pPr>
    </w:p>
  </w:footnote>
  <w:footnote w:id="8">
    <w:p w14:paraId="5D46F6E3" w14:textId="20288A63" w:rsidR="00F5691B" w:rsidRDefault="00F5691B">
      <w:pPr>
        <w:pStyle w:val="FootnoteText"/>
      </w:pPr>
      <w:r>
        <w:rPr>
          <w:rStyle w:val="FootnoteReference"/>
        </w:rPr>
        <w:footnoteRef/>
      </w:r>
      <w:r>
        <w:t xml:space="preserve"> </w:t>
      </w:r>
      <w:r w:rsidRPr="00F5691B">
        <w:t>Musgrove, D., &amp; Lewis, M. (2021). The Story of the Bayeux Tapestry: Unrave</w:t>
      </w:r>
      <w:r w:rsidR="00265C06">
        <w:t>l</w:t>
      </w:r>
      <w:r w:rsidRPr="00F5691B">
        <w:t>ling the Norman Conquest (1st ed.). Thames &amp; Hudson.</w:t>
      </w:r>
      <w:r>
        <w:t xml:space="preserve"> p.17.</w:t>
      </w:r>
    </w:p>
  </w:footnote>
  <w:footnote w:id="9">
    <w:p w14:paraId="02AB8416" w14:textId="77A73A66" w:rsidR="008A7AEA" w:rsidRPr="008A7AEA" w:rsidRDefault="008A7AEA" w:rsidP="008A7AEA">
      <w:pPr>
        <w:pStyle w:val="FootnoteText"/>
      </w:pPr>
      <w:r>
        <w:rPr>
          <w:rStyle w:val="FootnoteReference"/>
        </w:rPr>
        <w:footnoteRef/>
      </w:r>
      <w:r>
        <w:t xml:space="preserve"> </w:t>
      </w:r>
      <w:r w:rsidRPr="008A7AEA">
        <w:t xml:space="preserve">Musgrove, D., &amp; Lewis, M. (2021). </w:t>
      </w:r>
      <w:r w:rsidRPr="008A7AEA">
        <w:rPr>
          <w:i/>
          <w:iCs/>
        </w:rPr>
        <w:t xml:space="preserve">The Story of the Bayeux Tapestry: </w:t>
      </w:r>
      <w:proofErr w:type="spellStart"/>
      <w:r w:rsidRPr="008A7AEA">
        <w:rPr>
          <w:i/>
          <w:iCs/>
        </w:rPr>
        <w:t>Unraveling</w:t>
      </w:r>
      <w:proofErr w:type="spellEnd"/>
      <w:r w:rsidRPr="008A7AEA">
        <w:rPr>
          <w:i/>
          <w:iCs/>
        </w:rPr>
        <w:t xml:space="preserve"> the Norman Conquest</w:t>
      </w:r>
      <w:r w:rsidRPr="008A7AEA">
        <w:t xml:space="preserve"> (1st ed.). Thames &amp; Hudson.</w:t>
      </w:r>
      <w:r>
        <w:t xml:space="preserve"> p.171.</w:t>
      </w:r>
    </w:p>
    <w:p w14:paraId="0F7A3BF6" w14:textId="08F6F592" w:rsidR="008A7AEA" w:rsidRDefault="008A7AEA">
      <w:pPr>
        <w:pStyle w:val="FootnoteText"/>
      </w:pPr>
    </w:p>
  </w:footnote>
  <w:footnote w:id="10">
    <w:p w14:paraId="1BB82CF8" w14:textId="0B67A519" w:rsidR="00385AB9" w:rsidRPr="00385AB9" w:rsidRDefault="00385AB9" w:rsidP="00385AB9">
      <w:pPr>
        <w:pStyle w:val="FootnoteText"/>
      </w:pPr>
      <w:r>
        <w:rPr>
          <w:rStyle w:val="FootnoteReference"/>
        </w:rPr>
        <w:footnoteRef/>
      </w:r>
      <w:r>
        <w:t xml:space="preserve"> </w:t>
      </w:r>
      <w:r w:rsidRPr="00385AB9">
        <w:t xml:space="preserve">Musgrove, D., &amp; Lewis, M. (2021). </w:t>
      </w:r>
      <w:r w:rsidRPr="00385AB9">
        <w:rPr>
          <w:i/>
          <w:iCs/>
        </w:rPr>
        <w:t xml:space="preserve">The Story of the Bayeux Tapestry: </w:t>
      </w:r>
      <w:proofErr w:type="spellStart"/>
      <w:r w:rsidRPr="00385AB9">
        <w:rPr>
          <w:i/>
          <w:iCs/>
        </w:rPr>
        <w:t>Unraveling</w:t>
      </w:r>
      <w:proofErr w:type="spellEnd"/>
      <w:r w:rsidRPr="00385AB9">
        <w:rPr>
          <w:i/>
          <w:iCs/>
        </w:rPr>
        <w:t xml:space="preserve"> the Norman Conquest</w:t>
      </w:r>
      <w:r w:rsidRPr="00385AB9">
        <w:t xml:space="preserve"> (1st ed.). Thames &amp; Hudson.</w:t>
      </w:r>
      <w:r>
        <w:t xml:space="preserve"> p.175</w:t>
      </w:r>
    </w:p>
    <w:p w14:paraId="1EE2DB32" w14:textId="03A1F9A5" w:rsidR="00385AB9" w:rsidRDefault="00385AB9">
      <w:pPr>
        <w:pStyle w:val="FootnoteText"/>
      </w:pPr>
    </w:p>
  </w:footnote>
  <w:footnote w:id="11">
    <w:p w14:paraId="6309BA5D" w14:textId="0D0C806B" w:rsidR="00385AB9" w:rsidRDefault="00385AB9">
      <w:pPr>
        <w:pStyle w:val="FootnoteText"/>
      </w:pPr>
      <w:r>
        <w:rPr>
          <w:rStyle w:val="FootnoteReference"/>
        </w:rPr>
        <w:footnoteRef/>
      </w:r>
      <w:r>
        <w:t xml:space="preserve"> </w:t>
      </w:r>
      <w:r w:rsidRPr="00385AB9">
        <w:t xml:space="preserve">  </w:t>
      </w:r>
      <w:bookmarkStart w:id="0" w:name="_Hlk70704419"/>
      <w:r w:rsidRPr="00385AB9">
        <w:t xml:space="preserve">William of Poitiers, </w:t>
      </w:r>
      <w:r w:rsidRPr="00A92CBB">
        <w:rPr>
          <w:i/>
          <w:iCs/>
        </w:rPr>
        <w:t xml:space="preserve">Gesta </w:t>
      </w:r>
      <w:proofErr w:type="spellStart"/>
      <w:r w:rsidRPr="00A92CBB">
        <w:rPr>
          <w:i/>
          <w:iCs/>
        </w:rPr>
        <w:t>Willelmi</w:t>
      </w:r>
      <w:proofErr w:type="spellEnd"/>
      <w:r w:rsidRPr="00A92CBB">
        <w:rPr>
          <w:i/>
          <w:iCs/>
        </w:rPr>
        <w:t xml:space="preserve"> </w:t>
      </w:r>
      <w:proofErr w:type="spellStart"/>
      <w:r w:rsidRPr="00A92CBB">
        <w:rPr>
          <w:i/>
          <w:iCs/>
        </w:rPr>
        <w:t>ducis</w:t>
      </w:r>
      <w:proofErr w:type="spellEnd"/>
      <w:r w:rsidRPr="00A92CBB">
        <w:rPr>
          <w:i/>
          <w:iCs/>
        </w:rPr>
        <w:t xml:space="preserve"> </w:t>
      </w:r>
      <w:proofErr w:type="spellStart"/>
      <w:r w:rsidRPr="00A92CBB">
        <w:rPr>
          <w:i/>
          <w:iCs/>
        </w:rPr>
        <w:t>Normannorum</w:t>
      </w:r>
      <w:proofErr w:type="spellEnd"/>
      <w:r w:rsidRPr="00A92CBB">
        <w:rPr>
          <w:i/>
          <w:iCs/>
        </w:rPr>
        <w:t xml:space="preserve"> et </w:t>
      </w:r>
      <w:proofErr w:type="spellStart"/>
      <w:r w:rsidRPr="00A92CBB">
        <w:rPr>
          <w:i/>
          <w:iCs/>
        </w:rPr>
        <w:t>regis</w:t>
      </w:r>
      <w:proofErr w:type="spellEnd"/>
      <w:r w:rsidRPr="00A92CBB">
        <w:rPr>
          <w:i/>
          <w:iCs/>
        </w:rPr>
        <w:t xml:space="preserve"> </w:t>
      </w:r>
      <w:proofErr w:type="spellStart"/>
      <w:r w:rsidRPr="00A92CBB">
        <w:rPr>
          <w:i/>
          <w:iCs/>
        </w:rPr>
        <w:t>Anglorum</w:t>
      </w:r>
      <w:proofErr w:type="spellEnd"/>
      <w:r w:rsidRPr="00385AB9">
        <w:t xml:space="preserve"> (Course Handbook)</w:t>
      </w:r>
      <w:bookmarkEnd w:id="0"/>
    </w:p>
  </w:footnote>
  <w:footnote w:id="12">
    <w:p w14:paraId="6A4EAD40" w14:textId="77777777" w:rsidR="00112BE1" w:rsidRPr="00112BE1" w:rsidRDefault="00112BE1" w:rsidP="00112BE1">
      <w:pPr>
        <w:pStyle w:val="FootnoteText"/>
      </w:pPr>
      <w:r>
        <w:rPr>
          <w:rStyle w:val="FootnoteReference"/>
        </w:rPr>
        <w:footnoteRef/>
      </w:r>
      <w:r>
        <w:t xml:space="preserve"> </w:t>
      </w:r>
      <w:r w:rsidRPr="00112BE1">
        <w:t xml:space="preserve">Henderson, A. (2016a). Colour and Imagination in the Bayeux Tapestry. In G. R. Owen-Crocker (Ed.), </w:t>
      </w:r>
      <w:r w:rsidRPr="00112BE1">
        <w:rPr>
          <w:i/>
          <w:iCs/>
        </w:rPr>
        <w:t>Making sense of the Bayeux Tapestry Readings and Re-workings</w:t>
      </w:r>
      <w:r w:rsidRPr="00112BE1">
        <w:t xml:space="preserve"> (1st ed., pp. 41–54). Manchester University Press.</w:t>
      </w:r>
    </w:p>
    <w:p w14:paraId="08072188" w14:textId="67596044" w:rsidR="00112BE1" w:rsidRDefault="00112BE1">
      <w:pPr>
        <w:pStyle w:val="FootnoteText"/>
      </w:pPr>
    </w:p>
  </w:footnote>
  <w:footnote w:id="13">
    <w:p w14:paraId="581AE7E4" w14:textId="38BA1279" w:rsidR="00FC55C7" w:rsidRPr="00FC55C7" w:rsidRDefault="00FC55C7" w:rsidP="00FC55C7">
      <w:pPr>
        <w:pStyle w:val="FootnoteText"/>
      </w:pPr>
      <w:r>
        <w:rPr>
          <w:rStyle w:val="FootnoteReference"/>
        </w:rPr>
        <w:footnoteRef/>
      </w:r>
      <w:r>
        <w:t xml:space="preserve"> </w:t>
      </w:r>
      <w:r w:rsidRPr="00FC55C7">
        <w:t xml:space="preserve">Musgrove, D., &amp; Lewis, M. (2021). </w:t>
      </w:r>
      <w:r w:rsidRPr="00FC55C7">
        <w:rPr>
          <w:i/>
          <w:iCs/>
        </w:rPr>
        <w:t xml:space="preserve">The Story of the Bayeux Tapestry: </w:t>
      </w:r>
      <w:proofErr w:type="spellStart"/>
      <w:r w:rsidRPr="00FC55C7">
        <w:rPr>
          <w:i/>
          <w:iCs/>
        </w:rPr>
        <w:t>Unraveling</w:t>
      </w:r>
      <w:proofErr w:type="spellEnd"/>
      <w:r w:rsidRPr="00FC55C7">
        <w:rPr>
          <w:i/>
          <w:iCs/>
        </w:rPr>
        <w:t xml:space="preserve"> the Norman Conquest</w:t>
      </w:r>
      <w:r w:rsidRPr="00FC55C7">
        <w:t xml:space="preserve"> (1st ed.). Thames &amp; Hudson.</w:t>
      </w:r>
      <w:r>
        <w:t xml:space="preserve"> p.251.</w:t>
      </w:r>
    </w:p>
    <w:p w14:paraId="2206B8A7" w14:textId="1B3EF5BD" w:rsidR="00FC55C7" w:rsidRDefault="00FC55C7">
      <w:pPr>
        <w:pStyle w:val="FootnoteText"/>
      </w:pPr>
    </w:p>
  </w:footnote>
  <w:footnote w:id="14">
    <w:p w14:paraId="6DE965EC" w14:textId="16632ACF" w:rsidR="00F25388" w:rsidRPr="00F25388" w:rsidRDefault="00F25388" w:rsidP="00F25388">
      <w:pPr>
        <w:pStyle w:val="FootnoteText"/>
      </w:pPr>
      <w:r>
        <w:rPr>
          <w:rStyle w:val="FootnoteReference"/>
        </w:rPr>
        <w:footnoteRef/>
      </w:r>
      <w:r>
        <w:t xml:space="preserve"> </w:t>
      </w:r>
      <w:r w:rsidRPr="00F25388">
        <w:t xml:space="preserve">Musgrove, D., &amp; Lewis, M. (2021). </w:t>
      </w:r>
      <w:r w:rsidRPr="00F25388">
        <w:rPr>
          <w:i/>
          <w:iCs/>
        </w:rPr>
        <w:t xml:space="preserve">The Story of the Bayeux Tapestry: </w:t>
      </w:r>
      <w:proofErr w:type="spellStart"/>
      <w:r w:rsidRPr="00F25388">
        <w:rPr>
          <w:i/>
          <w:iCs/>
        </w:rPr>
        <w:t>Unraveling</w:t>
      </w:r>
      <w:proofErr w:type="spellEnd"/>
      <w:r w:rsidRPr="00F25388">
        <w:rPr>
          <w:i/>
          <w:iCs/>
        </w:rPr>
        <w:t xml:space="preserve"> the Norman Conquest</w:t>
      </w:r>
      <w:r w:rsidRPr="00F25388">
        <w:t xml:space="preserve"> (1st ed.). Thames &amp; Hudson.</w:t>
      </w:r>
      <w:r>
        <w:t xml:space="preserve"> p.281.</w:t>
      </w:r>
    </w:p>
    <w:p w14:paraId="17D80452" w14:textId="2DF7FE74" w:rsidR="00F25388" w:rsidRDefault="00F25388">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608"/>
    <w:rsid w:val="000214CC"/>
    <w:rsid w:val="00041080"/>
    <w:rsid w:val="00044775"/>
    <w:rsid w:val="00056843"/>
    <w:rsid w:val="00066EC3"/>
    <w:rsid w:val="00073C21"/>
    <w:rsid w:val="00073EC7"/>
    <w:rsid w:val="00094166"/>
    <w:rsid w:val="000C64C3"/>
    <w:rsid w:val="00112BE1"/>
    <w:rsid w:val="00143B2F"/>
    <w:rsid w:val="001944E1"/>
    <w:rsid w:val="001B7BF2"/>
    <w:rsid w:val="001E3472"/>
    <w:rsid w:val="00207151"/>
    <w:rsid w:val="00257608"/>
    <w:rsid w:val="00265C06"/>
    <w:rsid w:val="00286EF8"/>
    <w:rsid w:val="00380A66"/>
    <w:rsid w:val="00385AB9"/>
    <w:rsid w:val="00404D30"/>
    <w:rsid w:val="004B376D"/>
    <w:rsid w:val="005257B7"/>
    <w:rsid w:val="00537669"/>
    <w:rsid w:val="00566B4B"/>
    <w:rsid w:val="00626903"/>
    <w:rsid w:val="006654CC"/>
    <w:rsid w:val="006B4FF1"/>
    <w:rsid w:val="006C3154"/>
    <w:rsid w:val="006C60E5"/>
    <w:rsid w:val="006E40E9"/>
    <w:rsid w:val="007C14F4"/>
    <w:rsid w:val="007D635E"/>
    <w:rsid w:val="008308E7"/>
    <w:rsid w:val="00845D2F"/>
    <w:rsid w:val="008A7AEA"/>
    <w:rsid w:val="008D617E"/>
    <w:rsid w:val="0093519B"/>
    <w:rsid w:val="009414A8"/>
    <w:rsid w:val="009902A0"/>
    <w:rsid w:val="009E2692"/>
    <w:rsid w:val="00A92CBB"/>
    <w:rsid w:val="00A93799"/>
    <w:rsid w:val="00AB7C20"/>
    <w:rsid w:val="00AF1144"/>
    <w:rsid w:val="00B013CD"/>
    <w:rsid w:val="00BD1692"/>
    <w:rsid w:val="00BD45A9"/>
    <w:rsid w:val="00C174EA"/>
    <w:rsid w:val="00C46C5A"/>
    <w:rsid w:val="00C56EF0"/>
    <w:rsid w:val="00C74879"/>
    <w:rsid w:val="00CE01F9"/>
    <w:rsid w:val="00CE3D2A"/>
    <w:rsid w:val="00CE54D0"/>
    <w:rsid w:val="00CF5573"/>
    <w:rsid w:val="00D12298"/>
    <w:rsid w:val="00D23F4B"/>
    <w:rsid w:val="00D24084"/>
    <w:rsid w:val="00D3045A"/>
    <w:rsid w:val="00D44921"/>
    <w:rsid w:val="00D546B1"/>
    <w:rsid w:val="00DA02C2"/>
    <w:rsid w:val="00DB2B4C"/>
    <w:rsid w:val="00E13DD0"/>
    <w:rsid w:val="00E15B00"/>
    <w:rsid w:val="00E302EE"/>
    <w:rsid w:val="00F24DB7"/>
    <w:rsid w:val="00F25388"/>
    <w:rsid w:val="00F5691B"/>
    <w:rsid w:val="00FB2196"/>
    <w:rsid w:val="00FC118B"/>
    <w:rsid w:val="00FC55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1E305"/>
  <w15:chartTrackingRefBased/>
  <w15:docId w15:val="{2B96162C-D3DE-4C93-9759-5C3C3B05AE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2690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26903"/>
    <w:rPr>
      <w:sz w:val="20"/>
      <w:szCs w:val="20"/>
    </w:rPr>
  </w:style>
  <w:style w:type="character" w:styleId="FootnoteReference">
    <w:name w:val="footnote reference"/>
    <w:basedOn w:val="DefaultParagraphFont"/>
    <w:uiPriority w:val="99"/>
    <w:semiHidden/>
    <w:unhideWhenUsed/>
    <w:rsid w:val="00626903"/>
    <w:rPr>
      <w:vertAlign w:val="superscript"/>
    </w:rPr>
  </w:style>
  <w:style w:type="paragraph" w:styleId="NormalWeb">
    <w:name w:val="Normal (Web)"/>
    <w:basedOn w:val="Normal"/>
    <w:uiPriority w:val="99"/>
    <w:unhideWhenUsed/>
    <w:rsid w:val="006C60E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45D2F"/>
    <w:rPr>
      <w:color w:val="0563C1" w:themeColor="hyperlink"/>
      <w:u w:val="single"/>
    </w:rPr>
  </w:style>
  <w:style w:type="character" w:styleId="UnresolvedMention">
    <w:name w:val="Unresolved Mention"/>
    <w:basedOn w:val="DefaultParagraphFont"/>
    <w:uiPriority w:val="99"/>
    <w:semiHidden/>
    <w:unhideWhenUsed/>
    <w:rsid w:val="00845D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716889">
      <w:bodyDiv w:val="1"/>
      <w:marLeft w:val="0"/>
      <w:marRight w:val="0"/>
      <w:marTop w:val="0"/>
      <w:marBottom w:val="0"/>
      <w:divBdr>
        <w:top w:val="none" w:sz="0" w:space="0" w:color="auto"/>
        <w:left w:val="none" w:sz="0" w:space="0" w:color="auto"/>
        <w:bottom w:val="none" w:sz="0" w:space="0" w:color="auto"/>
        <w:right w:val="none" w:sz="0" w:space="0" w:color="auto"/>
      </w:divBdr>
    </w:div>
    <w:div w:id="751049484">
      <w:bodyDiv w:val="1"/>
      <w:marLeft w:val="0"/>
      <w:marRight w:val="0"/>
      <w:marTop w:val="0"/>
      <w:marBottom w:val="0"/>
      <w:divBdr>
        <w:top w:val="none" w:sz="0" w:space="0" w:color="auto"/>
        <w:left w:val="none" w:sz="0" w:space="0" w:color="auto"/>
        <w:bottom w:val="none" w:sz="0" w:space="0" w:color="auto"/>
        <w:right w:val="none" w:sz="0" w:space="0" w:color="auto"/>
      </w:divBdr>
    </w:div>
    <w:div w:id="758990167">
      <w:bodyDiv w:val="1"/>
      <w:marLeft w:val="0"/>
      <w:marRight w:val="0"/>
      <w:marTop w:val="0"/>
      <w:marBottom w:val="0"/>
      <w:divBdr>
        <w:top w:val="none" w:sz="0" w:space="0" w:color="auto"/>
        <w:left w:val="none" w:sz="0" w:space="0" w:color="auto"/>
        <w:bottom w:val="none" w:sz="0" w:space="0" w:color="auto"/>
        <w:right w:val="none" w:sz="0" w:space="0" w:color="auto"/>
      </w:divBdr>
    </w:div>
    <w:div w:id="812453341">
      <w:bodyDiv w:val="1"/>
      <w:marLeft w:val="0"/>
      <w:marRight w:val="0"/>
      <w:marTop w:val="0"/>
      <w:marBottom w:val="0"/>
      <w:divBdr>
        <w:top w:val="none" w:sz="0" w:space="0" w:color="auto"/>
        <w:left w:val="none" w:sz="0" w:space="0" w:color="auto"/>
        <w:bottom w:val="none" w:sz="0" w:space="0" w:color="auto"/>
        <w:right w:val="none" w:sz="0" w:space="0" w:color="auto"/>
      </w:divBdr>
    </w:div>
    <w:div w:id="914896794">
      <w:bodyDiv w:val="1"/>
      <w:marLeft w:val="0"/>
      <w:marRight w:val="0"/>
      <w:marTop w:val="0"/>
      <w:marBottom w:val="0"/>
      <w:divBdr>
        <w:top w:val="none" w:sz="0" w:space="0" w:color="auto"/>
        <w:left w:val="none" w:sz="0" w:space="0" w:color="auto"/>
        <w:bottom w:val="none" w:sz="0" w:space="0" w:color="auto"/>
        <w:right w:val="none" w:sz="0" w:space="0" w:color="auto"/>
      </w:divBdr>
    </w:div>
    <w:div w:id="1198541382">
      <w:bodyDiv w:val="1"/>
      <w:marLeft w:val="0"/>
      <w:marRight w:val="0"/>
      <w:marTop w:val="0"/>
      <w:marBottom w:val="0"/>
      <w:divBdr>
        <w:top w:val="none" w:sz="0" w:space="0" w:color="auto"/>
        <w:left w:val="none" w:sz="0" w:space="0" w:color="auto"/>
        <w:bottom w:val="none" w:sz="0" w:space="0" w:color="auto"/>
        <w:right w:val="none" w:sz="0" w:space="0" w:color="auto"/>
      </w:divBdr>
    </w:div>
    <w:div w:id="1252658745">
      <w:bodyDiv w:val="1"/>
      <w:marLeft w:val="0"/>
      <w:marRight w:val="0"/>
      <w:marTop w:val="0"/>
      <w:marBottom w:val="0"/>
      <w:divBdr>
        <w:top w:val="none" w:sz="0" w:space="0" w:color="auto"/>
        <w:left w:val="none" w:sz="0" w:space="0" w:color="auto"/>
        <w:bottom w:val="none" w:sz="0" w:space="0" w:color="auto"/>
        <w:right w:val="none" w:sz="0" w:space="0" w:color="auto"/>
      </w:divBdr>
    </w:div>
    <w:div w:id="1395008692">
      <w:bodyDiv w:val="1"/>
      <w:marLeft w:val="0"/>
      <w:marRight w:val="0"/>
      <w:marTop w:val="0"/>
      <w:marBottom w:val="0"/>
      <w:divBdr>
        <w:top w:val="none" w:sz="0" w:space="0" w:color="auto"/>
        <w:left w:val="none" w:sz="0" w:space="0" w:color="auto"/>
        <w:bottom w:val="none" w:sz="0" w:space="0" w:color="auto"/>
        <w:right w:val="none" w:sz="0" w:space="0" w:color="auto"/>
      </w:divBdr>
    </w:div>
    <w:div w:id="1662540867">
      <w:bodyDiv w:val="1"/>
      <w:marLeft w:val="0"/>
      <w:marRight w:val="0"/>
      <w:marTop w:val="0"/>
      <w:marBottom w:val="0"/>
      <w:divBdr>
        <w:top w:val="none" w:sz="0" w:space="0" w:color="auto"/>
        <w:left w:val="none" w:sz="0" w:space="0" w:color="auto"/>
        <w:bottom w:val="none" w:sz="0" w:space="0" w:color="auto"/>
        <w:right w:val="none" w:sz="0" w:space="0" w:color="auto"/>
      </w:divBdr>
    </w:div>
    <w:div w:id="1734545150">
      <w:bodyDiv w:val="1"/>
      <w:marLeft w:val="0"/>
      <w:marRight w:val="0"/>
      <w:marTop w:val="0"/>
      <w:marBottom w:val="0"/>
      <w:divBdr>
        <w:top w:val="none" w:sz="0" w:space="0" w:color="auto"/>
        <w:left w:val="none" w:sz="0" w:space="0" w:color="auto"/>
        <w:bottom w:val="none" w:sz="0" w:space="0" w:color="auto"/>
        <w:right w:val="none" w:sz="0" w:space="0" w:color="auto"/>
      </w:divBdr>
    </w:div>
    <w:div w:id="1787845547">
      <w:bodyDiv w:val="1"/>
      <w:marLeft w:val="0"/>
      <w:marRight w:val="0"/>
      <w:marTop w:val="0"/>
      <w:marBottom w:val="0"/>
      <w:divBdr>
        <w:top w:val="none" w:sz="0" w:space="0" w:color="auto"/>
        <w:left w:val="none" w:sz="0" w:space="0" w:color="auto"/>
        <w:bottom w:val="none" w:sz="0" w:space="0" w:color="auto"/>
        <w:right w:val="none" w:sz="0" w:space="0" w:color="auto"/>
      </w:divBdr>
    </w:div>
    <w:div w:id="1975911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FE18C7-B1F4-4100-B6DB-7380429E1B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9</Pages>
  <Words>1651</Words>
  <Characters>9415</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Louise Mann (1602593)</dc:creator>
  <cp:keywords/>
  <dc:description/>
  <cp:lastModifiedBy>Claire Louise Mann (1602593)</cp:lastModifiedBy>
  <cp:revision>6</cp:revision>
  <dcterms:created xsi:type="dcterms:W3CDTF">2021-04-30T18:59:00Z</dcterms:created>
  <dcterms:modified xsi:type="dcterms:W3CDTF">2021-04-30T19:56:00Z</dcterms:modified>
</cp:coreProperties>
</file>