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A5EB36" w14:textId="77777777" w:rsidR="001D4E75" w:rsidRDefault="001D4E75" w:rsidP="001D4E75">
      <w:pPr>
        <w:rPr>
          <w:b/>
          <w:bCs/>
          <w:u w:val="single"/>
        </w:rPr>
      </w:pPr>
    </w:p>
    <w:p w14:paraId="6BF8A88D" w14:textId="77777777" w:rsidR="001D4E75" w:rsidRDefault="001D4E75" w:rsidP="001D4E75">
      <w:pPr>
        <w:rPr>
          <w:b/>
          <w:bCs/>
          <w:u w:val="single"/>
        </w:rPr>
      </w:pPr>
    </w:p>
    <w:p w14:paraId="375FC6EF" w14:textId="77777777" w:rsidR="001D4E75" w:rsidRDefault="001D4E75" w:rsidP="001D4E75">
      <w:pPr>
        <w:rPr>
          <w:b/>
          <w:bCs/>
          <w:u w:val="single"/>
        </w:rPr>
      </w:pPr>
    </w:p>
    <w:p w14:paraId="1AD5CCF2" w14:textId="77777777" w:rsidR="001D4E75" w:rsidRDefault="001D4E75" w:rsidP="001D4E75">
      <w:pPr>
        <w:rPr>
          <w:b/>
          <w:bCs/>
          <w:u w:val="single"/>
        </w:rPr>
      </w:pPr>
    </w:p>
    <w:p w14:paraId="60C055B4" w14:textId="77777777" w:rsidR="001D4E75" w:rsidRDefault="001D4E75" w:rsidP="001D4E75">
      <w:pPr>
        <w:rPr>
          <w:b/>
          <w:bCs/>
          <w:u w:val="single"/>
        </w:rPr>
      </w:pPr>
    </w:p>
    <w:p w14:paraId="42978D9F" w14:textId="77777777" w:rsidR="001D4E75" w:rsidRDefault="001D4E75" w:rsidP="001D4E75">
      <w:pPr>
        <w:rPr>
          <w:b/>
          <w:bCs/>
          <w:u w:val="single"/>
        </w:rPr>
      </w:pPr>
    </w:p>
    <w:p w14:paraId="4AA297F1" w14:textId="77777777" w:rsidR="001D4E75" w:rsidRDefault="001D4E75" w:rsidP="001D4E75">
      <w:pPr>
        <w:rPr>
          <w:b/>
          <w:bCs/>
          <w:u w:val="single"/>
        </w:rPr>
      </w:pPr>
    </w:p>
    <w:p w14:paraId="0CB31801" w14:textId="77777777" w:rsidR="001D4E75" w:rsidRDefault="001D4E75" w:rsidP="001D4E75">
      <w:pPr>
        <w:rPr>
          <w:b/>
          <w:bCs/>
          <w:u w:val="single"/>
        </w:rPr>
      </w:pPr>
    </w:p>
    <w:p w14:paraId="7052778D" w14:textId="77777777" w:rsidR="001D4E75" w:rsidRDefault="001D4E75" w:rsidP="001D4E75">
      <w:pPr>
        <w:rPr>
          <w:b/>
          <w:bCs/>
          <w:u w:val="single"/>
        </w:rPr>
      </w:pPr>
    </w:p>
    <w:p w14:paraId="60E72BA8" w14:textId="77777777" w:rsidR="001D4E75" w:rsidRDefault="001D4E75" w:rsidP="001D4E75">
      <w:pPr>
        <w:rPr>
          <w:b/>
          <w:bCs/>
          <w:u w:val="single"/>
        </w:rPr>
      </w:pPr>
    </w:p>
    <w:p w14:paraId="743BB57F" w14:textId="77777777" w:rsidR="001D4E75" w:rsidRDefault="001D4E75" w:rsidP="001D4E75">
      <w:pPr>
        <w:rPr>
          <w:b/>
          <w:bCs/>
          <w:u w:val="single"/>
        </w:rPr>
      </w:pPr>
    </w:p>
    <w:p w14:paraId="18DC46E0" w14:textId="77777777" w:rsidR="001D4E75" w:rsidRDefault="001D4E75" w:rsidP="001D4E75">
      <w:pPr>
        <w:rPr>
          <w:b/>
          <w:bCs/>
          <w:u w:val="single"/>
        </w:rPr>
      </w:pPr>
    </w:p>
    <w:p w14:paraId="3A6427F5" w14:textId="77777777" w:rsidR="001D4E75" w:rsidRDefault="001D4E75" w:rsidP="001D4E75">
      <w:pPr>
        <w:rPr>
          <w:b/>
          <w:bCs/>
          <w:u w:val="single"/>
        </w:rPr>
      </w:pPr>
    </w:p>
    <w:p w14:paraId="2775A297" w14:textId="5597C4C2" w:rsidR="001D4E75" w:rsidRDefault="001D4E75" w:rsidP="001D4E75">
      <w:pPr>
        <w:rPr>
          <w:b/>
          <w:bCs/>
          <w:u w:val="single"/>
        </w:rPr>
      </w:pPr>
      <w:r>
        <w:rPr>
          <w:b/>
          <w:bCs/>
          <w:u w:val="single"/>
        </w:rPr>
        <w:t xml:space="preserve">Module code: </w:t>
      </w:r>
      <w:r w:rsidRPr="001D4E75">
        <w:t>BMPF7003 – Application of learning in the workplace</w:t>
      </w:r>
    </w:p>
    <w:p w14:paraId="3D39E3E4" w14:textId="77777777" w:rsidR="001D4E75" w:rsidRDefault="001D4E75" w:rsidP="001D4E75">
      <w:pPr>
        <w:rPr>
          <w:b/>
          <w:bCs/>
          <w:u w:val="single"/>
        </w:rPr>
      </w:pPr>
    </w:p>
    <w:p w14:paraId="201CB4F8" w14:textId="3506A4CE" w:rsidR="001D4E75" w:rsidRDefault="001D4E75" w:rsidP="001D4E75">
      <w:pPr>
        <w:rPr>
          <w:b/>
          <w:bCs/>
          <w:u w:val="single"/>
        </w:rPr>
      </w:pPr>
      <w:r>
        <w:rPr>
          <w:b/>
          <w:bCs/>
          <w:u w:val="single"/>
        </w:rPr>
        <w:t xml:space="preserve">Name: </w:t>
      </w:r>
      <w:r w:rsidRPr="001D4E75">
        <w:t>Grace Chugg</w:t>
      </w:r>
    </w:p>
    <w:p w14:paraId="7201E6DC" w14:textId="4E026947" w:rsidR="001D4E75" w:rsidRDefault="001D4E75" w:rsidP="001D4E75">
      <w:pPr>
        <w:rPr>
          <w:b/>
          <w:bCs/>
          <w:u w:val="single"/>
        </w:rPr>
      </w:pPr>
    </w:p>
    <w:p w14:paraId="63DE8345" w14:textId="5318AE66" w:rsidR="001D4E75" w:rsidRDefault="001D4E75">
      <w:pPr>
        <w:rPr>
          <w:b/>
          <w:bCs/>
          <w:u w:val="single"/>
        </w:rPr>
      </w:pPr>
      <w:r>
        <w:rPr>
          <w:b/>
          <w:bCs/>
          <w:u w:val="single"/>
        </w:rPr>
        <w:t xml:space="preserve">Student number: </w:t>
      </w:r>
      <w:r w:rsidRPr="001D4E75">
        <w:t>2115806</w:t>
      </w:r>
    </w:p>
    <w:p w14:paraId="5280D16F" w14:textId="77777777" w:rsidR="001D4E75" w:rsidRDefault="001D4E75">
      <w:pPr>
        <w:rPr>
          <w:b/>
          <w:bCs/>
          <w:u w:val="single"/>
        </w:rPr>
      </w:pPr>
    </w:p>
    <w:p w14:paraId="5C2BFD6B" w14:textId="1EA5CFE9" w:rsidR="001D4E75" w:rsidRDefault="001D4E75" w:rsidP="001D4E75">
      <w:pPr>
        <w:rPr>
          <w:b/>
          <w:bCs/>
          <w:u w:val="single"/>
        </w:rPr>
      </w:pPr>
    </w:p>
    <w:p w14:paraId="5C6FAA7F" w14:textId="42ECAB3E" w:rsidR="001D4E75" w:rsidRDefault="001D4E75" w:rsidP="001D4E75">
      <w:pPr>
        <w:rPr>
          <w:b/>
          <w:bCs/>
          <w:u w:val="single"/>
        </w:rPr>
      </w:pPr>
    </w:p>
    <w:p w14:paraId="0C7252F3" w14:textId="77777777" w:rsidR="001D4E75" w:rsidRPr="001D4E75" w:rsidRDefault="001D4E75" w:rsidP="001D4E75">
      <w:pPr>
        <w:rPr>
          <w:b/>
          <w:bCs/>
          <w:u w:val="single"/>
        </w:rPr>
      </w:pPr>
    </w:p>
    <w:p w14:paraId="1CC170D8" w14:textId="6A5ED0E5" w:rsidR="001D4E75" w:rsidRDefault="001D4E75">
      <w:pPr>
        <w:rPr>
          <w:b/>
          <w:bCs/>
          <w:u w:val="single"/>
        </w:rPr>
      </w:pPr>
      <w:r>
        <w:rPr>
          <w:b/>
          <w:bCs/>
          <w:u w:val="single"/>
        </w:rPr>
        <w:br w:type="page"/>
      </w:r>
    </w:p>
    <w:p w14:paraId="3A9418DD" w14:textId="77777777" w:rsidR="001D4E75" w:rsidRPr="001D4E75" w:rsidRDefault="001D4E75" w:rsidP="001D4E75">
      <w:pPr>
        <w:rPr>
          <w:b/>
          <w:bCs/>
          <w:u w:val="single"/>
        </w:rPr>
      </w:pPr>
    </w:p>
    <w:p w14:paraId="15AFBF89" w14:textId="4EC1979A" w:rsidR="009F2706" w:rsidRDefault="00C479D1" w:rsidP="001D4E75">
      <w:pPr>
        <w:pStyle w:val="ListParagraph"/>
        <w:numPr>
          <w:ilvl w:val="0"/>
          <w:numId w:val="9"/>
        </w:numPr>
        <w:rPr>
          <w:b/>
          <w:bCs/>
          <w:u w:val="single"/>
        </w:rPr>
      </w:pPr>
      <w:r w:rsidRPr="00C479D1">
        <w:rPr>
          <w:b/>
          <w:bCs/>
          <w:u w:val="single"/>
        </w:rPr>
        <w:t>Critically evaluate a range of concepts, theories</w:t>
      </w:r>
      <w:r w:rsidR="00622698">
        <w:rPr>
          <w:b/>
          <w:bCs/>
          <w:u w:val="single"/>
        </w:rPr>
        <w:t>,</w:t>
      </w:r>
      <w:r w:rsidRPr="00C479D1">
        <w:rPr>
          <w:b/>
          <w:bCs/>
          <w:u w:val="single"/>
        </w:rPr>
        <w:t xml:space="preserve"> and models that you have recently studied, explaining their relevance to your workplace practice and procedures, and devise a strategy for applying what you have learned to improve your practice and performance.</w:t>
      </w:r>
      <w:r w:rsidR="00535EF8">
        <w:rPr>
          <w:b/>
          <w:bCs/>
          <w:u w:val="single"/>
        </w:rPr>
        <w:t xml:space="preserve"> </w:t>
      </w:r>
    </w:p>
    <w:p w14:paraId="618EA428" w14:textId="77777777" w:rsidR="009F2706" w:rsidRDefault="009F2706" w:rsidP="009F2706"/>
    <w:p w14:paraId="55111651" w14:textId="77DA8989" w:rsidR="00C479D1" w:rsidRPr="009F2706" w:rsidRDefault="00535EF8" w:rsidP="009F2706">
      <w:pPr>
        <w:rPr>
          <w:b/>
          <w:bCs/>
          <w:u w:val="single"/>
        </w:rPr>
      </w:pPr>
      <w:r w:rsidRPr="009F2706">
        <w:t>(</w:t>
      </w:r>
      <w:r w:rsidR="00CC0CFA" w:rsidRPr="009F2706">
        <w:t>29</w:t>
      </w:r>
      <w:r w:rsidR="00E7708A" w:rsidRPr="009F2706">
        <w:t>4</w:t>
      </w:r>
      <w:r w:rsidR="00622698">
        <w:t>1</w:t>
      </w:r>
      <w:r w:rsidR="00CC0CFA" w:rsidRPr="009F2706">
        <w:t>/</w:t>
      </w:r>
      <w:r w:rsidRPr="009F2706">
        <w:t>2</w:t>
      </w:r>
      <w:r w:rsidR="00323D81" w:rsidRPr="009F2706">
        <w:t>7</w:t>
      </w:r>
      <w:r w:rsidRPr="009F2706">
        <w:t>00)</w:t>
      </w:r>
    </w:p>
    <w:p w14:paraId="68624FDF" w14:textId="1E9F015E" w:rsidR="00C479D1" w:rsidRDefault="00C479D1" w:rsidP="00C479D1">
      <w:pPr>
        <w:rPr>
          <w:b/>
          <w:bCs/>
          <w:u w:val="single"/>
        </w:rPr>
      </w:pPr>
    </w:p>
    <w:p w14:paraId="16F31E99" w14:textId="47172B79" w:rsidR="00B84D36" w:rsidRPr="00E7708A" w:rsidRDefault="00B84D36" w:rsidP="00E7708A">
      <w:pPr>
        <w:spacing w:line="480" w:lineRule="auto"/>
        <w:jc w:val="both"/>
        <w:rPr>
          <w:rFonts w:ascii="Arial" w:hAnsi="Arial" w:cs="Arial"/>
          <w:b/>
          <w:bCs/>
          <w:sz w:val="22"/>
          <w:szCs w:val="22"/>
          <w:u w:val="single"/>
        </w:rPr>
      </w:pPr>
      <w:r w:rsidRPr="00E7708A">
        <w:rPr>
          <w:rFonts w:ascii="Arial" w:hAnsi="Arial" w:cs="Arial"/>
          <w:b/>
          <w:bCs/>
          <w:sz w:val="22"/>
          <w:szCs w:val="22"/>
          <w:u w:val="single"/>
        </w:rPr>
        <w:t xml:space="preserve">A note on Terminology </w:t>
      </w:r>
    </w:p>
    <w:p w14:paraId="07E9955F" w14:textId="77777777" w:rsidR="00B84D36" w:rsidRPr="00E7708A" w:rsidRDefault="00B84D36" w:rsidP="00E7708A">
      <w:pPr>
        <w:spacing w:line="480" w:lineRule="auto"/>
        <w:jc w:val="both"/>
        <w:rPr>
          <w:rFonts w:ascii="Arial" w:hAnsi="Arial" w:cs="Arial"/>
          <w:sz w:val="22"/>
          <w:szCs w:val="22"/>
        </w:rPr>
      </w:pPr>
    </w:p>
    <w:p w14:paraId="2714236C" w14:textId="24497FA2" w:rsidR="00B84D36" w:rsidRPr="00E7708A" w:rsidRDefault="00B84D36" w:rsidP="00E7708A">
      <w:pPr>
        <w:spacing w:line="480" w:lineRule="auto"/>
        <w:jc w:val="both"/>
        <w:rPr>
          <w:rFonts w:ascii="Arial" w:hAnsi="Arial" w:cs="Arial"/>
          <w:sz w:val="22"/>
          <w:szCs w:val="22"/>
        </w:rPr>
      </w:pPr>
      <w:r w:rsidRPr="00E7708A">
        <w:rPr>
          <w:rFonts w:ascii="Arial" w:hAnsi="Arial" w:cs="Arial"/>
          <w:sz w:val="22"/>
          <w:szCs w:val="22"/>
        </w:rPr>
        <w:t>NHS England (2016</w:t>
      </w:r>
      <w:r w:rsidR="00622698">
        <w:rPr>
          <w:rFonts w:ascii="Arial" w:hAnsi="Arial" w:cs="Arial"/>
          <w:sz w:val="22"/>
          <w:szCs w:val="22"/>
        </w:rPr>
        <w:t xml:space="preserve"> p1</w:t>
      </w:r>
      <w:r w:rsidRPr="00E7708A">
        <w:rPr>
          <w:rFonts w:ascii="Arial" w:hAnsi="Arial" w:cs="Arial"/>
          <w:sz w:val="22"/>
          <w:szCs w:val="22"/>
        </w:rPr>
        <w:t xml:space="preserve">) defines gender identity as “an individual’s personal sense, and subjective experience, of their own gender". Throughout this </w:t>
      </w:r>
      <w:r w:rsidR="00DD3C33" w:rsidRPr="00E7708A">
        <w:rPr>
          <w:rFonts w:ascii="Arial" w:hAnsi="Arial" w:cs="Arial"/>
          <w:sz w:val="22"/>
          <w:szCs w:val="22"/>
        </w:rPr>
        <w:t>essay</w:t>
      </w:r>
      <w:r w:rsidRPr="00E7708A">
        <w:rPr>
          <w:rFonts w:ascii="Arial" w:hAnsi="Arial" w:cs="Arial"/>
          <w:sz w:val="22"/>
          <w:szCs w:val="22"/>
        </w:rPr>
        <w:t xml:space="preserve">, the terms transgender and gender diverse (TGD), are being used as an umbrella term through abbreviation to discuss any </w:t>
      </w:r>
      <w:r w:rsidR="000800BC" w:rsidRPr="00E7708A">
        <w:rPr>
          <w:rFonts w:ascii="Arial" w:hAnsi="Arial" w:cs="Arial"/>
          <w:sz w:val="22"/>
          <w:szCs w:val="22"/>
        </w:rPr>
        <w:t xml:space="preserve">individual </w:t>
      </w:r>
      <w:r w:rsidRPr="00E7708A">
        <w:rPr>
          <w:rFonts w:ascii="Arial" w:hAnsi="Arial" w:cs="Arial"/>
          <w:sz w:val="22"/>
          <w:szCs w:val="22"/>
        </w:rPr>
        <w:t xml:space="preserve">requiring support from </w:t>
      </w:r>
      <w:r w:rsidR="00A21DDC" w:rsidRPr="00E7708A">
        <w:rPr>
          <w:rFonts w:ascii="Arial" w:hAnsi="Arial" w:cs="Arial"/>
          <w:sz w:val="22"/>
          <w:szCs w:val="22"/>
        </w:rPr>
        <w:t xml:space="preserve">Speech and Language Therapy (SLT) </w:t>
      </w:r>
      <w:r w:rsidRPr="00E7708A">
        <w:rPr>
          <w:rFonts w:ascii="Arial" w:hAnsi="Arial" w:cs="Arial"/>
          <w:sz w:val="22"/>
          <w:szCs w:val="22"/>
        </w:rPr>
        <w:t>for voice and communication regard</w:t>
      </w:r>
      <w:r w:rsidR="00D91049" w:rsidRPr="00E7708A">
        <w:rPr>
          <w:rFonts w:ascii="Arial" w:hAnsi="Arial" w:cs="Arial"/>
          <w:sz w:val="22"/>
          <w:szCs w:val="22"/>
        </w:rPr>
        <w:t xml:space="preserve">ing </w:t>
      </w:r>
      <w:r w:rsidRPr="00E7708A">
        <w:rPr>
          <w:rFonts w:ascii="Arial" w:hAnsi="Arial" w:cs="Arial"/>
          <w:sz w:val="22"/>
          <w:szCs w:val="22"/>
        </w:rPr>
        <w:t>their gender identity and/or transition (Lev, 2004)</w:t>
      </w:r>
      <w:r w:rsidR="00DD3C33" w:rsidRPr="00E7708A">
        <w:rPr>
          <w:rFonts w:ascii="Arial" w:hAnsi="Arial" w:cs="Arial"/>
          <w:sz w:val="22"/>
          <w:szCs w:val="22"/>
        </w:rPr>
        <w:t xml:space="preserve">. </w:t>
      </w:r>
      <w:proofErr w:type="spellStart"/>
      <w:r w:rsidR="00DD3C33" w:rsidRPr="00E7708A">
        <w:rPr>
          <w:rFonts w:ascii="Arial" w:hAnsi="Arial" w:cs="Arial"/>
          <w:sz w:val="22"/>
          <w:szCs w:val="22"/>
        </w:rPr>
        <w:t>Leikin</w:t>
      </w:r>
      <w:proofErr w:type="spellEnd"/>
      <w:r w:rsidR="00DD3C33" w:rsidRPr="00E7708A">
        <w:rPr>
          <w:rFonts w:ascii="Arial" w:hAnsi="Arial" w:cs="Arial"/>
          <w:sz w:val="22"/>
          <w:szCs w:val="22"/>
        </w:rPr>
        <w:t xml:space="preserve"> (2019) notes that terminology is </w:t>
      </w:r>
      <w:r w:rsidR="00622698">
        <w:rPr>
          <w:rFonts w:ascii="Arial" w:hAnsi="Arial" w:cs="Arial"/>
          <w:sz w:val="22"/>
          <w:szCs w:val="22"/>
        </w:rPr>
        <w:t>ever-evolving</w:t>
      </w:r>
      <w:r w:rsidR="00DD3C33" w:rsidRPr="00E7708A">
        <w:rPr>
          <w:rFonts w:ascii="Arial" w:hAnsi="Arial" w:cs="Arial"/>
          <w:sz w:val="22"/>
          <w:szCs w:val="22"/>
        </w:rPr>
        <w:t xml:space="preserve"> within this population and it is important to acknowledge this</w:t>
      </w:r>
      <w:r w:rsidRPr="00E7708A">
        <w:rPr>
          <w:rFonts w:ascii="Arial" w:hAnsi="Arial" w:cs="Arial"/>
          <w:sz w:val="22"/>
          <w:szCs w:val="22"/>
        </w:rPr>
        <w:t xml:space="preserve">. </w:t>
      </w:r>
      <w:r w:rsidR="00D91049" w:rsidRPr="00E7708A">
        <w:rPr>
          <w:rFonts w:ascii="Arial" w:hAnsi="Arial" w:cs="Arial"/>
          <w:sz w:val="22"/>
          <w:szCs w:val="22"/>
        </w:rPr>
        <w:t>T</w:t>
      </w:r>
      <w:r w:rsidRPr="00E7708A">
        <w:rPr>
          <w:rFonts w:ascii="Arial" w:hAnsi="Arial" w:cs="Arial"/>
          <w:sz w:val="22"/>
          <w:szCs w:val="22"/>
        </w:rPr>
        <w:t>here is a larger range of terminology available for clients to address their gender identity and an umbrella term for the inclusion of all who require SLT intervention</w:t>
      </w:r>
      <w:r w:rsidR="00D91049" w:rsidRPr="00E7708A">
        <w:rPr>
          <w:rFonts w:ascii="Arial" w:hAnsi="Arial" w:cs="Arial"/>
          <w:sz w:val="22"/>
          <w:szCs w:val="22"/>
        </w:rPr>
        <w:t xml:space="preserve"> has been used</w:t>
      </w:r>
      <w:r w:rsidRPr="00E7708A">
        <w:rPr>
          <w:rFonts w:ascii="Arial" w:hAnsi="Arial" w:cs="Arial"/>
          <w:sz w:val="22"/>
          <w:szCs w:val="22"/>
        </w:rPr>
        <w:t>.</w:t>
      </w:r>
    </w:p>
    <w:p w14:paraId="55044771" w14:textId="4A9FABC4" w:rsidR="00C479D1" w:rsidRPr="00E7708A" w:rsidRDefault="00C479D1" w:rsidP="00E7708A">
      <w:pPr>
        <w:spacing w:line="480" w:lineRule="auto"/>
        <w:jc w:val="both"/>
        <w:rPr>
          <w:rFonts w:ascii="Arial" w:hAnsi="Arial" w:cs="Arial"/>
          <w:b/>
          <w:bCs/>
          <w:sz w:val="22"/>
          <w:szCs w:val="22"/>
          <w:u w:val="single"/>
        </w:rPr>
      </w:pPr>
    </w:p>
    <w:p w14:paraId="6A8D6D9F" w14:textId="4EB34A6C" w:rsidR="00B84D36" w:rsidRPr="00E7708A" w:rsidRDefault="00B84D36" w:rsidP="00E7708A">
      <w:pPr>
        <w:spacing w:line="480" w:lineRule="auto"/>
        <w:jc w:val="both"/>
        <w:rPr>
          <w:rFonts w:ascii="Arial" w:hAnsi="Arial" w:cs="Arial"/>
          <w:b/>
          <w:bCs/>
          <w:sz w:val="22"/>
          <w:szCs w:val="22"/>
          <w:u w:val="single"/>
        </w:rPr>
      </w:pPr>
    </w:p>
    <w:p w14:paraId="0982D1A8" w14:textId="6C9F9B17" w:rsidR="00B84D36" w:rsidRPr="00E7708A" w:rsidRDefault="00B84D36" w:rsidP="00E7708A">
      <w:pPr>
        <w:spacing w:line="480" w:lineRule="auto"/>
        <w:jc w:val="both"/>
        <w:rPr>
          <w:rFonts w:ascii="Arial" w:hAnsi="Arial" w:cs="Arial"/>
          <w:b/>
          <w:bCs/>
          <w:sz w:val="22"/>
          <w:szCs w:val="22"/>
          <w:u w:val="single"/>
        </w:rPr>
      </w:pPr>
      <w:r w:rsidRPr="00E7708A">
        <w:rPr>
          <w:rFonts w:ascii="Arial" w:hAnsi="Arial" w:cs="Arial"/>
          <w:b/>
          <w:bCs/>
          <w:sz w:val="22"/>
          <w:szCs w:val="22"/>
          <w:u w:val="single"/>
        </w:rPr>
        <w:t>Introduction</w:t>
      </w:r>
    </w:p>
    <w:p w14:paraId="1281C1C3" w14:textId="77777777" w:rsidR="00B84D36" w:rsidRPr="00E7708A" w:rsidRDefault="00B84D36" w:rsidP="00E7708A">
      <w:pPr>
        <w:spacing w:line="480" w:lineRule="auto"/>
        <w:jc w:val="both"/>
        <w:rPr>
          <w:rFonts w:ascii="Arial" w:hAnsi="Arial" w:cs="Arial"/>
          <w:b/>
          <w:bCs/>
          <w:sz w:val="22"/>
          <w:szCs w:val="22"/>
          <w:u w:val="single"/>
        </w:rPr>
      </w:pPr>
    </w:p>
    <w:p w14:paraId="3CFD0CB0" w14:textId="2DB66CB5" w:rsidR="00362434" w:rsidRPr="00E7708A" w:rsidRDefault="00412841" w:rsidP="00E7708A">
      <w:pPr>
        <w:spacing w:line="480" w:lineRule="auto"/>
        <w:jc w:val="both"/>
        <w:rPr>
          <w:rFonts w:ascii="Arial" w:hAnsi="Arial" w:cs="Arial"/>
          <w:sz w:val="22"/>
          <w:szCs w:val="22"/>
        </w:rPr>
      </w:pPr>
      <w:r w:rsidRPr="00E7708A">
        <w:rPr>
          <w:rFonts w:ascii="Arial" w:hAnsi="Arial" w:cs="Arial"/>
          <w:sz w:val="22"/>
          <w:szCs w:val="22"/>
        </w:rPr>
        <w:t xml:space="preserve">I am </w:t>
      </w:r>
      <w:r w:rsidR="00622698">
        <w:rPr>
          <w:rFonts w:ascii="Arial" w:hAnsi="Arial" w:cs="Arial"/>
          <w:sz w:val="22"/>
          <w:szCs w:val="22"/>
        </w:rPr>
        <w:t>an</w:t>
      </w:r>
      <w:r w:rsidRPr="00E7708A">
        <w:rPr>
          <w:rFonts w:ascii="Arial" w:hAnsi="Arial" w:cs="Arial"/>
          <w:sz w:val="22"/>
          <w:szCs w:val="22"/>
        </w:rPr>
        <w:t xml:space="preserve"> </w:t>
      </w:r>
      <w:r w:rsidR="00A21DDC" w:rsidRPr="00E7708A">
        <w:rPr>
          <w:rFonts w:ascii="Arial" w:hAnsi="Arial" w:cs="Arial"/>
          <w:sz w:val="22"/>
          <w:szCs w:val="22"/>
        </w:rPr>
        <w:t xml:space="preserve">SLT </w:t>
      </w:r>
      <w:r w:rsidRPr="00E7708A">
        <w:rPr>
          <w:rFonts w:ascii="Arial" w:hAnsi="Arial" w:cs="Arial"/>
          <w:sz w:val="22"/>
          <w:szCs w:val="22"/>
        </w:rPr>
        <w:t>specialising in T</w:t>
      </w:r>
      <w:r w:rsidR="00B84D36" w:rsidRPr="00E7708A">
        <w:rPr>
          <w:rFonts w:ascii="Arial" w:hAnsi="Arial" w:cs="Arial"/>
          <w:sz w:val="22"/>
          <w:szCs w:val="22"/>
        </w:rPr>
        <w:t>GD voice</w:t>
      </w:r>
      <w:r w:rsidRPr="00E7708A">
        <w:rPr>
          <w:rFonts w:ascii="Arial" w:hAnsi="Arial" w:cs="Arial"/>
          <w:sz w:val="22"/>
          <w:szCs w:val="22"/>
        </w:rPr>
        <w:t xml:space="preserve">. I work in a </w:t>
      </w:r>
      <w:r w:rsidR="00D91049" w:rsidRPr="00E7708A">
        <w:rPr>
          <w:rFonts w:ascii="Arial" w:hAnsi="Arial" w:cs="Arial"/>
          <w:sz w:val="22"/>
          <w:szCs w:val="22"/>
        </w:rPr>
        <w:t xml:space="preserve">TGD </w:t>
      </w:r>
      <w:r w:rsidRPr="00E7708A">
        <w:rPr>
          <w:rFonts w:ascii="Arial" w:hAnsi="Arial" w:cs="Arial"/>
          <w:sz w:val="22"/>
          <w:szCs w:val="22"/>
        </w:rPr>
        <w:t>service</w:t>
      </w:r>
      <w:r w:rsidR="00D91049" w:rsidRPr="00E7708A">
        <w:rPr>
          <w:rFonts w:ascii="Arial" w:hAnsi="Arial" w:cs="Arial"/>
          <w:sz w:val="22"/>
          <w:szCs w:val="22"/>
        </w:rPr>
        <w:t xml:space="preserve"> that does not benefit from direct </w:t>
      </w:r>
      <w:r w:rsidR="00A21DDC" w:rsidRPr="00E7708A">
        <w:rPr>
          <w:rFonts w:ascii="Arial" w:hAnsi="Arial" w:cs="Arial"/>
          <w:sz w:val="22"/>
          <w:szCs w:val="22"/>
        </w:rPr>
        <w:t xml:space="preserve">funding </w:t>
      </w:r>
      <w:r w:rsidR="00D91049" w:rsidRPr="00E7708A">
        <w:rPr>
          <w:rFonts w:ascii="Arial" w:hAnsi="Arial" w:cs="Arial"/>
          <w:sz w:val="22"/>
          <w:szCs w:val="22"/>
        </w:rPr>
        <w:t xml:space="preserve">and </w:t>
      </w:r>
      <w:r w:rsidRPr="00E7708A">
        <w:rPr>
          <w:rFonts w:ascii="Arial" w:hAnsi="Arial" w:cs="Arial"/>
          <w:sz w:val="22"/>
          <w:szCs w:val="22"/>
        </w:rPr>
        <w:t xml:space="preserve">have seen first-hand the impact limited </w:t>
      </w:r>
      <w:r w:rsidR="00D91049" w:rsidRPr="00E7708A">
        <w:rPr>
          <w:rFonts w:ascii="Arial" w:hAnsi="Arial" w:cs="Arial"/>
          <w:sz w:val="22"/>
          <w:szCs w:val="22"/>
        </w:rPr>
        <w:t xml:space="preserve">resources </w:t>
      </w:r>
      <w:r w:rsidR="00622698">
        <w:rPr>
          <w:rFonts w:ascii="Arial" w:hAnsi="Arial" w:cs="Arial"/>
          <w:sz w:val="22"/>
          <w:szCs w:val="22"/>
        </w:rPr>
        <w:t>have</w:t>
      </w:r>
      <w:r w:rsidRPr="00E7708A">
        <w:rPr>
          <w:rFonts w:ascii="Arial" w:hAnsi="Arial" w:cs="Arial"/>
          <w:sz w:val="22"/>
          <w:szCs w:val="22"/>
        </w:rPr>
        <w:t xml:space="preserve"> on </w:t>
      </w:r>
      <w:r w:rsidR="00B84D36" w:rsidRPr="00E7708A">
        <w:rPr>
          <w:rFonts w:ascii="Arial" w:hAnsi="Arial" w:cs="Arial"/>
          <w:sz w:val="22"/>
          <w:szCs w:val="22"/>
        </w:rPr>
        <w:t xml:space="preserve">TGD healthcare. </w:t>
      </w:r>
      <w:r w:rsidRPr="00E7708A">
        <w:rPr>
          <w:rFonts w:ascii="Arial" w:hAnsi="Arial" w:cs="Arial"/>
          <w:sz w:val="22"/>
          <w:szCs w:val="22"/>
        </w:rPr>
        <w:t>I am currently</w:t>
      </w:r>
      <w:r w:rsidR="00D91049" w:rsidRPr="00E7708A">
        <w:rPr>
          <w:rFonts w:ascii="Arial" w:hAnsi="Arial" w:cs="Arial"/>
          <w:sz w:val="22"/>
          <w:szCs w:val="22"/>
        </w:rPr>
        <w:t xml:space="preserve"> creating</w:t>
      </w:r>
      <w:r w:rsidRPr="00E7708A">
        <w:rPr>
          <w:rFonts w:ascii="Arial" w:hAnsi="Arial" w:cs="Arial"/>
          <w:sz w:val="22"/>
          <w:szCs w:val="22"/>
        </w:rPr>
        <w:t xml:space="preserve"> a new therapy pathway alongside submitting a business case for a </w:t>
      </w:r>
      <w:r w:rsidR="00622698">
        <w:rPr>
          <w:rFonts w:ascii="Arial" w:hAnsi="Arial" w:cs="Arial"/>
          <w:sz w:val="22"/>
          <w:szCs w:val="22"/>
        </w:rPr>
        <w:t>fully-funded</w:t>
      </w:r>
      <w:r w:rsidRPr="00E7708A">
        <w:rPr>
          <w:rFonts w:ascii="Arial" w:hAnsi="Arial" w:cs="Arial"/>
          <w:sz w:val="22"/>
          <w:szCs w:val="22"/>
        </w:rPr>
        <w:t xml:space="preserve"> transgender S</w:t>
      </w:r>
      <w:r w:rsidR="00B11CCD" w:rsidRPr="00E7708A">
        <w:rPr>
          <w:rFonts w:ascii="Arial" w:hAnsi="Arial" w:cs="Arial"/>
          <w:sz w:val="22"/>
          <w:szCs w:val="22"/>
        </w:rPr>
        <w:t xml:space="preserve">LT </w:t>
      </w:r>
      <w:r w:rsidRPr="00E7708A">
        <w:rPr>
          <w:rFonts w:ascii="Arial" w:hAnsi="Arial" w:cs="Arial"/>
          <w:sz w:val="22"/>
          <w:szCs w:val="22"/>
        </w:rPr>
        <w:t>service. I work in collaboration with the psychology team at my local NHS trust and my local Gender Identity Clinic to support my learning around the complex mental health associated with gender identity</w:t>
      </w:r>
      <w:r w:rsidR="00FA5036" w:rsidRPr="00E7708A">
        <w:rPr>
          <w:rFonts w:ascii="Arial" w:hAnsi="Arial" w:cs="Arial"/>
          <w:sz w:val="22"/>
          <w:szCs w:val="22"/>
        </w:rPr>
        <w:t xml:space="preserve"> (NHS England, 2016)</w:t>
      </w:r>
      <w:r w:rsidRPr="00E7708A">
        <w:rPr>
          <w:rFonts w:ascii="Arial" w:hAnsi="Arial" w:cs="Arial"/>
          <w:sz w:val="22"/>
          <w:szCs w:val="22"/>
        </w:rPr>
        <w:t>.</w:t>
      </w:r>
      <w:r w:rsidR="00B84D36" w:rsidRPr="00E7708A">
        <w:rPr>
          <w:rFonts w:ascii="Arial" w:hAnsi="Arial" w:cs="Arial"/>
          <w:sz w:val="22"/>
          <w:szCs w:val="22"/>
        </w:rPr>
        <w:t xml:space="preserve"> </w:t>
      </w:r>
      <w:r w:rsidR="00D91049" w:rsidRPr="00E7708A">
        <w:rPr>
          <w:rFonts w:ascii="Arial" w:hAnsi="Arial" w:cs="Arial"/>
          <w:sz w:val="22"/>
          <w:szCs w:val="22"/>
        </w:rPr>
        <w:t>Discussions</w:t>
      </w:r>
      <w:r w:rsidR="00B84D36" w:rsidRPr="00E7708A">
        <w:rPr>
          <w:rFonts w:ascii="Arial" w:hAnsi="Arial" w:cs="Arial"/>
          <w:sz w:val="22"/>
          <w:szCs w:val="22"/>
        </w:rPr>
        <w:t xml:space="preserve"> with the psychology teams have highlighted a </w:t>
      </w:r>
      <w:r w:rsidR="000800BC" w:rsidRPr="00E7708A">
        <w:rPr>
          <w:rFonts w:ascii="Arial" w:hAnsi="Arial" w:cs="Arial"/>
          <w:sz w:val="22"/>
          <w:szCs w:val="22"/>
        </w:rPr>
        <w:t xml:space="preserve">need for </w:t>
      </w:r>
      <w:r w:rsidR="00622698">
        <w:rPr>
          <w:rFonts w:ascii="Arial" w:hAnsi="Arial" w:cs="Arial"/>
          <w:sz w:val="22"/>
          <w:szCs w:val="22"/>
        </w:rPr>
        <w:t xml:space="preserve">a </w:t>
      </w:r>
      <w:r w:rsidR="000800BC" w:rsidRPr="00E7708A">
        <w:rPr>
          <w:rFonts w:ascii="Arial" w:hAnsi="Arial" w:cs="Arial"/>
          <w:sz w:val="22"/>
          <w:szCs w:val="22"/>
        </w:rPr>
        <w:t xml:space="preserve">better understanding of </w:t>
      </w:r>
      <w:r w:rsidR="00B84D36" w:rsidRPr="00E7708A">
        <w:rPr>
          <w:rFonts w:ascii="Arial" w:hAnsi="Arial" w:cs="Arial"/>
          <w:sz w:val="22"/>
          <w:szCs w:val="22"/>
        </w:rPr>
        <w:t>the broad range of factors</w:t>
      </w:r>
      <w:r w:rsidR="006B0112" w:rsidRPr="00E7708A">
        <w:rPr>
          <w:rFonts w:ascii="Arial" w:hAnsi="Arial" w:cs="Arial"/>
          <w:sz w:val="22"/>
          <w:szCs w:val="22"/>
        </w:rPr>
        <w:t xml:space="preserve"> such as </w:t>
      </w:r>
      <w:r w:rsidR="006B0112" w:rsidRPr="00E7708A">
        <w:rPr>
          <w:rFonts w:ascii="Arial" w:hAnsi="Arial" w:cs="Arial"/>
          <w:sz w:val="22"/>
          <w:szCs w:val="22"/>
        </w:rPr>
        <w:lastRenderedPageBreak/>
        <w:t>transphobia, health fear</w:t>
      </w:r>
      <w:r w:rsidR="00622698">
        <w:rPr>
          <w:rFonts w:ascii="Arial" w:hAnsi="Arial" w:cs="Arial"/>
          <w:sz w:val="22"/>
          <w:szCs w:val="22"/>
        </w:rPr>
        <w:t>,</w:t>
      </w:r>
      <w:r w:rsidR="006B0112" w:rsidRPr="00E7708A">
        <w:rPr>
          <w:rFonts w:ascii="Arial" w:hAnsi="Arial" w:cs="Arial"/>
          <w:sz w:val="22"/>
          <w:szCs w:val="22"/>
        </w:rPr>
        <w:t xml:space="preserve"> and lack of confidence </w:t>
      </w:r>
      <w:r w:rsidR="00B84D36" w:rsidRPr="00E7708A">
        <w:rPr>
          <w:rFonts w:ascii="Arial" w:hAnsi="Arial" w:cs="Arial"/>
          <w:sz w:val="22"/>
          <w:szCs w:val="22"/>
        </w:rPr>
        <w:t>that can impact a TGD patient simply attending their appointment. The goal of this essay is to explore some of the core concepts, theories</w:t>
      </w:r>
      <w:r w:rsidR="00622698">
        <w:rPr>
          <w:rFonts w:ascii="Arial" w:hAnsi="Arial" w:cs="Arial"/>
          <w:sz w:val="22"/>
          <w:szCs w:val="22"/>
        </w:rPr>
        <w:t>,</w:t>
      </w:r>
      <w:r w:rsidR="00B84D36" w:rsidRPr="00E7708A">
        <w:rPr>
          <w:rFonts w:ascii="Arial" w:hAnsi="Arial" w:cs="Arial"/>
          <w:sz w:val="22"/>
          <w:szCs w:val="22"/>
        </w:rPr>
        <w:t xml:space="preserve"> and models associated with TGD healthcare as identified through my current clinical setting.</w:t>
      </w:r>
      <w:r w:rsidR="00535EF8" w:rsidRPr="00E7708A">
        <w:rPr>
          <w:rFonts w:ascii="Arial" w:hAnsi="Arial" w:cs="Arial"/>
          <w:sz w:val="22"/>
          <w:szCs w:val="22"/>
        </w:rPr>
        <w:t xml:space="preserve"> </w:t>
      </w:r>
    </w:p>
    <w:p w14:paraId="4DF3376A" w14:textId="77777777" w:rsidR="00362434" w:rsidRPr="00E7708A" w:rsidRDefault="00362434" w:rsidP="00E7708A">
      <w:pPr>
        <w:spacing w:line="480" w:lineRule="auto"/>
        <w:jc w:val="both"/>
        <w:rPr>
          <w:rFonts w:ascii="Arial" w:hAnsi="Arial" w:cs="Arial"/>
          <w:sz w:val="22"/>
          <w:szCs w:val="22"/>
        </w:rPr>
      </w:pPr>
    </w:p>
    <w:p w14:paraId="705FC802" w14:textId="4A752868" w:rsidR="00362434" w:rsidRPr="00E7708A" w:rsidRDefault="00362434" w:rsidP="00E7708A">
      <w:pPr>
        <w:spacing w:line="480" w:lineRule="auto"/>
        <w:jc w:val="both"/>
        <w:rPr>
          <w:rFonts w:ascii="Arial" w:hAnsi="Arial" w:cs="Arial"/>
          <w:b/>
          <w:bCs/>
          <w:sz w:val="22"/>
          <w:szCs w:val="22"/>
          <w:u w:val="single"/>
        </w:rPr>
      </w:pPr>
      <w:r w:rsidRPr="00E7708A">
        <w:rPr>
          <w:rFonts w:ascii="Arial" w:hAnsi="Arial" w:cs="Arial"/>
          <w:b/>
          <w:bCs/>
          <w:sz w:val="22"/>
          <w:szCs w:val="22"/>
          <w:u w:val="single"/>
        </w:rPr>
        <w:t>Concepts, theories</w:t>
      </w:r>
      <w:r w:rsidR="00622698">
        <w:rPr>
          <w:rFonts w:ascii="Arial" w:hAnsi="Arial" w:cs="Arial"/>
          <w:b/>
          <w:bCs/>
          <w:sz w:val="22"/>
          <w:szCs w:val="22"/>
          <w:u w:val="single"/>
        </w:rPr>
        <w:t>,</w:t>
      </w:r>
      <w:r w:rsidRPr="00E7708A">
        <w:rPr>
          <w:rFonts w:ascii="Arial" w:hAnsi="Arial" w:cs="Arial"/>
          <w:b/>
          <w:bCs/>
          <w:sz w:val="22"/>
          <w:szCs w:val="22"/>
          <w:u w:val="single"/>
        </w:rPr>
        <w:t xml:space="preserve"> and models </w:t>
      </w:r>
    </w:p>
    <w:p w14:paraId="62CF3AA5" w14:textId="3FC6884F" w:rsidR="00C479D1" w:rsidRPr="00E7708A" w:rsidRDefault="00C479D1" w:rsidP="00E7708A">
      <w:pPr>
        <w:spacing w:line="480" w:lineRule="auto"/>
        <w:jc w:val="both"/>
        <w:rPr>
          <w:rFonts w:ascii="Arial" w:hAnsi="Arial" w:cs="Arial"/>
          <w:b/>
          <w:bCs/>
          <w:sz w:val="22"/>
          <w:szCs w:val="22"/>
          <w:u w:val="single"/>
        </w:rPr>
      </w:pPr>
    </w:p>
    <w:p w14:paraId="544A59C7" w14:textId="70F3BC99" w:rsidR="00362434" w:rsidRPr="00E7708A" w:rsidRDefault="00D91049" w:rsidP="00E7708A">
      <w:pPr>
        <w:spacing w:line="480" w:lineRule="auto"/>
        <w:jc w:val="both"/>
        <w:rPr>
          <w:rFonts w:ascii="Arial" w:hAnsi="Arial" w:cs="Arial"/>
          <w:sz w:val="22"/>
          <w:szCs w:val="22"/>
        </w:rPr>
      </w:pPr>
      <w:r w:rsidRPr="00E7708A">
        <w:rPr>
          <w:rFonts w:ascii="Arial" w:hAnsi="Arial" w:cs="Arial"/>
          <w:sz w:val="22"/>
          <w:szCs w:val="22"/>
        </w:rPr>
        <w:t>Three core topics reoccur in my work. T</w:t>
      </w:r>
      <w:r w:rsidR="00362434" w:rsidRPr="00E7708A">
        <w:rPr>
          <w:rFonts w:ascii="Arial" w:hAnsi="Arial" w:cs="Arial"/>
          <w:sz w:val="22"/>
          <w:szCs w:val="22"/>
        </w:rPr>
        <w:t>hese are gender as a construct</w:t>
      </w:r>
      <w:r w:rsidRPr="00E7708A">
        <w:rPr>
          <w:rFonts w:ascii="Arial" w:hAnsi="Arial" w:cs="Arial"/>
          <w:sz w:val="22"/>
          <w:szCs w:val="22"/>
        </w:rPr>
        <w:t>,</w:t>
      </w:r>
      <w:r w:rsidR="00362434" w:rsidRPr="00E7708A">
        <w:rPr>
          <w:rFonts w:ascii="Arial" w:hAnsi="Arial" w:cs="Arial"/>
          <w:sz w:val="22"/>
          <w:szCs w:val="22"/>
        </w:rPr>
        <w:t xml:space="preserve"> intersectionality</w:t>
      </w:r>
      <w:r w:rsidR="00622698">
        <w:rPr>
          <w:rFonts w:ascii="Arial" w:hAnsi="Arial" w:cs="Arial"/>
          <w:sz w:val="22"/>
          <w:szCs w:val="22"/>
        </w:rPr>
        <w:t>,</w:t>
      </w:r>
      <w:r w:rsidR="00362434" w:rsidRPr="00E7708A">
        <w:rPr>
          <w:rFonts w:ascii="Arial" w:hAnsi="Arial" w:cs="Arial"/>
          <w:sz w:val="22"/>
          <w:szCs w:val="22"/>
        </w:rPr>
        <w:t xml:space="preserve"> and minority stress. </w:t>
      </w:r>
      <w:proofErr w:type="spellStart"/>
      <w:r w:rsidR="00362434" w:rsidRPr="00E7708A">
        <w:rPr>
          <w:rFonts w:ascii="Arial" w:hAnsi="Arial" w:cs="Arial"/>
          <w:sz w:val="22"/>
          <w:szCs w:val="22"/>
        </w:rPr>
        <w:t>Leikin</w:t>
      </w:r>
      <w:proofErr w:type="spellEnd"/>
      <w:r w:rsidR="00362434" w:rsidRPr="00E7708A">
        <w:rPr>
          <w:rFonts w:ascii="Arial" w:hAnsi="Arial" w:cs="Arial"/>
          <w:sz w:val="22"/>
          <w:szCs w:val="22"/>
        </w:rPr>
        <w:t xml:space="preserve"> (2019) states that is the goal of health care professionals working with TGD individuals to help them manage the stigma around them and </w:t>
      </w:r>
      <w:r w:rsidR="00622698">
        <w:rPr>
          <w:rFonts w:ascii="Arial" w:hAnsi="Arial" w:cs="Arial"/>
          <w:sz w:val="22"/>
          <w:szCs w:val="22"/>
        </w:rPr>
        <w:t xml:space="preserve">its </w:t>
      </w:r>
      <w:r w:rsidR="00362434" w:rsidRPr="00E7708A">
        <w:rPr>
          <w:rFonts w:ascii="Arial" w:hAnsi="Arial" w:cs="Arial"/>
          <w:sz w:val="22"/>
          <w:szCs w:val="22"/>
        </w:rPr>
        <w:t xml:space="preserve">negative impact. </w:t>
      </w:r>
      <w:r w:rsidR="00FC66EA" w:rsidRPr="00E7708A">
        <w:rPr>
          <w:rFonts w:ascii="Arial" w:hAnsi="Arial" w:cs="Arial"/>
          <w:sz w:val="22"/>
          <w:szCs w:val="22"/>
        </w:rPr>
        <w:t>Diamond and Butterworth (2008) argue that there is increasing evidence that models used to reflect TGD people fail to capture the complexity, diversity</w:t>
      </w:r>
      <w:r w:rsidR="00622698">
        <w:rPr>
          <w:rFonts w:ascii="Arial" w:hAnsi="Arial" w:cs="Arial"/>
          <w:sz w:val="22"/>
          <w:szCs w:val="22"/>
        </w:rPr>
        <w:t>,</w:t>
      </w:r>
      <w:r w:rsidRPr="00E7708A">
        <w:rPr>
          <w:rFonts w:ascii="Arial" w:hAnsi="Arial" w:cs="Arial"/>
          <w:sz w:val="22"/>
          <w:szCs w:val="22"/>
        </w:rPr>
        <w:t xml:space="preserve"> </w:t>
      </w:r>
      <w:r w:rsidR="00FC66EA" w:rsidRPr="00E7708A">
        <w:rPr>
          <w:rFonts w:ascii="Arial" w:hAnsi="Arial" w:cs="Arial"/>
          <w:sz w:val="22"/>
          <w:szCs w:val="22"/>
        </w:rPr>
        <w:t xml:space="preserve">and fluidity of these individuals. </w:t>
      </w:r>
      <w:r w:rsidR="00FA5036" w:rsidRPr="00E7708A">
        <w:rPr>
          <w:rFonts w:ascii="Arial" w:hAnsi="Arial" w:cs="Arial"/>
          <w:sz w:val="22"/>
          <w:szCs w:val="22"/>
        </w:rPr>
        <w:t>E</w:t>
      </w:r>
      <w:r w:rsidR="00362434" w:rsidRPr="00E7708A">
        <w:rPr>
          <w:rFonts w:ascii="Arial" w:hAnsi="Arial" w:cs="Arial"/>
          <w:sz w:val="22"/>
          <w:szCs w:val="22"/>
        </w:rPr>
        <w:t>xploring these 3 topics will allow me to further my knowledge in a way that is essential to my practice. As a cis-gender SLT</w:t>
      </w:r>
      <w:r w:rsidR="006B0112" w:rsidRPr="00E7708A">
        <w:rPr>
          <w:rFonts w:ascii="Arial" w:hAnsi="Arial" w:cs="Arial"/>
          <w:sz w:val="22"/>
          <w:szCs w:val="22"/>
        </w:rPr>
        <w:t xml:space="preserve"> </w:t>
      </w:r>
      <w:proofErr w:type="gramStart"/>
      <w:r w:rsidR="006B0112" w:rsidRPr="00E7708A">
        <w:rPr>
          <w:rFonts w:ascii="Arial" w:hAnsi="Arial" w:cs="Arial"/>
          <w:sz w:val="22"/>
          <w:szCs w:val="22"/>
        </w:rPr>
        <w:t>( my</w:t>
      </w:r>
      <w:proofErr w:type="gramEnd"/>
      <w:r w:rsidR="006B0112" w:rsidRPr="00E7708A">
        <w:rPr>
          <w:rFonts w:ascii="Arial" w:hAnsi="Arial" w:cs="Arial"/>
          <w:sz w:val="22"/>
          <w:szCs w:val="22"/>
        </w:rPr>
        <w:t xml:space="preserve"> gender identity and sex assigned at birth are the same)</w:t>
      </w:r>
      <w:r w:rsidR="00362434" w:rsidRPr="00E7708A">
        <w:rPr>
          <w:rFonts w:ascii="Arial" w:hAnsi="Arial" w:cs="Arial"/>
          <w:sz w:val="22"/>
          <w:szCs w:val="22"/>
        </w:rPr>
        <w:t xml:space="preserve">, </w:t>
      </w:r>
      <w:r w:rsidR="00B11CCD" w:rsidRPr="00E7708A">
        <w:rPr>
          <w:rFonts w:ascii="Arial" w:hAnsi="Arial" w:cs="Arial"/>
          <w:sz w:val="22"/>
          <w:szCs w:val="22"/>
        </w:rPr>
        <w:t>my perspective is likely to be affected by</w:t>
      </w:r>
      <w:r w:rsidR="00362434" w:rsidRPr="00E7708A">
        <w:rPr>
          <w:rFonts w:ascii="Arial" w:hAnsi="Arial" w:cs="Arial"/>
          <w:sz w:val="22"/>
          <w:szCs w:val="22"/>
        </w:rPr>
        <w:t xml:space="preserve"> my privilege and bias</w:t>
      </w:r>
      <w:r w:rsidR="000800BC" w:rsidRPr="00E7708A">
        <w:rPr>
          <w:rFonts w:ascii="Arial" w:hAnsi="Arial" w:cs="Arial"/>
          <w:sz w:val="22"/>
          <w:szCs w:val="22"/>
        </w:rPr>
        <w:t xml:space="preserve">. </w:t>
      </w:r>
      <w:r w:rsidR="00622698">
        <w:rPr>
          <w:rFonts w:ascii="Arial" w:hAnsi="Arial" w:cs="Arial"/>
          <w:sz w:val="22"/>
          <w:szCs w:val="22"/>
        </w:rPr>
        <w:t>To</w:t>
      </w:r>
      <w:r w:rsidR="000800BC" w:rsidRPr="00E7708A">
        <w:rPr>
          <w:rFonts w:ascii="Arial" w:hAnsi="Arial" w:cs="Arial"/>
          <w:sz w:val="22"/>
          <w:szCs w:val="22"/>
        </w:rPr>
        <w:t xml:space="preserve"> mitigate this, I </w:t>
      </w:r>
      <w:r w:rsidR="00362434" w:rsidRPr="00E7708A">
        <w:rPr>
          <w:rFonts w:ascii="Arial" w:hAnsi="Arial" w:cs="Arial"/>
          <w:sz w:val="22"/>
          <w:szCs w:val="22"/>
        </w:rPr>
        <w:t xml:space="preserve">would like </w:t>
      </w:r>
      <w:r w:rsidR="000800BC" w:rsidRPr="00E7708A">
        <w:rPr>
          <w:rFonts w:ascii="Arial" w:hAnsi="Arial" w:cs="Arial"/>
          <w:sz w:val="22"/>
          <w:szCs w:val="22"/>
        </w:rPr>
        <w:t>to educate myself further around</w:t>
      </w:r>
      <w:r w:rsidR="00362434" w:rsidRPr="00E7708A">
        <w:rPr>
          <w:rFonts w:ascii="Arial" w:hAnsi="Arial" w:cs="Arial"/>
          <w:sz w:val="22"/>
          <w:szCs w:val="22"/>
        </w:rPr>
        <w:t xml:space="preserve"> how to support the TGD population</w:t>
      </w:r>
      <w:r w:rsidR="000800BC" w:rsidRPr="00E7708A">
        <w:rPr>
          <w:rFonts w:ascii="Arial" w:hAnsi="Arial" w:cs="Arial"/>
          <w:sz w:val="22"/>
          <w:szCs w:val="22"/>
        </w:rPr>
        <w:t xml:space="preserve">. </w:t>
      </w:r>
      <w:r w:rsidR="00362434" w:rsidRPr="00E7708A">
        <w:rPr>
          <w:rFonts w:ascii="Arial" w:hAnsi="Arial" w:cs="Arial"/>
          <w:sz w:val="22"/>
          <w:szCs w:val="22"/>
        </w:rPr>
        <w:t xml:space="preserve">Many studies have found that poor clinical education is a large barrier to TGD individuals accessing appropriate healthcare (Call </w:t>
      </w:r>
      <w:r w:rsidR="00362434" w:rsidRPr="00E7708A">
        <w:rPr>
          <w:rFonts w:ascii="Arial" w:hAnsi="Arial" w:cs="Arial"/>
          <w:i/>
          <w:iCs/>
          <w:sz w:val="22"/>
          <w:szCs w:val="22"/>
        </w:rPr>
        <w:t xml:space="preserve">et al, </w:t>
      </w:r>
      <w:r w:rsidR="00362434" w:rsidRPr="00E7708A">
        <w:rPr>
          <w:rFonts w:ascii="Arial" w:hAnsi="Arial" w:cs="Arial"/>
          <w:sz w:val="22"/>
          <w:szCs w:val="22"/>
        </w:rPr>
        <w:t xml:space="preserve">2021; </w:t>
      </w:r>
      <w:proofErr w:type="spellStart"/>
      <w:r w:rsidR="00362434" w:rsidRPr="00E7708A">
        <w:rPr>
          <w:rFonts w:ascii="Arial" w:hAnsi="Arial" w:cs="Arial"/>
          <w:sz w:val="22"/>
          <w:szCs w:val="22"/>
        </w:rPr>
        <w:t>Leikin</w:t>
      </w:r>
      <w:proofErr w:type="spellEnd"/>
      <w:r w:rsidR="00362434" w:rsidRPr="00E7708A">
        <w:rPr>
          <w:rFonts w:ascii="Arial" w:hAnsi="Arial" w:cs="Arial"/>
          <w:sz w:val="22"/>
          <w:szCs w:val="22"/>
        </w:rPr>
        <w:t>, 2019; RCSLT, 2017)</w:t>
      </w:r>
      <w:r w:rsidR="00B11CCD" w:rsidRPr="00E7708A">
        <w:rPr>
          <w:rFonts w:ascii="Arial" w:hAnsi="Arial" w:cs="Arial"/>
          <w:sz w:val="22"/>
          <w:szCs w:val="22"/>
        </w:rPr>
        <w:t xml:space="preserve">. </w:t>
      </w:r>
      <w:r w:rsidR="00362434" w:rsidRPr="00E7708A">
        <w:rPr>
          <w:rFonts w:ascii="Arial" w:hAnsi="Arial" w:cs="Arial"/>
          <w:sz w:val="22"/>
          <w:szCs w:val="22"/>
        </w:rPr>
        <w:t xml:space="preserve">I would like to use my research to educate a broad range of health care professionals. </w:t>
      </w:r>
    </w:p>
    <w:p w14:paraId="436316F0" w14:textId="77777777" w:rsidR="00362434" w:rsidRPr="00E7708A" w:rsidRDefault="00362434" w:rsidP="00E7708A">
      <w:pPr>
        <w:spacing w:line="480" w:lineRule="auto"/>
        <w:jc w:val="both"/>
        <w:rPr>
          <w:rFonts w:ascii="Arial" w:hAnsi="Arial" w:cs="Arial"/>
          <w:b/>
          <w:bCs/>
          <w:sz w:val="22"/>
          <w:szCs w:val="22"/>
          <w:u w:val="single"/>
        </w:rPr>
      </w:pPr>
    </w:p>
    <w:p w14:paraId="3E6825A7" w14:textId="1D6E3239" w:rsidR="00362434" w:rsidRPr="00E7708A" w:rsidRDefault="00FA5036" w:rsidP="00E7708A">
      <w:pPr>
        <w:spacing w:line="480" w:lineRule="auto"/>
        <w:jc w:val="both"/>
        <w:rPr>
          <w:rFonts w:ascii="Arial" w:hAnsi="Arial" w:cs="Arial"/>
          <w:sz w:val="22"/>
          <w:szCs w:val="22"/>
        </w:rPr>
      </w:pPr>
      <w:r w:rsidRPr="00E7708A">
        <w:rPr>
          <w:rFonts w:ascii="Arial" w:hAnsi="Arial" w:cs="Arial"/>
          <w:sz w:val="22"/>
          <w:szCs w:val="22"/>
        </w:rPr>
        <w:t xml:space="preserve">Research into TGD healthcare has expanded greatly in the last 10 years (Mills, Stoneham &amp; </w:t>
      </w:r>
      <w:proofErr w:type="spellStart"/>
      <w:r w:rsidRPr="00E7708A">
        <w:rPr>
          <w:rFonts w:ascii="Arial" w:hAnsi="Arial" w:cs="Arial"/>
          <w:sz w:val="22"/>
          <w:szCs w:val="22"/>
        </w:rPr>
        <w:t>Georgiadou</w:t>
      </w:r>
      <w:proofErr w:type="spellEnd"/>
      <w:r w:rsidRPr="00E7708A">
        <w:rPr>
          <w:rFonts w:ascii="Arial" w:hAnsi="Arial" w:cs="Arial"/>
          <w:sz w:val="22"/>
          <w:szCs w:val="22"/>
        </w:rPr>
        <w:t xml:space="preserve">, 2017) with over 4000 pieces being published in 2022 alone, whereas only 5000 pieces were published between 2000-2002. </w:t>
      </w:r>
      <w:r w:rsidR="00362434" w:rsidRPr="00E7708A">
        <w:rPr>
          <w:rFonts w:ascii="Arial" w:hAnsi="Arial" w:cs="Arial"/>
          <w:sz w:val="22"/>
          <w:szCs w:val="22"/>
        </w:rPr>
        <w:t>However</w:t>
      </w:r>
      <w:r w:rsidR="00B11CCD" w:rsidRPr="00E7708A">
        <w:rPr>
          <w:rFonts w:ascii="Arial" w:hAnsi="Arial" w:cs="Arial"/>
          <w:sz w:val="22"/>
          <w:szCs w:val="22"/>
        </w:rPr>
        <w:t>,</w:t>
      </w:r>
      <w:r w:rsidR="00362434" w:rsidRPr="00E7708A">
        <w:rPr>
          <w:rFonts w:ascii="Arial" w:hAnsi="Arial" w:cs="Arial"/>
          <w:sz w:val="22"/>
          <w:szCs w:val="22"/>
        </w:rPr>
        <w:t xml:space="preserve"> due to the limitations within the evidence base, this research has also included older research to provide an informed picture. The discussion will explore the research base</w:t>
      </w:r>
      <w:r w:rsidR="00B11CCD" w:rsidRPr="00E7708A">
        <w:rPr>
          <w:rFonts w:ascii="Arial" w:hAnsi="Arial" w:cs="Arial"/>
          <w:sz w:val="22"/>
          <w:szCs w:val="22"/>
        </w:rPr>
        <w:t xml:space="preserve"> and </w:t>
      </w:r>
      <w:r w:rsidR="00622698">
        <w:rPr>
          <w:rFonts w:ascii="Arial" w:hAnsi="Arial" w:cs="Arial"/>
          <w:sz w:val="22"/>
          <w:szCs w:val="22"/>
        </w:rPr>
        <w:t>highlight</w:t>
      </w:r>
      <w:r w:rsidR="00362434" w:rsidRPr="00E7708A">
        <w:rPr>
          <w:rFonts w:ascii="Arial" w:hAnsi="Arial" w:cs="Arial"/>
          <w:sz w:val="22"/>
          <w:szCs w:val="22"/>
        </w:rPr>
        <w:t xml:space="preserve"> gaps </w:t>
      </w:r>
      <w:r w:rsidR="00B11CCD" w:rsidRPr="00E7708A">
        <w:rPr>
          <w:rFonts w:ascii="Arial" w:hAnsi="Arial" w:cs="Arial"/>
          <w:sz w:val="22"/>
          <w:szCs w:val="22"/>
        </w:rPr>
        <w:t>with</w:t>
      </w:r>
      <w:r w:rsidR="00362434" w:rsidRPr="00E7708A">
        <w:rPr>
          <w:rFonts w:ascii="Arial" w:hAnsi="Arial" w:cs="Arial"/>
          <w:sz w:val="22"/>
          <w:szCs w:val="22"/>
        </w:rPr>
        <w:t xml:space="preserve">in </w:t>
      </w:r>
      <w:r w:rsidR="00622698">
        <w:rPr>
          <w:rFonts w:ascii="Arial" w:hAnsi="Arial" w:cs="Arial"/>
          <w:sz w:val="22"/>
          <w:szCs w:val="22"/>
        </w:rPr>
        <w:t xml:space="preserve">the </w:t>
      </w:r>
      <w:r w:rsidR="00362434" w:rsidRPr="00E7708A">
        <w:rPr>
          <w:rFonts w:ascii="Arial" w:hAnsi="Arial" w:cs="Arial"/>
          <w:sz w:val="22"/>
          <w:szCs w:val="22"/>
        </w:rPr>
        <w:t xml:space="preserve">literature.  </w:t>
      </w:r>
    </w:p>
    <w:p w14:paraId="051AA1F9" w14:textId="69C485E0" w:rsidR="00362434" w:rsidRPr="00E7708A" w:rsidRDefault="00362434" w:rsidP="00E7708A">
      <w:pPr>
        <w:spacing w:line="480" w:lineRule="auto"/>
        <w:jc w:val="both"/>
        <w:rPr>
          <w:rFonts w:ascii="Arial" w:hAnsi="Arial" w:cs="Arial"/>
          <w:b/>
          <w:bCs/>
          <w:sz w:val="22"/>
          <w:szCs w:val="22"/>
          <w:u w:val="single"/>
        </w:rPr>
      </w:pPr>
    </w:p>
    <w:p w14:paraId="3350D9F6" w14:textId="77777777" w:rsidR="00362434" w:rsidRPr="00E7708A" w:rsidRDefault="00362434" w:rsidP="00E7708A">
      <w:pPr>
        <w:spacing w:line="480" w:lineRule="auto"/>
        <w:jc w:val="both"/>
        <w:rPr>
          <w:rFonts w:ascii="Arial" w:hAnsi="Arial" w:cs="Arial"/>
          <w:b/>
          <w:bCs/>
          <w:sz w:val="22"/>
          <w:szCs w:val="22"/>
          <w:u w:val="single"/>
        </w:rPr>
      </w:pPr>
    </w:p>
    <w:p w14:paraId="2B12B776" w14:textId="3B99003F" w:rsidR="00402E0A" w:rsidRPr="00E7708A" w:rsidRDefault="00535EF8" w:rsidP="00E7708A">
      <w:pPr>
        <w:spacing w:line="480" w:lineRule="auto"/>
        <w:jc w:val="both"/>
        <w:rPr>
          <w:rFonts w:ascii="Arial" w:hAnsi="Arial" w:cs="Arial"/>
          <w:sz w:val="22"/>
          <w:szCs w:val="22"/>
          <w:u w:val="single"/>
        </w:rPr>
      </w:pPr>
      <w:r w:rsidRPr="00E7708A">
        <w:rPr>
          <w:rFonts w:ascii="Arial" w:hAnsi="Arial" w:cs="Arial"/>
          <w:sz w:val="22"/>
          <w:szCs w:val="22"/>
          <w:u w:val="single"/>
        </w:rPr>
        <w:lastRenderedPageBreak/>
        <w:t>The concept of gender</w:t>
      </w:r>
    </w:p>
    <w:p w14:paraId="77AB5117" w14:textId="77777777" w:rsidR="00535EF8" w:rsidRPr="00E7708A" w:rsidRDefault="00535EF8" w:rsidP="00E7708A">
      <w:pPr>
        <w:spacing w:line="480" w:lineRule="auto"/>
        <w:jc w:val="both"/>
        <w:rPr>
          <w:rFonts w:ascii="Arial" w:hAnsi="Arial" w:cs="Arial"/>
          <w:sz w:val="22"/>
          <w:szCs w:val="22"/>
        </w:rPr>
      </w:pPr>
    </w:p>
    <w:p w14:paraId="54460110" w14:textId="6E45741D" w:rsidR="00626D7E" w:rsidRPr="00E7708A" w:rsidRDefault="007B1F6F" w:rsidP="00E7708A">
      <w:pPr>
        <w:spacing w:line="480" w:lineRule="auto"/>
        <w:jc w:val="both"/>
        <w:rPr>
          <w:rFonts w:ascii="Arial" w:hAnsi="Arial" w:cs="Arial"/>
          <w:color w:val="000000" w:themeColor="text1"/>
          <w:sz w:val="22"/>
          <w:szCs w:val="22"/>
        </w:rPr>
      </w:pPr>
      <w:r w:rsidRPr="00E7708A">
        <w:rPr>
          <w:rFonts w:ascii="Arial" w:hAnsi="Arial" w:cs="Arial"/>
          <w:sz w:val="22"/>
          <w:szCs w:val="22"/>
        </w:rPr>
        <w:t>It is essential to consider Cooley’s (19</w:t>
      </w:r>
      <w:r w:rsidR="00FA5036" w:rsidRPr="00E7708A">
        <w:rPr>
          <w:rFonts w:ascii="Arial" w:hAnsi="Arial" w:cs="Arial"/>
          <w:sz w:val="22"/>
          <w:szCs w:val="22"/>
        </w:rPr>
        <w:t>02 p1</w:t>
      </w:r>
      <w:r w:rsidRPr="00E7708A">
        <w:rPr>
          <w:rFonts w:ascii="Arial" w:hAnsi="Arial" w:cs="Arial"/>
          <w:sz w:val="22"/>
          <w:szCs w:val="22"/>
        </w:rPr>
        <w:t xml:space="preserve">) “looking glass self” theory when </w:t>
      </w:r>
      <w:r w:rsidR="00FA5036" w:rsidRPr="00E7708A">
        <w:rPr>
          <w:rFonts w:ascii="Arial" w:hAnsi="Arial" w:cs="Arial"/>
          <w:sz w:val="22"/>
          <w:szCs w:val="22"/>
        </w:rPr>
        <w:t>exploring</w:t>
      </w:r>
      <w:r w:rsidR="00B11CCD" w:rsidRPr="00E7708A">
        <w:rPr>
          <w:rFonts w:ascii="Arial" w:hAnsi="Arial" w:cs="Arial"/>
          <w:sz w:val="22"/>
          <w:szCs w:val="22"/>
        </w:rPr>
        <w:t xml:space="preserve"> </w:t>
      </w:r>
      <w:r w:rsidRPr="00E7708A">
        <w:rPr>
          <w:rFonts w:ascii="Arial" w:hAnsi="Arial" w:cs="Arial"/>
          <w:sz w:val="22"/>
          <w:szCs w:val="22"/>
        </w:rPr>
        <w:t>gender</w:t>
      </w:r>
      <w:r w:rsidR="00FA5036" w:rsidRPr="00E7708A">
        <w:rPr>
          <w:rFonts w:ascii="Arial" w:hAnsi="Arial" w:cs="Arial"/>
          <w:sz w:val="22"/>
          <w:szCs w:val="22"/>
        </w:rPr>
        <w:t>, Cooley’s work has become a seminal piece in recent years to explore gender, marginalisation</w:t>
      </w:r>
      <w:r w:rsidR="00622698">
        <w:rPr>
          <w:rFonts w:ascii="Arial" w:hAnsi="Arial" w:cs="Arial"/>
          <w:sz w:val="22"/>
          <w:szCs w:val="22"/>
        </w:rPr>
        <w:t>,</w:t>
      </w:r>
      <w:r w:rsidR="00FA5036" w:rsidRPr="00E7708A">
        <w:rPr>
          <w:rFonts w:ascii="Arial" w:hAnsi="Arial" w:cs="Arial"/>
          <w:sz w:val="22"/>
          <w:szCs w:val="22"/>
        </w:rPr>
        <w:t xml:space="preserve"> and mental health. Although the work itself is over 100 years old, it is still being used in research now</w:t>
      </w:r>
      <w:r w:rsidR="00B11CCD" w:rsidRPr="00E7708A">
        <w:rPr>
          <w:rFonts w:ascii="Arial" w:hAnsi="Arial" w:cs="Arial"/>
          <w:sz w:val="22"/>
          <w:szCs w:val="22"/>
        </w:rPr>
        <w:t>. T</w:t>
      </w:r>
      <w:r w:rsidRPr="00E7708A">
        <w:rPr>
          <w:rFonts w:ascii="Arial" w:hAnsi="Arial" w:cs="Arial"/>
          <w:sz w:val="22"/>
          <w:szCs w:val="22"/>
        </w:rPr>
        <w:t xml:space="preserve">his explores the idea that we use societal norms to shape our sense of self. When relating this to TGD individuals, their identity may be linked to being seen as ‘non-sexual’ due to societal views (Murry </w:t>
      </w:r>
      <w:r w:rsidRPr="00E7708A">
        <w:rPr>
          <w:rFonts w:ascii="Arial" w:hAnsi="Arial" w:cs="Arial"/>
          <w:i/>
          <w:iCs/>
          <w:sz w:val="22"/>
          <w:szCs w:val="22"/>
        </w:rPr>
        <w:t xml:space="preserve">et al, </w:t>
      </w:r>
      <w:r w:rsidRPr="00E7708A">
        <w:rPr>
          <w:rFonts w:ascii="Arial" w:hAnsi="Arial" w:cs="Arial"/>
          <w:sz w:val="22"/>
          <w:szCs w:val="22"/>
        </w:rPr>
        <w:t xml:space="preserve">2004; </w:t>
      </w:r>
      <w:proofErr w:type="spellStart"/>
      <w:r w:rsidRPr="00E7708A">
        <w:rPr>
          <w:rFonts w:ascii="Arial" w:hAnsi="Arial" w:cs="Arial"/>
          <w:sz w:val="22"/>
          <w:szCs w:val="22"/>
        </w:rPr>
        <w:t>Gelfer</w:t>
      </w:r>
      <w:proofErr w:type="spellEnd"/>
      <w:r w:rsidRPr="00E7708A">
        <w:rPr>
          <w:rFonts w:ascii="Arial" w:hAnsi="Arial" w:cs="Arial"/>
          <w:sz w:val="22"/>
          <w:szCs w:val="22"/>
        </w:rPr>
        <w:t xml:space="preserve"> and Schofield, 2000)</w:t>
      </w:r>
      <w:r w:rsidR="00B11CCD" w:rsidRPr="00E7708A">
        <w:rPr>
          <w:rFonts w:ascii="Arial" w:hAnsi="Arial" w:cs="Arial"/>
          <w:sz w:val="22"/>
          <w:szCs w:val="22"/>
        </w:rPr>
        <w:t xml:space="preserve">. </w:t>
      </w:r>
      <w:r w:rsidR="002241F9" w:rsidRPr="00E7708A">
        <w:rPr>
          <w:rFonts w:ascii="Arial" w:hAnsi="Arial" w:cs="Arial"/>
          <w:sz w:val="22"/>
          <w:szCs w:val="22"/>
        </w:rPr>
        <w:t>Alternatively, TGD individuals may be</w:t>
      </w:r>
      <w:r w:rsidR="00B11CCD" w:rsidRPr="00E7708A">
        <w:rPr>
          <w:rFonts w:ascii="Arial" w:hAnsi="Arial" w:cs="Arial"/>
          <w:sz w:val="22"/>
          <w:szCs w:val="22"/>
        </w:rPr>
        <w:t xml:space="preserve"> w</w:t>
      </w:r>
      <w:r w:rsidRPr="00E7708A">
        <w:rPr>
          <w:rFonts w:ascii="Arial" w:hAnsi="Arial" w:cs="Arial"/>
          <w:sz w:val="22"/>
          <w:szCs w:val="22"/>
        </w:rPr>
        <w:t xml:space="preserve">anting to be seen as hypersexual or appealing to the male gaze after their transition </w:t>
      </w:r>
      <w:r w:rsidRPr="00E7708A">
        <w:rPr>
          <w:rFonts w:ascii="Arial" w:hAnsi="Arial" w:cs="Arial"/>
          <w:color w:val="000000" w:themeColor="text1"/>
          <w:sz w:val="22"/>
          <w:szCs w:val="22"/>
        </w:rPr>
        <w:t xml:space="preserve">(Murry </w:t>
      </w:r>
      <w:r w:rsidRPr="00E7708A">
        <w:rPr>
          <w:rFonts w:ascii="Arial" w:hAnsi="Arial" w:cs="Arial"/>
          <w:i/>
          <w:iCs/>
          <w:color w:val="000000" w:themeColor="text1"/>
          <w:sz w:val="22"/>
          <w:szCs w:val="22"/>
        </w:rPr>
        <w:t xml:space="preserve">et al, </w:t>
      </w:r>
      <w:r w:rsidRPr="00E7708A">
        <w:rPr>
          <w:rFonts w:ascii="Arial" w:hAnsi="Arial" w:cs="Arial"/>
          <w:color w:val="000000" w:themeColor="text1"/>
          <w:sz w:val="22"/>
          <w:szCs w:val="22"/>
        </w:rPr>
        <w:t xml:space="preserve">2004; </w:t>
      </w:r>
      <w:proofErr w:type="spellStart"/>
      <w:r w:rsidRPr="00E7708A">
        <w:rPr>
          <w:rFonts w:ascii="Arial" w:hAnsi="Arial" w:cs="Arial"/>
          <w:color w:val="000000" w:themeColor="text1"/>
          <w:sz w:val="22"/>
          <w:szCs w:val="22"/>
        </w:rPr>
        <w:t>Gelfer</w:t>
      </w:r>
      <w:proofErr w:type="spellEnd"/>
      <w:r w:rsidRPr="00E7708A">
        <w:rPr>
          <w:rFonts w:ascii="Arial" w:hAnsi="Arial" w:cs="Arial"/>
          <w:color w:val="000000" w:themeColor="text1"/>
          <w:sz w:val="22"/>
          <w:szCs w:val="22"/>
        </w:rPr>
        <w:t xml:space="preserve"> and Schofield, 2000</w:t>
      </w:r>
      <w:r w:rsidR="00452828" w:rsidRPr="00E7708A">
        <w:rPr>
          <w:rFonts w:ascii="Arial" w:hAnsi="Arial" w:cs="Arial"/>
          <w:color w:val="000000" w:themeColor="text1"/>
          <w:sz w:val="22"/>
          <w:szCs w:val="22"/>
        </w:rPr>
        <w:t>; Cooper 2022</w:t>
      </w:r>
      <w:r w:rsidRPr="00E7708A">
        <w:rPr>
          <w:rFonts w:ascii="Arial" w:hAnsi="Arial" w:cs="Arial"/>
          <w:color w:val="000000" w:themeColor="text1"/>
          <w:sz w:val="22"/>
          <w:szCs w:val="22"/>
        </w:rPr>
        <w:t>)</w:t>
      </w:r>
      <w:r w:rsidRPr="00E7708A">
        <w:rPr>
          <w:rFonts w:ascii="Arial" w:hAnsi="Arial" w:cs="Arial"/>
          <w:sz w:val="22"/>
          <w:szCs w:val="22"/>
        </w:rPr>
        <w:t>.  The goal of SLT is to help find a voice that reflects one’s inner identity</w:t>
      </w:r>
      <w:r w:rsidR="00B11CCD" w:rsidRPr="00E7708A">
        <w:rPr>
          <w:rFonts w:ascii="Arial" w:hAnsi="Arial" w:cs="Arial"/>
          <w:sz w:val="22"/>
          <w:szCs w:val="22"/>
        </w:rPr>
        <w:t xml:space="preserve"> </w:t>
      </w:r>
      <w:r w:rsidRPr="00E7708A">
        <w:rPr>
          <w:rFonts w:ascii="Arial" w:hAnsi="Arial" w:cs="Arial"/>
          <w:sz w:val="22"/>
          <w:szCs w:val="22"/>
        </w:rPr>
        <w:t>regardless of gender perceptions (</w:t>
      </w:r>
      <w:proofErr w:type="spellStart"/>
      <w:r w:rsidRPr="00E7708A">
        <w:rPr>
          <w:rFonts w:ascii="Arial" w:hAnsi="Arial" w:cs="Arial"/>
          <w:sz w:val="22"/>
          <w:szCs w:val="22"/>
        </w:rPr>
        <w:t>Creaven</w:t>
      </w:r>
      <w:proofErr w:type="spellEnd"/>
      <w:r w:rsidRPr="00E7708A">
        <w:rPr>
          <w:rFonts w:ascii="Arial" w:hAnsi="Arial" w:cs="Arial"/>
          <w:sz w:val="22"/>
          <w:szCs w:val="22"/>
        </w:rPr>
        <w:t xml:space="preserve"> and O’Malley-</w:t>
      </w:r>
      <w:proofErr w:type="spellStart"/>
      <w:r w:rsidRPr="00E7708A">
        <w:rPr>
          <w:rFonts w:ascii="Arial" w:hAnsi="Arial" w:cs="Arial"/>
          <w:sz w:val="22"/>
          <w:szCs w:val="22"/>
        </w:rPr>
        <w:t>Keighran</w:t>
      </w:r>
      <w:proofErr w:type="spellEnd"/>
      <w:r w:rsidRPr="00E7708A">
        <w:rPr>
          <w:rFonts w:ascii="Arial" w:hAnsi="Arial" w:cs="Arial"/>
          <w:sz w:val="22"/>
          <w:szCs w:val="22"/>
        </w:rPr>
        <w:t>, 2018;</w:t>
      </w:r>
      <w:r w:rsidRPr="00E7708A">
        <w:rPr>
          <w:rFonts w:ascii="Arial" w:hAnsi="Arial" w:cs="Arial"/>
          <w:color w:val="000000" w:themeColor="text1"/>
          <w:sz w:val="22"/>
          <w:szCs w:val="22"/>
        </w:rPr>
        <w:t xml:space="preserve"> Hancock and </w:t>
      </w:r>
      <w:proofErr w:type="spellStart"/>
      <w:r w:rsidRPr="00E7708A">
        <w:rPr>
          <w:rFonts w:ascii="Arial" w:hAnsi="Arial" w:cs="Arial"/>
          <w:color w:val="000000" w:themeColor="text1"/>
          <w:sz w:val="22"/>
          <w:szCs w:val="22"/>
        </w:rPr>
        <w:t>Helenius</w:t>
      </w:r>
      <w:proofErr w:type="spellEnd"/>
      <w:r w:rsidRPr="00E7708A">
        <w:rPr>
          <w:rFonts w:ascii="Arial" w:hAnsi="Arial" w:cs="Arial"/>
          <w:color w:val="000000" w:themeColor="text1"/>
          <w:sz w:val="22"/>
          <w:szCs w:val="22"/>
        </w:rPr>
        <w:t xml:space="preserve">, 2012; Wylie </w:t>
      </w:r>
      <w:r w:rsidRPr="00E7708A">
        <w:rPr>
          <w:rFonts w:ascii="Arial" w:hAnsi="Arial" w:cs="Arial"/>
          <w:i/>
          <w:color w:val="000000" w:themeColor="text1"/>
          <w:sz w:val="22"/>
          <w:szCs w:val="22"/>
        </w:rPr>
        <w:t>et al</w:t>
      </w:r>
      <w:r w:rsidRPr="00E7708A">
        <w:rPr>
          <w:rFonts w:ascii="Arial" w:hAnsi="Arial" w:cs="Arial"/>
          <w:color w:val="000000" w:themeColor="text1"/>
          <w:sz w:val="22"/>
          <w:szCs w:val="22"/>
        </w:rPr>
        <w:t>, 2016).</w:t>
      </w:r>
      <w:r w:rsidR="009D1125" w:rsidRPr="00E7708A">
        <w:rPr>
          <w:rFonts w:ascii="Arial" w:hAnsi="Arial" w:cs="Arial"/>
          <w:color w:val="000000" w:themeColor="text1"/>
          <w:sz w:val="22"/>
          <w:szCs w:val="22"/>
        </w:rPr>
        <w:t xml:space="preserve"> </w:t>
      </w:r>
      <w:r w:rsidR="009D1125" w:rsidRPr="00E7708A">
        <w:rPr>
          <w:rFonts w:ascii="Arial" w:hAnsi="Arial" w:cs="Arial"/>
          <w:sz w:val="22"/>
          <w:szCs w:val="22"/>
        </w:rPr>
        <w:t xml:space="preserve">The small-scale studies completed by McNeill </w:t>
      </w:r>
      <w:r w:rsidR="009D1125" w:rsidRPr="00E7708A">
        <w:rPr>
          <w:rFonts w:ascii="Arial" w:hAnsi="Arial" w:cs="Arial"/>
          <w:i/>
          <w:iCs/>
          <w:sz w:val="22"/>
          <w:szCs w:val="22"/>
        </w:rPr>
        <w:t xml:space="preserve">et al </w:t>
      </w:r>
      <w:r w:rsidR="009D1125" w:rsidRPr="00E7708A">
        <w:rPr>
          <w:rFonts w:ascii="Arial" w:hAnsi="Arial" w:cs="Arial"/>
          <w:sz w:val="22"/>
          <w:szCs w:val="22"/>
        </w:rPr>
        <w:t xml:space="preserve">(2008) and Owen and Handcock (2011) found that the outcomes of voice therapy for TGD clients aren’t related to fundamental frequencies, but to being perceived as their desired gender. This emphasises the </w:t>
      </w:r>
      <w:r w:rsidR="00622698">
        <w:rPr>
          <w:rFonts w:ascii="Arial" w:hAnsi="Arial" w:cs="Arial"/>
          <w:sz w:val="22"/>
          <w:szCs w:val="22"/>
        </w:rPr>
        <w:t>idea</w:t>
      </w:r>
      <w:r w:rsidR="009D1125" w:rsidRPr="00E7708A">
        <w:rPr>
          <w:rFonts w:ascii="Arial" w:hAnsi="Arial" w:cs="Arial"/>
          <w:sz w:val="22"/>
          <w:szCs w:val="22"/>
        </w:rPr>
        <w:t xml:space="preserve"> that pitch and intonation are not essential to gender perception, but that understanding what the ‘desired gender’ is and supporting TGD individuals to find this is essential. </w:t>
      </w:r>
      <w:proofErr w:type="spellStart"/>
      <w:r w:rsidR="009D1125" w:rsidRPr="00E7708A">
        <w:rPr>
          <w:rFonts w:ascii="Arial" w:hAnsi="Arial" w:cs="Arial"/>
          <w:sz w:val="22"/>
          <w:szCs w:val="22"/>
        </w:rPr>
        <w:t>Leikin</w:t>
      </w:r>
      <w:proofErr w:type="spellEnd"/>
      <w:r w:rsidR="009D1125" w:rsidRPr="00E7708A">
        <w:rPr>
          <w:rFonts w:ascii="Arial" w:hAnsi="Arial" w:cs="Arial"/>
          <w:sz w:val="22"/>
          <w:szCs w:val="22"/>
        </w:rPr>
        <w:t xml:space="preserve"> (2019) </w:t>
      </w:r>
      <w:r w:rsidR="00B11CCD" w:rsidRPr="00E7708A">
        <w:rPr>
          <w:rFonts w:ascii="Arial" w:hAnsi="Arial" w:cs="Arial"/>
          <w:sz w:val="22"/>
          <w:szCs w:val="22"/>
        </w:rPr>
        <w:t>supports</w:t>
      </w:r>
      <w:r w:rsidR="009D1125" w:rsidRPr="00E7708A">
        <w:rPr>
          <w:rFonts w:ascii="Arial" w:hAnsi="Arial" w:cs="Arial"/>
          <w:sz w:val="22"/>
          <w:szCs w:val="22"/>
        </w:rPr>
        <w:t xml:space="preserve"> this</w:t>
      </w:r>
      <w:r w:rsidR="00B11CCD" w:rsidRPr="00E7708A">
        <w:rPr>
          <w:rFonts w:ascii="Arial" w:hAnsi="Arial" w:cs="Arial"/>
          <w:sz w:val="22"/>
          <w:szCs w:val="22"/>
        </w:rPr>
        <w:t>,</w:t>
      </w:r>
      <w:r w:rsidR="009D1125" w:rsidRPr="00E7708A">
        <w:rPr>
          <w:rFonts w:ascii="Arial" w:hAnsi="Arial" w:cs="Arial"/>
          <w:sz w:val="22"/>
          <w:szCs w:val="22"/>
        </w:rPr>
        <w:t xml:space="preserve"> stating that the scientific and medical communities need to move towards the idea of gender being a spectrum.</w:t>
      </w:r>
      <w:r w:rsidR="009D1125" w:rsidRPr="00E7708A">
        <w:rPr>
          <w:rFonts w:ascii="Arial" w:hAnsi="Arial" w:cs="Arial"/>
          <w:color w:val="000000" w:themeColor="text1"/>
          <w:sz w:val="22"/>
          <w:szCs w:val="22"/>
        </w:rPr>
        <w:t xml:space="preserve"> </w:t>
      </w:r>
      <w:r w:rsidRPr="00E7708A">
        <w:rPr>
          <w:rFonts w:ascii="Arial" w:hAnsi="Arial" w:cs="Arial"/>
          <w:color w:val="000000" w:themeColor="text1"/>
          <w:sz w:val="22"/>
          <w:szCs w:val="22"/>
        </w:rPr>
        <w:t xml:space="preserve">However, it is </w:t>
      </w:r>
      <w:r w:rsidR="00C81806" w:rsidRPr="00E7708A">
        <w:rPr>
          <w:rFonts w:ascii="Arial" w:hAnsi="Arial" w:cs="Arial"/>
          <w:color w:val="000000" w:themeColor="text1"/>
          <w:sz w:val="22"/>
          <w:szCs w:val="22"/>
        </w:rPr>
        <w:t>important</w:t>
      </w:r>
      <w:r w:rsidRPr="00E7708A">
        <w:rPr>
          <w:rFonts w:ascii="Arial" w:hAnsi="Arial" w:cs="Arial"/>
          <w:color w:val="000000" w:themeColor="text1"/>
          <w:sz w:val="22"/>
          <w:szCs w:val="22"/>
        </w:rPr>
        <w:t xml:space="preserve"> to </w:t>
      </w:r>
      <w:r w:rsidR="00C81806" w:rsidRPr="00E7708A">
        <w:rPr>
          <w:rFonts w:ascii="Arial" w:hAnsi="Arial" w:cs="Arial"/>
          <w:sz w:val="22"/>
          <w:szCs w:val="22"/>
        </w:rPr>
        <w:t>consider this alongside the idea</w:t>
      </w:r>
      <w:r w:rsidRPr="00E7708A">
        <w:rPr>
          <w:rFonts w:ascii="Arial" w:hAnsi="Arial" w:cs="Arial"/>
          <w:sz w:val="22"/>
          <w:szCs w:val="22"/>
        </w:rPr>
        <w:t xml:space="preserve"> </w:t>
      </w:r>
      <w:r w:rsidR="00FA5036" w:rsidRPr="00E7708A">
        <w:rPr>
          <w:rFonts w:ascii="Arial" w:hAnsi="Arial" w:cs="Arial"/>
          <w:sz w:val="22"/>
          <w:szCs w:val="22"/>
        </w:rPr>
        <w:t>of</w:t>
      </w:r>
      <w:r w:rsidRPr="00E7708A">
        <w:rPr>
          <w:rFonts w:ascii="Arial" w:hAnsi="Arial" w:cs="Arial"/>
          <w:sz w:val="22"/>
          <w:szCs w:val="22"/>
        </w:rPr>
        <w:t xml:space="preserve"> passing or blending, which is the idea that a TGD</w:t>
      </w:r>
      <w:r w:rsidR="00452828" w:rsidRPr="00E7708A">
        <w:rPr>
          <w:rFonts w:ascii="Arial" w:hAnsi="Arial" w:cs="Arial"/>
          <w:sz w:val="22"/>
          <w:szCs w:val="22"/>
        </w:rPr>
        <w:t xml:space="preserve"> person</w:t>
      </w:r>
      <w:r w:rsidRPr="00E7708A">
        <w:rPr>
          <w:rFonts w:ascii="Arial" w:hAnsi="Arial" w:cs="Arial"/>
          <w:sz w:val="22"/>
          <w:szCs w:val="22"/>
        </w:rPr>
        <w:t xml:space="preserve"> is able to fit into societal boxes around gender and feeds into the concept of safety (Anderson </w:t>
      </w:r>
      <w:r w:rsidRPr="00E7708A">
        <w:rPr>
          <w:rFonts w:ascii="Arial" w:hAnsi="Arial" w:cs="Arial"/>
          <w:i/>
          <w:iCs/>
          <w:sz w:val="22"/>
          <w:szCs w:val="22"/>
        </w:rPr>
        <w:t>et al</w:t>
      </w:r>
      <w:r w:rsidRPr="00E7708A">
        <w:rPr>
          <w:rFonts w:ascii="Arial" w:hAnsi="Arial" w:cs="Arial"/>
          <w:sz w:val="22"/>
          <w:szCs w:val="22"/>
        </w:rPr>
        <w:t xml:space="preserve"> 2019). </w:t>
      </w:r>
      <w:r w:rsidR="00C81806" w:rsidRPr="00E7708A">
        <w:rPr>
          <w:rFonts w:ascii="Arial" w:hAnsi="Arial" w:cs="Arial"/>
          <w:sz w:val="22"/>
          <w:szCs w:val="22"/>
        </w:rPr>
        <w:t xml:space="preserve">Anderson </w:t>
      </w:r>
      <w:r w:rsidR="00C81806" w:rsidRPr="00E7708A">
        <w:rPr>
          <w:rFonts w:ascii="Arial" w:hAnsi="Arial" w:cs="Arial"/>
          <w:i/>
          <w:iCs/>
          <w:sz w:val="22"/>
          <w:szCs w:val="22"/>
        </w:rPr>
        <w:t xml:space="preserve">et al </w:t>
      </w:r>
      <w:r w:rsidR="00C81806" w:rsidRPr="00E7708A">
        <w:rPr>
          <w:rFonts w:ascii="Arial" w:hAnsi="Arial" w:cs="Arial"/>
          <w:sz w:val="22"/>
          <w:szCs w:val="22"/>
        </w:rPr>
        <w:t>(2019) argue that passing helps reduce the risk of transphobia, however</w:t>
      </w:r>
      <w:r w:rsidR="00622698">
        <w:rPr>
          <w:rFonts w:ascii="Arial" w:hAnsi="Arial" w:cs="Arial"/>
          <w:sz w:val="22"/>
          <w:szCs w:val="22"/>
        </w:rPr>
        <w:t>,</w:t>
      </w:r>
      <w:r w:rsidR="00C81806" w:rsidRPr="00E7708A">
        <w:rPr>
          <w:rFonts w:ascii="Arial" w:hAnsi="Arial" w:cs="Arial"/>
          <w:sz w:val="22"/>
          <w:szCs w:val="22"/>
        </w:rPr>
        <w:t xml:space="preserve"> this can sometimes limit a TGD individual’s ability to explore their gender. </w:t>
      </w:r>
      <w:r w:rsidR="00FA5036" w:rsidRPr="00E7708A">
        <w:rPr>
          <w:rFonts w:ascii="Arial" w:hAnsi="Arial" w:cs="Arial"/>
          <w:sz w:val="22"/>
          <w:szCs w:val="22"/>
        </w:rPr>
        <w:t xml:space="preserve">This is often due to negative past experiences by people who view gender as binary, both medically and socially (Anderson </w:t>
      </w:r>
      <w:r w:rsidR="00FA5036" w:rsidRPr="00E7708A">
        <w:rPr>
          <w:rFonts w:ascii="Arial" w:hAnsi="Arial" w:cs="Arial"/>
          <w:i/>
          <w:iCs/>
          <w:sz w:val="22"/>
          <w:szCs w:val="22"/>
        </w:rPr>
        <w:t>et al</w:t>
      </w:r>
      <w:r w:rsidR="00FA5036" w:rsidRPr="00E7708A">
        <w:rPr>
          <w:rFonts w:ascii="Arial" w:hAnsi="Arial" w:cs="Arial"/>
          <w:sz w:val="22"/>
          <w:szCs w:val="22"/>
        </w:rPr>
        <w:t xml:space="preserve"> 2019). This is emphasised by the Government Equalities office (2018) and Cooper </w:t>
      </w:r>
      <w:r w:rsidR="00FA5036" w:rsidRPr="00E7708A">
        <w:rPr>
          <w:rFonts w:ascii="Arial" w:hAnsi="Arial" w:cs="Arial"/>
          <w:i/>
          <w:iCs/>
          <w:sz w:val="22"/>
          <w:szCs w:val="22"/>
        </w:rPr>
        <w:t xml:space="preserve">et al </w:t>
      </w:r>
      <w:r w:rsidR="00FA5036" w:rsidRPr="00E7708A">
        <w:rPr>
          <w:rFonts w:ascii="Arial" w:hAnsi="Arial" w:cs="Arial"/>
          <w:sz w:val="22"/>
          <w:szCs w:val="22"/>
        </w:rPr>
        <w:t xml:space="preserve">(2020) who found that 67% of TGD individuals stated they had avoided being open about their gender identity for fear of a negative reaction from others, highlighting the impact this can have on an </w:t>
      </w:r>
      <w:r w:rsidR="00FA5036" w:rsidRPr="00E7708A">
        <w:rPr>
          <w:rFonts w:ascii="Arial" w:hAnsi="Arial" w:cs="Arial"/>
          <w:sz w:val="22"/>
          <w:szCs w:val="22"/>
        </w:rPr>
        <w:lastRenderedPageBreak/>
        <w:t xml:space="preserve">SLTs work around exploring communication. </w:t>
      </w:r>
      <w:r w:rsidR="00352CAF" w:rsidRPr="00E7708A">
        <w:rPr>
          <w:rFonts w:ascii="Arial" w:hAnsi="Arial" w:cs="Arial"/>
          <w:sz w:val="22"/>
          <w:szCs w:val="22"/>
        </w:rPr>
        <w:t>Citing experience-based practice, I often see that TGD individuals are very eager to fit a ‘one gender’ box</w:t>
      </w:r>
      <w:r w:rsidR="00402E0A" w:rsidRPr="00E7708A">
        <w:rPr>
          <w:rFonts w:ascii="Arial" w:hAnsi="Arial" w:cs="Arial"/>
          <w:sz w:val="22"/>
          <w:szCs w:val="22"/>
        </w:rPr>
        <w:t xml:space="preserve"> </w:t>
      </w:r>
      <w:r w:rsidR="00352CAF" w:rsidRPr="00E7708A">
        <w:rPr>
          <w:rFonts w:ascii="Arial" w:hAnsi="Arial" w:cs="Arial"/>
          <w:sz w:val="22"/>
          <w:szCs w:val="22"/>
        </w:rPr>
        <w:t>when they initially arrive at SLT</w:t>
      </w:r>
      <w:r w:rsidR="007E0EA2" w:rsidRPr="00E7708A">
        <w:rPr>
          <w:rFonts w:ascii="Arial" w:hAnsi="Arial" w:cs="Arial"/>
          <w:sz w:val="22"/>
          <w:szCs w:val="22"/>
        </w:rPr>
        <w:t xml:space="preserve">. </w:t>
      </w:r>
      <w:r w:rsidR="00A34544" w:rsidRPr="00E7708A">
        <w:rPr>
          <w:rFonts w:ascii="Arial" w:hAnsi="Arial" w:cs="Arial"/>
          <w:sz w:val="22"/>
          <w:szCs w:val="22"/>
        </w:rPr>
        <w:t>I</w:t>
      </w:r>
      <w:r w:rsidR="00452828" w:rsidRPr="00E7708A">
        <w:rPr>
          <w:rFonts w:ascii="Arial" w:hAnsi="Arial" w:cs="Arial"/>
          <w:sz w:val="22"/>
          <w:szCs w:val="22"/>
        </w:rPr>
        <w:t>t c</w:t>
      </w:r>
      <w:r w:rsidR="00A34544" w:rsidRPr="00E7708A">
        <w:rPr>
          <w:rFonts w:ascii="Arial" w:hAnsi="Arial" w:cs="Arial"/>
          <w:sz w:val="22"/>
          <w:szCs w:val="22"/>
        </w:rPr>
        <w:t>ould</w:t>
      </w:r>
      <w:r w:rsidR="00452828" w:rsidRPr="00E7708A">
        <w:rPr>
          <w:rFonts w:ascii="Arial" w:hAnsi="Arial" w:cs="Arial"/>
          <w:sz w:val="22"/>
          <w:szCs w:val="22"/>
        </w:rPr>
        <w:t xml:space="preserve"> also </w:t>
      </w:r>
      <w:r w:rsidR="00A34544" w:rsidRPr="00E7708A">
        <w:rPr>
          <w:rFonts w:ascii="Arial" w:hAnsi="Arial" w:cs="Arial"/>
          <w:sz w:val="22"/>
          <w:szCs w:val="22"/>
        </w:rPr>
        <w:t xml:space="preserve">be the result of a </w:t>
      </w:r>
      <w:r w:rsidR="00452828" w:rsidRPr="00E7708A">
        <w:rPr>
          <w:rFonts w:ascii="Arial" w:hAnsi="Arial" w:cs="Arial"/>
          <w:sz w:val="22"/>
          <w:szCs w:val="22"/>
        </w:rPr>
        <w:t xml:space="preserve">standpoint that society viewing you as your desired </w:t>
      </w:r>
      <w:r w:rsidR="00622698">
        <w:rPr>
          <w:rFonts w:ascii="Arial" w:hAnsi="Arial" w:cs="Arial"/>
          <w:sz w:val="22"/>
          <w:szCs w:val="22"/>
        </w:rPr>
        <w:t>gender</w:t>
      </w:r>
      <w:r w:rsidR="00452828" w:rsidRPr="00E7708A">
        <w:rPr>
          <w:rFonts w:ascii="Arial" w:hAnsi="Arial" w:cs="Arial"/>
          <w:sz w:val="22"/>
          <w:szCs w:val="22"/>
        </w:rPr>
        <w:t xml:space="preserve"> is hugely affirming (Cooper 2022)</w:t>
      </w:r>
      <w:r w:rsidR="00A34544" w:rsidRPr="00E7708A">
        <w:rPr>
          <w:rFonts w:ascii="Arial" w:hAnsi="Arial" w:cs="Arial"/>
          <w:sz w:val="22"/>
          <w:szCs w:val="22"/>
        </w:rPr>
        <w:t>. C</w:t>
      </w:r>
      <w:r w:rsidR="00452828" w:rsidRPr="00E7708A">
        <w:rPr>
          <w:rFonts w:ascii="Arial" w:hAnsi="Arial" w:cs="Arial"/>
          <w:sz w:val="22"/>
          <w:szCs w:val="22"/>
        </w:rPr>
        <w:t>onversations had during assessment</w:t>
      </w:r>
      <w:r w:rsidR="00A34544" w:rsidRPr="00E7708A">
        <w:rPr>
          <w:rFonts w:ascii="Arial" w:hAnsi="Arial" w:cs="Arial"/>
          <w:sz w:val="22"/>
          <w:szCs w:val="22"/>
        </w:rPr>
        <w:t>s</w:t>
      </w:r>
      <w:r w:rsidR="00452828" w:rsidRPr="00E7708A">
        <w:rPr>
          <w:rFonts w:ascii="Arial" w:hAnsi="Arial" w:cs="Arial"/>
          <w:sz w:val="22"/>
          <w:szCs w:val="22"/>
        </w:rPr>
        <w:t xml:space="preserve"> need to ensure </w:t>
      </w:r>
      <w:r w:rsidR="00FA5036" w:rsidRPr="00E7708A">
        <w:rPr>
          <w:rFonts w:ascii="Arial" w:hAnsi="Arial" w:cs="Arial"/>
          <w:sz w:val="22"/>
          <w:szCs w:val="22"/>
        </w:rPr>
        <w:t>SLTs</w:t>
      </w:r>
      <w:r w:rsidR="00452828" w:rsidRPr="00E7708A">
        <w:rPr>
          <w:rFonts w:ascii="Arial" w:hAnsi="Arial" w:cs="Arial"/>
          <w:sz w:val="22"/>
          <w:szCs w:val="22"/>
        </w:rPr>
        <w:t xml:space="preserve"> can plot where an individual’s idea of gender perception is routed. </w:t>
      </w:r>
      <w:r w:rsidR="00622698">
        <w:rPr>
          <w:rFonts w:ascii="Arial" w:hAnsi="Arial" w:cs="Arial"/>
          <w:sz w:val="22"/>
          <w:szCs w:val="22"/>
        </w:rPr>
        <w:t>We must acknowledge</w:t>
      </w:r>
      <w:r w:rsidR="00452828" w:rsidRPr="00E7708A">
        <w:rPr>
          <w:rFonts w:ascii="Arial" w:hAnsi="Arial" w:cs="Arial"/>
          <w:sz w:val="22"/>
          <w:szCs w:val="22"/>
        </w:rPr>
        <w:t xml:space="preserve"> that passing and affirmation are valid reasons to want to be clearly seen in one gender, whilst also unpicking the societal expectations that may have forced conformity. </w:t>
      </w:r>
      <w:r w:rsidR="00FA5036" w:rsidRPr="00E7708A">
        <w:rPr>
          <w:rFonts w:ascii="Arial" w:hAnsi="Arial" w:cs="Arial"/>
          <w:sz w:val="22"/>
          <w:szCs w:val="22"/>
        </w:rPr>
        <w:t>SLTs</w:t>
      </w:r>
      <w:r w:rsidR="00452828" w:rsidRPr="00E7708A">
        <w:rPr>
          <w:rFonts w:ascii="Arial" w:hAnsi="Arial" w:cs="Arial"/>
          <w:sz w:val="22"/>
          <w:szCs w:val="22"/>
        </w:rPr>
        <w:t xml:space="preserve"> are not medical gatekeepers, </w:t>
      </w:r>
      <w:r w:rsidR="00452828" w:rsidRPr="00E7708A">
        <w:rPr>
          <w:rFonts w:ascii="Arial" w:hAnsi="Arial" w:cs="Arial"/>
          <w:color w:val="000000" w:themeColor="text1"/>
          <w:sz w:val="22"/>
          <w:szCs w:val="22"/>
        </w:rPr>
        <w:t>meaning SLTs have a stronger therapeutic relationship with clients allowing for more open discussions (</w:t>
      </w:r>
      <w:r w:rsidR="00452828" w:rsidRPr="00E7708A">
        <w:rPr>
          <w:rFonts w:ascii="Arial" w:hAnsi="Arial" w:cs="Arial"/>
          <w:sz w:val="22"/>
          <w:szCs w:val="22"/>
        </w:rPr>
        <w:t>Mills</w:t>
      </w:r>
      <w:r w:rsidR="00C312A7" w:rsidRPr="00E7708A">
        <w:rPr>
          <w:rFonts w:ascii="Arial" w:hAnsi="Arial" w:cs="Arial"/>
          <w:sz w:val="22"/>
          <w:szCs w:val="22"/>
        </w:rPr>
        <w:t xml:space="preserve"> </w:t>
      </w:r>
      <w:r w:rsidR="00C312A7" w:rsidRPr="00E7708A">
        <w:rPr>
          <w:rFonts w:ascii="Arial" w:hAnsi="Arial" w:cs="Arial"/>
          <w:i/>
          <w:iCs/>
          <w:sz w:val="22"/>
          <w:szCs w:val="22"/>
        </w:rPr>
        <w:t xml:space="preserve">et al </w:t>
      </w:r>
      <w:r w:rsidR="00452828" w:rsidRPr="00E7708A">
        <w:rPr>
          <w:rFonts w:ascii="Arial" w:hAnsi="Arial" w:cs="Arial"/>
          <w:color w:val="000000" w:themeColor="text1"/>
          <w:sz w:val="22"/>
          <w:szCs w:val="22"/>
        </w:rPr>
        <w:t>2017).</w:t>
      </w:r>
    </w:p>
    <w:p w14:paraId="0A4C4890" w14:textId="77777777" w:rsidR="00626D7E" w:rsidRPr="00E7708A" w:rsidRDefault="00626D7E" w:rsidP="00E7708A">
      <w:pPr>
        <w:spacing w:line="480" w:lineRule="auto"/>
        <w:jc w:val="both"/>
        <w:rPr>
          <w:rFonts w:ascii="Arial" w:hAnsi="Arial" w:cs="Arial"/>
          <w:sz w:val="22"/>
          <w:szCs w:val="22"/>
        </w:rPr>
      </w:pPr>
    </w:p>
    <w:p w14:paraId="5A1689F2" w14:textId="1D978137" w:rsidR="00535EF8" w:rsidRPr="00E7708A" w:rsidRDefault="00626D7E" w:rsidP="00E7708A">
      <w:pPr>
        <w:spacing w:line="480" w:lineRule="auto"/>
        <w:jc w:val="both"/>
        <w:rPr>
          <w:rFonts w:ascii="Arial" w:hAnsi="Arial" w:cs="Arial"/>
          <w:sz w:val="22"/>
          <w:szCs w:val="22"/>
        </w:rPr>
      </w:pPr>
      <w:r w:rsidRPr="00E7708A">
        <w:rPr>
          <w:rFonts w:ascii="Arial" w:hAnsi="Arial" w:cs="Arial"/>
          <w:sz w:val="22"/>
          <w:szCs w:val="22"/>
        </w:rPr>
        <w:t xml:space="preserve">In order to </w:t>
      </w:r>
      <w:r w:rsidR="00893CA3" w:rsidRPr="00E7708A">
        <w:rPr>
          <w:rFonts w:ascii="Arial" w:hAnsi="Arial" w:cs="Arial"/>
          <w:sz w:val="22"/>
          <w:szCs w:val="22"/>
        </w:rPr>
        <w:t xml:space="preserve">modify my current practice from these findings, I plan to look at the </w:t>
      </w:r>
      <w:r w:rsidR="007E0EA2" w:rsidRPr="00E7708A">
        <w:rPr>
          <w:rFonts w:ascii="Arial" w:hAnsi="Arial" w:cs="Arial"/>
          <w:sz w:val="22"/>
          <w:szCs w:val="22"/>
        </w:rPr>
        <w:t>initial st</w:t>
      </w:r>
      <w:r w:rsidR="00893CA3" w:rsidRPr="00E7708A">
        <w:rPr>
          <w:rFonts w:ascii="Arial" w:hAnsi="Arial" w:cs="Arial"/>
          <w:sz w:val="22"/>
          <w:szCs w:val="22"/>
        </w:rPr>
        <w:t>a</w:t>
      </w:r>
      <w:r w:rsidR="007E0EA2" w:rsidRPr="00E7708A">
        <w:rPr>
          <w:rFonts w:ascii="Arial" w:hAnsi="Arial" w:cs="Arial"/>
          <w:sz w:val="22"/>
          <w:szCs w:val="22"/>
        </w:rPr>
        <w:t>ge of my assessment process</w:t>
      </w:r>
      <w:r w:rsidR="00893CA3" w:rsidRPr="00E7708A">
        <w:rPr>
          <w:rFonts w:ascii="Arial" w:hAnsi="Arial" w:cs="Arial"/>
          <w:sz w:val="22"/>
          <w:szCs w:val="22"/>
        </w:rPr>
        <w:t xml:space="preserve">. </w:t>
      </w:r>
      <w:r w:rsidR="00113A2F" w:rsidRPr="00E7708A">
        <w:rPr>
          <w:rFonts w:ascii="Arial" w:hAnsi="Arial" w:cs="Arial"/>
          <w:sz w:val="22"/>
          <w:szCs w:val="22"/>
        </w:rPr>
        <w:t>I</w:t>
      </w:r>
      <w:r w:rsidR="00893CA3" w:rsidRPr="00E7708A">
        <w:rPr>
          <w:rFonts w:ascii="Arial" w:hAnsi="Arial" w:cs="Arial"/>
          <w:sz w:val="22"/>
          <w:szCs w:val="22"/>
        </w:rPr>
        <w:t>t is essential</w:t>
      </w:r>
      <w:r w:rsidR="00A34544" w:rsidRPr="00E7708A">
        <w:rPr>
          <w:rFonts w:ascii="Arial" w:hAnsi="Arial" w:cs="Arial"/>
          <w:sz w:val="22"/>
          <w:szCs w:val="22"/>
        </w:rPr>
        <w:t xml:space="preserve"> that</w:t>
      </w:r>
      <w:r w:rsidR="00893CA3" w:rsidRPr="00E7708A">
        <w:rPr>
          <w:rFonts w:ascii="Arial" w:hAnsi="Arial" w:cs="Arial"/>
          <w:sz w:val="22"/>
          <w:szCs w:val="22"/>
        </w:rPr>
        <w:t xml:space="preserve"> clinicians</w:t>
      </w:r>
      <w:r w:rsidR="007E0EA2" w:rsidRPr="00E7708A">
        <w:rPr>
          <w:rFonts w:ascii="Arial" w:hAnsi="Arial" w:cs="Arial"/>
          <w:sz w:val="22"/>
          <w:szCs w:val="22"/>
        </w:rPr>
        <w:t xml:space="preserve"> ensure</w:t>
      </w:r>
      <w:r w:rsidR="00352CAF" w:rsidRPr="00E7708A">
        <w:rPr>
          <w:rFonts w:ascii="Arial" w:hAnsi="Arial" w:cs="Arial"/>
          <w:sz w:val="22"/>
          <w:szCs w:val="22"/>
        </w:rPr>
        <w:t xml:space="preserve"> an open dynamic conversation</w:t>
      </w:r>
      <w:r w:rsidR="00D22E75" w:rsidRPr="00E7708A">
        <w:rPr>
          <w:rFonts w:ascii="Arial" w:hAnsi="Arial" w:cs="Arial"/>
          <w:sz w:val="22"/>
          <w:szCs w:val="22"/>
        </w:rPr>
        <w:t xml:space="preserve"> around gender, passing</w:t>
      </w:r>
      <w:r w:rsidR="00622698">
        <w:rPr>
          <w:rFonts w:ascii="Arial" w:hAnsi="Arial" w:cs="Arial"/>
          <w:sz w:val="22"/>
          <w:szCs w:val="22"/>
        </w:rPr>
        <w:t>,</w:t>
      </w:r>
      <w:r w:rsidR="00D22E75" w:rsidRPr="00E7708A">
        <w:rPr>
          <w:rFonts w:ascii="Arial" w:hAnsi="Arial" w:cs="Arial"/>
          <w:sz w:val="22"/>
          <w:szCs w:val="22"/>
        </w:rPr>
        <w:t xml:space="preserve"> and safety</w:t>
      </w:r>
      <w:r w:rsidR="00352CAF" w:rsidRPr="00E7708A">
        <w:rPr>
          <w:rFonts w:ascii="Arial" w:hAnsi="Arial" w:cs="Arial"/>
          <w:sz w:val="22"/>
          <w:szCs w:val="22"/>
        </w:rPr>
        <w:t xml:space="preserve"> </w:t>
      </w:r>
      <w:r w:rsidR="007E0EA2" w:rsidRPr="00E7708A">
        <w:rPr>
          <w:rFonts w:ascii="Arial" w:hAnsi="Arial" w:cs="Arial"/>
          <w:sz w:val="22"/>
          <w:szCs w:val="22"/>
        </w:rPr>
        <w:t xml:space="preserve">which </w:t>
      </w:r>
      <w:r w:rsidR="00352CAF" w:rsidRPr="00E7708A">
        <w:rPr>
          <w:rFonts w:ascii="Arial" w:hAnsi="Arial" w:cs="Arial"/>
          <w:sz w:val="22"/>
          <w:szCs w:val="22"/>
        </w:rPr>
        <w:t xml:space="preserve">often leads to discussions around the minority stress of </w:t>
      </w:r>
      <w:proofErr w:type="spellStart"/>
      <w:r w:rsidR="00352CAF" w:rsidRPr="00E7708A">
        <w:rPr>
          <w:rFonts w:ascii="Arial" w:hAnsi="Arial" w:cs="Arial"/>
          <w:sz w:val="22"/>
          <w:szCs w:val="22"/>
        </w:rPr>
        <w:t>hyperfeminity</w:t>
      </w:r>
      <w:proofErr w:type="spellEnd"/>
      <w:r w:rsidR="00113A2F" w:rsidRPr="00E7708A">
        <w:rPr>
          <w:rFonts w:ascii="Arial" w:hAnsi="Arial" w:cs="Arial"/>
          <w:sz w:val="22"/>
          <w:szCs w:val="22"/>
        </w:rPr>
        <w:t xml:space="preserve"> (</w:t>
      </w:r>
      <w:proofErr w:type="spellStart"/>
      <w:r w:rsidR="00113A2F" w:rsidRPr="00E7708A">
        <w:rPr>
          <w:rFonts w:ascii="Arial" w:hAnsi="Arial" w:cs="Arial"/>
          <w:sz w:val="22"/>
          <w:szCs w:val="22"/>
        </w:rPr>
        <w:t>Leikin</w:t>
      </w:r>
      <w:proofErr w:type="spellEnd"/>
      <w:r w:rsidR="00113A2F" w:rsidRPr="00E7708A">
        <w:rPr>
          <w:rFonts w:ascii="Arial" w:hAnsi="Arial" w:cs="Arial"/>
          <w:sz w:val="22"/>
          <w:szCs w:val="22"/>
        </w:rPr>
        <w:t xml:space="preserve">, 2019; Mills </w:t>
      </w:r>
      <w:r w:rsidR="00113A2F" w:rsidRPr="00E7708A">
        <w:rPr>
          <w:rFonts w:ascii="Arial" w:hAnsi="Arial" w:cs="Arial"/>
          <w:i/>
          <w:iCs/>
          <w:sz w:val="22"/>
          <w:szCs w:val="22"/>
        </w:rPr>
        <w:t>et al</w:t>
      </w:r>
      <w:r w:rsidR="00113A2F" w:rsidRPr="00E7708A">
        <w:rPr>
          <w:rFonts w:ascii="Arial" w:hAnsi="Arial" w:cs="Arial"/>
          <w:sz w:val="22"/>
          <w:szCs w:val="22"/>
        </w:rPr>
        <w:t>, 2017)</w:t>
      </w:r>
      <w:r w:rsidR="00A34544" w:rsidRPr="00E7708A">
        <w:rPr>
          <w:rFonts w:ascii="Arial" w:hAnsi="Arial" w:cs="Arial"/>
          <w:sz w:val="22"/>
          <w:szCs w:val="22"/>
        </w:rPr>
        <w:t>. T</w:t>
      </w:r>
      <w:r w:rsidR="00352CAF" w:rsidRPr="00E7708A">
        <w:rPr>
          <w:rFonts w:ascii="Arial" w:hAnsi="Arial" w:cs="Arial"/>
          <w:sz w:val="22"/>
          <w:szCs w:val="22"/>
        </w:rPr>
        <w:t xml:space="preserve">his can often see a shift in perceived wants from </w:t>
      </w:r>
      <w:r w:rsidR="007E0EA2" w:rsidRPr="00E7708A">
        <w:rPr>
          <w:rFonts w:ascii="Arial" w:hAnsi="Arial" w:cs="Arial"/>
          <w:sz w:val="22"/>
          <w:szCs w:val="22"/>
        </w:rPr>
        <w:t>voice and communication</w:t>
      </w:r>
      <w:r w:rsidR="00E94C50" w:rsidRPr="00E7708A">
        <w:rPr>
          <w:rFonts w:ascii="Arial" w:hAnsi="Arial" w:cs="Arial"/>
          <w:sz w:val="22"/>
          <w:szCs w:val="22"/>
        </w:rPr>
        <w:t xml:space="preserve"> </w:t>
      </w:r>
      <w:r w:rsidR="00113A2F" w:rsidRPr="00E7708A">
        <w:rPr>
          <w:rFonts w:ascii="Arial" w:hAnsi="Arial" w:cs="Arial"/>
          <w:sz w:val="22"/>
          <w:szCs w:val="22"/>
        </w:rPr>
        <w:t>(</w:t>
      </w:r>
      <w:r w:rsidR="00E94C50" w:rsidRPr="00E7708A">
        <w:rPr>
          <w:rFonts w:ascii="Arial" w:hAnsi="Arial" w:cs="Arial"/>
          <w:sz w:val="22"/>
          <w:szCs w:val="22"/>
        </w:rPr>
        <w:t>Mills and Stoneham</w:t>
      </w:r>
      <w:r w:rsidR="00113A2F" w:rsidRPr="00E7708A">
        <w:rPr>
          <w:rFonts w:ascii="Arial" w:hAnsi="Arial" w:cs="Arial"/>
          <w:sz w:val="22"/>
          <w:szCs w:val="22"/>
        </w:rPr>
        <w:t xml:space="preserve">, </w:t>
      </w:r>
      <w:r w:rsidR="00E94C50" w:rsidRPr="00E7708A">
        <w:rPr>
          <w:rFonts w:ascii="Arial" w:hAnsi="Arial" w:cs="Arial"/>
          <w:sz w:val="22"/>
          <w:szCs w:val="22"/>
        </w:rPr>
        <w:t>2020).</w:t>
      </w:r>
      <w:r w:rsidR="00363C4F" w:rsidRPr="00E7708A">
        <w:rPr>
          <w:rFonts w:ascii="Arial" w:hAnsi="Arial" w:cs="Arial"/>
          <w:sz w:val="22"/>
          <w:szCs w:val="22"/>
        </w:rPr>
        <w:t xml:space="preserve"> In order to build these findings into my practice, I have been trying </w:t>
      </w:r>
      <w:r w:rsidR="00352CAF" w:rsidRPr="00E7708A">
        <w:rPr>
          <w:rFonts w:ascii="Arial" w:hAnsi="Arial" w:cs="Arial"/>
          <w:sz w:val="22"/>
          <w:szCs w:val="22"/>
        </w:rPr>
        <w:t xml:space="preserve">to use my voice as an example (which is on the lower end of </w:t>
      </w:r>
      <w:r w:rsidR="00622698">
        <w:rPr>
          <w:rFonts w:ascii="Arial" w:hAnsi="Arial" w:cs="Arial"/>
          <w:sz w:val="22"/>
          <w:szCs w:val="22"/>
        </w:rPr>
        <w:t xml:space="preserve">the </w:t>
      </w:r>
      <w:r w:rsidR="00352CAF" w:rsidRPr="00E7708A">
        <w:rPr>
          <w:rFonts w:ascii="Arial" w:hAnsi="Arial" w:cs="Arial"/>
          <w:sz w:val="22"/>
          <w:szCs w:val="22"/>
        </w:rPr>
        <w:t xml:space="preserve">female pitch) </w:t>
      </w:r>
      <w:r w:rsidR="00402E0A" w:rsidRPr="00E7708A">
        <w:rPr>
          <w:rFonts w:ascii="Arial" w:hAnsi="Arial" w:cs="Arial"/>
          <w:sz w:val="22"/>
          <w:szCs w:val="22"/>
        </w:rPr>
        <w:t xml:space="preserve">and discuss how this does not make me any less female. </w:t>
      </w:r>
      <w:r w:rsidR="00363C4F" w:rsidRPr="00E7708A">
        <w:rPr>
          <w:rFonts w:ascii="Arial" w:hAnsi="Arial" w:cs="Arial"/>
          <w:sz w:val="22"/>
          <w:szCs w:val="22"/>
        </w:rPr>
        <w:t>However</w:t>
      </w:r>
      <w:r w:rsidR="000800BC" w:rsidRPr="00E7708A">
        <w:rPr>
          <w:rFonts w:ascii="Arial" w:hAnsi="Arial" w:cs="Arial"/>
          <w:sz w:val="22"/>
          <w:szCs w:val="22"/>
        </w:rPr>
        <w:t>,</w:t>
      </w:r>
      <w:r w:rsidR="00363C4F" w:rsidRPr="00E7708A">
        <w:rPr>
          <w:rFonts w:ascii="Arial" w:hAnsi="Arial" w:cs="Arial"/>
          <w:sz w:val="22"/>
          <w:szCs w:val="22"/>
        </w:rPr>
        <w:t xml:space="preserve"> this is the point where I must reflect on my privilege, as although my voice is more </w:t>
      </w:r>
      <w:r w:rsidR="00622698">
        <w:rPr>
          <w:rFonts w:ascii="Arial" w:hAnsi="Arial" w:cs="Arial"/>
          <w:sz w:val="22"/>
          <w:szCs w:val="22"/>
        </w:rPr>
        <w:t>gender-fluid</w:t>
      </w:r>
      <w:r w:rsidR="00363C4F" w:rsidRPr="00E7708A">
        <w:rPr>
          <w:rFonts w:ascii="Arial" w:hAnsi="Arial" w:cs="Arial"/>
          <w:sz w:val="22"/>
          <w:szCs w:val="22"/>
        </w:rPr>
        <w:t>, my physical appearance and body language are very female.</w:t>
      </w:r>
      <w:r w:rsidR="000800BC" w:rsidRPr="00E7708A">
        <w:rPr>
          <w:rFonts w:ascii="Arial" w:hAnsi="Arial" w:cs="Arial"/>
          <w:sz w:val="22"/>
          <w:szCs w:val="22"/>
        </w:rPr>
        <w:t xml:space="preserve"> </w:t>
      </w:r>
      <w:proofErr w:type="spellStart"/>
      <w:r w:rsidR="000800BC" w:rsidRPr="00E7708A">
        <w:rPr>
          <w:rFonts w:ascii="Arial" w:hAnsi="Arial" w:cs="Arial"/>
          <w:sz w:val="22"/>
          <w:szCs w:val="22"/>
        </w:rPr>
        <w:t>Leikin</w:t>
      </w:r>
      <w:proofErr w:type="spellEnd"/>
      <w:r w:rsidR="000800BC" w:rsidRPr="00E7708A">
        <w:rPr>
          <w:rFonts w:ascii="Arial" w:hAnsi="Arial" w:cs="Arial"/>
          <w:sz w:val="22"/>
          <w:szCs w:val="22"/>
        </w:rPr>
        <w:t xml:space="preserve"> (2019) has emphasised the gaps in best practice when it comes to gender perceptions. </w:t>
      </w:r>
      <w:r w:rsidR="00FA5036" w:rsidRPr="00E7708A">
        <w:rPr>
          <w:rFonts w:ascii="Arial" w:hAnsi="Arial" w:cs="Arial"/>
          <w:sz w:val="22"/>
          <w:szCs w:val="22"/>
        </w:rPr>
        <w:t xml:space="preserve">When reflecting on my work as a therapist, I have noticed </w:t>
      </w:r>
      <w:r w:rsidR="000800BC" w:rsidRPr="00E7708A">
        <w:rPr>
          <w:rFonts w:ascii="Arial" w:hAnsi="Arial" w:cs="Arial"/>
          <w:sz w:val="22"/>
          <w:szCs w:val="22"/>
        </w:rPr>
        <w:t xml:space="preserve">that I am already building the idea of gender being a spectrum into my work by teaching female, male and non-binary techniques in my clinic. </w:t>
      </w:r>
      <w:r w:rsidR="00FA5036" w:rsidRPr="00E7708A">
        <w:rPr>
          <w:rFonts w:ascii="Arial" w:hAnsi="Arial" w:cs="Arial"/>
          <w:sz w:val="22"/>
          <w:szCs w:val="22"/>
        </w:rPr>
        <w:t xml:space="preserve">Citing practice-based evidence, </w:t>
      </w:r>
      <w:r w:rsidR="000800BC" w:rsidRPr="00E7708A">
        <w:rPr>
          <w:rFonts w:ascii="Arial" w:hAnsi="Arial" w:cs="Arial"/>
          <w:sz w:val="22"/>
          <w:szCs w:val="22"/>
        </w:rPr>
        <w:t xml:space="preserve">this helps not only to see differences in voices but also gives individuals a tool kit to explore their voice and gender beyond the male or female boxes. This is emulated </w:t>
      </w:r>
      <w:r w:rsidR="00622698">
        <w:rPr>
          <w:rFonts w:ascii="Arial" w:hAnsi="Arial" w:cs="Arial"/>
          <w:sz w:val="22"/>
          <w:szCs w:val="22"/>
        </w:rPr>
        <w:t>by</w:t>
      </w:r>
      <w:r w:rsidR="000800BC" w:rsidRPr="00E7708A">
        <w:rPr>
          <w:rFonts w:ascii="Arial" w:hAnsi="Arial" w:cs="Arial"/>
          <w:sz w:val="22"/>
          <w:szCs w:val="22"/>
        </w:rPr>
        <w:t xml:space="preserve"> Diamond and Butterworth (2008</w:t>
      </w:r>
      <w:r w:rsidR="00113A2F" w:rsidRPr="00E7708A">
        <w:rPr>
          <w:rFonts w:ascii="Arial" w:hAnsi="Arial" w:cs="Arial"/>
          <w:sz w:val="22"/>
          <w:szCs w:val="22"/>
        </w:rPr>
        <w:t xml:space="preserve"> p2</w:t>
      </w:r>
      <w:r w:rsidR="000800BC" w:rsidRPr="00E7708A">
        <w:rPr>
          <w:rFonts w:ascii="Arial" w:hAnsi="Arial" w:cs="Arial"/>
          <w:sz w:val="22"/>
          <w:szCs w:val="22"/>
        </w:rPr>
        <w:t>) who state</w:t>
      </w:r>
      <w:r w:rsidR="00622698">
        <w:rPr>
          <w:rFonts w:ascii="Arial" w:hAnsi="Arial" w:cs="Arial"/>
          <w:sz w:val="22"/>
          <w:szCs w:val="22"/>
        </w:rPr>
        <w:t xml:space="preserve"> </w:t>
      </w:r>
      <w:r w:rsidR="000800BC" w:rsidRPr="00E7708A">
        <w:rPr>
          <w:rFonts w:ascii="Arial" w:hAnsi="Arial" w:cs="Arial"/>
          <w:sz w:val="22"/>
          <w:szCs w:val="22"/>
        </w:rPr>
        <w:t>that there has been a shift from the goal to be “stable, integrated, unambiguous” following transition. Another reflect</w:t>
      </w:r>
      <w:r w:rsidR="00A34544" w:rsidRPr="00E7708A">
        <w:rPr>
          <w:rFonts w:ascii="Arial" w:hAnsi="Arial" w:cs="Arial"/>
          <w:sz w:val="22"/>
          <w:szCs w:val="22"/>
        </w:rPr>
        <w:t xml:space="preserve">ion has been on my undergraduate and post-graduate TGD </w:t>
      </w:r>
      <w:r w:rsidR="00A34544" w:rsidRPr="00E7708A">
        <w:rPr>
          <w:rFonts w:ascii="Arial" w:hAnsi="Arial" w:cs="Arial"/>
          <w:sz w:val="22"/>
          <w:szCs w:val="22"/>
        </w:rPr>
        <w:lastRenderedPageBreak/>
        <w:t xml:space="preserve">learning, as </w:t>
      </w:r>
      <w:r w:rsidR="00352CAF" w:rsidRPr="00E7708A">
        <w:rPr>
          <w:rFonts w:ascii="Arial" w:hAnsi="Arial" w:cs="Arial"/>
          <w:sz w:val="22"/>
          <w:szCs w:val="22"/>
        </w:rPr>
        <w:t>there seems to be a split between female</w:t>
      </w:r>
      <w:r w:rsidR="00113A2F" w:rsidRPr="00E7708A">
        <w:rPr>
          <w:rFonts w:ascii="Arial" w:hAnsi="Arial" w:cs="Arial"/>
          <w:sz w:val="22"/>
          <w:szCs w:val="22"/>
        </w:rPr>
        <w:t xml:space="preserve"> </w:t>
      </w:r>
      <w:r w:rsidR="00352CAF" w:rsidRPr="00E7708A">
        <w:rPr>
          <w:rFonts w:ascii="Arial" w:hAnsi="Arial" w:cs="Arial"/>
          <w:sz w:val="22"/>
          <w:szCs w:val="22"/>
        </w:rPr>
        <w:t xml:space="preserve">and male </w:t>
      </w:r>
      <w:r w:rsidR="00622698">
        <w:rPr>
          <w:rFonts w:ascii="Arial" w:hAnsi="Arial" w:cs="Arial"/>
          <w:sz w:val="22"/>
          <w:szCs w:val="22"/>
        </w:rPr>
        <w:t>voices</w:t>
      </w:r>
      <w:r w:rsidR="00352CAF" w:rsidRPr="00E7708A">
        <w:rPr>
          <w:rFonts w:ascii="Arial" w:hAnsi="Arial" w:cs="Arial"/>
          <w:sz w:val="22"/>
          <w:szCs w:val="22"/>
        </w:rPr>
        <w:t>, with very little</w:t>
      </w:r>
      <w:r w:rsidR="00402E0A" w:rsidRPr="00E7708A">
        <w:rPr>
          <w:rFonts w:ascii="Arial" w:hAnsi="Arial" w:cs="Arial"/>
          <w:sz w:val="22"/>
          <w:szCs w:val="22"/>
        </w:rPr>
        <w:t xml:space="preserve"> </w:t>
      </w:r>
      <w:r w:rsidR="00352CAF" w:rsidRPr="00E7708A">
        <w:rPr>
          <w:rFonts w:ascii="Arial" w:hAnsi="Arial" w:cs="Arial"/>
          <w:sz w:val="22"/>
          <w:szCs w:val="22"/>
        </w:rPr>
        <w:t xml:space="preserve">acknowledgment for the non-binary voice. There is also a clear idea that a female communication style is </w:t>
      </w:r>
      <w:r w:rsidR="00622698">
        <w:rPr>
          <w:rFonts w:ascii="Arial" w:hAnsi="Arial" w:cs="Arial"/>
          <w:sz w:val="22"/>
          <w:szCs w:val="22"/>
        </w:rPr>
        <w:t xml:space="preserve">a </w:t>
      </w:r>
      <w:r w:rsidR="00352CAF" w:rsidRPr="00E7708A">
        <w:rPr>
          <w:rFonts w:ascii="Arial" w:hAnsi="Arial" w:cs="Arial"/>
          <w:sz w:val="22"/>
          <w:szCs w:val="22"/>
        </w:rPr>
        <w:t>high pitch, friendly, open and caring with male communication being the opposite</w:t>
      </w:r>
      <w:r w:rsidR="00C27610" w:rsidRPr="00E7708A">
        <w:rPr>
          <w:rFonts w:ascii="Arial" w:hAnsi="Arial" w:cs="Arial"/>
          <w:sz w:val="22"/>
          <w:szCs w:val="22"/>
        </w:rPr>
        <w:t xml:space="preserve"> (</w:t>
      </w:r>
      <w:proofErr w:type="spellStart"/>
      <w:r w:rsidR="00C27610" w:rsidRPr="00E7708A">
        <w:rPr>
          <w:rFonts w:ascii="Arial" w:hAnsi="Arial" w:cs="Arial"/>
          <w:sz w:val="22"/>
          <w:szCs w:val="22"/>
          <w:lang w:bidi="en-US"/>
        </w:rPr>
        <w:t>Dacakis</w:t>
      </w:r>
      <w:proofErr w:type="spellEnd"/>
      <w:r w:rsidR="00C27610" w:rsidRPr="00E7708A">
        <w:rPr>
          <w:rFonts w:ascii="Arial" w:hAnsi="Arial" w:cs="Arial"/>
          <w:sz w:val="22"/>
          <w:szCs w:val="22"/>
          <w:lang w:bidi="en-US"/>
        </w:rPr>
        <w:t xml:space="preserve"> </w:t>
      </w:r>
      <w:r w:rsidR="00C27610" w:rsidRPr="00E7708A">
        <w:rPr>
          <w:rFonts w:ascii="Arial" w:hAnsi="Arial" w:cs="Arial"/>
          <w:i/>
          <w:iCs/>
          <w:sz w:val="22"/>
          <w:szCs w:val="22"/>
          <w:lang w:bidi="en-US"/>
        </w:rPr>
        <w:t xml:space="preserve">et al </w:t>
      </w:r>
      <w:r w:rsidR="00C27610" w:rsidRPr="00E7708A">
        <w:rPr>
          <w:rFonts w:ascii="Arial" w:hAnsi="Arial" w:cs="Arial"/>
          <w:sz w:val="22"/>
          <w:szCs w:val="22"/>
          <w:lang w:bidi="en-US"/>
        </w:rPr>
        <w:t>2012)</w:t>
      </w:r>
      <w:r w:rsidR="00A34544" w:rsidRPr="00E7708A">
        <w:rPr>
          <w:rFonts w:ascii="Arial" w:hAnsi="Arial" w:cs="Arial"/>
          <w:sz w:val="22"/>
          <w:szCs w:val="22"/>
          <w:lang w:bidi="en-US"/>
        </w:rPr>
        <w:t>. This highlights</w:t>
      </w:r>
      <w:r w:rsidR="000800BC" w:rsidRPr="00E7708A">
        <w:rPr>
          <w:rFonts w:ascii="Arial" w:hAnsi="Arial" w:cs="Arial"/>
          <w:sz w:val="22"/>
          <w:szCs w:val="22"/>
        </w:rPr>
        <w:t xml:space="preserve"> the lack of understanding of gender as a spectrum (</w:t>
      </w:r>
      <w:proofErr w:type="spellStart"/>
      <w:r w:rsidR="000800BC" w:rsidRPr="00E7708A">
        <w:rPr>
          <w:rFonts w:ascii="Arial" w:hAnsi="Arial" w:cs="Arial"/>
          <w:sz w:val="22"/>
          <w:szCs w:val="22"/>
        </w:rPr>
        <w:t>Leikin</w:t>
      </w:r>
      <w:proofErr w:type="spellEnd"/>
      <w:r w:rsidR="000800BC" w:rsidRPr="00E7708A">
        <w:rPr>
          <w:rFonts w:ascii="Arial" w:hAnsi="Arial" w:cs="Arial"/>
          <w:sz w:val="22"/>
          <w:szCs w:val="22"/>
        </w:rPr>
        <w:t xml:space="preserve"> 2019).</w:t>
      </w:r>
      <w:r w:rsidR="00352CAF" w:rsidRPr="00E7708A">
        <w:rPr>
          <w:rFonts w:ascii="Arial" w:hAnsi="Arial" w:cs="Arial"/>
          <w:sz w:val="22"/>
          <w:szCs w:val="22"/>
        </w:rPr>
        <w:t xml:space="preserve"> </w:t>
      </w:r>
      <w:r w:rsidR="000800BC" w:rsidRPr="00E7708A">
        <w:rPr>
          <w:rFonts w:ascii="Arial" w:hAnsi="Arial" w:cs="Arial"/>
          <w:sz w:val="22"/>
          <w:szCs w:val="22"/>
        </w:rPr>
        <w:t xml:space="preserve">I </w:t>
      </w:r>
      <w:r w:rsidR="00535EF8" w:rsidRPr="00E7708A">
        <w:rPr>
          <w:rFonts w:ascii="Arial" w:hAnsi="Arial" w:cs="Arial"/>
          <w:sz w:val="22"/>
          <w:szCs w:val="22"/>
        </w:rPr>
        <w:t xml:space="preserve">plan to use my learning to guide </w:t>
      </w:r>
      <w:r w:rsidR="00622698">
        <w:rPr>
          <w:rFonts w:ascii="Arial" w:hAnsi="Arial" w:cs="Arial"/>
          <w:sz w:val="22"/>
          <w:szCs w:val="22"/>
        </w:rPr>
        <w:t xml:space="preserve">the </w:t>
      </w:r>
      <w:r w:rsidR="00535EF8" w:rsidRPr="00E7708A">
        <w:rPr>
          <w:rFonts w:ascii="Arial" w:hAnsi="Arial" w:cs="Arial"/>
          <w:sz w:val="22"/>
          <w:szCs w:val="22"/>
        </w:rPr>
        <w:t xml:space="preserve">teaching </w:t>
      </w:r>
      <w:r w:rsidR="00A34544" w:rsidRPr="00E7708A">
        <w:rPr>
          <w:rFonts w:ascii="Arial" w:hAnsi="Arial" w:cs="Arial"/>
          <w:sz w:val="22"/>
          <w:szCs w:val="22"/>
        </w:rPr>
        <w:t xml:space="preserve">of other </w:t>
      </w:r>
      <w:r w:rsidR="00535EF8" w:rsidRPr="00E7708A">
        <w:rPr>
          <w:rFonts w:ascii="Arial" w:hAnsi="Arial" w:cs="Arial"/>
          <w:sz w:val="22"/>
          <w:szCs w:val="22"/>
        </w:rPr>
        <w:t>health care professionals who are working with TGD individuals, specifically those who do not work closely with the population consistently</w:t>
      </w:r>
      <w:r w:rsidR="00A34544" w:rsidRPr="00E7708A">
        <w:rPr>
          <w:rFonts w:ascii="Arial" w:hAnsi="Arial" w:cs="Arial"/>
          <w:sz w:val="22"/>
          <w:szCs w:val="22"/>
        </w:rPr>
        <w:t xml:space="preserve">, </w:t>
      </w:r>
      <w:r w:rsidR="00535EF8" w:rsidRPr="00E7708A">
        <w:rPr>
          <w:rFonts w:ascii="Arial" w:hAnsi="Arial" w:cs="Arial"/>
          <w:sz w:val="22"/>
          <w:szCs w:val="22"/>
        </w:rPr>
        <w:t xml:space="preserve">such as non-specialist </w:t>
      </w:r>
      <w:r w:rsidR="00FA5036" w:rsidRPr="00E7708A">
        <w:rPr>
          <w:rFonts w:ascii="Arial" w:hAnsi="Arial" w:cs="Arial"/>
          <w:sz w:val="22"/>
          <w:szCs w:val="22"/>
        </w:rPr>
        <w:t>GPs</w:t>
      </w:r>
      <w:r w:rsidR="00535EF8" w:rsidRPr="00E7708A">
        <w:rPr>
          <w:rFonts w:ascii="Arial" w:hAnsi="Arial" w:cs="Arial"/>
          <w:sz w:val="22"/>
          <w:szCs w:val="22"/>
        </w:rPr>
        <w:t xml:space="preserve"> or </w:t>
      </w:r>
      <w:r w:rsidR="00113A2F" w:rsidRPr="00E7708A">
        <w:rPr>
          <w:rFonts w:ascii="Arial" w:hAnsi="Arial" w:cs="Arial"/>
          <w:sz w:val="22"/>
          <w:szCs w:val="22"/>
        </w:rPr>
        <w:t>administrative</w:t>
      </w:r>
      <w:r w:rsidR="00535EF8" w:rsidRPr="00E7708A">
        <w:rPr>
          <w:rFonts w:ascii="Arial" w:hAnsi="Arial" w:cs="Arial"/>
          <w:sz w:val="22"/>
          <w:szCs w:val="22"/>
        </w:rPr>
        <w:t xml:space="preserve"> staff. I plan to build this alongside training in pronouns and titles (such as she/they and Mx) in order to help educate a broader range of gender as suggested by </w:t>
      </w:r>
      <w:proofErr w:type="spellStart"/>
      <w:r w:rsidR="00535EF8" w:rsidRPr="00E7708A">
        <w:rPr>
          <w:rFonts w:ascii="Arial" w:hAnsi="Arial" w:cs="Arial"/>
          <w:sz w:val="22"/>
          <w:szCs w:val="22"/>
        </w:rPr>
        <w:t>Leikin</w:t>
      </w:r>
      <w:proofErr w:type="spellEnd"/>
      <w:r w:rsidR="00535EF8" w:rsidRPr="00E7708A">
        <w:rPr>
          <w:rFonts w:ascii="Arial" w:hAnsi="Arial" w:cs="Arial"/>
          <w:sz w:val="22"/>
          <w:szCs w:val="22"/>
        </w:rPr>
        <w:t xml:space="preserve"> (2019).</w:t>
      </w:r>
      <w:r w:rsidR="00893CA3" w:rsidRPr="00E7708A">
        <w:rPr>
          <w:rFonts w:ascii="Arial" w:hAnsi="Arial" w:cs="Arial"/>
          <w:sz w:val="22"/>
          <w:szCs w:val="22"/>
        </w:rPr>
        <w:t xml:space="preserve"> </w:t>
      </w:r>
      <w:r w:rsidR="00880A69" w:rsidRPr="00E7708A">
        <w:rPr>
          <w:rFonts w:ascii="Arial" w:hAnsi="Arial" w:cs="Arial"/>
          <w:sz w:val="22"/>
          <w:szCs w:val="22"/>
        </w:rPr>
        <w:t xml:space="preserve">The </w:t>
      </w:r>
      <w:r w:rsidR="00893CA3" w:rsidRPr="00E7708A">
        <w:rPr>
          <w:rFonts w:ascii="Arial" w:hAnsi="Arial" w:cs="Arial"/>
          <w:sz w:val="22"/>
          <w:szCs w:val="22"/>
        </w:rPr>
        <w:t xml:space="preserve">reflection </w:t>
      </w:r>
      <w:r w:rsidR="00622698">
        <w:rPr>
          <w:rFonts w:ascii="Arial" w:hAnsi="Arial" w:cs="Arial"/>
          <w:sz w:val="22"/>
          <w:szCs w:val="22"/>
        </w:rPr>
        <w:t>on</w:t>
      </w:r>
      <w:r w:rsidR="00893CA3" w:rsidRPr="00E7708A">
        <w:rPr>
          <w:rFonts w:ascii="Arial" w:hAnsi="Arial" w:cs="Arial"/>
          <w:sz w:val="22"/>
          <w:szCs w:val="22"/>
        </w:rPr>
        <w:t xml:space="preserve"> my university teaching indicates that</w:t>
      </w:r>
      <w:r w:rsidR="00880A69" w:rsidRPr="00E7708A">
        <w:rPr>
          <w:rFonts w:ascii="Arial" w:hAnsi="Arial" w:cs="Arial"/>
          <w:sz w:val="22"/>
          <w:szCs w:val="22"/>
        </w:rPr>
        <w:t xml:space="preserve"> </w:t>
      </w:r>
      <w:r w:rsidR="00893CA3" w:rsidRPr="00E7708A">
        <w:rPr>
          <w:rFonts w:ascii="Arial" w:hAnsi="Arial" w:cs="Arial"/>
          <w:sz w:val="22"/>
          <w:szCs w:val="22"/>
        </w:rPr>
        <w:t>as a profession</w:t>
      </w:r>
      <w:r w:rsidR="00880A69" w:rsidRPr="00E7708A">
        <w:rPr>
          <w:rFonts w:ascii="Arial" w:hAnsi="Arial" w:cs="Arial"/>
          <w:sz w:val="22"/>
          <w:szCs w:val="22"/>
        </w:rPr>
        <w:t>, we</w:t>
      </w:r>
      <w:r w:rsidR="00893CA3" w:rsidRPr="00E7708A">
        <w:rPr>
          <w:rFonts w:ascii="Arial" w:hAnsi="Arial" w:cs="Arial"/>
          <w:sz w:val="22"/>
          <w:szCs w:val="22"/>
        </w:rPr>
        <w:t xml:space="preserve"> may need to review the evidence </w:t>
      </w:r>
      <w:r w:rsidR="000800BC" w:rsidRPr="00E7708A">
        <w:rPr>
          <w:rFonts w:ascii="Arial" w:hAnsi="Arial" w:cs="Arial"/>
          <w:sz w:val="22"/>
          <w:szCs w:val="22"/>
        </w:rPr>
        <w:t>base</w:t>
      </w:r>
      <w:r w:rsidR="00880A69" w:rsidRPr="00E7708A">
        <w:rPr>
          <w:rFonts w:ascii="Arial" w:hAnsi="Arial" w:cs="Arial"/>
          <w:sz w:val="22"/>
          <w:szCs w:val="22"/>
        </w:rPr>
        <w:t xml:space="preserve"> that is taught </w:t>
      </w:r>
      <w:r w:rsidR="00893CA3" w:rsidRPr="00E7708A">
        <w:rPr>
          <w:rFonts w:ascii="Arial" w:hAnsi="Arial" w:cs="Arial"/>
          <w:sz w:val="22"/>
          <w:szCs w:val="22"/>
        </w:rPr>
        <w:t xml:space="preserve">due to the shift in perceptions and therapy pathways with the TGD population as argued by Wylie </w:t>
      </w:r>
      <w:r w:rsidR="00893CA3" w:rsidRPr="00E7708A">
        <w:rPr>
          <w:rFonts w:ascii="Arial" w:hAnsi="Arial" w:cs="Arial"/>
          <w:i/>
          <w:sz w:val="22"/>
          <w:szCs w:val="22"/>
        </w:rPr>
        <w:t>et al</w:t>
      </w:r>
      <w:r w:rsidR="00893CA3" w:rsidRPr="00E7708A">
        <w:rPr>
          <w:rFonts w:ascii="Arial" w:hAnsi="Arial" w:cs="Arial"/>
          <w:sz w:val="22"/>
          <w:szCs w:val="22"/>
        </w:rPr>
        <w:t xml:space="preserve"> (2016). </w:t>
      </w:r>
    </w:p>
    <w:p w14:paraId="3D5BDBB6" w14:textId="6940A3D6" w:rsidR="00452828" w:rsidRPr="00E7708A" w:rsidRDefault="00452828" w:rsidP="00E7708A">
      <w:pPr>
        <w:spacing w:line="480" w:lineRule="auto"/>
        <w:jc w:val="both"/>
        <w:rPr>
          <w:rFonts w:ascii="Arial" w:hAnsi="Arial" w:cs="Arial"/>
          <w:b/>
          <w:bCs/>
          <w:sz w:val="22"/>
          <w:szCs w:val="22"/>
          <w:u w:val="single"/>
        </w:rPr>
      </w:pPr>
    </w:p>
    <w:p w14:paraId="6FDA3A55" w14:textId="77777777" w:rsidR="00452828" w:rsidRPr="00E7708A" w:rsidRDefault="00452828" w:rsidP="00E7708A">
      <w:pPr>
        <w:spacing w:line="480" w:lineRule="auto"/>
        <w:jc w:val="both"/>
        <w:rPr>
          <w:rFonts w:ascii="Arial" w:hAnsi="Arial" w:cs="Arial"/>
          <w:sz w:val="22"/>
          <w:szCs w:val="22"/>
          <w:u w:val="single"/>
        </w:rPr>
      </w:pPr>
    </w:p>
    <w:p w14:paraId="7D3A4A75" w14:textId="725EE3F3" w:rsidR="00412841" w:rsidRPr="00E7708A" w:rsidRDefault="00535EF8" w:rsidP="00E7708A">
      <w:pPr>
        <w:spacing w:line="480" w:lineRule="auto"/>
        <w:jc w:val="both"/>
        <w:rPr>
          <w:rFonts w:ascii="Arial" w:hAnsi="Arial" w:cs="Arial"/>
          <w:sz w:val="22"/>
          <w:szCs w:val="22"/>
          <w:u w:val="single"/>
        </w:rPr>
      </w:pPr>
      <w:r w:rsidRPr="00E7708A">
        <w:rPr>
          <w:rFonts w:ascii="Arial" w:hAnsi="Arial" w:cs="Arial"/>
          <w:sz w:val="22"/>
          <w:szCs w:val="22"/>
          <w:u w:val="single"/>
        </w:rPr>
        <w:t xml:space="preserve">Theory of </w:t>
      </w:r>
      <w:r w:rsidR="00412841" w:rsidRPr="00E7708A">
        <w:rPr>
          <w:rFonts w:ascii="Arial" w:hAnsi="Arial" w:cs="Arial"/>
          <w:sz w:val="22"/>
          <w:szCs w:val="22"/>
          <w:u w:val="single"/>
        </w:rPr>
        <w:t>Intersectionality</w:t>
      </w:r>
    </w:p>
    <w:p w14:paraId="43D06011" w14:textId="77777777" w:rsidR="00893CA3" w:rsidRPr="00E7708A" w:rsidRDefault="00893CA3" w:rsidP="00E7708A">
      <w:pPr>
        <w:spacing w:line="480" w:lineRule="auto"/>
        <w:jc w:val="both"/>
        <w:rPr>
          <w:rFonts w:ascii="Arial" w:hAnsi="Arial" w:cs="Arial"/>
          <w:sz w:val="22"/>
          <w:szCs w:val="22"/>
        </w:rPr>
      </w:pPr>
    </w:p>
    <w:p w14:paraId="1703EB55" w14:textId="7B54FF24" w:rsidR="0035234F" w:rsidRPr="00E7708A" w:rsidRDefault="00F64DB0" w:rsidP="00E7708A">
      <w:pPr>
        <w:spacing w:line="480" w:lineRule="auto"/>
        <w:jc w:val="both"/>
        <w:rPr>
          <w:rFonts w:ascii="Arial" w:hAnsi="Arial" w:cs="Arial"/>
          <w:sz w:val="22"/>
          <w:szCs w:val="22"/>
        </w:rPr>
      </w:pPr>
      <w:r w:rsidRPr="00E7708A">
        <w:rPr>
          <w:rFonts w:ascii="Arial" w:hAnsi="Arial" w:cs="Arial"/>
          <w:sz w:val="22"/>
          <w:szCs w:val="22"/>
        </w:rPr>
        <w:t xml:space="preserve">Intersectionality is a theory that attempts to explain how our many identities such as ‘student’ ‘lecturer’ or ‘woman’ are </w:t>
      </w:r>
      <w:r w:rsidR="00880A69" w:rsidRPr="00E7708A">
        <w:rPr>
          <w:rFonts w:ascii="Arial" w:hAnsi="Arial" w:cs="Arial"/>
          <w:sz w:val="22"/>
          <w:szCs w:val="22"/>
        </w:rPr>
        <w:t>interconnected,</w:t>
      </w:r>
      <w:r w:rsidRPr="00E7708A">
        <w:rPr>
          <w:rFonts w:ascii="Arial" w:hAnsi="Arial" w:cs="Arial"/>
          <w:sz w:val="22"/>
          <w:szCs w:val="22"/>
        </w:rPr>
        <w:t xml:space="preserve"> and that this brings an element of privilege and bias depending on the societal lenses that are viewing us</w:t>
      </w:r>
      <w:r w:rsidR="000800BC" w:rsidRPr="00E7708A">
        <w:rPr>
          <w:rFonts w:ascii="Arial" w:hAnsi="Arial" w:cs="Arial"/>
          <w:sz w:val="22"/>
          <w:szCs w:val="22"/>
        </w:rPr>
        <w:t xml:space="preserve"> (Bowleg 2012)</w:t>
      </w:r>
      <w:r w:rsidRPr="00E7708A">
        <w:rPr>
          <w:rFonts w:ascii="Arial" w:hAnsi="Arial" w:cs="Arial"/>
          <w:sz w:val="22"/>
          <w:szCs w:val="22"/>
        </w:rPr>
        <w:t xml:space="preserve">. It is considered an essential way to explore how an individual may function in society, however </w:t>
      </w:r>
      <w:r w:rsidR="00622698">
        <w:rPr>
          <w:rFonts w:ascii="Arial" w:hAnsi="Arial" w:cs="Arial"/>
          <w:sz w:val="22"/>
          <w:szCs w:val="22"/>
        </w:rPr>
        <w:t>the theory</w:t>
      </w:r>
      <w:r w:rsidRPr="00E7708A">
        <w:rPr>
          <w:rFonts w:ascii="Arial" w:hAnsi="Arial" w:cs="Arial"/>
          <w:sz w:val="22"/>
          <w:szCs w:val="22"/>
        </w:rPr>
        <w:t xml:space="preserve"> lacks research </w:t>
      </w:r>
      <w:r w:rsidR="00622698">
        <w:rPr>
          <w:rFonts w:ascii="Arial" w:hAnsi="Arial" w:cs="Arial"/>
          <w:sz w:val="22"/>
          <w:szCs w:val="22"/>
        </w:rPr>
        <w:t>concerning</w:t>
      </w:r>
      <w:r w:rsidRPr="00E7708A">
        <w:rPr>
          <w:rFonts w:ascii="Arial" w:hAnsi="Arial" w:cs="Arial"/>
          <w:sz w:val="22"/>
          <w:szCs w:val="22"/>
        </w:rPr>
        <w:t xml:space="preserve"> healthcare (Bowleg 2012). </w:t>
      </w:r>
      <w:r w:rsidR="0035234F" w:rsidRPr="00E7708A">
        <w:rPr>
          <w:rFonts w:ascii="Arial" w:hAnsi="Arial" w:cs="Arial"/>
          <w:sz w:val="22"/>
          <w:szCs w:val="22"/>
        </w:rPr>
        <w:t>Multiple identities can improve or hinder mental health depending on the societal pressures associated with them</w:t>
      </w:r>
      <w:r w:rsidR="00113A2F" w:rsidRPr="00E7708A">
        <w:rPr>
          <w:rFonts w:ascii="Arial" w:hAnsi="Arial" w:cs="Arial"/>
          <w:sz w:val="22"/>
          <w:szCs w:val="22"/>
        </w:rPr>
        <w:t xml:space="preserve"> (Brook </w:t>
      </w:r>
      <w:r w:rsidR="00113A2F" w:rsidRPr="00E7708A">
        <w:rPr>
          <w:rFonts w:ascii="Arial" w:hAnsi="Arial" w:cs="Arial"/>
          <w:i/>
          <w:iCs/>
          <w:sz w:val="22"/>
          <w:szCs w:val="22"/>
        </w:rPr>
        <w:t xml:space="preserve">et al </w:t>
      </w:r>
      <w:r w:rsidR="00113A2F" w:rsidRPr="00E7708A">
        <w:rPr>
          <w:rFonts w:ascii="Arial" w:hAnsi="Arial" w:cs="Arial"/>
          <w:sz w:val="22"/>
          <w:szCs w:val="22"/>
        </w:rPr>
        <w:t>2008)</w:t>
      </w:r>
      <w:r w:rsidR="0035234F" w:rsidRPr="00E7708A">
        <w:rPr>
          <w:rFonts w:ascii="Arial" w:hAnsi="Arial" w:cs="Arial"/>
          <w:sz w:val="22"/>
          <w:szCs w:val="22"/>
        </w:rPr>
        <w:t>. For example, a gay white man is likely to</w:t>
      </w:r>
      <w:r w:rsidR="00880A69" w:rsidRPr="00E7708A">
        <w:rPr>
          <w:rFonts w:ascii="Arial" w:hAnsi="Arial" w:cs="Arial"/>
          <w:sz w:val="22"/>
          <w:szCs w:val="22"/>
        </w:rPr>
        <w:t xml:space="preserve"> experience friendlier </w:t>
      </w:r>
      <w:r w:rsidR="0035234F" w:rsidRPr="00E7708A">
        <w:rPr>
          <w:rFonts w:ascii="Arial" w:hAnsi="Arial" w:cs="Arial"/>
          <w:sz w:val="22"/>
          <w:szCs w:val="22"/>
        </w:rPr>
        <w:t>perception</w:t>
      </w:r>
      <w:r w:rsidR="00880A69" w:rsidRPr="00E7708A">
        <w:rPr>
          <w:rFonts w:ascii="Arial" w:hAnsi="Arial" w:cs="Arial"/>
          <w:sz w:val="22"/>
          <w:szCs w:val="22"/>
        </w:rPr>
        <w:t>s</w:t>
      </w:r>
      <w:r w:rsidR="0035234F" w:rsidRPr="00E7708A">
        <w:rPr>
          <w:rFonts w:ascii="Arial" w:hAnsi="Arial" w:cs="Arial"/>
          <w:sz w:val="22"/>
          <w:szCs w:val="22"/>
        </w:rPr>
        <w:t xml:space="preserve"> </w:t>
      </w:r>
      <w:r w:rsidR="00880A69" w:rsidRPr="00E7708A">
        <w:rPr>
          <w:rFonts w:ascii="Arial" w:hAnsi="Arial" w:cs="Arial"/>
          <w:sz w:val="22"/>
          <w:szCs w:val="22"/>
        </w:rPr>
        <w:t>with</w:t>
      </w:r>
      <w:r w:rsidR="0035234F" w:rsidRPr="00E7708A">
        <w:rPr>
          <w:rFonts w:ascii="Arial" w:hAnsi="Arial" w:cs="Arial"/>
          <w:sz w:val="22"/>
          <w:szCs w:val="22"/>
        </w:rPr>
        <w:t>in society than a transgender black woman</w:t>
      </w:r>
      <w:r w:rsidR="00880A69" w:rsidRPr="00E7708A">
        <w:rPr>
          <w:rFonts w:ascii="Arial" w:hAnsi="Arial" w:cs="Arial"/>
          <w:sz w:val="22"/>
          <w:szCs w:val="22"/>
        </w:rPr>
        <w:t>, because</w:t>
      </w:r>
      <w:r w:rsidR="0035234F" w:rsidRPr="00E7708A">
        <w:rPr>
          <w:rFonts w:ascii="Arial" w:hAnsi="Arial" w:cs="Arial"/>
          <w:sz w:val="22"/>
          <w:szCs w:val="22"/>
        </w:rPr>
        <w:t xml:space="preserve"> there is a hierarchical view around race, gender</w:t>
      </w:r>
      <w:r w:rsidR="00622698">
        <w:rPr>
          <w:rFonts w:ascii="Arial" w:hAnsi="Arial" w:cs="Arial"/>
          <w:sz w:val="22"/>
          <w:szCs w:val="22"/>
        </w:rPr>
        <w:t>,</w:t>
      </w:r>
      <w:r w:rsidR="0035234F" w:rsidRPr="00E7708A">
        <w:rPr>
          <w:rFonts w:ascii="Arial" w:hAnsi="Arial" w:cs="Arial"/>
          <w:sz w:val="22"/>
          <w:szCs w:val="22"/>
        </w:rPr>
        <w:t xml:space="preserve"> and LGBTQ+ presentation</w:t>
      </w:r>
      <w:r w:rsidR="00631E86" w:rsidRPr="00E7708A">
        <w:rPr>
          <w:rFonts w:ascii="Arial" w:hAnsi="Arial" w:cs="Arial"/>
          <w:sz w:val="22"/>
          <w:szCs w:val="22"/>
        </w:rPr>
        <w:t xml:space="preserve"> (Bowleg 2012; Call </w:t>
      </w:r>
      <w:r w:rsidR="00631E86" w:rsidRPr="00E7708A">
        <w:rPr>
          <w:rFonts w:ascii="Arial" w:hAnsi="Arial" w:cs="Arial"/>
          <w:i/>
          <w:iCs/>
          <w:sz w:val="22"/>
          <w:szCs w:val="22"/>
        </w:rPr>
        <w:t>et al</w:t>
      </w:r>
      <w:r w:rsidR="00631E86" w:rsidRPr="00E7708A">
        <w:rPr>
          <w:rFonts w:ascii="Arial" w:hAnsi="Arial" w:cs="Arial"/>
          <w:i/>
          <w:iCs/>
          <w:sz w:val="22"/>
          <w:szCs w:val="22"/>
          <w:u w:val="single"/>
        </w:rPr>
        <w:t xml:space="preserve"> </w:t>
      </w:r>
      <w:r w:rsidR="00631E86" w:rsidRPr="00E7708A">
        <w:rPr>
          <w:rFonts w:ascii="Arial" w:hAnsi="Arial" w:cs="Arial"/>
          <w:sz w:val="22"/>
          <w:szCs w:val="22"/>
        </w:rPr>
        <w:t>2021)</w:t>
      </w:r>
      <w:r w:rsidR="0035234F" w:rsidRPr="00E7708A">
        <w:rPr>
          <w:rFonts w:ascii="Arial" w:hAnsi="Arial" w:cs="Arial"/>
          <w:sz w:val="22"/>
          <w:szCs w:val="22"/>
        </w:rPr>
        <w:t xml:space="preserve">. </w:t>
      </w:r>
      <w:r w:rsidR="00D24CCE" w:rsidRPr="00E7708A">
        <w:rPr>
          <w:rFonts w:ascii="Arial" w:hAnsi="Arial" w:cs="Arial"/>
          <w:sz w:val="22"/>
          <w:szCs w:val="22"/>
        </w:rPr>
        <w:t xml:space="preserve">Brook </w:t>
      </w:r>
      <w:r w:rsidR="00D24CCE" w:rsidRPr="00E7708A">
        <w:rPr>
          <w:rFonts w:ascii="Arial" w:hAnsi="Arial" w:cs="Arial"/>
          <w:i/>
          <w:iCs/>
          <w:sz w:val="22"/>
          <w:szCs w:val="22"/>
        </w:rPr>
        <w:t>et al</w:t>
      </w:r>
      <w:r w:rsidR="00D24CCE" w:rsidRPr="00E7708A">
        <w:rPr>
          <w:rFonts w:ascii="Arial" w:hAnsi="Arial" w:cs="Arial"/>
          <w:sz w:val="22"/>
          <w:szCs w:val="22"/>
        </w:rPr>
        <w:t xml:space="preserve"> (2008) argue that this is because white</w:t>
      </w:r>
      <w:r w:rsidR="00113A2F" w:rsidRPr="00E7708A">
        <w:rPr>
          <w:rFonts w:ascii="Arial" w:hAnsi="Arial" w:cs="Arial"/>
          <w:sz w:val="22"/>
          <w:szCs w:val="22"/>
        </w:rPr>
        <w:t xml:space="preserve"> </w:t>
      </w:r>
      <w:r w:rsidR="00D24CCE" w:rsidRPr="00E7708A">
        <w:rPr>
          <w:rFonts w:ascii="Arial" w:hAnsi="Arial" w:cs="Arial"/>
          <w:sz w:val="22"/>
          <w:szCs w:val="22"/>
        </w:rPr>
        <w:t>and man are identities that work together positively in society minimising the impact of gay whereas transgender</w:t>
      </w:r>
      <w:r w:rsidR="00113A2F" w:rsidRPr="00E7708A">
        <w:rPr>
          <w:rFonts w:ascii="Arial" w:hAnsi="Arial" w:cs="Arial"/>
          <w:sz w:val="22"/>
          <w:szCs w:val="22"/>
        </w:rPr>
        <w:t xml:space="preserve">, </w:t>
      </w:r>
      <w:r w:rsidR="00D24CCE" w:rsidRPr="00E7708A">
        <w:rPr>
          <w:rFonts w:ascii="Arial" w:hAnsi="Arial" w:cs="Arial"/>
          <w:sz w:val="22"/>
          <w:szCs w:val="22"/>
        </w:rPr>
        <w:t>black</w:t>
      </w:r>
      <w:r w:rsidR="00622698">
        <w:rPr>
          <w:rFonts w:ascii="Arial" w:hAnsi="Arial" w:cs="Arial"/>
          <w:sz w:val="22"/>
          <w:szCs w:val="22"/>
        </w:rPr>
        <w:t>,</w:t>
      </w:r>
      <w:r w:rsidR="00113A2F" w:rsidRPr="00E7708A">
        <w:rPr>
          <w:rFonts w:ascii="Arial" w:hAnsi="Arial" w:cs="Arial"/>
          <w:sz w:val="22"/>
          <w:szCs w:val="22"/>
        </w:rPr>
        <w:t xml:space="preserve"> </w:t>
      </w:r>
      <w:r w:rsidR="00D24CCE" w:rsidRPr="00E7708A">
        <w:rPr>
          <w:rFonts w:ascii="Arial" w:hAnsi="Arial" w:cs="Arial"/>
          <w:sz w:val="22"/>
          <w:szCs w:val="22"/>
        </w:rPr>
        <w:t xml:space="preserve">and woman are </w:t>
      </w:r>
      <w:r w:rsidR="00880A69" w:rsidRPr="00E7708A">
        <w:rPr>
          <w:rFonts w:ascii="Arial" w:hAnsi="Arial" w:cs="Arial"/>
          <w:sz w:val="22"/>
          <w:szCs w:val="22"/>
        </w:rPr>
        <w:t>all subject to</w:t>
      </w:r>
      <w:r w:rsidR="00D24CCE" w:rsidRPr="00E7708A">
        <w:rPr>
          <w:rFonts w:ascii="Arial" w:hAnsi="Arial" w:cs="Arial"/>
          <w:sz w:val="22"/>
          <w:szCs w:val="22"/>
        </w:rPr>
        <w:t xml:space="preserve"> negative societal </w:t>
      </w:r>
      <w:r w:rsidR="00622698">
        <w:rPr>
          <w:rFonts w:ascii="Arial" w:hAnsi="Arial" w:cs="Arial"/>
          <w:sz w:val="22"/>
          <w:szCs w:val="22"/>
        </w:rPr>
        <w:t>views</w:t>
      </w:r>
      <w:r w:rsidR="00D24CCE" w:rsidRPr="00E7708A">
        <w:rPr>
          <w:rFonts w:ascii="Arial" w:hAnsi="Arial" w:cs="Arial"/>
          <w:sz w:val="22"/>
          <w:szCs w:val="22"/>
        </w:rPr>
        <w:t xml:space="preserve"> in one way or another. </w:t>
      </w:r>
      <w:r w:rsidR="00DE3731" w:rsidRPr="00E7708A">
        <w:rPr>
          <w:rFonts w:ascii="Arial" w:hAnsi="Arial" w:cs="Arial"/>
          <w:sz w:val="22"/>
          <w:szCs w:val="22"/>
        </w:rPr>
        <w:lastRenderedPageBreak/>
        <w:t xml:space="preserve">This is due to poly-victimization </w:t>
      </w:r>
      <w:r w:rsidR="00113A2F" w:rsidRPr="00E7708A">
        <w:rPr>
          <w:rFonts w:ascii="Arial" w:hAnsi="Arial" w:cs="Arial"/>
          <w:sz w:val="22"/>
          <w:szCs w:val="22"/>
        </w:rPr>
        <w:t>(</w:t>
      </w:r>
      <w:r w:rsidR="00DE3731" w:rsidRPr="00E7708A">
        <w:rPr>
          <w:rFonts w:ascii="Arial" w:hAnsi="Arial" w:cs="Arial"/>
          <w:sz w:val="22"/>
          <w:szCs w:val="22"/>
        </w:rPr>
        <w:t xml:space="preserve">Call </w:t>
      </w:r>
      <w:r w:rsidR="00DE3731" w:rsidRPr="00E7708A">
        <w:rPr>
          <w:rFonts w:ascii="Arial" w:hAnsi="Arial" w:cs="Arial"/>
          <w:i/>
          <w:iCs/>
          <w:sz w:val="22"/>
          <w:szCs w:val="22"/>
        </w:rPr>
        <w:t>et al</w:t>
      </w:r>
      <w:r w:rsidR="00113A2F" w:rsidRPr="00E7708A">
        <w:rPr>
          <w:rFonts w:ascii="Arial" w:hAnsi="Arial" w:cs="Arial"/>
          <w:sz w:val="22"/>
          <w:szCs w:val="22"/>
        </w:rPr>
        <w:t xml:space="preserve">, </w:t>
      </w:r>
      <w:r w:rsidR="00DE3731" w:rsidRPr="00E7708A">
        <w:rPr>
          <w:rFonts w:ascii="Arial" w:hAnsi="Arial" w:cs="Arial"/>
          <w:sz w:val="22"/>
          <w:szCs w:val="22"/>
        </w:rPr>
        <w:t>2021)</w:t>
      </w:r>
      <w:r w:rsidR="00113A2F" w:rsidRPr="00E7708A">
        <w:rPr>
          <w:rFonts w:ascii="Arial" w:hAnsi="Arial" w:cs="Arial"/>
          <w:sz w:val="22"/>
          <w:szCs w:val="22"/>
        </w:rPr>
        <w:t>, a</w:t>
      </w:r>
      <w:r w:rsidR="00DE3731" w:rsidRPr="00E7708A">
        <w:rPr>
          <w:rFonts w:ascii="Arial" w:hAnsi="Arial" w:cs="Arial"/>
          <w:sz w:val="22"/>
          <w:szCs w:val="22"/>
        </w:rPr>
        <w:t xml:space="preserve">lthough this study discusses transgender youths, its central point around societal norms remains pertinent in the adult population. </w:t>
      </w:r>
      <w:r w:rsidR="00452828" w:rsidRPr="00E7708A">
        <w:rPr>
          <w:rFonts w:ascii="Arial" w:hAnsi="Arial" w:cs="Arial"/>
          <w:sz w:val="22"/>
          <w:szCs w:val="22"/>
        </w:rPr>
        <w:t xml:space="preserve">Cooper </w:t>
      </w:r>
      <w:r w:rsidR="00452828" w:rsidRPr="00E7708A">
        <w:rPr>
          <w:rFonts w:ascii="Arial" w:hAnsi="Arial" w:cs="Arial"/>
          <w:i/>
          <w:iCs/>
          <w:sz w:val="22"/>
          <w:szCs w:val="22"/>
        </w:rPr>
        <w:t>et al</w:t>
      </w:r>
      <w:r w:rsidR="00452828" w:rsidRPr="00E7708A">
        <w:rPr>
          <w:rFonts w:ascii="Arial" w:hAnsi="Arial" w:cs="Arial"/>
          <w:sz w:val="22"/>
          <w:szCs w:val="22"/>
        </w:rPr>
        <w:t xml:space="preserve"> (2022)</w:t>
      </w:r>
      <w:r w:rsidR="00631E86" w:rsidRPr="00E7708A">
        <w:rPr>
          <w:rFonts w:ascii="Arial" w:hAnsi="Arial" w:cs="Arial"/>
          <w:sz w:val="22"/>
          <w:szCs w:val="22"/>
        </w:rPr>
        <w:t xml:space="preserve"> and </w:t>
      </w:r>
      <w:proofErr w:type="spellStart"/>
      <w:r w:rsidR="00631E86" w:rsidRPr="00E7708A">
        <w:rPr>
          <w:rFonts w:ascii="Arial" w:hAnsi="Arial" w:cs="Arial"/>
          <w:sz w:val="22"/>
          <w:szCs w:val="22"/>
        </w:rPr>
        <w:t>Warrier</w:t>
      </w:r>
      <w:proofErr w:type="spellEnd"/>
      <w:r w:rsidR="00631E86" w:rsidRPr="00E7708A">
        <w:rPr>
          <w:rFonts w:ascii="Arial" w:hAnsi="Arial" w:cs="Arial"/>
          <w:sz w:val="22"/>
          <w:szCs w:val="22"/>
        </w:rPr>
        <w:t xml:space="preserve"> </w:t>
      </w:r>
      <w:r w:rsidR="00631E86" w:rsidRPr="00E7708A">
        <w:rPr>
          <w:rFonts w:ascii="Arial" w:hAnsi="Arial" w:cs="Arial"/>
          <w:i/>
          <w:iCs/>
          <w:sz w:val="22"/>
          <w:szCs w:val="22"/>
        </w:rPr>
        <w:t xml:space="preserve">et al </w:t>
      </w:r>
      <w:r w:rsidR="00631E86" w:rsidRPr="00E7708A">
        <w:rPr>
          <w:rFonts w:ascii="Arial" w:hAnsi="Arial" w:cs="Arial"/>
          <w:sz w:val="22"/>
          <w:szCs w:val="22"/>
        </w:rPr>
        <w:t>(2020)</w:t>
      </w:r>
      <w:r w:rsidR="00452828" w:rsidRPr="00E7708A">
        <w:rPr>
          <w:rFonts w:ascii="Arial" w:hAnsi="Arial" w:cs="Arial"/>
          <w:sz w:val="22"/>
          <w:szCs w:val="22"/>
        </w:rPr>
        <w:t xml:space="preserve"> explored how healthcare professionals can better support TGD individuals and found that clinicians need to be more aware of the factors that can impact a TGD individual’s journey</w:t>
      </w:r>
      <w:r w:rsidR="00880A69" w:rsidRPr="00E7708A">
        <w:rPr>
          <w:rFonts w:ascii="Arial" w:hAnsi="Arial" w:cs="Arial"/>
          <w:sz w:val="22"/>
          <w:szCs w:val="22"/>
        </w:rPr>
        <w:t xml:space="preserve"> </w:t>
      </w:r>
      <w:r w:rsidR="00452828" w:rsidRPr="00E7708A">
        <w:rPr>
          <w:rFonts w:ascii="Arial" w:hAnsi="Arial" w:cs="Arial"/>
          <w:sz w:val="22"/>
          <w:szCs w:val="22"/>
        </w:rPr>
        <w:t>and adaptions need to be made to support each person’s needs. Current service constraints in NHS funding mean this isn’t always possible</w:t>
      </w:r>
      <w:r w:rsidR="00880A69" w:rsidRPr="00E7708A">
        <w:rPr>
          <w:rFonts w:ascii="Arial" w:hAnsi="Arial" w:cs="Arial"/>
          <w:sz w:val="22"/>
          <w:szCs w:val="22"/>
        </w:rPr>
        <w:t xml:space="preserve">, </w:t>
      </w:r>
      <w:r w:rsidR="00452828" w:rsidRPr="00E7708A">
        <w:rPr>
          <w:rFonts w:ascii="Arial" w:hAnsi="Arial" w:cs="Arial"/>
          <w:sz w:val="22"/>
          <w:szCs w:val="22"/>
        </w:rPr>
        <w:t>such as NHS England having a cap on sessions</w:t>
      </w:r>
      <w:r w:rsidR="00880A69" w:rsidRPr="00E7708A">
        <w:rPr>
          <w:rFonts w:ascii="Arial" w:hAnsi="Arial" w:cs="Arial"/>
          <w:sz w:val="22"/>
          <w:szCs w:val="22"/>
        </w:rPr>
        <w:t xml:space="preserve"> </w:t>
      </w:r>
      <w:r w:rsidR="00452828" w:rsidRPr="00E7708A">
        <w:rPr>
          <w:rFonts w:ascii="Arial" w:hAnsi="Arial" w:cs="Arial"/>
          <w:sz w:val="22"/>
          <w:szCs w:val="22"/>
        </w:rPr>
        <w:t xml:space="preserve">(NHS England, 2018). </w:t>
      </w:r>
    </w:p>
    <w:p w14:paraId="7C8CF787" w14:textId="4700E310" w:rsidR="007635EE" w:rsidRPr="00E7708A" w:rsidRDefault="007635EE" w:rsidP="00E7708A">
      <w:pPr>
        <w:spacing w:line="480" w:lineRule="auto"/>
        <w:jc w:val="both"/>
        <w:rPr>
          <w:rFonts w:ascii="Arial" w:hAnsi="Arial" w:cs="Arial"/>
          <w:sz w:val="22"/>
          <w:szCs w:val="22"/>
        </w:rPr>
      </w:pPr>
    </w:p>
    <w:p w14:paraId="10011EBB" w14:textId="286C95C0" w:rsidR="00452828" w:rsidRPr="00E7708A" w:rsidRDefault="00631E86" w:rsidP="00E7708A">
      <w:pPr>
        <w:spacing w:line="480" w:lineRule="auto"/>
        <w:jc w:val="both"/>
        <w:rPr>
          <w:rFonts w:ascii="Arial" w:hAnsi="Arial" w:cs="Arial"/>
          <w:sz w:val="22"/>
          <w:szCs w:val="22"/>
        </w:rPr>
      </w:pPr>
      <w:r w:rsidRPr="00E7708A">
        <w:rPr>
          <w:rFonts w:ascii="Arial" w:hAnsi="Arial" w:cs="Arial"/>
          <w:sz w:val="22"/>
          <w:szCs w:val="22"/>
        </w:rPr>
        <w:t xml:space="preserve">When applying the theory of intersectionality to my work, </w:t>
      </w:r>
      <w:r w:rsidR="007635EE" w:rsidRPr="00E7708A">
        <w:rPr>
          <w:rFonts w:ascii="Arial" w:hAnsi="Arial" w:cs="Arial"/>
          <w:sz w:val="22"/>
          <w:szCs w:val="22"/>
        </w:rPr>
        <w:t xml:space="preserve">I consider </w:t>
      </w:r>
      <w:r w:rsidRPr="00E7708A">
        <w:rPr>
          <w:rFonts w:ascii="Arial" w:hAnsi="Arial" w:cs="Arial"/>
          <w:sz w:val="22"/>
          <w:szCs w:val="22"/>
        </w:rPr>
        <w:t>the ideas</w:t>
      </w:r>
      <w:r w:rsidR="007635EE" w:rsidRPr="00E7708A">
        <w:rPr>
          <w:rFonts w:ascii="Arial" w:hAnsi="Arial" w:cs="Arial"/>
          <w:sz w:val="22"/>
          <w:szCs w:val="22"/>
        </w:rPr>
        <w:t xml:space="preserve"> from a standpoint of healthcare stigma. There is a clear association between intersectionality, poor socioeconomic status</w:t>
      </w:r>
      <w:r w:rsidR="00622698">
        <w:rPr>
          <w:rFonts w:ascii="Arial" w:hAnsi="Arial" w:cs="Arial"/>
          <w:sz w:val="22"/>
          <w:szCs w:val="22"/>
        </w:rPr>
        <w:t>,</w:t>
      </w:r>
      <w:r w:rsidR="007635EE" w:rsidRPr="00E7708A">
        <w:rPr>
          <w:rFonts w:ascii="Arial" w:hAnsi="Arial" w:cs="Arial"/>
          <w:sz w:val="22"/>
          <w:szCs w:val="22"/>
        </w:rPr>
        <w:t xml:space="preserve"> and </w:t>
      </w:r>
      <w:r w:rsidR="00622698">
        <w:rPr>
          <w:rFonts w:ascii="Arial" w:hAnsi="Arial" w:cs="Arial"/>
          <w:sz w:val="22"/>
          <w:szCs w:val="22"/>
        </w:rPr>
        <w:t>health-related</w:t>
      </w:r>
      <w:r w:rsidR="007635EE" w:rsidRPr="00E7708A">
        <w:rPr>
          <w:rFonts w:ascii="Arial" w:hAnsi="Arial" w:cs="Arial"/>
          <w:sz w:val="22"/>
          <w:szCs w:val="22"/>
        </w:rPr>
        <w:t xml:space="preserve"> stigma (</w:t>
      </w:r>
      <w:proofErr w:type="spellStart"/>
      <w:r w:rsidR="007635EE" w:rsidRPr="00E7708A">
        <w:rPr>
          <w:rFonts w:ascii="Arial" w:hAnsi="Arial" w:cs="Arial"/>
          <w:sz w:val="22"/>
          <w:szCs w:val="22"/>
        </w:rPr>
        <w:t>Leikin</w:t>
      </w:r>
      <w:proofErr w:type="spellEnd"/>
      <w:r w:rsidR="007635EE" w:rsidRPr="00E7708A">
        <w:rPr>
          <w:rFonts w:ascii="Arial" w:hAnsi="Arial" w:cs="Arial"/>
          <w:sz w:val="22"/>
          <w:szCs w:val="22"/>
        </w:rPr>
        <w:t xml:space="preserve"> 2019; Rai </w:t>
      </w:r>
      <w:r w:rsidR="007635EE" w:rsidRPr="00E7708A">
        <w:rPr>
          <w:rFonts w:ascii="Arial" w:hAnsi="Arial" w:cs="Arial"/>
          <w:i/>
          <w:iCs/>
          <w:sz w:val="22"/>
          <w:szCs w:val="22"/>
        </w:rPr>
        <w:t>et al</w:t>
      </w:r>
      <w:r w:rsidR="007635EE" w:rsidRPr="00E7708A">
        <w:rPr>
          <w:rFonts w:ascii="Arial" w:hAnsi="Arial" w:cs="Arial"/>
          <w:sz w:val="22"/>
          <w:szCs w:val="22"/>
        </w:rPr>
        <w:t xml:space="preserve"> 2020</w:t>
      </w:r>
      <w:r w:rsidR="000800BC" w:rsidRPr="00E7708A">
        <w:rPr>
          <w:rFonts w:ascii="Arial" w:hAnsi="Arial" w:cs="Arial"/>
          <w:sz w:val="22"/>
          <w:szCs w:val="22"/>
        </w:rPr>
        <w:t>; Bowleg 2012</w:t>
      </w:r>
      <w:r w:rsidR="007635EE" w:rsidRPr="00E7708A">
        <w:rPr>
          <w:rFonts w:ascii="Arial" w:hAnsi="Arial" w:cs="Arial"/>
          <w:sz w:val="22"/>
          <w:szCs w:val="22"/>
        </w:rPr>
        <w:t xml:space="preserve">). This </w:t>
      </w:r>
      <w:r w:rsidRPr="00E7708A">
        <w:rPr>
          <w:rFonts w:ascii="Arial" w:hAnsi="Arial" w:cs="Arial"/>
          <w:sz w:val="22"/>
          <w:szCs w:val="22"/>
        </w:rPr>
        <w:t>stigma</w:t>
      </w:r>
      <w:r w:rsidR="00622698">
        <w:rPr>
          <w:rFonts w:ascii="Arial" w:hAnsi="Arial" w:cs="Arial"/>
          <w:sz w:val="22"/>
          <w:szCs w:val="22"/>
        </w:rPr>
        <w:t xml:space="preserve"> is</w:t>
      </w:r>
      <w:r w:rsidRPr="00E7708A">
        <w:rPr>
          <w:rFonts w:ascii="Arial" w:hAnsi="Arial" w:cs="Arial"/>
          <w:sz w:val="22"/>
          <w:szCs w:val="22"/>
        </w:rPr>
        <w:t xml:space="preserve"> </w:t>
      </w:r>
      <w:r w:rsidR="00086545" w:rsidRPr="00E7708A">
        <w:rPr>
          <w:rFonts w:ascii="Arial" w:hAnsi="Arial" w:cs="Arial"/>
          <w:sz w:val="22"/>
          <w:szCs w:val="22"/>
        </w:rPr>
        <w:t>exasperated</w:t>
      </w:r>
      <w:r w:rsidR="007635EE" w:rsidRPr="00E7708A">
        <w:rPr>
          <w:rFonts w:ascii="Arial" w:hAnsi="Arial" w:cs="Arial"/>
          <w:sz w:val="22"/>
          <w:szCs w:val="22"/>
        </w:rPr>
        <w:t xml:space="preserve"> for TGD individuals due to the societal perception around them (Diamond and Butterworth 2008). Although </w:t>
      </w:r>
      <w:r w:rsidR="00086545" w:rsidRPr="00E7708A">
        <w:rPr>
          <w:rFonts w:ascii="Arial" w:hAnsi="Arial" w:cs="Arial"/>
          <w:sz w:val="22"/>
          <w:szCs w:val="22"/>
        </w:rPr>
        <w:t>I would hope</w:t>
      </w:r>
      <w:r w:rsidR="007635EE" w:rsidRPr="00E7708A">
        <w:rPr>
          <w:rFonts w:ascii="Arial" w:hAnsi="Arial" w:cs="Arial"/>
          <w:sz w:val="22"/>
          <w:szCs w:val="22"/>
        </w:rPr>
        <w:t xml:space="preserve"> that the healthcare workers supporting TGD individuals do not project their views or stigma onto their patients, </w:t>
      </w:r>
      <w:r w:rsidR="00086545" w:rsidRPr="00E7708A">
        <w:rPr>
          <w:rFonts w:ascii="Arial" w:hAnsi="Arial" w:cs="Arial"/>
          <w:sz w:val="22"/>
          <w:szCs w:val="22"/>
        </w:rPr>
        <w:t>it</w:t>
      </w:r>
      <w:r w:rsidR="007635EE" w:rsidRPr="00E7708A">
        <w:rPr>
          <w:rFonts w:ascii="Arial" w:hAnsi="Arial" w:cs="Arial"/>
          <w:sz w:val="22"/>
          <w:szCs w:val="22"/>
        </w:rPr>
        <w:t xml:space="preserve"> is sadly not true.</w:t>
      </w:r>
      <w:r w:rsidRPr="00E7708A">
        <w:rPr>
          <w:rFonts w:ascii="Arial" w:hAnsi="Arial" w:cs="Arial"/>
          <w:sz w:val="22"/>
          <w:szCs w:val="22"/>
        </w:rPr>
        <w:t xml:space="preserve"> Ashley (2019) and Davis (2019) found that GPs</w:t>
      </w:r>
      <w:r w:rsidR="007635EE" w:rsidRPr="00E7708A">
        <w:rPr>
          <w:rFonts w:ascii="Arial" w:hAnsi="Arial" w:cs="Arial"/>
          <w:sz w:val="22"/>
          <w:szCs w:val="22"/>
        </w:rPr>
        <w:t xml:space="preserve"> continue to refuse to provide hormones to TGD individuals due to their transphobic views</w:t>
      </w:r>
      <w:r w:rsidRPr="00E7708A">
        <w:rPr>
          <w:rFonts w:ascii="Arial" w:hAnsi="Arial" w:cs="Arial"/>
          <w:sz w:val="22"/>
          <w:szCs w:val="22"/>
        </w:rPr>
        <w:t xml:space="preserve">, with as many as 1 in 5 GPs refusing to do this even when a patient is seen by a gender clinic and has a written report requesting GP prescription. </w:t>
      </w:r>
      <w:r w:rsidR="00086545" w:rsidRPr="00E7708A">
        <w:rPr>
          <w:rFonts w:ascii="Arial" w:hAnsi="Arial" w:cs="Arial"/>
          <w:sz w:val="22"/>
          <w:szCs w:val="22"/>
        </w:rPr>
        <w:t>B</w:t>
      </w:r>
      <w:r w:rsidR="007635EE" w:rsidRPr="00E7708A">
        <w:rPr>
          <w:rFonts w:ascii="Arial" w:hAnsi="Arial" w:cs="Arial"/>
          <w:sz w:val="22"/>
          <w:szCs w:val="22"/>
        </w:rPr>
        <w:t xml:space="preserve">ased on verbal reports from patients, there is </w:t>
      </w:r>
      <w:r w:rsidR="00622698">
        <w:rPr>
          <w:rFonts w:ascii="Arial" w:hAnsi="Arial" w:cs="Arial"/>
          <w:sz w:val="22"/>
          <w:szCs w:val="22"/>
        </w:rPr>
        <w:t xml:space="preserve">a </w:t>
      </w:r>
      <w:r w:rsidR="007635EE" w:rsidRPr="00E7708A">
        <w:rPr>
          <w:rFonts w:ascii="Arial" w:hAnsi="Arial" w:cs="Arial"/>
          <w:sz w:val="22"/>
          <w:szCs w:val="22"/>
        </w:rPr>
        <w:t xml:space="preserve">clear stigma around TGD healthcare even within the specialist gender teams supporting these individuals. From the practice-based evidence and the literature </w:t>
      </w:r>
      <w:r w:rsidR="00086545" w:rsidRPr="00E7708A">
        <w:rPr>
          <w:rFonts w:ascii="Arial" w:hAnsi="Arial" w:cs="Arial"/>
          <w:sz w:val="22"/>
          <w:szCs w:val="22"/>
        </w:rPr>
        <w:t>c</w:t>
      </w:r>
      <w:r w:rsidR="007635EE" w:rsidRPr="00E7708A">
        <w:rPr>
          <w:rFonts w:ascii="Arial" w:hAnsi="Arial" w:cs="Arial"/>
          <w:sz w:val="22"/>
          <w:szCs w:val="22"/>
        </w:rPr>
        <w:t xml:space="preserve">ited above, </w:t>
      </w:r>
      <w:r w:rsidR="00FA5036" w:rsidRPr="00E7708A">
        <w:rPr>
          <w:rFonts w:ascii="Arial" w:hAnsi="Arial" w:cs="Arial"/>
          <w:sz w:val="22"/>
          <w:szCs w:val="22"/>
        </w:rPr>
        <w:t>it is clear an</w:t>
      </w:r>
      <w:r w:rsidR="007635EE" w:rsidRPr="00E7708A">
        <w:rPr>
          <w:rFonts w:ascii="Arial" w:hAnsi="Arial" w:cs="Arial"/>
          <w:sz w:val="22"/>
          <w:szCs w:val="22"/>
        </w:rPr>
        <w:t xml:space="preserve"> education programme is needed as </w:t>
      </w:r>
      <w:r w:rsidR="00622698">
        <w:rPr>
          <w:rFonts w:ascii="Arial" w:hAnsi="Arial" w:cs="Arial"/>
          <w:sz w:val="22"/>
          <w:szCs w:val="22"/>
        </w:rPr>
        <w:t xml:space="preserve">a </w:t>
      </w:r>
      <w:r w:rsidR="007635EE" w:rsidRPr="00E7708A">
        <w:rPr>
          <w:rFonts w:ascii="Arial" w:hAnsi="Arial" w:cs="Arial"/>
          <w:sz w:val="22"/>
          <w:szCs w:val="22"/>
        </w:rPr>
        <w:t xml:space="preserve">standard for all individuals working in healthcare. </w:t>
      </w:r>
      <w:r w:rsidR="00086545" w:rsidRPr="00E7708A">
        <w:rPr>
          <w:rFonts w:ascii="Arial" w:hAnsi="Arial" w:cs="Arial"/>
          <w:sz w:val="22"/>
          <w:szCs w:val="22"/>
        </w:rPr>
        <w:t>T</w:t>
      </w:r>
      <w:r w:rsidR="007635EE" w:rsidRPr="00E7708A">
        <w:rPr>
          <w:rFonts w:ascii="Arial" w:hAnsi="Arial" w:cs="Arial"/>
          <w:sz w:val="22"/>
          <w:szCs w:val="22"/>
        </w:rPr>
        <w:t xml:space="preserve">here should be a mandatory training module for all healthcare workers (similarly to the current modules around violence against women) and a more specific training module for those choosing to specialise in TGD healthcare. This needs to be created with TGD people at the centre to ensure it reflects the injustices seen in healthcare. It also needs to involve the wider team such as </w:t>
      </w:r>
      <w:r w:rsidR="00FA5036" w:rsidRPr="00E7708A">
        <w:rPr>
          <w:rFonts w:ascii="Arial" w:hAnsi="Arial" w:cs="Arial"/>
          <w:sz w:val="22"/>
          <w:szCs w:val="22"/>
        </w:rPr>
        <w:t>SLTs</w:t>
      </w:r>
      <w:r w:rsidR="007635EE" w:rsidRPr="00E7708A">
        <w:rPr>
          <w:rFonts w:ascii="Arial" w:hAnsi="Arial" w:cs="Arial"/>
          <w:sz w:val="22"/>
          <w:szCs w:val="22"/>
        </w:rPr>
        <w:t xml:space="preserve">, psychologists, </w:t>
      </w:r>
      <w:r w:rsidR="00FA5036" w:rsidRPr="00E7708A">
        <w:rPr>
          <w:rFonts w:ascii="Arial" w:hAnsi="Arial" w:cs="Arial"/>
          <w:sz w:val="22"/>
          <w:szCs w:val="22"/>
        </w:rPr>
        <w:t>GPs</w:t>
      </w:r>
      <w:r w:rsidR="00622698">
        <w:rPr>
          <w:rFonts w:ascii="Arial" w:hAnsi="Arial" w:cs="Arial"/>
          <w:sz w:val="22"/>
          <w:szCs w:val="22"/>
        </w:rPr>
        <w:t>,</w:t>
      </w:r>
      <w:r w:rsidR="007635EE" w:rsidRPr="00E7708A">
        <w:rPr>
          <w:rFonts w:ascii="Arial" w:hAnsi="Arial" w:cs="Arial"/>
          <w:sz w:val="22"/>
          <w:szCs w:val="22"/>
        </w:rPr>
        <w:t xml:space="preserve"> and peer supporters to ensure </w:t>
      </w:r>
      <w:r w:rsidR="00086545" w:rsidRPr="00E7708A">
        <w:rPr>
          <w:rFonts w:ascii="Arial" w:hAnsi="Arial" w:cs="Arial"/>
          <w:sz w:val="22"/>
          <w:szCs w:val="22"/>
        </w:rPr>
        <w:t xml:space="preserve">everyone </w:t>
      </w:r>
      <w:r w:rsidR="007635EE" w:rsidRPr="00E7708A">
        <w:rPr>
          <w:rFonts w:ascii="Arial" w:hAnsi="Arial" w:cs="Arial"/>
          <w:sz w:val="22"/>
          <w:szCs w:val="22"/>
        </w:rPr>
        <w:t>understand</w:t>
      </w:r>
      <w:r w:rsidR="00086545" w:rsidRPr="00E7708A">
        <w:rPr>
          <w:rFonts w:ascii="Arial" w:hAnsi="Arial" w:cs="Arial"/>
          <w:sz w:val="22"/>
          <w:szCs w:val="22"/>
        </w:rPr>
        <w:t>s</w:t>
      </w:r>
      <w:r w:rsidR="007635EE" w:rsidRPr="00E7708A">
        <w:rPr>
          <w:rFonts w:ascii="Arial" w:hAnsi="Arial" w:cs="Arial"/>
          <w:sz w:val="22"/>
          <w:szCs w:val="22"/>
        </w:rPr>
        <w:t xml:space="preserve"> each other’s roles. </w:t>
      </w:r>
    </w:p>
    <w:p w14:paraId="09ABB2AC" w14:textId="77777777" w:rsidR="00452828" w:rsidRPr="00E7708A" w:rsidRDefault="00452828" w:rsidP="00E7708A">
      <w:pPr>
        <w:spacing w:line="480" w:lineRule="auto"/>
        <w:jc w:val="both"/>
        <w:rPr>
          <w:rFonts w:ascii="Arial" w:hAnsi="Arial" w:cs="Arial"/>
          <w:b/>
          <w:bCs/>
          <w:sz w:val="22"/>
          <w:szCs w:val="22"/>
          <w:u w:val="single"/>
        </w:rPr>
      </w:pPr>
    </w:p>
    <w:p w14:paraId="074E30F1" w14:textId="77777777" w:rsidR="0035234F" w:rsidRPr="00E7708A" w:rsidRDefault="0035234F" w:rsidP="00E7708A">
      <w:pPr>
        <w:spacing w:line="480" w:lineRule="auto"/>
        <w:jc w:val="both"/>
        <w:rPr>
          <w:rFonts w:ascii="Arial" w:hAnsi="Arial" w:cs="Arial"/>
          <w:sz w:val="22"/>
          <w:szCs w:val="22"/>
          <w:u w:val="single"/>
        </w:rPr>
      </w:pPr>
    </w:p>
    <w:p w14:paraId="6D3294E4" w14:textId="1237FED8" w:rsidR="00DD3C33" w:rsidRPr="00E7708A" w:rsidRDefault="00DD3C33" w:rsidP="00E7708A">
      <w:pPr>
        <w:spacing w:line="480" w:lineRule="auto"/>
        <w:jc w:val="both"/>
        <w:rPr>
          <w:rFonts w:ascii="Arial" w:hAnsi="Arial" w:cs="Arial"/>
          <w:sz w:val="22"/>
          <w:szCs w:val="22"/>
          <w:u w:val="single"/>
        </w:rPr>
      </w:pPr>
      <w:r w:rsidRPr="00E7708A">
        <w:rPr>
          <w:rFonts w:ascii="Arial" w:hAnsi="Arial" w:cs="Arial"/>
          <w:sz w:val="22"/>
          <w:szCs w:val="22"/>
          <w:u w:val="single"/>
        </w:rPr>
        <w:t xml:space="preserve">Minority stress </w:t>
      </w:r>
      <w:r w:rsidR="00535EF8" w:rsidRPr="00E7708A">
        <w:rPr>
          <w:rFonts w:ascii="Arial" w:hAnsi="Arial" w:cs="Arial"/>
          <w:sz w:val="22"/>
          <w:szCs w:val="22"/>
          <w:u w:val="single"/>
        </w:rPr>
        <w:t>model</w:t>
      </w:r>
    </w:p>
    <w:p w14:paraId="4886D5C8" w14:textId="21FCB6CE" w:rsidR="00DD3C33" w:rsidRPr="00E7708A" w:rsidRDefault="00DD3C33" w:rsidP="00E7708A">
      <w:pPr>
        <w:spacing w:line="480" w:lineRule="auto"/>
        <w:jc w:val="both"/>
        <w:rPr>
          <w:rFonts w:ascii="Arial" w:hAnsi="Arial" w:cs="Arial"/>
          <w:b/>
          <w:bCs/>
          <w:sz w:val="22"/>
          <w:szCs w:val="22"/>
          <w:u w:val="single"/>
        </w:rPr>
      </w:pPr>
    </w:p>
    <w:p w14:paraId="3087784C" w14:textId="0F58ACCA" w:rsidR="000800BC" w:rsidRPr="00E7708A" w:rsidRDefault="00BD0A23" w:rsidP="00E7708A">
      <w:pPr>
        <w:spacing w:line="480" w:lineRule="auto"/>
        <w:jc w:val="both"/>
        <w:rPr>
          <w:rFonts w:ascii="Arial" w:hAnsi="Arial" w:cs="Arial"/>
          <w:sz w:val="22"/>
          <w:szCs w:val="22"/>
          <w:lang w:bidi="en-US"/>
        </w:rPr>
      </w:pPr>
      <w:r w:rsidRPr="00E7708A">
        <w:rPr>
          <w:rFonts w:ascii="Arial" w:hAnsi="Arial" w:cs="Arial"/>
          <w:sz w:val="22"/>
          <w:szCs w:val="22"/>
        </w:rPr>
        <w:t>The minority stress model is a way of exploring societal conditions that stem from stigma and prejudice</w:t>
      </w:r>
      <w:r w:rsidR="000800BC" w:rsidRPr="00E7708A">
        <w:rPr>
          <w:rFonts w:ascii="Arial" w:hAnsi="Arial" w:cs="Arial"/>
          <w:sz w:val="22"/>
          <w:szCs w:val="22"/>
        </w:rPr>
        <w:t xml:space="preserve"> by looking at the stress impact</w:t>
      </w:r>
      <w:r w:rsidRPr="00E7708A">
        <w:rPr>
          <w:rFonts w:ascii="Arial" w:hAnsi="Arial" w:cs="Arial"/>
          <w:sz w:val="22"/>
          <w:szCs w:val="22"/>
        </w:rPr>
        <w:t xml:space="preserve"> (</w:t>
      </w:r>
      <w:proofErr w:type="spellStart"/>
      <w:r w:rsidRPr="00E7708A">
        <w:rPr>
          <w:rFonts w:ascii="Arial" w:hAnsi="Arial" w:cs="Arial"/>
          <w:sz w:val="22"/>
          <w:szCs w:val="22"/>
          <w:lang w:bidi="en-US"/>
        </w:rPr>
        <w:t>Flentje</w:t>
      </w:r>
      <w:proofErr w:type="spellEnd"/>
      <w:r w:rsidRPr="00E7708A">
        <w:rPr>
          <w:rFonts w:ascii="Arial" w:hAnsi="Arial" w:cs="Arial"/>
          <w:sz w:val="22"/>
          <w:szCs w:val="22"/>
          <w:lang w:bidi="en-US"/>
        </w:rPr>
        <w:t xml:space="preserve"> </w:t>
      </w:r>
      <w:r w:rsidRPr="00E7708A">
        <w:rPr>
          <w:rFonts w:ascii="Arial" w:hAnsi="Arial" w:cs="Arial"/>
          <w:i/>
          <w:iCs/>
          <w:sz w:val="22"/>
          <w:szCs w:val="22"/>
          <w:lang w:bidi="en-US"/>
        </w:rPr>
        <w:t>et al</w:t>
      </w:r>
      <w:r w:rsidRPr="00E7708A">
        <w:rPr>
          <w:rFonts w:ascii="Arial" w:hAnsi="Arial" w:cs="Arial"/>
          <w:sz w:val="22"/>
          <w:szCs w:val="22"/>
          <w:lang w:bidi="en-US"/>
        </w:rPr>
        <w:t xml:space="preserve"> 2019). </w:t>
      </w:r>
      <w:r w:rsidR="000800BC" w:rsidRPr="00E7708A">
        <w:rPr>
          <w:rFonts w:ascii="Arial" w:hAnsi="Arial" w:cs="Arial"/>
          <w:sz w:val="22"/>
          <w:szCs w:val="22"/>
          <w:lang w:bidi="en-US"/>
        </w:rPr>
        <w:t>Minority stress is used to explain disparities in healthcare due to an individual’s minority status</w:t>
      </w:r>
      <w:r w:rsidR="00086545" w:rsidRPr="00E7708A">
        <w:rPr>
          <w:rFonts w:ascii="Arial" w:hAnsi="Arial" w:cs="Arial"/>
          <w:sz w:val="22"/>
          <w:szCs w:val="22"/>
          <w:lang w:bidi="en-US"/>
        </w:rPr>
        <w:t xml:space="preserve">, </w:t>
      </w:r>
      <w:r w:rsidR="000800BC" w:rsidRPr="00E7708A">
        <w:rPr>
          <w:rFonts w:ascii="Arial" w:hAnsi="Arial" w:cs="Arial"/>
          <w:sz w:val="22"/>
          <w:szCs w:val="22"/>
          <w:lang w:bidi="en-US"/>
        </w:rPr>
        <w:t>such as being female</w:t>
      </w:r>
      <w:r w:rsidR="00086545" w:rsidRPr="00E7708A">
        <w:rPr>
          <w:rFonts w:ascii="Arial" w:hAnsi="Arial" w:cs="Arial"/>
          <w:sz w:val="22"/>
          <w:szCs w:val="22"/>
          <w:lang w:bidi="en-US"/>
        </w:rPr>
        <w:t xml:space="preserve"> </w:t>
      </w:r>
      <w:r w:rsidR="000800BC" w:rsidRPr="00E7708A">
        <w:rPr>
          <w:rFonts w:ascii="Arial" w:hAnsi="Arial" w:cs="Arial"/>
          <w:sz w:val="22"/>
          <w:szCs w:val="22"/>
          <w:lang w:bidi="en-US"/>
        </w:rPr>
        <w:t>(Institute of Medicine 2011). However, in recent years there has been a clear shift to use</w:t>
      </w:r>
      <w:r w:rsidR="00622698">
        <w:rPr>
          <w:rFonts w:ascii="Arial" w:hAnsi="Arial" w:cs="Arial"/>
          <w:sz w:val="22"/>
          <w:szCs w:val="22"/>
          <w:lang w:bidi="en-US"/>
        </w:rPr>
        <w:t xml:space="preserve"> this model</w:t>
      </w:r>
      <w:r w:rsidR="000800BC" w:rsidRPr="00E7708A">
        <w:rPr>
          <w:rFonts w:ascii="Arial" w:hAnsi="Arial" w:cs="Arial"/>
          <w:sz w:val="22"/>
          <w:szCs w:val="22"/>
          <w:lang w:bidi="en-US"/>
        </w:rPr>
        <w:t xml:space="preserve"> in explaining LGBTQ access to healthcare (</w:t>
      </w:r>
      <w:proofErr w:type="spellStart"/>
      <w:r w:rsidR="000800BC" w:rsidRPr="00E7708A">
        <w:rPr>
          <w:rFonts w:ascii="Arial" w:hAnsi="Arial" w:cs="Arial"/>
          <w:sz w:val="22"/>
          <w:szCs w:val="22"/>
          <w:lang w:bidi="en-US"/>
        </w:rPr>
        <w:t>Flentje</w:t>
      </w:r>
      <w:proofErr w:type="spellEnd"/>
      <w:r w:rsidR="000800BC" w:rsidRPr="00E7708A">
        <w:rPr>
          <w:rFonts w:ascii="Arial" w:hAnsi="Arial" w:cs="Arial"/>
          <w:sz w:val="22"/>
          <w:szCs w:val="22"/>
          <w:lang w:bidi="en-US"/>
        </w:rPr>
        <w:t xml:space="preserve"> </w:t>
      </w:r>
      <w:r w:rsidR="000800BC" w:rsidRPr="00E7708A">
        <w:rPr>
          <w:rFonts w:ascii="Arial" w:hAnsi="Arial" w:cs="Arial"/>
          <w:i/>
          <w:iCs/>
          <w:sz w:val="22"/>
          <w:szCs w:val="22"/>
          <w:lang w:bidi="en-US"/>
        </w:rPr>
        <w:t>et al</w:t>
      </w:r>
      <w:r w:rsidR="000800BC" w:rsidRPr="00E7708A">
        <w:rPr>
          <w:rFonts w:ascii="Arial" w:hAnsi="Arial" w:cs="Arial"/>
          <w:sz w:val="22"/>
          <w:szCs w:val="22"/>
          <w:lang w:bidi="en-US"/>
        </w:rPr>
        <w:t xml:space="preserve"> 2019). </w:t>
      </w:r>
      <w:r w:rsidRPr="00E7708A">
        <w:rPr>
          <w:rFonts w:ascii="Arial" w:hAnsi="Arial" w:cs="Arial"/>
          <w:sz w:val="22"/>
          <w:szCs w:val="22"/>
          <w:lang w:bidi="en-US"/>
        </w:rPr>
        <w:t xml:space="preserve">Call </w:t>
      </w:r>
      <w:r w:rsidRPr="00E7708A">
        <w:rPr>
          <w:rFonts w:ascii="Arial" w:hAnsi="Arial" w:cs="Arial"/>
          <w:i/>
          <w:iCs/>
          <w:sz w:val="22"/>
          <w:szCs w:val="22"/>
          <w:lang w:bidi="en-US"/>
        </w:rPr>
        <w:t>et al</w:t>
      </w:r>
      <w:r w:rsidRPr="00E7708A">
        <w:rPr>
          <w:rFonts w:ascii="Arial" w:hAnsi="Arial" w:cs="Arial"/>
          <w:sz w:val="22"/>
          <w:szCs w:val="22"/>
          <w:lang w:bidi="en-US"/>
        </w:rPr>
        <w:t xml:space="preserve"> (2021) </w:t>
      </w:r>
      <w:r w:rsidR="000800BC" w:rsidRPr="00E7708A">
        <w:rPr>
          <w:rFonts w:ascii="Arial" w:hAnsi="Arial" w:cs="Arial"/>
          <w:sz w:val="22"/>
          <w:szCs w:val="22"/>
          <w:lang w:bidi="en-US"/>
        </w:rPr>
        <w:t>and Lick et al (2013) f</w:t>
      </w:r>
      <w:r w:rsidRPr="00E7708A">
        <w:rPr>
          <w:rFonts w:ascii="Arial" w:hAnsi="Arial" w:cs="Arial"/>
          <w:sz w:val="22"/>
          <w:szCs w:val="22"/>
          <w:lang w:bidi="en-US"/>
        </w:rPr>
        <w:t>ound that there are clear disparities in healthcare for TGD individuals</w:t>
      </w:r>
      <w:r w:rsidR="000800BC" w:rsidRPr="00E7708A">
        <w:rPr>
          <w:rFonts w:ascii="Arial" w:hAnsi="Arial" w:cs="Arial"/>
          <w:sz w:val="22"/>
          <w:szCs w:val="22"/>
          <w:lang w:bidi="en-US"/>
        </w:rPr>
        <w:t xml:space="preserve"> </w:t>
      </w:r>
      <w:r w:rsidR="00622698">
        <w:rPr>
          <w:rFonts w:ascii="Arial" w:hAnsi="Arial" w:cs="Arial"/>
          <w:sz w:val="22"/>
          <w:szCs w:val="22"/>
          <w:lang w:bidi="en-US"/>
        </w:rPr>
        <w:t>in regards to</w:t>
      </w:r>
      <w:r w:rsidR="000800BC" w:rsidRPr="00E7708A">
        <w:rPr>
          <w:rFonts w:ascii="Arial" w:hAnsi="Arial" w:cs="Arial"/>
          <w:sz w:val="22"/>
          <w:szCs w:val="22"/>
          <w:lang w:bidi="en-US"/>
        </w:rPr>
        <w:t xml:space="preserve"> access, attendance</w:t>
      </w:r>
      <w:r w:rsidR="00622698">
        <w:rPr>
          <w:rFonts w:ascii="Arial" w:hAnsi="Arial" w:cs="Arial"/>
          <w:sz w:val="22"/>
          <w:szCs w:val="22"/>
          <w:lang w:bidi="en-US"/>
        </w:rPr>
        <w:t>,</w:t>
      </w:r>
      <w:r w:rsidR="000800BC" w:rsidRPr="00E7708A">
        <w:rPr>
          <w:rFonts w:ascii="Arial" w:hAnsi="Arial" w:cs="Arial"/>
          <w:sz w:val="22"/>
          <w:szCs w:val="22"/>
          <w:lang w:bidi="en-US"/>
        </w:rPr>
        <w:t xml:space="preserve"> and outcomes. Research has shown that minority stress creates vulnerabilities which lead to </w:t>
      </w:r>
      <w:r w:rsidR="00622698">
        <w:rPr>
          <w:rFonts w:ascii="Arial" w:hAnsi="Arial" w:cs="Arial"/>
          <w:sz w:val="22"/>
          <w:szCs w:val="22"/>
          <w:lang w:bidi="en-US"/>
        </w:rPr>
        <w:t xml:space="preserve">an </w:t>
      </w:r>
      <w:r w:rsidR="000800BC" w:rsidRPr="00E7708A">
        <w:rPr>
          <w:rFonts w:ascii="Arial" w:hAnsi="Arial" w:cs="Arial"/>
          <w:sz w:val="22"/>
          <w:szCs w:val="22"/>
          <w:lang w:bidi="en-US"/>
        </w:rPr>
        <w:t>increased risk of poorer mental health outcomes</w:t>
      </w:r>
      <w:r w:rsidR="00622698">
        <w:rPr>
          <w:rFonts w:ascii="Arial" w:hAnsi="Arial" w:cs="Arial"/>
          <w:sz w:val="22"/>
          <w:szCs w:val="22"/>
          <w:lang w:bidi="en-US"/>
        </w:rPr>
        <w:t xml:space="preserve"> (Lick </w:t>
      </w:r>
      <w:r w:rsidR="00622698">
        <w:rPr>
          <w:rFonts w:ascii="Arial" w:hAnsi="Arial" w:cs="Arial"/>
          <w:i/>
          <w:iCs/>
          <w:sz w:val="22"/>
          <w:szCs w:val="22"/>
          <w:lang w:bidi="en-US"/>
        </w:rPr>
        <w:t>et al</w:t>
      </w:r>
      <w:r w:rsidR="00622698">
        <w:rPr>
          <w:rFonts w:ascii="Arial" w:hAnsi="Arial" w:cs="Arial"/>
          <w:sz w:val="22"/>
          <w:szCs w:val="22"/>
          <w:lang w:bidi="en-US"/>
        </w:rPr>
        <w:t xml:space="preserve"> 2013)</w:t>
      </w:r>
      <w:r w:rsidR="00086545" w:rsidRPr="00E7708A">
        <w:rPr>
          <w:rFonts w:ascii="Arial" w:hAnsi="Arial" w:cs="Arial"/>
          <w:sz w:val="22"/>
          <w:szCs w:val="22"/>
          <w:lang w:bidi="en-US"/>
        </w:rPr>
        <w:t xml:space="preserve">. </w:t>
      </w:r>
      <w:r w:rsidR="000800BC" w:rsidRPr="00E7708A">
        <w:rPr>
          <w:rFonts w:ascii="Arial" w:hAnsi="Arial" w:cs="Arial"/>
          <w:sz w:val="22"/>
          <w:szCs w:val="22"/>
          <w:lang w:bidi="en-US"/>
        </w:rPr>
        <w:t xml:space="preserve">TGD individuals </w:t>
      </w:r>
      <w:r w:rsidR="00086545" w:rsidRPr="00E7708A">
        <w:rPr>
          <w:rFonts w:ascii="Arial" w:hAnsi="Arial" w:cs="Arial"/>
          <w:sz w:val="22"/>
          <w:szCs w:val="22"/>
          <w:lang w:bidi="en-US"/>
        </w:rPr>
        <w:t>are six</w:t>
      </w:r>
      <w:r w:rsidR="000800BC" w:rsidRPr="00E7708A">
        <w:rPr>
          <w:rFonts w:ascii="Arial" w:hAnsi="Arial" w:cs="Arial"/>
          <w:sz w:val="22"/>
          <w:szCs w:val="22"/>
          <w:lang w:bidi="en-US"/>
        </w:rPr>
        <w:t xml:space="preserve"> times more likely to have suicidal ideations than their peers (Call </w:t>
      </w:r>
      <w:r w:rsidR="000800BC" w:rsidRPr="00E7708A">
        <w:rPr>
          <w:rFonts w:ascii="Arial" w:hAnsi="Arial" w:cs="Arial"/>
          <w:i/>
          <w:iCs/>
          <w:sz w:val="22"/>
          <w:szCs w:val="22"/>
          <w:lang w:bidi="en-US"/>
        </w:rPr>
        <w:t xml:space="preserve">et al </w:t>
      </w:r>
      <w:r w:rsidR="000800BC" w:rsidRPr="00E7708A">
        <w:rPr>
          <w:rFonts w:ascii="Arial" w:hAnsi="Arial" w:cs="Arial"/>
          <w:sz w:val="22"/>
          <w:szCs w:val="22"/>
          <w:lang w:bidi="en-US"/>
        </w:rPr>
        <w:t xml:space="preserve">2021; Testa </w:t>
      </w:r>
      <w:r w:rsidR="000800BC" w:rsidRPr="00E7708A">
        <w:rPr>
          <w:rFonts w:ascii="Arial" w:hAnsi="Arial" w:cs="Arial"/>
          <w:i/>
          <w:iCs/>
          <w:sz w:val="22"/>
          <w:szCs w:val="22"/>
          <w:lang w:bidi="en-US"/>
        </w:rPr>
        <w:t>et al</w:t>
      </w:r>
      <w:r w:rsidR="000800BC" w:rsidRPr="00E7708A">
        <w:rPr>
          <w:rFonts w:ascii="Arial" w:hAnsi="Arial" w:cs="Arial"/>
          <w:sz w:val="22"/>
          <w:szCs w:val="22"/>
          <w:lang w:bidi="en-US"/>
        </w:rPr>
        <w:t xml:space="preserve"> 2016). Testa </w:t>
      </w:r>
      <w:r w:rsidR="000800BC" w:rsidRPr="00E7708A">
        <w:rPr>
          <w:rFonts w:ascii="Arial" w:hAnsi="Arial" w:cs="Arial"/>
          <w:i/>
          <w:iCs/>
          <w:sz w:val="22"/>
          <w:szCs w:val="22"/>
          <w:lang w:bidi="en-US"/>
        </w:rPr>
        <w:t xml:space="preserve">et al </w:t>
      </w:r>
      <w:r w:rsidR="000800BC" w:rsidRPr="00E7708A">
        <w:rPr>
          <w:rFonts w:ascii="Arial" w:hAnsi="Arial" w:cs="Arial"/>
          <w:sz w:val="22"/>
          <w:szCs w:val="22"/>
          <w:lang w:bidi="en-US"/>
        </w:rPr>
        <w:t xml:space="preserve">(2016) and </w:t>
      </w:r>
      <w:proofErr w:type="spellStart"/>
      <w:r w:rsidR="000800BC" w:rsidRPr="00E7708A">
        <w:rPr>
          <w:rFonts w:ascii="Arial" w:hAnsi="Arial" w:cs="Arial"/>
          <w:sz w:val="22"/>
          <w:szCs w:val="22"/>
          <w:lang w:bidi="en-US"/>
        </w:rPr>
        <w:t>Flentje</w:t>
      </w:r>
      <w:proofErr w:type="spellEnd"/>
      <w:r w:rsidR="000800BC" w:rsidRPr="00E7708A">
        <w:rPr>
          <w:rFonts w:ascii="Arial" w:hAnsi="Arial" w:cs="Arial"/>
          <w:sz w:val="22"/>
          <w:szCs w:val="22"/>
          <w:lang w:bidi="en-US"/>
        </w:rPr>
        <w:t xml:space="preserve"> </w:t>
      </w:r>
      <w:r w:rsidR="000800BC" w:rsidRPr="00E7708A">
        <w:rPr>
          <w:rFonts w:ascii="Arial" w:hAnsi="Arial" w:cs="Arial"/>
          <w:i/>
          <w:iCs/>
          <w:sz w:val="22"/>
          <w:szCs w:val="22"/>
          <w:lang w:bidi="en-US"/>
        </w:rPr>
        <w:t xml:space="preserve">et al </w:t>
      </w:r>
      <w:r w:rsidR="000800BC" w:rsidRPr="00E7708A">
        <w:rPr>
          <w:rFonts w:ascii="Arial" w:hAnsi="Arial" w:cs="Arial"/>
          <w:sz w:val="22"/>
          <w:szCs w:val="22"/>
          <w:lang w:bidi="en-US"/>
        </w:rPr>
        <w:t>(2019) found that individuals with high minority stress are more likely to be seen as burdens and have a thwarted sense of belonging, even within their own communit</w:t>
      </w:r>
      <w:r w:rsidR="00086545" w:rsidRPr="00E7708A">
        <w:rPr>
          <w:rFonts w:ascii="Arial" w:hAnsi="Arial" w:cs="Arial"/>
          <w:sz w:val="22"/>
          <w:szCs w:val="22"/>
          <w:lang w:bidi="en-US"/>
        </w:rPr>
        <w:t xml:space="preserve">y, </w:t>
      </w:r>
      <w:r w:rsidR="000800BC" w:rsidRPr="00E7708A">
        <w:rPr>
          <w:rFonts w:ascii="Arial" w:hAnsi="Arial" w:cs="Arial"/>
          <w:sz w:val="22"/>
          <w:szCs w:val="22"/>
          <w:lang w:bidi="en-US"/>
        </w:rPr>
        <w:t xml:space="preserve">further leading to stress. </w:t>
      </w:r>
      <w:r w:rsidR="00086545" w:rsidRPr="00E7708A">
        <w:rPr>
          <w:rFonts w:ascii="Arial" w:hAnsi="Arial" w:cs="Arial"/>
          <w:sz w:val="22"/>
          <w:szCs w:val="22"/>
          <w:lang w:bidi="en-US"/>
        </w:rPr>
        <w:t xml:space="preserve">The limitations of </w:t>
      </w:r>
      <w:r w:rsidR="000800BC" w:rsidRPr="00E7708A">
        <w:rPr>
          <w:rFonts w:ascii="Arial" w:hAnsi="Arial" w:cs="Arial"/>
          <w:sz w:val="22"/>
          <w:szCs w:val="22"/>
          <w:lang w:bidi="en-US"/>
        </w:rPr>
        <w:t xml:space="preserve">Testa </w:t>
      </w:r>
      <w:r w:rsidR="000800BC" w:rsidRPr="00E7708A">
        <w:rPr>
          <w:rFonts w:ascii="Arial" w:hAnsi="Arial" w:cs="Arial"/>
          <w:i/>
          <w:iCs/>
          <w:sz w:val="22"/>
          <w:szCs w:val="22"/>
          <w:lang w:bidi="en-US"/>
        </w:rPr>
        <w:t>et al</w:t>
      </w:r>
      <w:r w:rsidR="000800BC" w:rsidRPr="00E7708A">
        <w:rPr>
          <w:rFonts w:ascii="Arial" w:hAnsi="Arial" w:cs="Arial"/>
          <w:sz w:val="22"/>
          <w:szCs w:val="22"/>
          <w:lang w:bidi="en-US"/>
        </w:rPr>
        <w:t xml:space="preserve"> (2016)’s work</w:t>
      </w:r>
      <w:r w:rsidR="00086545" w:rsidRPr="00E7708A">
        <w:rPr>
          <w:rFonts w:ascii="Arial" w:hAnsi="Arial" w:cs="Arial"/>
          <w:sz w:val="22"/>
          <w:szCs w:val="22"/>
          <w:lang w:bidi="en-US"/>
        </w:rPr>
        <w:t xml:space="preserve"> must be </w:t>
      </w:r>
      <w:r w:rsidR="00372CF7" w:rsidRPr="00E7708A">
        <w:rPr>
          <w:rFonts w:ascii="Arial" w:hAnsi="Arial" w:cs="Arial"/>
          <w:sz w:val="22"/>
          <w:szCs w:val="22"/>
          <w:lang w:bidi="en-US"/>
        </w:rPr>
        <w:t>acknowledged</w:t>
      </w:r>
      <w:r w:rsidR="000800BC" w:rsidRPr="00E7708A">
        <w:rPr>
          <w:rFonts w:ascii="Arial" w:hAnsi="Arial" w:cs="Arial"/>
          <w:sz w:val="22"/>
          <w:szCs w:val="22"/>
          <w:lang w:bidi="en-US"/>
        </w:rPr>
        <w:t xml:space="preserve">, as there was a very small sample size. </w:t>
      </w:r>
      <w:r w:rsidR="00086545" w:rsidRPr="00E7708A">
        <w:rPr>
          <w:rFonts w:ascii="Arial" w:hAnsi="Arial" w:cs="Arial"/>
          <w:sz w:val="22"/>
          <w:szCs w:val="22"/>
          <w:lang w:bidi="en-US"/>
        </w:rPr>
        <w:t>The</w:t>
      </w:r>
      <w:r w:rsidR="000800BC" w:rsidRPr="00E7708A">
        <w:rPr>
          <w:rFonts w:ascii="Arial" w:hAnsi="Arial" w:cs="Arial"/>
          <w:sz w:val="22"/>
          <w:szCs w:val="22"/>
          <w:lang w:bidi="en-US"/>
        </w:rPr>
        <w:t xml:space="preserve"> true scope of the issue may be far greater</w:t>
      </w:r>
      <w:r w:rsidR="00086545" w:rsidRPr="00E7708A">
        <w:rPr>
          <w:rFonts w:ascii="Arial" w:hAnsi="Arial" w:cs="Arial"/>
          <w:sz w:val="22"/>
          <w:szCs w:val="22"/>
          <w:lang w:bidi="en-US"/>
        </w:rPr>
        <w:t xml:space="preserve"> </w:t>
      </w:r>
      <w:r w:rsidR="000800BC" w:rsidRPr="00E7708A">
        <w:rPr>
          <w:rFonts w:ascii="Arial" w:hAnsi="Arial" w:cs="Arial"/>
          <w:sz w:val="22"/>
          <w:szCs w:val="22"/>
          <w:lang w:bidi="en-US"/>
        </w:rPr>
        <w:t>and</w:t>
      </w:r>
      <w:r w:rsidR="00086545" w:rsidRPr="00E7708A">
        <w:rPr>
          <w:rFonts w:ascii="Arial" w:hAnsi="Arial" w:cs="Arial"/>
          <w:sz w:val="22"/>
          <w:szCs w:val="22"/>
          <w:lang w:bidi="en-US"/>
        </w:rPr>
        <w:t xml:space="preserve"> </w:t>
      </w:r>
      <w:r w:rsidR="000800BC" w:rsidRPr="00E7708A">
        <w:rPr>
          <w:rFonts w:ascii="Arial" w:hAnsi="Arial" w:cs="Arial"/>
          <w:sz w:val="22"/>
          <w:szCs w:val="22"/>
          <w:lang w:bidi="en-US"/>
        </w:rPr>
        <w:t xml:space="preserve">the research was limited due to people not being open in </w:t>
      </w:r>
      <w:r w:rsidR="00622698">
        <w:rPr>
          <w:rFonts w:ascii="Arial" w:hAnsi="Arial" w:cs="Arial"/>
          <w:sz w:val="22"/>
          <w:szCs w:val="22"/>
          <w:lang w:bidi="en-US"/>
        </w:rPr>
        <w:t xml:space="preserve">the </w:t>
      </w:r>
      <w:r w:rsidR="000800BC" w:rsidRPr="00E7708A">
        <w:rPr>
          <w:rFonts w:ascii="Arial" w:hAnsi="Arial" w:cs="Arial"/>
          <w:sz w:val="22"/>
          <w:szCs w:val="22"/>
          <w:lang w:bidi="en-US"/>
        </w:rPr>
        <w:t>discussion about suicide and poor mental health.</w:t>
      </w:r>
    </w:p>
    <w:p w14:paraId="32C14502" w14:textId="77777777" w:rsidR="000800BC" w:rsidRPr="00E7708A" w:rsidRDefault="000800BC" w:rsidP="00E7708A">
      <w:pPr>
        <w:spacing w:line="480" w:lineRule="auto"/>
        <w:jc w:val="both"/>
        <w:rPr>
          <w:rFonts w:ascii="Arial" w:hAnsi="Arial" w:cs="Arial"/>
          <w:sz w:val="22"/>
          <w:szCs w:val="22"/>
          <w:lang w:bidi="en-US"/>
        </w:rPr>
      </w:pPr>
    </w:p>
    <w:p w14:paraId="28DE9C48" w14:textId="0F93DA94" w:rsidR="000800BC" w:rsidRPr="00E7708A" w:rsidRDefault="00061254" w:rsidP="00E7708A">
      <w:pPr>
        <w:spacing w:line="480" w:lineRule="auto"/>
        <w:jc w:val="both"/>
        <w:rPr>
          <w:rFonts w:ascii="Arial" w:hAnsi="Arial" w:cs="Arial"/>
          <w:sz w:val="22"/>
          <w:szCs w:val="22"/>
          <w:lang w:bidi="en-US"/>
        </w:rPr>
      </w:pPr>
      <w:r w:rsidRPr="00E7708A">
        <w:rPr>
          <w:rFonts w:ascii="Arial" w:hAnsi="Arial" w:cs="Arial"/>
          <w:sz w:val="22"/>
          <w:szCs w:val="22"/>
          <w:lang w:bidi="en-US"/>
        </w:rPr>
        <w:t xml:space="preserve">When considering </w:t>
      </w:r>
      <w:r w:rsidR="00622698">
        <w:rPr>
          <w:rFonts w:ascii="Arial" w:hAnsi="Arial" w:cs="Arial"/>
          <w:sz w:val="22"/>
          <w:szCs w:val="22"/>
          <w:lang w:bidi="en-US"/>
        </w:rPr>
        <w:t xml:space="preserve">the </w:t>
      </w:r>
      <w:r w:rsidRPr="00E7708A">
        <w:rPr>
          <w:rFonts w:ascii="Arial" w:hAnsi="Arial" w:cs="Arial"/>
          <w:sz w:val="22"/>
          <w:szCs w:val="22"/>
          <w:lang w:bidi="en-US"/>
        </w:rPr>
        <w:t xml:space="preserve">practical application to my work, the </w:t>
      </w:r>
      <w:r w:rsidR="000800BC" w:rsidRPr="00E7708A">
        <w:rPr>
          <w:rFonts w:ascii="Arial" w:hAnsi="Arial" w:cs="Arial"/>
          <w:sz w:val="22"/>
          <w:szCs w:val="22"/>
          <w:lang w:bidi="en-US"/>
        </w:rPr>
        <w:t>central aspect will be acknowledging minority stress. Often, it can be easy to become caught up in annoyance when someone does</w:t>
      </w:r>
      <w:r w:rsidR="00372CF7" w:rsidRPr="00E7708A">
        <w:rPr>
          <w:rFonts w:ascii="Arial" w:hAnsi="Arial" w:cs="Arial"/>
          <w:sz w:val="22"/>
          <w:szCs w:val="22"/>
          <w:lang w:bidi="en-US"/>
        </w:rPr>
        <w:t xml:space="preserve"> not </w:t>
      </w:r>
      <w:r w:rsidR="000800BC" w:rsidRPr="00E7708A">
        <w:rPr>
          <w:rFonts w:ascii="Arial" w:hAnsi="Arial" w:cs="Arial"/>
          <w:sz w:val="22"/>
          <w:szCs w:val="22"/>
          <w:lang w:bidi="en-US"/>
        </w:rPr>
        <w:t>attend an appointment</w:t>
      </w:r>
      <w:r w:rsidRPr="00E7708A">
        <w:rPr>
          <w:rFonts w:ascii="Arial" w:hAnsi="Arial" w:cs="Arial"/>
          <w:sz w:val="22"/>
          <w:szCs w:val="22"/>
          <w:lang w:bidi="en-US"/>
        </w:rPr>
        <w:t xml:space="preserve"> </w:t>
      </w:r>
      <w:r w:rsidR="000800BC" w:rsidRPr="00E7708A">
        <w:rPr>
          <w:rFonts w:ascii="Arial" w:hAnsi="Arial" w:cs="Arial"/>
          <w:sz w:val="22"/>
          <w:szCs w:val="22"/>
          <w:lang w:bidi="en-US"/>
        </w:rPr>
        <w:t>or cancels at the last minute</w:t>
      </w:r>
      <w:r w:rsidRPr="00E7708A">
        <w:rPr>
          <w:rFonts w:ascii="Arial" w:hAnsi="Arial" w:cs="Arial"/>
          <w:sz w:val="22"/>
          <w:szCs w:val="22"/>
          <w:lang w:bidi="en-US"/>
        </w:rPr>
        <w:t>,</w:t>
      </w:r>
      <w:r w:rsidR="000800BC" w:rsidRPr="00E7708A">
        <w:rPr>
          <w:rFonts w:ascii="Arial" w:hAnsi="Arial" w:cs="Arial"/>
          <w:sz w:val="22"/>
          <w:szCs w:val="22"/>
          <w:lang w:bidi="en-US"/>
        </w:rPr>
        <w:t xml:space="preserve"> but by acknowledging the huge breadth of impacting factors I am helping to make healthcare more accessible. The language use</w:t>
      </w:r>
      <w:r w:rsidRPr="00E7708A">
        <w:rPr>
          <w:rFonts w:ascii="Arial" w:hAnsi="Arial" w:cs="Arial"/>
          <w:sz w:val="22"/>
          <w:szCs w:val="22"/>
          <w:lang w:bidi="en-US"/>
        </w:rPr>
        <w:t>d</w:t>
      </w:r>
      <w:r w:rsidR="000800BC" w:rsidRPr="00E7708A">
        <w:rPr>
          <w:rFonts w:ascii="Arial" w:hAnsi="Arial" w:cs="Arial"/>
          <w:sz w:val="22"/>
          <w:szCs w:val="22"/>
          <w:lang w:bidi="en-US"/>
        </w:rPr>
        <w:t xml:space="preserve"> when contacting TGD individuals will be my focus initially, such as ensuring to use open questions to develop </w:t>
      </w:r>
      <w:r w:rsidR="00622698">
        <w:rPr>
          <w:rFonts w:ascii="Arial" w:hAnsi="Arial" w:cs="Arial"/>
          <w:sz w:val="22"/>
          <w:szCs w:val="22"/>
          <w:lang w:bidi="en-US"/>
        </w:rPr>
        <w:t xml:space="preserve">a </w:t>
      </w:r>
      <w:r w:rsidR="000800BC" w:rsidRPr="00E7708A">
        <w:rPr>
          <w:rFonts w:ascii="Arial" w:hAnsi="Arial" w:cs="Arial"/>
          <w:sz w:val="22"/>
          <w:szCs w:val="22"/>
          <w:lang w:bidi="en-US"/>
        </w:rPr>
        <w:t xml:space="preserve">better understanding of the route cause. </w:t>
      </w:r>
      <w:r w:rsidRPr="00E7708A">
        <w:rPr>
          <w:rFonts w:ascii="Arial" w:hAnsi="Arial" w:cs="Arial"/>
          <w:sz w:val="22"/>
          <w:szCs w:val="22"/>
          <w:lang w:bidi="en-US"/>
        </w:rPr>
        <w:t xml:space="preserve">Including language </w:t>
      </w:r>
      <w:r w:rsidR="000800BC" w:rsidRPr="00E7708A">
        <w:rPr>
          <w:rFonts w:ascii="Arial" w:hAnsi="Arial" w:cs="Arial"/>
          <w:sz w:val="22"/>
          <w:szCs w:val="22"/>
          <w:lang w:bidi="en-US"/>
        </w:rPr>
        <w:t>such as</w:t>
      </w:r>
      <w:r w:rsidRPr="00E7708A">
        <w:rPr>
          <w:rFonts w:ascii="Arial" w:hAnsi="Arial" w:cs="Arial"/>
          <w:sz w:val="22"/>
          <w:szCs w:val="22"/>
          <w:lang w:bidi="en-US"/>
        </w:rPr>
        <w:t>:</w:t>
      </w:r>
      <w:r w:rsidR="000800BC" w:rsidRPr="00E7708A">
        <w:rPr>
          <w:rFonts w:ascii="Arial" w:hAnsi="Arial" w:cs="Arial"/>
          <w:sz w:val="22"/>
          <w:szCs w:val="22"/>
          <w:lang w:bidi="en-US"/>
        </w:rPr>
        <w:t xml:space="preserve"> I see you have missed several appointments, is there anything we can do to make the service more accessible?</w:t>
      </w:r>
      <w:r w:rsidR="002D6963">
        <w:rPr>
          <w:rFonts w:ascii="Arial" w:hAnsi="Arial" w:cs="Arial"/>
          <w:sz w:val="22"/>
          <w:szCs w:val="22"/>
          <w:lang w:bidi="en-US"/>
        </w:rPr>
        <w:t xml:space="preserve"> </w:t>
      </w:r>
      <w:r w:rsidRPr="00E7708A">
        <w:rPr>
          <w:rFonts w:ascii="Arial" w:hAnsi="Arial" w:cs="Arial"/>
          <w:sz w:val="22"/>
          <w:szCs w:val="22"/>
          <w:lang w:bidi="en-US"/>
        </w:rPr>
        <w:lastRenderedPageBreak/>
        <w:t>This is i</w:t>
      </w:r>
      <w:r w:rsidR="000800BC" w:rsidRPr="00E7708A">
        <w:rPr>
          <w:rFonts w:ascii="Arial" w:hAnsi="Arial" w:cs="Arial"/>
          <w:sz w:val="22"/>
          <w:szCs w:val="22"/>
          <w:lang w:bidi="en-US"/>
        </w:rPr>
        <w:t>nstead of assuming someone had forgotten about the appointment. I have</w:t>
      </w:r>
      <w:r w:rsidRPr="00E7708A">
        <w:rPr>
          <w:rFonts w:ascii="Arial" w:hAnsi="Arial" w:cs="Arial"/>
          <w:sz w:val="22"/>
          <w:szCs w:val="22"/>
          <w:lang w:bidi="en-US"/>
        </w:rPr>
        <w:t xml:space="preserve"> </w:t>
      </w:r>
      <w:r w:rsidR="000800BC" w:rsidRPr="00E7708A">
        <w:rPr>
          <w:rFonts w:ascii="Arial" w:hAnsi="Arial" w:cs="Arial"/>
          <w:sz w:val="22"/>
          <w:szCs w:val="22"/>
          <w:lang w:bidi="en-US"/>
        </w:rPr>
        <w:t xml:space="preserve">begun to apply this through </w:t>
      </w:r>
      <w:r w:rsidRPr="00E7708A">
        <w:rPr>
          <w:rFonts w:ascii="Arial" w:hAnsi="Arial" w:cs="Arial"/>
          <w:sz w:val="22"/>
          <w:szCs w:val="22"/>
          <w:lang w:bidi="en-US"/>
        </w:rPr>
        <w:t>guidance</w:t>
      </w:r>
      <w:r w:rsidR="000800BC" w:rsidRPr="00E7708A">
        <w:rPr>
          <w:rFonts w:ascii="Arial" w:hAnsi="Arial" w:cs="Arial"/>
          <w:sz w:val="22"/>
          <w:szCs w:val="22"/>
          <w:lang w:bidi="en-US"/>
        </w:rPr>
        <w:t xml:space="preserve"> to</w:t>
      </w:r>
      <w:r w:rsidRPr="00E7708A">
        <w:rPr>
          <w:rFonts w:ascii="Arial" w:hAnsi="Arial" w:cs="Arial"/>
          <w:sz w:val="22"/>
          <w:szCs w:val="22"/>
          <w:lang w:bidi="en-US"/>
        </w:rPr>
        <w:t xml:space="preserve"> </w:t>
      </w:r>
      <w:r w:rsidR="00372CF7" w:rsidRPr="00E7708A">
        <w:rPr>
          <w:rFonts w:ascii="Arial" w:hAnsi="Arial" w:cs="Arial"/>
          <w:sz w:val="22"/>
          <w:szCs w:val="22"/>
          <w:lang w:bidi="en-US"/>
        </w:rPr>
        <w:t>administrative</w:t>
      </w:r>
      <w:r w:rsidR="000800BC" w:rsidRPr="00E7708A">
        <w:rPr>
          <w:rFonts w:ascii="Arial" w:hAnsi="Arial" w:cs="Arial"/>
          <w:sz w:val="22"/>
          <w:szCs w:val="22"/>
          <w:lang w:bidi="en-US"/>
        </w:rPr>
        <w:t xml:space="preserve"> </w:t>
      </w:r>
      <w:r w:rsidRPr="00E7708A">
        <w:rPr>
          <w:rFonts w:ascii="Arial" w:hAnsi="Arial" w:cs="Arial"/>
          <w:sz w:val="22"/>
          <w:szCs w:val="22"/>
          <w:lang w:bidi="en-US"/>
        </w:rPr>
        <w:t>colleagues,</w:t>
      </w:r>
      <w:r w:rsidR="000800BC" w:rsidRPr="00E7708A">
        <w:rPr>
          <w:rFonts w:ascii="Arial" w:hAnsi="Arial" w:cs="Arial"/>
          <w:sz w:val="22"/>
          <w:szCs w:val="22"/>
          <w:lang w:bidi="en-US"/>
        </w:rPr>
        <w:t xml:space="preserve"> who often ask if someone should be attending therapy after multiple missed appointments. I will advise on the many co-occurring factors that are impacting that person’s attendance. However, I will now use my findings to provide further insight through a more targeted training package. </w:t>
      </w:r>
    </w:p>
    <w:p w14:paraId="753072DB" w14:textId="013723B1" w:rsidR="000800BC" w:rsidRPr="00E7708A" w:rsidRDefault="00452828" w:rsidP="00E7708A">
      <w:pPr>
        <w:spacing w:before="100" w:beforeAutospacing="1" w:after="100" w:afterAutospacing="1" w:line="480" w:lineRule="auto"/>
        <w:jc w:val="both"/>
        <w:rPr>
          <w:rFonts w:ascii="Arial" w:hAnsi="Arial" w:cs="Arial"/>
          <w:sz w:val="22"/>
          <w:szCs w:val="22"/>
          <w:u w:val="single"/>
        </w:rPr>
      </w:pPr>
      <w:r w:rsidRPr="00E7708A">
        <w:rPr>
          <w:rFonts w:ascii="Arial" w:hAnsi="Arial" w:cs="Arial"/>
          <w:sz w:val="22"/>
          <w:szCs w:val="22"/>
          <w:u w:val="single"/>
        </w:rPr>
        <w:t>Application strateg</w:t>
      </w:r>
      <w:r w:rsidR="000800BC" w:rsidRPr="00E7708A">
        <w:rPr>
          <w:rFonts w:ascii="Arial" w:hAnsi="Arial" w:cs="Arial"/>
          <w:sz w:val="22"/>
          <w:szCs w:val="22"/>
          <w:u w:val="single"/>
        </w:rPr>
        <w:t>y</w:t>
      </w:r>
    </w:p>
    <w:p w14:paraId="7A83A10B" w14:textId="0E6D10C4" w:rsidR="00E7708A" w:rsidRPr="00E7708A" w:rsidRDefault="000800BC" w:rsidP="00E7708A">
      <w:pPr>
        <w:spacing w:line="480" w:lineRule="auto"/>
        <w:jc w:val="both"/>
        <w:rPr>
          <w:rFonts w:ascii="Arial" w:hAnsi="Arial" w:cs="Arial"/>
          <w:sz w:val="22"/>
          <w:szCs w:val="22"/>
        </w:rPr>
      </w:pPr>
      <w:r w:rsidRPr="00E7708A">
        <w:rPr>
          <w:rFonts w:ascii="Arial" w:hAnsi="Arial" w:cs="Arial"/>
          <w:sz w:val="22"/>
          <w:szCs w:val="22"/>
        </w:rPr>
        <w:t xml:space="preserve">Thinking about how this impacts my work, </w:t>
      </w:r>
      <w:r w:rsidR="00372CF7" w:rsidRPr="00E7708A">
        <w:rPr>
          <w:rFonts w:ascii="Arial" w:hAnsi="Arial" w:cs="Arial"/>
          <w:sz w:val="22"/>
          <w:szCs w:val="22"/>
        </w:rPr>
        <w:t xml:space="preserve">I consider </w:t>
      </w:r>
      <w:r w:rsidRPr="00E7708A">
        <w:rPr>
          <w:rFonts w:ascii="Arial" w:hAnsi="Arial" w:cs="Arial"/>
          <w:sz w:val="22"/>
          <w:szCs w:val="22"/>
        </w:rPr>
        <w:t xml:space="preserve">there </w:t>
      </w:r>
      <w:r w:rsidR="00372CF7" w:rsidRPr="00E7708A">
        <w:rPr>
          <w:rFonts w:ascii="Arial" w:hAnsi="Arial" w:cs="Arial"/>
          <w:sz w:val="22"/>
          <w:szCs w:val="22"/>
        </w:rPr>
        <w:t>to be</w:t>
      </w:r>
      <w:r w:rsidRPr="00E7708A">
        <w:rPr>
          <w:rFonts w:ascii="Arial" w:hAnsi="Arial" w:cs="Arial"/>
          <w:sz w:val="22"/>
          <w:szCs w:val="22"/>
        </w:rPr>
        <w:t xml:space="preserve"> a clear link between the 3 topics discussed in this essay. Several pieces of research highlight the links between intersectionality and minority stress</w:t>
      </w:r>
      <w:r w:rsidR="00061254" w:rsidRPr="00E7708A">
        <w:rPr>
          <w:rFonts w:ascii="Arial" w:hAnsi="Arial" w:cs="Arial"/>
          <w:sz w:val="22"/>
          <w:szCs w:val="22"/>
        </w:rPr>
        <w:t xml:space="preserve">, </w:t>
      </w:r>
      <w:r w:rsidRPr="00E7708A">
        <w:rPr>
          <w:rFonts w:ascii="Arial" w:hAnsi="Arial" w:cs="Arial"/>
          <w:sz w:val="22"/>
          <w:szCs w:val="22"/>
        </w:rPr>
        <w:t>whilst linking back to societal norm pressures such as gender as a construct (Call</w:t>
      </w:r>
      <w:r w:rsidRPr="00E7708A">
        <w:rPr>
          <w:rFonts w:ascii="Arial" w:hAnsi="Arial" w:cs="Arial"/>
          <w:i/>
          <w:iCs/>
          <w:sz w:val="22"/>
          <w:szCs w:val="22"/>
        </w:rPr>
        <w:t xml:space="preserve"> et al </w:t>
      </w:r>
      <w:r w:rsidRPr="00E7708A">
        <w:rPr>
          <w:rFonts w:ascii="Arial" w:hAnsi="Arial" w:cs="Arial"/>
          <w:sz w:val="22"/>
          <w:szCs w:val="22"/>
        </w:rPr>
        <w:t xml:space="preserve">2019; Testa </w:t>
      </w:r>
      <w:r w:rsidRPr="00E7708A">
        <w:rPr>
          <w:rFonts w:ascii="Arial" w:hAnsi="Arial" w:cs="Arial"/>
          <w:i/>
          <w:iCs/>
          <w:sz w:val="22"/>
          <w:szCs w:val="22"/>
        </w:rPr>
        <w:t>et al</w:t>
      </w:r>
      <w:r w:rsidRPr="00E7708A">
        <w:rPr>
          <w:rFonts w:ascii="Arial" w:hAnsi="Arial" w:cs="Arial"/>
          <w:sz w:val="22"/>
          <w:szCs w:val="22"/>
        </w:rPr>
        <w:t xml:space="preserve"> 2016; Hancock &amp; Haskin, 2015; Davies &amp; Goldberg, 2006; Davies </w:t>
      </w:r>
      <w:r w:rsidRPr="00E7708A">
        <w:rPr>
          <w:rFonts w:ascii="Arial" w:hAnsi="Arial" w:cs="Arial"/>
          <w:i/>
          <w:iCs/>
          <w:sz w:val="22"/>
          <w:szCs w:val="22"/>
        </w:rPr>
        <w:t>et al</w:t>
      </w:r>
      <w:r w:rsidRPr="00E7708A">
        <w:rPr>
          <w:rFonts w:ascii="Arial" w:hAnsi="Arial" w:cs="Arial"/>
          <w:sz w:val="22"/>
          <w:szCs w:val="22"/>
        </w:rPr>
        <w:t xml:space="preserve"> 2015). </w:t>
      </w:r>
      <w:r w:rsidRPr="00E7708A">
        <w:rPr>
          <w:rFonts w:ascii="Arial" w:hAnsi="Arial" w:cs="Arial"/>
          <w:sz w:val="22"/>
          <w:szCs w:val="22"/>
          <w:lang w:bidi="en-US"/>
        </w:rPr>
        <w:t xml:space="preserve">Due to the minority stress factors found </w:t>
      </w:r>
      <w:r w:rsidR="00061254" w:rsidRPr="00E7708A">
        <w:rPr>
          <w:rFonts w:ascii="Arial" w:hAnsi="Arial" w:cs="Arial"/>
          <w:sz w:val="22"/>
          <w:szCs w:val="22"/>
          <w:lang w:bidi="en-US"/>
        </w:rPr>
        <w:t>among</w:t>
      </w:r>
      <w:r w:rsidRPr="00E7708A">
        <w:rPr>
          <w:rFonts w:ascii="Arial" w:hAnsi="Arial" w:cs="Arial"/>
          <w:sz w:val="22"/>
          <w:szCs w:val="22"/>
          <w:lang w:bidi="en-US"/>
        </w:rPr>
        <w:t xml:space="preserve"> TGD people, there was a higher rate of internalised homophobia than </w:t>
      </w:r>
      <w:r w:rsidR="00622698">
        <w:rPr>
          <w:rFonts w:ascii="Arial" w:hAnsi="Arial" w:cs="Arial"/>
          <w:sz w:val="22"/>
          <w:szCs w:val="22"/>
          <w:lang w:bidi="en-US"/>
        </w:rPr>
        <w:t xml:space="preserve">in </w:t>
      </w:r>
      <w:r w:rsidRPr="00E7708A">
        <w:rPr>
          <w:rFonts w:ascii="Arial" w:hAnsi="Arial" w:cs="Arial"/>
          <w:sz w:val="22"/>
          <w:szCs w:val="22"/>
          <w:lang w:bidi="en-US"/>
        </w:rPr>
        <w:t>any other LGBTQ+ population (</w:t>
      </w:r>
      <w:r w:rsidRPr="00E7708A">
        <w:rPr>
          <w:rFonts w:ascii="Arial" w:hAnsi="Arial" w:cs="Arial"/>
          <w:sz w:val="22"/>
          <w:szCs w:val="22"/>
        </w:rPr>
        <w:t xml:space="preserve">Testa </w:t>
      </w:r>
      <w:r w:rsidRPr="00E7708A">
        <w:rPr>
          <w:rFonts w:ascii="Arial" w:hAnsi="Arial" w:cs="Arial"/>
          <w:i/>
          <w:iCs/>
          <w:sz w:val="22"/>
          <w:szCs w:val="22"/>
        </w:rPr>
        <w:t>et al</w:t>
      </w:r>
      <w:r w:rsidRPr="00E7708A">
        <w:rPr>
          <w:rFonts w:ascii="Arial" w:hAnsi="Arial" w:cs="Arial"/>
          <w:sz w:val="22"/>
          <w:szCs w:val="22"/>
        </w:rPr>
        <w:t xml:space="preserve"> 2016). This is likely to impact a person’s ability to explore sexuality and gender, meaning that clinicians will need to expand the way they discuss</w:t>
      </w:r>
      <w:r w:rsidR="00061254" w:rsidRPr="00E7708A">
        <w:rPr>
          <w:rFonts w:ascii="Arial" w:hAnsi="Arial" w:cs="Arial"/>
          <w:sz w:val="22"/>
          <w:szCs w:val="22"/>
        </w:rPr>
        <w:t xml:space="preserve"> </w:t>
      </w:r>
      <w:r w:rsidRPr="00E7708A">
        <w:rPr>
          <w:rFonts w:ascii="Arial" w:hAnsi="Arial" w:cs="Arial"/>
          <w:sz w:val="22"/>
          <w:szCs w:val="22"/>
        </w:rPr>
        <w:t xml:space="preserve">these issues to account for past experiences (Call </w:t>
      </w:r>
      <w:r w:rsidRPr="00E7708A">
        <w:rPr>
          <w:rFonts w:ascii="Arial" w:hAnsi="Arial" w:cs="Arial"/>
          <w:i/>
          <w:iCs/>
          <w:sz w:val="22"/>
          <w:szCs w:val="22"/>
        </w:rPr>
        <w:t>et al</w:t>
      </w:r>
      <w:r w:rsidRPr="00E7708A">
        <w:rPr>
          <w:rFonts w:ascii="Arial" w:hAnsi="Arial" w:cs="Arial"/>
          <w:sz w:val="22"/>
          <w:szCs w:val="22"/>
        </w:rPr>
        <w:t xml:space="preserve"> 2021). </w:t>
      </w:r>
      <w:r w:rsidR="00E7708A" w:rsidRPr="00E7708A">
        <w:rPr>
          <w:rFonts w:ascii="Arial" w:hAnsi="Arial" w:cs="Arial"/>
          <w:sz w:val="22"/>
          <w:szCs w:val="22"/>
        </w:rPr>
        <w:t xml:space="preserve">TGD individuals may seek to modify their voice and communication if their current vocal and communicative profile does not fit their gender profile. This may be motivated by a desire to conform to societal norms (Davies &amp; Goldberg, 2006; Davies </w:t>
      </w:r>
      <w:r w:rsidR="00E7708A" w:rsidRPr="00E7708A">
        <w:rPr>
          <w:rFonts w:ascii="Arial" w:hAnsi="Arial" w:cs="Arial"/>
          <w:i/>
          <w:iCs/>
          <w:sz w:val="22"/>
          <w:szCs w:val="22"/>
        </w:rPr>
        <w:t>et al</w:t>
      </w:r>
      <w:r w:rsidR="00E7708A" w:rsidRPr="00E7708A">
        <w:rPr>
          <w:rFonts w:ascii="Arial" w:hAnsi="Arial" w:cs="Arial"/>
          <w:sz w:val="22"/>
          <w:szCs w:val="22"/>
        </w:rPr>
        <w:t xml:space="preserve"> 2015). It is important to note that many TGD people are not focused on contentious notions of passing and that they may be comfortable with a voice that does not traditionally match their gender identity such as a trans woman using a male spectrum pitch range (Hancock &amp; Haskin, 2015). </w:t>
      </w:r>
      <w:r w:rsidRPr="00E7708A">
        <w:rPr>
          <w:rFonts w:ascii="Arial" w:hAnsi="Arial" w:cs="Arial"/>
          <w:sz w:val="22"/>
          <w:szCs w:val="22"/>
        </w:rPr>
        <w:t>Research advise</w:t>
      </w:r>
      <w:r w:rsidR="00061254" w:rsidRPr="00E7708A">
        <w:rPr>
          <w:rFonts w:ascii="Arial" w:hAnsi="Arial" w:cs="Arial"/>
          <w:sz w:val="22"/>
          <w:szCs w:val="22"/>
        </w:rPr>
        <w:t>s</w:t>
      </w:r>
      <w:r w:rsidRPr="00E7708A">
        <w:rPr>
          <w:rFonts w:ascii="Arial" w:hAnsi="Arial" w:cs="Arial"/>
          <w:sz w:val="22"/>
          <w:szCs w:val="22"/>
        </w:rPr>
        <w:t xml:space="preserve"> that clinicians develop clinical approaches using an affirmative model which does not view gender identities and expressions as pathological</w:t>
      </w:r>
      <w:r w:rsidR="00061254" w:rsidRPr="00E7708A">
        <w:rPr>
          <w:rFonts w:ascii="Arial" w:hAnsi="Arial" w:cs="Arial"/>
          <w:sz w:val="22"/>
          <w:szCs w:val="22"/>
        </w:rPr>
        <w:t>,</w:t>
      </w:r>
      <w:r w:rsidRPr="00E7708A">
        <w:rPr>
          <w:rFonts w:ascii="Arial" w:hAnsi="Arial" w:cs="Arial"/>
          <w:sz w:val="22"/>
          <w:szCs w:val="22"/>
        </w:rPr>
        <w:t xml:space="preserve"> but begins with the premise that gender is not necessarily a binary identity and can change over time (Call </w:t>
      </w:r>
      <w:r w:rsidRPr="00E7708A">
        <w:rPr>
          <w:rFonts w:ascii="Arial" w:hAnsi="Arial" w:cs="Arial"/>
          <w:i/>
          <w:iCs/>
          <w:sz w:val="22"/>
          <w:szCs w:val="22"/>
        </w:rPr>
        <w:t>et al</w:t>
      </w:r>
      <w:r w:rsidRPr="00E7708A">
        <w:rPr>
          <w:rFonts w:ascii="Arial" w:hAnsi="Arial" w:cs="Arial"/>
          <w:sz w:val="22"/>
          <w:szCs w:val="22"/>
        </w:rPr>
        <w:t xml:space="preserve"> 2021; Testa </w:t>
      </w:r>
      <w:r w:rsidRPr="00E7708A">
        <w:rPr>
          <w:rFonts w:ascii="Arial" w:hAnsi="Arial" w:cs="Arial"/>
          <w:i/>
          <w:iCs/>
          <w:sz w:val="22"/>
          <w:szCs w:val="22"/>
        </w:rPr>
        <w:t xml:space="preserve">et al </w:t>
      </w:r>
      <w:r w:rsidRPr="00E7708A">
        <w:rPr>
          <w:rFonts w:ascii="Arial" w:hAnsi="Arial" w:cs="Arial"/>
          <w:sz w:val="22"/>
          <w:szCs w:val="22"/>
        </w:rPr>
        <w:t xml:space="preserve">2016; Davies </w:t>
      </w:r>
      <w:r w:rsidRPr="00E7708A">
        <w:rPr>
          <w:rFonts w:ascii="Arial" w:hAnsi="Arial" w:cs="Arial"/>
          <w:i/>
          <w:iCs/>
          <w:sz w:val="22"/>
          <w:szCs w:val="22"/>
        </w:rPr>
        <w:t>et al</w:t>
      </w:r>
      <w:r w:rsidRPr="00E7708A">
        <w:rPr>
          <w:rFonts w:ascii="Arial" w:hAnsi="Arial" w:cs="Arial"/>
          <w:sz w:val="22"/>
          <w:szCs w:val="22"/>
        </w:rPr>
        <w:t xml:space="preserve"> 2015). </w:t>
      </w:r>
      <w:proofErr w:type="spellStart"/>
      <w:r w:rsidRPr="00E7708A">
        <w:rPr>
          <w:rFonts w:ascii="Arial" w:hAnsi="Arial" w:cs="Arial"/>
          <w:sz w:val="22"/>
          <w:szCs w:val="22"/>
        </w:rPr>
        <w:t>Creaven</w:t>
      </w:r>
      <w:proofErr w:type="spellEnd"/>
      <w:r w:rsidRPr="00E7708A">
        <w:rPr>
          <w:rFonts w:ascii="Arial" w:hAnsi="Arial" w:cs="Arial"/>
          <w:sz w:val="22"/>
          <w:szCs w:val="22"/>
        </w:rPr>
        <w:t xml:space="preserve"> and O’Malley-</w:t>
      </w:r>
      <w:proofErr w:type="spellStart"/>
      <w:r w:rsidRPr="00E7708A">
        <w:rPr>
          <w:rFonts w:ascii="Arial" w:hAnsi="Arial" w:cs="Arial"/>
          <w:sz w:val="22"/>
          <w:szCs w:val="22"/>
        </w:rPr>
        <w:t>Keighran</w:t>
      </w:r>
      <w:proofErr w:type="spellEnd"/>
      <w:r w:rsidRPr="00E7708A">
        <w:rPr>
          <w:rFonts w:ascii="Arial" w:hAnsi="Arial" w:cs="Arial"/>
          <w:sz w:val="22"/>
          <w:szCs w:val="22"/>
        </w:rPr>
        <w:t xml:space="preserve"> (2018) completed a small-scale study with four TGD participants, </w:t>
      </w:r>
      <w:r w:rsidR="00061254" w:rsidRPr="00E7708A">
        <w:rPr>
          <w:rFonts w:ascii="Arial" w:hAnsi="Arial" w:cs="Arial"/>
          <w:sz w:val="22"/>
          <w:szCs w:val="22"/>
        </w:rPr>
        <w:t>finding</w:t>
      </w:r>
      <w:r w:rsidRPr="00E7708A">
        <w:rPr>
          <w:rFonts w:ascii="Arial" w:hAnsi="Arial" w:cs="Arial"/>
          <w:sz w:val="22"/>
          <w:szCs w:val="22"/>
        </w:rPr>
        <w:t xml:space="preserve"> that it is often difficult for healthcare professionals to offer TGD clients a full </w:t>
      </w:r>
      <w:r w:rsidRPr="00E7708A">
        <w:rPr>
          <w:rFonts w:ascii="Arial" w:hAnsi="Arial" w:cs="Arial"/>
          <w:sz w:val="22"/>
          <w:szCs w:val="22"/>
        </w:rPr>
        <w:lastRenderedPageBreak/>
        <w:t>range of services as they have a tendency toward secrecy due to discrimination and will not openly discuss their desires. Due to this being a small study, it is important to note that this may not represent the TGD population as a whole, however</w:t>
      </w:r>
      <w:r w:rsidR="00622698">
        <w:rPr>
          <w:rFonts w:ascii="Arial" w:hAnsi="Arial" w:cs="Arial"/>
          <w:sz w:val="22"/>
          <w:szCs w:val="22"/>
        </w:rPr>
        <w:t>,</w:t>
      </w:r>
      <w:r w:rsidRPr="00E7708A">
        <w:rPr>
          <w:rFonts w:ascii="Arial" w:hAnsi="Arial" w:cs="Arial"/>
          <w:sz w:val="22"/>
          <w:szCs w:val="22"/>
        </w:rPr>
        <w:t xml:space="preserve"> it does indicate a relationship breakdown between TGD individuals and healthcare.</w:t>
      </w:r>
      <w:r w:rsidR="00E7708A" w:rsidRPr="00E7708A">
        <w:rPr>
          <w:rFonts w:ascii="Arial" w:hAnsi="Arial" w:cs="Arial"/>
          <w:sz w:val="22"/>
          <w:szCs w:val="22"/>
        </w:rPr>
        <w:t xml:space="preserve"> </w:t>
      </w:r>
      <w:r w:rsidRPr="00E7708A">
        <w:rPr>
          <w:rFonts w:ascii="Arial" w:hAnsi="Arial" w:cs="Arial"/>
          <w:sz w:val="22"/>
          <w:szCs w:val="22"/>
        </w:rPr>
        <w:t xml:space="preserve">Golden and </w:t>
      </w:r>
      <w:proofErr w:type="spellStart"/>
      <w:r w:rsidRPr="00E7708A">
        <w:rPr>
          <w:rFonts w:ascii="Arial" w:hAnsi="Arial" w:cs="Arial"/>
          <w:sz w:val="22"/>
          <w:szCs w:val="22"/>
        </w:rPr>
        <w:t>Oransky</w:t>
      </w:r>
      <w:proofErr w:type="spellEnd"/>
      <w:r w:rsidRPr="00E7708A">
        <w:rPr>
          <w:rFonts w:ascii="Arial" w:hAnsi="Arial" w:cs="Arial"/>
          <w:sz w:val="22"/>
          <w:szCs w:val="22"/>
        </w:rPr>
        <w:t xml:space="preserve"> (2019) </w:t>
      </w:r>
      <w:r w:rsidRPr="00E7708A">
        <w:rPr>
          <w:rFonts w:ascii="Arial" w:hAnsi="Arial" w:cs="Arial"/>
          <w:color w:val="111111"/>
          <w:sz w:val="22"/>
          <w:szCs w:val="22"/>
        </w:rPr>
        <w:t>created an intersectional clinical approach for TGD youth that encourages clinicians to understand different identities within family systems, focussing on the family as a unique entity. Approaches like this may help providers better address how minority stress from marginali</w:t>
      </w:r>
      <w:r w:rsidR="00622698">
        <w:rPr>
          <w:rFonts w:ascii="Arial" w:hAnsi="Arial" w:cs="Arial"/>
          <w:color w:val="111111"/>
          <w:sz w:val="22"/>
          <w:szCs w:val="22"/>
        </w:rPr>
        <w:t>s</w:t>
      </w:r>
      <w:r w:rsidRPr="00E7708A">
        <w:rPr>
          <w:rFonts w:ascii="Arial" w:hAnsi="Arial" w:cs="Arial"/>
          <w:color w:val="111111"/>
          <w:sz w:val="22"/>
          <w:szCs w:val="22"/>
        </w:rPr>
        <w:t xml:space="preserve">ed identities </w:t>
      </w:r>
      <w:r w:rsidR="00622698">
        <w:rPr>
          <w:rFonts w:ascii="Arial" w:hAnsi="Arial" w:cs="Arial"/>
          <w:color w:val="111111"/>
          <w:sz w:val="22"/>
          <w:szCs w:val="22"/>
        </w:rPr>
        <w:t>impacts</w:t>
      </w:r>
      <w:r w:rsidRPr="00E7708A">
        <w:rPr>
          <w:rFonts w:ascii="Arial" w:hAnsi="Arial" w:cs="Arial"/>
          <w:color w:val="111111"/>
          <w:sz w:val="22"/>
          <w:szCs w:val="22"/>
        </w:rPr>
        <w:t xml:space="preserve"> patient experiences and outcomes. </w:t>
      </w:r>
    </w:p>
    <w:p w14:paraId="2B10C882" w14:textId="77777777" w:rsidR="000800BC" w:rsidRPr="00E7708A" w:rsidRDefault="000800BC" w:rsidP="00E7708A">
      <w:pPr>
        <w:spacing w:line="480" w:lineRule="auto"/>
        <w:jc w:val="both"/>
        <w:rPr>
          <w:rFonts w:ascii="Arial" w:hAnsi="Arial" w:cs="Arial"/>
          <w:color w:val="111111"/>
          <w:sz w:val="22"/>
          <w:szCs w:val="22"/>
        </w:rPr>
      </w:pPr>
    </w:p>
    <w:p w14:paraId="4D0051B8" w14:textId="03FF772F" w:rsidR="000800BC" w:rsidRPr="00E7708A" w:rsidRDefault="000800BC" w:rsidP="00E7708A">
      <w:pPr>
        <w:spacing w:line="480" w:lineRule="auto"/>
        <w:jc w:val="both"/>
        <w:rPr>
          <w:rFonts w:ascii="Arial" w:hAnsi="Arial" w:cs="Arial"/>
          <w:color w:val="111111"/>
          <w:sz w:val="22"/>
          <w:szCs w:val="22"/>
        </w:rPr>
      </w:pPr>
      <w:r w:rsidRPr="00E7708A">
        <w:rPr>
          <w:rFonts w:ascii="Arial" w:hAnsi="Arial" w:cs="Arial"/>
          <w:color w:val="111111"/>
          <w:sz w:val="22"/>
          <w:szCs w:val="22"/>
        </w:rPr>
        <w:t xml:space="preserve">I plan to use the findings from this essay to build an education platform for a broad range of multi-disciplinary team colleagues. Call </w:t>
      </w:r>
      <w:r w:rsidRPr="00E7708A">
        <w:rPr>
          <w:rFonts w:ascii="Arial" w:hAnsi="Arial" w:cs="Arial"/>
          <w:i/>
          <w:iCs/>
          <w:color w:val="111111"/>
          <w:sz w:val="22"/>
          <w:szCs w:val="22"/>
        </w:rPr>
        <w:t xml:space="preserve">et al </w:t>
      </w:r>
      <w:r w:rsidRPr="00E7708A">
        <w:rPr>
          <w:rFonts w:ascii="Arial" w:hAnsi="Arial" w:cs="Arial"/>
          <w:color w:val="111111"/>
          <w:sz w:val="22"/>
          <w:szCs w:val="22"/>
        </w:rPr>
        <w:t xml:space="preserve">(2021) </w:t>
      </w:r>
      <w:r w:rsidR="00622698">
        <w:rPr>
          <w:rFonts w:ascii="Arial" w:hAnsi="Arial" w:cs="Arial"/>
          <w:color w:val="111111"/>
          <w:sz w:val="22"/>
          <w:szCs w:val="22"/>
        </w:rPr>
        <w:t>state</w:t>
      </w:r>
      <w:r w:rsidRPr="00E7708A">
        <w:rPr>
          <w:rFonts w:ascii="Arial" w:hAnsi="Arial" w:cs="Arial"/>
          <w:color w:val="111111"/>
          <w:sz w:val="22"/>
          <w:szCs w:val="22"/>
        </w:rPr>
        <w:t xml:space="preserve"> that education is shedding light on TGD healthcare disparities and advises that all resources should be looked at through an intersectional lens. </w:t>
      </w:r>
    </w:p>
    <w:p w14:paraId="6575C1D8" w14:textId="77777777" w:rsidR="002B3C4F" w:rsidRPr="00E7708A" w:rsidRDefault="002B3C4F" w:rsidP="00E7708A">
      <w:pPr>
        <w:spacing w:before="100" w:beforeAutospacing="1" w:after="100" w:afterAutospacing="1" w:line="480" w:lineRule="auto"/>
        <w:jc w:val="both"/>
        <w:rPr>
          <w:rFonts w:ascii="Arial" w:hAnsi="Arial" w:cs="Arial"/>
          <w:sz w:val="22"/>
          <w:szCs w:val="22"/>
          <w:u w:val="single"/>
        </w:rPr>
      </w:pPr>
    </w:p>
    <w:p w14:paraId="405D1C53" w14:textId="5F88359E" w:rsidR="002B3C4F" w:rsidRPr="00E7708A" w:rsidRDefault="007635EE" w:rsidP="00E7708A">
      <w:pPr>
        <w:spacing w:before="100" w:beforeAutospacing="1" w:after="100" w:afterAutospacing="1" w:line="480" w:lineRule="auto"/>
        <w:jc w:val="both"/>
        <w:rPr>
          <w:rFonts w:ascii="Arial" w:hAnsi="Arial" w:cs="Arial"/>
          <w:sz w:val="22"/>
          <w:szCs w:val="22"/>
          <w:u w:val="single"/>
        </w:rPr>
      </w:pPr>
      <w:r w:rsidRPr="00E7708A">
        <w:rPr>
          <w:rFonts w:ascii="Arial" w:hAnsi="Arial" w:cs="Arial"/>
          <w:sz w:val="22"/>
          <w:szCs w:val="22"/>
          <w:u w:val="single"/>
        </w:rPr>
        <w:t>Conclusion</w:t>
      </w:r>
      <w:r w:rsidR="00F54E04" w:rsidRPr="00E7708A">
        <w:rPr>
          <w:rFonts w:ascii="Arial" w:hAnsi="Arial" w:cs="Arial"/>
          <w:sz w:val="22"/>
          <w:szCs w:val="22"/>
          <w:u w:val="single"/>
        </w:rPr>
        <w:t xml:space="preserve"> </w:t>
      </w:r>
    </w:p>
    <w:p w14:paraId="62C254D8" w14:textId="751FA9EC" w:rsidR="00D24CCE" w:rsidRPr="00E7708A" w:rsidRDefault="002B3C4F" w:rsidP="00E7708A">
      <w:pPr>
        <w:spacing w:before="100" w:beforeAutospacing="1" w:after="100" w:afterAutospacing="1" w:line="480" w:lineRule="auto"/>
        <w:jc w:val="both"/>
        <w:rPr>
          <w:rFonts w:ascii="Arial" w:hAnsi="Arial" w:cs="Arial"/>
          <w:sz w:val="22"/>
          <w:szCs w:val="22"/>
        </w:rPr>
      </w:pPr>
      <w:r w:rsidRPr="00E7708A">
        <w:rPr>
          <w:rFonts w:ascii="Arial" w:hAnsi="Arial" w:cs="Arial"/>
          <w:sz w:val="22"/>
          <w:szCs w:val="22"/>
        </w:rPr>
        <w:t xml:space="preserve">To conclude, </w:t>
      </w:r>
      <w:r w:rsidR="00622698">
        <w:rPr>
          <w:rFonts w:ascii="Arial" w:hAnsi="Arial" w:cs="Arial"/>
          <w:sz w:val="22"/>
          <w:szCs w:val="22"/>
        </w:rPr>
        <w:t>many models can</w:t>
      </w:r>
      <w:r w:rsidRPr="00E7708A">
        <w:rPr>
          <w:rFonts w:ascii="Arial" w:hAnsi="Arial" w:cs="Arial"/>
          <w:sz w:val="22"/>
          <w:szCs w:val="22"/>
        </w:rPr>
        <w:t xml:space="preserve"> impact TGD voice and communication therapy, and we as clinicians need to be aware of how these can play</w:t>
      </w:r>
      <w:r w:rsidR="00E7708A" w:rsidRPr="00E7708A">
        <w:rPr>
          <w:rFonts w:ascii="Arial" w:hAnsi="Arial" w:cs="Arial"/>
          <w:sz w:val="22"/>
          <w:szCs w:val="22"/>
        </w:rPr>
        <w:t xml:space="preserve"> a role </w:t>
      </w:r>
      <w:r w:rsidR="00622698">
        <w:rPr>
          <w:rFonts w:ascii="Arial" w:hAnsi="Arial" w:cs="Arial"/>
          <w:sz w:val="22"/>
          <w:szCs w:val="22"/>
        </w:rPr>
        <w:t>in</w:t>
      </w:r>
      <w:r w:rsidRPr="00E7708A">
        <w:rPr>
          <w:rFonts w:ascii="Arial" w:hAnsi="Arial" w:cs="Arial"/>
          <w:sz w:val="22"/>
          <w:szCs w:val="22"/>
        </w:rPr>
        <w:t xml:space="preserve"> access</w:t>
      </w:r>
      <w:r w:rsidR="00E7708A" w:rsidRPr="00E7708A">
        <w:rPr>
          <w:rFonts w:ascii="Arial" w:hAnsi="Arial" w:cs="Arial"/>
          <w:sz w:val="22"/>
          <w:szCs w:val="22"/>
        </w:rPr>
        <w:t>ing</w:t>
      </w:r>
      <w:r w:rsidRPr="00E7708A">
        <w:rPr>
          <w:rFonts w:ascii="Arial" w:hAnsi="Arial" w:cs="Arial"/>
          <w:sz w:val="22"/>
          <w:szCs w:val="22"/>
        </w:rPr>
        <w:t xml:space="preserve"> healthcare. </w:t>
      </w:r>
      <w:r w:rsidR="00452828" w:rsidRPr="00E7708A">
        <w:rPr>
          <w:rFonts w:ascii="Arial" w:hAnsi="Arial" w:cs="Arial"/>
          <w:sz w:val="22"/>
          <w:szCs w:val="22"/>
        </w:rPr>
        <w:t>The central themes that have run through this critical evaluation have been around education. As healthcare professionals, we must identify our knowledge gaps and build plans to fill these. I feel an essential way to do this is through engaging TGD people to run education sessions for us from basic terminology up</w:t>
      </w:r>
      <w:r w:rsidR="000800BC" w:rsidRPr="00E7708A">
        <w:rPr>
          <w:rFonts w:ascii="Arial" w:hAnsi="Arial" w:cs="Arial"/>
          <w:sz w:val="22"/>
          <w:szCs w:val="22"/>
        </w:rPr>
        <w:t xml:space="preserve"> </w:t>
      </w:r>
      <w:r w:rsidR="00452828" w:rsidRPr="00E7708A">
        <w:rPr>
          <w:rFonts w:ascii="Arial" w:hAnsi="Arial" w:cs="Arial"/>
          <w:sz w:val="22"/>
          <w:szCs w:val="22"/>
        </w:rPr>
        <w:t xml:space="preserve">to transphobia and healthcare. </w:t>
      </w:r>
    </w:p>
    <w:p w14:paraId="6C75FB29" w14:textId="77777777" w:rsidR="00D24CCE" w:rsidRPr="00E7708A" w:rsidRDefault="00D24CCE" w:rsidP="00DD3C33">
      <w:pPr>
        <w:rPr>
          <w:rFonts w:ascii="Arial" w:hAnsi="Arial" w:cs="Arial"/>
          <w:b/>
          <w:bCs/>
          <w:u w:val="single"/>
        </w:rPr>
      </w:pPr>
    </w:p>
    <w:p w14:paraId="3A3C5767" w14:textId="37F1D7AB" w:rsidR="00C479D1" w:rsidRPr="00E7708A" w:rsidRDefault="00C479D1" w:rsidP="00E7708A">
      <w:pPr>
        <w:spacing w:line="480" w:lineRule="auto"/>
        <w:jc w:val="both"/>
        <w:rPr>
          <w:rFonts w:ascii="Arial" w:hAnsi="Arial" w:cs="Arial"/>
          <w:b/>
          <w:bCs/>
          <w:sz w:val="22"/>
          <w:szCs w:val="22"/>
          <w:u w:val="single"/>
        </w:rPr>
      </w:pPr>
    </w:p>
    <w:p w14:paraId="53EB9F60" w14:textId="5D1D9C58" w:rsidR="00C479D1" w:rsidRDefault="00C479D1" w:rsidP="00E7708A">
      <w:pPr>
        <w:spacing w:line="480" w:lineRule="auto"/>
        <w:jc w:val="both"/>
        <w:rPr>
          <w:rFonts w:ascii="Arial" w:hAnsi="Arial" w:cs="Arial"/>
          <w:b/>
          <w:bCs/>
          <w:sz w:val="22"/>
          <w:szCs w:val="22"/>
          <w:u w:val="single"/>
        </w:rPr>
      </w:pPr>
    </w:p>
    <w:p w14:paraId="5403BBF3" w14:textId="2E4E4D45" w:rsidR="00E7708A" w:rsidRDefault="00E7708A" w:rsidP="00E7708A">
      <w:pPr>
        <w:spacing w:line="480" w:lineRule="auto"/>
        <w:jc w:val="both"/>
        <w:rPr>
          <w:rFonts w:ascii="Arial" w:hAnsi="Arial" w:cs="Arial"/>
          <w:b/>
          <w:bCs/>
          <w:sz w:val="22"/>
          <w:szCs w:val="22"/>
          <w:u w:val="single"/>
        </w:rPr>
      </w:pPr>
    </w:p>
    <w:p w14:paraId="0CF70A70" w14:textId="77777777" w:rsidR="00E7708A" w:rsidRPr="00E7708A" w:rsidRDefault="00E7708A" w:rsidP="00E7708A">
      <w:pPr>
        <w:spacing w:line="480" w:lineRule="auto"/>
        <w:jc w:val="both"/>
        <w:rPr>
          <w:rFonts w:ascii="Arial" w:hAnsi="Arial" w:cs="Arial"/>
          <w:b/>
          <w:bCs/>
          <w:sz w:val="22"/>
          <w:szCs w:val="22"/>
          <w:u w:val="single"/>
        </w:rPr>
      </w:pPr>
    </w:p>
    <w:p w14:paraId="5E6701F3" w14:textId="77777777" w:rsidR="00E7708A" w:rsidRDefault="00C479D1" w:rsidP="00E7708A">
      <w:pPr>
        <w:pStyle w:val="ListParagraph"/>
        <w:numPr>
          <w:ilvl w:val="0"/>
          <w:numId w:val="9"/>
        </w:numPr>
        <w:spacing w:line="480" w:lineRule="auto"/>
        <w:jc w:val="both"/>
        <w:rPr>
          <w:rFonts w:ascii="Arial" w:hAnsi="Arial" w:cs="Arial"/>
          <w:b/>
          <w:bCs/>
          <w:sz w:val="22"/>
          <w:szCs w:val="22"/>
          <w:u w:val="single"/>
        </w:rPr>
      </w:pPr>
      <w:r w:rsidRPr="00E7708A">
        <w:rPr>
          <w:rFonts w:ascii="Arial" w:hAnsi="Arial" w:cs="Arial"/>
          <w:b/>
          <w:bCs/>
          <w:sz w:val="22"/>
          <w:szCs w:val="22"/>
          <w:u w:val="single"/>
        </w:rPr>
        <w:t>A reflective review comprising two parts</w:t>
      </w:r>
      <w:r w:rsidR="00867595" w:rsidRPr="00E7708A">
        <w:rPr>
          <w:rFonts w:ascii="Arial" w:hAnsi="Arial" w:cs="Arial"/>
          <w:b/>
          <w:bCs/>
          <w:sz w:val="22"/>
          <w:szCs w:val="22"/>
          <w:u w:val="single"/>
        </w:rPr>
        <w:t xml:space="preserve"> </w:t>
      </w:r>
    </w:p>
    <w:p w14:paraId="04ED3801" w14:textId="41C92D15" w:rsidR="00C479D1" w:rsidRPr="00E7708A" w:rsidRDefault="00867595" w:rsidP="00E7708A">
      <w:pPr>
        <w:spacing w:line="480" w:lineRule="auto"/>
        <w:ind w:left="720"/>
        <w:jc w:val="both"/>
        <w:rPr>
          <w:rFonts w:ascii="Arial" w:hAnsi="Arial" w:cs="Arial"/>
          <w:sz w:val="22"/>
          <w:szCs w:val="22"/>
        </w:rPr>
      </w:pPr>
      <w:r w:rsidRPr="00E7708A">
        <w:rPr>
          <w:rFonts w:ascii="Arial" w:hAnsi="Arial" w:cs="Arial"/>
          <w:sz w:val="22"/>
          <w:szCs w:val="22"/>
        </w:rPr>
        <w:t>(</w:t>
      </w:r>
      <w:r w:rsidR="000903C1" w:rsidRPr="00E7708A">
        <w:rPr>
          <w:rFonts w:ascii="Arial" w:hAnsi="Arial" w:cs="Arial"/>
          <w:sz w:val="22"/>
          <w:szCs w:val="22"/>
        </w:rPr>
        <w:t>18</w:t>
      </w:r>
      <w:r w:rsidR="002D6963">
        <w:rPr>
          <w:rFonts w:ascii="Arial" w:hAnsi="Arial" w:cs="Arial"/>
          <w:sz w:val="22"/>
          <w:szCs w:val="22"/>
        </w:rPr>
        <w:t>61</w:t>
      </w:r>
      <w:r w:rsidR="000903C1" w:rsidRPr="00E7708A">
        <w:rPr>
          <w:rFonts w:ascii="Arial" w:hAnsi="Arial" w:cs="Arial"/>
          <w:sz w:val="22"/>
          <w:szCs w:val="22"/>
        </w:rPr>
        <w:t>/</w:t>
      </w:r>
      <w:r w:rsidRPr="00E7708A">
        <w:rPr>
          <w:rFonts w:ascii="Arial" w:hAnsi="Arial" w:cs="Arial"/>
          <w:sz w:val="22"/>
          <w:szCs w:val="22"/>
        </w:rPr>
        <w:t>1800)</w:t>
      </w:r>
    </w:p>
    <w:p w14:paraId="553D86FA" w14:textId="77777777" w:rsidR="00412841" w:rsidRPr="00E7708A" w:rsidRDefault="00412841" w:rsidP="00E7708A">
      <w:pPr>
        <w:pStyle w:val="ListParagraph"/>
        <w:spacing w:line="480" w:lineRule="auto"/>
        <w:jc w:val="both"/>
        <w:rPr>
          <w:rFonts w:ascii="Arial" w:hAnsi="Arial" w:cs="Arial"/>
          <w:b/>
          <w:bCs/>
          <w:sz w:val="22"/>
          <w:szCs w:val="22"/>
          <w:u w:val="single"/>
        </w:rPr>
      </w:pPr>
    </w:p>
    <w:p w14:paraId="1B8A3E6E" w14:textId="37D853C6" w:rsidR="00C479D1" w:rsidRPr="00E7708A" w:rsidRDefault="00C479D1" w:rsidP="00E7708A">
      <w:pPr>
        <w:pStyle w:val="ListParagraph"/>
        <w:numPr>
          <w:ilvl w:val="0"/>
          <w:numId w:val="2"/>
        </w:numPr>
        <w:spacing w:line="480" w:lineRule="auto"/>
        <w:jc w:val="both"/>
        <w:rPr>
          <w:rFonts w:ascii="Arial" w:hAnsi="Arial" w:cs="Arial"/>
          <w:b/>
          <w:bCs/>
          <w:sz w:val="22"/>
          <w:szCs w:val="22"/>
          <w:u w:val="single"/>
        </w:rPr>
      </w:pPr>
      <w:r w:rsidRPr="00E7708A">
        <w:rPr>
          <w:rFonts w:ascii="Arial" w:hAnsi="Arial" w:cs="Arial"/>
          <w:b/>
          <w:bCs/>
          <w:sz w:val="22"/>
          <w:szCs w:val="22"/>
          <w:u w:val="single"/>
        </w:rPr>
        <w:t xml:space="preserve">Reflect on your recent learning experience, and the value of learning you have acquired. Assess your current </w:t>
      </w:r>
      <w:r w:rsidR="00622698">
        <w:rPr>
          <w:rFonts w:ascii="Arial" w:hAnsi="Arial" w:cs="Arial"/>
          <w:b/>
          <w:bCs/>
          <w:sz w:val="22"/>
          <w:szCs w:val="22"/>
          <w:u w:val="single"/>
        </w:rPr>
        <w:t>competencies</w:t>
      </w:r>
      <w:r w:rsidRPr="00E7708A">
        <w:rPr>
          <w:rFonts w:ascii="Arial" w:hAnsi="Arial" w:cs="Arial"/>
          <w:b/>
          <w:bCs/>
          <w:sz w:val="22"/>
          <w:szCs w:val="22"/>
          <w:u w:val="single"/>
        </w:rPr>
        <w:t xml:space="preserve"> and identify future development needs in the context of </w:t>
      </w:r>
      <w:r w:rsidR="00622698">
        <w:rPr>
          <w:rFonts w:ascii="Arial" w:hAnsi="Arial" w:cs="Arial"/>
          <w:b/>
          <w:bCs/>
          <w:sz w:val="22"/>
          <w:szCs w:val="22"/>
          <w:u w:val="single"/>
        </w:rPr>
        <w:t>your</w:t>
      </w:r>
      <w:r w:rsidRPr="00E7708A">
        <w:rPr>
          <w:rFonts w:ascii="Arial" w:hAnsi="Arial" w:cs="Arial"/>
          <w:b/>
          <w:bCs/>
          <w:sz w:val="22"/>
          <w:szCs w:val="22"/>
          <w:u w:val="single"/>
        </w:rPr>
        <w:t xml:space="preserve"> work situation. </w:t>
      </w:r>
    </w:p>
    <w:p w14:paraId="49D6B08E" w14:textId="5FBAA064" w:rsidR="00412841" w:rsidRPr="00E7708A" w:rsidRDefault="00412841" w:rsidP="00E7708A">
      <w:pPr>
        <w:spacing w:line="480" w:lineRule="auto"/>
        <w:jc w:val="both"/>
        <w:rPr>
          <w:rFonts w:ascii="Arial" w:hAnsi="Arial" w:cs="Arial"/>
          <w:b/>
          <w:bCs/>
          <w:sz w:val="22"/>
          <w:szCs w:val="22"/>
          <w:u w:val="single"/>
        </w:rPr>
      </w:pPr>
    </w:p>
    <w:p w14:paraId="2AC2E311" w14:textId="313335A3" w:rsidR="008A227A" w:rsidRPr="00E7708A" w:rsidRDefault="00EB0DC0" w:rsidP="00E7708A">
      <w:pPr>
        <w:spacing w:line="480" w:lineRule="auto"/>
        <w:jc w:val="both"/>
        <w:rPr>
          <w:rFonts w:ascii="Arial" w:hAnsi="Arial" w:cs="Arial"/>
          <w:sz w:val="22"/>
          <w:szCs w:val="22"/>
        </w:rPr>
      </w:pPr>
      <w:r w:rsidRPr="00E7708A">
        <w:rPr>
          <w:rFonts w:ascii="Arial" w:hAnsi="Arial" w:cs="Arial"/>
          <w:sz w:val="22"/>
          <w:szCs w:val="22"/>
        </w:rPr>
        <w:t xml:space="preserve">Effective reflection often requires the application of a reflective model. As a reflective practitioner, I have applied </w:t>
      </w:r>
      <w:r w:rsidR="00372CF7" w:rsidRPr="00E7708A">
        <w:rPr>
          <w:rFonts w:ascii="Arial" w:hAnsi="Arial" w:cs="Arial"/>
          <w:sz w:val="22"/>
          <w:szCs w:val="22"/>
        </w:rPr>
        <w:t>T</w:t>
      </w:r>
      <w:r w:rsidRPr="00E7708A">
        <w:rPr>
          <w:rFonts w:ascii="Arial" w:hAnsi="Arial" w:cs="Arial"/>
          <w:sz w:val="22"/>
          <w:szCs w:val="22"/>
        </w:rPr>
        <w:t>he Ko</w:t>
      </w:r>
      <w:r w:rsidR="00797B3D" w:rsidRPr="00E7708A">
        <w:rPr>
          <w:rFonts w:ascii="Arial" w:hAnsi="Arial" w:cs="Arial"/>
          <w:sz w:val="22"/>
          <w:szCs w:val="22"/>
        </w:rPr>
        <w:t>l</w:t>
      </w:r>
      <w:r w:rsidRPr="00E7708A">
        <w:rPr>
          <w:rFonts w:ascii="Arial" w:hAnsi="Arial" w:cs="Arial"/>
          <w:sz w:val="22"/>
          <w:szCs w:val="22"/>
        </w:rPr>
        <w:t>b</w:t>
      </w:r>
      <w:r w:rsidR="00372CF7" w:rsidRPr="00E7708A">
        <w:rPr>
          <w:rFonts w:ascii="Arial" w:hAnsi="Arial" w:cs="Arial"/>
          <w:sz w:val="22"/>
          <w:szCs w:val="22"/>
        </w:rPr>
        <w:t xml:space="preserve"> (1984</w:t>
      </w:r>
      <w:r w:rsidR="00510922" w:rsidRPr="00E7708A">
        <w:rPr>
          <w:rFonts w:ascii="Arial" w:hAnsi="Arial" w:cs="Arial"/>
          <w:sz w:val="22"/>
          <w:szCs w:val="22"/>
        </w:rPr>
        <w:t>)</w:t>
      </w:r>
      <w:r w:rsidRPr="00E7708A">
        <w:rPr>
          <w:rFonts w:ascii="Arial" w:hAnsi="Arial" w:cs="Arial"/>
          <w:sz w:val="22"/>
          <w:szCs w:val="22"/>
        </w:rPr>
        <w:t xml:space="preserve"> model to my placement reflections. </w:t>
      </w:r>
      <w:r w:rsidR="00CB788E" w:rsidRPr="00E7708A">
        <w:rPr>
          <w:rFonts w:ascii="Arial" w:hAnsi="Arial" w:cs="Arial"/>
          <w:sz w:val="22"/>
          <w:szCs w:val="22"/>
        </w:rPr>
        <w:t>I found that often it was</w:t>
      </w:r>
      <w:r w:rsidR="00372CF7" w:rsidRPr="00E7708A">
        <w:rPr>
          <w:rFonts w:ascii="Arial" w:hAnsi="Arial" w:cs="Arial"/>
          <w:sz w:val="22"/>
          <w:szCs w:val="22"/>
        </w:rPr>
        <w:t xml:space="preserve"> not</w:t>
      </w:r>
      <w:r w:rsidR="00CB788E" w:rsidRPr="00E7708A">
        <w:rPr>
          <w:rFonts w:ascii="Arial" w:hAnsi="Arial" w:cs="Arial"/>
          <w:sz w:val="22"/>
          <w:szCs w:val="22"/>
        </w:rPr>
        <w:t xml:space="preserve"> applying well to my learning style</w:t>
      </w:r>
      <w:r w:rsidR="00372CF7" w:rsidRPr="00E7708A">
        <w:rPr>
          <w:rFonts w:ascii="Arial" w:hAnsi="Arial" w:cs="Arial"/>
          <w:sz w:val="22"/>
          <w:szCs w:val="22"/>
        </w:rPr>
        <w:t xml:space="preserve"> </w:t>
      </w:r>
      <w:r w:rsidR="00622698">
        <w:rPr>
          <w:rFonts w:ascii="Arial" w:hAnsi="Arial" w:cs="Arial"/>
          <w:sz w:val="22"/>
          <w:szCs w:val="22"/>
        </w:rPr>
        <w:t>as</w:t>
      </w:r>
      <w:r w:rsidR="00372CF7" w:rsidRPr="00E7708A">
        <w:rPr>
          <w:rFonts w:ascii="Arial" w:hAnsi="Arial" w:cs="Arial"/>
          <w:sz w:val="22"/>
          <w:szCs w:val="22"/>
        </w:rPr>
        <w:t xml:space="preserve"> </w:t>
      </w:r>
      <w:r w:rsidR="00622698">
        <w:rPr>
          <w:rFonts w:ascii="Arial" w:hAnsi="Arial" w:cs="Arial"/>
          <w:sz w:val="22"/>
          <w:szCs w:val="22"/>
        </w:rPr>
        <w:t xml:space="preserve">an </w:t>
      </w:r>
      <w:r w:rsidR="00372CF7" w:rsidRPr="00E7708A">
        <w:rPr>
          <w:rFonts w:ascii="Arial" w:hAnsi="Arial" w:cs="Arial"/>
          <w:sz w:val="22"/>
          <w:szCs w:val="22"/>
        </w:rPr>
        <w:t xml:space="preserve">activist as this felt to be more fitting of a </w:t>
      </w:r>
      <w:r w:rsidR="00622698">
        <w:rPr>
          <w:rFonts w:ascii="Arial" w:hAnsi="Arial" w:cs="Arial"/>
          <w:sz w:val="22"/>
          <w:szCs w:val="22"/>
        </w:rPr>
        <w:t>reflector's</w:t>
      </w:r>
      <w:r w:rsidR="00372CF7" w:rsidRPr="00E7708A">
        <w:rPr>
          <w:rFonts w:ascii="Arial" w:hAnsi="Arial" w:cs="Arial"/>
          <w:sz w:val="22"/>
          <w:szCs w:val="22"/>
        </w:rPr>
        <w:t xml:space="preserve"> learning style (Honey and Mumford, 1992)</w:t>
      </w:r>
      <w:r w:rsidR="00CB788E" w:rsidRPr="00E7708A">
        <w:rPr>
          <w:rFonts w:ascii="Arial" w:hAnsi="Arial" w:cs="Arial"/>
          <w:sz w:val="22"/>
          <w:szCs w:val="22"/>
        </w:rPr>
        <w:t xml:space="preserve">. I currently use Driscoll </w:t>
      </w:r>
      <w:r w:rsidR="00372CF7" w:rsidRPr="00E7708A">
        <w:rPr>
          <w:rFonts w:ascii="Arial" w:hAnsi="Arial" w:cs="Arial"/>
          <w:sz w:val="22"/>
          <w:szCs w:val="22"/>
        </w:rPr>
        <w:t>(</w:t>
      </w:r>
      <w:r w:rsidR="00CB788E" w:rsidRPr="00E7708A">
        <w:rPr>
          <w:rFonts w:ascii="Arial" w:hAnsi="Arial" w:cs="Arial"/>
          <w:sz w:val="22"/>
          <w:szCs w:val="22"/>
        </w:rPr>
        <w:t xml:space="preserve">2007) as this allows me to see a </w:t>
      </w:r>
      <w:r w:rsidR="00622698">
        <w:rPr>
          <w:rFonts w:ascii="Arial" w:hAnsi="Arial" w:cs="Arial"/>
          <w:sz w:val="22"/>
          <w:szCs w:val="22"/>
        </w:rPr>
        <w:t>step-by-step</w:t>
      </w:r>
      <w:r w:rsidR="00CB788E" w:rsidRPr="00E7708A">
        <w:rPr>
          <w:rFonts w:ascii="Arial" w:hAnsi="Arial" w:cs="Arial"/>
          <w:sz w:val="22"/>
          <w:szCs w:val="22"/>
        </w:rPr>
        <w:t xml:space="preserve"> development process around how to improve my learning, which applies well to my everyday therapy practice. As this is something I use often, I thought I would use this learning opportunity to </w:t>
      </w:r>
      <w:r w:rsidRPr="00E7708A">
        <w:rPr>
          <w:rFonts w:ascii="Arial" w:hAnsi="Arial" w:cs="Arial"/>
          <w:sz w:val="22"/>
          <w:szCs w:val="22"/>
        </w:rPr>
        <w:t xml:space="preserve">consider a </w:t>
      </w:r>
      <w:r w:rsidR="00CB788E" w:rsidRPr="00E7708A">
        <w:rPr>
          <w:rFonts w:ascii="Arial" w:hAnsi="Arial" w:cs="Arial"/>
          <w:sz w:val="22"/>
          <w:szCs w:val="22"/>
        </w:rPr>
        <w:t xml:space="preserve">new reflective model. </w:t>
      </w:r>
      <w:r w:rsidRPr="00E7708A">
        <w:rPr>
          <w:rFonts w:ascii="Arial" w:hAnsi="Arial" w:cs="Arial"/>
          <w:sz w:val="22"/>
          <w:szCs w:val="22"/>
        </w:rPr>
        <w:t xml:space="preserve">My previous experience using reflective models relates to practical application and the clinical environment, as such I have broadened my understanding of </w:t>
      </w:r>
      <w:r w:rsidR="00CB788E" w:rsidRPr="00E7708A">
        <w:rPr>
          <w:rFonts w:ascii="Arial" w:hAnsi="Arial" w:cs="Arial"/>
          <w:sz w:val="22"/>
          <w:szCs w:val="22"/>
        </w:rPr>
        <w:t>research models that would best apply to my clinical and academic reflection</w:t>
      </w:r>
      <w:r w:rsidRPr="00E7708A">
        <w:rPr>
          <w:rFonts w:ascii="Arial" w:hAnsi="Arial" w:cs="Arial"/>
          <w:sz w:val="22"/>
          <w:szCs w:val="22"/>
        </w:rPr>
        <w:t>. F</w:t>
      </w:r>
      <w:r w:rsidR="00CB788E" w:rsidRPr="00E7708A">
        <w:rPr>
          <w:rFonts w:ascii="Arial" w:hAnsi="Arial" w:cs="Arial"/>
          <w:sz w:val="22"/>
          <w:szCs w:val="22"/>
        </w:rPr>
        <w:t>rom this</w:t>
      </w:r>
      <w:r w:rsidRPr="00E7708A">
        <w:rPr>
          <w:rFonts w:ascii="Arial" w:hAnsi="Arial" w:cs="Arial"/>
          <w:sz w:val="22"/>
          <w:szCs w:val="22"/>
        </w:rPr>
        <w:t>,</w:t>
      </w:r>
      <w:r w:rsidR="00CB788E" w:rsidRPr="00E7708A">
        <w:rPr>
          <w:rFonts w:ascii="Arial" w:hAnsi="Arial" w:cs="Arial"/>
          <w:sz w:val="22"/>
          <w:szCs w:val="22"/>
        </w:rPr>
        <w:t xml:space="preserve"> I settled on </w:t>
      </w:r>
      <w:r w:rsidR="00622698">
        <w:rPr>
          <w:rFonts w:ascii="Arial" w:hAnsi="Arial" w:cs="Arial"/>
          <w:sz w:val="22"/>
          <w:szCs w:val="22"/>
        </w:rPr>
        <w:t>Brookfield's</w:t>
      </w:r>
      <w:r w:rsidR="00CB788E" w:rsidRPr="00E7708A">
        <w:rPr>
          <w:rFonts w:ascii="Arial" w:hAnsi="Arial" w:cs="Arial"/>
          <w:sz w:val="22"/>
          <w:szCs w:val="22"/>
        </w:rPr>
        <w:t xml:space="preserve"> (1995) four lenses. </w:t>
      </w:r>
      <w:r w:rsidR="00FA5036" w:rsidRPr="00E7708A">
        <w:rPr>
          <w:rFonts w:ascii="Arial" w:hAnsi="Arial" w:cs="Arial"/>
          <w:sz w:val="22"/>
          <w:szCs w:val="22"/>
        </w:rPr>
        <w:t>From experience,</w:t>
      </w:r>
      <w:r w:rsidR="00CB788E" w:rsidRPr="00E7708A">
        <w:rPr>
          <w:rFonts w:ascii="Arial" w:hAnsi="Arial" w:cs="Arial"/>
          <w:sz w:val="22"/>
          <w:szCs w:val="22"/>
        </w:rPr>
        <w:t xml:space="preserve"> Driscoll’s model has a very clear </w:t>
      </w:r>
      <w:r w:rsidR="00622698">
        <w:rPr>
          <w:rFonts w:ascii="Arial" w:hAnsi="Arial" w:cs="Arial"/>
          <w:sz w:val="22"/>
          <w:szCs w:val="22"/>
        </w:rPr>
        <w:t>endpoint</w:t>
      </w:r>
      <w:r w:rsidR="00CB788E" w:rsidRPr="00E7708A">
        <w:rPr>
          <w:rFonts w:ascii="Arial" w:hAnsi="Arial" w:cs="Arial"/>
          <w:sz w:val="22"/>
          <w:szCs w:val="22"/>
        </w:rPr>
        <w:t>, which due to the nature of this work I did not feel to be suitable at this time. Whereas</w:t>
      </w:r>
      <w:r w:rsidRPr="00E7708A">
        <w:rPr>
          <w:rFonts w:ascii="Arial" w:hAnsi="Arial" w:cs="Arial"/>
          <w:sz w:val="22"/>
          <w:szCs w:val="22"/>
        </w:rPr>
        <w:t xml:space="preserve">, </w:t>
      </w:r>
      <w:r w:rsidR="00CB788E" w:rsidRPr="00E7708A">
        <w:rPr>
          <w:rFonts w:ascii="Arial" w:hAnsi="Arial" w:cs="Arial"/>
          <w:sz w:val="22"/>
          <w:szCs w:val="22"/>
        </w:rPr>
        <w:t>Brookfield’s model allows for the natural unfinished element of reflection to thrive (</w:t>
      </w:r>
      <w:proofErr w:type="spellStart"/>
      <w:r w:rsidR="00CB788E" w:rsidRPr="00E7708A">
        <w:rPr>
          <w:rFonts w:ascii="Arial" w:hAnsi="Arial" w:cs="Arial"/>
          <w:sz w:val="22"/>
          <w:szCs w:val="22"/>
        </w:rPr>
        <w:t>Ghaye</w:t>
      </w:r>
      <w:proofErr w:type="spellEnd"/>
      <w:r w:rsidR="00CB788E" w:rsidRPr="00E7708A">
        <w:rPr>
          <w:rFonts w:ascii="Arial" w:hAnsi="Arial" w:cs="Arial"/>
          <w:sz w:val="22"/>
          <w:szCs w:val="22"/>
        </w:rPr>
        <w:t xml:space="preserve"> 1998). I chose this model as throughout my work I have attempted to consider multiple viewpoints and felt this would accurately summarise my reflective process. Throughout my reflection I will look at the 4 lenses of self, </w:t>
      </w:r>
      <w:r w:rsidR="00FC1959" w:rsidRPr="00E7708A">
        <w:rPr>
          <w:rFonts w:ascii="Arial" w:hAnsi="Arial" w:cs="Arial"/>
          <w:sz w:val="22"/>
          <w:szCs w:val="22"/>
        </w:rPr>
        <w:t>patient, multidisciplinary</w:t>
      </w:r>
      <w:r w:rsidR="00CB788E" w:rsidRPr="00E7708A">
        <w:rPr>
          <w:rFonts w:ascii="Arial" w:hAnsi="Arial" w:cs="Arial"/>
          <w:sz w:val="22"/>
          <w:szCs w:val="22"/>
        </w:rPr>
        <w:t xml:space="preserve"> team</w:t>
      </w:r>
      <w:r w:rsidR="00771F39" w:rsidRPr="00E7708A">
        <w:rPr>
          <w:rFonts w:ascii="Arial" w:hAnsi="Arial" w:cs="Arial"/>
          <w:sz w:val="22"/>
          <w:szCs w:val="22"/>
        </w:rPr>
        <w:t xml:space="preserve"> (MDT)</w:t>
      </w:r>
      <w:r w:rsidR="00622698">
        <w:rPr>
          <w:rFonts w:ascii="Arial" w:hAnsi="Arial" w:cs="Arial"/>
          <w:sz w:val="22"/>
          <w:szCs w:val="22"/>
        </w:rPr>
        <w:t>,</w:t>
      </w:r>
      <w:r w:rsidR="00CB788E" w:rsidRPr="00E7708A">
        <w:rPr>
          <w:rFonts w:ascii="Arial" w:hAnsi="Arial" w:cs="Arial"/>
          <w:sz w:val="22"/>
          <w:szCs w:val="22"/>
        </w:rPr>
        <w:t xml:space="preserve"> and evidence base, I have modified the titles slightly </w:t>
      </w:r>
      <w:r w:rsidR="00622698">
        <w:rPr>
          <w:rFonts w:ascii="Arial" w:hAnsi="Arial" w:cs="Arial"/>
          <w:sz w:val="22"/>
          <w:szCs w:val="22"/>
        </w:rPr>
        <w:t>to</w:t>
      </w:r>
      <w:r w:rsidR="00CB788E" w:rsidRPr="00E7708A">
        <w:rPr>
          <w:rFonts w:ascii="Arial" w:hAnsi="Arial" w:cs="Arial"/>
          <w:sz w:val="22"/>
          <w:szCs w:val="22"/>
        </w:rPr>
        <w:t xml:space="preserve"> support my background</w:t>
      </w:r>
      <w:r w:rsidR="00771F39" w:rsidRPr="00E7708A">
        <w:rPr>
          <w:rFonts w:ascii="Arial" w:hAnsi="Arial" w:cs="Arial"/>
          <w:sz w:val="22"/>
          <w:szCs w:val="22"/>
        </w:rPr>
        <w:t xml:space="preserve"> (by swapping learner to </w:t>
      </w:r>
      <w:r w:rsidR="00622698">
        <w:rPr>
          <w:rFonts w:ascii="Arial" w:hAnsi="Arial" w:cs="Arial"/>
          <w:sz w:val="22"/>
          <w:szCs w:val="22"/>
        </w:rPr>
        <w:t xml:space="preserve">the </w:t>
      </w:r>
      <w:r w:rsidR="00771F39" w:rsidRPr="00E7708A">
        <w:rPr>
          <w:rFonts w:ascii="Arial" w:hAnsi="Arial" w:cs="Arial"/>
          <w:sz w:val="22"/>
          <w:szCs w:val="22"/>
        </w:rPr>
        <w:t>patient, and peer to MDT)</w:t>
      </w:r>
      <w:r w:rsidR="00CB788E" w:rsidRPr="00E7708A">
        <w:rPr>
          <w:rFonts w:ascii="Arial" w:hAnsi="Arial" w:cs="Arial"/>
          <w:sz w:val="22"/>
          <w:szCs w:val="22"/>
        </w:rPr>
        <w:t>.</w:t>
      </w:r>
    </w:p>
    <w:p w14:paraId="7979D667" w14:textId="5662AC7F" w:rsidR="00535EF8" w:rsidRPr="00E7708A" w:rsidRDefault="00535EF8" w:rsidP="00E7708A">
      <w:pPr>
        <w:spacing w:line="480" w:lineRule="auto"/>
        <w:jc w:val="both"/>
        <w:rPr>
          <w:rFonts w:ascii="Arial" w:hAnsi="Arial" w:cs="Arial"/>
          <w:sz w:val="22"/>
          <w:szCs w:val="22"/>
        </w:rPr>
      </w:pPr>
    </w:p>
    <w:p w14:paraId="2280797A" w14:textId="77777777" w:rsidR="00FA5036" w:rsidRPr="00E7708A" w:rsidRDefault="00FA5036" w:rsidP="00E7708A">
      <w:pPr>
        <w:spacing w:line="480" w:lineRule="auto"/>
        <w:jc w:val="both"/>
        <w:rPr>
          <w:rFonts w:ascii="Arial" w:hAnsi="Arial" w:cs="Arial"/>
          <w:sz w:val="22"/>
          <w:szCs w:val="22"/>
        </w:rPr>
      </w:pPr>
    </w:p>
    <w:p w14:paraId="64DD9E35" w14:textId="0D64071E" w:rsidR="00771F39" w:rsidRPr="00E7708A" w:rsidRDefault="00771F39" w:rsidP="00E7708A">
      <w:pPr>
        <w:spacing w:line="480" w:lineRule="auto"/>
        <w:jc w:val="both"/>
        <w:rPr>
          <w:rFonts w:ascii="Arial" w:hAnsi="Arial" w:cs="Arial"/>
          <w:sz w:val="22"/>
          <w:szCs w:val="22"/>
          <w:u w:val="single"/>
        </w:rPr>
      </w:pPr>
      <w:r w:rsidRPr="00E7708A">
        <w:rPr>
          <w:rFonts w:ascii="Arial" w:hAnsi="Arial" w:cs="Arial"/>
          <w:sz w:val="22"/>
          <w:szCs w:val="22"/>
          <w:u w:val="single"/>
        </w:rPr>
        <w:t>Self</w:t>
      </w:r>
    </w:p>
    <w:p w14:paraId="4B19EF21" w14:textId="237C511B" w:rsidR="0045060A" w:rsidRPr="00E7708A" w:rsidRDefault="0045060A" w:rsidP="00E7708A">
      <w:pPr>
        <w:spacing w:line="480" w:lineRule="auto"/>
        <w:jc w:val="both"/>
        <w:rPr>
          <w:rFonts w:ascii="Arial" w:hAnsi="Arial" w:cs="Arial"/>
          <w:sz w:val="22"/>
          <w:szCs w:val="22"/>
        </w:rPr>
      </w:pPr>
      <w:r w:rsidRPr="00E7708A">
        <w:rPr>
          <w:rFonts w:ascii="Arial" w:hAnsi="Arial" w:cs="Arial"/>
          <w:sz w:val="22"/>
          <w:szCs w:val="22"/>
        </w:rPr>
        <w:t xml:space="preserve">I have tried to consider a broad topic within the constraints of an academic essay. The limited number of words further limits </w:t>
      </w:r>
      <w:r w:rsidR="00622698">
        <w:rPr>
          <w:rFonts w:ascii="Arial" w:hAnsi="Arial" w:cs="Arial"/>
          <w:sz w:val="22"/>
          <w:szCs w:val="22"/>
        </w:rPr>
        <w:t xml:space="preserve">the </w:t>
      </w:r>
      <w:r w:rsidR="00535EF8" w:rsidRPr="00E7708A">
        <w:rPr>
          <w:rFonts w:ascii="Arial" w:hAnsi="Arial" w:cs="Arial"/>
          <w:sz w:val="22"/>
          <w:szCs w:val="22"/>
        </w:rPr>
        <w:t>breadth and depth of the essay. However, this</w:t>
      </w:r>
      <w:r w:rsidRPr="00E7708A">
        <w:rPr>
          <w:rFonts w:ascii="Arial" w:hAnsi="Arial" w:cs="Arial"/>
          <w:sz w:val="22"/>
          <w:szCs w:val="22"/>
        </w:rPr>
        <w:t xml:space="preserve"> </w:t>
      </w:r>
      <w:r w:rsidR="00622698">
        <w:rPr>
          <w:rFonts w:ascii="Arial" w:hAnsi="Arial" w:cs="Arial"/>
          <w:sz w:val="22"/>
          <w:szCs w:val="22"/>
        </w:rPr>
        <w:t>has</w:t>
      </w:r>
      <w:r w:rsidR="00535EF8" w:rsidRPr="00E7708A">
        <w:rPr>
          <w:rFonts w:ascii="Arial" w:hAnsi="Arial" w:cs="Arial"/>
          <w:sz w:val="22"/>
          <w:szCs w:val="22"/>
        </w:rPr>
        <w:t xml:space="preserve"> mean</w:t>
      </w:r>
      <w:r w:rsidRPr="00E7708A">
        <w:rPr>
          <w:rFonts w:ascii="Arial" w:hAnsi="Arial" w:cs="Arial"/>
          <w:sz w:val="22"/>
          <w:szCs w:val="22"/>
        </w:rPr>
        <w:t>t</w:t>
      </w:r>
      <w:r w:rsidR="00535EF8" w:rsidRPr="00E7708A">
        <w:rPr>
          <w:rFonts w:ascii="Arial" w:hAnsi="Arial" w:cs="Arial"/>
          <w:sz w:val="22"/>
          <w:szCs w:val="22"/>
        </w:rPr>
        <w:t xml:space="preserve"> I can use th</w:t>
      </w:r>
      <w:r w:rsidRPr="00E7708A">
        <w:rPr>
          <w:rFonts w:ascii="Arial" w:hAnsi="Arial" w:cs="Arial"/>
          <w:sz w:val="22"/>
          <w:szCs w:val="22"/>
        </w:rPr>
        <w:t>e</w:t>
      </w:r>
      <w:r w:rsidR="00535EF8" w:rsidRPr="00E7708A">
        <w:rPr>
          <w:rFonts w:ascii="Arial" w:hAnsi="Arial" w:cs="Arial"/>
          <w:sz w:val="22"/>
          <w:szCs w:val="22"/>
        </w:rPr>
        <w:t xml:space="preserve"> essay as the foundation to guide my work</w:t>
      </w:r>
      <w:r w:rsidR="00D74C69" w:rsidRPr="00E7708A">
        <w:rPr>
          <w:rFonts w:ascii="Arial" w:hAnsi="Arial" w:cs="Arial"/>
          <w:sz w:val="22"/>
          <w:szCs w:val="22"/>
        </w:rPr>
        <w:t>-</w:t>
      </w:r>
      <w:r w:rsidR="00535EF8" w:rsidRPr="00E7708A">
        <w:rPr>
          <w:rFonts w:ascii="Arial" w:hAnsi="Arial" w:cs="Arial"/>
          <w:sz w:val="22"/>
          <w:szCs w:val="22"/>
        </w:rPr>
        <w:t xml:space="preserve">based practice essay in the future. </w:t>
      </w:r>
      <w:r w:rsidR="00CB788E" w:rsidRPr="00E7708A">
        <w:rPr>
          <w:rFonts w:ascii="Arial" w:hAnsi="Arial" w:cs="Arial"/>
          <w:sz w:val="22"/>
          <w:szCs w:val="22"/>
        </w:rPr>
        <w:t>Initially, I found this frustrating</w:t>
      </w:r>
      <w:r w:rsidRPr="00E7708A">
        <w:rPr>
          <w:rFonts w:ascii="Arial" w:hAnsi="Arial" w:cs="Arial"/>
          <w:sz w:val="22"/>
          <w:szCs w:val="22"/>
        </w:rPr>
        <w:t xml:space="preserve"> as I had to write in a concise and focused manner </w:t>
      </w:r>
      <w:r w:rsidR="00CB788E" w:rsidRPr="00E7708A">
        <w:rPr>
          <w:rFonts w:ascii="Arial" w:hAnsi="Arial" w:cs="Arial"/>
          <w:sz w:val="22"/>
          <w:szCs w:val="22"/>
        </w:rPr>
        <w:t xml:space="preserve">to comply with the </w:t>
      </w:r>
      <w:r w:rsidR="00622698">
        <w:rPr>
          <w:rFonts w:ascii="Arial" w:hAnsi="Arial" w:cs="Arial"/>
          <w:sz w:val="22"/>
          <w:szCs w:val="22"/>
        </w:rPr>
        <w:t>word count</w:t>
      </w:r>
      <w:r w:rsidRPr="00E7708A">
        <w:rPr>
          <w:rFonts w:ascii="Arial" w:hAnsi="Arial" w:cs="Arial"/>
          <w:sz w:val="22"/>
          <w:szCs w:val="22"/>
        </w:rPr>
        <w:t>. O</w:t>
      </w:r>
      <w:r w:rsidR="00CB788E" w:rsidRPr="00E7708A">
        <w:rPr>
          <w:rFonts w:ascii="Arial" w:hAnsi="Arial" w:cs="Arial"/>
          <w:sz w:val="22"/>
          <w:szCs w:val="22"/>
        </w:rPr>
        <w:t>n reflection</w:t>
      </w:r>
      <w:r w:rsidRPr="00E7708A">
        <w:rPr>
          <w:rFonts w:ascii="Arial" w:hAnsi="Arial" w:cs="Arial"/>
          <w:sz w:val="22"/>
          <w:szCs w:val="22"/>
        </w:rPr>
        <w:t>,</w:t>
      </w:r>
      <w:r w:rsidR="00CB788E" w:rsidRPr="00E7708A">
        <w:rPr>
          <w:rFonts w:ascii="Arial" w:hAnsi="Arial" w:cs="Arial"/>
          <w:sz w:val="22"/>
          <w:szCs w:val="22"/>
        </w:rPr>
        <w:t xml:space="preserve"> I have</w:t>
      </w:r>
      <w:r w:rsidRPr="00E7708A">
        <w:rPr>
          <w:rFonts w:ascii="Arial" w:hAnsi="Arial" w:cs="Arial"/>
          <w:sz w:val="22"/>
          <w:szCs w:val="22"/>
        </w:rPr>
        <w:t xml:space="preserve"> identified</w:t>
      </w:r>
      <w:r w:rsidR="00CB788E" w:rsidRPr="00E7708A">
        <w:rPr>
          <w:rFonts w:ascii="Arial" w:hAnsi="Arial" w:cs="Arial"/>
          <w:sz w:val="22"/>
          <w:szCs w:val="22"/>
        </w:rPr>
        <w:t xml:space="preserve"> core themes to further explore in my next project</w:t>
      </w:r>
      <w:r w:rsidRPr="00E7708A">
        <w:rPr>
          <w:rFonts w:ascii="Arial" w:hAnsi="Arial" w:cs="Arial"/>
          <w:sz w:val="22"/>
          <w:szCs w:val="22"/>
        </w:rPr>
        <w:t xml:space="preserve"> in more detail</w:t>
      </w:r>
      <w:r w:rsidR="00CB788E" w:rsidRPr="00E7708A">
        <w:rPr>
          <w:rFonts w:ascii="Arial" w:hAnsi="Arial" w:cs="Arial"/>
          <w:sz w:val="22"/>
          <w:szCs w:val="22"/>
        </w:rPr>
        <w:t>.</w:t>
      </w:r>
      <w:r w:rsidR="00372CF7" w:rsidRPr="00E7708A">
        <w:rPr>
          <w:rFonts w:ascii="Arial" w:hAnsi="Arial" w:cs="Arial"/>
          <w:sz w:val="22"/>
          <w:szCs w:val="22"/>
        </w:rPr>
        <w:t xml:space="preserve"> The b</w:t>
      </w:r>
      <w:r w:rsidRPr="00E7708A">
        <w:rPr>
          <w:rFonts w:ascii="Arial" w:hAnsi="Arial" w:cs="Arial"/>
          <w:sz w:val="22"/>
          <w:szCs w:val="22"/>
        </w:rPr>
        <w:t>enefits of refining my text will enable me to identify areas to specialise in during the rest of my studies, hopefully</w:t>
      </w:r>
      <w:r w:rsidR="00CB788E" w:rsidRPr="00E7708A">
        <w:rPr>
          <w:rFonts w:ascii="Arial" w:hAnsi="Arial" w:cs="Arial"/>
          <w:sz w:val="22"/>
          <w:szCs w:val="22"/>
        </w:rPr>
        <w:t xml:space="preserve"> leading to better clinical application. </w:t>
      </w:r>
    </w:p>
    <w:p w14:paraId="010B2E69" w14:textId="77777777" w:rsidR="0045060A" w:rsidRPr="00E7708A" w:rsidRDefault="0045060A" w:rsidP="00E7708A">
      <w:pPr>
        <w:spacing w:line="480" w:lineRule="auto"/>
        <w:jc w:val="both"/>
        <w:rPr>
          <w:rFonts w:ascii="Arial" w:hAnsi="Arial" w:cs="Arial"/>
          <w:sz w:val="22"/>
          <w:szCs w:val="22"/>
        </w:rPr>
      </w:pPr>
    </w:p>
    <w:p w14:paraId="489908F9" w14:textId="7B3EECBF" w:rsidR="00CC0CFA" w:rsidRPr="00E7708A" w:rsidRDefault="0045060A" w:rsidP="00E7708A">
      <w:pPr>
        <w:spacing w:line="480" w:lineRule="auto"/>
        <w:jc w:val="both"/>
        <w:rPr>
          <w:rFonts w:ascii="Arial" w:hAnsi="Arial" w:cs="Arial"/>
          <w:sz w:val="22"/>
          <w:szCs w:val="22"/>
        </w:rPr>
      </w:pPr>
      <w:r w:rsidRPr="00E7708A">
        <w:rPr>
          <w:rFonts w:ascii="Arial" w:hAnsi="Arial" w:cs="Arial"/>
          <w:sz w:val="22"/>
          <w:szCs w:val="22"/>
        </w:rPr>
        <w:t xml:space="preserve">There is a clear difference between undergraduate and </w:t>
      </w:r>
      <w:r w:rsidR="00622698">
        <w:rPr>
          <w:rFonts w:ascii="Arial" w:hAnsi="Arial" w:cs="Arial"/>
          <w:sz w:val="22"/>
          <w:szCs w:val="22"/>
        </w:rPr>
        <w:t>postgraduate</w:t>
      </w:r>
      <w:r w:rsidR="00E5457D" w:rsidRPr="00E7708A">
        <w:rPr>
          <w:rFonts w:ascii="Arial" w:hAnsi="Arial" w:cs="Arial"/>
          <w:sz w:val="22"/>
          <w:szCs w:val="22"/>
        </w:rPr>
        <w:t xml:space="preserve"> research. Although, this perception</w:t>
      </w:r>
      <w:r w:rsidR="00CB788E" w:rsidRPr="00E7708A">
        <w:rPr>
          <w:rFonts w:ascii="Arial" w:hAnsi="Arial" w:cs="Arial"/>
          <w:sz w:val="22"/>
          <w:szCs w:val="22"/>
        </w:rPr>
        <w:t xml:space="preserve"> </w:t>
      </w:r>
      <w:r w:rsidR="00E5457D" w:rsidRPr="00E7708A">
        <w:rPr>
          <w:rFonts w:ascii="Arial" w:hAnsi="Arial" w:cs="Arial"/>
          <w:sz w:val="22"/>
          <w:szCs w:val="22"/>
        </w:rPr>
        <w:t>could be</w:t>
      </w:r>
      <w:r w:rsidR="00CB788E" w:rsidRPr="00E7708A">
        <w:rPr>
          <w:rFonts w:ascii="Arial" w:hAnsi="Arial" w:cs="Arial"/>
          <w:sz w:val="22"/>
          <w:szCs w:val="22"/>
        </w:rPr>
        <w:t xml:space="preserve"> due in part to the nature of th</w:t>
      </w:r>
      <w:r w:rsidR="00E5457D" w:rsidRPr="00E7708A">
        <w:rPr>
          <w:rFonts w:ascii="Arial" w:hAnsi="Arial" w:cs="Arial"/>
          <w:sz w:val="22"/>
          <w:szCs w:val="22"/>
        </w:rPr>
        <w:t xml:space="preserve">e </w:t>
      </w:r>
      <w:r w:rsidR="00CB788E" w:rsidRPr="00E7708A">
        <w:rPr>
          <w:rFonts w:ascii="Arial" w:hAnsi="Arial" w:cs="Arial"/>
          <w:sz w:val="22"/>
          <w:szCs w:val="22"/>
        </w:rPr>
        <w:t>masters being self-taught</w:t>
      </w:r>
      <w:r w:rsidR="00E5457D" w:rsidRPr="00E7708A">
        <w:rPr>
          <w:rFonts w:ascii="Arial" w:hAnsi="Arial" w:cs="Arial"/>
          <w:sz w:val="22"/>
          <w:szCs w:val="22"/>
        </w:rPr>
        <w:t xml:space="preserve"> </w:t>
      </w:r>
      <w:r w:rsidR="00CB788E" w:rsidRPr="00E7708A">
        <w:rPr>
          <w:rFonts w:ascii="Arial" w:hAnsi="Arial" w:cs="Arial"/>
          <w:sz w:val="22"/>
          <w:szCs w:val="22"/>
        </w:rPr>
        <w:t xml:space="preserve">or </w:t>
      </w:r>
      <w:r w:rsidR="00E5457D" w:rsidRPr="00E7708A">
        <w:rPr>
          <w:rFonts w:ascii="Arial" w:hAnsi="Arial" w:cs="Arial"/>
          <w:sz w:val="22"/>
          <w:szCs w:val="22"/>
        </w:rPr>
        <w:t xml:space="preserve">the confines of my </w:t>
      </w:r>
      <w:r w:rsidR="00622698">
        <w:rPr>
          <w:rFonts w:ascii="Arial" w:hAnsi="Arial" w:cs="Arial"/>
          <w:sz w:val="22"/>
          <w:szCs w:val="22"/>
        </w:rPr>
        <w:t>NHS-funded</w:t>
      </w:r>
      <w:r w:rsidR="00E5457D" w:rsidRPr="00E7708A">
        <w:rPr>
          <w:rFonts w:ascii="Arial" w:hAnsi="Arial" w:cs="Arial"/>
          <w:sz w:val="22"/>
          <w:szCs w:val="22"/>
        </w:rPr>
        <w:t xml:space="preserve"> undergraduate degree, which meant</w:t>
      </w:r>
      <w:r w:rsidR="00CB788E" w:rsidRPr="00E7708A">
        <w:rPr>
          <w:rFonts w:ascii="Arial" w:hAnsi="Arial" w:cs="Arial"/>
          <w:sz w:val="22"/>
          <w:szCs w:val="22"/>
        </w:rPr>
        <w:t xml:space="preserve"> research topics due to teaching limitations. </w:t>
      </w:r>
      <w:r w:rsidR="00E5457D" w:rsidRPr="00E7708A">
        <w:rPr>
          <w:rFonts w:ascii="Arial" w:hAnsi="Arial" w:cs="Arial"/>
          <w:sz w:val="22"/>
          <w:szCs w:val="22"/>
        </w:rPr>
        <w:t xml:space="preserve">Upon commencing the masters, the </w:t>
      </w:r>
      <w:r w:rsidR="00CB788E" w:rsidRPr="00E7708A">
        <w:rPr>
          <w:rFonts w:ascii="Arial" w:hAnsi="Arial" w:cs="Arial"/>
          <w:sz w:val="22"/>
          <w:szCs w:val="22"/>
        </w:rPr>
        <w:t xml:space="preserve">self-taught aspect was </w:t>
      </w:r>
      <w:r w:rsidR="00E5457D" w:rsidRPr="00E7708A">
        <w:rPr>
          <w:rFonts w:ascii="Arial" w:hAnsi="Arial" w:cs="Arial"/>
          <w:sz w:val="22"/>
          <w:szCs w:val="22"/>
        </w:rPr>
        <w:t>intimidating</w:t>
      </w:r>
      <w:r w:rsidR="00CB788E" w:rsidRPr="00E7708A">
        <w:rPr>
          <w:rFonts w:ascii="Arial" w:hAnsi="Arial" w:cs="Arial"/>
          <w:sz w:val="22"/>
          <w:szCs w:val="22"/>
        </w:rPr>
        <w:t xml:space="preserve"> and</w:t>
      </w:r>
      <w:r w:rsidR="00FA5036" w:rsidRPr="00E7708A">
        <w:rPr>
          <w:rFonts w:ascii="Arial" w:hAnsi="Arial" w:cs="Arial"/>
          <w:sz w:val="22"/>
          <w:szCs w:val="22"/>
        </w:rPr>
        <w:t xml:space="preserve"> </w:t>
      </w:r>
      <w:r w:rsidR="00E5457D" w:rsidRPr="00E7708A">
        <w:rPr>
          <w:rFonts w:ascii="Arial" w:hAnsi="Arial" w:cs="Arial"/>
          <w:sz w:val="22"/>
          <w:szCs w:val="22"/>
        </w:rPr>
        <w:t xml:space="preserve">this was demonstrated in my </w:t>
      </w:r>
      <w:r w:rsidR="00CB788E" w:rsidRPr="00E7708A">
        <w:rPr>
          <w:rFonts w:ascii="Arial" w:hAnsi="Arial" w:cs="Arial"/>
          <w:sz w:val="22"/>
          <w:szCs w:val="22"/>
        </w:rPr>
        <w:t>formative assignment</w:t>
      </w:r>
      <w:r w:rsidR="00E5457D" w:rsidRPr="00E7708A">
        <w:rPr>
          <w:rFonts w:ascii="Arial" w:hAnsi="Arial" w:cs="Arial"/>
          <w:sz w:val="22"/>
          <w:szCs w:val="22"/>
        </w:rPr>
        <w:t>, in which I was</w:t>
      </w:r>
      <w:r w:rsidR="00CB788E" w:rsidRPr="00E7708A">
        <w:rPr>
          <w:rFonts w:ascii="Arial" w:hAnsi="Arial" w:cs="Arial"/>
          <w:sz w:val="22"/>
          <w:szCs w:val="22"/>
        </w:rPr>
        <w:t xml:space="preserve"> ridged in my thought processes. </w:t>
      </w:r>
    </w:p>
    <w:p w14:paraId="60F606C8" w14:textId="77777777" w:rsidR="00CC0CFA" w:rsidRPr="00E7708A" w:rsidRDefault="00CC0CFA" w:rsidP="00E7708A">
      <w:pPr>
        <w:spacing w:line="480" w:lineRule="auto"/>
        <w:jc w:val="both"/>
        <w:rPr>
          <w:rFonts w:ascii="Arial" w:hAnsi="Arial" w:cs="Arial"/>
          <w:sz w:val="22"/>
          <w:szCs w:val="22"/>
        </w:rPr>
      </w:pPr>
    </w:p>
    <w:p w14:paraId="16916157" w14:textId="380D5958" w:rsidR="00485FE3" w:rsidRPr="00E7708A" w:rsidRDefault="00CB788E" w:rsidP="00E7708A">
      <w:pPr>
        <w:spacing w:line="480" w:lineRule="auto"/>
        <w:jc w:val="both"/>
        <w:rPr>
          <w:rFonts w:ascii="Arial" w:hAnsi="Arial" w:cs="Arial"/>
          <w:sz w:val="22"/>
          <w:szCs w:val="22"/>
        </w:rPr>
      </w:pPr>
      <w:r w:rsidRPr="00E7708A">
        <w:rPr>
          <w:rFonts w:ascii="Arial" w:hAnsi="Arial" w:cs="Arial"/>
          <w:sz w:val="22"/>
          <w:szCs w:val="22"/>
        </w:rPr>
        <w:t>However, within this piece</w:t>
      </w:r>
      <w:r w:rsidR="00622698">
        <w:rPr>
          <w:rFonts w:ascii="Arial" w:hAnsi="Arial" w:cs="Arial"/>
          <w:sz w:val="22"/>
          <w:szCs w:val="22"/>
        </w:rPr>
        <w:t>,</w:t>
      </w:r>
      <w:r w:rsidRPr="00E7708A">
        <w:rPr>
          <w:rFonts w:ascii="Arial" w:hAnsi="Arial" w:cs="Arial"/>
          <w:sz w:val="22"/>
          <w:szCs w:val="22"/>
        </w:rPr>
        <w:t xml:space="preserve"> I </w:t>
      </w:r>
      <w:r w:rsidR="00E5457D" w:rsidRPr="00E7708A">
        <w:rPr>
          <w:rFonts w:ascii="Arial" w:hAnsi="Arial" w:cs="Arial"/>
          <w:sz w:val="22"/>
          <w:szCs w:val="22"/>
        </w:rPr>
        <w:t>have recognised</w:t>
      </w:r>
      <w:r w:rsidR="00372CF7" w:rsidRPr="00E7708A">
        <w:rPr>
          <w:rFonts w:ascii="Arial" w:hAnsi="Arial" w:cs="Arial"/>
          <w:sz w:val="22"/>
          <w:szCs w:val="22"/>
        </w:rPr>
        <w:t xml:space="preserve"> the impact imposter syndrome may have had on my work due to the fear associated with feeling beyond my skillset (</w:t>
      </w:r>
      <w:proofErr w:type="spellStart"/>
      <w:r w:rsidR="00372CF7" w:rsidRPr="00372CF7">
        <w:rPr>
          <w:rFonts w:ascii="Arial" w:hAnsi="Arial" w:cs="Arial"/>
          <w:sz w:val="22"/>
          <w:szCs w:val="22"/>
          <w:lang w:bidi="en-US"/>
        </w:rPr>
        <w:t>Bravata</w:t>
      </w:r>
      <w:proofErr w:type="spellEnd"/>
      <w:r w:rsidR="00372CF7" w:rsidRPr="00E7708A">
        <w:rPr>
          <w:rFonts w:ascii="Arial" w:hAnsi="Arial" w:cs="Arial"/>
          <w:sz w:val="22"/>
          <w:szCs w:val="22"/>
          <w:lang w:bidi="en-US"/>
        </w:rPr>
        <w:t xml:space="preserve"> </w:t>
      </w:r>
      <w:r w:rsidR="00372CF7" w:rsidRPr="00E7708A">
        <w:rPr>
          <w:rFonts w:ascii="Arial" w:hAnsi="Arial" w:cs="Arial"/>
          <w:i/>
          <w:iCs/>
          <w:sz w:val="22"/>
          <w:szCs w:val="22"/>
          <w:lang w:bidi="en-US"/>
        </w:rPr>
        <w:t>et al</w:t>
      </w:r>
      <w:r w:rsidR="00372CF7" w:rsidRPr="00E7708A">
        <w:rPr>
          <w:rFonts w:ascii="Arial" w:hAnsi="Arial" w:cs="Arial"/>
          <w:sz w:val="22"/>
          <w:szCs w:val="22"/>
          <w:lang w:bidi="en-US"/>
        </w:rPr>
        <w:t xml:space="preserve"> 2019)</w:t>
      </w:r>
      <w:r w:rsidR="00CC0CFA" w:rsidRPr="00E7708A">
        <w:rPr>
          <w:rFonts w:ascii="Arial" w:hAnsi="Arial" w:cs="Arial"/>
          <w:sz w:val="22"/>
          <w:szCs w:val="22"/>
          <w:lang w:bidi="en-US"/>
        </w:rPr>
        <w:t>. Imposter syndrome is something I have battled with throughout my career due to my age and this has impacted my confidence as a therapist, the progress I can see between my undergraduate and postgraduate writing, alongside feedback from tutors and peers has greatly supported my ability to manage this.</w:t>
      </w:r>
    </w:p>
    <w:p w14:paraId="0079843A" w14:textId="77777777" w:rsidR="00E7708A" w:rsidRDefault="00E7708A" w:rsidP="00E7708A">
      <w:pPr>
        <w:spacing w:line="480" w:lineRule="auto"/>
        <w:jc w:val="both"/>
        <w:rPr>
          <w:rFonts w:ascii="Arial" w:hAnsi="Arial" w:cs="Arial"/>
          <w:sz w:val="22"/>
          <w:szCs w:val="22"/>
          <w:u w:val="single"/>
        </w:rPr>
      </w:pPr>
    </w:p>
    <w:p w14:paraId="311D1EB7" w14:textId="77777777" w:rsidR="00E7708A" w:rsidRDefault="00E7708A" w:rsidP="00E7708A">
      <w:pPr>
        <w:spacing w:line="480" w:lineRule="auto"/>
        <w:jc w:val="both"/>
        <w:rPr>
          <w:rFonts w:ascii="Arial" w:hAnsi="Arial" w:cs="Arial"/>
          <w:sz w:val="22"/>
          <w:szCs w:val="22"/>
          <w:u w:val="single"/>
        </w:rPr>
      </w:pPr>
    </w:p>
    <w:p w14:paraId="60FC3BAC" w14:textId="77777777" w:rsidR="00E7708A" w:rsidRDefault="00E7708A" w:rsidP="00E7708A">
      <w:pPr>
        <w:spacing w:line="480" w:lineRule="auto"/>
        <w:jc w:val="both"/>
        <w:rPr>
          <w:rFonts w:ascii="Arial" w:hAnsi="Arial" w:cs="Arial"/>
          <w:sz w:val="22"/>
          <w:szCs w:val="22"/>
          <w:u w:val="single"/>
        </w:rPr>
      </w:pPr>
    </w:p>
    <w:p w14:paraId="781F4923" w14:textId="478A11DF" w:rsidR="00771F39" w:rsidRPr="00E7708A" w:rsidRDefault="00771F39" w:rsidP="00E7708A">
      <w:pPr>
        <w:spacing w:line="480" w:lineRule="auto"/>
        <w:jc w:val="both"/>
        <w:rPr>
          <w:rFonts w:ascii="Arial" w:hAnsi="Arial" w:cs="Arial"/>
          <w:sz w:val="22"/>
          <w:szCs w:val="22"/>
          <w:u w:val="single"/>
        </w:rPr>
      </w:pPr>
      <w:r w:rsidRPr="00E7708A">
        <w:rPr>
          <w:rFonts w:ascii="Arial" w:hAnsi="Arial" w:cs="Arial"/>
          <w:sz w:val="22"/>
          <w:szCs w:val="22"/>
          <w:u w:val="single"/>
        </w:rPr>
        <w:lastRenderedPageBreak/>
        <w:t>Patient</w:t>
      </w:r>
    </w:p>
    <w:p w14:paraId="3FEB5440" w14:textId="18979A0A" w:rsidR="00771F39" w:rsidRPr="00E7708A" w:rsidRDefault="00771F39" w:rsidP="00E7708A">
      <w:pPr>
        <w:spacing w:line="480" w:lineRule="auto"/>
        <w:jc w:val="both"/>
        <w:rPr>
          <w:rFonts w:ascii="Arial" w:hAnsi="Arial" w:cs="Arial"/>
          <w:sz w:val="22"/>
          <w:szCs w:val="22"/>
        </w:rPr>
      </w:pPr>
      <w:r w:rsidRPr="00E7708A">
        <w:rPr>
          <w:rFonts w:ascii="Arial" w:hAnsi="Arial" w:cs="Arial"/>
          <w:sz w:val="22"/>
          <w:szCs w:val="22"/>
        </w:rPr>
        <w:t xml:space="preserve">Due to the nature of my role, the key aim of my </w:t>
      </w:r>
      <w:r w:rsidR="00622698">
        <w:rPr>
          <w:rFonts w:ascii="Arial" w:hAnsi="Arial" w:cs="Arial"/>
          <w:sz w:val="22"/>
          <w:szCs w:val="22"/>
        </w:rPr>
        <w:t>master's</w:t>
      </w:r>
      <w:r w:rsidRPr="00E7708A">
        <w:rPr>
          <w:rFonts w:ascii="Arial" w:hAnsi="Arial" w:cs="Arial"/>
          <w:sz w:val="22"/>
          <w:szCs w:val="22"/>
        </w:rPr>
        <w:t xml:space="preserve"> is to support and improve the outcomes for my patients. When thinking about how this essay applies to my practice, I have already seen a benefit from research alone in regards to my therapeutic style. I have </w:t>
      </w:r>
      <w:r w:rsidR="00622698">
        <w:rPr>
          <w:rFonts w:ascii="Arial" w:hAnsi="Arial" w:cs="Arial"/>
          <w:sz w:val="22"/>
          <w:szCs w:val="22"/>
        </w:rPr>
        <w:t>led</w:t>
      </w:r>
      <w:r w:rsidRPr="00E7708A">
        <w:rPr>
          <w:rFonts w:ascii="Arial" w:hAnsi="Arial" w:cs="Arial"/>
          <w:sz w:val="22"/>
          <w:szCs w:val="22"/>
        </w:rPr>
        <w:t xml:space="preserve"> conversations about attendance more openly, and this has allowed me greater insight into my </w:t>
      </w:r>
      <w:r w:rsidR="00622698">
        <w:rPr>
          <w:rFonts w:ascii="Arial" w:hAnsi="Arial" w:cs="Arial"/>
          <w:sz w:val="22"/>
          <w:szCs w:val="22"/>
        </w:rPr>
        <w:t>patient's</w:t>
      </w:r>
      <w:r w:rsidRPr="00E7708A">
        <w:rPr>
          <w:rFonts w:ascii="Arial" w:hAnsi="Arial" w:cs="Arial"/>
          <w:sz w:val="22"/>
          <w:szCs w:val="22"/>
        </w:rPr>
        <w:t xml:space="preserve"> stress and identity </w:t>
      </w:r>
      <w:r w:rsidR="008A3DBF" w:rsidRPr="00E7708A">
        <w:rPr>
          <w:rFonts w:ascii="Arial" w:hAnsi="Arial" w:cs="Arial"/>
          <w:sz w:val="22"/>
          <w:szCs w:val="22"/>
        </w:rPr>
        <w:t>in turn leading to a better therapeutic relationship</w:t>
      </w:r>
      <w:r w:rsidR="00372CF7" w:rsidRPr="00E7708A">
        <w:rPr>
          <w:rFonts w:ascii="Arial" w:hAnsi="Arial" w:cs="Arial"/>
          <w:sz w:val="22"/>
          <w:szCs w:val="22"/>
        </w:rPr>
        <w:t xml:space="preserve"> (Mills and Stoneham 2020; </w:t>
      </w:r>
      <w:proofErr w:type="spellStart"/>
      <w:r w:rsidR="00372CF7" w:rsidRPr="00E7708A">
        <w:rPr>
          <w:rFonts w:ascii="Arial" w:hAnsi="Arial" w:cs="Arial"/>
          <w:sz w:val="22"/>
          <w:szCs w:val="22"/>
        </w:rPr>
        <w:t>Bravata</w:t>
      </w:r>
      <w:proofErr w:type="spellEnd"/>
      <w:r w:rsidR="00372CF7" w:rsidRPr="00E7708A">
        <w:rPr>
          <w:rFonts w:ascii="Arial" w:hAnsi="Arial" w:cs="Arial"/>
          <w:sz w:val="22"/>
          <w:szCs w:val="22"/>
        </w:rPr>
        <w:t xml:space="preserve"> </w:t>
      </w:r>
      <w:r w:rsidR="00372CF7" w:rsidRPr="00E7708A">
        <w:rPr>
          <w:rFonts w:ascii="Arial" w:hAnsi="Arial" w:cs="Arial"/>
          <w:i/>
          <w:iCs/>
          <w:sz w:val="22"/>
          <w:szCs w:val="22"/>
        </w:rPr>
        <w:t xml:space="preserve">et al </w:t>
      </w:r>
      <w:r w:rsidR="00372CF7" w:rsidRPr="00E7708A">
        <w:rPr>
          <w:rFonts w:ascii="Arial" w:hAnsi="Arial" w:cs="Arial"/>
          <w:sz w:val="22"/>
          <w:szCs w:val="22"/>
        </w:rPr>
        <w:t>2019)</w:t>
      </w:r>
      <w:r w:rsidR="008A3DBF" w:rsidRPr="00E7708A">
        <w:rPr>
          <w:rFonts w:ascii="Arial" w:hAnsi="Arial" w:cs="Arial"/>
          <w:sz w:val="22"/>
          <w:szCs w:val="22"/>
        </w:rPr>
        <w:t>.  As discussed above, the word count was initially a limitation I also considered from a patient lens, however</w:t>
      </w:r>
      <w:r w:rsidR="00622698">
        <w:rPr>
          <w:rFonts w:ascii="Arial" w:hAnsi="Arial" w:cs="Arial"/>
          <w:sz w:val="22"/>
          <w:szCs w:val="22"/>
        </w:rPr>
        <w:t>,</w:t>
      </w:r>
      <w:r w:rsidR="008A3DBF" w:rsidRPr="00E7708A">
        <w:rPr>
          <w:rFonts w:ascii="Arial" w:hAnsi="Arial" w:cs="Arial"/>
          <w:sz w:val="22"/>
          <w:szCs w:val="22"/>
        </w:rPr>
        <w:t xml:space="preserve"> my above reflection is applicable here also. </w:t>
      </w:r>
      <w:r w:rsidR="00C84DA5" w:rsidRPr="00E7708A">
        <w:rPr>
          <w:rFonts w:ascii="Arial" w:hAnsi="Arial" w:cs="Arial"/>
          <w:sz w:val="22"/>
          <w:szCs w:val="22"/>
        </w:rPr>
        <w:t xml:space="preserve"> </w:t>
      </w:r>
    </w:p>
    <w:p w14:paraId="6D6953F7" w14:textId="7CC72336" w:rsidR="00C84DA5" w:rsidRPr="00E7708A" w:rsidRDefault="00C84DA5" w:rsidP="00E7708A">
      <w:pPr>
        <w:spacing w:line="480" w:lineRule="auto"/>
        <w:jc w:val="both"/>
        <w:rPr>
          <w:rFonts w:ascii="Arial" w:hAnsi="Arial" w:cs="Arial"/>
          <w:sz w:val="22"/>
          <w:szCs w:val="22"/>
        </w:rPr>
      </w:pPr>
    </w:p>
    <w:p w14:paraId="4CC8881D" w14:textId="463F9343" w:rsidR="00AF7602" w:rsidRDefault="00C84DA5" w:rsidP="00E7708A">
      <w:pPr>
        <w:spacing w:line="480" w:lineRule="auto"/>
        <w:jc w:val="both"/>
        <w:rPr>
          <w:rFonts w:ascii="Arial" w:hAnsi="Arial" w:cs="Arial"/>
          <w:sz w:val="22"/>
          <w:szCs w:val="22"/>
        </w:rPr>
      </w:pPr>
      <w:r w:rsidRPr="00E7708A">
        <w:rPr>
          <w:rFonts w:ascii="Arial" w:hAnsi="Arial" w:cs="Arial"/>
          <w:sz w:val="22"/>
          <w:szCs w:val="22"/>
        </w:rPr>
        <w:t>A key area of reflection through the patient lens has been my limitations. Although coproduction is central to my work as a therapist, I have the bias of being a cisgender woman</w:t>
      </w:r>
      <w:r w:rsidR="00372CF7" w:rsidRPr="00E7708A">
        <w:rPr>
          <w:rFonts w:ascii="Arial" w:hAnsi="Arial" w:cs="Arial"/>
          <w:sz w:val="22"/>
          <w:szCs w:val="22"/>
        </w:rPr>
        <w:t xml:space="preserve"> (Brook </w:t>
      </w:r>
      <w:r w:rsidR="00372CF7" w:rsidRPr="00E7708A">
        <w:rPr>
          <w:rFonts w:ascii="Arial" w:hAnsi="Arial" w:cs="Arial"/>
          <w:i/>
          <w:iCs/>
          <w:sz w:val="22"/>
          <w:szCs w:val="22"/>
        </w:rPr>
        <w:t xml:space="preserve">et al </w:t>
      </w:r>
      <w:r w:rsidR="00372CF7" w:rsidRPr="00E7708A">
        <w:rPr>
          <w:rFonts w:ascii="Arial" w:hAnsi="Arial" w:cs="Arial"/>
          <w:sz w:val="22"/>
          <w:szCs w:val="22"/>
        </w:rPr>
        <w:t>2008; Mills and Stoneham 2020)</w:t>
      </w:r>
      <w:r w:rsidRPr="00E7708A">
        <w:rPr>
          <w:rFonts w:ascii="Arial" w:hAnsi="Arial" w:cs="Arial"/>
          <w:sz w:val="22"/>
          <w:szCs w:val="22"/>
        </w:rPr>
        <w:t xml:space="preserve"> and this essay has helped me reflect on the </w:t>
      </w:r>
      <w:r w:rsidR="00FC1959" w:rsidRPr="00E7708A">
        <w:rPr>
          <w:rFonts w:ascii="Arial" w:hAnsi="Arial" w:cs="Arial"/>
          <w:sz w:val="22"/>
          <w:szCs w:val="22"/>
        </w:rPr>
        <w:t xml:space="preserve">way this may generalise to academic bias. This meant that when doing my reading, I had to research terminology and read from the perspective of TGD individuals through sources such as </w:t>
      </w:r>
      <w:r w:rsidR="00622698">
        <w:rPr>
          <w:rFonts w:ascii="Arial" w:hAnsi="Arial" w:cs="Arial"/>
          <w:sz w:val="22"/>
          <w:szCs w:val="22"/>
        </w:rPr>
        <w:t>Reddit</w:t>
      </w:r>
      <w:r w:rsidR="00FC1959" w:rsidRPr="00E7708A">
        <w:rPr>
          <w:rFonts w:ascii="Arial" w:hAnsi="Arial" w:cs="Arial"/>
          <w:sz w:val="22"/>
          <w:szCs w:val="22"/>
        </w:rPr>
        <w:t xml:space="preserve"> threads</w:t>
      </w:r>
      <w:r w:rsidR="00372CF7" w:rsidRPr="00E7708A">
        <w:rPr>
          <w:rFonts w:ascii="Arial" w:hAnsi="Arial" w:cs="Arial"/>
          <w:sz w:val="22"/>
          <w:szCs w:val="22"/>
        </w:rPr>
        <w:t xml:space="preserve"> where patients write about </w:t>
      </w:r>
      <w:r w:rsidR="00622698">
        <w:rPr>
          <w:rFonts w:ascii="Arial" w:hAnsi="Arial" w:cs="Arial"/>
          <w:sz w:val="22"/>
          <w:szCs w:val="22"/>
        </w:rPr>
        <w:t>first-hand</w:t>
      </w:r>
      <w:r w:rsidR="00372CF7" w:rsidRPr="00E7708A">
        <w:rPr>
          <w:rFonts w:ascii="Arial" w:hAnsi="Arial" w:cs="Arial"/>
          <w:sz w:val="22"/>
          <w:szCs w:val="22"/>
        </w:rPr>
        <w:t xml:space="preserve"> experiences</w:t>
      </w:r>
      <w:r w:rsidR="00FC1959" w:rsidRPr="00E7708A">
        <w:rPr>
          <w:rFonts w:ascii="Arial" w:hAnsi="Arial" w:cs="Arial"/>
          <w:sz w:val="22"/>
          <w:szCs w:val="22"/>
        </w:rPr>
        <w:t xml:space="preserve"> in order to support my interpretation of academic literature. </w:t>
      </w:r>
      <w:r w:rsidR="00FA5036" w:rsidRPr="00E7708A">
        <w:rPr>
          <w:rFonts w:ascii="Arial" w:hAnsi="Arial" w:cs="Arial"/>
          <w:sz w:val="22"/>
          <w:szCs w:val="22"/>
        </w:rPr>
        <w:t xml:space="preserve">This </w:t>
      </w:r>
      <w:r w:rsidR="00FC1959" w:rsidRPr="00E7708A">
        <w:rPr>
          <w:rFonts w:ascii="Arial" w:hAnsi="Arial" w:cs="Arial"/>
          <w:sz w:val="22"/>
          <w:szCs w:val="22"/>
        </w:rPr>
        <w:t>helped ensure my research interpretations came from a patient lens as opposed to a therapist lens meaning better therapeutic application</w:t>
      </w:r>
      <w:r w:rsidR="00372CF7" w:rsidRPr="00E7708A">
        <w:rPr>
          <w:rFonts w:ascii="Arial" w:hAnsi="Arial" w:cs="Arial"/>
          <w:sz w:val="22"/>
          <w:szCs w:val="22"/>
        </w:rPr>
        <w:t xml:space="preserve"> which is suggested in Brookfield (1995)</w:t>
      </w:r>
      <w:r w:rsidR="00FC1959" w:rsidRPr="00E7708A">
        <w:rPr>
          <w:rFonts w:ascii="Arial" w:hAnsi="Arial" w:cs="Arial"/>
          <w:sz w:val="22"/>
          <w:szCs w:val="22"/>
        </w:rPr>
        <w:t xml:space="preserve">. This helped ensure I understood the idea of expert by experience on a greater level. </w:t>
      </w:r>
    </w:p>
    <w:p w14:paraId="606743EB" w14:textId="77777777" w:rsidR="00E7708A" w:rsidRPr="00E7708A" w:rsidRDefault="00E7708A" w:rsidP="00E7708A">
      <w:pPr>
        <w:spacing w:line="480" w:lineRule="auto"/>
        <w:jc w:val="both"/>
        <w:rPr>
          <w:rFonts w:ascii="Arial" w:hAnsi="Arial" w:cs="Arial"/>
          <w:sz w:val="22"/>
          <w:szCs w:val="22"/>
        </w:rPr>
      </w:pPr>
    </w:p>
    <w:p w14:paraId="78612DA7" w14:textId="16DC706E" w:rsidR="00771F39" w:rsidRPr="00E7708A" w:rsidRDefault="006B0112" w:rsidP="00E7708A">
      <w:pPr>
        <w:spacing w:line="480" w:lineRule="auto"/>
        <w:jc w:val="both"/>
        <w:rPr>
          <w:rFonts w:ascii="Arial" w:hAnsi="Arial" w:cs="Arial"/>
          <w:sz w:val="22"/>
          <w:szCs w:val="22"/>
          <w:u w:val="single"/>
        </w:rPr>
      </w:pPr>
      <w:r w:rsidRPr="00E7708A">
        <w:rPr>
          <w:rFonts w:ascii="Arial" w:hAnsi="Arial" w:cs="Arial"/>
          <w:sz w:val="22"/>
          <w:szCs w:val="22"/>
          <w:u w:val="single"/>
        </w:rPr>
        <w:t>Multidisciplinary team (</w:t>
      </w:r>
      <w:r w:rsidR="00771F39" w:rsidRPr="00E7708A">
        <w:rPr>
          <w:rFonts w:ascii="Arial" w:hAnsi="Arial" w:cs="Arial"/>
          <w:sz w:val="22"/>
          <w:szCs w:val="22"/>
          <w:u w:val="single"/>
        </w:rPr>
        <w:t>MDT</w:t>
      </w:r>
      <w:r w:rsidRPr="00E7708A">
        <w:rPr>
          <w:rFonts w:ascii="Arial" w:hAnsi="Arial" w:cs="Arial"/>
          <w:sz w:val="22"/>
          <w:szCs w:val="22"/>
          <w:u w:val="single"/>
        </w:rPr>
        <w:t>)</w:t>
      </w:r>
    </w:p>
    <w:p w14:paraId="0A272AE7" w14:textId="7B11E8A1" w:rsidR="006C33BD" w:rsidRPr="00E7708A" w:rsidRDefault="00FC1959" w:rsidP="00E7708A">
      <w:pPr>
        <w:spacing w:line="480" w:lineRule="auto"/>
        <w:jc w:val="both"/>
        <w:rPr>
          <w:rFonts w:ascii="Arial" w:hAnsi="Arial" w:cs="Arial"/>
          <w:sz w:val="22"/>
          <w:szCs w:val="22"/>
        </w:rPr>
      </w:pPr>
      <w:r w:rsidRPr="00E7708A">
        <w:rPr>
          <w:rFonts w:ascii="Arial" w:hAnsi="Arial" w:cs="Arial"/>
          <w:sz w:val="22"/>
          <w:szCs w:val="22"/>
        </w:rPr>
        <w:t xml:space="preserve">A key academic theme identified throughout </w:t>
      </w:r>
      <w:r w:rsidR="004F6566" w:rsidRPr="00E7708A">
        <w:rPr>
          <w:rFonts w:ascii="Arial" w:hAnsi="Arial" w:cs="Arial"/>
          <w:sz w:val="22"/>
          <w:szCs w:val="22"/>
        </w:rPr>
        <w:t>was MDT education</w:t>
      </w:r>
      <w:r w:rsidR="00372CF7" w:rsidRPr="00E7708A">
        <w:rPr>
          <w:rFonts w:ascii="Arial" w:hAnsi="Arial" w:cs="Arial"/>
          <w:sz w:val="22"/>
          <w:szCs w:val="22"/>
        </w:rPr>
        <w:t xml:space="preserve"> as suggested by RCSLT (2019) </w:t>
      </w:r>
      <w:r w:rsidR="004F6566" w:rsidRPr="00E7708A">
        <w:rPr>
          <w:rFonts w:ascii="Arial" w:hAnsi="Arial" w:cs="Arial"/>
          <w:sz w:val="22"/>
          <w:szCs w:val="22"/>
        </w:rPr>
        <w:t>however due to my role being part of a local gender team (meaning I am no</w:t>
      </w:r>
      <w:r w:rsidR="00372CF7" w:rsidRPr="00E7708A">
        <w:rPr>
          <w:rFonts w:ascii="Arial" w:hAnsi="Arial" w:cs="Arial"/>
          <w:sz w:val="22"/>
          <w:szCs w:val="22"/>
        </w:rPr>
        <w:t>t</w:t>
      </w:r>
      <w:r w:rsidR="004F6566" w:rsidRPr="00E7708A">
        <w:rPr>
          <w:rFonts w:ascii="Arial" w:hAnsi="Arial" w:cs="Arial"/>
          <w:sz w:val="22"/>
          <w:szCs w:val="22"/>
        </w:rPr>
        <w:t xml:space="preserve"> based in the gender identity clinic and am not part of their MDT) I am somewhat restricted by my </w:t>
      </w:r>
      <w:r w:rsidR="00F7471B" w:rsidRPr="00E7708A">
        <w:rPr>
          <w:rFonts w:ascii="Arial" w:hAnsi="Arial" w:cs="Arial"/>
          <w:sz w:val="22"/>
          <w:szCs w:val="22"/>
        </w:rPr>
        <w:t>outsider status. I plan to use the findings to present an action plan initially to my other colleagues in SLT to gather another viewpoint, and from there will look at expanding to the wider MDT. Brookfield (</w:t>
      </w:r>
      <w:r w:rsidR="006C33BD" w:rsidRPr="00E7708A">
        <w:rPr>
          <w:rFonts w:ascii="Arial" w:hAnsi="Arial" w:cs="Arial"/>
          <w:sz w:val="22"/>
          <w:szCs w:val="22"/>
        </w:rPr>
        <w:t>199</w:t>
      </w:r>
      <w:r w:rsidR="00F7471B" w:rsidRPr="00E7708A">
        <w:rPr>
          <w:rFonts w:ascii="Arial" w:hAnsi="Arial" w:cs="Arial"/>
          <w:sz w:val="22"/>
          <w:szCs w:val="22"/>
        </w:rPr>
        <w:t xml:space="preserve">5) </w:t>
      </w:r>
      <w:r w:rsidR="006C33BD" w:rsidRPr="00E7708A">
        <w:rPr>
          <w:rFonts w:ascii="Arial" w:hAnsi="Arial" w:cs="Arial"/>
          <w:sz w:val="22"/>
          <w:szCs w:val="22"/>
        </w:rPr>
        <w:lastRenderedPageBreak/>
        <w:t>highlights</w:t>
      </w:r>
      <w:r w:rsidR="00F7471B" w:rsidRPr="00E7708A">
        <w:rPr>
          <w:rFonts w:ascii="Arial" w:hAnsi="Arial" w:cs="Arial"/>
          <w:sz w:val="22"/>
          <w:szCs w:val="22"/>
        </w:rPr>
        <w:t xml:space="preserve"> that by creating safe spaces</w:t>
      </w:r>
      <w:r w:rsidR="006C33BD" w:rsidRPr="00E7708A">
        <w:rPr>
          <w:rFonts w:ascii="Arial" w:hAnsi="Arial" w:cs="Arial"/>
          <w:sz w:val="22"/>
          <w:szCs w:val="22"/>
        </w:rPr>
        <w:t xml:space="preserve"> to discuss research with the MDT, we can broaden and reframe our practices.</w:t>
      </w:r>
    </w:p>
    <w:p w14:paraId="3D4A7660" w14:textId="77777777" w:rsidR="006C33BD" w:rsidRPr="00E7708A" w:rsidRDefault="006C33BD" w:rsidP="00E7708A">
      <w:pPr>
        <w:spacing w:line="480" w:lineRule="auto"/>
        <w:jc w:val="both"/>
        <w:rPr>
          <w:rFonts w:ascii="Arial" w:hAnsi="Arial" w:cs="Arial"/>
          <w:sz w:val="22"/>
          <w:szCs w:val="22"/>
        </w:rPr>
      </w:pPr>
    </w:p>
    <w:p w14:paraId="62298BC3" w14:textId="77777777" w:rsidR="004F6566" w:rsidRPr="00E7708A" w:rsidRDefault="004F6566" w:rsidP="00E7708A">
      <w:pPr>
        <w:spacing w:line="480" w:lineRule="auto"/>
        <w:jc w:val="both"/>
        <w:rPr>
          <w:rFonts w:ascii="Arial" w:hAnsi="Arial" w:cs="Arial"/>
          <w:sz w:val="22"/>
          <w:szCs w:val="22"/>
        </w:rPr>
      </w:pPr>
    </w:p>
    <w:p w14:paraId="53F18C83" w14:textId="21D1EC54" w:rsidR="00485FE3" w:rsidRPr="00E7708A" w:rsidRDefault="00771F39" w:rsidP="00E7708A">
      <w:pPr>
        <w:spacing w:line="480" w:lineRule="auto"/>
        <w:jc w:val="both"/>
        <w:rPr>
          <w:rFonts w:ascii="Arial" w:hAnsi="Arial" w:cs="Arial"/>
          <w:sz w:val="22"/>
          <w:szCs w:val="22"/>
          <w:u w:val="single"/>
        </w:rPr>
      </w:pPr>
      <w:r w:rsidRPr="00E7708A">
        <w:rPr>
          <w:rFonts w:ascii="Arial" w:hAnsi="Arial" w:cs="Arial"/>
          <w:sz w:val="22"/>
          <w:szCs w:val="22"/>
          <w:u w:val="single"/>
        </w:rPr>
        <w:t>Evidence base</w:t>
      </w:r>
    </w:p>
    <w:p w14:paraId="2F9FA530" w14:textId="0EA58C4B" w:rsidR="00C51752" w:rsidRPr="00E7708A" w:rsidRDefault="00D80D39" w:rsidP="00E7708A">
      <w:pPr>
        <w:spacing w:line="480" w:lineRule="auto"/>
        <w:jc w:val="both"/>
        <w:rPr>
          <w:rFonts w:ascii="Arial" w:hAnsi="Arial" w:cs="Arial"/>
          <w:sz w:val="22"/>
          <w:szCs w:val="22"/>
        </w:rPr>
      </w:pPr>
      <w:r w:rsidRPr="00E7708A">
        <w:rPr>
          <w:rFonts w:ascii="Arial" w:hAnsi="Arial" w:cs="Arial"/>
          <w:sz w:val="22"/>
          <w:szCs w:val="22"/>
          <w:lang w:bidi="en-US"/>
        </w:rPr>
        <w:t xml:space="preserve">Andresen </w:t>
      </w:r>
      <w:r w:rsidRPr="00E7708A">
        <w:rPr>
          <w:rFonts w:ascii="Arial" w:hAnsi="Arial" w:cs="Arial"/>
          <w:i/>
          <w:iCs/>
          <w:sz w:val="22"/>
          <w:szCs w:val="22"/>
          <w:lang w:bidi="en-US"/>
        </w:rPr>
        <w:t xml:space="preserve">et al </w:t>
      </w:r>
      <w:r w:rsidRPr="00E7708A">
        <w:rPr>
          <w:rFonts w:ascii="Arial" w:hAnsi="Arial" w:cs="Arial"/>
          <w:sz w:val="22"/>
          <w:szCs w:val="22"/>
          <w:lang w:bidi="en-US"/>
        </w:rPr>
        <w:t>(200</w:t>
      </w:r>
      <w:r w:rsidR="00941628" w:rsidRPr="00E7708A">
        <w:rPr>
          <w:rFonts w:ascii="Arial" w:hAnsi="Arial" w:cs="Arial"/>
          <w:sz w:val="22"/>
          <w:szCs w:val="22"/>
          <w:lang w:bidi="en-US"/>
        </w:rPr>
        <w:t>0</w:t>
      </w:r>
      <w:r w:rsidRPr="00E7708A">
        <w:rPr>
          <w:rFonts w:ascii="Arial" w:hAnsi="Arial" w:cs="Arial"/>
          <w:sz w:val="22"/>
          <w:szCs w:val="22"/>
          <w:lang w:bidi="en-US"/>
        </w:rPr>
        <w:t xml:space="preserve">) </w:t>
      </w:r>
      <w:r w:rsidR="00622698">
        <w:rPr>
          <w:rFonts w:ascii="Arial" w:hAnsi="Arial" w:cs="Arial"/>
          <w:sz w:val="22"/>
          <w:szCs w:val="22"/>
          <w:lang w:bidi="en-US"/>
        </w:rPr>
        <w:t>argue</w:t>
      </w:r>
      <w:r w:rsidRPr="00E7708A">
        <w:rPr>
          <w:rFonts w:ascii="Arial" w:hAnsi="Arial" w:cs="Arial"/>
          <w:sz w:val="22"/>
          <w:szCs w:val="22"/>
          <w:lang w:bidi="en-US"/>
        </w:rPr>
        <w:t xml:space="preserve"> that in order to correctly deliver evidence base, one must reflect on their learning journey and how their experiences have led to their interpretation of the findings. This statement resonated with me when reflecting on my academic learning, as I noticed myself naturally </w:t>
      </w:r>
      <w:r w:rsidR="00622698">
        <w:rPr>
          <w:rFonts w:ascii="Arial" w:hAnsi="Arial" w:cs="Arial"/>
          <w:sz w:val="22"/>
          <w:szCs w:val="22"/>
          <w:lang w:bidi="en-US"/>
        </w:rPr>
        <w:t>negatively viewing the evidence</w:t>
      </w:r>
      <w:r w:rsidRPr="00E7708A">
        <w:rPr>
          <w:rFonts w:ascii="Arial" w:hAnsi="Arial" w:cs="Arial"/>
          <w:sz w:val="22"/>
          <w:szCs w:val="22"/>
          <w:lang w:bidi="en-US"/>
        </w:rPr>
        <w:t xml:space="preserve"> due to my awareness of </w:t>
      </w:r>
      <w:r w:rsidR="00622698">
        <w:rPr>
          <w:rFonts w:ascii="Arial" w:hAnsi="Arial" w:cs="Arial"/>
          <w:sz w:val="22"/>
          <w:szCs w:val="22"/>
          <w:lang w:bidi="en-US"/>
        </w:rPr>
        <w:t>current</w:t>
      </w:r>
      <w:r w:rsidRPr="00E7708A">
        <w:rPr>
          <w:rFonts w:ascii="Arial" w:hAnsi="Arial" w:cs="Arial"/>
          <w:sz w:val="22"/>
          <w:szCs w:val="22"/>
          <w:lang w:bidi="en-US"/>
        </w:rPr>
        <w:t xml:space="preserve"> healthcare for TGD individuals. This </w:t>
      </w:r>
      <w:r w:rsidR="00622698">
        <w:rPr>
          <w:rFonts w:ascii="Arial" w:hAnsi="Arial" w:cs="Arial"/>
          <w:sz w:val="22"/>
          <w:szCs w:val="22"/>
          <w:lang w:bidi="en-US"/>
        </w:rPr>
        <w:t>means</w:t>
      </w:r>
      <w:r w:rsidRPr="00E7708A">
        <w:rPr>
          <w:rFonts w:ascii="Arial" w:hAnsi="Arial" w:cs="Arial"/>
          <w:sz w:val="22"/>
          <w:szCs w:val="22"/>
          <w:lang w:bidi="en-US"/>
        </w:rPr>
        <w:t xml:space="preserve"> I was viewing each piece of reading as a problem to be solved, which given the personal development plan and application strategy was beneficial. However, I am aware that I should reflect on how much evidence there now is to support TGD in healthcare, and although it isn’t being applied greatly in practice, it is progress to see this as a discussion topic in research. This wasn’t something that was prevalent in my undergraduate degree when I started in 2014, indicating </w:t>
      </w:r>
      <w:r w:rsidR="00622698">
        <w:rPr>
          <w:rFonts w:ascii="Arial" w:hAnsi="Arial" w:cs="Arial"/>
          <w:sz w:val="22"/>
          <w:szCs w:val="22"/>
          <w:lang w:bidi="en-US"/>
        </w:rPr>
        <w:t xml:space="preserve">a </w:t>
      </w:r>
      <w:r w:rsidRPr="00E7708A">
        <w:rPr>
          <w:rFonts w:ascii="Arial" w:hAnsi="Arial" w:cs="Arial"/>
          <w:sz w:val="22"/>
          <w:szCs w:val="22"/>
          <w:lang w:bidi="en-US"/>
        </w:rPr>
        <w:t>change in healthcare perceptions in less than 10 years. Another area I considered when reflecting on the evidence base was clinical governance</w:t>
      </w:r>
      <w:r w:rsidRPr="00E7708A">
        <w:rPr>
          <w:rFonts w:ascii="Arial" w:hAnsi="Arial" w:cs="Arial"/>
          <w:sz w:val="22"/>
          <w:szCs w:val="22"/>
        </w:rPr>
        <w:t xml:space="preserve">, </w:t>
      </w:r>
      <w:proofErr w:type="gramStart"/>
      <w:r w:rsidR="00C51752" w:rsidRPr="00E7708A">
        <w:rPr>
          <w:rFonts w:ascii="Arial" w:hAnsi="Arial" w:cs="Arial"/>
          <w:sz w:val="22"/>
          <w:szCs w:val="22"/>
        </w:rPr>
        <w:t>Cook</w:t>
      </w:r>
      <w:proofErr w:type="gramEnd"/>
      <w:r w:rsidR="00C51752" w:rsidRPr="00E7708A">
        <w:rPr>
          <w:rFonts w:ascii="Arial" w:hAnsi="Arial" w:cs="Arial"/>
          <w:sz w:val="22"/>
          <w:szCs w:val="22"/>
        </w:rPr>
        <w:t xml:space="preserve"> </w:t>
      </w:r>
      <w:r w:rsidR="00C51752" w:rsidRPr="00E7708A">
        <w:rPr>
          <w:rFonts w:ascii="Arial" w:hAnsi="Arial" w:cs="Arial"/>
          <w:i/>
          <w:iCs/>
          <w:sz w:val="22"/>
          <w:szCs w:val="22"/>
        </w:rPr>
        <w:t xml:space="preserve">et </w:t>
      </w:r>
      <w:r w:rsidR="00C51752" w:rsidRPr="00E7708A">
        <w:rPr>
          <w:rFonts w:ascii="Arial" w:hAnsi="Arial" w:cs="Arial"/>
          <w:sz w:val="22"/>
          <w:szCs w:val="22"/>
        </w:rPr>
        <w:t xml:space="preserve">al (1992) </w:t>
      </w:r>
      <w:r w:rsidR="00622698">
        <w:rPr>
          <w:rFonts w:ascii="Arial" w:hAnsi="Arial" w:cs="Arial"/>
          <w:sz w:val="22"/>
          <w:szCs w:val="22"/>
        </w:rPr>
        <w:t>was</w:t>
      </w:r>
      <w:r w:rsidR="00C51752" w:rsidRPr="00E7708A">
        <w:rPr>
          <w:rFonts w:ascii="Arial" w:hAnsi="Arial" w:cs="Arial"/>
          <w:sz w:val="22"/>
          <w:szCs w:val="22"/>
        </w:rPr>
        <w:t xml:space="preserve"> the first to discuss the importance of evidence base as part of clinical </w:t>
      </w:r>
      <w:r w:rsidR="00622698">
        <w:rPr>
          <w:rFonts w:ascii="Arial" w:hAnsi="Arial" w:cs="Arial"/>
          <w:sz w:val="22"/>
          <w:szCs w:val="22"/>
        </w:rPr>
        <w:t>work</w:t>
      </w:r>
      <w:r w:rsidR="00C51752" w:rsidRPr="00E7708A">
        <w:rPr>
          <w:rFonts w:ascii="Arial" w:hAnsi="Arial" w:cs="Arial"/>
          <w:sz w:val="22"/>
          <w:szCs w:val="22"/>
        </w:rPr>
        <w:t xml:space="preserve">. Since then, the demands and expectations of clinical governance and clinical auditing have greatly expanded (Scally and Donaldson 1998; GOV.UK 2021) meaning there is a larger expectation on NHS staff to deliver best </w:t>
      </w:r>
      <w:r w:rsidR="00622698">
        <w:rPr>
          <w:rFonts w:ascii="Arial" w:hAnsi="Arial" w:cs="Arial"/>
          <w:sz w:val="22"/>
          <w:szCs w:val="22"/>
        </w:rPr>
        <w:t>practices</w:t>
      </w:r>
      <w:r w:rsidR="00C51752" w:rsidRPr="00E7708A">
        <w:rPr>
          <w:rFonts w:ascii="Arial" w:hAnsi="Arial" w:cs="Arial"/>
          <w:sz w:val="22"/>
          <w:szCs w:val="22"/>
        </w:rPr>
        <w:t xml:space="preserve"> through research (Cook </w:t>
      </w:r>
      <w:r w:rsidR="00C51752" w:rsidRPr="00E7708A">
        <w:rPr>
          <w:rFonts w:ascii="Arial" w:hAnsi="Arial" w:cs="Arial"/>
          <w:i/>
          <w:iCs/>
          <w:sz w:val="22"/>
          <w:szCs w:val="22"/>
        </w:rPr>
        <w:t>et al</w:t>
      </w:r>
      <w:r w:rsidR="00C51752" w:rsidRPr="00E7708A">
        <w:rPr>
          <w:rFonts w:ascii="Arial" w:hAnsi="Arial" w:cs="Arial"/>
          <w:sz w:val="22"/>
          <w:szCs w:val="22"/>
        </w:rPr>
        <w:t xml:space="preserve"> 1992). </w:t>
      </w:r>
      <w:r w:rsidRPr="00E7708A">
        <w:rPr>
          <w:rFonts w:ascii="Arial" w:hAnsi="Arial" w:cs="Arial"/>
          <w:sz w:val="22"/>
          <w:szCs w:val="22"/>
        </w:rPr>
        <w:t xml:space="preserve"> This has meant more emphasis placed on NHS research, and </w:t>
      </w:r>
      <w:r w:rsidR="00941628" w:rsidRPr="00E7708A">
        <w:rPr>
          <w:rFonts w:ascii="Arial" w:hAnsi="Arial" w:cs="Arial"/>
          <w:sz w:val="22"/>
          <w:szCs w:val="22"/>
        </w:rPr>
        <w:t xml:space="preserve">better generalisation of research findings as it is routed in the workplace. I feel this has benefited me from a ‘self’ lens as it had allowed me to complete this degree but it also benefits all other lenses as Andresen </w:t>
      </w:r>
      <w:r w:rsidR="00941628" w:rsidRPr="00E7708A">
        <w:rPr>
          <w:rFonts w:ascii="Arial" w:hAnsi="Arial" w:cs="Arial"/>
          <w:i/>
          <w:iCs/>
          <w:sz w:val="22"/>
          <w:szCs w:val="22"/>
        </w:rPr>
        <w:t xml:space="preserve">et al </w:t>
      </w:r>
      <w:r w:rsidR="00941628" w:rsidRPr="00E7708A">
        <w:rPr>
          <w:rFonts w:ascii="Arial" w:hAnsi="Arial" w:cs="Arial"/>
          <w:sz w:val="22"/>
          <w:szCs w:val="22"/>
        </w:rPr>
        <w:t xml:space="preserve">(2000) and Cook </w:t>
      </w:r>
      <w:r w:rsidR="00941628" w:rsidRPr="00E7708A">
        <w:rPr>
          <w:rFonts w:ascii="Arial" w:hAnsi="Arial" w:cs="Arial"/>
          <w:i/>
          <w:iCs/>
          <w:sz w:val="22"/>
          <w:szCs w:val="22"/>
        </w:rPr>
        <w:t>et al (</w:t>
      </w:r>
      <w:r w:rsidR="00941628" w:rsidRPr="00E7708A">
        <w:rPr>
          <w:rFonts w:ascii="Arial" w:hAnsi="Arial" w:cs="Arial"/>
          <w:sz w:val="22"/>
          <w:szCs w:val="22"/>
        </w:rPr>
        <w:t>1992) argue research is essential to improving healthcare outcomes.</w:t>
      </w:r>
    </w:p>
    <w:p w14:paraId="526CFB0E" w14:textId="77777777" w:rsidR="00FA5036" w:rsidRPr="00E7708A" w:rsidRDefault="00FA5036" w:rsidP="00E7708A">
      <w:pPr>
        <w:spacing w:line="480" w:lineRule="auto"/>
        <w:jc w:val="both"/>
        <w:rPr>
          <w:rFonts w:ascii="Arial" w:hAnsi="Arial" w:cs="Arial"/>
          <w:sz w:val="22"/>
          <w:szCs w:val="22"/>
        </w:rPr>
      </w:pPr>
    </w:p>
    <w:p w14:paraId="1B7190BE" w14:textId="7A1F634E" w:rsidR="00FC1959" w:rsidRPr="00E7708A" w:rsidRDefault="00FC1959" w:rsidP="00E7708A">
      <w:pPr>
        <w:spacing w:line="480" w:lineRule="auto"/>
        <w:jc w:val="both"/>
        <w:rPr>
          <w:rFonts w:ascii="Arial" w:hAnsi="Arial" w:cs="Arial"/>
          <w:sz w:val="22"/>
          <w:szCs w:val="22"/>
        </w:rPr>
      </w:pPr>
      <w:r w:rsidRPr="00E7708A">
        <w:rPr>
          <w:rFonts w:ascii="Arial" w:hAnsi="Arial" w:cs="Arial"/>
          <w:sz w:val="22"/>
          <w:szCs w:val="22"/>
        </w:rPr>
        <w:lastRenderedPageBreak/>
        <w:t xml:space="preserve">I am developing as an academic researcher, and the broad range of sources used in this essay highlights this, even though there were constraints due to there being very limited research looking at healthcare stigma in the TGD population. The research into this population often uses very small sample sizes or the projects are impacted due to societal stigma around mental health (Testa </w:t>
      </w:r>
      <w:r w:rsidRPr="00E7708A">
        <w:rPr>
          <w:rFonts w:ascii="Arial" w:hAnsi="Arial" w:cs="Arial"/>
          <w:i/>
          <w:iCs/>
          <w:sz w:val="22"/>
          <w:szCs w:val="22"/>
        </w:rPr>
        <w:t>et al</w:t>
      </w:r>
      <w:r w:rsidRPr="00E7708A">
        <w:rPr>
          <w:rFonts w:ascii="Arial" w:hAnsi="Arial" w:cs="Arial"/>
          <w:sz w:val="22"/>
          <w:szCs w:val="22"/>
        </w:rPr>
        <w:t xml:space="preserve"> 2016). This has mean</w:t>
      </w:r>
      <w:r w:rsidR="006C33BD" w:rsidRPr="00E7708A">
        <w:rPr>
          <w:rFonts w:ascii="Arial" w:hAnsi="Arial" w:cs="Arial"/>
          <w:sz w:val="22"/>
          <w:szCs w:val="22"/>
        </w:rPr>
        <w:t>t</w:t>
      </w:r>
      <w:r w:rsidRPr="00E7708A">
        <w:rPr>
          <w:rFonts w:ascii="Arial" w:hAnsi="Arial" w:cs="Arial"/>
          <w:sz w:val="22"/>
          <w:szCs w:val="22"/>
        </w:rPr>
        <w:t xml:space="preserve"> limited accuracy when applying study findings. </w:t>
      </w:r>
      <w:r w:rsidR="00C65C39" w:rsidRPr="00E7708A">
        <w:rPr>
          <w:rFonts w:ascii="Arial" w:hAnsi="Arial" w:cs="Arial"/>
          <w:sz w:val="22"/>
          <w:szCs w:val="22"/>
        </w:rPr>
        <w:t xml:space="preserve">It is also important to highlight the quality of research often found, Oates (2012) highlights that 83% of the evidence within this field </w:t>
      </w:r>
      <w:r w:rsidR="00622698">
        <w:rPr>
          <w:rFonts w:ascii="Arial" w:hAnsi="Arial" w:cs="Arial"/>
          <w:sz w:val="22"/>
          <w:szCs w:val="22"/>
        </w:rPr>
        <w:t>is</w:t>
      </w:r>
      <w:r w:rsidR="00C65C39" w:rsidRPr="00E7708A">
        <w:rPr>
          <w:rFonts w:ascii="Arial" w:hAnsi="Arial" w:cs="Arial"/>
          <w:sz w:val="22"/>
          <w:szCs w:val="22"/>
        </w:rPr>
        <w:t xml:space="preserve"> at the lowest end of the evidence hierarchy, with the other 17% being marginally strong evidence. Therefore, it is important to acknowledge that even though research is </w:t>
      </w:r>
      <w:r w:rsidR="00622698">
        <w:rPr>
          <w:rFonts w:ascii="Arial" w:hAnsi="Arial" w:cs="Arial"/>
          <w:sz w:val="22"/>
          <w:szCs w:val="22"/>
        </w:rPr>
        <w:t>peer-reviewed</w:t>
      </w:r>
      <w:r w:rsidR="00C65C39" w:rsidRPr="00E7708A">
        <w:rPr>
          <w:rFonts w:ascii="Arial" w:hAnsi="Arial" w:cs="Arial"/>
          <w:sz w:val="22"/>
          <w:szCs w:val="22"/>
        </w:rPr>
        <w:t xml:space="preserve">, there is always a bias. This is further argued by Dawes </w:t>
      </w:r>
      <w:r w:rsidR="00C65C39" w:rsidRPr="00E7708A">
        <w:rPr>
          <w:rFonts w:ascii="Arial" w:hAnsi="Arial" w:cs="Arial"/>
          <w:i/>
          <w:iCs/>
          <w:sz w:val="22"/>
          <w:szCs w:val="22"/>
        </w:rPr>
        <w:t>et al</w:t>
      </w:r>
      <w:r w:rsidR="00C65C39" w:rsidRPr="00E7708A">
        <w:rPr>
          <w:rFonts w:ascii="Arial" w:hAnsi="Arial" w:cs="Arial"/>
          <w:sz w:val="22"/>
          <w:szCs w:val="22"/>
        </w:rPr>
        <w:t xml:space="preserve"> (2005) who </w:t>
      </w:r>
      <w:r w:rsidR="00622698">
        <w:rPr>
          <w:rFonts w:ascii="Arial" w:hAnsi="Arial" w:cs="Arial"/>
          <w:sz w:val="22"/>
          <w:szCs w:val="22"/>
        </w:rPr>
        <w:t>state</w:t>
      </w:r>
      <w:r w:rsidR="00C65C39" w:rsidRPr="00E7708A">
        <w:rPr>
          <w:rFonts w:ascii="Arial" w:hAnsi="Arial" w:cs="Arial"/>
          <w:sz w:val="22"/>
          <w:szCs w:val="22"/>
        </w:rPr>
        <w:t xml:space="preserve"> that journals need to publish to survive, and therefore evidence quality can be somewhat skewed by financial gains.</w:t>
      </w:r>
      <w:r w:rsidR="00C51752" w:rsidRPr="00E7708A">
        <w:rPr>
          <w:rFonts w:ascii="Arial" w:hAnsi="Arial" w:cs="Arial"/>
          <w:sz w:val="22"/>
          <w:szCs w:val="22"/>
        </w:rPr>
        <w:t xml:space="preserve"> </w:t>
      </w:r>
      <w:r w:rsidRPr="00E7708A">
        <w:rPr>
          <w:rFonts w:ascii="Arial" w:hAnsi="Arial" w:cs="Arial"/>
          <w:sz w:val="22"/>
          <w:szCs w:val="22"/>
        </w:rPr>
        <w:t>In order to negate this, I have discussed the limitations of the papers within the essay and then talked about how this can still apply to the population such as with papers that focus on TGD youths or those with Autism. I have also used a broader range of sources instead of just looking at articles that answer my question. This has given me a broader range of knowledge sources, which I think over time will mean I am a more well-rounded clinician.</w:t>
      </w:r>
      <w:r w:rsidR="005D2F36" w:rsidRPr="00E7708A">
        <w:rPr>
          <w:rFonts w:ascii="Arial" w:hAnsi="Arial" w:cs="Arial"/>
          <w:sz w:val="22"/>
          <w:szCs w:val="22"/>
        </w:rPr>
        <w:t xml:space="preserve"> </w:t>
      </w:r>
    </w:p>
    <w:p w14:paraId="65A2F35C" w14:textId="375EF61A" w:rsidR="00771F39" w:rsidRPr="00E7708A" w:rsidRDefault="00771F39" w:rsidP="00E7708A">
      <w:pPr>
        <w:spacing w:line="480" w:lineRule="auto"/>
        <w:jc w:val="both"/>
        <w:rPr>
          <w:rFonts w:ascii="Arial" w:hAnsi="Arial" w:cs="Arial"/>
          <w:sz w:val="22"/>
          <w:szCs w:val="22"/>
        </w:rPr>
      </w:pPr>
    </w:p>
    <w:p w14:paraId="51140994" w14:textId="08C04D35" w:rsidR="00771F39" w:rsidRPr="00E7708A" w:rsidRDefault="00771F39" w:rsidP="00E7708A">
      <w:pPr>
        <w:spacing w:line="480" w:lineRule="auto"/>
        <w:jc w:val="both"/>
        <w:rPr>
          <w:rFonts w:ascii="Arial" w:hAnsi="Arial" w:cs="Arial"/>
          <w:sz w:val="22"/>
          <w:szCs w:val="22"/>
        </w:rPr>
      </w:pPr>
    </w:p>
    <w:p w14:paraId="0F3DE2B6" w14:textId="77777777" w:rsidR="00412841" w:rsidRPr="00E7708A" w:rsidRDefault="00412841" w:rsidP="00E7708A">
      <w:pPr>
        <w:spacing w:line="480" w:lineRule="auto"/>
        <w:jc w:val="both"/>
        <w:rPr>
          <w:rFonts w:ascii="Arial" w:hAnsi="Arial" w:cs="Arial"/>
          <w:b/>
          <w:bCs/>
          <w:sz w:val="22"/>
          <w:szCs w:val="22"/>
          <w:u w:val="single"/>
        </w:rPr>
      </w:pPr>
    </w:p>
    <w:p w14:paraId="2189C10E" w14:textId="2131B015" w:rsidR="00C479D1" w:rsidRPr="00E7708A" w:rsidRDefault="00C479D1" w:rsidP="00E7708A">
      <w:pPr>
        <w:spacing w:line="480" w:lineRule="auto"/>
        <w:jc w:val="both"/>
        <w:rPr>
          <w:rFonts w:ascii="Arial" w:hAnsi="Arial" w:cs="Arial"/>
          <w:b/>
          <w:bCs/>
          <w:sz w:val="22"/>
          <w:szCs w:val="22"/>
          <w:u w:val="single"/>
        </w:rPr>
      </w:pPr>
      <w:r w:rsidRPr="00E7708A">
        <w:rPr>
          <w:rFonts w:ascii="Arial" w:hAnsi="Arial" w:cs="Arial"/>
          <w:b/>
          <w:bCs/>
          <w:sz w:val="22"/>
          <w:szCs w:val="22"/>
          <w:u w:val="single"/>
        </w:rPr>
        <w:t>b) Devise a detailed personal development plan which incorporates development objectives, activities to be undertaken, methods, resources review periods</w:t>
      </w:r>
      <w:r w:rsidR="00622698">
        <w:rPr>
          <w:rFonts w:ascii="Arial" w:hAnsi="Arial" w:cs="Arial"/>
          <w:b/>
          <w:bCs/>
          <w:sz w:val="22"/>
          <w:szCs w:val="22"/>
          <w:u w:val="single"/>
        </w:rPr>
        <w:t>,</w:t>
      </w:r>
      <w:r w:rsidRPr="00E7708A">
        <w:rPr>
          <w:rFonts w:ascii="Arial" w:hAnsi="Arial" w:cs="Arial"/>
          <w:b/>
          <w:bCs/>
          <w:sz w:val="22"/>
          <w:szCs w:val="22"/>
          <w:u w:val="single"/>
        </w:rPr>
        <w:t xml:space="preserve"> and timescales.</w:t>
      </w:r>
    </w:p>
    <w:p w14:paraId="65E7EE7A" w14:textId="39B8EFB7" w:rsidR="00C479D1" w:rsidRPr="00E7708A" w:rsidRDefault="00C479D1" w:rsidP="00E7708A">
      <w:pPr>
        <w:spacing w:line="480" w:lineRule="auto"/>
        <w:jc w:val="both"/>
        <w:rPr>
          <w:rFonts w:ascii="Arial" w:hAnsi="Arial" w:cs="Arial"/>
          <w:sz w:val="22"/>
          <w:szCs w:val="22"/>
        </w:rPr>
      </w:pPr>
    </w:p>
    <w:p w14:paraId="55AF15B2" w14:textId="5C70B778" w:rsidR="002222FB" w:rsidRPr="00E7708A" w:rsidRDefault="002222FB" w:rsidP="00E7708A">
      <w:pPr>
        <w:spacing w:line="480" w:lineRule="auto"/>
        <w:jc w:val="both"/>
        <w:rPr>
          <w:rFonts w:ascii="Arial" w:hAnsi="Arial" w:cs="Arial"/>
          <w:noProof/>
          <w:sz w:val="22"/>
          <w:szCs w:val="22"/>
        </w:rPr>
      </w:pPr>
      <w:r w:rsidRPr="00E7708A">
        <w:rPr>
          <w:rFonts w:ascii="Arial" w:hAnsi="Arial" w:cs="Arial"/>
          <w:sz w:val="22"/>
          <w:szCs w:val="22"/>
        </w:rPr>
        <w:t xml:space="preserve">The RCSLT (2003) </w:t>
      </w:r>
      <w:r w:rsidR="00622698">
        <w:rPr>
          <w:rFonts w:ascii="Arial" w:hAnsi="Arial" w:cs="Arial"/>
          <w:sz w:val="22"/>
          <w:szCs w:val="22"/>
        </w:rPr>
        <w:t>advises</w:t>
      </w:r>
      <w:r w:rsidRPr="00E7708A">
        <w:rPr>
          <w:rFonts w:ascii="Arial" w:hAnsi="Arial" w:cs="Arial"/>
          <w:sz w:val="22"/>
          <w:szCs w:val="22"/>
        </w:rPr>
        <w:t xml:space="preserve"> that Personal Development Plans (PDP) link closely to CPD goals that prove ongoing quality improvement. It is suggested that a PDP is developed through a GAP analysis </w:t>
      </w:r>
      <w:r w:rsidRPr="00E7708A">
        <w:rPr>
          <w:rFonts w:ascii="Arial" w:hAnsi="Arial" w:cs="Arial"/>
          <w:noProof/>
          <w:sz w:val="22"/>
          <w:szCs w:val="22"/>
        </w:rPr>
        <w:t xml:space="preserve">(UTFM, 2016). Although I had completed </w:t>
      </w:r>
      <w:r w:rsidR="00622698">
        <w:rPr>
          <w:rFonts w:ascii="Arial" w:hAnsi="Arial" w:cs="Arial"/>
          <w:noProof/>
          <w:sz w:val="22"/>
          <w:szCs w:val="22"/>
        </w:rPr>
        <w:t>PDPs</w:t>
      </w:r>
      <w:r w:rsidRPr="00E7708A">
        <w:rPr>
          <w:rFonts w:ascii="Arial" w:hAnsi="Arial" w:cs="Arial"/>
          <w:noProof/>
          <w:sz w:val="22"/>
          <w:szCs w:val="22"/>
        </w:rPr>
        <w:t xml:space="preserve"> in the past, these had been more informal </w:t>
      </w:r>
      <w:r w:rsidRPr="00E7708A">
        <w:rPr>
          <w:rFonts w:ascii="Arial" w:hAnsi="Arial" w:cs="Arial"/>
          <w:noProof/>
          <w:sz w:val="22"/>
          <w:szCs w:val="22"/>
        </w:rPr>
        <w:lastRenderedPageBreak/>
        <w:t>reflections on things such as how to achieve competence as a newly qualified therapist, or how to get a promotion. In order to guide a more formal PDP</w:t>
      </w:r>
      <w:r w:rsidR="00622698">
        <w:rPr>
          <w:rFonts w:ascii="Arial" w:hAnsi="Arial" w:cs="Arial"/>
          <w:noProof/>
          <w:sz w:val="22"/>
          <w:szCs w:val="22"/>
        </w:rPr>
        <w:t>,</w:t>
      </w:r>
      <w:r w:rsidRPr="00E7708A">
        <w:rPr>
          <w:rFonts w:ascii="Arial" w:hAnsi="Arial" w:cs="Arial"/>
          <w:noProof/>
          <w:sz w:val="22"/>
          <w:szCs w:val="22"/>
        </w:rPr>
        <w:t xml:space="preserve"> I used </w:t>
      </w:r>
      <w:r w:rsidR="00622698">
        <w:rPr>
          <w:rFonts w:ascii="Arial" w:hAnsi="Arial" w:cs="Arial"/>
          <w:noProof/>
          <w:sz w:val="22"/>
          <w:szCs w:val="22"/>
        </w:rPr>
        <w:t>Putter's</w:t>
      </w:r>
      <w:r w:rsidRPr="00E7708A">
        <w:rPr>
          <w:rFonts w:ascii="Arial" w:hAnsi="Arial" w:cs="Arial"/>
          <w:noProof/>
          <w:sz w:val="22"/>
          <w:szCs w:val="22"/>
        </w:rPr>
        <w:t xml:space="preserve"> (2021) </w:t>
      </w:r>
      <w:r w:rsidR="00622698">
        <w:rPr>
          <w:rFonts w:ascii="Arial" w:hAnsi="Arial" w:cs="Arial"/>
          <w:noProof/>
          <w:sz w:val="22"/>
          <w:szCs w:val="22"/>
        </w:rPr>
        <w:t>step-by-step</w:t>
      </w:r>
      <w:r w:rsidRPr="00E7708A">
        <w:rPr>
          <w:rFonts w:ascii="Arial" w:hAnsi="Arial" w:cs="Arial"/>
          <w:noProof/>
          <w:sz w:val="22"/>
          <w:szCs w:val="22"/>
        </w:rPr>
        <w:t xml:space="preserve"> guide. </w:t>
      </w:r>
    </w:p>
    <w:p w14:paraId="01417806" w14:textId="2B716168" w:rsidR="002222FB" w:rsidRPr="00E7708A" w:rsidRDefault="002222FB" w:rsidP="00E7708A">
      <w:pPr>
        <w:spacing w:line="480" w:lineRule="auto"/>
        <w:jc w:val="both"/>
        <w:rPr>
          <w:rFonts w:ascii="Arial" w:hAnsi="Arial" w:cs="Arial"/>
          <w:noProof/>
          <w:sz w:val="22"/>
          <w:szCs w:val="22"/>
        </w:rPr>
      </w:pPr>
    </w:p>
    <w:p w14:paraId="37B28C2D" w14:textId="33BE79E6" w:rsidR="002222FB" w:rsidRPr="00E7708A" w:rsidRDefault="002222FB" w:rsidP="00E7708A">
      <w:pPr>
        <w:spacing w:line="480" w:lineRule="auto"/>
        <w:jc w:val="both"/>
        <w:rPr>
          <w:rFonts w:ascii="Arial" w:hAnsi="Arial" w:cs="Arial"/>
          <w:noProof/>
          <w:sz w:val="22"/>
          <w:szCs w:val="22"/>
          <w:u w:val="single"/>
        </w:rPr>
      </w:pPr>
      <w:r w:rsidRPr="00E7708A">
        <w:rPr>
          <w:rFonts w:ascii="Arial" w:hAnsi="Arial" w:cs="Arial"/>
          <w:noProof/>
          <w:sz w:val="22"/>
          <w:szCs w:val="22"/>
          <w:u w:val="single"/>
        </w:rPr>
        <w:t xml:space="preserve">Why am I doing this course? </w:t>
      </w:r>
      <w:r w:rsidR="00B84D36" w:rsidRPr="00E7708A">
        <w:rPr>
          <w:rFonts w:ascii="Arial" w:hAnsi="Arial" w:cs="Arial"/>
          <w:noProof/>
          <w:sz w:val="22"/>
          <w:szCs w:val="22"/>
          <w:u w:val="single"/>
        </w:rPr>
        <w:t>How does this benefit my development?</w:t>
      </w:r>
    </w:p>
    <w:p w14:paraId="16BA093E" w14:textId="77777777" w:rsidR="002222FB" w:rsidRPr="00E7708A" w:rsidRDefault="002222FB" w:rsidP="00E7708A">
      <w:pPr>
        <w:spacing w:line="480" w:lineRule="auto"/>
        <w:jc w:val="both"/>
        <w:rPr>
          <w:rFonts w:ascii="Arial" w:hAnsi="Arial" w:cs="Arial"/>
          <w:noProof/>
          <w:sz w:val="22"/>
          <w:szCs w:val="22"/>
        </w:rPr>
      </w:pPr>
    </w:p>
    <w:p w14:paraId="4AC3AE9F" w14:textId="20D9BB9D" w:rsidR="002222FB" w:rsidRPr="00E7708A" w:rsidRDefault="002222FB" w:rsidP="00E7708A">
      <w:pPr>
        <w:spacing w:line="480" w:lineRule="auto"/>
        <w:jc w:val="both"/>
        <w:rPr>
          <w:rFonts w:ascii="Arial" w:hAnsi="Arial" w:cs="Arial"/>
          <w:noProof/>
          <w:sz w:val="22"/>
          <w:szCs w:val="22"/>
        </w:rPr>
      </w:pPr>
      <w:r w:rsidRPr="00E7708A">
        <w:rPr>
          <w:rFonts w:ascii="Arial" w:hAnsi="Arial" w:cs="Arial"/>
          <w:noProof/>
          <w:sz w:val="22"/>
          <w:szCs w:val="22"/>
        </w:rPr>
        <w:t>The first area I needed to consider was what my goals</w:t>
      </w:r>
      <w:r w:rsidR="00622698">
        <w:rPr>
          <w:rFonts w:ascii="Arial" w:hAnsi="Arial" w:cs="Arial"/>
          <w:noProof/>
          <w:sz w:val="22"/>
          <w:szCs w:val="22"/>
        </w:rPr>
        <w:t xml:space="preserve"> are</w:t>
      </w:r>
      <w:r w:rsidRPr="00E7708A">
        <w:rPr>
          <w:rFonts w:ascii="Arial" w:hAnsi="Arial" w:cs="Arial"/>
          <w:noProof/>
          <w:sz w:val="22"/>
          <w:szCs w:val="22"/>
        </w:rPr>
        <w:t xml:space="preserve"> and from the above work</w:t>
      </w:r>
      <w:r w:rsidR="00622698">
        <w:rPr>
          <w:rFonts w:ascii="Arial" w:hAnsi="Arial" w:cs="Arial"/>
          <w:noProof/>
          <w:sz w:val="22"/>
          <w:szCs w:val="22"/>
        </w:rPr>
        <w:t>,</w:t>
      </w:r>
      <w:r w:rsidRPr="00E7708A">
        <w:rPr>
          <w:rFonts w:ascii="Arial" w:hAnsi="Arial" w:cs="Arial"/>
          <w:noProof/>
          <w:sz w:val="22"/>
          <w:szCs w:val="22"/>
        </w:rPr>
        <w:t xml:space="preserve"> I have highlighted my goal to be building a more </w:t>
      </w:r>
      <w:r w:rsidR="00622698">
        <w:rPr>
          <w:rFonts w:ascii="Arial" w:hAnsi="Arial" w:cs="Arial"/>
          <w:noProof/>
          <w:sz w:val="22"/>
          <w:szCs w:val="22"/>
        </w:rPr>
        <w:t>person-centered</w:t>
      </w:r>
      <w:r w:rsidRPr="00E7708A">
        <w:rPr>
          <w:rFonts w:ascii="Arial" w:hAnsi="Arial" w:cs="Arial"/>
          <w:noProof/>
          <w:sz w:val="22"/>
          <w:szCs w:val="22"/>
        </w:rPr>
        <w:t xml:space="preserve"> care plan for TGD </w:t>
      </w:r>
      <w:r w:rsidR="00622698">
        <w:rPr>
          <w:rFonts w:ascii="Arial" w:hAnsi="Arial" w:cs="Arial"/>
          <w:noProof/>
          <w:sz w:val="22"/>
          <w:szCs w:val="22"/>
        </w:rPr>
        <w:t>individuals</w:t>
      </w:r>
      <w:r w:rsidRPr="00E7708A">
        <w:rPr>
          <w:rFonts w:ascii="Arial" w:hAnsi="Arial" w:cs="Arial"/>
          <w:noProof/>
          <w:sz w:val="22"/>
          <w:szCs w:val="22"/>
        </w:rPr>
        <w:t xml:space="preserve"> within SLT. This made me reflect on why I am doing this course. I chose to do this course in order to review current NHS practices in relation to TGD healthcare and establish how and why we can better these. I chose it as it allowed for flexibility alongside working full time, </w:t>
      </w:r>
      <w:r w:rsidR="00B84D36" w:rsidRPr="00E7708A">
        <w:rPr>
          <w:rFonts w:ascii="Arial" w:hAnsi="Arial" w:cs="Arial"/>
          <w:noProof/>
          <w:sz w:val="22"/>
          <w:szCs w:val="22"/>
        </w:rPr>
        <w:t xml:space="preserve">and provided a level of independence and </w:t>
      </w:r>
      <w:r w:rsidR="00622698">
        <w:rPr>
          <w:rFonts w:ascii="Arial" w:hAnsi="Arial" w:cs="Arial"/>
          <w:noProof/>
          <w:sz w:val="22"/>
          <w:szCs w:val="22"/>
        </w:rPr>
        <w:t>self-directed</w:t>
      </w:r>
      <w:r w:rsidR="00B84D36" w:rsidRPr="00E7708A">
        <w:rPr>
          <w:rFonts w:ascii="Arial" w:hAnsi="Arial" w:cs="Arial"/>
          <w:noProof/>
          <w:sz w:val="22"/>
          <w:szCs w:val="22"/>
        </w:rPr>
        <w:t xml:space="preserve"> learning that I felt suitable to my learning style. Due to the open nature of the course, I felt this meant I could tailor the teaching to my professional setting and learning needs. I am doing this course to ensure continued development in my lear</w:t>
      </w:r>
      <w:r w:rsidR="00485FE3" w:rsidRPr="00E7708A">
        <w:rPr>
          <w:rFonts w:ascii="Arial" w:hAnsi="Arial" w:cs="Arial"/>
          <w:noProof/>
          <w:sz w:val="22"/>
          <w:szCs w:val="22"/>
        </w:rPr>
        <w:t>ning</w:t>
      </w:r>
      <w:r w:rsidR="00B84D36" w:rsidRPr="00E7708A">
        <w:rPr>
          <w:rFonts w:ascii="Arial" w:hAnsi="Arial" w:cs="Arial"/>
          <w:noProof/>
          <w:sz w:val="22"/>
          <w:szCs w:val="22"/>
        </w:rPr>
        <w:t xml:space="preserve"> around voice, and to improve my service planning and development needs. I </w:t>
      </w:r>
      <w:r w:rsidR="00622698">
        <w:rPr>
          <w:rFonts w:ascii="Arial" w:hAnsi="Arial" w:cs="Arial"/>
          <w:noProof/>
          <w:sz w:val="22"/>
          <w:szCs w:val="22"/>
        </w:rPr>
        <w:t>identified</w:t>
      </w:r>
      <w:r w:rsidR="00B84D36" w:rsidRPr="00E7708A">
        <w:rPr>
          <w:rFonts w:ascii="Arial" w:hAnsi="Arial" w:cs="Arial"/>
          <w:noProof/>
          <w:sz w:val="22"/>
          <w:szCs w:val="22"/>
        </w:rPr>
        <w:t xml:space="preserve"> gaps in my clinical knowledge and felt this course would allow me to close these gaps. </w:t>
      </w:r>
    </w:p>
    <w:p w14:paraId="6C5512C6" w14:textId="77777777" w:rsidR="00B84D36" w:rsidRPr="00E7708A" w:rsidRDefault="00B84D36">
      <w:pPr>
        <w:rPr>
          <w:rFonts w:ascii="Arial" w:hAnsi="Arial" w:cs="Arial"/>
          <w:noProof/>
        </w:rPr>
      </w:pPr>
    </w:p>
    <w:p w14:paraId="1CC7B06F" w14:textId="3DFD8C63" w:rsidR="002222FB" w:rsidRPr="00E7708A" w:rsidRDefault="002222FB">
      <w:pPr>
        <w:rPr>
          <w:rFonts w:ascii="Arial" w:hAnsi="Arial" w:cs="Arial"/>
          <w:noProof/>
        </w:rPr>
      </w:pPr>
    </w:p>
    <w:p w14:paraId="42FF970B" w14:textId="62525C1B" w:rsidR="00D61EF8" w:rsidRPr="00E7708A" w:rsidRDefault="00D61EF8">
      <w:pPr>
        <w:rPr>
          <w:rFonts w:ascii="Arial" w:hAnsi="Arial" w:cs="Arial"/>
          <w:noProof/>
        </w:rPr>
      </w:pPr>
    </w:p>
    <w:p w14:paraId="0CA47338" w14:textId="1BE4E50B" w:rsidR="00D61EF8" w:rsidRPr="00E7708A" w:rsidRDefault="00D61EF8">
      <w:pPr>
        <w:rPr>
          <w:rFonts w:ascii="Arial" w:hAnsi="Arial" w:cs="Arial"/>
          <w:noProof/>
        </w:rPr>
      </w:pPr>
    </w:p>
    <w:p w14:paraId="3733853A" w14:textId="4E8ADEAE" w:rsidR="00D61EF8" w:rsidRPr="00E7708A" w:rsidRDefault="00D61EF8">
      <w:pPr>
        <w:rPr>
          <w:rFonts w:ascii="Arial" w:hAnsi="Arial" w:cs="Arial"/>
          <w:noProof/>
        </w:rPr>
      </w:pPr>
    </w:p>
    <w:p w14:paraId="408DA688" w14:textId="153A89C6" w:rsidR="00D61EF8" w:rsidRPr="00E7708A" w:rsidRDefault="00D61EF8">
      <w:pPr>
        <w:rPr>
          <w:rFonts w:ascii="Arial" w:hAnsi="Arial" w:cs="Arial"/>
          <w:noProof/>
        </w:rPr>
      </w:pPr>
    </w:p>
    <w:p w14:paraId="01C426A8" w14:textId="5D0BB792" w:rsidR="00D61EF8" w:rsidRPr="00E7708A" w:rsidRDefault="00D61EF8">
      <w:pPr>
        <w:rPr>
          <w:rFonts w:ascii="Arial" w:hAnsi="Arial" w:cs="Arial"/>
          <w:noProof/>
        </w:rPr>
      </w:pPr>
    </w:p>
    <w:p w14:paraId="258E5341" w14:textId="601CAEB7" w:rsidR="00D61EF8" w:rsidRPr="00E7708A" w:rsidRDefault="00D61EF8">
      <w:pPr>
        <w:rPr>
          <w:rFonts w:ascii="Arial" w:hAnsi="Arial" w:cs="Arial"/>
          <w:noProof/>
        </w:rPr>
      </w:pPr>
    </w:p>
    <w:p w14:paraId="476794F9" w14:textId="6BCADCE9" w:rsidR="00D61EF8" w:rsidRPr="00E7708A" w:rsidRDefault="00D61EF8">
      <w:pPr>
        <w:rPr>
          <w:rFonts w:ascii="Arial" w:hAnsi="Arial" w:cs="Arial"/>
          <w:noProof/>
        </w:rPr>
      </w:pPr>
    </w:p>
    <w:p w14:paraId="6089C948" w14:textId="20FBCC10" w:rsidR="00D61EF8" w:rsidRPr="00E7708A" w:rsidRDefault="00D61EF8">
      <w:pPr>
        <w:rPr>
          <w:rFonts w:ascii="Arial" w:hAnsi="Arial" w:cs="Arial"/>
          <w:noProof/>
        </w:rPr>
      </w:pPr>
    </w:p>
    <w:p w14:paraId="76D053C8" w14:textId="77777777" w:rsidR="00D61EF8" w:rsidRPr="00E7708A" w:rsidRDefault="00D61EF8">
      <w:pPr>
        <w:rPr>
          <w:rFonts w:ascii="Arial" w:hAnsi="Arial" w:cs="Arial"/>
          <w:noProof/>
        </w:rPr>
      </w:pPr>
    </w:p>
    <w:p w14:paraId="27AE7E2D" w14:textId="6C2B5B56" w:rsidR="002222FB" w:rsidRPr="00E7708A" w:rsidRDefault="002222FB">
      <w:pPr>
        <w:rPr>
          <w:rFonts w:ascii="Arial" w:hAnsi="Arial" w:cs="Arial"/>
          <w:noProof/>
        </w:rPr>
      </w:pPr>
    </w:p>
    <w:p w14:paraId="565BEE06" w14:textId="5872DD62" w:rsidR="002222FB" w:rsidRPr="00E7708A" w:rsidRDefault="002222FB">
      <w:pPr>
        <w:rPr>
          <w:rFonts w:ascii="Arial" w:hAnsi="Arial" w:cs="Arial"/>
          <w:noProof/>
        </w:rPr>
      </w:pPr>
    </w:p>
    <w:p w14:paraId="49A3CB66" w14:textId="2BBED6E1" w:rsidR="003854E8" w:rsidRPr="00E7708A" w:rsidRDefault="003854E8">
      <w:pPr>
        <w:rPr>
          <w:rFonts w:ascii="Arial" w:hAnsi="Arial" w:cs="Arial"/>
          <w:noProof/>
        </w:rPr>
      </w:pPr>
    </w:p>
    <w:p w14:paraId="534652E0" w14:textId="4BE62CBF" w:rsidR="003854E8" w:rsidRPr="00E7708A" w:rsidRDefault="003854E8">
      <w:pPr>
        <w:rPr>
          <w:rFonts w:ascii="Arial" w:hAnsi="Arial" w:cs="Arial"/>
          <w:noProof/>
        </w:rPr>
      </w:pPr>
    </w:p>
    <w:p w14:paraId="584F7F44" w14:textId="7CD23269" w:rsidR="003854E8" w:rsidRPr="00E7708A" w:rsidRDefault="003854E8">
      <w:pPr>
        <w:rPr>
          <w:rFonts w:ascii="Arial" w:hAnsi="Arial" w:cs="Arial"/>
          <w:noProof/>
        </w:rPr>
      </w:pPr>
    </w:p>
    <w:p w14:paraId="26E4D6C3" w14:textId="340FD0FB" w:rsidR="003854E8" w:rsidRPr="00E7708A" w:rsidRDefault="003854E8">
      <w:pPr>
        <w:rPr>
          <w:rFonts w:ascii="Arial" w:hAnsi="Arial" w:cs="Arial"/>
          <w:noProof/>
        </w:rPr>
      </w:pPr>
    </w:p>
    <w:p w14:paraId="5DD0F45D" w14:textId="343B830E" w:rsidR="003854E8" w:rsidRPr="00E7708A" w:rsidRDefault="003854E8">
      <w:pPr>
        <w:rPr>
          <w:rFonts w:ascii="Arial" w:hAnsi="Arial" w:cs="Arial"/>
          <w:noProof/>
        </w:rPr>
      </w:pPr>
    </w:p>
    <w:p w14:paraId="6A1F7FCF" w14:textId="426B547F" w:rsidR="002902F6" w:rsidRPr="00E7708A" w:rsidRDefault="002902F6">
      <w:pPr>
        <w:rPr>
          <w:rFonts w:ascii="Arial" w:hAnsi="Arial" w:cs="Arial"/>
          <w:noProof/>
        </w:rPr>
      </w:pPr>
      <w:r w:rsidRPr="00E7708A">
        <w:rPr>
          <w:rFonts w:ascii="Arial" w:hAnsi="Arial" w:cs="Arial"/>
          <w:noProof/>
        </w:rPr>
        <w:br w:type="page"/>
      </w:r>
    </w:p>
    <w:p w14:paraId="2A955DD0" w14:textId="77777777" w:rsidR="003854E8" w:rsidRPr="00E7708A" w:rsidRDefault="003854E8">
      <w:pPr>
        <w:rPr>
          <w:rFonts w:ascii="Arial" w:hAnsi="Arial" w:cs="Arial"/>
          <w:noProof/>
        </w:rPr>
      </w:pPr>
    </w:p>
    <w:p w14:paraId="3868A772" w14:textId="21EC9E3A" w:rsidR="002222FB" w:rsidRDefault="002222FB"/>
    <w:tbl>
      <w:tblPr>
        <w:tblStyle w:val="TableGrid"/>
        <w:tblW w:w="0" w:type="auto"/>
        <w:tblLook w:val="04A0" w:firstRow="1" w:lastRow="0" w:firstColumn="1" w:lastColumn="0" w:noHBand="0" w:noVBand="1"/>
      </w:tblPr>
      <w:tblGrid>
        <w:gridCol w:w="3116"/>
        <w:gridCol w:w="3117"/>
        <w:gridCol w:w="3117"/>
      </w:tblGrid>
      <w:tr w:rsidR="002222FB" w:rsidRPr="00E7708A" w14:paraId="70D33296" w14:textId="77777777" w:rsidTr="002222FB">
        <w:tc>
          <w:tcPr>
            <w:tcW w:w="3116" w:type="dxa"/>
          </w:tcPr>
          <w:p w14:paraId="5D085938" w14:textId="05A9D706" w:rsidR="002222FB" w:rsidRPr="00E7708A" w:rsidRDefault="002222FB" w:rsidP="00E7708A">
            <w:pPr>
              <w:spacing w:line="360" w:lineRule="auto"/>
              <w:rPr>
                <w:rFonts w:ascii="Arial" w:hAnsi="Arial" w:cs="Arial"/>
                <w:sz w:val="22"/>
                <w:szCs w:val="22"/>
              </w:rPr>
            </w:pPr>
            <w:r w:rsidRPr="00E7708A">
              <w:rPr>
                <w:rFonts w:ascii="Arial" w:hAnsi="Arial" w:cs="Arial"/>
                <w:sz w:val="22"/>
                <w:szCs w:val="22"/>
              </w:rPr>
              <w:t>Development Area</w:t>
            </w:r>
          </w:p>
        </w:tc>
        <w:tc>
          <w:tcPr>
            <w:tcW w:w="3117" w:type="dxa"/>
          </w:tcPr>
          <w:p w14:paraId="2453B0C8" w14:textId="2F4834AF" w:rsidR="002222FB" w:rsidRPr="00E7708A" w:rsidRDefault="002222FB" w:rsidP="00E7708A">
            <w:pPr>
              <w:spacing w:line="360" w:lineRule="auto"/>
              <w:rPr>
                <w:rFonts w:ascii="Arial" w:hAnsi="Arial" w:cs="Arial"/>
                <w:sz w:val="22"/>
                <w:szCs w:val="22"/>
              </w:rPr>
            </w:pPr>
            <w:r w:rsidRPr="00E7708A">
              <w:rPr>
                <w:rFonts w:ascii="Arial" w:hAnsi="Arial" w:cs="Arial"/>
                <w:sz w:val="22"/>
                <w:szCs w:val="22"/>
              </w:rPr>
              <w:t>Action</w:t>
            </w:r>
          </w:p>
        </w:tc>
        <w:tc>
          <w:tcPr>
            <w:tcW w:w="3117" w:type="dxa"/>
          </w:tcPr>
          <w:p w14:paraId="39B1B0AA" w14:textId="52D11254" w:rsidR="002222FB" w:rsidRPr="00E7708A" w:rsidRDefault="002222FB" w:rsidP="00E7708A">
            <w:pPr>
              <w:spacing w:line="360" w:lineRule="auto"/>
              <w:rPr>
                <w:rFonts w:ascii="Arial" w:hAnsi="Arial" w:cs="Arial"/>
                <w:sz w:val="22"/>
                <w:szCs w:val="22"/>
              </w:rPr>
            </w:pPr>
            <w:r w:rsidRPr="00E7708A">
              <w:rPr>
                <w:rFonts w:ascii="Arial" w:hAnsi="Arial" w:cs="Arial"/>
                <w:sz w:val="22"/>
                <w:szCs w:val="22"/>
              </w:rPr>
              <w:t>Timescale</w:t>
            </w:r>
          </w:p>
        </w:tc>
      </w:tr>
      <w:tr w:rsidR="008A227A" w:rsidRPr="00E7708A" w14:paraId="7DB5A3AB" w14:textId="77777777" w:rsidTr="002222FB">
        <w:tc>
          <w:tcPr>
            <w:tcW w:w="3116" w:type="dxa"/>
          </w:tcPr>
          <w:p w14:paraId="4B8FEE14" w14:textId="0642ED51" w:rsidR="008A227A" w:rsidRPr="00E7708A" w:rsidRDefault="008A227A" w:rsidP="00E7708A">
            <w:pPr>
              <w:pStyle w:val="ListParagraph"/>
              <w:numPr>
                <w:ilvl w:val="0"/>
                <w:numId w:val="4"/>
              </w:numPr>
              <w:spacing w:line="360" w:lineRule="auto"/>
              <w:rPr>
                <w:rFonts w:ascii="Arial" w:hAnsi="Arial" w:cs="Arial"/>
                <w:sz w:val="22"/>
                <w:szCs w:val="22"/>
              </w:rPr>
            </w:pPr>
            <w:r w:rsidRPr="00E7708A">
              <w:rPr>
                <w:rFonts w:ascii="Arial" w:hAnsi="Arial" w:cs="Arial"/>
                <w:sz w:val="22"/>
                <w:szCs w:val="22"/>
              </w:rPr>
              <w:t xml:space="preserve">Continue to educate myself </w:t>
            </w:r>
          </w:p>
        </w:tc>
        <w:tc>
          <w:tcPr>
            <w:tcW w:w="3117" w:type="dxa"/>
          </w:tcPr>
          <w:p w14:paraId="77BD00DB" w14:textId="77777777" w:rsidR="008A227A" w:rsidRPr="00E7708A" w:rsidRDefault="008A227A" w:rsidP="00E7708A">
            <w:pPr>
              <w:pStyle w:val="ListParagraph"/>
              <w:numPr>
                <w:ilvl w:val="0"/>
                <w:numId w:val="5"/>
              </w:numPr>
              <w:spacing w:line="360" w:lineRule="auto"/>
              <w:rPr>
                <w:rFonts w:ascii="Arial" w:hAnsi="Arial" w:cs="Arial"/>
                <w:sz w:val="22"/>
                <w:szCs w:val="22"/>
              </w:rPr>
            </w:pPr>
            <w:r w:rsidRPr="00E7708A">
              <w:rPr>
                <w:rFonts w:ascii="Arial" w:hAnsi="Arial" w:cs="Arial"/>
                <w:sz w:val="22"/>
                <w:szCs w:val="22"/>
              </w:rPr>
              <w:t>Expand my research on the topic areas discussed in this essay</w:t>
            </w:r>
          </w:p>
          <w:p w14:paraId="412B6B9B" w14:textId="77777777" w:rsidR="002F1D51" w:rsidRPr="00E7708A" w:rsidRDefault="002F1D51" w:rsidP="00E7708A">
            <w:pPr>
              <w:pStyle w:val="ListParagraph"/>
              <w:numPr>
                <w:ilvl w:val="0"/>
                <w:numId w:val="5"/>
              </w:numPr>
              <w:spacing w:line="360" w:lineRule="auto"/>
              <w:rPr>
                <w:rFonts w:ascii="Arial" w:hAnsi="Arial" w:cs="Arial"/>
                <w:sz w:val="22"/>
                <w:szCs w:val="22"/>
              </w:rPr>
            </w:pPr>
            <w:r w:rsidRPr="00E7708A">
              <w:rPr>
                <w:rFonts w:ascii="Arial" w:hAnsi="Arial" w:cs="Arial"/>
                <w:sz w:val="22"/>
                <w:szCs w:val="22"/>
              </w:rPr>
              <w:t xml:space="preserve">Research available education courses for myself </w:t>
            </w:r>
          </w:p>
          <w:p w14:paraId="5CCE5F8C" w14:textId="6F2055A0" w:rsidR="002F1D51" w:rsidRPr="00E7708A" w:rsidRDefault="002F1D51" w:rsidP="00E7708A">
            <w:pPr>
              <w:pStyle w:val="ListParagraph"/>
              <w:numPr>
                <w:ilvl w:val="0"/>
                <w:numId w:val="5"/>
              </w:numPr>
              <w:spacing w:line="360" w:lineRule="auto"/>
              <w:rPr>
                <w:rFonts w:ascii="Arial" w:hAnsi="Arial" w:cs="Arial"/>
                <w:sz w:val="22"/>
                <w:szCs w:val="22"/>
              </w:rPr>
            </w:pPr>
            <w:r w:rsidRPr="00E7708A">
              <w:rPr>
                <w:rFonts w:ascii="Arial" w:hAnsi="Arial" w:cs="Arial"/>
                <w:sz w:val="22"/>
                <w:szCs w:val="22"/>
              </w:rPr>
              <w:t>Link in with trans aid Cymru and gender</w:t>
            </w:r>
            <w:r w:rsidR="00D61EF8" w:rsidRPr="00E7708A">
              <w:rPr>
                <w:rFonts w:ascii="Arial" w:hAnsi="Arial" w:cs="Arial"/>
                <w:sz w:val="22"/>
                <w:szCs w:val="22"/>
              </w:rPr>
              <w:t xml:space="preserve">ed </w:t>
            </w:r>
            <w:r w:rsidRPr="00E7708A">
              <w:rPr>
                <w:rFonts w:ascii="Arial" w:hAnsi="Arial" w:cs="Arial"/>
                <w:sz w:val="22"/>
                <w:szCs w:val="22"/>
              </w:rPr>
              <w:t>intelligence to look at training packages</w:t>
            </w:r>
          </w:p>
          <w:p w14:paraId="6BAD5A57" w14:textId="7D10B211" w:rsidR="00D61EF8" w:rsidRPr="00E7708A" w:rsidRDefault="00D61EF8" w:rsidP="00E7708A">
            <w:pPr>
              <w:pStyle w:val="ListParagraph"/>
              <w:numPr>
                <w:ilvl w:val="0"/>
                <w:numId w:val="5"/>
              </w:numPr>
              <w:spacing w:line="360" w:lineRule="auto"/>
              <w:rPr>
                <w:rFonts w:ascii="Arial" w:hAnsi="Arial" w:cs="Arial"/>
                <w:sz w:val="22"/>
                <w:szCs w:val="22"/>
              </w:rPr>
            </w:pPr>
            <w:r w:rsidRPr="00E7708A">
              <w:rPr>
                <w:rFonts w:ascii="Arial" w:hAnsi="Arial" w:cs="Arial"/>
                <w:sz w:val="22"/>
                <w:szCs w:val="22"/>
              </w:rPr>
              <w:t>Attend Gendered intelligence training</w:t>
            </w:r>
            <w:r w:rsidR="00FC1959" w:rsidRPr="00E7708A">
              <w:rPr>
                <w:rFonts w:ascii="Arial" w:hAnsi="Arial" w:cs="Arial"/>
                <w:sz w:val="22"/>
                <w:szCs w:val="22"/>
              </w:rPr>
              <w:t>.</w:t>
            </w:r>
          </w:p>
        </w:tc>
        <w:tc>
          <w:tcPr>
            <w:tcW w:w="3117" w:type="dxa"/>
          </w:tcPr>
          <w:p w14:paraId="106E2BD1" w14:textId="77777777" w:rsidR="008A227A" w:rsidRPr="00E7708A" w:rsidRDefault="002F1D51" w:rsidP="00E7708A">
            <w:pPr>
              <w:spacing w:line="360" w:lineRule="auto"/>
              <w:rPr>
                <w:rFonts w:ascii="Arial" w:hAnsi="Arial" w:cs="Arial"/>
                <w:sz w:val="22"/>
                <w:szCs w:val="22"/>
              </w:rPr>
            </w:pPr>
            <w:r w:rsidRPr="00E7708A">
              <w:rPr>
                <w:rFonts w:ascii="Arial" w:hAnsi="Arial" w:cs="Arial"/>
                <w:sz w:val="22"/>
                <w:szCs w:val="22"/>
              </w:rPr>
              <w:t>To be completed by the WBL 30 credit module</w:t>
            </w:r>
          </w:p>
          <w:p w14:paraId="53AC79E0" w14:textId="77777777" w:rsidR="00FC1959" w:rsidRPr="00E7708A" w:rsidRDefault="00FC1959" w:rsidP="00E7708A">
            <w:pPr>
              <w:spacing w:line="360" w:lineRule="auto"/>
              <w:rPr>
                <w:rFonts w:ascii="Arial" w:hAnsi="Arial" w:cs="Arial"/>
                <w:sz w:val="22"/>
                <w:szCs w:val="22"/>
              </w:rPr>
            </w:pPr>
          </w:p>
          <w:p w14:paraId="2D6031FB" w14:textId="77777777" w:rsidR="00FC1959" w:rsidRPr="00E7708A" w:rsidRDefault="00FC1959" w:rsidP="00E7708A">
            <w:pPr>
              <w:spacing w:line="360" w:lineRule="auto"/>
              <w:rPr>
                <w:rFonts w:ascii="Arial" w:hAnsi="Arial" w:cs="Arial"/>
                <w:sz w:val="22"/>
                <w:szCs w:val="22"/>
              </w:rPr>
            </w:pPr>
          </w:p>
          <w:p w14:paraId="2D4D7107" w14:textId="77777777" w:rsidR="00FC1959" w:rsidRPr="00E7708A" w:rsidRDefault="00FC1959" w:rsidP="00E7708A">
            <w:pPr>
              <w:spacing w:line="360" w:lineRule="auto"/>
              <w:rPr>
                <w:rFonts w:ascii="Arial" w:hAnsi="Arial" w:cs="Arial"/>
                <w:sz w:val="22"/>
                <w:szCs w:val="22"/>
              </w:rPr>
            </w:pPr>
          </w:p>
          <w:p w14:paraId="086AB79C" w14:textId="77777777" w:rsidR="00FC1959" w:rsidRPr="00E7708A" w:rsidRDefault="00FC1959" w:rsidP="00E7708A">
            <w:pPr>
              <w:spacing w:line="360" w:lineRule="auto"/>
              <w:rPr>
                <w:rFonts w:ascii="Arial" w:hAnsi="Arial" w:cs="Arial"/>
                <w:sz w:val="22"/>
                <w:szCs w:val="22"/>
              </w:rPr>
            </w:pPr>
          </w:p>
          <w:p w14:paraId="41CAE24D" w14:textId="77777777" w:rsidR="00FC1959" w:rsidRPr="00E7708A" w:rsidRDefault="00FC1959" w:rsidP="00E7708A">
            <w:pPr>
              <w:spacing w:line="360" w:lineRule="auto"/>
              <w:rPr>
                <w:rFonts w:ascii="Arial" w:hAnsi="Arial" w:cs="Arial"/>
                <w:sz w:val="22"/>
                <w:szCs w:val="22"/>
              </w:rPr>
            </w:pPr>
          </w:p>
          <w:p w14:paraId="2232A271" w14:textId="77777777" w:rsidR="00FC1959" w:rsidRPr="00E7708A" w:rsidRDefault="00FC1959" w:rsidP="00E7708A">
            <w:pPr>
              <w:spacing w:line="360" w:lineRule="auto"/>
              <w:rPr>
                <w:rFonts w:ascii="Arial" w:hAnsi="Arial" w:cs="Arial"/>
                <w:sz w:val="22"/>
                <w:szCs w:val="22"/>
              </w:rPr>
            </w:pPr>
          </w:p>
          <w:p w14:paraId="74E471DC" w14:textId="77777777" w:rsidR="00FC1959" w:rsidRPr="00E7708A" w:rsidRDefault="00FC1959" w:rsidP="00E7708A">
            <w:pPr>
              <w:spacing w:line="360" w:lineRule="auto"/>
              <w:rPr>
                <w:rFonts w:ascii="Arial" w:hAnsi="Arial" w:cs="Arial"/>
                <w:sz w:val="22"/>
                <w:szCs w:val="22"/>
              </w:rPr>
            </w:pPr>
          </w:p>
          <w:p w14:paraId="425AD96C" w14:textId="77777777" w:rsidR="00FC1959" w:rsidRPr="00E7708A" w:rsidRDefault="00FC1959" w:rsidP="00E7708A">
            <w:pPr>
              <w:spacing w:line="360" w:lineRule="auto"/>
              <w:rPr>
                <w:rFonts w:ascii="Arial" w:hAnsi="Arial" w:cs="Arial"/>
                <w:sz w:val="22"/>
                <w:szCs w:val="22"/>
              </w:rPr>
            </w:pPr>
          </w:p>
          <w:p w14:paraId="531CF9B7" w14:textId="77777777" w:rsidR="003854E8" w:rsidRPr="00E7708A" w:rsidRDefault="003854E8" w:rsidP="00E7708A">
            <w:pPr>
              <w:spacing w:line="360" w:lineRule="auto"/>
              <w:rPr>
                <w:rFonts w:ascii="Arial" w:hAnsi="Arial" w:cs="Arial"/>
                <w:sz w:val="22"/>
                <w:szCs w:val="22"/>
              </w:rPr>
            </w:pPr>
          </w:p>
          <w:p w14:paraId="746FBD14" w14:textId="55770C3A" w:rsidR="00FC1959" w:rsidRPr="00E7708A" w:rsidRDefault="00FC1959" w:rsidP="00E7708A">
            <w:pPr>
              <w:spacing w:line="360" w:lineRule="auto"/>
              <w:rPr>
                <w:rFonts w:ascii="Arial" w:hAnsi="Arial" w:cs="Arial"/>
                <w:sz w:val="22"/>
                <w:szCs w:val="22"/>
              </w:rPr>
            </w:pPr>
            <w:r w:rsidRPr="00E7708A">
              <w:rPr>
                <w:rFonts w:ascii="Arial" w:hAnsi="Arial" w:cs="Arial"/>
                <w:sz w:val="22"/>
                <w:szCs w:val="22"/>
              </w:rPr>
              <w:t>10 May 2022</w:t>
            </w:r>
          </w:p>
        </w:tc>
      </w:tr>
      <w:tr w:rsidR="002222FB" w:rsidRPr="00E7708A" w14:paraId="624B5E9B" w14:textId="77777777" w:rsidTr="002222FB">
        <w:tc>
          <w:tcPr>
            <w:tcW w:w="3116" w:type="dxa"/>
          </w:tcPr>
          <w:p w14:paraId="7148939C" w14:textId="3BE96E14" w:rsidR="002222FB" w:rsidRPr="00E7708A" w:rsidRDefault="00362434" w:rsidP="00E7708A">
            <w:pPr>
              <w:pStyle w:val="ListParagraph"/>
              <w:numPr>
                <w:ilvl w:val="0"/>
                <w:numId w:val="4"/>
              </w:numPr>
              <w:spacing w:line="360" w:lineRule="auto"/>
              <w:rPr>
                <w:rFonts w:ascii="Arial" w:hAnsi="Arial" w:cs="Arial"/>
                <w:sz w:val="22"/>
                <w:szCs w:val="22"/>
              </w:rPr>
            </w:pPr>
            <w:r w:rsidRPr="00E7708A">
              <w:rPr>
                <w:rFonts w:ascii="Arial" w:hAnsi="Arial" w:cs="Arial"/>
                <w:sz w:val="22"/>
                <w:szCs w:val="22"/>
              </w:rPr>
              <w:t>Further educate the MDT</w:t>
            </w:r>
          </w:p>
        </w:tc>
        <w:tc>
          <w:tcPr>
            <w:tcW w:w="3117" w:type="dxa"/>
          </w:tcPr>
          <w:p w14:paraId="1D02AE35" w14:textId="714C29A4" w:rsidR="002F1D51" w:rsidRPr="00E7708A" w:rsidRDefault="002F1D51" w:rsidP="00E7708A">
            <w:pPr>
              <w:pStyle w:val="ListParagraph"/>
              <w:numPr>
                <w:ilvl w:val="0"/>
                <w:numId w:val="8"/>
              </w:numPr>
              <w:spacing w:line="360" w:lineRule="auto"/>
              <w:rPr>
                <w:rFonts w:ascii="Arial" w:hAnsi="Arial" w:cs="Arial"/>
                <w:sz w:val="22"/>
                <w:szCs w:val="22"/>
              </w:rPr>
            </w:pPr>
            <w:r w:rsidRPr="00E7708A">
              <w:rPr>
                <w:rFonts w:ascii="Arial" w:hAnsi="Arial" w:cs="Arial"/>
                <w:sz w:val="22"/>
                <w:szCs w:val="22"/>
              </w:rPr>
              <w:t>speak to stakeholders and 3</w:t>
            </w:r>
            <w:r w:rsidRPr="00E7708A">
              <w:rPr>
                <w:rFonts w:ascii="Arial" w:hAnsi="Arial" w:cs="Arial"/>
                <w:sz w:val="22"/>
                <w:szCs w:val="22"/>
                <w:vertAlign w:val="superscript"/>
              </w:rPr>
              <w:t>rd</w:t>
            </w:r>
            <w:r w:rsidRPr="00E7708A">
              <w:rPr>
                <w:rFonts w:ascii="Arial" w:hAnsi="Arial" w:cs="Arial"/>
                <w:sz w:val="22"/>
                <w:szCs w:val="22"/>
              </w:rPr>
              <w:t xml:space="preserve"> sector colleagues about the gaps in knowledge</w:t>
            </w:r>
          </w:p>
          <w:p w14:paraId="1F9554EC" w14:textId="77777777" w:rsidR="00FC1959" w:rsidRPr="00E7708A" w:rsidRDefault="00FC1959" w:rsidP="00E7708A">
            <w:pPr>
              <w:pStyle w:val="ListParagraph"/>
              <w:numPr>
                <w:ilvl w:val="0"/>
                <w:numId w:val="8"/>
              </w:numPr>
              <w:spacing w:line="360" w:lineRule="auto"/>
              <w:rPr>
                <w:rFonts w:ascii="Arial" w:hAnsi="Arial" w:cs="Arial"/>
                <w:sz w:val="22"/>
                <w:szCs w:val="22"/>
              </w:rPr>
            </w:pPr>
            <w:r w:rsidRPr="00E7708A">
              <w:rPr>
                <w:rFonts w:ascii="Arial" w:hAnsi="Arial" w:cs="Arial"/>
                <w:sz w:val="22"/>
                <w:szCs w:val="22"/>
              </w:rPr>
              <w:t>Discuss my findings with the MDT.</w:t>
            </w:r>
          </w:p>
          <w:p w14:paraId="0E54724B" w14:textId="77777777" w:rsidR="00FC1959" w:rsidRPr="00E7708A" w:rsidRDefault="00362434" w:rsidP="00E7708A">
            <w:pPr>
              <w:pStyle w:val="ListParagraph"/>
              <w:numPr>
                <w:ilvl w:val="0"/>
                <w:numId w:val="8"/>
              </w:numPr>
              <w:spacing w:line="360" w:lineRule="auto"/>
              <w:rPr>
                <w:rFonts w:ascii="Arial" w:hAnsi="Arial" w:cs="Arial"/>
                <w:sz w:val="22"/>
                <w:szCs w:val="22"/>
              </w:rPr>
            </w:pPr>
            <w:r w:rsidRPr="00E7708A">
              <w:rPr>
                <w:rFonts w:ascii="Arial" w:hAnsi="Arial" w:cs="Arial"/>
                <w:sz w:val="22"/>
                <w:szCs w:val="22"/>
              </w:rPr>
              <w:t>Design an education packet based on my learning</w:t>
            </w:r>
          </w:p>
          <w:p w14:paraId="62E87842" w14:textId="2FE20E89" w:rsidR="00362434" w:rsidRPr="00E7708A" w:rsidRDefault="00362434" w:rsidP="00E7708A">
            <w:pPr>
              <w:pStyle w:val="ListParagraph"/>
              <w:numPr>
                <w:ilvl w:val="0"/>
                <w:numId w:val="8"/>
              </w:numPr>
              <w:spacing w:line="360" w:lineRule="auto"/>
              <w:rPr>
                <w:rFonts w:ascii="Arial" w:hAnsi="Arial" w:cs="Arial"/>
                <w:sz w:val="22"/>
                <w:szCs w:val="22"/>
              </w:rPr>
            </w:pPr>
            <w:r w:rsidRPr="00E7708A">
              <w:rPr>
                <w:rFonts w:ascii="Arial" w:hAnsi="Arial" w:cs="Arial"/>
                <w:sz w:val="22"/>
                <w:szCs w:val="22"/>
              </w:rPr>
              <w:t>Identify appropriate MDT members to trial with and give feedback</w:t>
            </w:r>
          </w:p>
          <w:p w14:paraId="0853AFE7" w14:textId="07CB2A34" w:rsidR="00362434" w:rsidRPr="00E7708A" w:rsidRDefault="00362434" w:rsidP="00E7708A">
            <w:pPr>
              <w:pStyle w:val="ListParagraph"/>
              <w:numPr>
                <w:ilvl w:val="0"/>
                <w:numId w:val="5"/>
              </w:numPr>
              <w:spacing w:line="360" w:lineRule="auto"/>
              <w:rPr>
                <w:rFonts w:ascii="Arial" w:hAnsi="Arial" w:cs="Arial"/>
                <w:sz w:val="22"/>
                <w:szCs w:val="22"/>
              </w:rPr>
            </w:pPr>
            <w:r w:rsidRPr="00E7708A">
              <w:rPr>
                <w:rFonts w:ascii="Arial" w:hAnsi="Arial" w:cs="Arial"/>
                <w:sz w:val="22"/>
                <w:szCs w:val="22"/>
              </w:rPr>
              <w:t xml:space="preserve">Refine packet into online training </w:t>
            </w:r>
          </w:p>
        </w:tc>
        <w:tc>
          <w:tcPr>
            <w:tcW w:w="3117" w:type="dxa"/>
          </w:tcPr>
          <w:p w14:paraId="0D8FD782" w14:textId="6C4C3BC2" w:rsidR="002222FB" w:rsidRPr="00E7708A" w:rsidRDefault="002F1D51" w:rsidP="00E7708A">
            <w:pPr>
              <w:spacing w:line="360" w:lineRule="auto"/>
              <w:rPr>
                <w:rFonts w:ascii="Arial" w:hAnsi="Arial" w:cs="Arial"/>
                <w:sz w:val="22"/>
                <w:szCs w:val="22"/>
              </w:rPr>
            </w:pPr>
            <w:r w:rsidRPr="00E7708A">
              <w:rPr>
                <w:rFonts w:ascii="Arial" w:hAnsi="Arial" w:cs="Arial"/>
                <w:sz w:val="22"/>
                <w:szCs w:val="22"/>
              </w:rPr>
              <w:t>Ongoing - TBC</w:t>
            </w:r>
          </w:p>
        </w:tc>
      </w:tr>
      <w:tr w:rsidR="002222FB" w:rsidRPr="00E7708A" w14:paraId="543DAA10" w14:textId="77777777" w:rsidTr="002222FB">
        <w:tc>
          <w:tcPr>
            <w:tcW w:w="3116" w:type="dxa"/>
          </w:tcPr>
          <w:p w14:paraId="00794BFC" w14:textId="2FF9E6E0" w:rsidR="002222FB" w:rsidRPr="00E7708A" w:rsidRDefault="00AC2456" w:rsidP="00E7708A">
            <w:pPr>
              <w:pStyle w:val="ListParagraph"/>
              <w:numPr>
                <w:ilvl w:val="0"/>
                <w:numId w:val="4"/>
              </w:numPr>
              <w:spacing w:line="360" w:lineRule="auto"/>
              <w:rPr>
                <w:rFonts w:ascii="Arial" w:hAnsi="Arial" w:cs="Arial"/>
                <w:sz w:val="22"/>
                <w:szCs w:val="22"/>
              </w:rPr>
            </w:pPr>
            <w:r w:rsidRPr="00E7708A">
              <w:rPr>
                <w:rFonts w:ascii="Arial" w:hAnsi="Arial" w:cs="Arial"/>
                <w:sz w:val="22"/>
                <w:szCs w:val="22"/>
              </w:rPr>
              <w:t xml:space="preserve">Further refine my therapy pathway </w:t>
            </w:r>
            <w:r w:rsidRPr="00E7708A">
              <w:rPr>
                <w:rFonts w:ascii="Arial" w:hAnsi="Arial" w:cs="Arial"/>
                <w:sz w:val="22"/>
                <w:szCs w:val="22"/>
              </w:rPr>
              <w:lastRenderedPageBreak/>
              <w:t>based on the above learning</w:t>
            </w:r>
          </w:p>
        </w:tc>
        <w:tc>
          <w:tcPr>
            <w:tcW w:w="3117" w:type="dxa"/>
          </w:tcPr>
          <w:p w14:paraId="3BD22C5D" w14:textId="77777777" w:rsidR="002222FB" w:rsidRPr="00E7708A" w:rsidRDefault="00AC2456" w:rsidP="00E7708A">
            <w:pPr>
              <w:pStyle w:val="ListParagraph"/>
              <w:numPr>
                <w:ilvl w:val="0"/>
                <w:numId w:val="6"/>
              </w:numPr>
              <w:spacing w:line="360" w:lineRule="auto"/>
              <w:rPr>
                <w:rFonts w:ascii="Arial" w:hAnsi="Arial" w:cs="Arial"/>
                <w:sz w:val="22"/>
                <w:szCs w:val="22"/>
              </w:rPr>
            </w:pPr>
            <w:r w:rsidRPr="00E7708A">
              <w:rPr>
                <w:rFonts w:ascii="Arial" w:hAnsi="Arial" w:cs="Arial"/>
                <w:sz w:val="22"/>
                <w:szCs w:val="22"/>
              </w:rPr>
              <w:lastRenderedPageBreak/>
              <w:t>Consolidate the above into an audit format</w:t>
            </w:r>
          </w:p>
          <w:p w14:paraId="4864B6B2" w14:textId="5BFF2E01" w:rsidR="00AC2456" w:rsidRPr="00E7708A" w:rsidRDefault="00AC2456" w:rsidP="00E7708A">
            <w:pPr>
              <w:pStyle w:val="ListParagraph"/>
              <w:numPr>
                <w:ilvl w:val="0"/>
                <w:numId w:val="6"/>
              </w:numPr>
              <w:spacing w:line="360" w:lineRule="auto"/>
              <w:rPr>
                <w:rFonts w:ascii="Arial" w:hAnsi="Arial" w:cs="Arial"/>
                <w:sz w:val="22"/>
                <w:szCs w:val="22"/>
              </w:rPr>
            </w:pPr>
            <w:r w:rsidRPr="00E7708A">
              <w:rPr>
                <w:rFonts w:ascii="Arial" w:hAnsi="Arial" w:cs="Arial"/>
                <w:sz w:val="22"/>
                <w:szCs w:val="22"/>
              </w:rPr>
              <w:lastRenderedPageBreak/>
              <w:t xml:space="preserve">Use PDSA cycles to support </w:t>
            </w:r>
            <w:r w:rsidR="00622698">
              <w:rPr>
                <w:rFonts w:ascii="Arial" w:hAnsi="Arial" w:cs="Arial"/>
                <w:sz w:val="22"/>
                <w:szCs w:val="22"/>
              </w:rPr>
              <w:t xml:space="preserve">the </w:t>
            </w:r>
            <w:r w:rsidRPr="00E7708A">
              <w:rPr>
                <w:rFonts w:ascii="Arial" w:hAnsi="Arial" w:cs="Arial"/>
                <w:sz w:val="22"/>
                <w:szCs w:val="22"/>
              </w:rPr>
              <w:t>development of a new pathway</w:t>
            </w:r>
          </w:p>
        </w:tc>
        <w:tc>
          <w:tcPr>
            <w:tcW w:w="3117" w:type="dxa"/>
          </w:tcPr>
          <w:p w14:paraId="5AC1B4B0" w14:textId="029465AD" w:rsidR="002222FB" w:rsidRPr="00E7708A" w:rsidRDefault="002F1D51" w:rsidP="00E7708A">
            <w:pPr>
              <w:spacing w:line="360" w:lineRule="auto"/>
              <w:rPr>
                <w:rFonts w:ascii="Arial" w:hAnsi="Arial" w:cs="Arial"/>
                <w:sz w:val="22"/>
                <w:szCs w:val="22"/>
              </w:rPr>
            </w:pPr>
            <w:r w:rsidRPr="00E7708A">
              <w:rPr>
                <w:rFonts w:ascii="Arial" w:hAnsi="Arial" w:cs="Arial"/>
                <w:sz w:val="22"/>
                <w:szCs w:val="22"/>
              </w:rPr>
              <w:lastRenderedPageBreak/>
              <w:t>Ongoing - TBC</w:t>
            </w:r>
          </w:p>
        </w:tc>
      </w:tr>
      <w:tr w:rsidR="002222FB" w:rsidRPr="00E7708A" w14:paraId="348727AE" w14:textId="77777777" w:rsidTr="002222FB">
        <w:tc>
          <w:tcPr>
            <w:tcW w:w="3116" w:type="dxa"/>
          </w:tcPr>
          <w:p w14:paraId="5CB217C1" w14:textId="219AB8A0" w:rsidR="002222FB" w:rsidRPr="00E7708A" w:rsidRDefault="002F1D51" w:rsidP="00E7708A">
            <w:pPr>
              <w:pStyle w:val="ListParagraph"/>
              <w:numPr>
                <w:ilvl w:val="0"/>
                <w:numId w:val="4"/>
              </w:numPr>
              <w:spacing w:line="360" w:lineRule="auto"/>
              <w:rPr>
                <w:rFonts w:ascii="Arial" w:hAnsi="Arial" w:cs="Arial"/>
                <w:sz w:val="22"/>
                <w:szCs w:val="22"/>
              </w:rPr>
            </w:pPr>
            <w:r w:rsidRPr="00E7708A">
              <w:rPr>
                <w:rFonts w:ascii="Arial" w:hAnsi="Arial" w:cs="Arial"/>
                <w:sz w:val="22"/>
                <w:szCs w:val="22"/>
              </w:rPr>
              <w:t>Develop new resources from my learning for patients</w:t>
            </w:r>
          </w:p>
        </w:tc>
        <w:tc>
          <w:tcPr>
            <w:tcW w:w="3117" w:type="dxa"/>
          </w:tcPr>
          <w:p w14:paraId="1B836A04" w14:textId="77777777" w:rsidR="002222FB" w:rsidRPr="00E7708A" w:rsidRDefault="002F1D51" w:rsidP="00E7708A">
            <w:pPr>
              <w:pStyle w:val="ListParagraph"/>
              <w:numPr>
                <w:ilvl w:val="0"/>
                <w:numId w:val="7"/>
              </w:numPr>
              <w:spacing w:line="360" w:lineRule="auto"/>
              <w:rPr>
                <w:rFonts w:ascii="Arial" w:hAnsi="Arial" w:cs="Arial"/>
                <w:sz w:val="22"/>
                <w:szCs w:val="22"/>
              </w:rPr>
            </w:pPr>
            <w:r w:rsidRPr="00E7708A">
              <w:rPr>
                <w:rFonts w:ascii="Arial" w:hAnsi="Arial" w:cs="Arial"/>
                <w:sz w:val="22"/>
                <w:szCs w:val="22"/>
              </w:rPr>
              <w:t>Review current resources</w:t>
            </w:r>
          </w:p>
          <w:p w14:paraId="3DFB7943" w14:textId="77777777" w:rsidR="002F1D51" w:rsidRPr="00E7708A" w:rsidRDefault="002F1D51" w:rsidP="00E7708A">
            <w:pPr>
              <w:pStyle w:val="ListParagraph"/>
              <w:numPr>
                <w:ilvl w:val="0"/>
                <w:numId w:val="7"/>
              </w:numPr>
              <w:spacing w:line="360" w:lineRule="auto"/>
              <w:rPr>
                <w:rFonts w:ascii="Arial" w:hAnsi="Arial" w:cs="Arial"/>
                <w:sz w:val="22"/>
                <w:szCs w:val="22"/>
              </w:rPr>
            </w:pPr>
            <w:r w:rsidRPr="00E7708A">
              <w:rPr>
                <w:rFonts w:ascii="Arial" w:hAnsi="Arial" w:cs="Arial"/>
                <w:sz w:val="22"/>
                <w:szCs w:val="22"/>
              </w:rPr>
              <w:t>Discuss resources with stakeholders</w:t>
            </w:r>
          </w:p>
          <w:p w14:paraId="623CEC99" w14:textId="77777777" w:rsidR="002F1D51" w:rsidRPr="00E7708A" w:rsidRDefault="002F1D51" w:rsidP="00E7708A">
            <w:pPr>
              <w:pStyle w:val="ListParagraph"/>
              <w:numPr>
                <w:ilvl w:val="0"/>
                <w:numId w:val="7"/>
              </w:numPr>
              <w:spacing w:line="360" w:lineRule="auto"/>
              <w:rPr>
                <w:rFonts w:ascii="Arial" w:hAnsi="Arial" w:cs="Arial"/>
                <w:sz w:val="22"/>
                <w:szCs w:val="22"/>
              </w:rPr>
            </w:pPr>
            <w:r w:rsidRPr="00E7708A">
              <w:rPr>
                <w:rFonts w:ascii="Arial" w:hAnsi="Arial" w:cs="Arial"/>
                <w:sz w:val="22"/>
                <w:szCs w:val="22"/>
              </w:rPr>
              <w:t>Refine and redevelop current resources</w:t>
            </w:r>
          </w:p>
          <w:p w14:paraId="37462F31" w14:textId="304D4912" w:rsidR="002F1D51" w:rsidRPr="00E7708A" w:rsidRDefault="002F1D51" w:rsidP="00E7708A">
            <w:pPr>
              <w:pStyle w:val="ListParagraph"/>
              <w:numPr>
                <w:ilvl w:val="0"/>
                <w:numId w:val="7"/>
              </w:numPr>
              <w:spacing w:line="360" w:lineRule="auto"/>
              <w:rPr>
                <w:rFonts w:ascii="Arial" w:hAnsi="Arial" w:cs="Arial"/>
                <w:sz w:val="22"/>
                <w:szCs w:val="22"/>
              </w:rPr>
            </w:pPr>
            <w:r w:rsidRPr="00E7708A">
              <w:rPr>
                <w:rFonts w:ascii="Arial" w:hAnsi="Arial" w:cs="Arial"/>
                <w:sz w:val="22"/>
                <w:szCs w:val="22"/>
              </w:rPr>
              <w:t>Create new resources</w:t>
            </w:r>
          </w:p>
        </w:tc>
        <w:tc>
          <w:tcPr>
            <w:tcW w:w="3117" w:type="dxa"/>
          </w:tcPr>
          <w:p w14:paraId="1A8D29BE" w14:textId="368CEF83" w:rsidR="002222FB" w:rsidRPr="00E7708A" w:rsidRDefault="002F1D51" w:rsidP="00E7708A">
            <w:pPr>
              <w:spacing w:line="360" w:lineRule="auto"/>
              <w:rPr>
                <w:rFonts w:ascii="Arial" w:hAnsi="Arial" w:cs="Arial"/>
                <w:sz w:val="22"/>
                <w:szCs w:val="22"/>
              </w:rPr>
            </w:pPr>
            <w:r w:rsidRPr="00E7708A">
              <w:rPr>
                <w:rFonts w:ascii="Arial" w:hAnsi="Arial" w:cs="Arial"/>
                <w:sz w:val="22"/>
                <w:szCs w:val="22"/>
              </w:rPr>
              <w:t>To be completed by the WBL 30 credit module</w:t>
            </w:r>
          </w:p>
        </w:tc>
      </w:tr>
    </w:tbl>
    <w:p w14:paraId="2E4DEB3B" w14:textId="5C7D3F9F" w:rsidR="007D10D0" w:rsidRDefault="007D10D0"/>
    <w:p w14:paraId="166BFBAB" w14:textId="47A27C9A" w:rsidR="00E7708A" w:rsidRDefault="00E7708A">
      <w:r>
        <w:br w:type="page"/>
      </w:r>
    </w:p>
    <w:p w14:paraId="3F93039A" w14:textId="77777777" w:rsidR="00E7708A" w:rsidRDefault="00E7708A"/>
    <w:sdt>
      <w:sdtPr>
        <w:rPr>
          <w:rFonts w:ascii="Arial" w:eastAsiaTheme="minorHAnsi" w:hAnsi="Arial" w:cs="Arial"/>
          <w:b w:val="0"/>
          <w:bCs w:val="0"/>
          <w:color w:val="auto"/>
          <w:sz w:val="22"/>
          <w:szCs w:val="22"/>
          <w:lang w:val="en-GB" w:eastAsia="en-GB" w:bidi="ar-SA"/>
        </w:rPr>
        <w:id w:val="-238479456"/>
        <w:docPartObj>
          <w:docPartGallery w:val="Bibliographies"/>
          <w:docPartUnique/>
        </w:docPartObj>
      </w:sdtPr>
      <w:sdtEndPr>
        <w:rPr>
          <w:rFonts w:eastAsia="Times New Roman"/>
        </w:rPr>
      </w:sdtEndPr>
      <w:sdtContent>
        <w:p w14:paraId="1B145718" w14:textId="0C25E99C" w:rsidR="007D10D0" w:rsidRPr="00E7708A" w:rsidRDefault="007D10D0" w:rsidP="002902F6">
          <w:pPr>
            <w:pStyle w:val="Heading1"/>
            <w:rPr>
              <w:rFonts w:ascii="Arial" w:eastAsiaTheme="minorHAnsi" w:hAnsi="Arial" w:cs="Arial"/>
              <w:b w:val="0"/>
              <w:bCs w:val="0"/>
              <w:color w:val="auto"/>
              <w:sz w:val="22"/>
              <w:szCs w:val="22"/>
              <w:lang w:val="en-GB" w:bidi="ar-SA"/>
            </w:rPr>
          </w:pPr>
          <w:r w:rsidRPr="00E7708A">
            <w:rPr>
              <w:rFonts w:ascii="Arial" w:hAnsi="Arial" w:cs="Arial"/>
              <w:sz w:val="22"/>
              <w:szCs w:val="22"/>
            </w:rPr>
            <w:t>Reference List</w:t>
          </w:r>
        </w:p>
        <w:p w14:paraId="765E0144" w14:textId="77777777" w:rsidR="007D10D0" w:rsidRPr="00E7708A" w:rsidRDefault="007D10D0" w:rsidP="007D10D0">
          <w:pPr>
            <w:rPr>
              <w:rFonts w:ascii="Arial" w:hAnsi="Arial" w:cs="Arial"/>
              <w:sz w:val="22"/>
              <w:szCs w:val="22"/>
              <w:lang w:val="en-US" w:bidi="en-US"/>
            </w:rPr>
          </w:pPr>
        </w:p>
        <w:p w14:paraId="0F638DD5"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Andresen, L., </w:t>
          </w:r>
          <w:proofErr w:type="spellStart"/>
          <w:r w:rsidRPr="00E7708A">
            <w:rPr>
              <w:rFonts w:ascii="Arial" w:hAnsi="Arial" w:cs="Arial"/>
              <w:sz w:val="22"/>
              <w:szCs w:val="22"/>
              <w:lang w:bidi="en-US"/>
            </w:rPr>
            <w:t>Boud</w:t>
          </w:r>
          <w:proofErr w:type="spellEnd"/>
          <w:r w:rsidRPr="00E7708A">
            <w:rPr>
              <w:rFonts w:ascii="Arial" w:hAnsi="Arial" w:cs="Arial"/>
              <w:sz w:val="22"/>
              <w:szCs w:val="22"/>
              <w:lang w:bidi="en-US"/>
            </w:rPr>
            <w:t>, D. and Cohen, R., 2000. Experience-based learning. In: F. Griff, ed., </w:t>
          </w:r>
          <w:r w:rsidRPr="00E7708A">
            <w:rPr>
              <w:rFonts w:ascii="Arial" w:hAnsi="Arial" w:cs="Arial"/>
              <w:i/>
              <w:iCs/>
              <w:sz w:val="22"/>
              <w:szCs w:val="22"/>
              <w:lang w:bidi="en-US"/>
            </w:rPr>
            <w:t>Understanding Adult Education and Training</w:t>
          </w:r>
          <w:r w:rsidRPr="00E7708A">
            <w:rPr>
              <w:rFonts w:ascii="Arial" w:hAnsi="Arial" w:cs="Arial"/>
              <w:sz w:val="22"/>
              <w:szCs w:val="22"/>
              <w:lang w:bidi="en-US"/>
            </w:rPr>
            <w:t>, 2nd ed. [online] London: Routledge, pp.225-239. Available at: &lt;http://complexworld.pbworks.com/f/Experience-based%20learning.pdf&gt; [Accessed 13 March 2022].</w:t>
          </w:r>
        </w:p>
        <w:p w14:paraId="7944EF3B" w14:textId="77777777" w:rsidR="007D10D0" w:rsidRPr="00E7708A" w:rsidRDefault="007D10D0" w:rsidP="007D10D0">
          <w:pPr>
            <w:rPr>
              <w:rFonts w:ascii="Arial" w:hAnsi="Arial" w:cs="Arial"/>
              <w:sz w:val="22"/>
              <w:szCs w:val="22"/>
              <w:lang w:val="en-US" w:bidi="en-US"/>
            </w:rPr>
          </w:pPr>
        </w:p>
        <w:p w14:paraId="649A95E1" w14:textId="6794D080" w:rsidR="007D10D0" w:rsidRPr="00E7708A" w:rsidRDefault="007D10D0" w:rsidP="007D10D0">
          <w:pPr>
            <w:rPr>
              <w:rFonts w:ascii="Arial" w:hAnsi="Arial" w:cs="Arial"/>
              <w:sz w:val="22"/>
              <w:szCs w:val="22"/>
              <w:lang w:val="en-US" w:bidi="en-US"/>
            </w:rPr>
          </w:pPr>
          <w:r w:rsidRPr="00E7708A">
            <w:rPr>
              <w:rFonts w:ascii="Arial" w:hAnsi="Arial" w:cs="Arial"/>
              <w:sz w:val="22"/>
              <w:szCs w:val="22"/>
              <w:lang w:val="en-US" w:bidi="en-US"/>
            </w:rPr>
            <w:t>Anderson, A., Irwin, J., Brown, A.</w:t>
          </w:r>
          <w:r w:rsidR="00622698">
            <w:rPr>
              <w:rFonts w:ascii="Arial" w:hAnsi="Arial" w:cs="Arial"/>
              <w:sz w:val="22"/>
              <w:szCs w:val="22"/>
              <w:lang w:val="en-US" w:bidi="en-US"/>
            </w:rPr>
            <w:t>,</w:t>
          </w:r>
          <w:r w:rsidRPr="00E7708A">
            <w:rPr>
              <w:rFonts w:ascii="Arial" w:hAnsi="Arial" w:cs="Arial"/>
              <w:sz w:val="22"/>
              <w:szCs w:val="22"/>
              <w:lang w:val="en-US" w:bidi="en-US"/>
            </w:rPr>
            <w:t xml:space="preserve"> and </w:t>
          </w:r>
          <w:proofErr w:type="spellStart"/>
          <w:r w:rsidRPr="00E7708A">
            <w:rPr>
              <w:rFonts w:ascii="Arial" w:hAnsi="Arial" w:cs="Arial"/>
              <w:sz w:val="22"/>
              <w:szCs w:val="22"/>
              <w:lang w:val="en-US" w:bidi="en-US"/>
            </w:rPr>
            <w:t>Grala</w:t>
          </w:r>
          <w:proofErr w:type="spellEnd"/>
          <w:r w:rsidRPr="00E7708A">
            <w:rPr>
              <w:rFonts w:ascii="Arial" w:hAnsi="Arial" w:cs="Arial"/>
              <w:sz w:val="22"/>
              <w:szCs w:val="22"/>
              <w:lang w:val="en-US" w:bidi="en-US"/>
            </w:rPr>
            <w:t>, C., 2019. “Your Picture Looks the Same as My Picture”: An Examination of Passing in Transgender Communities. Gender Issues, [online] 37(1), pp.44-60. Available at: &lt;https://link.springer.com/article/10.1007/s12147-019-09239-x&gt; [Accessed 13 February 2022].</w:t>
          </w:r>
        </w:p>
        <w:p w14:paraId="1974C4DD" w14:textId="77777777" w:rsidR="007D10D0" w:rsidRPr="00E7708A" w:rsidRDefault="007D10D0" w:rsidP="007D10D0">
          <w:pPr>
            <w:rPr>
              <w:rFonts w:ascii="Arial" w:hAnsi="Arial" w:cs="Arial"/>
              <w:sz w:val="22"/>
              <w:szCs w:val="22"/>
              <w:lang w:val="en-US" w:bidi="en-US"/>
            </w:rPr>
          </w:pPr>
        </w:p>
        <w:p w14:paraId="2FB109E2"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Ashley, F., 2019. </w:t>
          </w:r>
          <w:r w:rsidRPr="00E7708A">
            <w:rPr>
              <w:rFonts w:ascii="Arial" w:hAnsi="Arial" w:cs="Arial"/>
              <w:i/>
              <w:iCs/>
              <w:sz w:val="22"/>
              <w:szCs w:val="22"/>
              <w:lang w:bidi="en-US"/>
            </w:rPr>
            <w:t>Doctors, stop asking your trans patients for referral letters before giving them hormones</w:t>
          </w:r>
          <w:r w:rsidRPr="00E7708A">
            <w:rPr>
              <w:rFonts w:ascii="Arial" w:hAnsi="Arial" w:cs="Arial"/>
              <w:sz w:val="22"/>
              <w:szCs w:val="22"/>
              <w:lang w:bidi="en-US"/>
            </w:rPr>
            <w:t>. [online] BMJ; Journal of medical Ethics Blog. Available at: &lt;https://blogs.bmj.com/medical-ethics/2019/04/16/doctors-stop-asking-your-trans-patients-for-referral-letters-before-giving-them-hormones/&gt; [Accessed 15 February 2022].</w:t>
          </w:r>
        </w:p>
        <w:p w14:paraId="35D4F466" w14:textId="77777777" w:rsidR="007D10D0" w:rsidRPr="00E7708A" w:rsidRDefault="007D10D0" w:rsidP="007D10D0">
          <w:pPr>
            <w:rPr>
              <w:rFonts w:ascii="Arial" w:hAnsi="Arial" w:cs="Arial"/>
              <w:sz w:val="22"/>
              <w:szCs w:val="22"/>
              <w:lang w:val="en-US" w:bidi="en-US"/>
            </w:rPr>
          </w:pPr>
        </w:p>
        <w:p w14:paraId="45B0C9F7" w14:textId="3668BEBB" w:rsidR="007D10D0" w:rsidRPr="00E7708A" w:rsidRDefault="007D10D0" w:rsidP="007D10D0">
          <w:pPr>
            <w:rPr>
              <w:rFonts w:ascii="Arial" w:hAnsi="Arial" w:cs="Arial"/>
              <w:sz w:val="22"/>
              <w:szCs w:val="22"/>
              <w:lang w:val="en-US" w:bidi="en-US"/>
            </w:rPr>
          </w:pPr>
          <w:r w:rsidRPr="00E7708A">
            <w:rPr>
              <w:rFonts w:ascii="Arial" w:hAnsi="Arial" w:cs="Arial"/>
              <w:sz w:val="22"/>
              <w:szCs w:val="22"/>
              <w:lang w:val="en-US" w:bidi="en-US"/>
            </w:rPr>
            <w:t xml:space="preserve">Bowleg, L., 2012. The Problem With the </w:t>
          </w:r>
          <w:proofErr w:type="spellStart"/>
          <w:r w:rsidRPr="00E7708A">
            <w:rPr>
              <w:rFonts w:ascii="Arial" w:hAnsi="Arial" w:cs="Arial"/>
              <w:sz w:val="22"/>
              <w:szCs w:val="22"/>
              <w:lang w:val="en-US" w:bidi="en-US"/>
            </w:rPr>
            <w:t>PhraseWomen</w:t>
          </w:r>
          <w:proofErr w:type="spellEnd"/>
          <w:r w:rsidRPr="00E7708A">
            <w:rPr>
              <w:rFonts w:ascii="Arial" w:hAnsi="Arial" w:cs="Arial"/>
              <w:sz w:val="22"/>
              <w:szCs w:val="22"/>
              <w:lang w:val="en-US" w:bidi="en-US"/>
            </w:rPr>
            <w:t xml:space="preserve"> and </w:t>
          </w:r>
          <w:proofErr w:type="spellStart"/>
          <w:proofErr w:type="gramStart"/>
          <w:r w:rsidRPr="00E7708A">
            <w:rPr>
              <w:rFonts w:ascii="Arial" w:hAnsi="Arial" w:cs="Arial"/>
              <w:sz w:val="22"/>
              <w:szCs w:val="22"/>
              <w:lang w:val="en-US" w:bidi="en-US"/>
            </w:rPr>
            <w:t>Minorities:Intersectionality</w:t>
          </w:r>
          <w:proofErr w:type="spellEnd"/>
          <w:proofErr w:type="gramEnd"/>
          <w:r w:rsidRPr="00E7708A">
            <w:rPr>
              <w:rFonts w:ascii="Arial" w:hAnsi="Arial" w:cs="Arial"/>
              <w:sz w:val="22"/>
              <w:szCs w:val="22"/>
              <w:lang w:val="en-US" w:bidi="en-US"/>
            </w:rPr>
            <w:t>—an Important Theoretical Framework for Public Health. American Journal of Public Health, [online] 102(7), pp.1267-1273. Available at: &lt;https://www.ncbi.nlm.nih.gov/pmc/articles/PMC3477987/&gt; [Accessed 15 February 2022].</w:t>
          </w:r>
        </w:p>
        <w:p w14:paraId="6B69DC54" w14:textId="57367EE5" w:rsidR="00372CF7" w:rsidRPr="00E7708A" w:rsidRDefault="00372CF7" w:rsidP="007D10D0">
          <w:pPr>
            <w:rPr>
              <w:rFonts w:ascii="Arial" w:hAnsi="Arial" w:cs="Arial"/>
              <w:sz w:val="22"/>
              <w:szCs w:val="22"/>
              <w:lang w:val="en-US" w:bidi="en-US"/>
            </w:rPr>
          </w:pPr>
        </w:p>
        <w:p w14:paraId="60AF051C" w14:textId="33FC23A0" w:rsidR="00372CF7" w:rsidRPr="00E7708A" w:rsidRDefault="00372CF7" w:rsidP="007D10D0">
          <w:pPr>
            <w:rPr>
              <w:rFonts w:ascii="Arial" w:hAnsi="Arial" w:cs="Arial"/>
              <w:sz w:val="22"/>
              <w:szCs w:val="22"/>
              <w:lang w:bidi="en-US"/>
            </w:rPr>
          </w:pPr>
          <w:proofErr w:type="spellStart"/>
          <w:r w:rsidRPr="00372CF7">
            <w:rPr>
              <w:rFonts w:ascii="Arial" w:hAnsi="Arial" w:cs="Arial"/>
              <w:sz w:val="22"/>
              <w:szCs w:val="22"/>
              <w:lang w:bidi="en-US"/>
            </w:rPr>
            <w:t>Bravata</w:t>
          </w:r>
          <w:proofErr w:type="spellEnd"/>
          <w:r w:rsidRPr="00372CF7">
            <w:rPr>
              <w:rFonts w:ascii="Arial" w:hAnsi="Arial" w:cs="Arial"/>
              <w:sz w:val="22"/>
              <w:szCs w:val="22"/>
              <w:lang w:bidi="en-US"/>
            </w:rPr>
            <w:t xml:space="preserve">, D., Watts, S., Keefer, A., </w:t>
          </w:r>
          <w:proofErr w:type="spellStart"/>
          <w:r w:rsidRPr="00372CF7">
            <w:rPr>
              <w:rFonts w:ascii="Arial" w:hAnsi="Arial" w:cs="Arial"/>
              <w:sz w:val="22"/>
              <w:szCs w:val="22"/>
              <w:lang w:bidi="en-US"/>
            </w:rPr>
            <w:t>Madhusudhan</w:t>
          </w:r>
          <w:proofErr w:type="spellEnd"/>
          <w:r w:rsidRPr="00372CF7">
            <w:rPr>
              <w:rFonts w:ascii="Arial" w:hAnsi="Arial" w:cs="Arial"/>
              <w:sz w:val="22"/>
              <w:szCs w:val="22"/>
              <w:lang w:bidi="en-US"/>
            </w:rPr>
            <w:t xml:space="preserve">, D., Taylor, K., Clark, D., Nelson, R., </w:t>
          </w:r>
          <w:proofErr w:type="spellStart"/>
          <w:r w:rsidRPr="00372CF7">
            <w:rPr>
              <w:rFonts w:ascii="Arial" w:hAnsi="Arial" w:cs="Arial"/>
              <w:sz w:val="22"/>
              <w:szCs w:val="22"/>
              <w:lang w:bidi="en-US"/>
            </w:rPr>
            <w:t>Cokley</w:t>
          </w:r>
          <w:proofErr w:type="spellEnd"/>
          <w:r w:rsidRPr="00372CF7">
            <w:rPr>
              <w:rFonts w:ascii="Arial" w:hAnsi="Arial" w:cs="Arial"/>
              <w:sz w:val="22"/>
              <w:szCs w:val="22"/>
              <w:lang w:bidi="en-US"/>
            </w:rPr>
            <w:t xml:space="preserve">, K. and Hagg, H., 2019. Prevalence, Predictors, and Treatment of Impostor Syndrome: </w:t>
          </w:r>
          <w:proofErr w:type="gramStart"/>
          <w:r w:rsidRPr="00372CF7">
            <w:rPr>
              <w:rFonts w:ascii="Arial" w:hAnsi="Arial" w:cs="Arial"/>
              <w:sz w:val="22"/>
              <w:szCs w:val="22"/>
              <w:lang w:bidi="en-US"/>
            </w:rPr>
            <w:t>a</w:t>
          </w:r>
          <w:proofErr w:type="gramEnd"/>
          <w:r w:rsidRPr="00372CF7">
            <w:rPr>
              <w:rFonts w:ascii="Arial" w:hAnsi="Arial" w:cs="Arial"/>
              <w:sz w:val="22"/>
              <w:szCs w:val="22"/>
              <w:lang w:bidi="en-US"/>
            </w:rPr>
            <w:t xml:space="preserve"> Systematic Review. </w:t>
          </w:r>
          <w:r w:rsidRPr="00372CF7">
            <w:rPr>
              <w:rFonts w:ascii="Arial" w:hAnsi="Arial" w:cs="Arial"/>
              <w:i/>
              <w:iCs/>
              <w:sz w:val="22"/>
              <w:szCs w:val="22"/>
              <w:lang w:bidi="en-US"/>
            </w:rPr>
            <w:t>Journal of General Internal Medicine</w:t>
          </w:r>
          <w:r w:rsidRPr="00372CF7">
            <w:rPr>
              <w:rFonts w:ascii="Arial" w:hAnsi="Arial" w:cs="Arial"/>
              <w:sz w:val="22"/>
              <w:szCs w:val="22"/>
              <w:lang w:bidi="en-US"/>
            </w:rPr>
            <w:t>, [online] 35(4), pp.1252-1275. Available at: &lt;https://www.ncbi.nlm.nih.gov/pmc/articles/PMC7174434/&gt; [Accessed 1 April 2022].</w:t>
          </w:r>
        </w:p>
        <w:p w14:paraId="2A40EB90" w14:textId="77777777" w:rsidR="007D10D0" w:rsidRPr="00E7708A" w:rsidRDefault="007D10D0" w:rsidP="007D10D0">
          <w:pPr>
            <w:rPr>
              <w:rFonts w:ascii="Arial" w:hAnsi="Arial" w:cs="Arial"/>
              <w:sz w:val="22"/>
              <w:szCs w:val="22"/>
              <w:lang w:val="en-US" w:bidi="en-US"/>
            </w:rPr>
          </w:pPr>
        </w:p>
        <w:p w14:paraId="1799BD32" w14:textId="1B732F54"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Brook, A. T., Garcia, J. and Fleming, M. A. (2008) ‘The Effects of Multiple Identities on Psychological Well-Being’, </w:t>
          </w:r>
          <w:r w:rsidRPr="00E7708A">
            <w:rPr>
              <w:rFonts w:ascii="Arial" w:hAnsi="Arial" w:cs="Arial"/>
              <w:i/>
              <w:iCs/>
              <w:sz w:val="22"/>
              <w:szCs w:val="22"/>
              <w:lang w:bidi="en-US"/>
            </w:rPr>
            <w:t>Personality and Social Psychology Bulletin</w:t>
          </w:r>
          <w:r w:rsidRPr="00E7708A">
            <w:rPr>
              <w:rFonts w:ascii="Arial" w:hAnsi="Arial" w:cs="Arial"/>
              <w:sz w:val="22"/>
              <w:szCs w:val="22"/>
              <w:lang w:bidi="en-US"/>
            </w:rPr>
            <w:t xml:space="preserve">, 34(12), pp. 1588–1600. </w:t>
          </w:r>
          <w:r w:rsidR="00622698">
            <w:rPr>
              <w:rFonts w:ascii="Arial" w:hAnsi="Arial" w:cs="Arial"/>
              <w:sz w:val="22"/>
              <w:szCs w:val="22"/>
              <w:lang w:bidi="en-US"/>
            </w:rPr>
            <w:t>DOI</w:t>
          </w:r>
          <w:r w:rsidRPr="00E7708A">
            <w:rPr>
              <w:rFonts w:ascii="Arial" w:hAnsi="Arial" w:cs="Arial"/>
              <w:sz w:val="22"/>
              <w:szCs w:val="22"/>
              <w:lang w:bidi="en-US"/>
            </w:rPr>
            <w:t>: </w:t>
          </w:r>
          <w:hyperlink r:id="rId8" w:history="1">
            <w:r w:rsidRPr="00E7708A">
              <w:rPr>
                <w:rStyle w:val="Hyperlink"/>
                <w:rFonts w:ascii="Arial" w:hAnsi="Arial" w:cs="Arial"/>
                <w:sz w:val="22"/>
                <w:szCs w:val="22"/>
                <w:lang w:bidi="en-US"/>
              </w:rPr>
              <w:t>10.1177/0146167208324629</w:t>
            </w:r>
          </w:hyperlink>
          <w:r w:rsidRPr="00E7708A">
            <w:rPr>
              <w:rFonts w:ascii="Arial" w:hAnsi="Arial" w:cs="Arial"/>
              <w:sz w:val="22"/>
              <w:szCs w:val="22"/>
              <w:lang w:bidi="en-US"/>
            </w:rPr>
            <w:t xml:space="preserve">. </w:t>
          </w:r>
        </w:p>
        <w:p w14:paraId="7FFBDE62" w14:textId="77777777" w:rsidR="007D10D0" w:rsidRPr="00E7708A" w:rsidRDefault="007D10D0" w:rsidP="007D10D0">
          <w:pPr>
            <w:rPr>
              <w:rFonts w:ascii="Arial" w:hAnsi="Arial" w:cs="Arial"/>
              <w:sz w:val="22"/>
              <w:szCs w:val="22"/>
              <w:lang w:bidi="en-US"/>
            </w:rPr>
          </w:pPr>
        </w:p>
        <w:p w14:paraId="7C8F50C8"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Brookfield, Stephen. </w:t>
          </w:r>
          <w:r w:rsidRPr="00E7708A">
            <w:rPr>
              <w:rFonts w:ascii="Arial" w:hAnsi="Arial" w:cs="Arial"/>
              <w:i/>
              <w:iCs/>
              <w:sz w:val="22"/>
              <w:szCs w:val="22"/>
              <w:lang w:bidi="en-US"/>
            </w:rPr>
            <w:t>Becoming a Critically Reflective Teacher</w:t>
          </w:r>
          <w:r w:rsidRPr="00E7708A">
            <w:rPr>
              <w:rFonts w:ascii="Arial" w:hAnsi="Arial" w:cs="Arial"/>
              <w:sz w:val="22"/>
              <w:szCs w:val="22"/>
              <w:lang w:bidi="en-US"/>
            </w:rPr>
            <w:t xml:space="preserve">. San-Francisco: Jossey-Bass. 1995. </w:t>
          </w:r>
        </w:p>
        <w:p w14:paraId="211AFA2D" w14:textId="77777777" w:rsidR="007D10D0" w:rsidRPr="00E7708A" w:rsidRDefault="007D10D0" w:rsidP="007D10D0">
          <w:pPr>
            <w:rPr>
              <w:rFonts w:ascii="Arial" w:hAnsi="Arial" w:cs="Arial"/>
              <w:sz w:val="22"/>
              <w:szCs w:val="22"/>
              <w:lang w:bidi="en-US"/>
            </w:rPr>
          </w:pPr>
        </w:p>
        <w:p w14:paraId="22FC4B05" w14:textId="77777777" w:rsidR="007D10D0" w:rsidRPr="00E7708A" w:rsidRDefault="007D10D0" w:rsidP="007D10D0">
          <w:pPr>
            <w:rPr>
              <w:rStyle w:val="Hyperlink"/>
              <w:rFonts w:ascii="Arial" w:hAnsi="Arial" w:cs="Arial"/>
              <w:sz w:val="22"/>
              <w:szCs w:val="22"/>
              <w:lang w:bidi="en-US"/>
            </w:rPr>
          </w:pPr>
          <w:r w:rsidRPr="00E7708A">
            <w:rPr>
              <w:rFonts w:ascii="Arial" w:hAnsi="Arial" w:cs="Arial"/>
              <w:sz w:val="22"/>
              <w:szCs w:val="22"/>
              <w:lang w:bidi="en-US"/>
            </w:rPr>
            <w:t xml:space="preserve">Call, D. C., </w:t>
          </w:r>
          <w:proofErr w:type="spellStart"/>
          <w:r w:rsidRPr="00E7708A">
            <w:rPr>
              <w:rFonts w:ascii="Arial" w:hAnsi="Arial" w:cs="Arial"/>
              <w:sz w:val="22"/>
              <w:szCs w:val="22"/>
              <w:lang w:bidi="en-US"/>
            </w:rPr>
            <w:t>Challa</w:t>
          </w:r>
          <w:proofErr w:type="spellEnd"/>
          <w:r w:rsidRPr="00E7708A">
            <w:rPr>
              <w:rFonts w:ascii="Arial" w:hAnsi="Arial" w:cs="Arial"/>
              <w:sz w:val="22"/>
              <w:szCs w:val="22"/>
              <w:lang w:bidi="en-US"/>
            </w:rPr>
            <w:t xml:space="preserve">, M., &amp; </w:t>
          </w:r>
          <w:proofErr w:type="spellStart"/>
          <w:r w:rsidRPr="00E7708A">
            <w:rPr>
              <w:rFonts w:ascii="Arial" w:hAnsi="Arial" w:cs="Arial"/>
              <w:sz w:val="22"/>
              <w:szCs w:val="22"/>
              <w:lang w:bidi="en-US"/>
            </w:rPr>
            <w:t>Telingator</w:t>
          </w:r>
          <w:proofErr w:type="spellEnd"/>
          <w:r w:rsidRPr="00E7708A">
            <w:rPr>
              <w:rFonts w:ascii="Arial" w:hAnsi="Arial" w:cs="Arial"/>
              <w:sz w:val="22"/>
              <w:szCs w:val="22"/>
              <w:lang w:bidi="en-US"/>
            </w:rPr>
            <w:t>, C. J. (2021). Providing Affirmative Care to Transgender and Gender Diverse Youth: Disparities, Interventions, and Outcomes. </w:t>
          </w:r>
          <w:r w:rsidRPr="00E7708A">
            <w:rPr>
              <w:rFonts w:ascii="Arial" w:hAnsi="Arial" w:cs="Arial"/>
              <w:i/>
              <w:iCs/>
              <w:sz w:val="22"/>
              <w:szCs w:val="22"/>
              <w:lang w:bidi="en-US"/>
            </w:rPr>
            <w:t>Current psychiatry reports</w:t>
          </w:r>
          <w:r w:rsidRPr="00E7708A">
            <w:rPr>
              <w:rFonts w:ascii="Arial" w:hAnsi="Arial" w:cs="Arial"/>
              <w:sz w:val="22"/>
              <w:szCs w:val="22"/>
              <w:lang w:bidi="en-US"/>
            </w:rPr>
            <w:t>, </w:t>
          </w:r>
          <w:r w:rsidRPr="00E7708A">
            <w:rPr>
              <w:rFonts w:ascii="Arial" w:hAnsi="Arial" w:cs="Arial"/>
              <w:i/>
              <w:iCs/>
              <w:sz w:val="22"/>
              <w:szCs w:val="22"/>
              <w:lang w:bidi="en-US"/>
            </w:rPr>
            <w:t>23</w:t>
          </w:r>
          <w:r w:rsidRPr="00E7708A">
            <w:rPr>
              <w:rFonts w:ascii="Arial" w:hAnsi="Arial" w:cs="Arial"/>
              <w:sz w:val="22"/>
              <w:szCs w:val="22"/>
              <w:lang w:bidi="en-US"/>
            </w:rPr>
            <w:t xml:space="preserve">(6), 33. </w:t>
          </w:r>
          <w:hyperlink r:id="rId9" w:history="1">
            <w:r w:rsidRPr="00E7708A">
              <w:rPr>
                <w:rStyle w:val="Hyperlink"/>
                <w:rFonts w:ascii="Arial" w:hAnsi="Arial" w:cs="Arial"/>
                <w:sz w:val="22"/>
                <w:szCs w:val="22"/>
                <w:lang w:bidi="en-US"/>
              </w:rPr>
              <w:t>https://doi.org/10.1007/s11920-021-01245-9</w:t>
            </w:r>
          </w:hyperlink>
        </w:p>
        <w:p w14:paraId="43D6BAE9" w14:textId="77777777" w:rsidR="007D10D0" w:rsidRPr="00E7708A" w:rsidRDefault="007D10D0" w:rsidP="007D10D0">
          <w:pPr>
            <w:rPr>
              <w:rStyle w:val="Hyperlink"/>
              <w:rFonts w:ascii="Arial" w:hAnsi="Arial" w:cs="Arial"/>
              <w:sz w:val="22"/>
              <w:szCs w:val="22"/>
              <w:lang w:bidi="en-US"/>
            </w:rPr>
          </w:pPr>
        </w:p>
        <w:p w14:paraId="1FCD4A0C" w14:textId="77777777" w:rsidR="007D10D0" w:rsidRPr="00E7708A" w:rsidRDefault="007D10D0" w:rsidP="007D10D0">
          <w:pPr>
            <w:rPr>
              <w:rStyle w:val="Hyperlink"/>
              <w:rFonts w:ascii="Arial" w:hAnsi="Arial" w:cs="Arial"/>
              <w:color w:val="auto"/>
              <w:sz w:val="22"/>
              <w:szCs w:val="22"/>
              <w:u w:val="none"/>
              <w:lang w:bidi="en-US"/>
            </w:rPr>
          </w:pPr>
          <w:r w:rsidRPr="00E7708A">
            <w:rPr>
              <w:rFonts w:ascii="Arial" w:hAnsi="Arial" w:cs="Arial"/>
              <w:sz w:val="22"/>
              <w:szCs w:val="22"/>
              <w:lang w:bidi="en-US"/>
            </w:rPr>
            <w:t xml:space="preserve">Cook, D., </w:t>
          </w:r>
          <w:proofErr w:type="spellStart"/>
          <w:r w:rsidRPr="00E7708A">
            <w:rPr>
              <w:rFonts w:ascii="Arial" w:hAnsi="Arial" w:cs="Arial"/>
              <w:sz w:val="22"/>
              <w:szCs w:val="22"/>
              <w:lang w:bidi="en-US"/>
            </w:rPr>
            <w:t>Jaeschke</w:t>
          </w:r>
          <w:proofErr w:type="spellEnd"/>
          <w:r w:rsidRPr="00E7708A">
            <w:rPr>
              <w:rFonts w:ascii="Arial" w:hAnsi="Arial" w:cs="Arial"/>
              <w:sz w:val="22"/>
              <w:szCs w:val="22"/>
              <w:lang w:bidi="en-US"/>
            </w:rPr>
            <w:t xml:space="preserve">, R. and </w:t>
          </w:r>
          <w:proofErr w:type="spellStart"/>
          <w:r w:rsidRPr="00E7708A">
            <w:rPr>
              <w:rFonts w:ascii="Arial" w:hAnsi="Arial" w:cs="Arial"/>
              <w:sz w:val="22"/>
              <w:szCs w:val="22"/>
              <w:lang w:bidi="en-US"/>
            </w:rPr>
            <w:t>Guyatt</w:t>
          </w:r>
          <w:proofErr w:type="spellEnd"/>
          <w:r w:rsidRPr="00E7708A">
            <w:rPr>
              <w:rFonts w:ascii="Arial" w:hAnsi="Arial" w:cs="Arial"/>
              <w:sz w:val="22"/>
              <w:szCs w:val="22"/>
              <w:lang w:bidi="en-US"/>
            </w:rPr>
            <w:t>, G., 1992. Critical Appraisal of Therapeutic Interventions in the Intensive Care Unit: Human Monoclonal Antibody Treatment in Sepsis. </w:t>
          </w:r>
          <w:r w:rsidRPr="00E7708A">
            <w:rPr>
              <w:rFonts w:ascii="Arial" w:hAnsi="Arial" w:cs="Arial"/>
              <w:i/>
              <w:iCs/>
              <w:sz w:val="22"/>
              <w:szCs w:val="22"/>
              <w:lang w:bidi="en-US"/>
            </w:rPr>
            <w:t>Journal of Intensive Care Medicine</w:t>
          </w:r>
          <w:r w:rsidRPr="00E7708A">
            <w:rPr>
              <w:rFonts w:ascii="Arial" w:hAnsi="Arial" w:cs="Arial"/>
              <w:sz w:val="22"/>
              <w:szCs w:val="22"/>
              <w:lang w:bidi="en-US"/>
            </w:rPr>
            <w:t>, [online] 7(6), pp.275-282. Available at: &lt;https://pubmed.ncbi.nlm.nih.gov/10147956/&gt; [Accessed 13 March 2022].</w:t>
          </w:r>
        </w:p>
        <w:p w14:paraId="219E7A30" w14:textId="77777777" w:rsidR="007D10D0" w:rsidRPr="00E7708A" w:rsidRDefault="007D10D0" w:rsidP="007D10D0">
          <w:pPr>
            <w:rPr>
              <w:rStyle w:val="Hyperlink"/>
              <w:rFonts w:ascii="Arial" w:hAnsi="Arial" w:cs="Arial"/>
              <w:sz w:val="22"/>
              <w:szCs w:val="22"/>
              <w:lang w:bidi="en-US"/>
            </w:rPr>
          </w:pPr>
        </w:p>
        <w:p w14:paraId="57C25662" w14:textId="73C13B26"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Cooley, C. H. (1902). </w:t>
          </w:r>
          <w:r w:rsidRPr="00E7708A">
            <w:rPr>
              <w:rFonts w:ascii="Arial" w:hAnsi="Arial" w:cs="Arial"/>
              <w:i/>
              <w:iCs/>
              <w:sz w:val="22"/>
              <w:szCs w:val="22"/>
              <w:lang w:bidi="en-US"/>
            </w:rPr>
            <w:t xml:space="preserve">Human nature &amp; the social order. </w:t>
          </w:r>
          <w:r w:rsidRPr="00E7708A">
            <w:rPr>
              <w:rFonts w:ascii="Arial" w:hAnsi="Arial" w:cs="Arial"/>
              <w:sz w:val="22"/>
              <w:szCs w:val="22"/>
              <w:lang w:bidi="en-US"/>
            </w:rPr>
            <w:t xml:space="preserve">New York: </w:t>
          </w:r>
          <w:proofErr w:type="spellStart"/>
          <w:r w:rsidRPr="00E7708A">
            <w:rPr>
              <w:rFonts w:ascii="Arial" w:hAnsi="Arial" w:cs="Arial"/>
              <w:sz w:val="22"/>
              <w:szCs w:val="22"/>
              <w:lang w:bidi="en-US"/>
            </w:rPr>
            <w:t>Schocken</w:t>
          </w:r>
          <w:proofErr w:type="spellEnd"/>
          <w:r w:rsidRPr="00E7708A">
            <w:rPr>
              <w:rFonts w:ascii="Arial" w:hAnsi="Arial" w:cs="Arial"/>
              <w:sz w:val="22"/>
              <w:szCs w:val="22"/>
              <w:lang w:bidi="en-US"/>
            </w:rPr>
            <w:t xml:space="preserve"> Books. </w:t>
          </w:r>
        </w:p>
        <w:p w14:paraId="5578CA5D" w14:textId="77777777" w:rsidR="007D10D0" w:rsidRPr="00E7708A" w:rsidRDefault="007D10D0" w:rsidP="007D10D0">
          <w:pPr>
            <w:rPr>
              <w:rFonts w:ascii="Arial" w:hAnsi="Arial" w:cs="Arial"/>
              <w:sz w:val="22"/>
              <w:szCs w:val="22"/>
              <w:lang w:bidi="en-US"/>
            </w:rPr>
          </w:pPr>
        </w:p>
        <w:p w14:paraId="15F826AF"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lastRenderedPageBreak/>
            <w:t>Cooper, K 2022, </w:t>
          </w:r>
          <w:r w:rsidRPr="00E7708A">
            <w:rPr>
              <w:rFonts w:ascii="Arial" w:hAnsi="Arial" w:cs="Arial"/>
              <w:i/>
              <w:iCs/>
              <w:sz w:val="22"/>
              <w:szCs w:val="22"/>
              <w:lang w:bidi="en-US"/>
            </w:rPr>
            <w:t>The experience of gender dysphoria in autistic adults: Written accessible summary</w:t>
          </w:r>
          <w:r w:rsidRPr="00E7708A">
            <w:rPr>
              <w:rFonts w:ascii="Arial" w:hAnsi="Arial" w:cs="Arial"/>
              <w:sz w:val="22"/>
              <w:szCs w:val="22"/>
              <w:lang w:bidi="en-US"/>
            </w:rPr>
            <w:t xml:space="preserve">. Available at: </w:t>
          </w:r>
          <w:hyperlink r:id="rId10" w:history="1">
            <w:r w:rsidRPr="00E7708A">
              <w:rPr>
                <w:rStyle w:val="Hyperlink"/>
                <w:rFonts w:ascii="Arial" w:hAnsi="Arial" w:cs="Arial"/>
                <w:sz w:val="22"/>
                <w:szCs w:val="22"/>
                <w:lang w:bidi="en-US"/>
              </w:rPr>
              <w:t>https://researchportal.bath.ac.uk/en/publications/the-experience-of-gender-dysphoria-in-autistic-adults-written-acc</w:t>
            </w:r>
          </w:hyperlink>
          <w:r w:rsidRPr="00E7708A">
            <w:rPr>
              <w:rFonts w:ascii="Arial" w:hAnsi="Arial" w:cs="Arial"/>
              <w:sz w:val="22"/>
              <w:szCs w:val="22"/>
              <w:lang w:bidi="en-US"/>
            </w:rPr>
            <w:t xml:space="preserve"> [accessed 20 Feb. 22]</w:t>
          </w:r>
        </w:p>
        <w:p w14:paraId="6BF0B354" w14:textId="77777777" w:rsidR="007D10D0" w:rsidRPr="00E7708A" w:rsidRDefault="007D10D0" w:rsidP="007D10D0">
          <w:pPr>
            <w:rPr>
              <w:rFonts w:ascii="Arial" w:hAnsi="Arial" w:cs="Arial"/>
              <w:sz w:val="22"/>
              <w:szCs w:val="22"/>
              <w:lang w:bidi="en-US"/>
            </w:rPr>
          </w:pPr>
        </w:p>
        <w:p w14:paraId="0C1CA0B8"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Cooper, K, Russell, A, Mandy, W &amp; Butler, C 2020, 'The phenomenology of gender dysphoria in adults: A systematic review and meta-synthesis', </w:t>
          </w:r>
          <w:r w:rsidRPr="00E7708A">
            <w:rPr>
              <w:rFonts w:ascii="Arial" w:hAnsi="Arial" w:cs="Arial"/>
              <w:i/>
              <w:iCs/>
              <w:sz w:val="22"/>
              <w:szCs w:val="22"/>
              <w:lang w:bidi="en-US"/>
            </w:rPr>
            <w:t>Clinical Psychology Review</w:t>
          </w:r>
          <w:r w:rsidRPr="00E7708A">
            <w:rPr>
              <w:rFonts w:ascii="Arial" w:hAnsi="Arial" w:cs="Arial"/>
              <w:sz w:val="22"/>
              <w:szCs w:val="22"/>
              <w:lang w:bidi="en-US"/>
            </w:rPr>
            <w:t>, vol. 80, 101875. </w:t>
          </w:r>
          <w:hyperlink r:id="rId11" w:history="1">
            <w:r w:rsidRPr="00E7708A">
              <w:rPr>
                <w:rStyle w:val="Hyperlink"/>
                <w:rFonts w:ascii="Arial" w:hAnsi="Arial" w:cs="Arial"/>
                <w:sz w:val="22"/>
                <w:szCs w:val="22"/>
                <w:lang w:bidi="en-US"/>
              </w:rPr>
              <w:t>https://doi.org/10.1016/j.cpr.2020.101875</w:t>
            </w:r>
          </w:hyperlink>
        </w:p>
        <w:p w14:paraId="414E686B" w14:textId="77777777" w:rsidR="007D10D0" w:rsidRPr="00E7708A" w:rsidRDefault="007D10D0" w:rsidP="007D10D0">
          <w:pPr>
            <w:rPr>
              <w:rFonts w:ascii="Arial" w:hAnsi="Arial" w:cs="Arial"/>
              <w:sz w:val="22"/>
              <w:szCs w:val="22"/>
              <w:lang w:bidi="en-US"/>
            </w:rPr>
          </w:pPr>
        </w:p>
        <w:p w14:paraId="7808A5D6"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Cooper, K, Mandy, W, Russell, A &amp; Butler, C 2022, 'Healthcare clinician perspectives on the intersection of autism and gender dysphoria', </w:t>
          </w:r>
          <w:r w:rsidRPr="00E7708A">
            <w:rPr>
              <w:rFonts w:ascii="Arial" w:hAnsi="Arial" w:cs="Arial"/>
              <w:i/>
              <w:iCs/>
              <w:sz w:val="22"/>
              <w:szCs w:val="22"/>
              <w:lang w:bidi="en-US"/>
            </w:rPr>
            <w:t>Autism</w:t>
          </w:r>
          <w:r w:rsidRPr="00E7708A">
            <w:rPr>
              <w:rFonts w:ascii="Arial" w:hAnsi="Arial" w:cs="Arial"/>
              <w:sz w:val="22"/>
              <w:szCs w:val="22"/>
              <w:lang w:bidi="en-US"/>
            </w:rPr>
            <w:t>.</w:t>
          </w:r>
        </w:p>
        <w:p w14:paraId="7ECF0231" w14:textId="77777777" w:rsidR="007D10D0" w:rsidRPr="00E7708A" w:rsidRDefault="007D10D0" w:rsidP="007D10D0">
          <w:pPr>
            <w:rPr>
              <w:rFonts w:ascii="Arial" w:hAnsi="Arial" w:cs="Arial"/>
              <w:sz w:val="22"/>
              <w:szCs w:val="22"/>
              <w:lang w:bidi="en-US"/>
            </w:rPr>
          </w:pPr>
        </w:p>
        <w:p w14:paraId="669410F4" w14:textId="77777777" w:rsidR="007D10D0" w:rsidRPr="00E7708A" w:rsidRDefault="007D10D0" w:rsidP="007D10D0">
          <w:pPr>
            <w:rPr>
              <w:rFonts w:ascii="Arial" w:hAnsi="Arial" w:cs="Arial"/>
              <w:sz w:val="22"/>
              <w:szCs w:val="22"/>
              <w:lang w:bidi="en-US"/>
            </w:rPr>
          </w:pPr>
          <w:proofErr w:type="spellStart"/>
          <w:r w:rsidRPr="00E7708A">
            <w:rPr>
              <w:rFonts w:ascii="Arial" w:hAnsi="Arial" w:cs="Arial"/>
              <w:sz w:val="22"/>
              <w:szCs w:val="22"/>
              <w:lang w:bidi="en-US"/>
            </w:rPr>
            <w:t>Creaven</w:t>
          </w:r>
          <w:proofErr w:type="spellEnd"/>
          <w:r w:rsidRPr="00E7708A">
            <w:rPr>
              <w:rFonts w:ascii="Arial" w:hAnsi="Arial" w:cs="Arial"/>
              <w:sz w:val="22"/>
              <w:szCs w:val="22"/>
              <w:lang w:bidi="en-US"/>
            </w:rPr>
            <w:t>, F. and O’Malley-</w:t>
          </w:r>
          <w:proofErr w:type="spellStart"/>
          <w:r w:rsidRPr="00E7708A">
            <w:rPr>
              <w:rFonts w:ascii="Arial" w:hAnsi="Arial" w:cs="Arial"/>
              <w:sz w:val="22"/>
              <w:szCs w:val="22"/>
              <w:lang w:bidi="en-US"/>
            </w:rPr>
            <w:t>Keighran</w:t>
          </w:r>
          <w:proofErr w:type="spellEnd"/>
          <w:r w:rsidRPr="00E7708A">
            <w:rPr>
              <w:rFonts w:ascii="Arial" w:hAnsi="Arial" w:cs="Arial"/>
              <w:sz w:val="22"/>
              <w:szCs w:val="22"/>
              <w:lang w:bidi="en-US"/>
            </w:rPr>
            <w:t>, M. P. (2018) ‘We definitely need more SLTs’: The transgender community’s perception of the role of speech and language therapy in relation to their voice, language, and communication needs. </w:t>
          </w:r>
          <w:r w:rsidRPr="00E7708A">
            <w:rPr>
              <w:rFonts w:ascii="Arial" w:hAnsi="Arial" w:cs="Arial"/>
              <w:i/>
              <w:iCs/>
              <w:sz w:val="22"/>
              <w:szCs w:val="22"/>
              <w:lang w:bidi="en-US"/>
            </w:rPr>
            <w:t>Social Work &amp; Social Sciences Review</w:t>
          </w:r>
          <w:r w:rsidRPr="00E7708A">
            <w:rPr>
              <w:rFonts w:ascii="Arial" w:hAnsi="Arial" w:cs="Arial"/>
              <w:sz w:val="22"/>
              <w:szCs w:val="22"/>
              <w:lang w:bidi="en-US"/>
            </w:rPr>
            <w:t>. Vol. 19, No. 3: 17-41.</w:t>
          </w:r>
        </w:p>
        <w:p w14:paraId="595B43EB" w14:textId="77777777" w:rsidR="007D10D0" w:rsidRPr="00E7708A" w:rsidRDefault="007D10D0" w:rsidP="007D10D0">
          <w:pPr>
            <w:rPr>
              <w:rFonts w:ascii="Arial" w:hAnsi="Arial" w:cs="Arial"/>
              <w:sz w:val="22"/>
              <w:szCs w:val="22"/>
              <w:lang w:bidi="en-US"/>
            </w:rPr>
          </w:pPr>
        </w:p>
        <w:p w14:paraId="1D498210" w14:textId="77777777" w:rsidR="007D10D0" w:rsidRPr="00E7708A" w:rsidRDefault="007D10D0" w:rsidP="007D10D0">
          <w:pPr>
            <w:rPr>
              <w:rFonts w:ascii="Arial" w:hAnsi="Arial" w:cs="Arial"/>
              <w:sz w:val="22"/>
              <w:szCs w:val="22"/>
              <w:lang w:bidi="en-US"/>
            </w:rPr>
          </w:pPr>
          <w:proofErr w:type="spellStart"/>
          <w:r w:rsidRPr="00E7708A">
            <w:rPr>
              <w:rFonts w:ascii="Arial" w:hAnsi="Arial" w:cs="Arial"/>
              <w:sz w:val="22"/>
              <w:szCs w:val="22"/>
              <w:lang w:bidi="en-US"/>
            </w:rPr>
            <w:t>Dacakis</w:t>
          </w:r>
          <w:proofErr w:type="spellEnd"/>
          <w:r w:rsidRPr="00E7708A">
            <w:rPr>
              <w:rFonts w:ascii="Arial" w:hAnsi="Arial" w:cs="Arial"/>
              <w:sz w:val="22"/>
              <w:szCs w:val="22"/>
              <w:lang w:bidi="en-US"/>
            </w:rPr>
            <w:t>, G., Oates, J. and Douglas, J., 2012. Beyond voice. </w:t>
          </w:r>
          <w:r w:rsidRPr="00E7708A">
            <w:rPr>
              <w:rFonts w:ascii="Arial" w:hAnsi="Arial" w:cs="Arial"/>
              <w:i/>
              <w:iCs/>
              <w:sz w:val="22"/>
              <w:szCs w:val="22"/>
              <w:lang w:bidi="en-US"/>
            </w:rPr>
            <w:t>Current Opinion in Otolaryngology &amp; Head and Neck Surgery</w:t>
          </w:r>
          <w:r w:rsidRPr="00E7708A">
            <w:rPr>
              <w:rFonts w:ascii="Arial" w:hAnsi="Arial" w:cs="Arial"/>
              <w:sz w:val="22"/>
              <w:szCs w:val="22"/>
              <w:lang w:bidi="en-US"/>
            </w:rPr>
            <w:t>, [online] 20(3), pp.165-170. Available at: &lt;https://journals.lww.com/co-otolaryngology/Fulltext/2012/06000/Beyond_voice__perceptions_of_gender_in.5.aspx?casa_token=ME8rO4iNjEkAAAAA:PIS7CYX9f68NLuuIXIJUa9cK1h2XZNh8bNw32WZUkxOty6Bo6qvEhjOiJjEMolCJ3O-gwPgGaCJwEo-luyUv32zkFJGdZb67Zwtg2AK3kg&gt; [Accessed 15 February 2022].</w:t>
          </w:r>
        </w:p>
        <w:p w14:paraId="280F64AC" w14:textId="77777777" w:rsidR="007D10D0" w:rsidRPr="00E7708A" w:rsidRDefault="007D10D0" w:rsidP="007D10D0">
          <w:pPr>
            <w:rPr>
              <w:rFonts w:ascii="Arial" w:hAnsi="Arial" w:cs="Arial"/>
              <w:sz w:val="22"/>
              <w:szCs w:val="22"/>
              <w:lang w:bidi="en-US"/>
            </w:rPr>
          </w:pPr>
        </w:p>
        <w:p w14:paraId="7195F18C"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Davies, S. &amp; Goldberg, J.M. (2006). Clinical aspects of transgender speech feminization and masculinization. International Journal of Transgenderism, 9 (3-4), 167-196.</w:t>
          </w:r>
        </w:p>
        <w:p w14:paraId="20608A9D" w14:textId="77777777" w:rsidR="007D10D0" w:rsidRPr="00E7708A" w:rsidRDefault="007D10D0" w:rsidP="007D10D0">
          <w:pPr>
            <w:rPr>
              <w:rFonts w:ascii="Arial" w:hAnsi="Arial" w:cs="Arial"/>
              <w:sz w:val="22"/>
              <w:szCs w:val="22"/>
              <w:lang w:bidi="en-US"/>
            </w:rPr>
          </w:pPr>
        </w:p>
        <w:p w14:paraId="32B25B2A" w14:textId="7C87A7D2"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Davies, S., Papp, V., &amp; Antoni, C. (2015). Voice and communication for gender non-conforming individuals: giving voice to the person inside. International Journal of Transgenderism, 16(3), 117-159.</w:t>
          </w:r>
        </w:p>
        <w:p w14:paraId="7B3E0CEF" w14:textId="16833186" w:rsidR="00631E86" w:rsidRPr="00E7708A" w:rsidRDefault="00631E86" w:rsidP="007D10D0">
          <w:pPr>
            <w:rPr>
              <w:rFonts w:ascii="Arial" w:hAnsi="Arial" w:cs="Arial"/>
              <w:sz w:val="22"/>
              <w:szCs w:val="22"/>
              <w:lang w:bidi="en-US"/>
            </w:rPr>
          </w:pPr>
        </w:p>
        <w:p w14:paraId="4C6D5E23" w14:textId="77777777" w:rsidR="00631E86" w:rsidRPr="00E7708A" w:rsidRDefault="00631E86" w:rsidP="00631E86">
          <w:pPr>
            <w:rPr>
              <w:rFonts w:ascii="Arial" w:hAnsi="Arial" w:cs="Arial"/>
              <w:sz w:val="22"/>
              <w:szCs w:val="22"/>
            </w:rPr>
          </w:pPr>
          <w:r w:rsidRPr="00E7708A">
            <w:rPr>
              <w:rFonts w:ascii="Arial" w:hAnsi="Arial" w:cs="Arial"/>
              <w:color w:val="000000"/>
              <w:sz w:val="22"/>
              <w:szCs w:val="22"/>
              <w:shd w:val="clear" w:color="auto" w:fill="FFFFFF"/>
            </w:rPr>
            <w:t>Davis, N., 2019. Trans patients in England face 'soul destroying' wait for treatment.</w:t>
          </w:r>
          <w:r w:rsidRPr="00E7708A">
            <w:rPr>
              <w:rStyle w:val="apple-converted-space"/>
              <w:rFonts w:ascii="Arial" w:hAnsi="Arial" w:cs="Arial"/>
              <w:color w:val="000000"/>
              <w:sz w:val="22"/>
              <w:szCs w:val="22"/>
              <w:shd w:val="clear" w:color="auto" w:fill="FFFFFF"/>
            </w:rPr>
            <w:t> </w:t>
          </w:r>
          <w:r w:rsidRPr="00E7708A">
            <w:rPr>
              <w:rFonts w:ascii="Arial" w:hAnsi="Arial" w:cs="Arial"/>
              <w:i/>
              <w:iCs/>
              <w:color w:val="000000"/>
              <w:sz w:val="22"/>
              <w:szCs w:val="22"/>
            </w:rPr>
            <w:t>The Guardian</w:t>
          </w:r>
          <w:r w:rsidRPr="00E7708A">
            <w:rPr>
              <w:rFonts w:ascii="Arial" w:hAnsi="Arial" w:cs="Arial"/>
              <w:color w:val="000000"/>
              <w:sz w:val="22"/>
              <w:szCs w:val="22"/>
              <w:shd w:val="clear" w:color="auto" w:fill="FFFFFF"/>
            </w:rPr>
            <w:t>, [online] Available at: &lt;https://www.theguardian.com/society/2019/feb/26/trans-patients-in-england-face-soul-destroying-wait-for-treatment&gt; [Accessed 1 April 2022].</w:t>
          </w:r>
        </w:p>
        <w:p w14:paraId="420FAF88" w14:textId="77777777" w:rsidR="00631E86" w:rsidRPr="00E7708A" w:rsidRDefault="00631E86" w:rsidP="007D10D0">
          <w:pPr>
            <w:rPr>
              <w:rFonts w:ascii="Arial" w:hAnsi="Arial" w:cs="Arial"/>
              <w:sz w:val="22"/>
              <w:szCs w:val="22"/>
              <w:lang w:bidi="en-US"/>
            </w:rPr>
          </w:pPr>
        </w:p>
        <w:p w14:paraId="7F602196" w14:textId="77777777" w:rsidR="007D10D0" w:rsidRPr="00E7708A" w:rsidRDefault="007D10D0" w:rsidP="007D10D0">
          <w:pPr>
            <w:rPr>
              <w:rFonts w:ascii="Arial" w:hAnsi="Arial" w:cs="Arial"/>
              <w:sz w:val="22"/>
              <w:szCs w:val="22"/>
              <w:lang w:bidi="en-US"/>
            </w:rPr>
          </w:pPr>
        </w:p>
        <w:p w14:paraId="25F574B3"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Dawes, M., </w:t>
          </w:r>
          <w:proofErr w:type="spellStart"/>
          <w:r w:rsidRPr="00E7708A">
            <w:rPr>
              <w:rFonts w:ascii="Arial" w:hAnsi="Arial" w:cs="Arial"/>
              <w:sz w:val="22"/>
              <w:szCs w:val="22"/>
              <w:lang w:bidi="en-US"/>
            </w:rPr>
            <w:t>Summerskill</w:t>
          </w:r>
          <w:proofErr w:type="spellEnd"/>
          <w:r w:rsidRPr="00E7708A">
            <w:rPr>
              <w:rFonts w:ascii="Arial" w:hAnsi="Arial" w:cs="Arial"/>
              <w:sz w:val="22"/>
              <w:szCs w:val="22"/>
              <w:lang w:bidi="en-US"/>
            </w:rPr>
            <w:t xml:space="preserve">, W., </w:t>
          </w:r>
          <w:proofErr w:type="spellStart"/>
          <w:r w:rsidRPr="00E7708A">
            <w:rPr>
              <w:rFonts w:ascii="Arial" w:hAnsi="Arial" w:cs="Arial"/>
              <w:sz w:val="22"/>
              <w:szCs w:val="22"/>
              <w:lang w:bidi="en-US"/>
            </w:rPr>
            <w:t>Glasziou</w:t>
          </w:r>
          <w:proofErr w:type="spellEnd"/>
          <w:r w:rsidRPr="00E7708A">
            <w:rPr>
              <w:rFonts w:ascii="Arial" w:hAnsi="Arial" w:cs="Arial"/>
              <w:sz w:val="22"/>
              <w:szCs w:val="22"/>
              <w:lang w:bidi="en-US"/>
            </w:rPr>
            <w:t xml:space="preserve">, P., </w:t>
          </w:r>
          <w:proofErr w:type="spellStart"/>
          <w:r w:rsidRPr="00E7708A">
            <w:rPr>
              <w:rFonts w:ascii="Arial" w:hAnsi="Arial" w:cs="Arial"/>
              <w:sz w:val="22"/>
              <w:szCs w:val="22"/>
              <w:lang w:bidi="en-US"/>
            </w:rPr>
            <w:t>Cartabellotta</w:t>
          </w:r>
          <w:proofErr w:type="spellEnd"/>
          <w:r w:rsidRPr="00E7708A">
            <w:rPr>
              <w:rFonts w:ascii="Arial" w:hAnsi="Arial" w:cs="Arial"/>
              <w:sz w:val="22"/>
              <w:szCs w:val="22"/>
              <w:lang w:bidi="en-US"/>
            </w:rPr>
            <w:t xml:space="preserve">, A., Martin, J., </w:t>
          </w:r>
          <w:proofErr w:type="spellStart"/>
          <w:r w:rsidRPr="00E7708A">
            <w:rPr>
              <w:rFonts w:ascii="Arial" w:hAnsi="Arial" w:cs="Arial"/>
              <w:sz w:val="22"/>
              <w:szCs w:val="22"/>
              <w:lang w:bidi="en-US"/>
            </w:rPr>
            <w:t>Hopayian</w:t>
          </w:r>
          <w:proofErr w:type="spellEnd"/>
          <w:r w:rsidRPr="00E7708A">
            <w:rPr>
              <w:rFonts w:ascii="Arial" w:hAnsi="Arial" w:cs="Arial"/>
              <w:sz w:val="22"/>
              <w:szCs w:val="22"/>
              <w:lang w:bidi="en-US"/>
            </w:rPr>
            <w:t xml:space="preserve">, K., </w:t>
          </w:r>
          <w:proofErr w:type="spellStart"/>
          <w:r w:rsidRPr="00E7708A">
            <w:rPr>
              <w:rFonts w:ascii="Arial" w:hAnsi="Arial" w:cs="Arial"/>
              <w:sz w:val="22"/>
              <w:szCs w:val="22"/>
              <w:lang w:bidi="en-US"/>
            </w:rPr>
            <w:t>Porzsolt</w:t>
          </w:r>
          <w:proofErr w:type="spellEnd"/>
          <w:r w:rsidRPr="00E7708A">
            <w:rPr>
              <w:rFonts w:ascii="Arial" w:hAnsi="Arial" w:cs="Arial"/>
              <w:sz w:val="22"/>
              <w:szCs w:val="22"/>
              <w:lang w:bidi="en-US"/>
            </w:rPr>
            <w:t>, F., Burls, A. and Osborne, J., 2005. Sicily statement on evidence-based practice. </w:t>
          </w:r>
          <w:r w:rsidRPr="00E7708A">
            <w:rPr>
              <w:rFonts w:ascii="Arial" w:hAnsi="Arial" w:cs="Arial"/>
              <w:i/>
              <w:iCs/>
              <w:sz w:val="22"/>
              <w:szCs w:val="22"/>
              <w:lang w:bidi="en-US"/>
            </w:rPr>
            <w:t>BMC Medical Education</w:t>
          </w:r>
          <w:r w:rsidRPr="00E7708A">
            <w:rPr>
              <w:rFonts w:ascii="Arial" w:hAnsi="Arial" w:cs="Arial"/>
              <w:sz w:val="22"/>
              <w:szCs w:val="22"/>
              <w:lang w:bidi="en-US"/>
            </w:rPr>
            <w:t>, [online] 5(1). Available at: &lt;https://bmcmededuc.biomedcentral.com/track/pdf/10.1186/1472-6920-5-1.pdf&gt; [Accessed 13 March 2022].</w:t>
          </w:r>
        </w:p>
        <w:p w14:paraId="548ABE95" w14:textId="77777777" w:rsidR="007D10D0" w:rsidRPr="00E7708A" w:rsidRDefault="007D10D0" w:rsidP="007D10D0">
          <w:pPr>
            <w:rPr>
              <w:rFonts w:ascii="Arial" w:hAnsi="Arial" w:cs="Arial"/>
              <w:sz w:val="22"/>
              <w:szCs w:val="22"/>
              <w:lang w:bidi="en-US"/>
            </w:rPr>
          </w:pPr>
        </w:p>
        <w:p w14:paraId="69BE45E0"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Driscoll, J.J. (2007) Supported reflective learning: the essence of clinical supervision? </w:t>
          </w:r>
          <w:proofErr w:type="spellStart"/>
          <w:r w:rsidRPr="00E7708A">
            <w:rPr>
              <w:rFonts w:ascii="Arial" w:hAnsi="Arial" w:cs="Arial"/>
              <w:sz w:val="22"/>
              <w:szCs w:val="22"/>
              <w:lang w:bidi="en-US"/>
            </w:rPr>
            <w:t>Chp</w:t>
          </w:r>
          <w:proofErr w:type="spellEnd"/>
          <w:r w:rsidRPr="00E7708A">
            <w:rPr>
              <w:rFonts w:ascii="Arial" w:hAnsi="Arial" w:cs="Arial"/>
              <w:sz w:val="22"/>
              <w:szCs w:val="22"/>
              <w:lang w:bidi="en-US"/>
            </w:rPr>
            <w:t xml:space="preserve"> 2 in Practising Clinical Supervision: A Reflective Approach for Healthcare Professionals (2nd edition). London: Bailliere Tindall. Pp 27-</w:t>
          </w:r>
          <w:r w:rsidRPr="00E7708A">
            <w:rPr>
              <w:rFonts w:ascii="Cambria Math" w:hAnsi="Cambria Math" w:cs="Cambria Math"/>
              <w:sz w:val="22"/>
              <w:szCs w:val="22"/>
              <w:lang w:bidi="en-US"/>
            </w:rPr>
            <w:t>‐</w:t>
          </w:r>
          <w:r w:rsidRPr="00E7708A">
            <w:rPr>
              <w:rFonts w:ascii="Arial" w:hAnsi="Arial" w:cs="Arial"/>
              <w:sz w:val="22"/>
              <w:szCs w:val="22"/>
              <w:lang w:bidi="en-US"/>
            </w:rPr>
            <w:t>50.</w:t>
          </w:r>
        </w:p>
        <w:p w14:paraId="438B83DB" w14:textId="77777777" w:rsidR="007D10D0" w:rsidRPr="00E7708A" w:rsidRDefault="007D10D0" w:rsidP="007D10D0">
          <w:pPr>
            <w:rPr>
              <w:rFonts w:ascii="Arial" w:hAnsi="Arial" w:cs="Arial"/>
              <w:sz w:val="22"/>
              <w:szCs w:val="22"/>
              <w:lang w:bidi="en-US"/>
            </w:rPr>
          </w:pPr>
        </w:p>
        <w:p w14:paraId="5A4E4E76" w14:textId="77777777" w:rsidR="007D10D0" w:rsidRPr="00E7708A" w:rsidRDefault="007D10D0" w:rsidP="007D10D0">
          <w:pPr>
            <w:rPr>
              <w:rFonts w:ascii="Arial" w:hAnsi="Arial" w:cs="Arial"/>
              <w:sz w:val="22"/>
              <w:szCs w:val="22"/>
              <w:lang w:bidi="en-US"/>
            </w:rPr>
          </w:pPr>
          <w:proofErr w:type="spellStart"/>
          <w:r w:rsidRPr="00E7708A">
            <w:rPr>
              <w:rFonts w:ascii="Arial" w:hAnsi="Arial" w:cs="Arial"/>
              <w:sz w:val="22"/>
              <w:szCs w:val="22"/>
              <w:lang w:bidi="en-US"/>
            </w:rPr>
            <w:t>Flentje</w:t>
          </w:r>
          <w:proofErr w:type="spellEnd"/>
          <w:r w:rsidRPr="00E7708A">
            <w:rPr>
              <w:rFonts w:ascii="Arial" w:hAnsi="Arial" w:cs="Arial"/>
              <w:sz w:val="22"/>
              <w:szCs w:val="22"/>
              <w:lang w:bidi="en-US"/>
            </w:rPr>
            <w:t>, A., Heck, N., Brennan, J. and Meyer, I., 2019. The relationship between minority stress and biological outcomes: A systematic review. </w:t>
          </w:r>
          <w:r w:rsidRPr="00E7708A">
            <w:rPr>
              <w:rFonts w:ascii="Arial" w:hAnsi="Arial" w:cs="Arial"/>
              <w:i/>
              <w:iCs/>
              <w:sz w:val="22"/>
              <w:szCs w:val="22"/>
              <w:lang w:bidi="en-US"/>
            </w:rPr>
            <w:t xml:space="preserve">Journal of </w:t>
          </w:r>
          <w:proofErr w:type="spellStart"/>
          <w:r w:rsidRPr="00E7708A">
            <w:rPr>
              <w:rFonts w:ascii="Arial" w:hAnsi="Arial" w:cs="Arial"/>
              <w:i/>
              <w:iCs/>
              <w:sz w:val="22"/>
              <w:szCs w:val="22"/>
              <w:lang w:bidi="en-US"/>
            </w:rPr>
            <w:t>Behavioral</w:t>
          </w:r>
          <w:proofErr w:type="spellEnd"/>
          <w:r w:rsidRPr="00E7708A">
            <w:rPr>
              <w:rFonts w:ascii="Arial" w:hAnsi="Arial" w:cs="Arial"/>
              <w:i/>
              <w:iCs/>
              <w:sz w:val="22"/>
              <w:szCs w:val="22"/>
              <w:lang w:bidi="en-US"/>
            </w:rPr>
            <w:t xml:space="preserve"> Medicine</w:t>
          </w:r>
          <w:r w:rsidRPr="00E7708A">
            <w:rPr>
              <w:rFonts w:ascii="Arial" w:hAnsi="Arial" w:cs="Arial"/>
              <w:sz w:val="22"/>
              <w:szCs w:val="22"/>
              <w:lang w:bidi="en-US"/>
            </w:rPr>
            <w:t>, [online] 43(5), pp.673-694. Available at: &lt;https://link.springer.com/article/10.1007/s10865-019-00120-6&gt; [Accessed 27 February 2022].</w:t>
          </w:r>
        </w:p>
        <w:p w14:paraId="0924DFE9" w14:textId="77777777" w:rsidR="007D10D0" w:rsidRPr="00E7708A" w:rsidRDefault="007D10D0" w:rsidP="007D10D0">
          <w:pPr>
            <w:rPr>
              <w:rFonts w:ascii="Arial" w:hAnsi="Arial" w:cs="Arial"/>
              <w:sz w:val="22"/>
              <w:szCs w:val="22"/>
              <w:lang w:bidi="en-US"/>
            </w:rPr>
          </w:pPr>
        </w:p>
        <w:p w14:paraId="66AE955B" w14:textId="77777777" w:rsidR="007D10D0" w:rsidRPr="00E7708A" w:rsidRDefault="007D10D0" w:rsidP="007D10D0">
          <w:pPr>
            <w:rPr>
              <w:rFonts w:ascii="Arial" w:hAnsi="Arial" w:cs="Arial"/>
              <w:sz w:val="22"/>
              <w:szCs w:val="22"/>
              <w:lang w:bidi="en-US"/>
            </w:rPr>
          </w:pPr>
          <w:proofErr w:type="spellStart"/>
          <w:r w:rsidRPr="00E7708A">
            <w:rPr>
              <w:rFonts w:ascii="Arial" w:hAnsi="Arial" w:cs="Arial"/>
              <w:sz w:val="22"/>
              <w:szCs w:val="22"/>
              <w:lang w:bidi="en-US"/>
            </w:rPr>
            <w:lastRenderedPageBreak/>
            <w:t>Ghaye</w:t>
          </w:r>
          <w:proofErr w:type="spellEnd"/>
          <w:r w:rsidRPr="00E7708A">
            <w:rPr>
              <w:rFonts w:ascii="Arial" w:hAnsi="Arial" w:cs="Arial"/>
              <w:sz w:val="22"/>
              <w:szCs w:val="22"/>
              <w:lang w:bidi="en-US"/>
            </w:rPr>
            <w:t>, T (1998) Teaching and Learning through Professional Practice: A Practical Guide for Positive Action, David Fulton Publishers, Oxford</w:t>
          </w:r>
        </w:p>
        <w:p w14:paraId="52A4A83D" w14:textId="77777777" w:rsidR="007D10D0" w:rsidRPr="00E7708A" w:rsidRDefault="007D10D0" w:rsidP="007D10D0">
          <w:pPr>
            <w:rPr>
              <w:rFonts w:ascii="Arial" w:hAnsi="Arial" w:cs="Arial"/>
              <w:sz w:val="22"/>
              <w:szCs w:val="22"/>
              <w:lang w:bidi="en-US"/>
            </w:rPr>
          </w:pPr>
        </w:p>
        <w:p w14:paraId="11D70062" w14:textId="77777777" w:rsidR="007D10D0" w:rsidRPr="00E7708A" w:rsidRDefault="007D10D0" w:rsidP="007D10D0">
          <w:pPr>
            <w:rPr>
              <w:rFonts w:ascii="Arial" w:hAnsi="Arial" w:cs="Arial"/>
              <w:sz w:val="22"/>
              <w:szCs w:val="22"/>
              <w:lang w:bidi="en-US"/>
            </w:rPr>
          </w:pPr>
          <w:proofErr w:type="spellStart"/>
          <w:r w:rsidRPr="00E7708A">
            <w:rPr>
              <w:rFonts w:ascii="Arial" w:hAnsi="Arial" w:cs="Arial"/>
              <w:sz w:val="22"/>
              <w:szCs w:val="22"/>
              <w:lang w:bidi="en-US"/>
            </w:rPr>
            <w:t>Gelfer</w:t>
          </w:r>
          <w:proofErr w:type="spellEnd"/>
          <w:r w:rsidRPr="00E7708A">
            <w:rPr>
              <w:rFonts w:ascii="Arial" w:hAnsi="Arial" w:cs="Arial"/>
              <w:sz w:val="22"/>
              <w:szCs w:val="22"/>
              <w:lang w:bidi="en-US"/>
            </w:rPr>
            <w:t>, M. P. and Schofield, K. S. (2000) Comparison of acoustic and perceptual measures in male-to-female transsexuals perceived as female vs. those perceived as male. </w:t>
          </w:r>
          <w:r w:rsidRPr="00E7708A">
            <w:rPr>
              <w:rFonts w:ascii="Arial" w:hAnsi="Arial" w:cs="Arial"/>
              <w:i/>
              <w:iCs/>
              <w:sz w:val="22"/>
              <w:szCs w:val="22"/>
              <w:lang w:bidi="en-US"/>
            </w:rPr>
            <w:t>Journal of Voice</w:t>
          </w:r>
          <w:r w:rsidRPr="00E7708A">
            <w:rPr>
              <w:rFonts w:ascii="Arial" w:hAnsi="Arial" w:cs="Arial"/>
              <w:sz w:val="22"/>
              <w:szCs w:val="22"/>
              <w:lang w:bidi="en-US"/>
            </w:rPr>
            <w:t>. Vol. 14: 22-33.</w:t>
          </w:r>
        </w:p>
        <w:p w14:paraId="00366960" w14:textId="77777777" w:rsidR="007D10D0" w:rsidRPr="00E7708A" w:rsidRDefault="007D10D0" w:rsidP="007D10D0">
          <w:pPr>
            <w:rPr>
              <w:rFonts w:ascii="Arial" w:hAnsi="Arial" w:cs="Arial"/>
              <w:sz w:val="22"/>
              <w:szCs w:val="22"/>
              <w:lang w:bidi="en-US"/>
            </w:rPr>
          </w:pPr>
        </w:p>
        <w:p w14:paraId="42753D13"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Golden, R. L., &amp; </w:t>
          </w:r>
          <w:proofErr w:type="spellStart"/>
          <w:r w:rsidRPr="00E7708A">
            <w:rPr>
              <w:rFonts w:ascii="Arial" w:hAnsi="Arial" w:cs="Arial"/>
              <w:sz w:val="22"/>
              <w:szCs w:val="22"/>
              <w:lang w:bidi="en-US"/>
            </w:rPr>
            <w:t>Oransky</w:t>
          </w:r>
          <w:proofErr w:type="spellEnd"/>
          <w:r w:rsidRPr="00E7708A">
            <w:rPr>
              <w:rFonts w:ascii="Arial" w:hAnsi="Arial" w:cs="Arial"/>
              <w:sz w:val="22"/>
              <w:szCs w:val="22"/>
              <w:lang w:bidi="en-US"/>
            </w:rPr>
            <w:t>, M. (2019). An intersectional approach to therapy with transgender adolescents and their families. </w:t>
          </w:r>
          <w:r w:rsidRPr="00E7708A">
            <w:rPr>
              <w:rFonts w:ascii="Arial" w:hAnsi="Arial" w:cs="Arial"/>
              <w:i/>
              <w:iCs/>
              <w:sz w:val="22"/>
              <w:szCs w:val="22"/>
              <w:lang w:bidi="en-US"/>
            </w:rPr>
            <w:t xml:space="preserve">Archives of Sexual </w:t>
          </w:r>
          <w:proofErr w:type="spellStart"/>
          <w:r w:rsidRPr="00E7708A">
            <w:rPr>
              <w:rFonts w:ascii="Arial" w:hAnsi="Arial" w:cs="Arial"/>
              <w:i/>
              <w:iCs/>
              <w:sz w:val="22"/>
              <w:szCs w:val="22"/>
              <w:lang w:bidi="en-US"/>
            </w:rPr>
            <w:t>Behavior</w:t>
          </w:r>
          <w:proofErr w:type="spellEnd"/>
          <w:r w:rsidRPr="00E7708A">
            <w:rPr>
              <w:rFonts w:ascii="Arial" w:hAnsi="Arial" w:cs="Arial"/>
              <w:i/>
              <w:iCs/>
              <w:sz w:val="22"/>
              <w:szCs w:val="22"/>
              <w:lang w:bidi="en-US"/>
            </w:rPr>
            <w:t>, 48</w:t>
          </w:r>
          <w:r w:rsidRPr="00E7708A">
            <w:rPr>
              <w:rFonts w:ascii="Arial" w:hAnsi="Arial" w:cs="Arial"/>
              <w:sz w:val="22"/>
              <w:szCs w:val="22"/>
              <w:lang w:bidi="en-US"/>
            </w:rPr>
            <w:t>(7), 2011–2025. </w:t>
          </w:r>
          <w:hyperlink r:id="rId12" w:tgtFrame="_blank" w:history="1">
            <w:r w:rsidRPr="00E7708A">
              <w:rPr>
                <w:rStyle w:val="Hyperlink"/>
                <w:rFonts w:ascii="Arial" w:hAnsi="Arial" w:cs="Arial"/>
                <w:sz w:val="22"/>
                <w:szCs w:val="22"/>
                <w:lang w:bidi="en-US"/>
              </w:rPr>
              <w:t>https://doi.org/10.1007/s10508-018-1354-9</w:t>
            </w:r>
          </w:hyperlink>
          <w:r w:rsidRPr="00E7708A">
            <w:rPr>
              <w:rFonts w:ascii="Arial" w:hAnsi="Arial" w:cs="Arial"/>
              <w:sz w:val="22"/>
              <w:szCs w:val="22"/>
              <w:lang w:bidi="en-US"/>
            </w:rPr>
            <w:t xml:space="preserve"> [accessed 27 2 2022].</w:t>
          </w:r>
        </w:p>
        <w:p w14:paraId="26B4DA65" w14:textId="77777777" w:rsidR="007D10D0" w:rsidRPr="00E7708A" w:rsidRDefault="007D10D0" w:rsidP="007D10D0">
          <w:pPr>
            <w:rPr>
              <w:rFonts w:ascii="Arial" w:hAnsi="Arial" w:cs="Arial"/>
              <w:sz w:val="22"/>
              <w:szCs w:val="22"/>
              <w:lang w:bidi="en-US"/>
            </w:rPr>
          </w:pPr>
        </w:p>
        <w:p w14:paraId="032B2A6A"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Government Equalities Office 2018. </w:t>
          </w:r>
          <w:r w:rsidRPr="00E7708A">
            <w:rPr>
              <w:rFonts w:ascii="Arial" w:hAnsi="Arial" w:cs="Arial"/>
              <w:i/>
              <w:iCs/>
              <w:sz w:val="22"/>
              <w:szCs w:val="22"/>
              <w:lang w:bidi="en-US"/>
            </w:rPr>
            <w:t>TRANS PEOPLE IN THE UK</w:t>
          </w:r>
          <w:r w:rsidRPr="00E7708A">
            <w:rPr>
              <w:rFonts w:ascii="Arial" w:hAnsi="Arial" w:cs="Arial"/>
              <w:sz w:val="22"/>
              <w:szCs w:val="22"/>
              <w:lang w:bidi="en-US"/>
            </w:rPr>
            <w:t>. [online] Available at: &lt;https://assets.publishing.service.gov.uk/government/uploads/system/uploads/attachment_data/file/721642/GEO-LGBT-factsheet.pdf&gt; [Accessed 13 February 2022].</w:t>
          </w:r>
        </w:p>
        <w:p w14:paraId="2A06D031" w14:textId="77777777" w:rsidR="007D10D0" w:rsidRPr="00E7708A" w:rsidRDefault="007D10D0" w:rsidP="007D10D0">
          <w:pPr>
            <w:rPr>
              <w:rFonts w:ascii="Arial" w:hAnsi="Arial" w:cs="Arial"/>
              <w:sz w:val="22"/>
              <w:szCs w:val="22"/>
              <w:lang w:bidi="en-US"/>
            </w:rPr>
          </w:pPr>
        </w:p>
        <w:p w14:paraId="626DBDAB" w14:textId="77777777" w:rsidR="007D10D0" w:rsidRPr="00E7708A" w:rsidRDefault="007D10D0" w:rsidP="007D10D0">
          <w:pPr>
            <w:rPr>
              <w:rFonts w:ascii="Arial" w:hAnsi="Arial" w:cs="Arial"/>
              <w:sz w:val="22"/>
              <w:szCs w:val="22"/>
            </w:rPr>
          </w:pPr>
          <w:r w:rsidRPr="00E7708A">
            <w:rPr>
              <w:rFonts w:ascii="Arial" w:hAnsi="Arial" w:cs="Arial"/>
              <w:color w:val="000000"/>
              <w:sz w:val="22"/>
              <w:szCs w:val="22"/>
              <w:shd w:val="clear" w:color="auto" w:fill="FFFFFF"/>
            </w:rPr>
            <w:t>GOV.UK. 2021.</w:t>
          </w:r>
          <w:r w:rsidRPr="00E7708A">
            <w:rPr>
              <w:rStyle w:val="apple-converted-space"/>
              <w:rFonts w:ascii="Arial" w:hAnsi="Arial" w:cs="Arial"/>
              <w:color w:val="000000"/>
              <w:sz w:val="22"/>
              <w:szCs w:val="22"/>
              <w:shd w:val="clear" w:color="auto" w:fill="FFFFFF"/>
            </w:rPr>
            <w:t> </w:t>
          </w:r>
          <w:r w:rsidRPr="00E7708A">
            <w:rPr>
              <w:rFonts w:ascii="Arial" w:hAnsi="Arial" w:cs="Arial"/>
              <w:i/>
              <w:iCs/>
              <w:color w:val="000000"/>
              <w:sz w:val="22"/>
              <w:szCs w:val="22"/>
            </w:rPr>
            <w:t>4. Clinical governance</w:t>
          </w:r>
          <w:r w:rsidRPr="00E7708A">
            <w:rPr>
              <w:rFonts w:ascii="Arial" w:hAnsi="Arial" w:cs="Arial"/>
              <w:color w:val="000000"/>
              <w:sz w:val="22"/>
              <w:szCs w:val="22"/>
              <w:shd w:val="clear" w:color="auto" w:fill="FFFFFF"/>
            </w:rPr>
            <w:t>. [online] Available at: &lt;https://www.gov.uk/government/publications/newborn-hearing-screening-programme-nhsp-operational-guidance/4-clinical-governance&gt; [Accessed 13 March 2022].</w:t>
          </w:r>
        </w:p>
        <w:p w14:paraId="2712401C" w14:textId="77777777" w:rsidR="007D10D0" w:rsidRPr="00E7708A" w:rsidRDefault="007D10D0" w:rsidP="007D10D0">
          <w:pPr>
            <w:rPr>
              <w:rFonts w:ascii="Arial" w:hAnsi="Arial" w:cs="Arial"/>
              <w:sz w:val="22"/>
              <w:szCs w:val="22"/>
              <w:lang w:bidi="en-US"/>
            </w:rPr>
          </w:pPr>
        </w:p>
        <w:p w14:paraId="023236BC"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Hancock, A. and </w:t>
          </w:r>
          <w:proofErr w:type="spellStart"/>
          <w:r w:rsidRPr="00E7708A">
            <w:rPr>
              <w:rFonts w:ascii="Arial" w:hAnsi="Arial" w:cs="Arial"/>
              <w:sz w:val="22"/>
              <w:szCs w:val="22"/>
              <w:lang w:bidi="en-US"/>
            </w:rPr>
            <w:t>Helenius</w:t>
          </w:r>
          <w:proofErr w:type="spellEnd"/>
          <w:r w:rsidRPr="00E7708A">
            <w:rPr>
              <w:rFonts w:ascii="Arial" w:hAnsi="Arial" w:cs="Arial"/>
              <w:sz w:val="22"/>
              <w:szCs w:val="22"/>
              <w:lang w:bidi="en-US"/>
            </w:rPr>
            <w:t>, L. (2012) Adolescent male-to-female transgender voice and communication therapy. </w:t>
          </w:r>
          <w:r w:rsidRPr="00E7708A">
            <w:rPr>
              <w:rFonts w:ascii="Arial" w:hAnsi="Arial" w:cs="Arial"/>
              <w:i/>
              <w:iCs/>
              <w:sz w:val="22"/>
              <w:szCs w:val="22"/>
              <w:lang w:bidi="en-US"/>
            </w:rPr>
            <w:t>Journal of Communication Disorders</w:t>
          </w:r>
          <w:r w:rsidRPr="00E7708A">
            <w:rPr>
              <w:rFonts w:ascii="Arial" w:hAnsi="Arial" w:cs="Arial"/>
              <w:sz w:val="22"/>
              <w:szCs w:val="22"/>
              <w:lang w:bidi="en-US"/>
            </w:rPr>
            <w:t>. Vol. 45: 313-324.</w:t>
          </w:r>
        </w:p>
        <w:p w14:paraId="5B6A857D" w14:textId="77777777" w:rsidR="007D10D0" w:rsidRPr="00E7708A" w:rsidRDefault="007D10D0" w:rsidP="007D10D0">
          <w:pPr>
            <w:rPr>
              <w:rFonts w:ascii="Arial" w:hAnsi="Arial" w:cs="Arial"/>
              <w:sz w:val="22"/>
              <w:szCs w:val="22"/>
              <w:lang w:bidi="en-US"/>
            </w:rPr>
          </w:pPr>
        </w:p>
        <w:p w14:paraId="208FF949" w14:textId="34332688"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Hancock, A.B., &amp; Haskin, G. (2015). Speech-Language Pathologists’ knowledge and attitudes regarding lesbian, gay, bisexual, transgender and queer (LGBTQ) populations. American Journal of Speech-Language Pathology 24(2) – February 2015.</w:t>
          </w:r>
        </w:p>
        <w:p w14:paraId="2959F8FD" w14:textId="7BB1C39E" w:rsidR="00372CF7" w:rsidRPr="00E7708A" w:rsidRDefault="00372CF7" w:rsidP="007D10D0">
          <w:pPr>
            <w:rPr>
              <w:rFonts w:ascii="Arial" w:hAnsi="Arial" w:cs="Arial"/>
              <w:sz w:val="22"/>
              <w:szCs w:val="22"/>
              <w:lang w:bidi="en-US"/>
            </w:rPr>
          </w:pPr>
        </w:p>
        <w:p w14:paraId="6DAA9010" w14:textId="5500D05A" w:rsidR="00372CF7" w:rsidRPr="00E7708A" w:rsidRDefault="00372CF7" w:rsidP="007D10D0">
          <w:pPr>
            <w:rPr>
              <w:rFonts w:ascii="Arial" w:hAnsi="Arial" w:cs="Arial"/>
              <w:sz w:val="22"/>
              <w:szCs w:val="22"/>
              <w:lang w:bidi="en-US"/>
            </w:rPr>
          </w:pPr>
          <w:r w:rsidRPr="00372CF7">
            <w:rPr>
              <w:rFonts w:ascii="Arial" w:hAnsi="Arial" w:cs="Arial"/>
              <w:sz w:val="22"/>
              <w:szCs w:val="22"/>
              <w:lang w:bidi="en-US"/>
            </w:rPr>
            <w:t>Honey, P. and Mumford, A., 1992. </w:t>
          </w:r>
          <w:r w:rsidRPr="00372CF7">
            <w:rPr>
              <w:rFonts w:ascii="Arial" w:hAnsi="Arial" w:cs="Arial"/>
              <w:i/>
              <w:iCs/>
              <w:sz w:val="22"/>
              <w:szCs w:val="22"/>
              <w:lang w:bidi="en-US"/>
            </w:rPr>
            <w:t>The manual of learning styles</w:t>
          </w:r>
          <w:r w:rsidRPr="00372CF7">
            <w:rPr>
              <w:rFonts w:ascii="Arial" w:hAnsi="Arial" w:cs="Arial"/>
              <w:sz w:val="22"/>
              <w:szCs w:val="22"/>
              <w:lang w:bidi="en-US"/>
            </w:rPr>
            <w:t>. 3rd ed. Peter Honey: London.</w:t>
          </w:r>
        </w:p>
        <w:p w14:paraId="4E5B2D13" w14:textId="77777777" w:rsidR="007D10D0" w:rsidRPr="00E7708A" w:rsidRDefault="007D10D0" w:rsidP="007D10D0">
          <w:pPr>
            <w:rPr>
              <w:rFonts w:ascii="Arial" w:hAnsi="Arial" w:cs="Arial"/>
              <w:sz w:val="22"/>
              <w:szCs w:val="22"/>
              <w:lang w:bidi="en-US"/>
            </w:rPr>
          </w:pPr>
        </w:p>
        <w:p w14:paraId="1ADD1DA7"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Institute of Medicine. (2011). </w:t>
          </w:r>
          <w:r w:rsidRPr="00E7708A">
            <w:rPr>
              <w:rFonts w:ascii="Arial" w:hAnsi="Arial" w:cs="Arial"/>
              <w:i/>
              <w:iCs/>
              <w:sz w:val="22"/>
              <w:szCs w:val="22"/>
              <w:lang w:bidi="en-US"/>
            </w:rPr>
            <w:t>The health of lesbian, gay, bisexual, and transgender people: Building a foundation for better under- standing</w:t>
          </w:r>
          <w:r w:rsidRPr="00E7708A">
            <w:rPr>
              <w:rFonts w:ascii="Arial" w:hAnsi="Arial" w:cs="Arial"/>
              <w:sz w:val="22"/>
              <w:szCs w:val="22"/>
              <w:lang w:bidi="en-US"/>
            </w:rPr>
            <w:t>. Washington, D.C.: The National Academies Press</w:t>
          </w:r>
        </w:p>
        <w:p w14:paraId="2FC74ACA" w14:textId="77777777" w:rsidR="007D10D0" w:rsidRPr="00E7708A" w:rsidRDefault="007D10D0" w:rsidP="007D10D0">
          <w:pPr>
            <w:rPr>
              <w:rFonts w:ascii="Arial" w:hAnsi="Arial" w:cs="Arial"/>
              <w:sz w:val="22"/>
              <w:szCs w:val="22"/>
              <w:lang w:bidi="en-US"/>
            </w:rPr>
          </w:pPr>
        </w:p>
        <w:p w14:paraId="0B8CE6ED"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Kolb, D.A. (1984). Experiential learning: experience as the source of learning and development. Englewood Cliffs, NJ: Prentice Hall.</w:t>
          </w:r>
        </w:p>
        <w:p w14:paraId="3783C6C6" w14:textId="77777777" w:rsidR="007D10D0" w:rsidRPr="00E7708A" w:rsidRDefault="007D10D0" w:rsidP="007D10D0">
          <w:pPr>
            <w:rPr>
              <w:rFonts w:ascii="Arial" w:hAnsi="Arial" w:cs="Arial"/>
              <w:sz w:val="22"/>
              <w:szCs w:val="22"/>
              <w:lang w:val="en-US" w:bidi="en-US"/>
            </w:rPr>
          </w:pPr>
        </w:p>
        <w:p w14:paraId="556D6801" w14:textId="77777777" w:rsidR="007D10D0" w:rsidRPr="00E7708A" w:rsidRDefault="007D10D0" w:rsidP="007D10D0">
          <w:pPr>
            <w:rPr>
              <w:rFonts w:ascii="Arial" w:hAnsi="Arial" w:cs="Arial"/>
              <w:sz w:val="22"/>
              <w:szCs w:val="22"/>
              <w:lang w:bidi="en-US"/>
            </w:rPr>
          </w:pPr>
          <w:proofErr w:type="spellStart"/>
          <w:r w:rsidRPr="00E7708A">
            <w:rPr>
              <w:rFonts w:ascii="Arial" w:hAnsi="Arial" w:cs="Arial"/>
              <w:sz w:val="22"/>
              <w:szCs w:val="22"/>
              <w:lang w:bidi="en-US"/>
            </w:rPr>
            <w:t>Leikin</w:t>
          </w:r>
          <w:proofErr w:type="spellEnd"/>
          <w:r w:rsidRPr="00E7708A">
            <w:rPr>
              <w:rFonts w:ascii="Arial" w:hAnsi="Arial" w:cs="Arial"/>
              <w:sz w:val="22"/>
              <w:szCs w:val="22"/>
              <w:lang w:bidi="en-US"/>
            </w:rPr>
            <w:t xml:space="preserve"> J. B. (2019). Caring for the transgender adolescent and young adult: Current concepts of an evolving process in the 21st century. </w:t>
          </w:r>
          <w:r w:rsidRPr="00E7708A">
            <w:rPr>
              <w:rFonts w:ascii="Arial" w:hAnsi="Arial" w:cs="Arial"/>
              <w:i/>
              <w:iCs/>
              <w:sz w:val="22"/>
              <w:szCs w:val="22"/>
              <w:lang w:bidi="en-US"/>
            </w:rPr>
            <w:t>Disease-a-</w:t>
          </w:r>
          <w:proofErr w:type="gramStart"/>
          <w:r w:rsidRPr="00E7708A">
            <w:rPr>
              <w:rFonts w:ascii="Arial" w:hAnsi="Arial" w:cs="Arial"/>
              <w:i/>
              <w:iCs/>
              <w:sz w:val="22"/>
              <w:szCs w:val="22"/>
              <w:lang w:bidi="en-US"/>
            </w:rPr>
            <w:t>month :</w:t>
          </w:r>
          <w:proofErr w:type="gramEnd"/>
          <w:r w:rsidRPr="00E7708A">
            <w:rPr>
              <w:rFonts w:ascii="Arial" w:hAnsi="Arial" w:cs="Arial"/>
              <w:i/>
              <w:iCs/>
              <w:sz w:val="22"/>
              <w:szCs w:val="22"/>
              <w:lang w:bidi="en-US"/>
            </w:rPr>
            <w:t xml:space="preserve"> DM</w:t>
          </w:r>
          <w:r w:rsidRPr="00E7708A">
            <w:rPr>
              <w:rFonts w:ascii="Arial" w:hAnsi="Arial" w:cs="Arial"/>
              <w:sz w:val="22"/>
              <w:szCs w:val="22"/>
              <w:lang w:bidi="en-US"/>
            </w:rPr>
            <w:t>, </w:t>
          </w:r>
          <w:r w:rsidRPr="00E7708A">
            <w:rPr>
              <w:rFonts w:ascii="Arial" w:hAnsi="Arial" w:cs="Arial"/>
              <w:i/>
              <w:iCs/>
              <w:sz w:val="22"/>
              <w:szCs w:val="22"/>
              <w:lang w:bidi="en-US"/>
            </w:rPr>
            <w:t>65</w:t>
          </w:r>
          <w:r w:rsidRPr="00E7708A">
            <w:rPr>
              <w:rFonts w:ascii="Arial" w:hAnsi="Arial" w:cs="Arial"/>
              <w:sz w:val="22"/>
              <w:szCs w:val="22"/>
              <w:lang w:bidi="en-US"/>
            </w:rPr>
            <w:t xml:space="preserve">(9), 302. </w:t>
          </w:r>
          <w:hyperlink r:id="rId13" w:history="1">
            <w:r w:rsidRPr="00E7708A">
              <w:rPr>
                <w:rStyle w:val="Hyperlink"/>
                <w:rFonts w:ascii="Arial" w:hAnsi="Arial" w:cs="Arial"/>
                <w:sz w:val="22"/>
                <w:szCs w:val="22"/>
                <w:lang w:bidi="en-US"/>
              </w:rPr>
              <w:t>https://doi.org/10.1016/j.disamonth.2019.07.003</w:t>
            </w:r>
          </w:hyperlink>
          <w:r w:rsidRPr="00E7708A">
            <w:rPr>
              <w:rFonts w:ascii="Arial" w:hAnsi="Arial" w:cs="Arial"/>
              <w:sz w:val="22"/>
              <w:szCs w:val="22"/>
              <w:lang w:bidi="en-US"/>
            </w:rPr>
            <w:t xml:space="preserve"> [Accessed 6 2 2022]</w:t>
          </w:r>
        </w:p>
        <w:p w14:paraId="613BD28A" w14:textId="77777777" w:rsidR="007D10D0" w:rsidRPr="00E7708A" w:rsidRDefault="007D10D0" w:rsidP="007D10D0">
          <w:pPr>
            <w:rPr>
              <w:rFonts w:ascii="Arial" w:hAnsi="Arial" w:cs="Arial"/>
              <w:sz w:val="22"/>
              <w:szCs w:val="22"/>
              <w:lang w:val="en-US" w:bidi="en-US"/>
            </w:rPr>
          </w:pPr>
        </w:p>
        <w:p w14:paraId="4F08F2B7"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Lev, A. (2004). </w:t>
          </w:r>
          <w:r w:rsidRPr="00E7708A">
            <w:rPr>
              <w:rFonts w:ascii="Arial" w:hAnsi="Arial" w:cs="Arial"/>
              <w:i/>
              <w:iCs/>
              <w:sz w:val="22"/>
              <w:szCs w:val="22"/>
              <w:lang w:bidi="en-US"/>
            </w:rPr>
            <w:t xml:space="preserve">Transgender emergence: Therapeutic guidelines for working with gender-variant people and their families. </w:t>
          </w:r>
          <w:r w:rsidRPr="00E7708A">
            <w:rPr>
              <w:rFonts w:ascii="Arial" w:hAnsi="Arial" w:cs="Arial"/>
              <w:sz w:val="22"/>
              <w:szCs w:val="22"/>
              <w:lang w:bidi="en-US"/>
            </w:rPr>
            <w:t xml:space="preserve">New York: The Haworth Clinical Practice Press. </w:t>
          </w:r>
        </w:p>
        <w:p w14:paraId="2554369E" w14:textId="77777777" w:rsidR="007D10D0" w:rsidRPr="00E7708A" w:rsidRDefault="007D10D0" w:rsidP="007D10D0">
          <w:pPr>
            <w:rPr>
              <w:rFonts w:ascii="Arial" w:hAnsi="Arial" w:cs="Arial"/>
              <w:sz w:val="22"/>
              <w:szCs w:val="22"/>
              <w:lang w:bidi="en-US"/>
            </w:rPr>
          </w:pPr>
        </w:p>
        <w:p w14:paraId="2AC00099"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Lick, D. J., </w:t>
          </w:r>
          <w:proofErr w:type="spellStart"/>
          <w:r w:rsidRPr="00E7708A">
            <w:rPr>
              <w:rFonts w:ascii="Arial" w:hAnsi="Arial" w:cs="Arial"/>
              <w:sz w:val="22"/>
              <w:szCs w:val="22"/>
              <w:lang w:bidi="en-US"/>
            </w:rPr>
            <w:t>Durso</w:t>
          </w:r>
          <w:proofErr w:type="spellEnd"/>
          <w:r w:rsidRPr="00E7708A">
            <w:rPr>
              <w:rFonts w:ascii="Arial" w:hAnsi="Arial" w:cs="Arial"/>
              <w:sz w:val="22"/>
              <w:szCs w:val="22"/>
              <w:lang w:bidi="en-US"/>
            </w:rPr>
            <w:t xml:space="preserve">, L. E., &amp; Johnson, K. L. (2013). Minority stress and physical health among sexual minorities. </w:t>
          </w:r>
          <w:r w:rsidRPr="00E7708A">
            <w:rPr>
              <w:rFonts w:ascii="Arial" w:hAnsi="Arial" w:cs="Arial"/>
              <w:i/>
              <w:iCs/>
              <w:sz w:val="22"/>
              <w:szCs w:val="22"/>
              <w:lang w:bidi="en-US"/>
            </w:rPr>
            <w:t xml:space="preserve">Perspectives on Psycho- logical Science, 8, </w:t>
          </w:r>
          <w:r w:rsidRPr="00E7708A">
            <w:rPr>
              <w:rFonts w:ascii="Arial" w:hAnsi="Arial" w:cs="Arial"/>
              <w:sz w:val="22"/>
              <w:szCs w:val="22"/>
              <w:lang w:bidi="en-US"/>
            </w:rPr>
            <w:t>521–548. https://doi.org/10.1177/1745691613 497965 [accessed 27 2 2022]</w:t>
          </w:r>
        </w:p>
        <w:p w14:paraId="22E3C613" w14:textId="77777777" w:rsidR="007D10D0" w:rsidRPr="00E7708A" w:rsidRDefault="007D10D0" w:rsidP="007D10D0">
          <w:pPr>
            <w:rPr>
              <w:rFonts w:ascii="Arial" w:hAnsi="Arial" w:cs="Arial"/>
              <w:sz w:val="22"/>
              <w:szCs w:val="22"/>
              <w:lang w:bidi="en-US"/>
            </w:rPr>
          </w:pPr>
        </w:p>
        <w:p w14:paraId="17328E3D"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McNeill, E. J., Wilson, J. A., Clark, S., &amp; Deakin, J. (2008). Perception of voice in the transgender client. </w:t>
          </w:r>
          <w:r w:rsidRPr="00E7708A">
            <w:rPr>
              <w:rFonts w:ascii="Arial" w:hAnsi="Arial" w:cs="Arial"/>
              <w:i/>
              <w:iCs/>
              <w:sz w:val="22"/>
              <w:szCs w:val="22"/>
              <w:lang w:bidi="en-US"/>
            </w:rPr>
            <w:t>Journal of voice: official journal of the Voice Foundation</w:t>
          </w:r>
          <w:r w:rsidRPr="00E7708A">
            <w:rPr>
              <w:rFonts w:ascii="Arial" w:hAnsi="Arial" w:cs="Arial"/>
              <w:sz w:val="22"/>
              <w:szCs w:val="22"/>
              <w:lang w:bidi="en-US"/>
            </w:rPr>
            <w:t>, </w:t>
          </w:r>
          <w:r w:rsidRPr="00E7708A">
            <w:rPr>
              <w:rFonts w:ascii="Arial" w:hAnsi="Arial" w:cs="Arial"/>
              <w:i/>
              <w:iCs/>
              <w:sz w:val="22"/>
              <w:szCs w:val="22"/>
              <w:lang w:bidi="en-US"/>
            </w:rPr>
            <w:t>22</w:t>
          </w:r>
          <w:r w:rsidRPr="00E7708A">
            <w:rPr>
              <w:rFonts w:ascii="Arial" w:hAnsi="Arial" w:cs="Arial"/>
              <w:sz w:val="22"/>
              <w:szCs w:val="22"/>
              <w:lang w:bidi="en-US"/>
            </w:rPr>
            <w:t xml:space="preserve">(6), 727–733. </w:t>
          </w:r>
          <w:hyperlink r:id="rId14" w:history="1">
            <w:r w:rsidRPr="00E7708A">
              <w:rPr>
                <w:rStyle w:val="Hyperlink"/>
                <w:rFonts w:ascii="Arial" w:hAnsi="Arial" w:cs="Arial"/>
                <w:sz w:val="22"/>
                <w:szCs w:val="22"/>
                <w:lang w:bidi="en-US"/>
              </w:rPr>
              <w:t>https://doi.org/10.1016/j.jvoice.2006.12.010</w:t>
            </w:r>
          </w:hyperlink>
          <w:r w:rsidRPr="00E7708A">
            <w:rPr>
              <w:rFonts w:ascii="Arial" w:hAnsi="Arial" w:cs="Arial"/>
              <w:sz w:val="22"/>
              <w:szCs w:val="22"/>
              <w:lang w:bidi="en-US"/>
            </w:rPr>
            <w:t xml:space="preserve"> [Accessed 6 2 2022]</w:t>
          </w:r>
        </w:p>
        <w:p w14:paraId="09876AA4" w14:textId="77777777" w:rsidR="007D10D0" w:rsidRPr="00E7708A" w:rsidRDefault="007D10D0" w:rsidP="007D10D0">
          <w:pPr>
            <w:rPr>
              <w:rFonts w:ascii="Arial" w:hAnsi="Arial" w:cs="Arial"/>
              <w:sz w:val="22"/>
              <w:szCs w:val="22"/>
              <w:lang w:bidi="en-US"/>
            </w:rPr>
          </w:pPr>
        </w:p>
        <w:p w14:paraId="2B12DD10"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lastRenderedPageBreak/>
            <w:t xml:space="preserve">Mills, M., Stoneham, G. and </w:t>
          </w:r>
          <w:proofErr w:type="spellStart"/>
          <w:r w:rsidRPr="00E7708A">
            <w:rPr>
              <w:rFonts w:ascii="Arial" w:hAnsi="Arial" w:cs="Arial"/>
              <w:sz w:val="22"/>
              <w:szCs w:val="22"/>
              <w:lang w:bidi="en-US"/>
            </w:rPr>
            <w:t>Georgiadou</w:t>
          </w:r>
          <w:proofErr w:type="spellEnd"/>
          <w:r w:rsidRPr="00E7708A">
            <w:rPr>
              <w:rFonts w:ascii="Arial" w:hAnsi="Arial" w:cs="Arial"/>
              <w:sz w:val="22"/>
              <w:szCs w:val="22"/>
              <w:lang w:bidi="en-US"/>
            </w:rPr>
            <w:t>, I. (2017) Expanding the evidence: Developments and innovations in clinical practice, training and competency within voice and communication therapy for trans and gender diverse people. </w:t>
          </w:r>
          <w:r w:rsidRPr="00E7708A">
            <w:rPr>
              <w:rFonts w:ascii="Arial" w:hAnsi="Arial" w:cs="Arial"/>
              <w:i/>
              <w:iCs/>
              <w:sz w:val="22"/>
              <w:szCs w:val="22"/>
              <w:lang w:bidi="en-US"/>
            </w:rPr>
            <w:t>International Journal of Transgenderism</w:t>
          </w:r>
          <w:r w:rsidRPr="00E7708A">
            <w:rPr>
              <w:rFonts w:ascii="Arial" w:hAnsi="Arial" w:cs="Arial"/>
              <w:sz w:val="22"/>
              <w:szCs w:val="22"/>
              <w:lang w:bidi="en-US"/>
            </w:rPr>
            <w:t>. Vol. 18, No. 3: 328-342.</w:t>
          </w:r>
        </w:p>
        <w:p w14:paraId="0DB76D3B" w14:textId="77777777" w:rsidR="007D10D0" w:rsidRPr="00E7708A" w:rsidRDefault="007D10D0" w:rsidP="007D10D0">
          <w:pPr>
            <w:rPr>
              <w:rFonts w:ascii="Arial" w:hAnsi="Arial" w:cs="Arial"/>
              <w:sz w:val="22"/>
              <w:szCs w:val="22"/>
              <w:lang w:bidi="en-US"/>
            </w:rPr>
          </w:pPr>
        </w:p>
        <w:p w14:paraId="50E62FAC"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Mills, M, &amp; Stoneham, G. (2020) Voice and Communication Therapy with Trans and Non-Binary People: Sharing the Clinical Space. London: Jessica Kingsley Publishers.</w:t>
          </w:r>
        </w:p>
        <w:p w14:paraId="29BFBF04" w14:textId="77777777" w:rsidR="007D10D0" w:rsidRPr="00E7708A" w:rsidRDefault="007D10D0" w:rsidP="007D10D0">
          <w:pPr>
            <w:rPr>
              <w:rFonts w:ascii="Arial" w:hAnsi="Arial" w:cs="Arial"/>
              <w:sz w:val="22"/>
              <w:szCs w:val="22"/>
              <w:lang w:bidi="en-US"/>
            </w:rPr>
          </w:pPr>
        </w:p>
        <w:p w14:paraId="3C0FB4A6"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Murry, T., </w:t>
          </w:r>
          <w:proofErr w:type="spellStart"/>
          <w:r w:rsidRPr="00E7708A">
            <w:rPr>
              <w:rFonts w:ascii="Arial" w:hAnsi="Arial" w:cs="Arial"/>
              <w:sz w:val="22"/>
              <w:szCs w:val="22"/>
              <w:lang w:bidi="en-US"/>
            </w:rPr>
            <w:t>Medrado</w:t>
          </w:r>
          <w:proofErr w:type="spellEnd"/>
          <w:r w:rsidRPr="00E7708A">
            <w:rPr>
              <w:rFonts w:ascii="Arial" w:hAnsi="Arial" w:cs="Arial"/>
              <w:sz w:val="22"/>
              <w:szCs w:val="22"/>
              <w:lang w:bidi="en-US"/>
            </w:rPr>
            <w:t xml:space="preserve">, R., </w:t>
          </w:r>
          <w:proofErr w:type="spellStart"/>
          <w:r w:rsidRPr="00E7708A">
            <w:rPr>
              <w:rFonts w:ascii="Arial" w:hAnsi="Arial" w:cs="Arial"/>
              <w:sz w:val="22"/>
              <w:szCs w:val="22"/>
              <w:lang w:bidi="en-US"/>
            </w:rPr>
            <w:t>Hogikyan</w:t>
          </w:r>
          <w:proofErr w:type="spellEnd"/>
          <w:r w:rsidRPr="00E7708A">
            <w:rPr>
              <w:rFonts w:ascii="Arial" w:hAnsi="Arial" w:cs="Arial"/>
              <w:sz w:val="22"/>
              <w:szCs w:val="22"/>
              <w:lang w:bidi="en-US"/>
            </w:rPr>
            <w:t>, N. D. and Aviv, J. E. (2004) The relationship between ratings of voice quality and quality of life measures. </w:t>
          </w:r>
          <w:r w:rsidRPr="00E7708A">
            <w:rPr>
              <w:rFonts w:ascii="Arial" w:hAnsi="Arial" w:cs="Arial"/>
              <w:i/>
              <w:iCs/>
              <w:sz w:val="22"/>
              <w:szCs w:val="22"/>
              <w:lang w:bidi="en-US"/>
            </w:rPr>
            <w:t>Journal of Voice</w:t>
          </w:r>
          <w:r w:rsidRPr="00E7708A">
            <w:rPr>
              <w:rFonts w:ascii="Arial" w:hAnsi="Arial" w:cs="Arial"/>
              <w:sz w:val="22"/>
              <w:szCs w:val="22"/>
              <w:lang w:bidi="en-US"/>
            </w:rPr>
            <w:t>. Vol. 18: 183-192.</w:t>
          </w:r>
        </w:p>
        <w:p w14:paraId="419226FC" w14:textId="77777777" w:rsidR="007D10D0" w:rsidRPr="00E7708A" w:rsidRDefault="007D10D0" w:rsidP="007D10D0">
          <w:pPr>
            <w:rPr>
              <w:rFonts w:ascii="Arial" w:hAnsi="Arial" w:cs="Arial"/>
              <w:sz w:val="22"/>
              <w:szCs w:val="22"/>
              <w:lang w:bidi="en-US"/>
            </w:rPr>
          </w:pPr>
        </w:p>
        <w:p w14:paraId="1EEE73DB"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 xml:space="preserve">NHS England. (2016) </w:t>
          </w:r>
          <w:r w:rsidRPr="00E7708A">
            <w:rPr>
              <w:rFonts w:ascii="Arial" w:hAnsi="Arial" w:cs="Arial"/>
              <w:i/>
              <w:sz w:val="22"/>
              <w:szCs w:val="22"/>
              <w:lang w:bidi="en-US"/>
            </w:rPr>
            <w:t>Gender Identity Services (Adults).</w:t>
          </w:r>
          <w:r w:rsidRPr="00E7708A">
            <w:rPr>
              <w:rFonts w:ascii="Arial" w:hAnsi="Arial" w:cs="Arial"/>
              <w:sz w:val="22"/>
              <w:szCs w:val="22"/>
              <w:lang w:bidi="en-US"/>
            </w:rPr>
            <w:t xml:space="preserve"> [Online] Available from: </w:t>
          </w:r>
          <w:hyperlink r:id="rId15" w:history="1">
            <w:r w:rsidRPr="00E7708A">
              <w:rPr>
                <w:rStyle w:val="Hyperlink"/>
                <w:rFonts w:ascii="Arial" w:hAnsi="Arial" w:cs="Arial"/>
                <w:sz w:val="22"/>
                <w:szCs w:val="22"/>
                <w:lang w:bidi="en-US"/>
              </w:rPr>
              <w:t>www.england.nhs.uk/commissioning/spec-services/npc-crg/group-c/c05/</w:t>
            </w:r>
          </w:hyperlink>
          <w:r w:rsidRPr="00E7708A">
            <w:rPr>
              <w:rFonts w:ascii="Arial" w:hAnsi="Arial" w:cs="Arial"/>
              <w:sz w:val="22"/>
              <w:szCs w:val="22"/>
              <w:lang w:bidi="en-US"/>
            </w:rPr>
            <w:t xml:space="preserve"> [accessed 03 November 2021]</w:t>
          </w:r>
        </w:p>
        <w:p w14:paraId="3CDF5806" w14:textId="77777777" w:rsidR="007D10D0" w:rsidRPr="00E7708A" w:rsidRDefault="007D10D0" w:rsidP="007D10D0">
          <w:pPr>
            <w:rPr>
              <w:rFonts w:ascii="Arial" w:hAnsi="Arial" w:cs="Arial"/>
              <w:sz w:val="22"/>
              <w:szCs w:val="22"/>
              <w:lang w:bidi="en-US"/>
            </w:rPr>
          </w:pPr>
        </w:p>
        <w:p w14:paraId="5F40B23F" w14:textId="5D1345AB"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NHS England (2018) </w:t>
          </w:r>
          <w:r w:rsidRPr="00E7708A">
            <w:rPr>
              <w:rFonts w:ascii="Arial" w:hAnsi="Arial" w:cs="Arial"/>
              <w:i/>
              <w:iCs/>
              <w:sz w:val="22"/>
              <w:szCs w:val="22"/>
              <w:lang w:bidi="en-US"/>
            </w:rPr>
            <w:t>Specialised Gender Identity Services for Adults; Report on outcome of public consultation and update to Equality Impact Assessment</w:t>
          </w:r>
          <w:r w:rsidRPr="00E7708A">
            <w:rPr>
              <w:rFonts w:ascii="Arial" w:hAnsi="Arial" w:cs="Arial"/>
              <w:sz w:val="22"/>
              <w:szCs w:val="22"/>
              <w:lang w:bidi="en-US"/>
            </w:rPr>
            <w:t>. [online] Engage.england.</w:t>
          </w:r>
          <w:r w:rsidR="00622698">
            <w:rPr>
              <w:rFonts w:ascii="Arial" w:hAnsi="Arial" w:cs="Arial"/>
              <w:sz w:val="22"/>
              <w:szCs w:val="22"/>
              <w:lang w:bidi="en-US"/>
            </w:rPr>
            <w:t>NHS</w:t>
          </w:r>
          <w:r w:rsidRPr="00E7708A">
            <w:rPr>
              <w:rFonts w:ascii="Arial" w:hAnsi="Arial" w:cs="Arial"/>
              <w:sz w:val="22"/>
              <w:szCs w:val="22"/>
              <w:lang w:bidi="en-US"/>
            </w:rPr>
            <w:t>.uk. Available at: &lt;https://www.engage.england.nhs.uk/survey/gender-identity-services-for-adults/user_uploads/gender-services-consultation-report-updated-equality-impact-assessment-v2.pdf&gt; [Accessed 20 February 2022].</w:t>
          </w:r>
        </w:p>
        <w:p w14:paraId="50031372" w14:textId="77777777" w:rsidR="007D10D0" w:rsidRPr="00E7708A" w:rsidRDefault="007D10D0" w:rsidP="007D10D0">
          <w:pPr>
            <w:rPr>
              <w:rFonts w:ascii="Arial" w:hAnsi="Arial" w:cs="Arial"/>
              <w:sz w:val="22"/>
              <w:szCs w:val="22"/>
              <w:lang w:bidi="en-US"/>
            </w:rPr>
          </w:pPr>
        </w:p>
        <w:p w14:paraId="210DE039"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Oates, J. M. (2012) Evidence-based practice in voice therapy for transgender/transsexual clients. In Adler, R. K., Hirsch, S. and Mordaunt, M. (Eds.) (2012) </w:t>
          </w:r>
          <w:r w:rsidRPr="00E7708A">
            <w:rPr>
              <w:rFonts w:ascii="Arial" w:hAnsi="Arial" w:cs="Arial"/>
              <w:i/>
              <w:iCs/>
              <w:sz w:val="22"/>
              <w:szCs w:val="22"/>
              <w:lang w:bidi="en-US"/>
            </w:rPr>
            <w:t>Voice and communication therapy for the transgender/ transsexual client: A comprehensive clinical guide</w:t>
          </w:r>
          <w:r w:rsidRPr="00E7708A">
            <w:rPr>
              <w:rFonts w:ascii="Arial" w:hAnsi="Arial" w:cs="Arial"/>
              <w:sz w:val="22"/>
              <w:szCs w:val="22"/>
              <w:lang w:bidi="en-US"/>
            </w:rPr>
            <w:t>. (2nd ed.) San Diego: Plural: 45-68.</w:t>
          </w:r>
        </w:p>
        <w:p w14:paraId="2C5F9C16" w14:textId="77777777" w:rsidR="007D10D0" w:rsidRPr="00E7708A" w:rsidRDefault="007D10D0" w:rsidP="007D10D0">
          <w:pPr>
            <w:rPr>
              <w:rFonts w:ascii="Arial" w:hAnsi="Arial" w:cs="Arial"/>
              <w:sz w:val="22"/>
              <w:szCs w:val="22"/>
              <w:lang w:bidi="en-US"/>
            </w:rPr>
          </w:pPr>
        </w:p>
        <w:p w14:paraId="6AF3C65D" w14:textId="77777777" w:rsidR="007D10D0" w:rsidRPr="00E7708A" w:rsidRDefault="007D10D0" w:rsidP="007D10D0">
          <w:pPr>
            <w:rPr>
              <w:rFonts w:ascii="Arial" w:hAnsi="Arial" w:cs="Arial"/>
              <w:sz w:val="22"/>
              <w:szCs w:val="22"/>
              <w:lang w:bidi="en-US"/>
            </w:rPr>
          </w:pPr>
          <w:r w:rsidRPr="00E7708A">
            <w:rPr>
              <w:rFonts w:ascii="Arial" w:hAnsi="Arial" w:cs="Arial"/>
              <w:sz w:val="22"/>
              <w:szCs w:val="22"/>
              <w:lang w:bidi="en-US"/>
            </w:rPr>
            <w:t>Owen, K. and Hancock, A. (2011) The Role of Self- and Listener Perceptions of Femininity in Voice Therapy. </w:t>
          </w:r>
          <w:r w:rsidRPr="00E7708A">
            <w:rPr>
              <w:rFonts w:ascii="Arial" w:hAnsi="Arial" w:cs="Arial"/>
              <w:i/>
              <w:iCs/>
              <w:sz w:val="22"/>
              <w:szCs w:val="22"/>
              <w:lang w:bidi="en-US"/>
            </w:rPr>
            <w:t>Journal of Transgenderism</w:t>
          </w:r>
          <w:r w:rsidRPr="00E7708A">
            <w:rPr>
              <w:rFonts w:ascii="Arial" w:hAnsi="Arial" w:cs="Arial"/>
              <w:sz w:val="22"/>
              <w:szCs w:val="22"/>
              <w:lang w:bidi="en-US"/>
            </w:rPr>
            <w:t>. Vol. 12, No. 4: 272-284.</w:t>
          </w:r>
        </w:p>
        <w:p w14:paraId="250DDDD7" w14:textId="77777777" w:rsidR="007D10D0" w:rsidRPr="00E7708A" w:rsidRDefault="007D10D0" w:rsidP="007D10D0">
          <w:pPr>
            <w:rPr>
              <w:rFonts w:ascii="Arial" w:hAnsi="Arial" w:cs="Arial"/>
              <w:sz w:val="22"/>
              <w:szCs w:val="22"/>
              <w:lang w:bidi="en-US"/>
            </w:rPr>
          </w:pPr>
        </w:p>
        <w:p w14:paraId="200444EB" w14:textId="77777777" w:rsidR="007D10D0" w:rsidRPr="00E7708A" w:rsidRDefault="007D10D0" w:rsidP="007D10D0">
          <w:pPr>
            <w:pStyle w:val="Bibliography"/>
            <w:rPr>
              <w:rFonts w:ascii="Arial" w:hAnsi="Arial" w:cs="Arial"/>
              <w:noProof/>
              <w:sz w:val="22"/>
              <w:szCs w:val="22"/>
            </w:rPr>
          </w:pPr>
          <w:r w:rsidRPr="00E7708A">
            <w:rPr>
              <w:rFonts w:ascii="Arial" w:hAnsi="Arial" w:cs="Arial"/>
              <w:noProof/>
              <w:sz w:val="22"/>
              <w:szCs w:val="22"/>
            </w:rPr>
            <w:t xml:space="preserve">Putter, M., 2021. </w:t>
          </w:r>
          <w:r w:rsidRPr="00E7708A">
            <w:rPr>
              <w:rFonts w:ascii="Arial" w:hAnsi="Arial" w:cs="Arial"/>
              <w:i/>
              <w:iCs/>
              <w:noProof/>
              <w:sz w:val="22"/>
              <w:szCs w:val="22"/>
            </w:rPr>
            <w:t xml:space="preserve">What is a personal development plan?. </w:t>
          </w:r>
          <w:r w:rsidRPr="00E7708A">
            <w:rPr>
              <w:rFonts w:ascii="Arial" w:hAnsi="Arial" w:cs="Arial"/>
              <w:noProof/>
              <w:sz w:val="22"/>
              <w:szCs w:val="22"/>
            </w:rPr>
            <w:t xml:space="preserve">[Online] Available at: </w:t>
          </w:r>
          <w:r w:rsidRPr="00E7708A">
            <w:rPr>
              <w:rFonts w:ascii="Arial" w:hAnsi="Arial" w:cs="Arial"/>
              <w:noProof/>
              <w:sz w:val="22"/>
              <w:szCs w:val="22"/>
              <w:u w:val="single"/>
            </w:rPr>
            <w:t>https://cpdonline.co.uk/knowledge-base/business/what-are-personal-development-plans/</w:t>
          </w:r>
          <w:r w:rsidRPr="00E7708A">
            <w:rPr>
              <w:rFonts w:ascii="Arial" w:hAnsi="Arial" w:cs="Arial"/>
              <w:noProof/>
              <w:sz w:val="22"/>
              <w:szCs w:val="22"/>
            </w:rPr>
            <w:br/>
            <w:t>[Accessed 6 2 2022].</w:t>
          </w:r>
        </w:p>
        <w:p w14:paraId="5ED4AD9B" w14:textId="77777777" w:rsidR="007D10D0" w:rsidRPr="00E7708A" w:rsidRDefault="007D10D0" w:rsidP="007D10D0">
          <w:pPr>
            <w:rPr>
              <w:rFonts w:ascii="Arial" w:hAnsi="Arial" w:cs="Arial"/>
              <w:sz w:val="22"/>
              <w:szCs w:val="22"/>
            </w:rPr>
          </w:pPr>
        </w:p>
        <w:p w14:paraId="20150307" w14:textId="77777777" w:rsidR="007D10D0" w:rsidRPr="00E7708A" w:rsidRDefault="007D10D0" w:rsidP="007D10D0">
          <w:pPr>
            <w:rPr>
              <w:rFonts w:ascii="Arial" w:hAnsi="Arial" w:cs="Arial"/>
              <w:sz w:val="22"/>
              <w:szCs w:val="22"/>
            </w:rPr>
          </w:pPr>
          <w:r w:rsidRPr="00E7708A">
            <w:rPr>
              <w:rFonts w:ascii="Arial" w:hAnsi="Arial" w:cs="Arial"/>
              <w:sz w:val="22"/>
              <w:szCs w:val="22"/>
            </w:rPr>
            <w:t xml:space="preserve">Rai, S., Peters, R., </w:t>
          </w:r>
          <w:proofErr w:type="spellStart"/>
          <w:r w:rsidRPr="00E7708A">
            <w:rPr>
              <w:rFonts w:ascii="Arial" w:hAnsi="Arial" w:cs="Arial"/>
              <w:sz w:val="22"/>
              <w:szCs w:val="22"/>
            </w:rPr>
            <w:t>Syurina</w:t>
          </w:r>
          <w:proofErr w:type="spellEnd"/>
          <w:r w:rsidRPr="00E7708A">
            <w:rPr>
              <w:rFonts w:ascii="Arial" w:hAnsi="Arial" w:cs="Arial"/>
              <w:sz w:val="22"/>
              <w:szCs w:val="22"/>
            </w:rPr>
            <w:t xml:space="preserve">, E., </w:t>
          </w:r>
          <w:proofErr w:type="spellStart"/>
          <w:r w:rsidRPr="00E7708A">
            <w:rPr>
              <w:rFonts w:ascii="Arial" w:hAnsi="Arial" w:cs="Arial"/>
              <w:sz w:val="22"/>
              <w:szCs w:val="22"/>
            </w:rPr>
            <w:t>Irwanto</w:t>
          </w:r>
          <w:proofErr w:type="spellEnd"/>
          <w:r w:rsidRPr="00E7708A">
            <w:rPr>
              <w:rFonts w:ascii="Arial" w:hAnsi="Arial" w:cs="Arial"/>
              <w:sz w:val="22"/>
              <w:szCs w:val="22"/>
            </w:rPr>
            <w:t xml:space="preserve">, I., </w:t>
          </w:r>
          <w:proofErr w:type="spellStart"/>
          <w:r w:rsidRPr="00E7708A">
            <w:rPr>
              <w:rFonts w:ascii="Arial" w:hAnsi="Arial" w:cs="Arial"/>
              <w:sz w:val="22"/>
              <w:szCs w:val="22"/>
            </w:rPr>
            <w:t>Naniche</w:t>
          </w:r>
          <w:proofErr w:type="spellEnd"/>
          <w:r w:rsidRPr="00E7708A">
            <w:rPr>
              <w:rFonts w:ascii="Arial" w:hAnsi="Arial" w:cs="Arial"/>
              <w:sz w:val="22"/>
              <w:szCs w:val="22"/>
            </w:rPr>
            <w:t xml:space="preserve">, D. and </w:t>
          </w:r>
          <w:proofErr w:type="spellStart"/>
          <w:r w:rsidRPr="00E7708A">
            <w:rPr>
              <w:rFonts w:ascii="Arial" w:hAnsi="Arial" w:cs="Arial"/>
              <w:sz w:val="22"/>
              <w:szCs w:val="22"/>
            </w:rPr>
            <w:t>Zweekhorst</w:t>
          </w:r>
          <w:proofErr w:type="spellEnd"/>
          <w:r w:rsidRPr="00E7708A">
            <w:rPr>
              <w:rFonts w:ascii="Arial" w:hAnsi="Arial" w:cs="Arial"/>
              <w:sz w:val="22"/>
              <w:szCs w:val="22"/>
            </w:rPr>
            <w:t>, M., 2020. Intersectionality and health-related stigma: insights from experiences of people living with stigmatized health conditions in Indonesia. </w:t>
          </w:r>
          <w:r w:rsidRPr="00E7708A">
            <w:rPr>
              <w:rFonts w:ascii="Arial" w:hAnsi="Arial" w:cs="Arial"/>
              <w:i/>
              <w:iCs/>
              <w:sz w:val="22"/>
              <w:szCs w:val="22"/>
            </w:rPr>
            <w:t>International Journal for Equity in Health</w:t>
          </w:r>
          <w:r w:rsidRPr="00E7708A">
            <w:rPr>
              <w:rFonts w:ascii="Arial" w:hAnsi="Arial" w:cs="Arial"/>
              <w:sz w:val="22"/>
              <w:szCs w:val="22"/>
            </w:rPr>
            <w:t>, [online] 19(1). Available at: &lt;https://equityhealthj.biomedcentral.com/articles/10.1186/s12939-020-01318-w&gt; [Accessed 15 February 2022].</w:t>
          </w:r>
        </w:p>
        <w:p w14:paraId="6121F6B6" w14:textId="77777777" w:rsidR="007D10D0" w:rsidRPr="00E7708A" w:rsidRDefault="007D10D0" w:rsidP="007D10D0">
          <w:pPr>
            <w:rPr>
              <w:rFonts w:ascii="Arial" w:hAnsi="Arial" w:cs="Arial"/>
              <w:sz w:val="22"/>
              <w:szCs w:val="22"/>
            </w:rPr>
          </w:pPr>
        </w:p>
        <w:p w14:paraId="6F0295C8" w14:textId="77777777" w:rsidR="007D10D0" w:rsidRPr="00E7708A" w:rsidRDefault="007D10D0" w:rsidP="007D10D0">
          <w:pPr>
            <w:pStyle w:val="Bibliography"/>
            <w:rPr>
              <w:rFonts w:ascii="Arial" w:hAnsi="Arial" w:cs="Arial"/>
              <w:noProof/>
              <w:sz w:val="22"/>
              <w:szCs w:val="22"/>
            </w:rPr>
          </w:pPr>
          <w:r w:rsidRPr="00E7708A">
            <w:rPr>
              <w:rFonts w:ascii="Arial" w:hAnsi="Arial" w:cs="Arial"/>
              <w:noProof/>
              <w:sz w:val="22"/>
              <w:szCs w:val="22"/>
            </w:rPr>
            <w:t xml:space="preserve">RCSLT, 2003. </w:t>
          </w:r>
          <w:r w:rsidRPr="00E7708A">
            <w:rPr>
              <w:rFonts w:ascii="Arial" w:hAnsi="Arial" w:cs="Arial"/>
              <w:i/>
              <w:iCs/>
              <w:noProof/>
              <w:sz w:val="22"/>
              <w:szCs w:val="22"/>
            </w:rPr>
            <w:t xml:space="preserve">REFERENCE FRAMEWORK: UNDERPINNING COMPETENCE TO PRACTISE. </w:t>
          </w:r>
          <w:r w:rsidRPr="00E7708A">
            <w:rPr>
              <w:rFonts w:ascii="Arial" w:hAnsi="Arial" w:cs="Arial"/>
              <w:noProof/>
              <w:sz w:val="22"/>
              <w:szCs w:val="22"/>
            </w:rPr>
            <w:t xml:space="preserve">[Online] </w:t>
          </w:r>
          <w:r w:rsidRPr="00E7708A">
            <w:rPr>
              <w:rFonts w:ascii="Arial" w:hAnsi="Arial" w:cs="Arial"/>
              <w:noProof/>
              <w:sz w:val="22"/>
              <w:szCs w:val="22"/>
            </w:rPr>
            <w:br/>
            <w:t xml:space="preserve">Available at: </w:t>
          </w:r>
          <w:r w:rsidRPr="00E7708A">
            <w:rPr>
              <w:rFonts w:ascii="Arial" w:hAnsi="Arial" w:cs="Arial"/>
              <w:noProof/>
              <w:sz w:val="22"/>
              <w:szCs w:val="22"/>
              <w:u w:val="single"/>
            </w:rPr>
            <w:t>https://www.rcslt.org/wp-content/uploads/media/Project/RCSLT/competencies-project.pdf</w:t>
          </w:r>
          <w:r w:rsidRPr="00E7708A">
            <w:rPr>
              <w:rFonts w:ascii="Arial" w:hAnsi="Arial" w:cs="Arial"/>
              <w:noProof/>
              <w:sz w:val="22"/>
              <w:szCs w:val="22"/>
            </w:rPr>
            <w:br/>
            <w:t>[Accessed 6 2 2022].</w:t>
          </w:r>
        </w:p>
        <w:p w14:paraId="5139088D" w14:textId="77777777" w:rsidR="007D10D0" w:rsidRPr="00E7708A" w:rsidRDefault="007D10D0" w:rsidP="007D10D0">
          <w:pPr>
            <w:rPr>
              <w:rFonts w:ascii="Arial" w:hAnsi="Arial" w:cs="Arial"/>
              <w:sz w:val="22"/>
              <w:szCs w:val="22"/>
            </w:rPr>
          </w:pPr>
        </w:p>
        <w:p w14:paraId="1409DC79" w14:textId="77777777" w:rsidR="007D10D0" w:rsidRPr="00E7708A" w:rsidRDefault="007D10D0" w:rsidP="007D10D0">
          <w:pPr>
            <w:rPr>
              <w:rFonts w:ascii="Arial" w:hAnsi="Arial" w:cs="Arial"/>
              <w:sz w:val="22"/>
              <w:szCs w:val="22"/>
            </w:rPr>
          </w:pPr>
          <w:r w:rsidRPr="00E7708A">
            <w:rPr>
              <w:rFonts w:ascii="Arial" w:hAnsi="Arial" w:cs="Arial"/>
              <w:sz w:val="22"/>
              <w:szCs w:val="22"/>
            </w:rPr>
            <w:t>RCSLT, (2017) </w:t>
          </w:r>
          <w:r w:rsidRPr="00E7708A">
            <w:rPr>
              <w:rFonts w:ascii="Arial" w:hAnsi="Arial" w:cs="Arial"/>
              <w:i/>
              <w:iCs/>
              <w:sz w:val="22"/>
              <w:szCs w:val="22"/>
            </w:rPr>
            <w:t>TRANS AND GENDER DIVERSE VOICE &amp; COMMUNICATION THERAPY Competency Framework</w:t>
          </w:r>
          <w:r w:rsidRPr="00E7708A">
            <w:rPr>
              <w:rFonts w:ascii="Arial" w:hAnsi="Arial" w:cs="Arial"/>
              <w:sz w:val="22"/>
              <w:szCs w:val="22"/>
            </w:rPr>
            <w:t xml:space="preserve">. [Online] Available at:  </w:t>
          </w:r>
          <w:proofErr w:type="gramStart"/>
          <w:r w:rsidRPr="00E7708A">
            <w:rPr>
              <w:rStyle w:val="Hyperlink"/>
              <w:rFonts w:ascii="Arial" w:hAnsi="Arial" w:cs="Arial"/>
              <w:sz w:val="22"/>
              <w:szCs w:val="22"/>
            </w:rPr>
            <w:t>https://www.rcslt.org/clinical_resources/docs/transconsultation</w:t>
          </w:r>
          <w:r w:rsidRPr="00E7708A">
            <w:rPr>
              <w:rFonts w:ascii="Arial" w:hAnsi="Arial" w:cs="Arial"/>
              <w:sz w:val="22"/>
              <w:szCs w:val="22"/>
            </w:rPr>
            <w:t xml:space="preserve">  [</w:t>
          </w:r>
          <w:proofErr w:type="gramEnd"/>
          <w:r w:rsidRPr="00E7708A">
            <w:rPr>
              <w:rFonts w:ascii="Arial" w:hAnsi="Arial" w:cs="Arial"/>
              <w:sz w:val="22"/>
              <w:szCs w:val="22"/>
            </w:rPr>
            <w:t>accessed 25 January 2022].</w:t>
          </w:r>
        </w:p>
        <w:p w14:paraId="595BB9DD" w14:textId="77777777" w:rsidR="007D10D0" w:rsidRPr="00E7708A" w:rsidRDefault="007D10D0" w:rsidP="007D10D0">
          <w:pPr>
            <w:rPr>
              <w:rFonts w:ascii="Arial" w:hAnsi="Arial" w:cs="Arial"/>
              <w:sz w:val="22"/>
              <w:szCs w:val="22"/>
            </w:rPr>
          </w:pPr>
        </w:p>
        <w:p w14:paraId="2EF63E0F" w14:textId="77777777" w:rsidR="007D10D0" w:rsidRPr="00E7708A" w:rsidRDefault="007D10D0" w:rsidP="007D10D0">
          <w:pPr>
            <w:rPr>
              <w:rFonts w:ascii="Arial" w:hAnsi="Arial" w:cs="Arial"/>
              <w:sz w:val="22"/>
              <w:szCs w:val="22"/>
            </w:rPr>
          </w:pPr>
          <w:r w:rsidRPr="00E7708A">
            <w:rPr>
              <w:rFonts w:ascii="Arial" w:hAnsi="Arial" w:cs="Arial"/>
              <w:sz w:val="22"/>
              <w:szCs w:val="22"/>
            </w:rPr>
            <w:t>Scally G and Donaldson LJ (1998) Clinical governance and the drive for quality improvement in the new NHS in England. </w:t>
          </w:r>
          <w:hyperlink r:id="rId16" w:tgtFrame="_blank" w:tooltip="opens in new window" w:history="1">
            <w:r w:rsidRPr="00E7708A">
              <w:rPr>
                <w:rStyle w:val="Hyperlink"/>
                <w:rFonts w:ascii="Arial" w:hAnsi="Arial" w:cs="Arial"/>
                <w:sz w:val="22"/>
                <w:szCs w:val="22"/>
              </w:rPr>
              <w:t>British Medical Journal</w:t>
            </w:r>
          </w:hyperlink>
          <w:r w:rsidRPr="00E7708A">
            <w:rPr>
              <w:rFonts w:ascii="Arial" w:hAnsi="Arial" w:cs="Arial"/>
              <w:sz w:val="22"/>
              <w:szCs w:val="22"/>
            </w:rPr>
            <w:t> 317(7150) 4 July pp.61-65.</w:t>
          </w:r>
        </w:p>
        <w:p w14:paraId="37B79912" w14:textId="77777777" w:rsidR="007D10D0" w:rsidRPr="00E7708A" w:rsidRDefault="007D10D0" w:rsidP="007D10D0">
          <w:pPr>
            <w:rPr>
              <w:rFonts w:ascii="Arial" w:hAnsi="Arial" w:cs="Arial"/>
              <w:sz w:val="22"/>
              <w:szCs w:val="22"/>
            </w:rPr>
          </w:pPr>
        </w:p>
        <w:p w14:paraId="1978164B" w14:textId="77777777" w:rsidR="007D10D0" w:rsidRPr="00E7708A" w:rsidRDefault="007D10D0" w:rsidP="007D10D0">
          <w:pPr>
            <w:rPr>
              <w:rFonts w:ascii="Arial" w:hAnsi="Arial" w:cs="Arial"/>
              <w:sz w:val="22"/>
              <w:szCs w:val="22"/>
            </w:rPr>
          </w:pPr>
        </w:p>
        <w:p w14:paraId="2EFBEB0D" w14:textId="77777777" w:rsidR="007D10D0" w:rsidRPr="00E7708A" w:rsidRDefault="007D10D0" w:rsidP="007D10D0">
          <w:pPr>
            <w:rPr>
              <w:rFonts w:ascii="Arial" w:hAnsi="Arial" w:cs="Arial"/>
              <w:sz w:val="22"/>
              <w:szCs w:val="22"/>
            </w:rPr>
          </w:pPr>
          <w:r w:rsidRPr="00E7708A">
            <w:rPr>
              <w:rFonts w:ascii="Arial" w:hAnsi="Arial" w:cs="Arial"/>
              <w:sz w:val="22"/>
              <w:szCs w:val="22"/>
            </w:rPr>
            <w:t>Testa, R. J., Michaels, M. S., Bliss, W., Rogers, M. L., Balsam, K. F., &amp; Joiner, T. (2017). Suicidal ideation in transgender people: Gender minority stress and interpersonal theory factors. </w:t>
          </w:r>
          <w:r w:rsidRPr="00E7708A">
            <w:rPr>
              <w:rFonts w:ascii="Arial" w:hAnsi="Arial" w:cs="Arial"/>
              <w:i/>
              <w:iCs/>
              <w:sz w:val="22"/>
              <w:szCs w:val="22"/>
            </w:rPr>
            <w:t>Journal of abnormal psychology</w:t>
          </w:r>
          <w:r w:rsidRPr="00E7708A">
            <w:rPr>
              <w:rFonts w:ascii="Arial" w:hAnsi="Arial" w:cs="Arial"/>
              <w:sz w:val="22"/>
              <w:szCs w:val="22"/>
            </w:rPr>
            <w:t>, </w:t>
          </w:r>
          <w:r w:rsidRPr="00E7708A">
            <w:rPr>
              <w:rFonts w:ascii="Arial" w:hAnsi="Arial" w:cs="Arial"/>
              <w:i/>
              <w:iCs/>
              <w:sz w:val="22"/>
              <w:szCs w:val="22"/>
            </w:rPr>
            <w:t>126</w:t>
          </w:r>
          <w:r w:rsidRPr="00E7708A">
            <w:rPr>
              <w:rFonts w:ascii="Arial" w:hAnsi="Arial" w:cs="Arial"/>
              <w:sz w:val="22"/>
              <w:szCs w:val="22"/>
            </w:rPr>
            <w:t xml:space="preserve">(1), 125–136. </w:t>
          </w:r>
        </w:p>
        <w:p w14:paraId="11752738" w14:textId="77777777" w:rsidR="007D10D0" w:rsidRPr="00E7708A" w:rsidRDefault="00644342" w:rsidP="007D10D0">
          <w:pPr>
            <w:rPr>
              <w:rFonts w:ascii="Arial" w:hAnsi="Arial" w:cs="Arial"/>
              <w:sz w:val="22"/>
              <w:szCs w:val="22"/>
            </w:rPr>
          </w:pPr>
          <w:hyperlink r:id="rId17" w:history="1">
            <w:r w:rsidR="007D10D0" w:rsidRPr="00E7708A">
              <w:rPr>
                <w:rStyle w:val="Hyperlink"/>
                <w:rFonts w:ascii="Arial" w:hAnsi="Arial" w:cs="Arial"/>
                <w:sz w:val="22"/>
                <w:szCs w:val="22"/>
              </w:rPr>
              <w:t>https://doi.org/10.1037/abn0000234</w:t>
            </w:r>
          </w:hyperlink>
          <w:r w:rsidR="007D10D0" w:rsidRPr="00E7708A">
            <w:rPr>
              <w:rFonts w:ascii="Arial" w:hAnsi="Arial" w:cs="Arial"/>
              <w:sz w:val="22"/>
              <w:szCs w:val="22"/>
            </w:rPr>
            <w:t xml:space="preserve"> [accessed 6 2 2022]</w:t>
          </w:r>
        </w:p>
        <w:p w14:paraId="566E4C7C" w14:textId="77777777" w:rsidR="007D10D0" w:rsidRPr="00E7708A" w:rsidRDefault="007D10D0" w:rsidP="007D10D0">
          <w:pPr>
            <w:rPr>
              <w:rFonts w:ascii="Arial" w:hAnsi="Arial" w:cs="Arial"/>
              <w:b/>
              <w:bCs/>
              <w:noProof/>
              <w:sz w:val="22"/>
              <w:szCs w:val="22"/>
            </w:rPr>
          </w:pPr>
        </w:p>
        <w:p w14:paraId="60791347" w14:textId="77777777" w:rsidR="007D10D0" w:rsidRPr="00E7708A" w:rsidRDefault="007D10D0" w:rsidP="007D10D0">
          <w:pPr>
            <w:rPr>
              <w:rFonts w:ascii="Arial" w:hAnsi="Arial" w:cs="Arial"/>
              <w:noProof/>
              <w:sz w:val="22"/>
              <w:szCs w:val="22"/>
              <w:lang w:val="en-US"/>
            </w:rPr>
          </w:pPr>
          <w:r w:rsidRPr="00E7708A">
            <w:rPr>
              <w:rFonts w:ascii="Arial" w:hAnsi="Arial" w:cs="Arial"/>
              <w:noProof/>
              <w:sz w:val="22"/>
              <w:szCs w:val="22"/>
              <w:lang w:val="en-US"/>
            </w:rPr>
            <w:t xml:space="preserve">UTFM, 2016. </w:t>
          </w:r>
          <w:r w:rsidRPr="00E7708A">
            <w:rPr>
              <w:rFonts w:ascii="Arial" w:hAnsi="Arial" w:cs="Arial"/>
              <w:i/>
              <w:iCs/>
              <w:noProof/>
              <w:sz w:val="22"/>
              <w:szCs w:val="22"/>
              <w:lang w:val="en-US"/>
            </w:rPr>
            <w:t xml:space="preserve">Conducting a GAP analysis. </w:t>
          </w:r>
          <w:r w:rsidRPr="00E7708A">
            <w:rPr>
              <w:rFonts w:ascii="Arial" w:hAnsi="Arial" w:cs="Arial"/>
              <w:noProof/>
              <w:sz w:val="22"/>
              <w:szCs w:val="22"/>
              <w:lang w:val="en-US"/>
            </w:rPr>
            <w:t xml:space="preserve">[Online] Available at: </w:t>
          </w:r>
          <w:hyperlink r:id="rId18" w:history="1">
            <w:r w:rsidRPr="00E7708A">
              <w:rPr>
                <w:rStyle w:val="Hyperlink"/>
                <w:rFonts w:ascii="Arial" w:hAnsi="Arial" w:cs="Arial"/>
                <w:noProof/>
                <w:sz w:val="22"/>
                <w:szCs w:val="22"/>
                <w:lang w:val="en-US"/>
              </w:rPr>
              <w:t>https://www.cpd.utoronto.ca/wp-content/uploads/2016/07/P04-How-to-Conduct-a-Gap-Analysis.pdf</w:t>
            </w:r>
          </w:hyperlink>
          <w:r w:rsidRPr="00E7708A">
            <w:rPr>
              <w:rFonts w:ascii="Arial" w:hAnsi="Arial" w:cs="Arial"/>
              <w:noProof/>
              <w:sz w:val="22"/>
              <w:szCs w:val="22"/>
              <w:lang w:val="en-US"/>
            </w:rPr>
            <w:t xml:space="preserve"> [Accessed 6 2 2022].</w:t>
          </w:r>
        </w:p>
        <w:p w14:paraId="1FE569A8" w14:textId="77777777" w:rsidR="007D10D0" w:rsidRPr="00E7708A" w:rsidRDefault="007D10D0" w:rsidP="007D10D0">
          <w:pPr>
            <w:rPr>
              <w:rFonts w:ascii="Arial" w:hAnsi="Arial" w:cs="Arial"/>
              <w:noProof/>
              <w:sz w:val="22"/>
              <w:szCs w:val="22"/>
              <w:lang w:val="en-US"/>
            </w:rPr>
          </w:pPr>
        </w:p>
        <w:p w14:paraId="3F1303DC" w14:textId="77777777" w:rsidR="007D10D0" w:rsidRPr="00E7708A" w:rsidRDefault="007D10D0" w:rsidP="007D10D0">
          <w:pPr>
            <w:rPr>
              <w:rFonts w:ascii="Arial" w:hAnsi="Arial" w:cs="Arial"/>
              <w:noProof/>
              <w:sz w:val="22"/>
              <w:szCs w:val="22"/>
            </w:rPr>
          </w:pPr>
          <w:r w:rsidRPr="00E7708A">
            <w:rPr>
              <w:rFonts w:ascii="Arial" w:hAnsi="Arial" w:cs="Arial"/>
              <w:noProof/>
              <w:sz w:val="22"/>
              <w:szCs w:val="22"/>
            </w:rPr>
            <w:t>Warrier, V., Greenberg, D. M., Weir, E., Buckingham, C., Smith, P., Lai, M. C., Allison, C., &amp; Baron-Cohen, S. (2020). Elevated rates of autism, other neurodevelopmental and psychiatric diagnoses, and autistic traits in transgender and gender-diverse individuals. </w:t>
          </w:r>
          <w:r w:rsidRPr="00E7708A">
            <w:rPr>
              <w:rFonts w:ascii="Arial" w:hAnsi="Arial" w:cs="Arial"/>
              <w:i/>
              <w:iCs/>
              <w:noProof/>
              <w:sz w:val="22"/>
              <w:szCs w:val="22"/>
            </w:rPr>
            <w:t>Nature communications</w:t>
          </w:r>
          <w:r w:rsidRPr="00E7708A">
            <w:rPr>
              <w:rFonts w:ascii="Arial" w:hAnsi="Arial" w:cs="Arial"/>
              <w:noProof/>
              <w:sz w:val="22"/>
              <w:szCs w:val="22"/>
            </w:rPr>
            <w:t>, </w:t>
          </w:r>
          <w:r w:rsidRPr="00E7708A">
            <w:rPr>
              <w:rFonts w:ascii="Arial" w:hAnsi="Arial" w:cs="Arial"/>
              <w:i/>
              <w:iCs/>
              <w:noProof/>
              <w:sz w:val="22"/>
              <w:szCs w:val="22"/>
            </w:rPr>
            <w:t>11</w:t>
          </w:r>
          <w:r w:rsidRPr="00E7708A">
            <w:rPr>
              <w:rFonts w:ascii="Arial" w:hAnsi="Arial" w:cs="Arial"/>
              <w:noProof/>
              <w:sz w:val="22"/>
              <w:szCs w:val="22"/>
            </w:rPr>
            <w:t>(1), 3959. https://doi.org/10.1038/s41467-020-17794-1</w:t>
          </w:r>
        </w:p>
        <w:p w14:paraId="5787E0BE" w14:textId="77777777" w:rsidR="007D10D0" w:rsidRPr="00E7708A" w:rsidRDefault="007D10D0" w:rsidP="007D10D0">
          <w:pPr>
            <w:rPr>
              <w:rFonts w:ascii="Arial" w:hAnsi="Arial" w:cs="Arial"/>
              <w:noProof/>
              <w:sz w:val="22"/>
              <w:szCs w:val="22"/>
              <w:lang w:val="en-US"/>
            </w:rPr>
          </w:pPr>
        </w:p>
        <w:p w14:paraId="12C5C05A" w14:textId="77777777" w:rsidR="007D10D0" w:rsidRPr="00E7708A" w:rsidRDefault="007D10D0" w:rsidP="007D10D0">
          <w:pPr>
            <w:rPr>
              <w:rFonts w:ascii="Arial" w:hAnsi="Arial" w:cs="Arial"/>
              <w:noProof/>
              <w:sz w:val="22"/>
              <w:szCs w:val="22"/>
              <w:lang w:val="en-US"/>
            </w:rPr>
          </w:pPr>
        </w:p>
        <w:p w14:paraId="477102AE" w14:textId="77777777" w:rsidR="007D10D0" w:rsidRPr="00E7708A" w:rsidRDefault="007D10D0" w:rsidP="007D10D0">
          <w:pPr>
            <w:rPr>
              <w:rFonts w:ascii="Arial" w:hAnsi="Arial" w:cs="Arial"/>
              <w:noProof/>
              <w:sz w:val="22"/>
              <w:szCs w:val="22"/>
            </w:rPr>
          </w:pPr>
          <w:r w:rsidRPr="00E7708A">
            <w:rPr>
              <w:rFonts w:ascii="Arial" w:hAnsi="Arial" w:cs="Arial"/>
              <w:noProof/>
              <w:sz w:val="22"/>
              <w:szCs w:val="22"/>
            </w:rPr>
            <w:t xml:space="preserve">Wylie, K., Knudson, G., Khan, S. I., Bonierbale, M., Watanyusakul, S. and Baral, S. (2016) </w:t>
          </w:r>
          <w:r w:rsidRPr="00E7708A">
            <w:rPr>
              <w:rFonts w:ascii="Arial" w:hAnsi="Arial" w:cs="Arial"/>
              <w:i/>
              <w:iCs/>
              <w:noProof/>
              <w:sz w:val="22"/>
              <w:szCs w:val="22"/>
            </w:rPr>
            <w:t>Serving transgender people: clinical care considerations and service delivery models in transgender health</w:t>
          </w:r>
          <w:r w:rsidRPr="00E7708A">
            <w:rPr>
              <w:rFonts w:ascii="Arial" w:hAnsi="Arial" w:cs="Arial"/>
              <w:noProof/>
              <w:sz w:val="22"/>
              <w:szCs w:val="22"/>
            </w:rPr>
            <w:t>. Transgender health. Vol. 2: 1-11.</w:t>
          </w:r>
        </w:p>
        <w:p w14:paraId="558099B6" w14:textId="77777777" w:rsidR="007D10D0" w:rsidRPr="00E7708A" w:rsidRDefault="00644342" w:rsidP="007D10D0">
          <w:pPr>
            <w:rPr>
              <w:rFonts w:ascii="Arial" w:hAnsi="Arial" w:cs="Arial"/>
              <w:sz w:val="22"/>
              <w:szCs w:val="22"/>
            </w:rPr>
          </w:pPr>
        </w:p>
      </w:sdtContent>
    </w:sdt>
    <w:p w14:paraId="4195C66A" w14:textId="77777777" w:rsidR="007D10D0" w:rsidRPr="00E7708A" w:rsidRDefault="007D10D0" w:rsidP="007D10D0">
      <w:pPr>
        <w:rPr>
          <w:rFonts w:ascii="Arial" w:hAnsi="Arial" w:cs="Arial"/>
          <w:b/>
          <w:bCs/>
          <w:sz w:val="22"/>
          <w:szCs w:val="22"/>
          <w:u w:val="single"/>
        </w:rPr>
      </w:pPr>
    </w:p>
    <w:p w14:paraId="29E9AE8B" w14:textId="77777777" w:rsidR="007D10D0" w:rsidRPr="00E7708A" w:rsidRDefault="007D10D0" w:rsidP="007D10D0">
      <w:pPr>
        <w:rPr>
          <w:rFonts w:ascii="Arial" w:hAnsi="Arial" w:cs="Arial"/>
          <w:b/>
          <w:bCs/>
          <w:sz w:val="22"/>
          <w:szCs w:val="22"/>
          <w:u w:val="single"/>
        </w:rPr>
      </w:pPr>
    </w:p>
    <w:p w14:paraId="04D9E2C4" w14:textId="77777777" w:rsidR="007D10D0" w:rsidRPr="00E7708A" w:rsidRDefault="007D10D0" w:rsidP="007D10D0">
      <w:pPr>
        <w:ind w:left="360"/>
        <w:rPr>
          <w:rFonts w:ascii="Arial" w:hAnsi="Arial" w:cs="Arial"/>
          <w:sz w:val="22"/>
          <w:szCs w:val="22"/>
        </w:rPr>
      </w:pPr>
    </w:p>
    <w:p w14:paraId="35DD2BA1" w14:textId="77777777" w:rsidR="007D10D0" w:rsidRDefault="007D10D0" w:rsidP="007D10D0">
      <w:pPr>
        <w:ind w:left="360"/>
        <w:rPr>
          <w:rFonts w:cs="Arial"/>
        </w:rPr>
      </w:pPr>
    </w:p>
    <w:p w14:paraId="00DFA2B3" w14:textId="77777777" w:rsidR="007D10D0" w:rsidRDefault="007D10D0" w:rsidP="007D10D0">
      <w:pPr>
        <w:ind w:left="360"/>
        <w:rPr>
          <w:rFonts w:cs="Arial"/>
        </w:rPr>
      </w:pPr>
    </w:p>
    <w:p w14:paraId="1E714D06" w14:textId="77777777" w:rsidR="007D10D0" w:rsidRDefault="007D10D0" w:rsidP="007D10D0">
      <w:pPr>
        <w:ind w:left="360"/>
        <w:rPr>
          <w:rFonts w:cs="Arial"/>
        </w:rPr>
      </w:pPr>
    </w:p>
    <w:p w14:paraId="7BA4A828" w14:textId="77777777" w:rsidR="007D10D0" w:rsidRDefault="007D10D0" w:rsidP="007D10D0">
      <w:pPr>
        <w:ind w:left="360"/>
        <w:rPr>
          <w:rFonts w:cs="Arial"/>
        </w:rPr>
      </w:pPr>
    </w:p>
    <w:p w14:paraId="76D40F16" w14:textId="77777777" w:rsidR="007D10D0" w:rsidRDefault="007D10D0" w:rsidP="007D10D0">
      <w:pPr>
        <w:ind w:left="360"/>
        <w:rPr>
          <w:rFonts w:cs="Arial"/>
        </w:rPr>
      </w:pPr>
    </w:p>
    <w:p w14:paraId="4053ADA9" w14:textId="77777777" w:rsidR="007D10D0" w:rsidRDefault="007D10D0" w:rsidP="007D10D0">
      <w:pPr>
        <w:ind w:left="360"/>
        <w:rPr>
          <w:rFonts w:cs="Arial"/>
        </w:rPr>
      </w:pPr>
    </w:p>
    <w:p w14:paraId="653A112C" w14:textId="77777777" w:rsidR="007D10D0" w:rsidRDefault="007D10D0" w:rsidP="007D10D0">
      <w:pPr>
        <w:ind w:left="360"/>
        <w:rPr>
          <w:rFonts w:cs="Arial"/>
        </w:rPr>
      </w:pPr>
    </w:p>
    <w:p w14:paraId="7FB1AA95" w14:textId="77777777" w:rsidR="007D10D0" w:rsidRDefault="007D10D0" w:rsidP="007D10D0">
      <w:pPr>
        <w:ind w:left="360"/>
        <w:rPr>
          <w:rFonts w:cs="Arial"/>
        </w:rPr>
      </w:pPr>
    </w:p>
    <w:p w14:paraId="5DEA2205" w14:textId="77777777" w:rsidR="007D10D0" w:rsidRDefault="007D10D0" w:rsidP="007D10D0">
      <w:pPr>
        <w:ind w:left="360"/>
        <w:rPr>
          <w:rFonts w:cs="Arial"/>
        </w:rPr>
      </w:pPr>
    </w:p>
    <w:p w14:paraId="7A27F873" w14:textId="77777777" w:rsidR="007D10D0" w:rsidRDefault="007D10D0" w:rsidP="007D10D0">
      <w:pPr>
        <w:ind w:left="360"/>
        <w:rPr>
          <w:rFonts w:cs="Arial"/>
        </w:rPr>
      </w:pPr>
    </w:p>
    <w:p w14:paraId="6A733D6D" w14:textId="77777777" w:rsidR="007D10D0" w:rsidRDefault="007D10D0" w:rsidP="007D10D0">
      <w:pPr>
        <w:ind w:left="360"/>
        <w:rPr>
          <w:rFonts w:cs="Arial"/>
        </w:rPr>
      </w:pPr>
    </w:p>
    <w:p w14:paraId="62085CEE" w14:textId="77777777" w:rsidR="007D10D0" w:rsidRDefault="007D10D0" w:rsidP="007D10D0">
      <w:pPr>
        <w:ind w:left="360"/>
        <w:rPr>
          <w:rFonts w:cs="Arial"/>
        </w:rPr>
      </w:pPr>
    </w:p>
    <w:p w14:paraId="0D79EDB3" w14:textId="77777777" w:rsidR="007D10D0" w:rsidRDefault="007D10D0"/>
    <w:sectPr w:rsidR="007D10D0">
      <w:footerReference w:type="defaul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1E7BC9" w14:textId="77777777" w:rsidR="00644342" w:rsidRDefault="00644342" w:rsidP="000800BC">
      <w:r>
        <w:separator/>
      </w:r>
    </w:p>
  </w:endnote>
  <w:endnote w:type="continuationSeparator" w:id="0">
    <w:p w14:paraId="3D57A01B" w14:textId="77777777" w:rsidR="00644342" w:rsidRDefault="00644342" w:rsidP="00080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C5C8A4" w14:textId="1B86457D" w:rsidR="000800BC" w:rsidRDefault="000800BC">
    <w:pPr>
      <w:pStyle w:val="Footer"/>
    </w:pPr>
  </w:p>
  <w:p w14:paraId="09248BCE" w14:textId="77777777" w:rsidR="000800BC" w:rsidRDefault="000800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3F457F" w14:textId="77777777" w:rsidR="00644342" w:rsidRDefault="00644342" w:rsidP="000800BC">
      <w:r>
        <w:separator/>
      </w:r>
    </w:p>
  </w:footnote>
  <w:footnote w:type="continuationSeparator" w:id="0">
    <w:p w14:paraId="7785309C" w14:textId="77777777" w:rsidR="00644342" w:rsidRDefault="00644342" w:rsidP="000800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F564A"/>
    <w:multiLevelType w:val="hybridMultilevel"/>
    <w:tmpl w:val="C3D2E5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281239"/>
    <w:multiLevelType w:val="hybridMultilevel"/>
    <w:tmpl w:val="EECEDD98"/>
    <w:lvl w:ilvl="0" w:tplc="FCD28FE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50938"/>
    <w:multiLevelType w:val="hybridMultilevel"/>
    <w:tmpl w:val="647431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E6527A"/>
    <w:multiLevelType w:val="hybridMultilevel"/>
    <w:tmpl w:val="FCDC27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B74FA5"/>
    <w:multiLevelType w:val="hybridMultilevel"/>
    <w:tmpl w:val="6F86D2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A615E8"/>
    <w:multiLevelType w:val="hybridMultilevel"/>
    <w:tmpl w:val="A85E8E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242138"/>
    <w:multiLevelType w:val="hybridMultilevel"/>
    <w:tmpl w:val="59DCB3A6"/>
    <w:lvl w:ilvl="0" w:tplc="1E449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0B469D9"/>
    <w:multiLevelType w:val="hybridMultilevel"/>
    <w:tmpl w:val="32F66A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C149A9"/>
    <w:multiLevelType w:val="hybridMultilevel"/>
    <w:tmpl w:val="E8B864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8"/>
  </w:num>
  <w:num w:numId="5">
    <w:abstractNumId w:val="0"/>
  </w:num>
  <w:num w:numId="6">
    <w:abstractNumId w:val="2"/>
  </w:num>
  <w:num w:numId="7">
    <w:abstractNumId w:val="7"/>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9D1"/>
    <w:rsid w:val="00061254"/>
    <w:rsid w:val="000800BC"/>
    <w:rsid w:val="00086545"/>
    <w:rsid w:val="000903C1"/>
    <w:rsid w:val="00113A2F"/>
    <w:rsid w:val="001D4E75"/>
    <w:rsid w:val="001D6199"/>
    <w:rsid w:val="002222FB"/>
    <w:rsid w:val="002241F9"/>
    <w:rsid w:val="002902F6"/>
    <w:rsid w:val="002B3C4F"/>
    <w:rsid w:val="002D6963"/>
    <w:rsid w:val="002F1D51"/>
    <w:rsid w:val="00323D81"/>
    <w:rsid w:val="0035234F"/>
    <w:rsid w:val="00352CAF"/>
    <w:rsid w:val="00362434"/>
    <w:rsid w:val="00363C4F"/>
    <w:rsid w:val="00372CF7"/>
    <w:rsid w:val="00382F03"/>
    <w:rsid w:val="003854E8"/>
    <w:rsid w:val="003D574E"/>
    <w:rsid w:val="00402E0A"/>
    <w:rsid w:val="00412841"/>
    <w:rsid w:val="0045060A"/>
    <w:rsid w:val="00452828"/>
    <w:rsid w:val="0046386C"/>
    <w:rsid w:val="00485FE3"/>
    <w:rsid w:val="004860AA"/>
    <w:rsid w:val="004958A3"/>
    <w:rsid w:val="004F6566"/>
    <w:rsid w:val="00510922"/>
    <w:rsid w:val="00535EF8"/>
    <w:rsid w:val="005D2F36"/>
    <w:rsid w:val="00622698"/>
    <w:rsid w:val="00626D7E"/>
    <w:rsid w:val="00631E86"/>
    <w:rsid w:val="00644342"/>
    <w:rsid w:val="006B0112"/>
    <w:rsid w:val="006C33BD"/>
    <w:rsid w:val="006E4B46"/>
    <w:rsid w:val="006F1274"/>
    <w:rsid w:val="007635EE"/>
    <w:rsid w:val="00771F39"/>
    <w:rsid w:val="00797B3D"/>
    <w:rsid w:val="007B1F6F"/>
    <w:rsid w:val="007D10D0"/>
    <w:rsid w:val="007D4189"/>
    <w:rsid w:val="007E0EA2"/>
    <w:rsid w:val="00867595"/>
    <w:rsid w:val="0087184B"/>
    <w:rsid w:val="00880A69"/>
    <w:rsid w:val="00893CA3"/>
    <w:rsid w:val="008A227A"/>
    <w:rsid w:val="008A3DBF"/>
    <w:rsid w:val="00941628"/>
    <w:rsid w:val="009D1125"/>
    <w:rsid w:val="009F2706"/>
    <w:rsid w:val="00A21DDC"/>
    <w:rsid w:val="00A34544"/>
    <w:rsid w:val="00AB6A40"/>
    <w:rsid w:val="00AC2456"/>
    <w:rsid w:val="00AF7602"/>
    <w:rsid w:val="00B11CCD"/>
    <w:rsid w:val="00B84D36"/>
    <w:rsid w:val="00B91E52"/>
    <w:rsid w:val="00BD0A23"/>
    <w:rsid w:val="00C06A5C"/>
    <w:rsid w:val="00C27610"/>
    <w:rsid w:val="00C312A7"/>
    <w:rsid w:val="00C479D1"/>
    <w:rsid w:val="00C51752"/>
    <w:rsid w:val="00C65C39"/>
    <w:rsid w:val="00C81806"/>
    <w:rsid w:val="00C84DA5"/>
    <w:rsid w:val="00CB788E"/>
    <w:rsid w:val="00CC0CFA"/>
    <w:rsid w:val="00D22E75"/>
    <w:rsid w:val="00D24CCE"/>
    <w:rsid w:val="00D61EF8"/>
    <w:rsid w:val="00D66BB9"/>
    <w:rsid w:val="00D74C69"/>
    <w:rsid w:val="00D80D39"/>
    <w:rsid w:val="00D91049"/>
    <w:rsid w:val="00DD3C33"/>
    <w:rsid w:val="00DE3731"/>
    <w:rsid w:val="00E5457D"/>
    <w:rsid w:val="00E7708A"/>
    <w:rsid w:val="00E94C50"/>
    <w:rsid w:val="00EB0DC0"/>
    <w:rsid w:val="00F54E04"/>
    <w:rsid w:val="00F6172D"/>
    <w:rsid w:val="00F64DB0"/>
    <w:rsid w:val="00F7471B"/>
    <w:rsid w:val="00FA5036"/>
    <w:rsid w:val="00FC1959"/>
    <w:rsid w:val="00FC66EA"/>
    <w:rsid w:val="00FE5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642296"/>
  <w15:chartTrackingRefBased/>
  <w15:docId w15:val="{E03C1A6B-0D91-5546-AC5B-D48F2EC46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E8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222F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79D1"/>
    <w:pPr>
      <w:ind w:left="720"/>
      <w:contextualSpacing/>
    </w:pPr>
    <w:rPr>
      <w:rFonts w:asciiTheme="minorHAnsi" w:eastAsiaTheme="minorHAnsi" w:hAnsiTheme="minorHAnsi" w:cstheme="minorBidi"/>
      <w:lang w:eastAsia="en-US"/>
    </w:rPr>
  </w:style>
  <w:style w:type="table" w:styleId="TableGrid">
    <w:name w:val="Table Grid"/>
    <w:basedOn w:val="TableNormal"/>
    <w:uiPriority w:val="39"/>
    <w:rsid w:val="002222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222F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222FB"/>
    <w:rPr>
      <w:rFonts w:asciiTheme="minorHAnsi" w:eastAsiaTheme="minorHAnsi" w:hAnsiTheme="minorHAnsi" w:cstheme="minorBidi"/>
      <w:lang w:eastAsia="en-US"/>
    </w:rPr>
  </w:style>
  <w:style w:type="paragraph" w:styleId="NormalWeb">
    <w:name w:val="Normal (Web)"/>
    <w:basedOn w:val="Normal"/>
    <w:uiPriority w:val="99"/>
    <w:unhideWhenUsed/>
    <w:rsid w:val="00DD3C33"/>
    <w:rPr>
      <w:rFonts w:eastAsiaTheme="minorHAnsi"/>
      <w:lang w:eastAsia="en-US"/>
    </w:rPr>
  </w:style>
  <w:style w:type="character" w:styleId="CommentReference">
    <w:name w:val="annotation reference"/>
    <w:basedOn w:val="DefaultParagraphFont"/>
    <w:uiPriority w:val="99"/>
    <w:semiHidden/>
    <w:unhideWhenUsed/>
    <w:rsid w:val="00F6172D"/>
    <w:rPr>
      <w:sz w:val="16"/>
      <w:szCs w:val="16"/>
    </w:rPr>
  </w:style>
  <w:style w:type="paragraph" w:styleId="CommentText">
    <w:name w:val="annotation text"/>
    <w:basedOn w:val="Normal"/>
    <w:link w:val="CommentTextChar"/>
    <w:uiPriority w:val="99"/>
    <w:semiHidden/>
    <w:unhideWhenUsed/>
    <w:rsid w:val="00F6172D"/>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F6172D"/>
    <w:rPr>
      <w:sz w:val="20"/>
      <w:szCs w:val="20"/>
    </w:rPr>
  </w:style>
  <w:style w:type="paragraph" w:styleId="CommentSubject">
    <w:name w:val="annotation subject"/>
    <w:basedOn w:val="CommentText"/>
    <w:next w:val="CommentText"/>
    <w:link w:val="CommentSubjectChar"/>
    <w:uiPriority w:val="99"/>
    <w:semiHidden/>
    <w:unhideWhenUsed/>
    <w:rsid w:val="00F6172D"/>
    <w:rPr>
      <w:b/>
      <w:bCs/>
    </w:rPr>
  </w:style>
  <w:style w:type="character" w:customStyle="1" w:styleId="CommentSubjectChar">
    <w:name w:val="Comment Subject Char"/>
    <w:basedOn w:val="CommentTextChar"/>
    <w:link w:val="CommentSubject"/>
    <w:uiPriority w:val="99"/>
    <w:semiHidden/>
    <w:rsid w:val="00F6172D"/>
    <w:rPr>
      <w:b/>
      <w:bCs/>
      <w:sz w:val="20"/>
      <w:szCs w:val="20"/>
    </w:rPr>
  </w:style>
  <w:style w:type="paragraph" w:styleId="BalloonText">
    <w:name w:val="Balloon Text"/>
    <w:basedOn w:val="Normal"/>
    <w:link w:val="BalloonTextChar"/>
    <w:uiPriority w:val="99"/>
    <w:semiHidden/>
    <w:unhideWhenUsed/>
    <w:rsid w:val="00F6172D"/>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F6172D"/>
    <w:rPr>
      <w:rFonts w:ascii="Times New Roman" w:hAnsi="Times New Roman" w:cs="Times New Roman"/>
      <w:sz w:val="18"/>
      <w:szCs w:val="18"/>
    </w:rPr>
  </w:style>
  <w:style w:type="paragraph" w:styleId="Header">
    <w:name w:val="header"/>
    <w:basedOn w:val="Normal"/>
    <w:link w:val="HeaderChar"/>
    <w:uiPriority w:val="99"/>
    <w:unhideWhenUsed/>
    <w:rsid w:val="000800BC"/>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0800BC"/>
  </w:style>
  <w:style w:type="paragraph" w:styleId="Footer">
    <w:name w:val="footer"/>
    <w:basedOn w:val="Normal"/>
    <w:link w:val="FooterChar"/>
    <w:uiPriority w:val="99"/>
    <w:unhideWhenUsed/>
    <w:rsid w:val="000800BC"/>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0800BC"/>
  </w:style>
  <w:style w:type="character" w:styleId="Hyperlink">
    <w:name w:val="Hyperlink"/>
    <w:basedOn w:val="DefaultParagraphFont"/>
    <w:uiPriority w:val="99"/>
    <w:unhideWhenUsed/>
    <w:rsid w:val="007D10D0"/>
    <w:rPr>
      <w:color w:val="0563C1" w:themeColor="hyperlink"/>
      <w:u w:val="single"/>
    </w:rPr>
  </w:style>
  <w:style w:type="character" w:customStyle="1" w:styleId="apple-converted-space">
    <w:name w:val="apple-converted-space"/>
    <w:basedOn w:val="DefaultParagraphFont"/>
    <w:rsid w:val="007D1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81150">
      <w:bodyDiv w:val="1"/>
      <w:marLeft w:val="0"/>
      <w:marRight w:val="0"/>
      <w:marTop w:val="0"/>
      <w:marBottom w:val="0"/>
      <w:divBdr>
        <w:top w:val="none" w:sz="0" w:space="0" w:color="auto"/>
        <w:left w:val="none" w:sz="0" w:space="0" w:color="auto"/>
        <w:bottom w:val="none" w:sz="0" w:space="0" w:color="auto"/>
        <w:right w:val="none" w:sz="0" w:space="0" w:color="auto"/>
      </w:divBdr>
    </w:div>
    <w:div w:id="26487097">
      <w:bodyDiv w:val="1"/>
      <w:marLeft w:val="0"/>
      <w:marRight w:val="0"/>
      <w:marTop w:val="0"/>
      <w:marBottom w:val="0"/>
      <w:divBdr>
        <w:top w:val="none" w:sz="0" w:space="0" w:color="auto"/>
        <w:left w:val="none" w:sz="0" w:space="0" w:color="auto"/>
        <w:bottom w:val="none" w:sz="0" w:space="0" w:color="auto"/>
        <w:right w:val="none" w:sz="0" w:space="0" w:color="auto"/>
      </w:divBdr>
      <w:divsChild>
        <w:div w:id="1735198253">
          <w:marLeft w:val="0"/>
          <w:marRight w:val="0"/>
          <w:marTop w:val="0"/>
          <w:marBottom w:val="0"/>
          <w:divBdr>
            <w:top w:val="none" w:sz="0" w:space="0" w:color="auto"/>
            <w:left w:val="none" w:sz="0" w:space="0" w:color="auto"/>
            <w:bottom w:val="none" w:sz="0" w:space="0" w:color="auto"/>
            <w:right w:val="none" w:sz="0" w:space="0" w:color="auto"/>
          </w:divBdr>
          <w:divsChild>
            <w:div w:id="1243098728">
              <w:marLeft w:val="0"/>
              <w:marRight w:val="0"/>
              <w:marTop w:val="0"/>
              <w:marBottom w:val="0"/>
              <w:divBdr>
                <w:top w:val="none" w:sz="0" w:space="0" w:color="auto"/>
                <w:left w:val="none" w:sz="0" w:space="0" w:color="auto"/>
                <w:bottom w:val="none" w:sz="0" w:space="0" w:color="auto"/>
                <w:right w:val="none" w:sz="0" w:space="0" w:color="auto"/>
              </w:divBdr>
              <w:divsChild>
                <w:div w:id="189152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99476">
      <w:bodyDiv w:val="1"/>
      <w:marLeft w:val="0"/>
      <w:marRight w:val="0"/>
      <w:marTop w:val="0"/>
      <w:marBottom w:val="0"/>
      <w:divBdr>
        <w:top w:val="none" w:sz="0" w:space="0" w:color="auto"/>
        <w:left w:val="none" w:sz="0" w:space="0" w:color="auto"/>
        <w:bottom w:val="none" w:sz="0" w:space="0" w:color="auto"/>
        <w:right w:val="none" w:sz="0" w:space="0" w:color="auto"/>
      </w:divBdr>
    </w:div>
    <w:div w:id="99883589">
      <w:bodyDiv w:val="1"/>
      <w:marLeft w:val="0"/>
      <w:marRight w:val="0"/>
      <w:marTop w:val="0"/>
      <w:marBottom w:val="0"/>
      <w:divBdr>
        <w:top w:val="none" w:sz="0" w:space="0" w:color="auto"/>
        <w:left w:val="none" w:sz="0" w:space="0" w:color="auto"/>
        <w:bottom w:val="none" w:sz="0" w:space="0" w:color="auto"/>
        <w:right w:val="none" w:sz="0" w:space="0" w:color="auto"/>
      </w:divBdr>
      <w:divsChild>
        <w:div w:id="30690613">
          <w:marLeft w:val="0"/>
          <w:marRight w:val="0"/>
          <w:marTop w:val="0"/>
          <w:marBottom w:val="0"/>
          <w:divBdr>
            <w:top w:val="none" w:sz="0" w:space="0" w:color="auto"/>
            <w:left w:val="none" w:sz="0" w:space="0" w:color="auto"/>
            <w:bottom w:val="none" w:sz="0" w:space="0" w:color="auto"/>
            <w:right w:val="none" w:sz="0" w:space="0" w:color="auto"/>
          </w:divBdr>
          <w:divsChild>
            <w:div w:id="1630208142">
              <w:marLeft w:val="0"/>
              <w:marRight w:val="0"/>
              <w:marTop w:val="0"/>
              <w:marBottom w:val="0"/>
              <w:divBdr>
                <w:top w:val="none" w:sz="0" w:space="0" w:color="auto"/>
                <w:left w:val="none" w:sz="0" w:space="0" w:color="auto"/>
                <w:bottom w:val="none" w:sz="0" w:space="0" w:color="auto"/>
                <w:right w:val="none" w:sz="0" w:space="0" w:color="auto"/>
              </w:divBdr>
              <w:divsChild>
                <w:div w:id="941649937">
                  <w:marLeft w:val="0"/>
                  <w:marRight w:val="0"/>
                  <w:marTop w:val="0"/>
                  <w:marBottom w:val="0"/>
                  <w:divBdr>
                    <w:top w:val="none" w:sz="0" w:space="0" w:color="auto"/>
                    <w:left w:val="none" w:sz="0" w:space="0" w:color="auto"/>
                    <w:bottom w:val="none" w:sz="0" w:space="0" w:color="auto"/>
                    <w:right w:val="none" w:sz="0" w:space="0" w:color="auto"/>
                  </w:divBdr>
                </w:div>
              </w:divsChild>
            </w:div>
            <w:div w:id="1230963859">
              <w:marLeft w:val="0"/>
              <w:marRight w:val="0"/>
              <w:marTop w:val="0"/>
              <w:marBottom w:val="0"/>
              <w:divBdr>
                <w:top w:val="none" w:sz="0" w:space="0" w:color="auto"/>
                <w:left w:val="none" w:sz="0" w:space="0" w:color="auto"/>
                <w:bottom w:val="none" w:sz="0" w:space="0" w:color="auto"/>
                <w:right w:val="none" w:sz="0" w:space="0" w:color="auto"/>
              </w:divBdr>
              <w:divsChild>
                <w:div w:id="156509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26568">
      <w:bodyDiv w:val="1"/>
      <w:marLeft w:val="0"/>
      <w:marRight w:val="0"/>
      <w:marTop w:val="0"/>
      <w:marBottom w:val="0"/>
      <w:divBdr>
        <w:top w:val="none" w:sz="0" w:space="0" w:color="auto"/>
        <w:left w:val="none" w:sz="0" w:space="0" w:color="auto"/>
        <w:bottom w:val="none" w:sz="0" w:space="0" w:color="auto"/>
        <w:right w:val="none" w:sz="0" w:space="0" w:color="auto"/>
      </w:divBdr>
      <w:divsChild>
        <w:div w:id="1173957845">
          <w:marLeft w:val="0"/>
          <w:marRight w:val="0"/>
          <w:marTop w:val="0"/>
          <w:marBottom w:val="0"/>
          <w:divBdr>
            <w:top w:val="none" w:sz="0" w:space="0" w:color="auto"/>
            <w:left w:val="none" w:sz="0" w:space="0" w:color="auto"/>
            <w:bottom w:val="none" w:sz="0" w:space="0" w:color="auto"/>
            <w:right w:val="none" w:sz="0" w:space="0" w:color="auto"/>
          </w:divBdr>
          <w:divsChild>
            <w:div w:id="1634562218">
              <w:marLeft w:val="0"/>
              <w:marRight w:val="0"/>
              <w:marTop w:val="0"/>
              <w:marBottom w:val="0"/>
              <w:divBdr>
                <w:top w:val="none" w:sz="0" w:space="0" w:color="auto"/>
                <w:left w:val="none" w:sz="0" w:space="0" w:color="auto"/>
                <w:bottom w:val="none" w:sz="0" w:space="0" w:color="auto"/>
                <w:right w:val="none" w:sz="0" w:space="0" w:color="auto"/>
              </w:divBdr>
              <w:divsChild>
                <w:div w:id="173593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50961">
      <w:bodyDiv w:val="1"/>
      <w:marLeft w:val="0"/>
      <w:marRight w:val="0"/>
      <w:marTop w:val="0"/>
      <w:marBottom w:val="0"/>
      <w:divBdr>
        <w:top w:val="none" w:sz="0" w:space="0" w:color="auto"/>
        <w:left w:val="none" w:sz="0" w:space="0" w:color="auto"/>
        <w:bottom w:val="none" w:sz="0" w:space="0" w:color="auto"/>
        <w:right w:val="none" w:sz="0" w:space="0" w:color="auto"/>
      </w:divBdr>
    </w:div>
    <w:div w:id="156699480">
      <w:bodyDiv w:val="1"/>
      <w:marLeft w:val="0"/>
      <w:marRight w:val="0"/>
      <w:marTop w:val="0"/>
      <w:marBottom w:val="0"/>
      <w:divBdr>
        <w:top w:val="none" w:sz="0" w:space="0" w:color="auto"/>
        <w:left w:val="none" w:sz="0" w:space="0" w:color="auto"/>
        <w:bottom w:val="none" w:sz="0" w:space="0" w:color="auto"/>
        <w:right w:val="none" w:sz="0" w:space="0" w:color="auto"/>
      </w:divBdr>
      <w:divsChild>
        <w:div w:id="1322808302">
          <w:marLeft w:val="0"/>
          <w:marRight w:val="0"/>
          <w:marTop w:val="0"/>
          <w:marBottom w:val="0"/>
          <w:divBdr>
            <w:top w:val="none" w:sz="0" w:space="0" w:color="auto"/>
            <w:left w:val="none" w:sz="0" w:space="0" w:color="auto"/>
            <w:bottom w:val="none" w:sz="0" w:space="0" w:color="auto"/>
            <w:right w:val="none" w:sz="0" w:space="0" w:color="auto"/>
          </w:divBdr>
          <w:divsChild>
            <w:div w:id="603415594">
              <w:marLeft w:val="0"/>
              <w:marRight w:val="0"/>
              <w:marTop w:val="0"/>
              <w:marBottom w:val="0"/>
              <w:divBdr>
                <w:top w:val="none" w:sz="0" w:space="0" w:color="auto"/>
                <w:left w:val="none" w:sz="0" w:space="0" w:color="auto"/>
                <w:bottom w:val="none" w:sz="0" w:space="0" w:color="auto"/>
                <w:right w:val="none" w:sz="0" w:space="0" w:color="auto"/>
              </w:divBdr>
              <w:divsChild>
                <w:div w:id="198457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09392">
      <w:bodyDiv w:val="1"/>
      <w:marLeft w:val="0"/>
      <w:marRight w:val="0"/>
      <w:marTop w:val="0"/>
      <w:marBottom w:val="0"/>
      <w:divBdr>
        <w:top w:val="none" w:sz="0" w:space="0" w:color="auto"/>
        <w:left w:val="none" w:sz="0" w:space="0" w:color="auto"/>
        <w:bottom w:val="none" w:sz="0" w:space="0" w:color="auto"/>
        <w:right w:val="none" w:sz="0" w:space="0" w:color="auto"/>
      </w:divBdr>
      <w:divsChild>
        <w:div w:id="1437402763">
          <w:marLeft w:val="0"/>
          <w:marRight w:val="0"/>
          <w:marTop w:val="0"/>
          <w:marBottom w:val="0"/>
          <w:divBdr>
            <w:top w:val="none" w:sz="0" w:space="0" w:color="auto"/>
            <w:left w:val="none" w:sz="0" w:space="0" w:color="auto"/>
            <w:bottom w:val="none" w:sz="0" w:space="0" w:color="auto"/>
            <w:right w:val="none" w:sz="0" w:space="0" w:color="auto"/>
          </w:divBdr>
          <w:divsChild>
            <w:div w:id="1306396077">
              <w:marLeft w:val="0"/>
              <w:marRight w:val="0"/>
              <w:marTop w:val="0"/>
              <w:marBottom w:val="0"/>
              <w:divBdr>
                <w:top w:val="none" w:sz="0" w:space="0" w:color="auto"/>
                <w:left w:val="none" w:sz="0" w:space="0" w:color="auto"/>
                <w:bottom w:val="none" w:sz="0" w:space="0" w:color="auto"/>
                <w:right w:val="none" w:sz="0" w:space="0" w:color="auto"/>
              </w:divBdr>
              <w:divsChild>
                <w:div w:id="46570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68137">
      <w:bodyDiv w:val="1"/>
      <w:marLeft w:val="0"/>
      <w:marRight w:val="0"/>
      <w:marTop w:val="0"/>
      <w:marBottom w:val="0"/>
      <w:divBdr>
        <w:top w:val="none" w:sz="0" w:space="0" w:color="auto"/>
        <w:left w:val="none" w:sz="0" w:space="0" w:color="auto"/>
        <w:bottom w:val="none" w:sz="0" w:space="0" w:color="auto"/>
        <w:right w:val="none" w:sz="0" w:space="0" w:color="auto"/>
      </w:divBdr>
      <w:divsChild>
        <w:div w:id="1326546643">
          <w:marLeft w:val="0"/>
          <w:marRight w:val="0"/>
          <w:marTop w:val="0"/>
          <w:marBottom w:val="0"/>
          <w:divBdr>
            <w:top w:val="none" w:sz="0" w:space="0" w:color="auto"/>
            <w:left w:val="none" w:sz="0" w:space="0" w:color="auto"/>
            <w:bottom w:val="none" w:sz="0" w:space="0" w:color="auto"/>
            <w:right w:val="none" w:sz="0" w:space="0" w:color="auto"/>
          </w:divBdr>
          <w:divsChild>
            <w:div w:id="539440794">
              <w:marLeft w:val="0"/>
              <w:marRight w:val="0"/>
              <w:marTop w:val="0"/>
              <w:marBottom w:val="0"/>
              <w:divBdr>
                <w:top w:val="none" w:sz="0" w:space="0" w:color="auto"/>
                <w:left w:val="none" w:sz="0" w:space="0" w:color="auto"/>
                <w:bottom w:val="none" w:sz="0" w:space="0" w:color="auto"/>
                <w:right w:val="none" w:sz="0" w:space="0" w:color="auto"/>
              </w:divBdr>
              <w:divsChild>
                <w:div w:id="154351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740252">
      <w:bodyDiv w:val="1"/>
      <w:marLeft w:val="0"/>
      <w:marRight w:val="0"/>
      <w:marTop w:val="0"/>
      <w:marBottom w:val="0"/>
      <w:divBdr>
        <w:top w:val="none" w:sz="0" w:space="0" w:color="auto"/>
        <w:left w:val="none" w:sz="0" w:space="0" w:color="auto"/>
        <w:bottom w:val="none" w:sz="0" w:space="0" w:color="auto"/>
        <w:right w:val="none" w:sz="0" w:space="0" w:color="auto"/>
      </w:divBdr>
      <w:divsChild>
        <w:div w:id="1504904046">
          <w:marLeft w:val="0"/>
          <w:marRight w:val="0"/>
          <w:marTop w:val="0"/>
          <w:marBottom w:val="0"/>
          <w:divBdr>
            <w:top w:val="none" w:sz="0" w:space="0" w:color="auto"/>
            <w:left w:val="none" w:sz="0" w:space="0" w:color="auto"/>
            <w:bottom w:val="none" w:sz="0" w:space="0" w:color="auto"/>
            <w:right w:val="none" w:sz="0" w:space="0" w:color="auto"/>
          </w:divBdr>
          <w:divsChild>
            <w:div w:id="2116055701">
              <w:marLeft w:val="0"/>
              <w:marRight w:val="0"/>
              <w:marTop w:val="0"/>
              <w:marBottom w:val="0"/>
              <w:divBdr>
                <w:top w:val="none" w:sz="0" w:space="0" w:color="auto"/>
                <w:left w:val="none" w:sz="0" w:space="0" w:color="auto"/>
                <w:bottom w:val="none" w:sz="0" w:space="0" w:color="auto"/>
                <w:right w:val="none" w:sz="0" w:space="0" w:color="auto"/>
              </w:divBdr>
              <w:divsChild>
                <w:div w:id="117664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911070">
      <w:bodyDiv w:val="1"/>
      <w:marLeft w:val="0"/>
      <w:marRight w:val="0"/>
      <w:marTop w:val="0"/>
      <w:marBottom w:val="0"/>
      <w:divBdr>
        <w:top w:val="none" w:sz="0" w:space="0" w:color="auto"/>
        <w:left w:val="none" w:sz="0" w:space="0" w:color="auto"/>
        <w:bottom w:val="none" w:sz="0" w:space="0" w:color="auto"/>
        <w:right w:val="none" w:sz="0" w:space="0" w:color="auto"/>
      </w:divBdr>
    </w:div>
    <w:div w:id="251747503">
      <w:bodyDiv w:val="1"/>
      <w:marLeft w:val="0"/>
      <w:marRight w:val="0"/>
      <w:marTop w:val="0"/>
      <w:marBottom w:val="0"/>
      <w:divBdr>
        <w:top w:val="none" w:sz="0" w:space="0" w:color="auto"/>
        <w:left w:val="none" w:sz="0" w:space="0" w:color="auto"/>
        <w:bottom w:val="none" w:sz="0" w:space="0" w:color="auto"/>
        <w:right w:val="none" w:sz="0" w:space="0" w:color="auto"/>
      </w:divBdr>
    </w:div>
    <w:div w:id="262688273">
      <w:bodyDiv w:val="1"/>
      <w:marLeft w:val="0"/>
      <w:marRight w:val="0"/>
      <w:marTop w:val="0"/>
      <w:marBottom w:val="0"/>
      <w:divBdr>
        <w:top w:val="none" w:sz="0" w:space="0" w:color="auto"/>
        <w:left w:val="none" w:sz="0" w:space="0" w:color="auto"/>
        <w:bottom w:val="none" w:sz="0" w:space="0" w:color="auto"/>
        <w:right w:val="none" w:sz="0" w:space="0" w:color="auto"/>
      </w:divBdr>
      <w:divsChild>
        <w:div w:id="863711533">
          <w:marLeft w:val="0"/>
          <w:marRight w:val="0"/>
          <w:marTop w:val="0"/>
          <w:marBottom w:val="0"/>
          <w:divBdr>
            <w:top w:val="none" w:sz="0" w:space="0" w:color="auto"/>
            <w:left w:val="none" w:sz="0" w:space="0" w:color="auto"/>
            <w:bottom w:val="none" w:sz="0" w:space="0" w:color="auto"/>
            <w:right w:val="none" w:sz="0" w:space="0" w:color="auto"/>
          </w:divBdr>
          <w:divsChild>
            <w:div w:id="850417678">
              <w:marLeft w:val="0"/>
              <w:marRight w:val="0"/>
              <w:marTop w:val="0"/>
              <w:marBottom w:val="0"/>
              <w:divBdr>
                <w:top w:val="none" w:sz="0" w:space="0" w:color="auto"/>
                <w:left w:val="none" w:sz="0" w:space="0" w:color="auto"/>
                <w:bottom w:val="none" w:sz="0" w:space="0" w:color="auto"/>
                <w:right w:val="none" w:sz="0" w:space="0" w:color="auto"/>
              </w:divBdr>
              <w:divsChild>
                <w:div w:id="202142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683062">
      <w:bodyDiv w:val="1"/>
      <w:marLeft w:val="0"/>
      <w:marRight w:val="0"/>
      <w:marTop w:val="0"/>
      <w:marBottom w:val="0"/>
      <w:divBdr>
        <w:top w:val="none" w:sz="0" w:space="0" w:color="auto"/>
        <w:left w:val="none" w:sz="0" w:space="0" w:color="auto"/>
        <w:bottom w:val="none" w:sz="0" w:space="0" w:color="auto"/>
        <w:right w:val="none" w:sz="0" w:space="0" w:color="auto"/>
      </w:divBdr>
      <w:divsChild>
        <w:div w:id="1954242711">
          <w:marLeft w:val="0"/>
          <w:marRight w:val="0"/>
          <w:marTop w:val="0"/>
          <w:marBottom w:val="0"/>
          <w:divBdr>
            <w:top w:val="none" w:sz="0" w:space="0" w:color="auto"/>
            <w:left w:val="none" w:sz="0" w:space="0" w:color="auto"/>
            <w:bottom w:val="none" w:sz="0" w:space="0" w:color="auto"/>
            <w:right w:val="none" w:sz="0" w:space="0" w:color="auto"/>
          </w:divBdr>
          <w:divsChild>
            <w:div w:id="1211306131">
              <w:marLeft w:val="0"/>
              <w:marRight w:val="0"/>
              <w:marTop w:val="0"/>
              <w:marBottom w:val="0"/>
              <w:divBdr>
                <w:top w:val="none" w:sz="0" w:space="0" w:color="auto"/>
                <w:left w:val="none" w:sz="0" w:space="0" w:color="auto"/>
                <w:bottom w:val="none" w:sz="0" w:space="0" w:color="auto"/>
                <w:right w:val="none" w:sz="0" w:space="0" w:color="auto"/>
              </w:divBdr>
              <w:divsChild>
                <w:div w:id="18905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250197">
      <w:bodyDiv w:val="1"/>
      <w:marLeft w:val="0"/>
      <w:marRight w:val="0"/>
      <w:marTop w:val="0"/>
      <w:marBottom w:val="0"/>
      <w:divBdr>
        <w:top w:val="none" w:sz="0" w:space="0" w:color="auto"/>
        <w:left w:val="none" w:sz="0" w:space="0" w:color="auto"/>
        <w:bottom w:val="none" w:sz="0" w:space="0" w:color="auto"/>
        <w:right w:val="none" w:sz="0" w:space="0" w:color="auto"/>
      </w:divBdr>
      <w:divsChild>
        <w:div w:id="933241986">
          <w:marLeft w:val="0"/>
          <w:marRight w:val="0"/>
          <w:marTop w:val="0"/>
          <w:marBottom w:val="0"/>
          <w:divBdr>
            <w:top w:val="none" w:sz="0" w:space="0" w:color="auto"/>
            <w:left w:val="none" w:sz="0" w:space="0" w:color="auto"/>
            <w:bottom w:val="none" w:sz="0" w:space="0" w:color="auto"/>
            <w:right w:val="none" w:sz="0" w:space="0" w:color="auto"/>
          </w:divBdr>
          <w:divsChild>
            <w:div w:id="665595108">
              <w:marLeft w:val="0"/>
              <w:marRight w:val="0"/>
              <w:marTop w:val="0"/>
              <w:marBottom w:val="0"/>
              <w:divBdr>
                <w:top w:val="none" w:sz="0" w:space="0" w:color="auto"/>
                <w:left w:val="none" w:sz="0" w:space="0" w:color="auto"/>
                <w:bottom w:val="none" w:sz="0" w:space="0" w:color="auto"/>
                <w:right w:val="none" w:sz="0" w:space="0" w:color="auto"/>
              </w:divBdr>
              <w:divsChild>
                <w:div w:id="141466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680204">
      <w:bodyDiv w:val="1"/>
      <w:marLeft w:val="0"/>
      <w:marRight w:val="0"/>
      <w:marTop w:val="0"/>
      <w:marBottom w:val="0"/>
      <w:divBdr>
        <w:top w:val="none" w:sz="0" w:space="0" w:color="auto"/>
        <w:left w:val="none" w:sz="0" w:space="0" w:color="auto"/>
        <w:bottom w:val="none" w:sz="0" w:space="0" w:color="auto"/>
        <w:right w:val="none" w:sz="0" w:space="0" w:color="auto"/>
      </w:divBdr>
      <w:divsChild>
        <w:div w:id="835731174">
          <w:marLeft w:val="0"/>
          <w:marRight w:val="0"/>
          <w:marTop w:val="0"/>
          <w:marBottom w:val="0"/>
          <w:divBdr>
            <w:top w:val="none" w:sz="0" w:space="0" w:color="auto"/>
            <w:left w:val="none" w:sz="0" w:space="0" w:color="auto"/>
            <w:bottom w:val="none" w:sz="0" w:space="0" w:color="auto"/>
            <w:right w:val="none" w:sz="0" w:space="0" w:color="auto"/>
          </w:divBdr>
          <w:divsChild>
            <w:div w:id="216674849">
              <w:marLeft w:val="0"/>
              <w:marRight w:val="0"/>
              <w:marTop w:val="0"/>
              <w:marBottom w:val="0"/>
              <w:divBdr>
                <w:top w:val="none" w:sz="0" w:space="0" w:color="auto"/>
                <w:left w:val="none" w:sz="0" w:space="0" w:color="auto"/>
                <w:bottom w:val="none" w:sz="0" w:space="0" w:color="auto"/>
                <w:right w:val="none" w:sz="0" w:space="0" w:color="auto"/>
              </w:divBdr>
              <w:divsChild>
                <w:div w:id="107709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831614">
      <w:bodyDiv w:val="1"/>
      <w:marLeft w:val="0"/>
      <w:marRight w:val="0"/>
      <w:marTop w:val="0"/>
      <w:marBottom w:val="0"/>
      <w:divBdr>
        <w:top w:val="none" w:sz="0" w:space="0" w:color="auto"/>
        <w:left w:val="none" w:sz="0" w:space="0" w:color="auto"/>
        <w:bottom w:val="none" w:sz="0" w:space="0" w:color="auto"/>
        <w:right w:val="none" w:sz="0" w:space="0" w:color="auto"/>
      </w:divBdr>
      <w:divsChild>
        <w:div w:id="623266805">
          <w:marLeft w:val="0"/>
          <w:marRight w:val="0"/>
          <w:marTop w:val="0"/>
          <w:marBottom w:val="0"/>
          <w:divBdr>
            <w:top w:val="none" w:sz="0" w:space="0" w:color="auto"/>
            <w:left w:val="none" w:sz="0" w:space="0" w:color="auto"/>
            <w:bottom w:val="none" w:sz="0" w:space="0" w:color="auto"/>
            <w:right w:val="none" w:sz="0" w:space="0" w:color="auto"/>
          </w:divBdr>
          <w:divsChild>
            <w:div w:id="896430169">
              <w:marLeft w:val="0"/>
              <w:marRight w:val="0"/>
              <w:marTop w:val="0"/>
              <w:marBottom w:val="0"/>
              <w:divBdr>
                <w:top w:val="none" w:sz="0" w:space="0" w:color="auto"/>
                <w:left w:val="none" w:sz="0" w:space="0" w:color="auto"/>
                <w:bottom w:val="none" w:sz="0" w:space="0" w:color="auto"/>
                <w:right w:val="none" w:sz="0" w:space="0" w:color="auto"/>
              </w:divBdr>
              <w:divsChild>
                <w:div w:id="1143541255">
                  <w:marLeft w:val="0"/>
                  <w:marRight w:val="0"/>
                  <w:marTop w:val="0"/>
                  <w:marBottom w:val="0"/>
                  <w:divBdr>
                    <w:top w:val="none" w:sz="0" w:space="0" w:color="auto"/>
                    <w:left w:val="none" w:sz="0" w:space="0" w:color="auto"/>
                    <w:bottom w:val="none" w:sz="0" w:space="0" w:color="auto"/>
                    <w:right w:val="none" w:sz="0" w:space="0" w:color="auto"/>
                  </w:divBdr>
                  <w:divsChild>
                    <w:div w:id="201996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388015">
      <w:bodyDiv w:val="1"/>
      <w:marLeft w:val="0"/>
      <w:marRight w:val="0"/>
      <w:marTop w:val="0"/>
      <w:marBottom w:val="0"/>
      <w:divBdr>
        <w:top w:val="none" w:sz="0" w:space="0" w:color="auto"/>
        <w:left w:val="none" w:sz="0" w:space="0" w:color="auto"/>
        <w:bottom w:val="none" w:sz="0" w:space="0" w:color="auto"/>
        <w:right w:val="none" w:sz="0" w:space="0" w:color="auto"/>
      </w:divBdr>
      <w:divsChild>
        <w:div w:id="1957248218">
          <w:marLeft w:val="0"/>
          <w:marRight w:val="0"/>
          <w:marTop w:val="0"/>
          <w:marBottom w:val="0"/>
          <w:divBdr>
            <w:top w:val="none" w:sz="0" w:space="0" w:color="auto"/>
            <w:left w:val="none" w:sz="0" w:space="0" w:color="auto"/>
            <w:bottom w:val="none" w:sz="0" w:space="0" w:color="auto"/>
            <w:right w:val="none" w:sz="0" w:space="0" w:color="auto"/>
          </w:divBdr>
          <w:divsChild>
            <w:div w:id="1995526399">
              <w:marLeft w:val="0"/>
              <w:marRight w:val="0"/>
              <w:marTop w:val="0"/>
              <w:marBottom w:val="0"/>
              <w:divBdr>
                <w:top w:val="none" w:sz="0" w:space="0" w:color="auto"/>
                <w:left w:val="none" w:sz="0" w:space="0" w:color="auto"/>
                <w:bottom w:val="none" w:sz="0" w:space="0" w:color="auto"/>
                <w:right w:val="none" w:sz="0" w:space="0" w:color="auto"/>
              </w:divBdr>
              <w:divsChild>
                <w:div w:id="31780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412665">
      <w:bodyDiv w:val="1"/>
      <w:marLeft w:val="0"/>
      <w:marRight w:val="0"/>
      <w:marTop w:val="0"/>
      <w:marBottom w:val="0"/>
      <w:divBdr>
        <w:top w:val="none" w:sz="0" w:space="0" w:color="auto"/>
        <w:left w:val="none" w:sz="0" w:space="0" w:color="auto"/>
        <w:bottom w:val="none" w:sz="0" w:space="0" w:color="auto"/>
        <w:right w:val="none" w:sz="0" w:space="0" w:color="auto"/>
      </w:divBdr>
      <w:divsChild>
        <w:div w:id="2120098172">
          <w:marLeft w:val="0"/>
          <w:marRight w:val="0"/>
          <w:marTop w:val="0"/>
          <w:marBottom w:val="0"/>
          <w:divBdr>
            <w:top w:val="none" w:sz="0" w:space="0" w:color="auto"/>
            <w:left w:val="none" w:sz="0" w:space="0" w:color="auto"/>
            <w:bottom w:val="none" w:sz="0" w:space="0" w:color="auto"/>
            <w:right w:val="none" w:sz="0" w:space="0" w:color="auto"/>
          </w:divBdr>
          <w:divsChild>
            <w:div w:id="1415207228">
              <w:marLeft w:val="0"/>
              <w:marRight w:val="0"/>
              <w:marTop w:val="0"/>
              <w:marBottom w:val="0"/>
              <w:divBdr>
                <w:top w:val="none" w:sz="0" w:space="0" w:color="auto"/>
                <w:left w:val="none" w:sz="0" w:space="0" w:color="auto"/>
                <w:bottom w:val="none" w:sz="0" w:space="0" w:color="auto"/>
                <w:right w:val="none" w:sz="0" w:space="0" w:color="auto"/>
              </w:divBdr>
              <w:divsChild>
                <w:div w:id="4595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988539">
      <w:bodyDiv w:val="1"/>
      <w:marLeft w:val="0"/>
      <w:marRight w:val="0"/>
      <w:marTop w:val="0"/>
      <w:marBottom w:val="0"/>
      <w:divBdr>
        <w:top w:val="none" w:sz="0" w:space="0" w:color="auto"/>
        <w:left w:val="none" w:sz="0" w:space="0" w:color="auto"/>
        <w:bottom w:val="none" w:sz="0" w:space="0" w:color="auto"/>
        <w:right w:val="none" w:sz="0" w:space="0" w:color="auto"/>
      </w:divBdr>
    </w:div>
    <w:div w:id="673386979">
      <w:bodyDiv w:val="1"/>
      <w:marLeft w:val="0"/>
      <w:marRight w:val="0"/>
      <w:marTop w:val="0"/>
      <w:marBottom w:val="0"/>
      <w:divBdr>
        <w:top w:val="none" w:sz="0" w:space="0" w:color="auto"/>
        <w:left w:val="none" w:sz="0" w:space="0" w:color="auto"/>
        <w:bottom w:val="none" w:sz="0" w:space="0" w:color="auto"/>
        <w:right w:val="none" w:sz="0" w:space="0" w:color="auto"/>
      </w:divBdr>
      <w:divsChild>
        <w:div w:id="1257716394">
          <w:marLeft w:val="0"/>
          <w:marRight w:val="0"/>
          <w:marTop w:val="0"/>
          <w:marBottom w:val="0"/>
          <w:divBdr>
            <w:top w:val="none" w:sz="0" w:space="0" w:color="auto"/>
            <w:left w:val="none" w:sz="0" w:space="0" w:color="auto"/>
            <w:bottom w:val="none" w:sz="0" w:space="0" w:color="auto"/>
            <w:right w:val="none" w:sz="0" w:space="0" w:color="auto"/>
          </w:divBdr>
          <w:divsChild>
            <w:div w:id="454643246">
              <w:marLeft w:val="0"/>
              <w:marRight w:val="0"/>
              <w:marTop w:val="0"/>
              <w:marBottom w:val="0"/>
              <w:divBdr>
                <w:top w:val="none" w:sz="0" w:space="0" w:color="auto"/>
                <w:left w:val="none" w:sz="0" w:space="0" w:color="auto"/>
                <w:bottom w:val="none" w:sz="0" w:space="0" w:color="auto"/>
                <w:right w:val="none" w:sz="0" w:space="0" w:color="auto"/>
              </w:divBdr>
              <w:divsChild>
                <w:div w:id="97887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788349">
      <w:bodyDiv w:val="1"/>
      <w:marLeft w:val="0"/>
      <w:marRight w:val="0"/>
      <w:marTop w:val="0"/>
      <w:marBottom w:val="0"/>
      <w:divBdr>
        <w:top w:val="none" w:sz="0" w:space="0" w:color="auto"/>
        <w:left w:val="none" w:sz="0" w:space="0" w:color="auto"/>
        <w:bottom w:val="none" w:sz="0" w:space="0" w:color="auto"/>
        <w:right w:val="none" w:sz="0" w:space="0" w:color="auto"/>
      </w:divBdr>
      <w:divsChild>
        <w:div w:id="522942827">
          <w:marLeft w:val="0"/>
          <w:marRight w:val="0"/>
          <w:marTop w:val="0"/>
          <w:marBottom w:val="0"/>
          <w:divBdr>
            <w:top w:val="none" w:sz="0" w:space="0" w:color="auto"/>
            <w:left w:val="none" w:sz="0" w:space="0" w:color="auto"/>
            <w:bottom w:val="none" w:sz="0" w:space="0" w:color="auto"/>
            <w:right w:val="none" w:sz="0" w:space="0" w:color="auto"/>
          </w:divBdr>
          <w:divsChild>
            <w:div w:id="1264336384">
              <w:marLeft w:val="0"/>
              <w:marRight w:val="0"/>
              <w:marTop w:val="0"/>
              <w:marBottom w:val="0"/>
              <w:divBdr>
                <w:top w:val="none" w:sz="0" w:space="0" w:color="auto"/>
                <w:left w:val="none" w:sz="0" w:space="0" w:color="auto"/>
                <w:bottom w:val="none" w:sz="0" w:space="0" w:color="auto"/>
                <w:right w:val="none" w:sz="0" w:space="0" w:color="auto"/>
              </w:divBdr>
              <w:divsChild>
                <w:div w:id="20467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884555">
      <w:bodyDiv w:val="1"/>
      <w:marLeft w:val="0"/>
      <w:marRight w:val="0"/>
      <w:marTop w:val="0"/>
      <w:marBottom w:val="0"/>
      <w:divBdr>
        <w:top w:val="none" w:sz="0" w:space="0" w:color="auto"/>
        <w:left w:val="none" w:sz="0" w:space="0" w:color="auto"/>
        <w:bottom w:val="none" w:sz="0" w:space="0" w:color="auto"/>
        <w:right w:val="none" w:sz="0" w:space="0" w:color="auto"/>
      </w:divBdr>
    </w:div>
    <w:div w:id="776099435">
      <w:bodyDiv w:val="1"/>
      <w:marLeft w:val="0"/>
      <w:marRight w:val="0"/>
      <w:marTop w:val="0"/>
      <w:marBottom w:val="0"/>
      <w:divBdr>
        <w:top w:val="none" w:sz="0" w:space="0" w:color="auto"/>
        <w:left w:val="none" w:sz="0" w:space="0" w:color="auto"/>
        <w:bottom w:val="none" w:sz="0" w:space="0" w:color="auto"/>
        <w:right w:val="none" w:sz="0" w:space="0" w:color="auto"/>
      </w:divBdr>
      <w:divsChild>
        <w:div w:id="1750036919">
          <w:marLeft w:val="0"/>
          <w:marRight w:val="0"/>
          <w:marTop w:val="0"/>
          <w:marBottom w:val="0"/>
          <w:divBdr>
            <w:top w:val="none" w:sz="0" w:space="0" w:color="auto"/>
            <w:left w:val="none" w:sz="0" w:space="0" w:color="auto"/>
            <w:bottom w:val="none" w:sz="0" w:space="0" w:color="auto"/>
            <w:right w:val="none" w:sz="0" w:space="0" w:color="auto"/>
          </w:divBdr>
          <w:divsChild>
            <w:div w:id="1423601841">
              <w:marLeft w:val="0"/>
              <w:marRight w:val="0"/>
              <w:marTop w:val="0"/>
              <w:marBottom w:val="0"/>
              <w:divBdr>
                <w:top w:val="none" w:sz="0" w:space="0" w:color="auto"/>
                <w:left w:val="none" w:sz="0" w:space="0" w:color="auto"/>
                <w:bottom w:val="none" w:sz="0" w:space="0" w:color="auto"/>
                <w:right w:val="none" w:sz="0" w:space="0" w:color="auto"/>
              </w:divBdr>
              <w:divsChild>
                <w:div w:id="196773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290596">
      <w:bodyDiv w:val="1"/>
      <w:marLeft w:val="0"/>
      <w:marRight w:val="0"/>
      <w:marTop w:val="0"/>
      <w:marBottom w:val="0"/>
      <w:divBdr>
        <w:top w:val="none" w:sz="0" w:space="0" w:color="auto"/>
        <w:left w:val="none" w:sz="0" w:space="0" w:color="auto"/>
        <w:bottom w:val="none" w:sz="0" w:space="0" w:color="auto"/>
        <w:right w:val="none" w:sz="0" w:space="0" w:color="auto"/>
      </w:divBdr>
      <w:divsChild>
        <w:div w:id="1216773347">
          <w:marLeft w:val="0"/>
          <w:marRight w:val="0"/>
          <w:marTop w:val="0"/>
          <w:marBottom w:val="0"/>
          <w:divBdr>
            <w:top w:val="none" w:sz="0" w:space="0" w:color="auto"/>
            <w:left w:val="none" w:sz="0" w:space="0" w:color="auto"/>
            <w:bottom w:val="none" w:sz="0" w:space="0" w:color="auto"/>
            <w:right w:val="none" w:sz="0" w:space="0" w:color="auto"/>
          </w:divBdr>
          <w:divsChild>
            <w:div w:id="1839156228">
              <w:marLeft w:val="0"/>
              <w:marRight w:val="0"/>
              <w:marTop w:val="0"/>
              <w:marBottom w:val="0"/>
              <w:divBdr>
                <w:top w:val="none" w:sz="0" w:space="0" w:color="auto"/>
                <w:left w:val="none" w:sz="0" w:space="0" w:color="auto"/>
                <w:bottom w:val="none" w:sz="0" w:space="0" w:color="auto"/>
                <w:right w:val="none" w:sz="0" w:space="0" w:color="auto"/>
              </w:divBdr>
              <w:divsChild>
                <w:div w:id="64685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962324">
      <w:bodyDiv w:val="1"/>
      <w:marLeft w:val="0"/>
      <w:marRight w:val="0"/>
      <w:marTop w:val="0"/>
      <w:marBottom w:val="0"/>
      <w:divBdr>
        <w:top w:val="none" w:sz="0" w:space="0" w:color="auto"/>
        <w:left w:val="none" w:sz="0" w:space="0" w:color="auto"/>
        <w:bottom w:val="none" w:sz="0" w:space="0" w:color="auto"/>
        <w:right w:val="none" w:sz="0" w:space="0" w:color="auto"/>
      </w:divBdr>
    </w:div>
    <w:div w:id="955138331">
      <w:bodyDiv w:val="1"/>
      <w:marLeft w:val="0"/>
      <w:marRight w:val="0"/>
      <w:marTop w:val="0"/>
      <w:marBottom w:val="0"/>
      <w:divBdr>
        <w:top w:val="none" w:sz="0" w:space="0" w:color="auto"/>
        <w:left w:val="none" w:sz="0" w:space="0" w:color="auto"/>
        <w:bottom w:val="none" w:sz="0" w:space="0" w:color="auto"/>
        <w:right w:val="none" w:sz="0" w:space="0" w:color="auto"/>
      </w:divBdr>
      <w:divsChild>
        <w:div w:id="333192305">
          <w:marLeft w:val="0"/>
          <w:marRight w:val="0"/>
          <w:marTop w:val="0"/>
          <w:marBottom w:val="0"/>
          <w:divBdr>
            <w:top w:val="none" w:sz="0" w:space="0" w:color="auto"/>
            <w:left w:val="none" w:sz="0" w:space="0" w:color="auto"/>
            <w:bottom w:val="none" w:sz="0" w:space="0" w:color="auto"/>
            <w:right w:val="none" w:sz="0" w:space="0" w:color="auto"/>
          </w:divBdr>
          <w:divsChild>
            <w:div w:id="1864123527">
              <w:marLeft w:val="0"/>
              <w:marRight w:val="0"/>
              <w:marTop w:val="0"/>
              <w:marBottom w:val="0"/>
              <w:divBdr>
                <w:top w:val="none" w:sz="0" w:space="0" w:color="auto"/>
                <w:left w:val="none" w:sz="0" w:space="0" w:color="auto"/>
                <w:bottom w:val="none" w:sz="0" w:space="0" w:color="auto"/>
                <w:right w:val="none" w:sz="0" w:space="0" w:color="auto"/>
              </w:divBdr>
              <w:divsChild>
                <w:div w:id="192834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325762">
      <w:bodyDiv w:val="1"/>
      <w:marLeft w:val="0"/>
      <w:marRight w:val="0"/>
      <w:marTop w:val="0"/>
      <w:marBottom w:val="0"/>
      <w:divBdr>
        <w:top w:val="none" w:sz="0" w:space="0" w:color="auto"/>
        <w:left w:val="none" w:sz="0" w:space="0" w:color="auto"/>
        <w:bottom w:val="none" w:sz="0" w:space="0" w:color="auto"/>
        <w:right w:val="none" w:sz="0" w:space="0" w:color="auto"/>
      </w:divBdr>
    </w:div>
    <w:div w:id="1062022281">
      <w:bodyDiv w:val="1"/>
      <w:marLeft w:val="0"/>
      <w:marRight w:val="0"/>
      <w:marTop w:val="0"/>
      <w:marBottom w:val="0"/>
      <w:divBdr>
        <w:top w:val="none" w:sz="0" w:space="0" w:color="auto"/>
        <w:left w:val="none" w:sz="0" w:space="0" w:color="auto"/>
        <w:bottom w:val="none" w:sz="0" w:space="0" w:color="auto"/>
        <w:right w:val="none" w:sz="0" w:space="0" w:color="auto"/>
      </w:divBdr>
      <w:divsChild>
        <w:div w:id="994605269">
          <w:marLeft w:val="0"/>
          <w:marRight w:val="0"/>
          <w:marTop w:val="0"/>
          <w:marBottom w:val="0"/>
          <w:divBdr>
            <w:top w:val="none" w:sz="0" w:space="0" w:color="auto"/>
            <w:left w:val="none" w:sz="0" w:space="0" w:color="auto"/>
            <w:bottom w:val="none" w:sz="0" w:space="0" w:color="auto"/>
            <w:right w:val="none" w:sz="0" w:space="0" w:color="auto"/>
          </w:divBdr>
          <w:divsChild>
            <w:div w:id="1078674568">
              <w:marLeft w:val="0"/>
              <w:marRight w:val="0"/>
              <w:marTop w:val="0"/>
              <w:marBottom w:val="0"/>
              <w:divBdr>
                <w:top w:val="none" w:sz="0" w:space="0" w:color="auto"/>
                <w:left w:val="none" w:sz="0" w:space="0" w:color="auto"/>
                <w:bottom w:val="none" w:sz="0" w:space="0" w:color="auto"/>
                <w:right w:val="none" w:sz="0" w:space="0" w:color="auto"/>
              </w:divBdr>
              <w:divsChild>
                <w:div w:id="31064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740156">
      <w:bodyDiv w:val="1"/>
      <w:marLeft w:val="0"/>
      <w:marRight w:val="0"/>
      <w:marTop w:val="0"/>
      <w:marBottom w:val="0"/>
      <w:divBdr>
        <w:top w:val="none" w:sz="0" w:space="0" w:color="auto"/>
        <w:left w:val="none" w:sz="0" w:space="0" w:color="auto"/>
        <w:bottom w:val="none" w:sz="0" w:space="0" w:color="auto"/>
        <w:right w:val="none" w:sz="0" w:space="0" w:color="auto"/>
      </w:divBdr>
    </w:div>
    <w:div w:id="1225066824">
      <w:bodyDiv w:val="1"/>
      <w:marLeft w:val="0"/>
      <w:marRight w:val="0"/>
      <w:marTop w:val="0"/>
      <w:marBottom w:val="0"/>
      <w:divBdr>
        <w:top w:val="none" w:sz="0" w:space="0" w:color="auto"/>
        <w:left w:val="none" w:sz="0" w:space="0" w:color="auto"/>
        <w:bottom w:val="none" w:sz="0" w:space="0" w:color="auto"/>
        <w:right w:val="none" w:sz="0" w:space="0" w:color="auto"/>
      </w:divBdr>
      <w:divsChild>
        <w:div w:id="2103799357">
          <w:marLeft w:val="0"/>
          <w:marRight w:val="0"/>
          <w:marTop w:val="0"/>
          <w:marBottom w:val="0"/>
          <w:divBdr>
            <w:top w:val="none" w:sz="0" w:space="0" w:color="auto"/>
            <w:left w:val="none" w:sz="0" w:space="0" w:color="auto"/>
            <w:bottom w:val="none" w:sz="0" w:space="0" w:color="auto"/>
            <w:right w:val="none" w:sz="0" w:space="0" w:color="auto"/>
          </w:divBdr>
          <w:divsChild>
            <w:div w:id="695932336">
              <w:marLeft w:val="0"/>
              <w:marRight w:val="0"/>
              <w:marTop w:val="0"/>
              <w:marBottom w:val="0"/>
              <w:divBdr>
                <w:top w:val="none" w:sz="0" w:space="0" w:color="auto"/>
                <w:left w:val="none" w:sz="0" w:space="0" w:color="auto"/>
                <w:bottom w:val="none" w:sz="0" w:space="0" w:color="auto"/>
                <w:right w:val="none" w:sz="0" w:space="0" w:color="auto"/>
              </w:divBdr>
              <w:divsChild>
                <w:div w:id="82124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816689">
      <w:bodyDiv w:val="1"/>
      <w:marLeft w:val="0"/>
      <w:marRight w:val="0"/>
      <w:marTop w:val="0"/>
      <w:marBottom w:val="0"/>
      <w:divBdr>
        <w:top w:val="none" w:sz="0" w:space="0" w:color="auto"/>
        <w:left w:val="none" w:sz="0" w:space="0" w:color="auto"/>
        <w:bottom w:val="none" w:sz="0" w:space="0" w:color="auto"/>
        <w:right w:val="none" w:sz="0" w:space="0" w:color="auto"/>
      </w:divBdr>
    </w:div>
    <w:div w:id="1300306048">
      <w:bodyDiv w:val="1"/>
      <w:marLeft w:val="0"/>
      <w:marRight w:val="0"/>
      <w:marTop w:val="0"/>
      <w:marBottom w:val="0"/>
      <w:divBdr>
        <w:top w:val="none" w:sz="0" w:space="0" w:color="auto"/>
        <w:left w:val="none" w:sz="0" w:space="0" w:color="auto"/>
        <w:bottom w:val="none" w:sz="0" w:space="0" w:color="auto"/>
        <w:right w:val="none" w:sz="0" w:space="0" w:color="auto"/>
      </w:divBdr>
      <w:divsChild>
        <w:div w:id="1986005228">
          <w:marLeft w:val="0"/>
          <w:marRight w:val="0"/>
          <w:marTop w:val="0"/>
          <w:marBottom w:val="0"/>
          <w:divBdr>
            <w:top w:val="none" w:sz="0" w:space="0" w:color="auto"/>
            <w:left w:val="none" w:sz="0" w:space="0" w:color="auto"/>
            <w:bottom w:val="none" w:sz="0" w:space="0" w:color="auto"/>
            <w:right w:val="none" w:sz="0" w:space="0" w:color="auto"/>
          </w:divBdr>
          <w:divsChild>
            <w:div w:id="1481386230">
              <w:marLeft w:val="0"/>
              <w:marRight w:val="0"/>
              <w:marTop w:val="0"/>
              <w:marBottom w:val="0"/>
              <w:divBdr>
                <w:top w:val="none" w:sz="0" w:space="0" w:color="auto"/>
                <w:left w:val="none" w:sz="0" w:space="0" w:color="auto"/>
                <w:bottom w:val="none" w:sz="0" w:space="0" w:color="auto"/>
                <w:right w:val="none" w:sz="0" w:space="0" w:color="auto"/>
              </w:divBdr>
              <w:divsChild>
                <w:div w:id="59789780">
                  <w:marLeft w:val="0"/>
                  <w:marRight w:val="0"/>
                  <w:marTop w:val="0"/>
                  <w:marBottom w:val="0"/>
                  <w:divBdr>
                    <w:top w:val="none" w:sz="0" w:space="0" w:color="auto"/>
                    <w:left w:val="none" w:sz="0" w:space="0" w:color="auto"/>
                    <w:bottom w:val="none" w:sz="0" w:space="0" w:color="auto"/>
                    <w:right w:val="none" w:sz="0" w:space="0" w:color="auto"/>
                  </w:divBdr>
                  <w:divsChild>
                    <w:div w:id="7680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762152">
      <w:bodyDiv w:val="1"/>
      <w:marLeft w:val="0"/>
      <w:marRight w:val="0"/>
      <w:marTop w:val="0"/>
      <w:marBottom w:val="0"/>
      <w:divBdr>
        <w:top w:val="none" w:sz="0" w:space="0" w:color="auto"/>
        <w:left w:val="none" w:sz="0" w:space="0" w:color="auto"/>
        <w:bottom w:val="none" w:sz="0" w:space="0" w:color="auto"/>
        <w:right w:val="none" w:sz="0" w:space="0" w:color="auto"/>
      </w:divBdr>
      <w:divsChild>
        <w:div w:id="52853701">
          <w:marLeft w:val="0"/>
          <w:marRight w:val="0"/>
          <w:marTop w:val="0"/>
          <w:marBottom w:val="0"/>
          <w:divBdr>
            <w:top w:val="none" w:sz="0" w:space="0" w:color="auto"/>
            <w:left w:val="none" w:sz="0" w:space="0" w:color="auto"/>
            <w:bottom w:val="none" w:sz="0" w:space="0" w:color="auto"/>
            <w:right w:val="none" w:sz="0" w:space="0" w:color="auto"/>
          </w:divBdr>
          <w:divsChild>
            <w:div w:id="414283958">
              <w:marLeft w:val="0"/>
              <w:marRight w:val="0"/>
              <w:marTop w:val="0"/>
              <w:marBottom w:val="0"/>
              <w:divBdr>
                <w:top w:val="none" w:sz="0" w:space="0" w:color="auto"/>
                <w:left w:val="none" w:sz="0" w:space="0" w:color="auto"/>
                <w:bottom w:val="none" w:sz="0" w:space="0" w:color="auto"/>
                <w:right w:val="none" w:sz="0" w:space="0" w:color="auto"/>
              </w:divBdr>
              <w:divsChild>
                <w:div w:id="973565473">
                  <w:marLeft w:val="0"/>
                  <w:marRight w:val="0"/>
                  <w:marTop w:val="0"/>
                  <w:marBottom w:val="0"/>
                  <w:divBdr>
                    <w:top w:val="none" w:sz="0" w:space="0" w:color="auto"/>
                    <w:left w:val="none" w:sz="0" w:space="0" w:color="auto"/>
                    <w:bottom w:val="none" w:sz="0" w:space="0" w:color="auto"/>
                    <w:right w:val="none" w:sz="0" w:space="0" w:color="auto"/>
                  </w:divBdr>
                  <w:divsChild>
                    <w:div w:id="160530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030556">
      <w:bodyDiv w:val="1"/>
      <w:marLeft w:val="0"/>
      <w:marRight w:val="0"/>
      <w:marTop w:val="0"/>
      <w:marBottom w:val="0"/>
      <w:divBdr>
        <w:top w:val="none" w:sz="0" w:space="0" w:color="auto"/>
        <w:left w:val="none" w:sz="0" w:space="0" w:color="auto"/>
        <w:bottom w:val="none" w:sz="0" w:space="0" w:color="auto"/>
        <w:right w:val="none" w:sz="0" w:space="0" w:color="auto"/>
      </w:divBdr>
    </w:div>
    <w:div w:id="1429234597">
      <w:bodyDiv w:val="1"/>
      <w:marLeft w:val="0"/>
      <w:marRight w:val="0"/>
      <w:marTop w:val="0"/>
      <w:marBottom w:val="0"/>
      <w:divBdr>
        <w:top w:val="none" w:sz="0" w:space="0" w:color="auto"/>
        <w:left w:val="none" w:sz="0" w:space="0" w:color="auto"/>
        <w:bottom w:val="none" w:sz="0" w:space="0" w:color="auto"/>
        <w:right w:val="none" w:sz="0" w:space="0" w:color="auto"/>
      </w:divBdr>
      <w:divsChild>
        <w:div w:id="1312829896">
          <w:marLeft w:val="0"/>
          <w:marRight w:val="0"/>
          <w:marTop w:val="0"/>
          <w:marBottom w:val="0"/>
          <w:divBdr>
            <w:top w:val="none" w:sz="0" w:space="0" w:color="auto"/>
            <w:left w:val="none" w:sz="0" w:space="0" w:color="auto"/>
            <w:bottom w:val="none" w:sz="0" w:space="0" w:color="auto"/>
            <w:right w:val="none" w:sz="0" w:space="0" w:color="auto"/>
          </w:divBdr>
          <w:divsChild>
            <w:div w:id="395393310">
              <w:marLeft w:val="0"/>
              <w:marRight w:val="0"/>
              <w:marTop w:val="0"/>
              <w:marBottom w:val="0"/>
              <w:divBdr>
                <w:top w:val="none" w:sz="0" w:space="0" w:color="auto"/>
                <w:left w:val="none" w:sz="0" w:space="0" w:color="auto"/>
                <w:bottom w:val="none" w:sz="0" w:space="0" w:color="auto"/>
                <w:right w:val="none" w:sz="0" w:space="0" w:color="auto"/>
              </w:divBdr>
              <w:divsChild>
                <w:div w:id="111968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068675">
      <w:bodyDiv w:val="1"/>
      <w:marLeft w:val="0"/>
      <w:marRight w:val="0"/>
      <w:marTop w:val="0"/>
      <w:marBottom w:val="0"/>
      <w:divBdr>
        <w:top w:val="none" w:sz="0" w:space="0" w:color="auto"/>
        <w:left w:val="none" w:sz="0" w:space="0" w:color="auto"/>
        <w:bottom w:val="none" w:sz="0" w:space="0" w:color="auto"/>
        <w:right w:val="none" w:sz="0" w:space="0" w:color="auto"/>
      </w:divBdr>
    </w:div>
    <w:div w:id="1458177086">
      <w:bodyDiv w:val="1"/>
      <w:marLeft w:val="0"/>
      <w:marRight w:val="0"/>
      <w:marTop w:val="0"/>
      <w:marBottom w:val="0"/>
      <w:divBdr>
        <w:top w:val="none" w:sz="0" w:space="0" w:color="auto"/>
        <w:left w:val="none" w:sz="0" w:space="0" w:color="auto"/>
        <w:bottom w:val="none" w:sz="0" w:space="0" w:color="auto"/>
        <w:right w:val="none" w:sz="0" w:space="0" w:color="auto"/>
      </w:divBdr>
      <w:divsChild>
        <w:div w:id="698045104">
          <w:marLeft w:val="0"/>
          <w:marRight w:val="0"/>
          <w:marTop w:val="0"/>
          <w:marBottom w:val="0"/>
          <w:divBdr>
            <w:top w:val="none" w:sz="0" w:space="0" w:color="auto"/>
            <w:left w:val="none" w:sz="0" w:space="0" w:color="auto"/>
            <w:bottom w:val="none" w:sz="0" w:space="0" w:color="auto"/>
            <w:right w:val="none" w:sz="0" w:space="0" w:color="auto"/>
          </w:divBdr>
          <w:divsChild>
            <w:div w:id="1385904440">
              <w:marLeft w:val="0"/>
              <w:marRight w:val="0"/>
              <w:marTop w:val="0"/>
              <w:marBottom w:val="0"/>
              <w:divBdr>
                <w:top w:val="none" w:sz="0" w:space="0" w:color="auto"/>
                <w:left w:val="none" w:sz="0" w:space="0" w:color="auto"/>
                <w:bottom w:val="none" w:sz="0" w:space="0" w:color="auto"/>
                <w:right w:val="none" w:sz="0" w:space="0" w:color="auto"/>
              </w:divBdr>
              <w:divsChild>
                <w:div w:id="194761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648103">
      <w:bodyDiv w:val="1"/>
      <w:marLeft w:val="0"/>
      <w:marRight w:val="0"/>
      <w:marTop w:val="0"/>
      <w:marBottom w:val="0"/>
      <w:divBdr>
        <w:top w:val="none" w:sz="0" w:space="0" w:color="auto"/>
        <w:left w:val="none" w:sz="0" w:space="0" w:color="auto"/>
        <w:bottom w:val="none" w:sz="0" w:space="0" w:color="auto"/>
        <w:right w:val="none" w:sz="0" w:space="0" w:color="auto"/>
      </w:divBdr>
      <w:divsChild>
        <w:div w:id="1437289610">
          <w:marLeft w:val="0"/>
          <w:marRight w:val="0"/>
          <w:marTop w:val="0"/>
          <w:marBottom w:val="0"/>
          <w:divBdr>
            <w:top w:val="none" w:sz="0" w:space="0" w:color="auto"/>
            <w:left w:val="none" w:sz="0" w:space="0" w:color="auto"/>
            <w:bottom w:val="none" w:sz="0" w:space="0" w:color="auto"/>
            <w:right w:val="none" w:sz="0" w:space="0" w:color="auto"/>
          </w:divBdr>
          <w:divsChild>
            <w:div w:id="1895434750">
              <w:marLeft w:val="0"/>
              <w:marRight w:val="0"/>
              <w:marTop w:val="0"/>
              <w:marBottom w:val="0"/>
              <w:divBdr>
                <w:top w:val="none" w:sz="0" w:space="0" w:color="auto"/>
                <w:left w:val="none" w:sz="0" w:space="0" w:color="auto"/>
                <w:bottom w:val="none" w:sz="0" w:space="0" w:color="auto"/>
                <w:right w:val="none" w:sz="0" w:space="0" w:color="auto"/>
              </w:divBdr>
              <w:divsChild>
                <w:div w:id="140649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837692">
      <w:bodyDiv w:val="1"/>
      <w:marLeft w:val="0"/>
      <w:marRight w:val="0"/>
      <w:marTop w:val="0"/>
      <w:marBottom w:val="0"/>
      <w:divBdr>
        <w:top w:val="none" w:sz="0" w:space="0" w:color="auto"/>
        <w:left w:val="none" w:sz="0" w:space="0" w:color="auto"/>
        <w:bottom w:val="none" w:sz="0" w:space="0" w:color="auto"/>
        <w:right w:val="none" w:sz="0" w:space="0" w:color="auto"/>
      </w:divBdr>
    </w:div>
    <w:div w:id="1581334536">
      <w:bodyDiv w:val="1"/>
      <w:marLeft w:val="0"/>
      <w:marRight w:val="0"/>
      <w:marTop w:val="0"/>
      <w:marBottom w:val="0"/>
      <w:divBdr>
        <w:top w:val="none" w:sz="0" w:space="0" w:color="auto"/>
        <w:left w:val="none" w:sz="0" w:space="0" w:color="auto"/>
        <w:bottom w:val="none" w:sz="0" w:space="0" w:color="auto"/>
        <w:right w:val="none" w:sz="0" w:space="0" w:color="auto"/>
      </w:divBdr>
      <w:divsChild>
        <w:div w:id="604534378">
          <w:marLeft w:val="0"/>
          <w:marRight w:val="0"/>
          <w:marTop w:val="0"/>
          <w:marBottom w:val="0"/>
          <w:divBdr>
            <w:top w:val="none" w:sz="0" w:space="0" w:color="auto"/>
            <w:left w:val="none" w:sz="0" w:space="0" w:color="auto"/>
            <w:bottom w:val="none" w:sz="0" w:space="0" w:color="auto"/>
            <w:right w:val="none" w:sz="0" w:space="0" w:color="auto"/>
          </w:divBdr>
          <w:divsChild>
            <w:div w:id="1890872685">
              <w:marLeft w:val="0"/>
              <w:marRight w:val="0"/>
              <w:marTop w:val="0"/>
              <w:marBottom w:val="0"/>
              <w:divBdr>
                <w:top w:val="none" w:sz="0" w:space="0" w:color="auto"/>
                <w:left w:val="none" w:sz="0" w:space="0" w:color="auto"/>
                <w:bottom w:val="none" w:sz="0" w:space="0" w:color="auto"/>
                <w:right w:val="none" w:sz="0" w:space="0" w:color="auto"/>
              </w:divBdr>
              <w:divsChild>
                <w:div w:id="147451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180006">
      <w:bodyDiv w:val="1"/>
      <w:marLeft w:val="0"/>
      <w:marRight w:val="0"/>
      <w:marTop w:val="0"/>
      <w:marBottom w:val="0"/>
      <w:divBdr>
        <w:top w:val="none" w:sz="0" w:space="0" w:color="auto"/>
        <w:left w:val="none" w:sz="0" w:space="0" w:color="auto"/>
        <w:bottom w:val="none" w:sz="0" w:space="0" w:color="auto"/>
        <w:right w:val="none" w:sz="0" w:space="0" w:color="auto"/>
      </w:divBdr>
    </w:div>
    <w:div w:id="1649478452">
      <w:bodyDiv w:val="1"/>
      <w:marLeft w:val="0"/>
      <w:marRight w:val="0"/>
      <w:marTop w:val="0"/>
      <w:marBottom w:val="0"/>
      <w:divBdr>
        <w:top w:val="none" w:sz="0" w:space="0" w:color="auto"/>
        <w:left w:val="none" w:sz="0" w:space="0" w:color="auto"/>
        <w:bottom w:val="none" w:sz="0" w:space="0" w:color="auto"/>
        <w:right w:val="none" w:sz="0" w:space="0" w:color="auto"/>
      </w:divBdr>
      <w:divsChild>
        <w:div w:id="672268651">
          <w:marLeft w:val="0"/>
          <w:marRight w:val="0"/>
          <w:marTop w:val="0"/>
          <w:marBottom w:val="0"/>
          <w:divBdr>
            <w:top w:val="none" w:sz="0" w:space="0" w:color="auto"/>
            <w:left w:val="none" w:sz="0" w:space="0" w:color="auto"/>
            <w:bottom w:val="none" w:sz="0" w:space="0" w:color="auto"/>
            <w:right w:val="none" w:sz="0" w:space="0" w:color="auto"/>
          </w:divBdr>
          <w:divsChild>
            <w:div w:id="1168207193">
              <w:marLeft w:val="0"/>
              <w:marRight w:val="0"/>
              <w:marTop w:val="0"/>
              <w:marBottom w:val="0"/>
              <w:divBdr>
                <w:top w:val="none" w:sz="0" w:space="0" w:color="auto"/>
                <w:left w:val="none" w:sz="0" w:space="0" w:color="auto"/>
                <w:bottom w:val="none" w:sz="0" w:space="0" w:color="auto"/>
                <w:right w:val="none" w:sz="0" w:space="0" w:color="auto"/>
              </w:divBdr>
              <w:divsChild>
                <w:div w:id="1943107798">
                  <w:marLeft w:val="0"/>
                  <w:marRight w:val="0"/>
                  <w:marTop w:val="0"/>
                  <w:marBottom w:val="0"/>
                  <w:divBdr>
                    <w:top w:val="none" w:sz="0" w:space="0" w:color="auto"/>
                    <w:left w:val="none" w:sz="0" w:space="0" w:color="auto"/>
                    <w:bottom w:val="none" w:sz="0" w:space="0" w:color="auto"/>
                    <w:right w:val="none" w:sz="0" w:space="0" w:color="auto"/>
                  </w:divBdr>
                  <w:divsChild>
                    <w:div w:id="195042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319683">
      <w:bodyDiv w:val="1"/>
      <w:marLeft w:val="0"/>
      <w:marRight w:val="0"/>
      <w:marTop w:val="0"/>
      <w:marBottom w:val="0"/>
      <w:divBdr>
        <w:top w:val="none" w:sz="0" w:space="0" w:color="auto"/>
        <w:left w:val="none" w:sz="0" w:space="0" w:color="auto"/>
        <w:bottom w:val="none" w:sz="0" w:space="0" w:color="auto"/>
        <w:right w:val="none" w:sz="0" w:space="0" w:color="auto"/>
      </w:divBdr>
    </w:div>
    <w:div w:id="1679842768">
      <w:bodyDiv w:val="1"/>
      <w:marLeft w:val="0"/>
      <w:marRight w:val="0"/>
      <w:marTop w:val="0"/>
      <w:marBottom w:val="0"/>
      <w:divBdr>
        <w:top w:val="none" w:sz="0" w:space="0" w:color="auto"/>
        <w:left w:val="none" w:sz="0" w:space="0" w:color="auto"/>
        <w:bottom w:val="none" w:sz="0" w:space="0" w:color="auto"/>
        <w:right w:val="none" w:sz="0" w:space="0" w:color="auto"/>
      </w:divBdr>
    </w:div>
    <w:div w:id="1692410026">
      <w:bodyDiv w:val="1"/>
      <w:marLeft w:val="0"/>
      <w:marRight w:val="0"/>
      <w:marTop w:val="0"/>
      <w:marBottom w:val="0"/>
      <w:divBdr>
        <w:top w:val="none" w:sz="0" w:space="0" w:color="auto"/>
        <w:left w:val="none" w:sz="0" w:space="0" w:color="auto"/>
        <w:bottom w:val="none" w:sz="0" w:space="0" w:color="auto"/>
        <w:right w:val="none" w:sz="0" w:space="0" w:color="auto"/>
      </w:divBdr>
      <w:divsChild>
        <w:div w:id="1162740632">
          <w:marLeft w:val="0"/>
          <w:marRight w:val="0"/>
          <w:marTop w:val="0"/>
          <w:marBottom w:val="0"/>
          <w:divBdr>
            <w:top w:val="none" w:sz="0" w:space="0" w:color="auto"/>
            <w:left w:val="none" w:sz="0" w:space="0" w:color="auto"/>
            <w:bottom w:val="none" w:sz="0" w:space="0" w:color="auto"/>
            <w:right w:val="none" w:sz="0" w:space="0" w:color="auto"/>
          </w:divBdr>
          <w:divsChild>
            <w:div w:id="507716399">
              <w:marLeft w:val="0"/>
              <w:marRight w:val="0"/>
              <w:marTop w:val="0"/>
              <w:marBottom w:val="0"/>
              <w:divBdr>
                <w:top w:val="none" w:sz="0" w:space="0" w:color="auto"/>
                <w:left w:val="none" w:sz="0" w:space="0" w:color="auto"/>
                <w:bottom w:val="none" w:sz="0" w:space="0" w:color="auto"/>
                <w:right w:val="none" w:sz="0" w:space="0" w:color="auto"/>
              </w:divBdr>
              <w:divsChild>
                <w:div w:id="6847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199561">
      <w:bodyDiv w:val="1"/>
      <w:marLeft w:val="0"/>
      <w:marRight w:val="0"/>
      <w:marTop w:val="0"/>
      <w:marBottom w:val="0"/>
      <w:divBdr>
        <w:top w:val="none" w:sz="0" w:space="0" w:color="auto"/>
        <w:left w:val="none" w:sz="0" w:space="0" w:color="auto"/>
        <w:bottom w:val="none" w:sz="0" w:space="0" w:color="auto"/>
        <w:right w:val="none" w:sz="0" w:space="0" w:color="auto"/>
      </w:divBdr>
    </w:div>
    <w:div w:id="1770808115">
      <w:bodyDiv w:val="1"/>
      <w:marLeft w:val="0"/>
      <w:marRight w:val="0"/>
      <w:marTop w:val="0"/>
      <w:marBottom w:val="0"/>
      <w:divBdr>
        <w:top w:val="none" w:sz="0" w:space="0" w:color="auto"/>
        <w:left w:val="none" w:sz="0" w:space="0" w:color="auto"/>
        <w:bottom w:val="none" w:sz="0" w:space="0" w:color="auto"/>
        <w:right w:val="none" w:sz="0" w:space="0" w:color="auto"/>
      </w:divBdr>
      <w:divsChild>
        <w:div w:id="115873219">
          <w:marLeft w:val="0"/>
          <w:marRight w:val="0"/>
          <w:marTop w:val="0"/>
          <w:marBottom w:val="0"/>
          <w:divBdr>
            <w:top w:val="none" w:sz="0" w:space="0" w:color="auto"/>
            <w:left w:val="none" w:sz="0" w:space="0" w:color="auto"/>
            <w:bottom w:val="none" w:sz="0" w:space="0" w:color="auto"/>
            <w:right w:val="none" w:sz="0" w:space="0" w:color="auto"/>
          </w:divBdr>
          <w:divsChild>
            <w:div w:id="1016466229">
              <w:marLeft w:val="0"/>
              <w:marRight w:val="0"/>
              <w:marTop w:val="0"/>
              <w:marBottom w:val="0"/>
              <w:divBdr>
                <w:top w:val="none" w:sz="0" w:space="0" w:color="auto"/>
                <w:left w:val="none" w:sz="0" w:space="0" w:color="auto"/>
                <w:bottom w:val="none" w:sz="0" w:space="0" w:color="auto"/>
                <w:right w:val="none" w:sz="0" w:space="0" w:color="auto"/>
              </w:divBdr>
              <w:divsChild>
                <w:div w:id="98442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354115">
      <w:bodyDiv w:val="1"/>
      <w:marLeft w:val="0"/>
      <w:marRight w:val="0"/>
      <w:marTop w:val="0"/>
      <w:marBottom w:val="0"/>
      <w:divBdr>
        <w:top w:val="none" w:sz="0" w:space="0" w:color="auto"/>
        <w:left w:val="none" w:sz="0" w:space="0" w:color="auto"/>
        <w:bottom w:val="none" w:sz="0" w:space="0" w:color="auto"/>
        <w:right w:val="none" w:sz="0" w:space="0" w:color="auto"/>
      </w:divBdr>
      <w:divsChild>
        <w:div w:id="825971754">
          <w:marLeft w:val="0"/>
          <w:marRight w:val="0"/>
          <w:marTop w:val="0"/>
          <w:marBottom w:val="0"/>
          <w:divBdr>
            <w:top w:val="none" w:sz="0" w:space="0" w:color="auto"/>
            <w:left w:val="none" w:sz="0" w:space="0" w:color="auto"/>
            <w:bottom w:val="none" w:sz="0" w:space="0" w:color="auto"/>
            <w:right w:val="none" w:sz="0" w:space="0" w:color="auto"/>
          </w:divBdr>
          <w:divsChild>
            <w:div w:id="1174223210">
              <w:marLeft w:val="0"/>
              <w:marRight w:val="0"/>
              <w:marTop w:val="0"/>
              <w:marBottom w:val="0"/>
              <w:divBdr>
                <w:top w:val="none" w:sz="0" w:space="0" w:color="auto"/>
                <w:left w:val="none" w:sz="0" w:space="0" w:color="auto"/>
                <w:bottom w:val="none" w:sz="0" w:space="0" w:color="auto"/>
                <w:right w:val="none" w:sz="0" w:space="0" w:color="auto"/>
              </w:divBdr>
              <w:divsChild>
                <w:div w:id="46782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307364">
      <w:bodyDiv w:val="1"/>
      <w:marLeft w:val="0"/>
      <w:marRight w:val="0"/>
      <w:marTop w:val="0"/>
      <w:marBottom w:val="0"/>
      <w:divBdr>
        <w:top w:val="none" w:sz="0" w:space="0" w:color="auto"/>
        <w:left w:val="none" w:sz="0" w:space="0" w:color="auto"/>
        <w:bottom w:val="none" w:sz="0" w:space="0" w:color="auto"/>
        <w:right w:val="none" w:sz="0" w:space="0" w:color="auto"/>
      </w:divBdr>
      <w:divsChild>
        <w:div w:id="1990476711">
          <w:marLeft w:val="0"/>
          <w:marRight w:val="0"/>
          <w:marTop w:val="0"/>
          <w:marBottom w:val="0"/>
          <w:divBdr>
            <w:top w:val="none" w:sz="0" w:space="0" w:color="auto"/>
            <w:left w:val="none" w:sz="0" w:space="0" w:color="auto"/>
            <w:bottom w:val="none" w:sz="0" w:space="0" w:color="auto"/>
            <w:right w:val="none" w:sz="0" w:space="0" w:color="auto"/>
          </w:divBdr>
          <w:divsChild>
            <w:div w:id="122163921">
              <w:marLeft w:val="0"/>
              <w:marRight w:val="0"/>
              <w:marTop w:val="0"/>
              <w:marBottom w:val="0"/>
              <w:divBdr>
                <w:top w:val="none" w:sz="0" w:space="0" w:color="auto"/>
                <w:left w:val="none" w:sz="0" w:space="0" w:color="auto"/>
                <w:bottom w:val="none" w:sz="0" w:space="0" w:color="auto"/>
                <w:right w:val="none" w:sz="0" w:space="0" w:color="auto"/>
              </w:divBdr>
              <w:divsChild>
                <w:div w:id="155943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217563">
      <w:bodyDiv w:val="1"/>
      <w:marLeft w:val="0"/>
      <w:marRight w:val="0"/>
      <w:marTop w:val="0"/>
      <w:marBottom w:val="0"/>
      <w:divBdr>
        <w:top w:val="none" w:sz="0" w:space="0" w:color="auto"/>
        <w:left w:val="none" w:sz="0" w:space="0" w:color="auto"/>
        <w:bottom w:val="none" w:sz="0" w:space="0" w:color="auto"/>
        <w:right w:val="none" w:sz="0" w:space="0" w:color="auto"/>
      </w:divBdr>
      <w:divsChild>
        <w:div w:id="304971247">
          <w:marLeft w:val="0"/>
          <w:marRight w:val="0"/>
          <w:marTop w:val="0"/>
          <w:marBottom w:val="0"/>
          <w:divBdr>
            <w:top w:val="none" w:sz="0" w:space="0" w:color="auto"/>
            <w:left w:val="none" w:sz="0" w:space="0" w:color="auto"/>
            <w:bottom w:val="none" w:sz="0" w:space="0" w:color="auto"/>
            <w:right w:val="none" w:sz="0" w:space="0" w:color="auto"/>
          </w:divBdr>
          <w:divsChild>
            <w:div w:id="1530100305">
              <w:marLeft w:val="0"/>
              <w:marRight w:val="0"/>
              <w:marTop w:val="0"/>
              <w:marBottom w:val="0"/>
              <w:divBdr>
                <w:top w:val="none" w:sz="0" w:space="0" w:color="auto"/>
                <w:left w:val="none" w:sz="0" w:space="0" w:color="auto"/>
                <w:bottom w:val="none" w:sz="0" w:space="0" w:color="auto"/>
                <w:right w:val="none" w:sz="0" w:space="0" w:color="auto"/>
              </w:divBdr>
              <w:divsChild>
                <w:div w:id="890069328">
                  <w:marLeft w:val="0"/>
                  <w:marRight w:val="0"/>
                  <w:marTop w:val="0"/>
                  <w:marBottom w:val="0"/>
                  <w:divBdr>
                    <w:top w:val="none" w:sz="0" w:space="0" w:color="auto"/>
                    <w:left w:val="none" w:sz="0" w:space="0" w:color="auto"/>
                    <w:bottom w:val="none" w:sz="0" w:space="0" w:color="auto"/>
                    <w:right w:val="none" w:sz="0" w:space="0" w:color="auto"/>
                  </w:divBdr>
                  <w:divsChild>
                    <w:div w:id="173777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755766">
      <w:bodyDiv w:val="1"/>
      <w:marLeft w:val="0"/>
      <w:marRight w:val="0"/>
      <w:marTop w:val="0"/>
      <w:marBottom w:val="0"/>
      <w:divBdr>
        <w:top w:val="none" w:sz="0" w:space="0" w:color="auto"/>
        <w:left w:val="none" w:sz="0" w:space="0" w:color="auto"/>
        <w:bottom w:val="none" w:sz="0" w:space="0" w:color="auto"/>
        <w:right w:val="none" w:sz="0" w:space="0" w:color="auto"/>
      </w:divBdr>
      <w:divsChild>
        <w:div w:id="2102530329">
          <w:marLeft w:val="0"/>
          <w:marRight w:val="0"/>
          <w:marTop w:val="0"/>
          <w:marBottom w:val="0"/>
          <w:divBdr>
            <w:top w:val="none" w:sz="0" w:space="0" w:color="auto"/>
            <w:left w:val="none" w:sz="0" w:space="0" w:color="auto"/>
            <w:bottom w:val="none" w:sz="0" w:space="0" w:color="auto"/>
            <w:right w:val="none" w:sz="0" w:space="0" w:color="auto"/>
          </w:divBdr>
          <w:divsChild>
            <w:div w:id="636447635">
              <w:marLeft w:val="0"/>
              <w:marRight w:val="0"/>
              <w:marTop w:val="0"/>
              <w:marBottom w:val="0"/>
              <w:divBdr>
                <w:top w:val="none" w:sz="0" w:space="0" w:color="auto"/>
                <w:left w:val="none" w:sz="0" w:space="0" w:color="auto"/>
                <w:bottom w:val="none" w:sz="0" w:space="0" w:color="auto"/>
                <w:right w:val="none" w:sz="0" w:space="0" w:color="auto"/>
              </w:divBdr>
              <w:divsChild>
                <w:div w:id="354962115">
                  <w:marLeft w:val="0"/>
                  <w:marRight w:val="0"/>
                  <w:marTop w:val="0"/>
                  <w:marBottom w:val="0"/>
                  <w:divBdr>
                    <w:top w:val="none" w:sz="0" w:space="0" w:color="auto"/>
                    <w:left w:val="none" w:sz="0" w:space="0" w:color="auto"/>
                    <w:bottom w:val="none" w:sz="0" w:space="0" w:color="auto"/>
                    <w:right w:val="none" w:sz="0" w:space="0" w:color="auto"/>
                  </w:divBdr>
                  <w:divsChild>
                    <w:div w:id="180029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775500">
      <w:bodyDiv w:val="1"/>
      <w:marLeft w:val="0"/>
      <w:marRight w:val="0"/>
      <w:marTop w:val="0"/>
      <w:marBottom w:val="0"/>
      <w:divBdr>
        <w:top w:val="none" w:sz="0" w:space="0" w:color="auto"/>
        <w:left w:val="none" w:sz="0" w:space="0" w:color="auto"/>
        <w:bottom w:val="none" w:sz="0" w:space="0" w:color="auto"/>
        <w:right w:val="none" w:sz="0" w:space="0" w:color="auto"/>
      </w:divBdr>
    </w:div>
    <w:div w:id="2078284518">
      <w:bodyDiv w:val="1"/>
      <w:marLeft w:val="0"/>
      <w:marRight w:val="0"/>
      <w:marTop w:val="0"/>
      <w:marBottom w:val="0"/>
      <w:divBdr>
        <w:top w:val="none" w:sz="0" w:space="0" w:color="auto"/>
        <w:left w:val="none" w:sz="0" w:space="0" w:color="auto"/>
        <w:bottom w:val="none" w:sz="0" w:space="0" w:color="auto"/>
        <w:right w:val="none" w:sz="0" w:space="0" w:color="auto"/>
      </w:divBdr>
    </w:div>
    <w:div w:id="2079205454">
      <w:bodyDiv w:val="1"/>
      <w:marLeft w:val="0"/>
      <w:marRight w:val="0"/>
      <w:marTop w:val="0"/>
      <w:marBottom w:val="0"/>
      <w:divBdr>
        <w:top w:val="none" w:sz="0" w:space="0" w:color="auto"/>
        <w:left w:val="none" w:sz="0" w:space="0" w:color="auto"/>
        <w:bottom w:val="none" w:sz="0" w:space="0" w:color="auto"/>
        <w:right w:val="none" w:sz="0" w:space="0" w:color="auto"/>
      </w:divBdr>
    </w:div>
    <w:div w:id="2138719356">
      <w:bodyDiv w:val="1"/>
      <w:marLeft w:val="0"/>
      <w:marRight w:val="0"/>
      <w:marTop w:val="0"/>
      <w:marBottom w:val="0"/>
      <w:divBdr>
        <w:top w:val="none" w:sz="0" w:space="0" w:color="auto"/>
        <w:left w:val="none" w:sz="0" w:space="0" w:color="auto"/>
        <w:bottom w:val="none" w:sz="0" w:space="0" w:color="auto"/>
        <w:right w:val="none" w:sz="0" w:space="0" w:color="auto"/>
      </w:divBdr>
      <w:divsChild>
        <w:div w:id="2131169551">
          <w:marLeft w:val="0"/>
          <w:marRight w:val="0"/>
          <w:marTop w:val="0"/>
          <w:marBottom w:val="0"/>
          <w:divBdr>
            <w:top w:val="none" w:sz="0" w:space="0" w:color="auto"/>
            <w:left w:val="none" w:sz="0" w:space="0" w:color="auto"/>
            <w:bottom w:val="none" w:sz="0" w:space="0" w:color="auto"/>
            <w:right w:val="none" w:sz="0" w:space="0" w:color="auto"/>
          </w:divBdr>
          <w:divsChild>
            <w:div w:id="2139907206">
              <w:marLeft w:val="0"/>
              <w:marRight w:val="0"/>
              <w:marTop w:val="0"/>
              <w:marBottom w:val="0"/>
              <w:divBdr>
                <w:top w:val="none" w:sz="0" w:space="0" w:color="auto"/>
                <w:left w:val="none" w:sz="0" w:space="0" w:color="auto"/>
                <w:bottom w:val="none" w:sz="0" w:space="0" w:color="auto"/>
                <w:right w:val="none" w:sz="0" w:space="0" w:color="auto"/>
              </w:divBdr>
              <w:divsChild>
                <w:div w:id="75035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6167208324629" TargetMode="External"/><Relationship Id="rId13" Type="http://schemas.openxmlformats.org/officeDocument/2006/relationships/hyperlink" Target="https://doi.org/10.1016/j.disamonth.2019.07.003" TargetMode="External"/><Relationship Id="rId18" Type="http://schemas.openxmlformats.org/officeDocument/2006/relationships/hyperlink" Target="https://www.cpd.utoronto.ca/wp-content/uploads/2016/07/P04-How-to-Conduct-a-Gap-Analysis.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sycnet.apa.org/doi/10.1007/s10508-018-1354-9" TargetMode="External"/><Relationship Id="rId17" Type="http://schemas.openxmlformats.org/officeDocument/2006/relationships/hyperlink" Target="https://doi.org/10.1037/abn0000234" TargetMode="External"/><Relationship Id="rId2" Type="http://schemas.openxmlformats.org/officeDocument/2006/relationships/numbering" Target="numbering.xml"/><Relationship Id="rId16" Type="http://schemas.openxmlformats.org/officeDocument/2006/relationships/hyperlink" Target="http://www.bmj.com/content/317/7150/61.ful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cpr.2020.101875" TargetMode="External"/><Relationship Id="rId5" Type="http://schemas.openxmlformats.org/officeDocument/2006/relationships/webSettings" Target="webSettings.xml"/><Relationship Id="rId15" Type="http://schemas.openxmlformats.org/officeDocument/2006/relationships/hyperlink" Target="https://www.england.nhs.uk/commissioning/spec-services/npc-crg/group-c/c05/" TargetMode="External"/><Relationship Id="rId10" Type="http://schemas.openxmlformats.org/officeDocument/2006/relationships/hyperlink" Target="https://researchportal.bath.ac.uk/en/publications/the-experience-of-gender-dysphoria-in-autistic-adults-written-acc"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07/s11920-021-01245-9" TargetMode="External"/><Relationship Id="rId14" Type="http://schemas.openxmlformats.org/officeDocument/2006/relationships/hyperlink" Target="https://doi.org/10.1016/j.jvoice.2006.12.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3ED3F11-4389-F84F-AF43-DF6EFEEBB6E2}">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RCS03</b:Tag>
    <b:SourceType>InternetSite</b:SourceType>
    <b:Guid>{628ECA23-2BD6-0842-826C-336E1685EF64}</b:Guid>
    <b:Author>
      <b:Author>
        <b:Corporate>RCSLT</b:Corporate>
      </b:Author>
    </b:Author>
    <b:URL>https://www.rcslt.org/wp-content/uploads/media/Project/RCSLT/competencies-project.pdf</b:URL>
    <b:Year>2003</b:Year>
    <b:YearAccessed>2022</b:YearAccessed>
    <b:MonthAccessed>2</b:MonthAccessed>
    <b:DayAccessed>6</b:DayAccessed>
    <b:RefOrder>1</b:RefOrder>
  </b:Source>
  <b:Source>
    <b:Tag>UTF16</b:Tag>
    <b:SourceType>InternetSite</b:SourceType>
    <b:Guid>{7826EECD-D04D-6848-9B23-9E314E17FAA5}</b:Guid>
    <b:Author>
      <b:Author>
        <b:Corporate>UTFM</b:Corporate>
      </b:Author>
    </b:Author>
    <b:Title>Conducting a GAP analysis</b:Title>
    <b:URL>https://www.cpd.utoronto.ca/wp-content/uploads/2016/07/P04-How-to-Conduct-a-Gap-Analysis.pdf</b:URL>
    <b:Year>2016</b:Year>
    <b:YearAccessed>2022</b:YearAccessed>
    <b:MonthAccessed>2</b:MonthAccessed>
    <b:DayAccessed>6</b:DayAccessed>
    <b:RefOrder>2</b:RefOrder>
  </b:Source>
</b:Sources>
</file>

<file path=customXml/itemProps1.xml><?xml version="1.0" encoding="utf-8"?>
<ds:datastoreItem xmlns:ds="http://schemas.openxmlformats.org/officeDocument/2006/customXml" ds:itemID="{ADD8A609-2C28-0442-AD8C-F023E4C40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926</TotalTime>
  <Pages>23</Pages>
  <Words>6419</Words>
  <Characters>36589</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Chugg</dc:creator>
  <cp:keywords/>
  <dc:description/>
  <cp:lastModifiedBy>Grace Chugg</cp:lastModifiedBy>
  <cp:revision>89</cp:revision>
  <dcterms:created xsi:type="dcterms:W3CDTF">2021-12-28T08:41:00Z</dcterms:created>
  <dcterms:modified xsi:type="dcterms:W3CDTF">2022-04-10T13:17:00Z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documentId_1167</vt:lpwstr>
  </property>
  <property fmtid="{D5CDD505-2E9C-101B-9397-08002B2CF9AE}" pid="3" name="grammarly_documentContext">
    <vt:lpwstr>{"goals":[],"domain":"general","emotions":[],"dialect":"american"}</vt:lpwstr>
  </property>
</Properties>
</file>