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BB09EA" w14:textId="1258ED8A" w:rsidR="000446A3" w:rsidRDefault="000446A3" w:rsidP="00BE3C19">
      <w:pPr>
        <w:pStyle w:val="NoSpacing"/>
        <w:rPr>
          <w:noProof/>
        </w:rPr>
      </w:pPr>
      <w:r w:rsidRPr="00A406E5">
        <w:rPr>
          <w:noProof/>
        </w:rPr>
        <w:drawing>
          <wp:anchor distT="0" distB="0" distL="114300" distR="114300" simplePos="0" relativeHeight="251659264" behindDoc="0" locked="0" layoutInCell="1" allowOverlap="1" wp14:anchorId="789D8818" wp14:editId="5415D297">
            <wp:simplePos x="0" y="0"/>
            <wp:positionH relativeFrom="column">
              <wp:posOffset>2063750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EDEFA58" w14:textId="77777777" w:rsidR="000446A3" w:rsidRDefault="000446A3" w:rsidP="000446A3">
      <w:pPr>
        <w:jc w:val="center"/>
      </w:pPr>
    </w:p>
    <w:p w14:paraId="7BE82143" w14:textId="77777777" w:rsidR="000446A3" w:rsidRDefault="000446A3" w:rsidP="000446A3"/>
    <w:p w14:paraId="1CB61BA1" w14:textId="77777777" w:rsidR="00633FFA" w:rsidRDefault="00633FFA" w:rsidP="000446A3"/>
    <w:p w14:paraId="3B57A687" w14:textId="16F92988" w:rsidR="00636D0C" w:rsidRPr="000479A7" w:rsidRDefault="00636D0C" w:rsidP="00636D0C">
      <w:pPr>
        <w:spacing w:line="259" w:lineRule="auto"/>
        <w:jc w:val="center"/>
        <w:rPr>
          <w:rFonts w:ascii="Arial" w:hAnsi="Arial" w:cs="Arial"/>
          <w:b/>
          <w:bCs/>
          <w:sz w:val="32"/>
          <w:szCs w:val="28"/>
        </w:rPr>
      </w:pPr>
      <w:r w:rsidRPr="000479A7">
        <w:rPr>
          <w:rFonts w:ascii="Arial" w:hAnsi="Arial" w:cs="Arial"/>
          <w:b/>
          <w:bCs/>
          <w:sz w:val="32"/>
          <w:szCs w:val="28"/>
        </w:rPr>
        <w:t>A Report on</w:t>
      </w:r>
    </w:p>
    <w:p w14:paraId="582A0EEC" w14:textId="77777777" w:rsidR="00636D0C" w:rsidRPr="000479A7" w:rsidRDefault="00636D0C" w:rsidP="00636D0C">
      <w:pPr>
        <w:spacing w:line="259" w:lineRule="auto"/>
        <w:jc w:val="center"/>
        <w:rPr>
          <w:rFonts w:ascii="Arial" w:hAnsi="Arial" w:cs="Arial"/>
          <w:b/>
          <w:bCs/>
          <w:sz w:val="32"/>
          <w:szCs w:val="28"/>
        </w:rPr>
      </w:pPr>
      <w:r w:rsidRPr="000479A7">
        <w:rPr>
          <w:rFonts w:ascii="Arial" w:hAnsi="Arial" w:cs="Arial"/>
          <w:b/>
          <w:bCs/>
          <w:sz w:val="32"/>
          <w:szCs w:val="28"/>
        </w:rPr>
        <w:t xml:space="preserve">Barclays’ Change Management </w:t>
      </w:r>
    </w:p>
    <w:p w14:paraId="0EC9B0EE" w14:textId="77777777" w:rsidR="00636D0C" w:rsidRPr="000479A7" w:rsidRDefault="00636D0C" w:rsidP="00636D0C">
      <w:pPr>
        <w:rPr>
          <w:rFonts w:ascii="Arial" w:hAnsi="Arial" w:cs="Arial"/>
        </w:rPr>
      </w:pPr>
    </w:p>
    <w:p w14:paraId="7B6BD269" w14:textId="77777777" w:rsidR="00636D0C" w:rsidRPr="000479A7" w:rsidRDefault="00636D0C" w:rsidP="00636D0C">
      <w:pPr>
        <w:rPr>
          <w:rFonts w:ascii="Arial" w:hAnsi="Arial" w:cs="Arial"/>
        </w:rPr>
      </w:pPr>
    </w:p>
    <w:p w14:paraId="4924DB0A" w14:textId="77777777" w:rsidR="00585A87" w:rsidRPr="000479A7" w:rsidRDefault="00585A87" w:rsidP="00990E30">
      <w:pPr>
        <w:jc w:val="center"/>
        <w:rPr>
          <w:rFonts w:ascii="Arial" w:hAnsi="Arial" w:cs="Arial"/>
        </w:rPr>
      </w:pPr>
      <w:r w:rsidRPr="000479A7">
        <w:rPr>
          <w:rFonts w:ascii="Arial" w:hAnsi="Arial" w:cs="Arial"/>
          <w:b/>
          <w:bCs/>
        </w:rPr>
        <w:t xml:space="preserve">Student Name: </w:t>
      </w:r>
      <w:r w:rsidRPr="000479A7">
        <w:rPr>
          <w:rFonts w:ascii="Arial" w:hAnsi="Arial" w:cs="Arial"/>
        </w:rPr>
        <w:t xml:space="preserve">Petko </w:t>
      </w:r>
      <w:proofErr w:type="spellStart"/>
      <w:r w:rsidRPr="000479A7">
        <w:rPr>
          <w:rFonts w:ascii="Arial" w:hAnsi="Arial" w:cs="Arial"/>
        </w:rPr>
        <w:t>Tonev</w:t>
      </w:r>
      <w:proofErr w:type="spellEnd"/>
      <w:r w:rsidRPr="000479A7">
        <w:rPr>
          <w:rFonts w:ascii="Arial" w:hAnsi="Arial" w:cs="Arial"/>
        </w:rPr>
        <w:t xml:space="preserve"> Petkov</w:t>
      </w:r>
    </w:p>
    <w:p w14:paraId="1C782B61" w14:textId="2A139B5C" w:rsidR="00585A87" w:rsidRPr="000479A7" w:rsidRDefault="00585A87" w:rsidP="00585A87">
      <w:pPr>
        <w:jc w:val="center"/>
        <w:rPr>
          <w:rFonts w:ascii="Arial" w:hAnsi="Arial" w:cs="Arial"/>
        </w:rPr>
      </w:pPr>
      <w:r w:rsidRPr="000479A7">
        <w:rPr>
          <w:rFonts w:ascii="Arial" w:hAnsi="Arial" w:cs="Arial"/>
          <w:b/>
          <w:bCs/>
        </w:rPr>
        <w:t xml:space="preserve">Student Number: </w:t>
      </w:r>
      <w:r w:rsidRPr="000479A7">
        <w:rPr>
          <w:rFonts w:ascii="Arial" w:hAnsi="Arial" w:cs="Arial"/>
        </w:rPr>
        <w:t>2125440</w:t>
      </w:r>
    </w:p>
    <w:p w14:paraId="5B583AB8" w14:textId="51E36A77" w:rsidR="00636D0C" w:rsidRPr="000479A7" w:rsidRDefault="00636D0C" w:rsidP="00636D0C">
      <w:pPr>
        <w:jc w:val="center"/>
        <w:rPr>
          <w:rFonts w:ascii="Arial" w:hAnsi="Arial" w:cs="Arial"/>
        </w:rPr>
      </w:pPr>
      <w:r w:rsidRPr="000479A7">
        <w:rPr>
          <w:rFonts w:ascii="Arial" w:hAnsi="Arial" w:cs="Arial"/>
          <w:b/>
          <w:bCs/>
        </w:rPr>
        <w:t>Module Name:</w:t>
      </w:r>
      <w:r w:rsidR="005D2148" w:rsidRPr="000479A7">
        <w:rPr>
          <w:rFonts w:ascii="Arial" w:hAnsi="Arial" w:cs="Arial"/>
          <w:b/>
          <w:bCs/>
        </w:rPr>
        <w:t xml:space="preserve"> </w:t>
      </w:r>
      <w:r w:rsidR="005D2148" w:rsidRPr="000479A7">
        <w:rPr>
          <w:rFonts w:ascii="Arial" w:hAnsi="Arial" w:cs="Arial"/>
        </w:rPr>
        <w:t>Leading and Implementing Workplace Change</w:t>
      </w:r>
    </w:p>
    <w:p w14:paraId="6A922C21" w14:textId="77777777" w:rsidR="00585A87" w:rsidRPr="000479A7" w:rsidRDefault="00636D0C" w:rsidP="00585A87">
      <w:pPr>
        <w:jc w:val="center"/>
        <w:rPr>
          <w:rFonts w:ascii="Arial" w:hAnsi="Arial" w:cs="Arial"/>
        </w:rPr>
      </w:pPr>
      <w:r w:rsidRPr="000479A7">
        <w:rPr>
          <w:rFonts w:ascii="Arial" w:hAnsi="Arial" w:cs="Arial"/>
          <w:b/>
          <w:bCs/>
        </w:rPr>
        <w:t>Module Code:</w:t>
      </w:r>
      <w:r w:rsidR="005D2148" w:rsidRPr="000479A7">
        <w:rPr>
          <w:rFonts w:ascii="Arial" w:hAnsi="Arial" w:cs="Arial"/>
        </w:rPr>
        <w:t xml:space="preserve"> </w:t>
      </w:r>
      <w:r w:rsidR="00FD684C" w:rsidRPr="000479A7">
        <w:rPr>
          <w:rFonts w:ascii="Arial" w:hAnsi="Arial" w:cs="Arial"/>
        </w:rPr>
        <w:t>BMSW6103</w:t>
      </w:r>
    </w:p>
    <w:p w14:paraId="03D8C0D6" w14:textId="77777777" w:rsidR="000479A7" w:rsidRPr="000479A7" w:rsidRDefault="00585A87" w:rsidP="00585A87">
      <w:pPr>
        <w:jc w:val="center"/>
        <w:rPr>
          <w:rFonts w:ascii="Arial" w:hAnsi="Arial" w:cs="Arial"/>
        </w:rPr>
      </w:pPr>
      <w:r w:rsidRPr="000479A7">
        <w:rPr>
          <w:rFonts w:ascii="Arial" w:hAnsi="Arial" w:cs="Arial"/>
          <w:b/>
          <w:bCs/>
        </w:rPr>
        <w:t>Module Lecturer</w:t>
      </w:r>
      <w:r w:rsidR="000479A7" w:rsidRPr="000479A7">
        <w:rPr>
          <w:rFonts w:ascii="Arial" w:hAnsi="Arial" w:cs="Arial"/>
          <w:b/>
          <w:bCs/>
        </w:rPr>
        <w:t xml:space="preserve">: </w:t>
      </w:r>
      <w:r w:rsidR="000479A7" w:rsidRPr="000479A7">
        <w:rPr>
          <w:rFonts w:ascii="Arial" w:hAnsi="Arial" w:cs="Arial"/>
        </w:rPr>
        <w:t>Samuel Ofori</w:t>
      </w:r>
    </w:p>
    <w:p w14:paraId="6AE46084" w14:textId="2C341467" w:rsidR="000479A7" w:rsidRPr="000479A7" w:rsidRDefault="000479A7" w:rsidP="00585A87">
      <w:pPr>
        <w:jc w:val="center"/>
        <w:rPr>
          <w:rFonts w:ascii="Arial" w:hAnsi="Arial" w:cs="Arial"/>
        </w:rPr>
      </w:pPr>
      <w:r w:rsidRPr="000479A7">
        <w:rPr>
          <w:rFonts w:ascii="Arial" w:hAnsi="Arial" w:cs="Arial"/>
          <w:b/>
          <w:bCs/>
        </w:rPr>
        <w:t xml:space="preserve">Assignment Tittle: </w:t>
      </w:r>
      <w:r w:rsidRPr="000479A7">
        <w:rPr>
          <w:rFonts w:ascii="Arial" w:hAnsi="Arial" w:cs="Arial"/>
        </w:rPr>
        <w:t>A change Management Plan</w:t>
      </w:r>
    </w:p>
    <w:p w14:paraId="3408A527" w14:textId="0184D16C" w:rsidR="00636D0C" w:rsidRPr="00585A87" w:rsidRDefault="00636D0C" w:rsidP="000479A7">
      <w:r>
        <w:br w:type="page"/>
      </w:r>
    </w:p>
    <w:sdt>
      <w:sdtPr>
        <w:rPr>
          <w:rFonts w:ascii="Times New Roman" w:eastAsiaTheme="minorHAnsi" w:hAnsi="Times New Roman" w:cs="Times New Roman"/>
          <w:color w:val="auto"/>
          <w:sz w:val="24"/>
          <w:szCs w:val="22"/>
          <w:lang w:val="en-GB"/>
        </w:rPr>
        <w:id w:val="-1356110117"/>
        <w:docPartObj>
          <w:docPartGallery w:val="Table of Contents"/>
          <w:docPartUnique/>
        </w:docPartObj>
      </w:sdtPr>
      <w:sdtEndPr>
        <w:rPr>
          <w:rFonts w:cstheme="minorBidi"/>
          <w:b/>
          <w:bCs/>
          <w:noProof/>
        </w:rPr>
      </w:sdtEndPr>
      <w:sdtContent>
        <w:p w14:paraId="59C881A2" w14:textId="3E4AD339" w:rsidR="00636D0C" w:rsidRPr="00636D0C" w:rsidRDefault="00636D0C">
          <w:pPr>
            <w:pStyle w:val="TOCHeading"/>
            <w:rPr>
              <w:rFonts w:ascii="Times New Roman" w:hAnsi="Times New Roman" w:cs="Times New Roman"/>
            </w:rPr>
          </w:pPr>
          <w:r w:rsidRPr="00636D0C">
            <w:rPr>
              <w:rFonts w:ascii="Times New Roman" w:hAnsi="Times New Roman" w:cs="Times New Roman"/>
            </w:rPr>
            <w:t>Table of Contents</w:t>
          </w:r>
        </w:p>
        <w:p w14:paraId="4B1D9BD1" w14:textId="7FA6A69C" w:rsidR="00636D0C" w:rsidRDefault="00636D0C">
          <w:pPr>
            <w:pStyle w:val="TOC1"/>
            <w:tabs>
              <w:tab w:val="right" w:leader="dot" w:pos="9350"/>
            </w:tabs>
            <w:rPr>
              <w:noProof/>
            </w:rPr>
          </w:pPr>
          <w:r>
            <w:fldChar w:fldCharType="begin"/>
          </w:r>
          <w:r>
            <w:instrText xml:space="preserve"> TOC \o "1-3" \h \z \u </w:instrText>
          </w:r>
          <w:r>
            <w:fldChar w:fldCharType="separate"/>
          </w:r>
          <w:hyperlink w:anchor="_Toc181555325" w:history="1">
            <w:r w:rsidRPr="00E749DD">
              <w:rPr>
                <w:rStyle w:val="Hyperlink"/>
                <w:noProof/>
              </w:rPr>
              <w:t>Introduction</w:t>
            </w:r>
            <w:r>
              <w:rPr>
                <w:noProof/>
                <w:webHidden/>
              </w:rPr>
              <w:tab/>
            </w:r>
            <w:r>
              <w:rPr>
                <w:noProof/>
                <w:webHidden/>
              </w:rPr>
              <w:fldChar w:fldCharType="begin"/>
            </w:r>
            <w:r>
              <w:rPr>
                <w:noProof/>
                <w:webHidden/>
              </w:rPr>
              <w:instrText xml:space="preserve"> PAGEREF _Toc181555325 \h </w:instrText>
            </w:r>
            <w:r>
              <w:rPr>
                <w:noProof/>
                <w:webHidden/>
              </w:rPr>
            </w:r>
            <w:r>
              <w:rPr>
                <w:noProof/>
                <w:webHidden/>
              </w:rPr>
              <w:fldChar w:fldCharType="separate"/>
            </w:r>
            <w:r>
              <w:rPr>
                <w:noProof/>
                <w:webHidden/>
              </w:rPr>
              <w:t>3</w:t>
            </w:r>
            <w:r>
              <w:rPr>
                <w:noProof/>
                <w:webHidden/>
              </w:rPr>
              <w:fldChar w:fldCharType="end"/>
            </w:r>
          </w:hyperlink>
        </w:p>
        <w:p w14:paraId="49EF8F5F" w14:textId="26524F79" w:rsidR="00636D0C" w:rsidRDefault="00636D0C">
          <w:pPr>
            <w:pStyle w:val="TOC1"/>
            <w:tabs>
              <w:tab w:val="right" w:leader="dot" w:pos="9350"/>
            </w:tabs>
            <w:rPr>
              <w:noProof/>
            </w:rPr>
          </w:pPr>
          <w:hyperlink w:anchor="_Toc181555326" w:history="1">
            <w:r w:rsidRPr="00E749DD">
              <w:rPr>
                <w:rStyle w:val="Hyperlink"/>
                <w:noProof/>
              </w:rPr>
              <w:t>Brief Overview of the Company</w:t>
            </w:r>
            <w:r>
              <w:rPr>
                <w:noProof/>
                <w:webHidden/>
              </w:rPr>
              <w:tab/>
            </w:r>
            <w:r>
              <w:rPr>
                <w:noProof/>
                <w:webHidden/>
              </w:rPr>
              <w:fldChar w:fldCharType="begin"/>
            </w:r>
            <w:r>
              <w:rPr>
                <w:noProof/>
                <w:webHidden/>
              </w:rPr>
              <w:instrText xml:space="preserve"> PAGEREF _Toc181555326 \h </w:instrText>
            </w:r>
            <w:r>
              <w:rPr>
                <w:noProof/>
                <w:webHidden/>
              </w:rPr>
            </w:r>
            <w:r>
              <w:rPr>
                <w:noProof/>
                <w:webHidden/>
              </w:rPr>
              <w:fldChar w:fldCharType="separate"/>
            </w:r>
            <w:r>
              <w:rPr>
                <w:noProof/>
                <w:webHidden/>
              </w:rPr>
              <w:t>4</w:t>
            </w:r>
            <w:r>
              <w:rPr>
                <w:noProof/>
                <w:webHidden/>
              </w:rPr>
              <w:fldChar w:fldCharType="end"/>
            </w:r>
          </w:hyperlink>
        </w:p>
        <w:p w14:paraId="065BFF50" w14:textId="34A90EB8" w:rsidR="00636D0C" w:rsidRDefault="00636D0C">
          <w:pPr>
            <w:pStyle w:val="TOC1"/>
            <w:tabs>
              <w:tab w:val="right" w:leader="dot" w:pos="9350"/>
            </w:tabs>
            <w:rPr>
              <w:noProof/>
            </w:rPr>
          </w:pPr>
          <w:hyperlink w:anchor="_Toc181555327" w:history="1">
            <w:r w:rsidRPr="00E749DD">
              <w:rPr>
                <w:rStyle w:val="Hyperlink"/>
                <w:noProof/>
              </w:rPr>
              <w:t>Analysis of Recent Histor</w:t>
            </w:r>
            <w:r w:rsidRPr="00E749DD">
              <w:rPr>
                <w:rStyle w:val="Hyperlink"/>
                <w:noProof/>
              </w:rPr>
              <w:t>y</w:t>
            </w:r>
            <w:r w:rsidRPr="00E749DD">
              <w:rPr>
                <w:rStyle w:val="Hyperlink"/>
                <w:noProof/>
              </w:rPr>
              <w:t xml:space="preserve"> and External Environment</w:t>
            </w:r>
            <w:r>
              <w:rPr>
                <w:noProof/>
                <w:webHidden/>
              </w:rPr>
              <w:tab/>
            </w:r>
            <w:r>
              <w:rPr>
                <w:noProof/>
                <w:webHidden/>
              </w:rPr>
              <w:fldChar w:fldCharType="begin"/>
            </w:r>
            <w:r>
              <w:rPr>
                <w:noProof/>
                <w:webHidden/>
              </w:rPr>
              <w:instrText xml:space="preserve"> PAGEREF _Toc181555327 \h </w:instrText>
            </w:r>
            <w:r>
              <w:rPr>
                <w:noProof/>
                <w:webHidden/>
              </w:rPr>
            </w:r>
            <w:r>
              <w:rPr>
                <w:noProof/>
                <w:webHidden/>
              </w:rPr>
              <w:fldChar w:fldCharType="separate"/>
            </w:r>
            <w:r>
              <w:rPr>
                <w:noProof/>
                <w:webHidden/>
              </w:rPr>
              <w:t>5</w:t>
            </w:r>
            <w:r>
              <w:rPr>
                <w:noProof/>
                <w:webHidden/>
              </w:rPr>
              <w:fldChar w:fldCharType="end"/>
            </w:r>
          </w:hyperlink>
        </w:p>
        <w:p w14:paraId="125E64B3" w14:textId="05ACA4A9" w:rsidR="00636D0C" w:rsidRDefault="00636D0C">
          <w:pPr>
            <w:pStyle w:val="TOC2"/>
            <w:tabs>
              <w:tab w:val="right" w:leader="dot" w:pos="9350"/>
            </w:tabs>
            <w:rPr>
              <w:noProof/>
            </w:rPr>
          </w:pPr>
          <w:hyperlink w:anchor="_Toc181555328" w:history="1">
            <w:r w:rsidRPr="00E749DD">
              <w:rPr>
                <w:rStyle w:val="Hyperlink"/>
                <w:noProof/>
              </w:rPr>
              <w:t>Recent History of Barclays</w:t>
            </w:r>
            <w:r>
              <w:rPr>
                <w:noProof/>
                <w:webHidden/>
              </w:rPr>
              <w:tab/>
            </w:r>
            <w:r>
              <w:rPr>
                <w:noProof/>
                <w:webHidden/>
              </w:rPr>
              <w:fldChar w:fldCharType="begin"/>
            </w:r>
            <w:r>
              <w:rPr>
                <w:noProof/>
                <w:webHidden/>
              </w:rPr>
              <w:instrText xml:space="preserve"> PAGEREF _Toc181555328 \h </w:instrText>
            </w:r>
            <w:r>
              <w:rPr>
                <w:noProof/>
                <w:webHidden/>
              </w:rPr>
            </w:r>
            <w:r>
              <w:rPr>
                <w:noProof/>
                <w:webHidden/>
              </w:rPr>
              <w:fldChar w:fldCharType="separate"/>
            </w:r>
            <w:r>
              <w:rPr>
                <w:noProof/>
                <w:webHidden/>
              </w:rPr>
              <w:t>5</w:t>
            </w:r>
            <w:r>
              <w:rPr>
                <w:noProof/>
                <w:webHidden/>
              </w:rPr>
              <w:fldChar w:fldCharType="end"/>
            </w:r>
          </w:hyperlink>
        </w:p>
        <w:p w14:paraId="4A49E930" w14:textId="1AC872DF" w:rsidR="00636D0C" w:rsidRDefault="00636D0C">
          <w:pPr>
            <w:pStyle w:val="TOC2"/>
            <w:tabs>
              <w:tab w:val="right" w:leader="dot" w:pos="9350"/>
            </w:tabs>
            <w:rPr>
              <w:noProof/>
            </w:rPr>
          </w:pPr>
          <w:hyperlink w:anchor="_Toc181555329" w:history="1">
            <w:r w:rsidRPr="00E749DD">
              <w:rPr>
                <w:rStyle w:val="Hyperlink"/>
                <w:noProof/>
              </w:rPr>
              <w:t>External Environmental Factors</w:t>
            </w:r>
            <w:r>
              <w:rPr>
                <w:noProof/>
                <w:webHidden/>
              </w:rPr>
              <w:tab/>
            </w:r>
            <w:r>
              <w:rPr>
                <w:noProof/>
                <w:webHidden/>
              </w:rPr>
              <w:fldChar w:fldCharType="begin"/>
            </w:r>
            <w:r>
              <w:rPr>
                <w:noProof/>
                <w:webHidden/>
              </w:rPr>
              <w:instrText xml:space="preserve"> PAGEREF _Toc181555329 \h </w:instrText>
            </w:r>
            <w:r>
              <w:rPr>
                <w:noProof/>
                <w:webHidden/>
              </w:rPr>
            </w:r>
            <w:r>
              <w:rPr>
                <w:noProof/>
                <w:webHidden/>
              </w:rPr>
              <w:fldChar w:fldCharType="separate"/>
            </w:r>
            <w:r>
              <w:rPr>
                <w:noProof/>
                <w:webHidden/>
              </w:rPr>
              <w:t>5</w:t>
            </w:r>
            <w:r>
              <w:rPr>
                <w:noProof/>
                <w:webHidden/>
              </w:rPr>
              <w:fldChar w:fldCharType="end"/>
            </w:r>
          </w:hyperlink>
        </w:p>
        <w:p w14:paraId="1083BF31" w14:textId="78B7FC81" w:rsidR="00636D0C" w:rsidRDefault="00636D0C">
          <w:pPr>
            <w:pStyle w:val="TOC1"/>
            <w:tabs>
              <w:tab w:val="right" w:leader="dot" w:pos="9350"/>
            </w:tabs>
            <w:rPr>
              <w:noProof/>
            </w:rPr>
          </w:pPr>
          <w:hyperlink w:anchor="_Toc181555330" w:history="1">
            <w:r w:rsidRPr="00E749DD">
              <w:rPr>
                <w:rStyle w:val="Hyperlink"/>
                <w:noProof/>
              </w:rPr>
              <w:t>Change Management Models and Strategic Change Analysis</w:t>
            </w:r>
            <w:r>
              <w:rPr>
                <w:noProof/>
                <w:webHidden/>
              </w:rPr>
              <w:tab/>
            </w:r>
            <w:r>
              <w:rPr>
                <w:noProof/>
                <w:webHidden/>
              </w:rPr>
              <w:fldChar w:fldCharType="begin"/>
            </w:r>
            <w:r>
              <w:rPr>
                <w:noProof/>
                <w:webHidden/>
              </w:rPr>
              <w:instrText xml:space="preserve"> PAGEREF _Toc181555330 \h </w:instrText>
            </w:r>
            <w:r>
              <w:rPr>
                <w:noProof/>
                <w:webHidden/>
              </w:rPr>
            </w:r>
            <w:r>
              <w:rPr>
                <w:noProof/>
                <w:webHidden/>
              </w:rPr>
              <w:fldChar w:fldCharType="separate"/>
            </w:r>
            <w:r>
              <w:rPr>
                <w:noProof/>
                <w:webHidden/>
              </w:rPr>
              <w:t>9</w:t>
            </w:r>
            <w:r>
              <w:rPr>
                <w:noProof/>
                <w:webHidden/>
              </w:rPr>
              <w:fldChar w:fldCharType="end"/>
            </w:r>
          </w:hyperlink>
        </w:p>
        <w:p w14:paraId="294A6BBB" w14:textId="2A5EB976" w:rsidR="00636D0C" w:rsidRDefault="00636D0C">
          <w:pPr>
            <w:pStyle w:val="TOC2"/>
            <w:tabs>
              <w:tab w:val="right" w:leader="dot" w:pos="9350"/>
            </w:tabs>
            <w:rPr>
              <w:noProof/>
            </w:rPr>
          </w:pPr>
          <w:hyperlink w:anchor="_Toc181555331" w:history="1">
            <w:r w:rsidRPr="00E749DD">
              <w:rPr>
                <w:rStyle w:val="Hyperlink"/>
                <w:noProof/>
              </w:rPr>
              <w:t>Key Change Management Models</w:t>
            </w:r>
            <w:r>
              <w:rPr>
                <w:noProof/>
                <w:webHidden/>
              </w:rPr>
              <w:tab/>
            </w:r>
            <w:r>
              <w:rPr>
                <w:noProof/>
                <w:webHidden/>
              </w:rPr>
              <w:fldChar w:fldCharType="begin"/>
            </w:r>
            <w:r>
              <w:rPr>
                <w:noProof/>
                <w:webHidden/>
              </w:rPr>
              <w:instrText xml:space="preserve"> PAGEREF _Toc181555331 \h </w:instrText>
            </w:r>
            <w:r>
              <w:rPr>
                <w:noProof/>
                <w:webHidden/>
              </w:rPr>
            </w:r>
            <w:r>
              <w:rPr>
                <w:noProof/>
                <w:webHidden/>
              </w:rPr>
              <w:fldChar w:fldCharType="separate"/>
            </w:r>
            <w:r>
              <w:rPr>
                <w:noProof/>
                <w:webHidden/>
              </w:rPr>
              <w:t>9</w:t>
            </w:r>
            <w:r>
              <w:rPr>
                <w:noProof/>
                <w:webHidden/>
              </w:rPr>
              <w:fldChar w:fldCharType="end"/>
            </w:r>
          </w:hyperlink>
        </w:p>
        <w:p w14:paraId="2713AFDD" w14:textId="77FD02D1" w:rsidR="00636D0C" w:rsidRDefault="00636D0C">
          <w:pPr>
            <w:pStyle w:val="TOC2"/>
            <w:tabs>
              <w:tab w:val="right" w:leader="dot" w:pos="9350"/>
            </w:tabs>
            <w:rPr>
              <w:noProof/>
            </w:rPr>
          </w:pPr>
          <w:hyperlink w:anchor="_Toc181555332" w:history="1">
            <w:r w:rsidRPr="00E749DD">
              <w:rPr>
                <w:rStyle w:val="Hyperlink"/>
                <w:noProof/>
              </w:rPr>
              <w:t>Strategic Change at Barcla</w:t>
            </w:r>
            <w:r w:rsidRPr="00E749DD">
              <w:rPr>
                <w:rStyle w:val="Hyperlink"/>
                <w:noProof/>
              </w:rPr>
              <w:t>y</w:t>
            </w:r>
            <w:r w:rsidRPr="00E749DD">
              <w:rPr>
                <w:rStyle w:val="Hyperlink"/>
                <w:noProof/>
              </w:rPr>
              <w:t>s</w:t>
            </w:r>
            <w:r>
              <w:rPr>
                <w:noProof/>
                <w:webHidden/>
              </w:rPr>
              <w:tab/>
            </w:r>
            <w:r>
              <w:rPr>
                <w:noProof/>
                <w:webHidden/>
              </w:rPr>
              <w:fldChar w:fldCharType="begin"/>
            </w:r>
            <w:r>
              <w:rPr>
                <w:noProof/>
                <w:webHidden/>
              </w:rPr>
              <w:instrText xml:space="preserve"> PAGEREF _Toc181555332 \h </w:instrText>
            </w:r>
            <w:r>
              <w:rPr>
                <w:noProof/>
                <w:webHidden/>
              </w:rPr>
            </w:r>
            <w:r>
              <w:rPr>
                <w:noProof/>
                <w:webHidden/>
              </w:rPr>
              <w:fldChar w:fldCharType="separate"/>
            </w:r>
            <w:r>
              <w:rPr>
                <w:noProof/>
                <w:webHidden/>
              </w:rPr>
              <w:t>11</w:t>
            </w:r>
            <w:r>
              <w:rPr>
                <w:noProof/>
                <w:webHidden/>
              </w:rPr>
              <w:fldChar w:fldCharType="end"/>
            </w:r>
          </w:hyperlink>
        </w:p>
        <w:p w14:paraId="394E7D57" w14:textId="216AD3B0" w:rsidR="00636D0C" w:rsidRDefault="00636D0C">
          <w:pPr>
            <w:pStyle w:val="TOC2"/>
            <w:tabs>
              <w:tab w:val="right" w:leader="dot" w:pos="9350"/>
            </w:tabs>
            <w:rPr>
              <w:noProof/>
            </w:rPr>
          </w:pPr>
          <w:hyperlink w:anchor="_Toc181555333" w:history="1">
            <w:r w:rsidRPr="00E749DD">
              <w:rPr>
                <w:rStyle w:val="Hyperlink"/>
                <w:noProof/>
              </w:rPr>
              <w:t>Leadership Styles in Change Management</w:t>
            </w:r>
            <w:r>
              <w:rPr>
                <w:noProof/>
                <w:webHidden/>
              </w:rPr>
              <w:tab/>
            </w:r>
            <w:r>
              <w:rPr>
                <w:noProof/>
                <w:webHidden/>
              </w:rPr>
              <w:fldChar w:fldCharType="begin"/>
            </w:r>
            <w:r>
              <w:rPr>
                <w:noProof/>
                <w:webHidden/>
              </w:rPr>
              <w:instrText xml:space="preserve"> PAGEREF _Toc181555333 \h </w:instrText>
            </w:r>
            <w:r>
              <w:rPr>
                <w:noProof/>
                <w:webHidden/>
              </w:rPr>
            </w:r>
            <w:r>
              <w:rPr>
                <w:noProof/>
                <w:webHidden/>
              </w:rPr>
              <w:fldChar w:fldCharType="separate"/>
            </w:r>
            <w:r>
              <w:rPr>
                <w:noProof/>
                <w:webHidden/>
              </w:rPr>
              <w:t>12</w:t>
            </w:r>
            <w:r>
              <w:rPr>
                <w:noProof/>
                <w:webHidden/>
              </w:rPr>
              <w:fldChar w:fldCharType="end"/>
            </w:r>
          </w:hyperlink>
        </w:p>
        <w:p w14:paraId="132B3419" w14:textId="724FE3F1" w:rsidR="00636D0C" w:rsidRDefault="00636D0C">
          <w:pPr>
            <w:pStyle w:val="TOC1"/>
            <w:tabs>
              <w:tab w:val="right" w:leader="dot" w:pos="9350"/>
            </w:tabs>
            <w:rPr>
              <w:noProof/>
            </w:rPr>
          </w:pPr>
          <w:hyperlink w:anchor="_Toc181555334" w:history="1">
            <w:r w:rsidRPr="00E749DD">
              <w:rPr>
                <w:rStyle w:val="Hyperlink"/>
                <w:noProof/>
              </w:rPr>
              <w:t>Impacts of Organisational Culture in Change Management</w:t>
            </w:r>
            <w:r>
              <w:rPr>
                <w:noProof/>
                <w:webHidden/>
              </w:rPr>
              <w:tab/>
            </w:r>
            <w:r>
              <w:rPr>
                <w:noProof/>
                <w:webHidden/>
              </w:rPr>
              <w:fldChar w:fldCharType="begin"/>
            </w:r>
            <w:r>
              <w:rPr>
                <w:noProof/>
                <w:webHidden/>
              </w:rPr>
              <w:instrText xml:space="preserve"> PAGEREF _Toc181555334 \h </w:instrText>
            </w:r>
            <w:r>
              <w:rPr>
                <w:noProof/>
                <w:webHidden/>
              </w:rPr>
            </w:r>
            <w:r>
              <w:rPr>
                <w:noProof/>
                <w:webHidden/>
              </w:rPr>
              <w:fldChar w:fldCharType="separate"/>
            </w:r>
            <w:r>
              <w:rPr>
                <w:noProof/>
                <w:webHidden/>
              </w:rPr>
              <w:t>13</w:t>
            </w:r>
            <w:r>
              <w:rPr>
                <w:noProof/>
                <w:webHidden/>
              </w:rPr>
              <w:fldChar w:fldCharType="end"/>
            </w:r>
          </w:hyperlink>
        </w:p>
        <w:p w14:paraId="7B7A4D1D" w14:textId="3BE90F66" w:rsidR="00636D0C" w:rsidRDefault="00636D0C">
          <w:pPr>
            <w:pStyle w:val="TOC2"/>
            <w:tabs>
              <w:tab w:val="right" w:leader="dot" w:pos="9350"/>
            </w:tabs>
            <w:rPr>
              <w:noProof/>
            </w:rPr>
          </w:pPr>
          <w:hyperlink w:anchor="_Toc181555335" w:history="1">
            <w:r w:rsidRPr="00E749DD">
              <w:rPr>
                <w:rStyle w:val="Hyperlink"/>
                <w:noProof/>
              </w:rPr>
              <w:t>Organisational Culture in Barclays</w:t>
            </w:r>
            <w:r>
              <w:rPr>
                <w:noProof/>
                <w:webHidden/>
              </w:rPr>
              <w:tab/>
            </w:r>
            <w:r>
              <w:rPr>
                <w:noProof/>
                <w:webHidden/>
              </w:rPr>
              <w:fldChar w:fldCharType="begin"/>
            </w:r>
            <w:r>
              <w:rPr>
                <w:noProof/>
                <w:webHidden/>
              </w:rPr>
              <w:instrText xml:space="preserve"> PAGEREF _Toc181555335 \h </w:instrText>
            </w:r>
            <w:r>
              <w:rPr>
                <w:noProof/>
                <w:webHidden/>
              </w:rPr>
            </w:r>
            <w:r>
              <w:rPr>
                <w:noProof/>
                <w:webHidden/>
              </w:rPr>
              <w:fldChar w:fldCharType="separate"/>
            </w:r>
            <w:r>
              <w:rPr>
                <w:noProof/>
                <w:webHidden/>
              </w:rPr>
              <w:t>13</w:t>
            </w:r>
            <w:r>
              <w:rPr>
                <w:noProof/>
                <w:webHidden/>
              </w:rPr>
              <w:fldChar w:fldCharType="end"/>
            </w:r>
          </w:hyperlink>
        </w:p>
        <w:p w14:paraId="1DED4DEB" w14:textId="4DA28C6C" w:rsidR="00636D0C" w:rsidRDefault="00636D0C">
          <w:pPr>
            <w:pStyle w:val="TOC2"/>
            <w:tabs>
              <w:tab w:val="right" w:leader="dot" w:pos="9350"/>
            </w:tabs>
            <w:rPr>
              <w:noProof/>
            </w:rPr>
          </w:pPr>
          <w:hyperlink w:anchor="_Toc181555336" w:history="1">
            <w:r w:rsidRPr="00E749DD">
              <w:rPr>
                <w:rStyle w:val="Hyperlink"/>
                <w:noProof/>
              </w:rPr>
              <w:t>Culture as Enabler and Barriers to Change</w:t>
            </w:r>
            <w:r>
              <w:rPr>
                <w:noProof/>
                <w:webHidden/>
              </w:rPr>
              <w:tab/>
            </w:r>
            <w:r>
              <w:rPr>
                <w:noProof/>
                <w:webHidden/>
              </w:rPr>
              <w:fldChar w:fldCharType="begin"/>
            </w:r>
            <w:r>
              <w:rPr>
                <w:noProof/>
                <w:webHidden/>
              </w:rPr>
              <w:instrText xml:space="preserve"> PAGEREF _Toc181555336 \h </w:instrText>
            </w:r>
            <w:r>
              <w:rPr>
                <w:noProof/>
                <w:webHidden/>
              </w:rPr>
            </w:r>
            <w:r>
              <w:rPr>
                <w:noProof/>
                <w:webHidden/>
              </w:rPr>
              <w:fldChar w:fldCharType="separate"/>
            </w:r>
            <w:r>
              <w:rPr>
                <w:noProof/>
                <w:webHidden/>
              </w:rPr>
              <w:t>13</w:t>
            </w:r>
            <w:r>
              <w:rPr>
                <w:noProof/>
                <w:webHidden/>
              </w:rPr>
              <w:fldChar w:fldCharType="end"/>
            </w:r>
          </w:hyperlink>
        </w:p>
        <w:p w14:paraId="33D2F7EE" w14:textId="486668D2" w:rsidR="00636D0C" w:rsidRDefault="00636D0C">
          <w:pPr>
            <w:pStyle w:val="TOC1"/>
            <w:tabs>
              <w:tab w:val="right" w:leader="dot" w:pos="9350"/>
            </w:tabs>
            <w:rPr>
              <w:noProof/>
            </w:rPr>
          </w:pPr>
          <w:hyperlink w:anchor="_Toc181555337" w:history="1">
            <w:r w:rsidRPr="00E749DD">
              <w:rPr>
                <w:rStyle w:val="Hyperlink"/>
                <w:noProof/>
              </w:rPr>
              <w:t>Proposed Change Management Plan</w:t>
            </w:r>
            <w:r>
              <w:rPr>
                <w:noProof/>
                <w:webHidden/>
              </w:rPr>
              <w:tab/>
            </w:r>
            <w:r>
              <w:rPr>
                <w:noProof/>
                <w:webHidden/>
              </w:rPr>
              <w:fldChar w:fldCharType="begin"/>
            </w:r>
            <w:r>
              <w:rPr>
                <w:noProof/>
                <w:webHidden/>
              </w:rPr>
              <w:instrText xml:space="preserve"> PAGEREF _Toc181555337 \h </w:instrText>
            </w:r>
            <w:r>
              <w:rPr>
                <w:noProof/>
                <w:webHidden/>
              </w:rPr>
            </w:r>
            <w:r>
              <w:rPr>
                <w:noProof/>
                <w:webHidden/>
              </w:rPr>
              <w:fldChar w:fldCharType="separate"/>
            </w:r>
            <w:r>
              <w:rPr>
                <w:noProof/>
                <w:webHidden/>
              </w:rPr>
              <w:t>17</w:t>
            </w:r>
            <w:r>
              <w:rPr>
                <w:noProof/>
                <w:webHidden/>
              </w:rPr>
              <w:fldChar w:fldCharType="end"/>
            </w:r>
          </w:hyperlink>
        </w:p>
        <w:p w14:paraId="3F7E2AD8" w14:textId="2810F5E6" w:rsidR="00636D0C" w:rsidRDefault="00636D0C">
          <w:pPr>
            <w:pStyle w:val="TOC2"/>
            <w:tabs>
              <w:tab w:val="right" w:leader="dot" w:pos="9350"/>
            </w:tabs>
            <w:rPr>
              <w:noProof/>
            </w:rPr>
          </w:pPr>
          <w:hyperlink w:anchor="_Toc181555338" w:history="1">
            <w:r w:rsidRPr="00E749DD">
              <w:rPr>
                <w:rStyle w:val="Hyperlink"/>
                <w:noProof/>
              </w:rPr>
              <w:t>Proposed Change</w:t>
            </w:r>
            <w:r>
              <w:rPr>
                <w:noProof/>
                <w:webHidden/>
              </w:rPr>
              <w:tab/>
            </w:r>
            <w:r>
              <w:rPr>
                <w:noProof/>
                <w:webHidden/>
              </w:rPr>
              <w:fldChar w:fldCharType="begin"/>
            </w:r>
            <w:r>
              <w:rPr>
                <w:noProof/>
                <w:webHidden/>
              </w:rPr>
              <w:instrText xml:space="preserve"> PAGEREF _Toc181555338 \h </w:instrText>
            </w:r>
            <w:r>
              <w:rPr>
                <w:noProof/>
                <w:webHidden/>
              </w:rPr>
            </w:r>
            <w:r>
              <w:rPr>
                <w:noProof/>
                <w:webHidden/>
              </w:rPr>
              <w:fldChar w:fldCharType="separate"/>
            </w:r>
            <w:r>
              <w:rPr>
                <w:noProof/>
                <w:webHidden/>
              </w:rPr>
              <w:t>17</w:t>
            </w:r>
            <w:r>
              <w:rPr>
                <w:noProof/>
                <w:webHidden/>
              </w:rPr>
              <w:fldChar w:fldCharType="end"/>
            </w:r>
          </w:hyperlink>
        </w:p>
        <w:p w14:paraId="663E81F3" w14:textId="7E5D92AB" w:rsidR="00636D0C" w:rsidRDefault="00636D0C">
          <w:pPr>
            <w:pStyle w:val="TOC2"/>
            <w:tabs>
              <w:tab w:val="right" w:leader="dot" w:pos="9350"/>
            </w:tabs>
            <w:rPr>
              <w:noProof/>
            </w:rPr>
          </w:pPr>
          <w:hyperlink w:anchor="_Toc181555339" w:history="1">
            <w:r w:rsidRPr="00E749DD">
              <w:rPr>
                <w:rStyle w:val="Hyperlink"/>
                <w:noProof/>
              </w:rPr>
              <w:t>Financial Plan</w:t>
            </w:r>
            <w:r>
              <w:rPr>
                <w:noProof/>
                <w:webHidden/>
              </w:rPr>
              <w:tab/>
            </w:r>
            <w:r>
              <w:rPr>
                <w:noProof/>
                <w:webHidden/>
              </w:rPr>
              <w:fldChar w:fldCharType="begin"/>
            </w:r>
            <w:r>
              <w:rPr>
                <w:noProof/>
                <w:webHidden/>
              </w:rPr>
              <w:instrText xml:space="preserve"> PAGEREF _Toc181555339 \h </w:instrText>
            </w:r>
            <w:r>
              <w:rPr>
                <w:noProof/>
                <w:webHidden/>
              </w:rPr>
            </w:r>
            <w:r>
              <w:rPr>
                <w:noProof/>
                <w:webHidden/>
              </w:rPr>
              <w:fldChar w:fldCharType="separate"/>
            </w:r>
            <w:r>
              <w:rPr>
                <w:noProof/>
                <w:webHidden/>
              </w:rPr>
              <w:t>17</w:t>
            </w:r>
            <w:r>
              <w:rPr>
                <w:noProof/>
                <w:webHidden/>
              </w:rPr>
              <w:fldChar w:fldCharType="end"/>
            </w:r>
          </w:hyperlink>
        </w:p>
        <w:p w14:paraId="070C2D2F" w14:textId="2C860B81" w:rsidR="00636D0C" w:rsidRDefault="00636D0C">
          <w:pPr>
            <w:pStyle w:val="TOC2"/>
            <w:tabs>
              <w:tab w:val="right" w:leader="dot" w:pos="9350"/>
            </w:tabs>
            <w:rPr>
              <w:noProof/>
            </w:rPr>
          </w:pPr>
          <w:hyperlink w:anchor="_Toc181555340" w:history="1">
            <w:r w:rsidRPr="00E749DD">
              <w:rPr>
                <w:rStyle w:val="Hyperlink"/>
                <w:noProof/>
              </w:rPr>
              <w:t>Communication Plan</w:t>
            </w:r>
            <w:r>
              <w:rPr>
                <w:noProof/>
                <w:webHidden/>
              </w:rPr>
              <w:tab/>
            </w:r>
            <w:r>
              <w:rPr>
                <w:noProof/>
                <w:webHidden/>
              </w:rPr>
              <w:fldChar w:fldCharType="begin"/>
            </w:r>
            <w:r>
              <w:rPr>
                <w:noProof/>
                <w:webHidden/>
              </w:rPr>
              <w:instrText xml:space="preserve"> PAGEREF _Toc181555340 \h </w:instrText>
            </w:r>
            <w:r>
              <w:rPr>
                <w:noProof/>
                <w:webHidden/>
              </w:rPr>
            </w:r>
            <w:r>
              <w:rPr>
                <w:noProof/>
                <w:webHidden/>
              </w:rPr>
              <w:fldChar w:fldCharType="separate"/>
            </w:r>
            <w:r>
              <w:rPr>
                <w:noProof/>
                <w:webHidden/>
              </w:rPr>
              <w:t>18</w:t>
            </w:r>
            <w:r>
              <w:rPr>
                <w:noProof/>
                <w:webHidden/>
              </w:rPr>
              <w:fldChar w:fldCharType="end"/>
            </w:r>
          </w:hyperlink>
        </w:p>
        <w:p w14:paraId="792E18BF" w14:textId="3446E832" w:rsidR="00636D0C" w:rsidRDefault="00636D0C">
          <w:pPr>
            <w:pStyle w:val="TOC2"/>
            <w:tabs>
              <w:tab w:val="right" w:leader="dot" w:pos="9350"/>
            </w:tabs>
            <w:rPr>
              <w:noProof/>
            </w:rPr>
          </w:pPr>
          <w:hyperlink w:anchor="_Toc181555341" w:history="1">
            <w:r w:rsidRPr="00E749DD">
              <w:rPr>
                <w:rStyle w:val="Hyperlink"/>
                <w:noProof/>
              </w:rPr>
              <w:t>Evaluation Plan</w:t>
            </w:r>
            <w:r>
              <w:rPr>
                <w:noProof/>
                <w:webHidden/>
              </w:rPr>
              <w:tab/>
            </w:r>
            <w:r>
              <w:rPr>
                <w:noProof/>
                <w:webHidden/>
              </w:rPr>
              <w:fldChar w:fldCharType="begin"/>
            </w:r>
            <w:r>
              <w:rPr>
                <w:noProof/>
                <w:webHidden/>
              </w:rPr>
              <w:instrText xml:space="preserve"> PAGEREF _Toc181555341 \h </w:instrText>
            </w:r>
            <w:r>
              <w:rPr>
                <w:noProof/>
                <w:webHidden/>
              </w:rPr>
            </w:r>
            <w:r>
              <w:rPr>
                <w:noProof/>
                <w:webHidden/>
              </w:rPr>
              <w:fldChar w:fldCharType="separate"/>
            </w:r>
            <w:r>
              <w:rPr>
                <w:noProof/>
                <w:webHidden/>
              </w:rPr>
              <w:t>18</w:t>
            </w:r>
            <w:r>
              <w:rPr>
                <w:noProof/>
                <w:webHidden/>
              </w:rPr>
              <w:fldChar w:fldCharType="end"/>
            </w:r>
          </w:hyperlink>
        </w:p>
        <w:p w14:paraId="78784BD2" w14:textId="3B20469C" w:rsidR="00636D0C" w:rsidRDefault="00636D0C">
          <w:pPr>
            <w:pStyle w:val="TOC1"/>
            <w:tabs>
              <w:tab w:val="right" w:leader="dot" w:pos="9350"/>
            </w:tabs>
            <w:rPr>
              <w:noProof/>
            </w:rPr>
          </w:pPr>
          <w:hyperlink w:anchor="_Toc181555342" w:history="1">
            <w:r w:rsidRPr="00E749DD">
              <w:rPr>
                <w:rStyle w:val="Hyperlink"/>
                <w:noProof/>
              </w:rPr>
              <w:t>Conclusion</w:t>
            </w:r>
            <w:r>
              <w:rPr>
                <w:noProof/>
                <w:webHidden/>
              </w:rPr>
              <w:tab/>
            </w:r>
            <w:r>
              <w:rPr>
                <w:noProof/>
                <w:webHidden/>
              </w:rPr>
              <w:fldChar w:fldCharType="begin"/>
            </w:r>
            <w:r>
              <w:rPr>
                <w:noProof/>
                <w:webHidden/>
              </w:rPr>
              <w:instrText xml:space="preserve"> PAGEREF _Toc181555342 \h </w:instrText>
            </w:r>
            <w:r>
              <w:rPr>
                <w:noProof/>
                <w:webHidden/>
              </w:rPr>
            </w:r>
            <w:r>
              <w:rPr>
                <w:noProof/>
                <w:webHidden/>
              </w:rPr>
              <w:fldChar w:fldCharType="separate"/>
            </w:r>
            <w:r>
              <w:rPr>
                <w:noProof/>
                <w:webHidden/>
              </w:rPr>
              <w:t>20</w:t>
            </w:r>
            <w:r>
              <w:rPr>
                <w:noProof/>
                <w:webHidden/>
              </w:rPr>
              <w:fldChar w:fldCharType="end"/>
            </w:r>
          </w:hyperlink>
        </w:p>
        <w:p w14:paraId="3A01C1FB" w14:textId="511FDD3A" w:rsidR="00636D0C" w:rsidRDefault="00636D0C">
          <w:pPr>
            <w:pStyle w:val="TOC1"/>
            <w:tabs>
              <w:tab w:val="right" w:leader="dot" w:pos="9350"/>
            </w:tabs>
            <w:rPr>
              <w:noProof/>
            </w:rPr>
          </w:pPr>
          <w:hyperlink w:anchor="_Toc181555343" w:history="1">
            <w:r w:rsidRPr="00E749DD">
              <w:rPr>
                <w:rStyle w:val="Hyperlink"/>
                <w:noProof/>
              </w:rPr>
              <w:t>References</w:t>
            </w:r>
            <w:r>
              <w:rPr>
                <w:noProof/>
                <w:webHidden/>
              </w:rPr>
              <w:tab/>
            </w:r>
            <w:r>
              <w:rPr>
                <w:noProof/>
                <w:webHidden/>
              </w:rPr>
              <w:fldChar w:fldCharType="begin"/>
            </w:r>
            <w:r>
              <w:rPr>
                <w:noProof/>
                <w:webHidden/>
              </w:rPr>
              <w:instrText xml:space="preserve"> PAGEREF _Toc181555343 \h </w:instrText>
            </w:r>
            <w:r>
              <w:rPr>
                <w:noProof/>
                <w:webHidden/>
              </w:rPr>
            </w:r>
            <w:r>
              <w:rPr>
                <w:noProof/>
                <w:webHidden/>
              </w:rPr>
              <w:fldChar w:fldCharType="separate"/>
            </w:r>
            <w:r>
              <w:rPr>
                <w:noProof/>
                <w:webHidden/>
              </w:rPr>
              <w:t>21</w:t>
            </w:r>
            <w:r>
              <w:rPr>
                <w:noProof/>
                <w:webHidden/>
              </w:rPr>
              <w:fldChar w:fldCharType="end"/>
            </w:r>
          </w:hyperlink>
        </w:p>
        <w:p w14:paraId="7C2217C3" w14:textId="4E76CAB1" w:rsidR="00636D0C" w:rsidRDefault="00636D0C">
          <w:r>
            <w:rPr>
              <w:b/>
              <w:bCs/>
              <w:noProof/>
            </w:rPr>
            <w:fldChar w:fldCharType="end"/>
          </w:r>
        </w:p>
      </w:sdtContent>
    </w:sdt>
    <w:p w14:paraId="0C85906E" w14:textId="77777777" w:rsidR="00636D0C" w:rsidRDefault="00636D0C">
      <w:pPr>
        <w:spacing w:line="259" w:lineRule="auto"/>
        <w:jc w:val="left"/>
        <w:rPr>
          <w:rFonts w:eastAsiaTheme="majorEastAsia" w:cstheme="majorBidi"/>
          <w:b/>
          <w:sz w:val="30"/>
          <w:szCs w:val="32"/>
          <w:lang w:val="en-US"/>
        </w:rPr>
      </w:pPr>
      <w:r>
        <w:br w:type="page"/>
      </w:r>
    </w:p>
    <w:p w14:paraId="64EF2E05" w14:textId="4AB49359" w:rsidR="004067B7" w:rsidRPr="00737AEC" w:rsidRDefault="00A31DC6" w:rsidP="00330DB1">
      <w:pPr>
        <w:pStyle w:val="Heading1"/>
        <w:rPr>
          <w:rFonts w:ascii="Arial" w:hAnsi="Arial" w:cs="Arial"/>
        </w:rPr>
      </w:pPr>
      <w:bookmarkStart w:id="0" w:name="_Toc181555325"/>
      <w:r w:rsidRPr="00737AEC">
        <w:rPr>
          <w:rFonts w:ascii="Arial" w:hAnsi="Arial" w:cs="Arial"/>
        </w:rPr>
        <w:lastRenderedPageBreak/>
        <w:t>Introduction</w:t>
      </w:r>
      <w:bookmarkEnd w:id="0"/>
    </w:p>
    <w:p w14:paraId="6E6B4669" w14:textId="47C8BCBF" w:rsidR="00A31DC6" w:rsidRPr="00737AEC" w:rsidRDefault="00B92A7B" w:rsidP="00330DB1">
      <w:pPr>
        <w:rPr>
          <w:rFonts w:ascii="Arial" w:hAnsi="Arial" w:cs="Arial"/>
          <w:lang w:val="en-US"/>
        </w:rPr>
      </w:pPr>
      <w:r w:rsidRPr="00737AEC">
        <w:rPr>
          <w:rFonts w:ascii="Arial" w:hAnsi="Arial" w:cs="Arial"/>
          <w:lang w:val="en-US"/>
        </w:rPr>
        <w:t xml:space="preserve">The report examines a change management approach through which Barclays can boost its competitive position and offer improved customer experience by advancing digital features. Barclays has exhibited significant advances in the sector of digital at the same time, the </w:t>
      </w:r>
      <w:proofErr w:type="spellStart"/>
      <w:r w:rsidRPr="00737AEC">
        <w:rPr>
          <w:rFonts w:ascii="Arial" w:hAnsi="Arial" w:cs="Arial"/>
          <w:lang w:val="en-US"/>
        </w:rPr>
        <w:t>organi</w:t>
      </w:r>
      <w:r w:rsidR="00AD3914" w:rsidRPr="00737AEC">
        <w:rPr>
          <w:rFonts w:ascii="Arial" w:hAnsi="Arial" w:cs="Arial"/>
          <w:lang w:val="en-US"/>
        </w:rPr>
        <w:t>sation</w:t>
      </w:r>
      <w:proofErr w:type="spellEnd"/>
      <w:r w:rsidRPr="00737AEC">
        <w:rPr>
          <w:rFonts w:ascii="Arial" w:hAnsi="Arial" w:cs="Arial"/>
          <w:lang w:val="en-US"/>
        </w:rPr>
        <w:t xml:space="preserve"> </w:t>
      </w:r>
      <w:proofErr w:type="gramStart"/>
      <w:r w:rsidRPr="00737AEC">
        <w:rPr>
          <w:rFonts w:ascii="Arial" w:hAnsi="Arial" w:cs="Arial"/>
          <w:lang w:val="en-US"/>
        </w:rPr>
        <w:t>has to</w:t>
      </w:r>
      <w:proofErr w:type="gramEnd"/>
      <w:r w:rsidRPr="00737AEC">
        <w:rPr>
          <w:rFonts w:ascii="Arial" w:hAnsi="Arial" w:cs="Arial"/>
          <w:lang w:val="en-US"/>
        </w:rPr>
        <w:t xml:space="preserve"> face issues which are associated with bureaucracy, </w:t>
      </w:r>
      <w:proofErr w:type="spellStart"/>
      <w:r w:rsidRPr="00737AEC">
        <w:rPr>
          <w:rFonts w:ascii="Arial" w:hAnsi="Arial" w:cs="Arial"/>
          <w:lang w:val="en-US"/>
        </w:rPr>
        <w:t>organi</w:t>
      </w:r>
      <w:r w:rsidR="00AD3914" w:rsidRPr="00737AEC">
        <w:rPr>
          <w:rFonts w:ascii="Arial" w:hAnsi="Arial" w:cs="Arial"/>
          <w:lang w:val="en-US"/>
        </w:rPr>
        <w:t>sation</w:t>
      </w:r>
      <w:r w:rsidRPr="00737AEC">
        <w:rPr>
          <w:rFonts w:ascii="Arial" w:hAnsi="Arial" w:cs="Arial"/>
          <w:lang w:val="en-US"/>
        </w:rPr>
        <w:t>al</w:t>
      </w:r>
      <w:proofErr w:type="spellEnd"/>
      <w:r w:rsidRPr="00737AEC">
        <w:rPr>
          <w:rFonts w:ascii="Arial" w:hAnsi="Arial" w:cs="Arial"/>
          <w:lang w:val="en-US"/>
        </w:rPr>
        <w:t xml:space="preserve"> culture and technological complexity. Hence, the expectations of the consumer in the digital space are very high and Barclays must adopt a change plan that will help to transform the business and to fully integrate digital technologies. They start the report on the company by looking at the current position of Barclays and the trends that have been observed over the recent past, and the influence of the external factors such as the changing landscape in financial regulations and the trend of advancement in technologies. It then discusses a critical analysis of change management models appropriate for Barclays as well as the role of culture in change. The last part outlines a specific change management plan, including financial, communication, and evaluation strategies likely to overcome the mentioned issues to enable Barclays to manage change and sustain its growth in a competitive environment.</w:t>
      </w:r>
      <w:r w:rsidR="00A31DC6" w:rsidRPr="00737AEC">
        <w:rPr>
          <w:rFonts w:ascii="Arial" w:hAnsi="Arial" w:cs="Arial"/>
          <w:lang w:val="en-US"/>
        </w:rPr>
        <w:br w:type="page"/>
      </w:r>
    </w:p>
    <w:p w14:paraId="52ABC015" w14:textId="233760C5" w:rsidR="00A31DC6" w:rsidRPr="00737AEC" w:rsidRDefault="00A31DC6" w:rsidP="00330DB1">
      <w:pPr>
        <w:pStyle w:val="Heading1"/>
        <w:rPr>
          <w:rFonts w:ascii="Arial" w:hAnsi="Arial" w:cs="Arial"/>
        </w:rPr>
      </w:pPr>
      <w:bookmarkStart w:id="1" w:name="_Toc181555326"/>
      <w:r w:rsidRPr="00737AEC">
        <w:rPr>
          <w:rFonts w:ascii="Arial" w:hAnsi="Arial" w:cs="Arial"/>
        </w:rPr>
        <w:lastRenderedPageBreak/>
        <w:t>Brief Overview of the Company</w:t>
      </w:r>
      <w:bookmarkEnd w:id="1"/>
    </w:p>
    <w:p w14:paraId="46A917FE" w14:textId="2A1E5654" w:rsidR="0098245D" w:rsidRPr="00737AEC" w:rsidRDefault="0098245D" w:rsidP="00330DB1">
      <w:pPr>
        <w:rPr>
          <w:rFonts w:ascii="Arial" w:hAnsi="Arial" w:cs="Arial"/>
          <w:lang w:val="en-US"/>
        </w:rPr>
      </w:pPr>
      <w:r w:rsidRPr="00737AEC">
        <w:rPr>
          <w:rFonts w:ascii="Arial" w:hAnsi="Arial" w:cs="Arial"/>
          <w:lang w:val="en-US"/>
        </w:rPr>
        <w:t xml:space="preserve">UK’s largest multinational bank, Barclays has a good influence on the financial service sector. The Barclays financial service delivery encompasses; retail banking, investment banking, wealth management, corporate &amp; business banking among </w:t>
      </w:r>
      <w:r w:rsidR="00B856CC" w:rsidRPr="00737AEC">
        <w:rPr>
          <w:rFonts w:ascii="Arial" w:hAnsi="Arial" w:cs="Arial"/>
          <w:lang w:val="en-US"/>
        </w:rPr>
        <w:t>other</w:t>
      </w:r>
      <w:r w:rsidRPr="00737AEC">
        <w:rPr>
          <w:rFonts w:ascii="Arial" w:hAnsi="Arial" w:cs="Arial"/>
          <w:lang w:val="en-US"/>
        </w:rPr>
        <w:t xml:space="preserve"> clients are across the world. To sustain the quality services rendered and remain relevant in the market, the bank has tried to adopt the core values of </w:t>
      </w:r>
      <w:proofErr w:type="spellStart"/>
      <w:r w:rsidRPr="00737AEC">
        <w:rPr>
          <w:rFonts w:ascii="Arial" w:hAnsi="Arial" w:cs="Arial"/>
          <w:lang w:val="en-US"/>
        </w:rPr>
        <w:t>digitali</w:t>
      </w:r>
      <w:r w:rsidR="00AD3914" w:rsidRPr="00737AEC">
        <w:rPr>
          <w:rFonts w:ascii="Arial" w:hAnsi="Arial" w:cs="Arial"/>
          <w:lang w:val="en-US"/>
        </w:rPr>
        <w:t>sation</w:t>
      </w:r>
      <w:proofErr w:type="spellEnd"/>
      <w:r w:rsidRPr="00737AEC">
        <w:rPr>
          <w:rFonts w:ascii="Arial" w:hAnsi="Arial" w:cs="Arial"/>
          <w:lang w:val="en-US"/>
        </w:rPr>
        <w:t xml:space="preserve">. For instance, it can expand on mobile banking for its consumers, </w:t>
      </w:r>
      <w:r w:rsidR="00B856CC" w:rsidRPr="00737AEC">
        <w:rPr>
          <w:rFonts w:ascii="Arial" w:hAnsi="Arial" w:cs="Arial"/>
          <w:lang w:val="en-US"/>
        </w:rPr>
        <w:t>and</w:t>
      </w:r>
      <w:r w:rsidRPr="00737AEC">
        <w:rPr>
          <w:rFonts w:ascii="Arial" w:hAnsi="Arial" w:cs="Arial"/>
          <w:lang w:val="en-US"/>
        </w:rPr>
        <w:t xml:space="preserve"> improvements in digital cash solutions which enable Barclays to address its customers’ needs and fit into the new age digital trends.</w:t>
      </w:r>
    </w:p>
    <w:p w14:paraId="6A8FFA3F" w14:textId="03212A87" w:rsidR="00862DFF" w:rsidRPr="00737AEC" w:rsidRDefault="00862DFF" w:rsidP="00330DB1">
      <w:pPr>
        <w:jc w:val="center"/>
        <w:rPr>
          <w:rFonts w:ascii="Arial" w:hAnsi="Arial" w:cs="Arial"/>
          <w:lang w:val="en-US"/>
        </w:rPr>
      </w:pPr>
      <w:r w:rsidRPr="00737AEC">
        <w:rPr>
          <w:rFonts w:ascii="Arial" w:hAnsi="Arial" w:cs="Arial"/>
          <w:noProof/>
        </w:rPr>
        <w:drawing>
          <wp:inline distT="0" distB="0" distL="0" distR="0" wp14:anchorId="1702A39B" wp14:editId="72EEFA9B">
            <wp:extent cx="2063750" cy="1160860"/>
            <wp:effectExtent l="0" t="0" r="0" b="1270"/>
            <wp:docPr id="201487305" name="Picture 1" descr="Barclays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rclays Logo, symbol, meaning, history, PNG, br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89917" cy="1175579"/>
                    </a:xfrm>
                    <a:prstGeom prst="rect">
                      <a:avLst/>
                    </a:prstGeom>
                    <a:noFill/>
                    <a:ln>
                      <a:noFill/>
                    </a:ln>
                  </pic:spPr>
                </pic:pic>
              </a:graphicData>
            </a:graphic>
          </wp:inline>
        </w:drawing>
      </w:r>
    </w:p>
    <w:p w14:paraId="07EFD0B2" w14:textId="7C3F457F" w:rsidR="00862DFF" w:rsidRPr="00737AEC" w:rsidRDefault="0051229F" w:rsidP="00330DB1">
      <w:pPr>
        <w:jc w:val="center"/>
        <w:rPr>
          <w:rFonts w:ascii="Arial" w:hAnsi="Arial" w:cs="Arial"/>
          <w:lang w:val="en-US"/>
        </w:rPr>
      </w:pPr>
      <w:r w:rsidRPr="00737AEC">
        <w:rPr>
          <w:rFonts w:ascii="Arial" w:hAnsi="Arial" w:cs="Arial"/>
          <w:lang w:val="en-US"/>
        </w:rPr>
        <w:t xml:space="preserve"> Figure-1: Barclays logo </w:t>
      </w:r>
      <w:r w:rsidR="002A793C" w:rsidRPr="00737AEC">
        <w:rPr>
          <w:rFonts w:ascii="Arial" w:hAnsi="Arial" w:cs="Arial"/>
          <w:lang w:val="en-US"/>
        </w:rPr>
        <w:t>(Barclays Bank PLC, 2023)</w:t>
      </w:r>
    </w:p>
    <w:p w14:paraId="600A49E8" w14:textId="77777777" w:rsidR="0098245D" w:rsidRPr="00737AEC" w:rsidRDefault="0098245D" w:rsidP="00330DB1">
      <w:pPr>
        <w:rPr>
          <w:rFonts w:ascii="Arial" w:hAnsi="Arial" w:cs="Arial"/>
          <w:lang w:val="en-US"/>
        </w:rPr>
      </w:pPr>
      <w:r w:rsidRPr="00737AEC">
        <w:rPr>
          <w:rFonts w:ascii="Arial" w:hAnsi="Arial" w:cs="Arial"/>
          <w:lang w:val="en-US"/>
        </w:rPr>
        <w:t>Nonetheless, Barclays has a list of questions that portray the current state of the company as you will see here below. It is worth bearing in mind that the bank competes in a growing market, which is already saturated with traditional and emerging fintech rivals. Moreover, the requirements of the regulatory bodies – especially those in the UK and EU – challenge the company in multiple areas affecting operation and finances. Also, external factors like inflation are also exhibited to have effect on Barclays’ profitability and its loan portfolio.</w:t>
      </w:r>
    </w:p>
    <w:p w14:paraId="05C232EF" w14:textId="07CDEDED" w:rsidR="0098245D" w:rsidRPr="00737AEC" w:rsidRDefault="0098245D" w:rsidP="00330DB1">
      <w:pPr>
        <w:rPr>
          <w:rFonts w:ascii="Arial" w:hAnsi="Arial" w:cs="Arial"/>
          <w:lang w:val="en-US"/>
        </w:rPr>
      </w:pPr>
      <w:r w:rsidRPr="00737AEC">
        <w:rPr>
          <w:rFonts w:ascii="Arial" w:hAnsi="Arial" w:cs="Arial"/>
          <w:lang w:val="en-US"/>
        </w:rPr>
        <w:t xml:space="preserve">Internally too Barclays has also embarked on some </w:t>
      </w:r>
      <w:proofErr w:type="spellStart"/>
      <w:r w:rsidRPr="00737AEC">
        <w:rPr>
          <w:rFonts w:ascii="Arial" w:hAnsi="Arial" w:cs="Arial"/>
          <w:lang w:val="en-US"/>
        </w:rPr>
        <w:t>reorgani</w:t>
      </w:r>
      <w:r w:rsidR="00AD3914" w:rsidRPr="00737AEC">
        <w:rPr>
          <w:rFonts w:ascii="Arial" w:hAnsi="Arial" w:cs="Arial"/>
          <w:lang w:val="en-US"/>
        </w:rPr>
        <w:t>sation</w:t>
      </w:r>
      <w:proofErr w:type="spellEnd"/>
      <w:r w:rsidRPr="00737AEC">
        <w:rPr>
          <w:rFonts w:ascii="Arial" w:hAnsi="Arial" w:cs="Arial"/>
          <w:lang w:val="en-US"/>
        </w:rPr>
        <w:t xml:space="preserve"> efforts in a bid to improving efficiency and cutting on costs</w:t>
      </w:r>
      <w:r w:rsidR="006B7144" w:rsidRPr="00737AEC">
        <w:rPr>
          <w:rFonts w:ascii="Arial" w:hAnsi="Arial" w:cs="Arial"/>
          <w:lang w:val="en-US"/>
        </w:rPr>
        <w:t xml:space="preserve"> (Alvesson, 2015)</w:t>
      </w:r>
      <w:r w:rsidRPr="00737AEC">
        <w:rPr>
          <w:rFonts w:ascii="Arial" w:hAnsi="Arial" w:cs="Arial"/>
          <w:lang w:val="en-US"/>
        </w:rPr>
        <w:t xml:space="preserve">. This pressure for productivity is occurring in the backdrop of a globally uncertain economy; Barclays has had to adapt to this by ensuring there is operational stability. </w:t>
      </w:r>
      <w:proofErr w:type="gramStart"/>
      <w:r w:rsidRPr="00737AEC">
        <w:rPr>
          <w:rFonts w:ascii="Arial" w:hAnsi="Arial" w:cs="Arial"/>
          <w:lang w:val="en-US"/>
        </w:rPr>
        <w:t>In order to</w:t>
      </w:r>
      <w:proofErr w:type="gramEnd"/>
      <w:r w:rsidRPr="00737AEC">
        <w:rPr>
          <w:rFonts w:ascii="Arial" w:hAnsi="Arial" w:cs="Arial"/>
          <w:lang w:val="en-US"/>
        </w:rPr>
        <w:t xml:space="preserve"> overcome these problems, the bank has gone on with advanced processes of risk management and, at the same time, it has underlined the need for product-oriented approach. In the current environment, Barclays is caught between growth plans and necessary investments in technology, compliance, and business continuity, to be prepared for the intricacies.</w:t>
      </w:r>
    </w:p>
    <w:p w14:paraId="0D0D5B6D" w14:textId="1E23CF10" w:rsidR="00A31DC6" w:rsidRPr="00737AEC" w:rsidRDefault="00A31DC6" w:rsidP="00330DB1">
      <w:pPr>
        <w:rPr>
          <w:rFonts w:ascii="Arial" w:hAnsi="Arial" w:cs="Arial"/>
          <w:lang w:val="en-US"/>
        </w:rPr>
      </w:pPr>
    </w:p>
    <w:p w14:paraId="197525EC" w14:textId="7F109788" w:rsidR="00A31DC6" w:rsidRPr="00737AEC" w:rsidRDefault="00A31DC6" w:rsidP="00330DB1">
      <w:pPr>
        <w:pStyle w:val="Heading1"/>
        <w:rPr>
          <w:rFonts w:ascii="Arial" w:hAnsi="Arial" w:cs="Arial"/>
        </w:rPr>
      </w:pPr>
      <w:bookmarkStart w:id="2" w:name="_Toc181555327"/>
      <w:r w:rsidRPr="00737AEC">
        <w:rPr>
          <w:rFonts w:ascii="Arial" w:hAnsi="Arial" w:cs="Arial"/>
        </w:rPr>
        <w:t>Analysis of Recent History and External Environmen</w:t>
      </w:r>
      <w:r w:rsidR="007A2152" w:rsidRPr="00737AEC">
        <w:rPr>
          <w:rFonts w:ascii="Arial" w:hAnsi="Arial" w:cs="Arial"/>
        </w:rPr>
        <w:t>t</w:t>
      </w:r>
      <w:bookmarkEnd w:id="2"/>
    </w:p>
    <w:p w14:paraId="6AF51D56" w14:textId="77777777" w:rsidR="0098245D" w:rsidRPr="00737AEC" w:rsidRDefault="0098245D" w:rsidP="00330DB1">
      <w:pPr>
        <w:pStyle w:val="Heading2"/>
        <w:rPr>
          <w:rFonts w:ascii="Arial" w:hAnsi="Arial" w:cs="Arial"/>
        </w:rPr>
      </w:pPr>
      <w:bookmarkStart w:id="3" w:name="_Toc181555328"/>
      <w:r w:rsidRPr="00737AEC">
        <w:rPr>
          <w:rFonts w:ascii="Arial" w:hAnsi="Arial" w:cs="Arial"/>
        </w:rPr>
        <w:t>Recent History of Barclays</w:t>
      </w:r>
      <w:bookmarkEnd w:id="3"/>
      <w:r w:rsidRPr="00737AEC">
        <w:rPr>
          <w:rFonts w:ascii="Arial" w:hAnsi="Arial" w:cs="Arial"/>
        </w:rPr>
        <w:t xml:space="preserve"> </w:t>
      </w:r>
    </w:p>
    <w:p w14:paraId="06E54C1F" w14:textId="332953B9" w:rsidR="0098245D" w:rsidRPr="00737AEC" w:rsidRDefault="0098245D" w:rsidP="00330DB1">
      <w:pPr>
        <w:rPr>
          <w:rFonts w:ascii="Arial" w:hAnsi="Arial" w:cs="Arial"/>
        </w:rPr>
      </w:pPr>
      <w:r w:rsidRPr="00737AEC">
        <w:rPr>
          <w:rFonts w:ascii="Arial" w:hAnsi="Arial" w:cs="Arial"/>
        </w:rPr>
        <w:t>In the recent past, Barclays has been undertaking several strategic objectives to enhance its competitiveness in the market and respond to new threats. Acknowledging the escalating customer interest in alternative banking delivery channels, Barclays has embraced the digital transformation agenda as a strategic priority to sustainably satisfy the interest while optimi</w:t>
      </w:r>
      <w:r w:rsidR="00912ACB" w:rsidRPr="00737AEC">
        <w:rPr>
          <w:rFonts w:ascii="Arial" w:hAnsi="Arial" w:cs="Arial"/>
        </w:rPr>
        <w:t>s</w:t>
      </w:r>
      <w:r w:rsidRPr="00737AEC">
        <w:rPr>
          <w:rFonts w:ascii="Arial" w:hAnsi="Arial" w:cs="Arial"/>
        </w:rPr>
        <w:t>ing efficiency</w:t>
      </w:r>
      <w:r w:rsidR="009B0318" w:rsidRPr="00737AEC">
        <w:rPr>
          <w:rFonts w:ascii="Arial" w:hAnsi="Arial" w:cs="Arial"/>
        </w:rPr>
        <w:t xml:space="preserve"> (</w:t>
      </w:r>
      <w:proofErr w:type="spellStart"/>
      <w:r w:rsidR="009B0318" w:rsidRPr="00737AEC">
        <w:rPr>
          <w:rFonts w:ascii="Arial" w:hAnsi="Arial" w:cs="Arial"/>
          <w:lang w:val="en-US"/>
        </w:rPr>
        <w:t>Armenakis</w:t>
      </w:r>
      <w:proofErr w:type="spellEnd"/>
      <w:r w:rsidR="009B0318" w:rsidRPr="00737AEC">
        <w:rPr>
          <w:rFonts w:ascii="Arial" w:hAnsi="Arial" w:cs="Arial"/>
          <w:lang w:val="en-US"/>
        </w:rPr>
        <w:t>, 2009)</w:t>
      </w:r>
      <w:r w:rsidRPr="00737AEC">
        <w:rPr>
          <w:rFonts w:ascii="Arial" w:hAnsi="Arial" w:cs="Arial"/>
        </w:rPr>
        <w:t>. For instance, considerable advances have been made at the Bank in developing mobile application and online platforms for all-round services by catering for the growing group of technology-savvy customers and consequently placing the Bank strategically in an expanding and highly technological financial sector.</w:t>
      </w:r>
    </w:p>
    <w:p w14:paraId="25A5E441" w14:textId="6B862E60" w:rsidR="0098245D" w:rsidRPr="00737AEC" w:rsidRDefault="0098245D" w:rsidP="00330DB1">
      <w:pPr>
        <w:rPr>
          <w:rFonts w:ascii="Arial" w:hAnsi="Arial" w:cs="Arial"/>
        </w:rPr>
      </w:pPr>
      <w:r w:rsidRPr="00737AEC">
        <w:rPr>
          <w:rFonts w:ascii="Arial" w:hAnsi="Arial" w:cs="Arial"/>
        </w:rPr>
        <w:t xml:space="preserve">However, Barclays has also been faced by significant scandals and pull back in its financial performance. In mid-2012, the bank became involved in one of the biggest scandals of recent years – manipulation of the LIBOR interest rate, which brought the bank </w:t>
      </w:r>
      <w:proofErr w:type="gramStart"/>
      <w:r w:rsidRPr="00737AEC">
        <w:rPr>
          <w:rFonts w:ascii="Arial" w:hAnsi="Arial" w:cs="Arial"/>
        </w:rPr>
        <w:t>a number of</w:t>
      </w:r>
      <w:proofErr w:type="gramEnd"/>
      <w:r w:rsidRPr="00737AEC">
        <w:rPr>
          <w:rFonts w:ascii="Arial" w:hAnsi="Arial" w:cs="Arial"/>
        </w:rPr>
        <w:t xml:space="preserve"> fines and seriously affected its reputation. This meant calling for additional internal controls and of course, increased organi</w:t>
      </w:r>
      <w:r w:rsidR="00AD3914" w:rsidRPr="00737AEC">
        <w:rPr>
          <w:rFonts w:ascii="Arial" w:hAnsi="Arial" w:cs="Arial"/>
        </w:rPr>
        <w:t>sation</w:t>
      </w:r>
      <w:r w:rsidRPr="00737AEC">
        <w:rPr>
          <w:rFonts w:ascii="Arial" w:hAnsi="Arial" w:cs="Arial"/>
        </w:rPr>
        <w:t>al transparency. It has sought over the years to recover from the negative publicity through improving the compliance function, strengthening risk governance mechanisms.</w:t>
      </w:r>
    </w:p>
    <w:p w14:paraId="46A63750" w14:textId="18E3CA8F" w:rsidR="0098245D" w:rsidRPr="00737AEC" w:rsidRDefault="0098245D" w:rsidP="00330DB1">
      <w:pPr>
        <w:pStyle w:val="Heading2"/>
        <w:rPr>
          <w:rFonts w:ascii="Arial" w:hAnsi="Arial" w:cs="Arial"/>
        </w:rPr>
      </w:pPr>
      <w:bookmarkStart w:id="4" w:name="_Toc181555329"/>
      <w:r w:rsidRPr="00737AEC">
        <w:rPr>
          <w:rFonts w:ascii="Arial" w:hAnsi="Arial" w:cs="Arial"/>
        </w:rPr>
        <w:lastRenderedPageBreak/>
        <w:t>External Environmental Factors</w:t>
      </w:r>
      <w:bookmarkEnd w:id="4"/>
    </w:p>
    <w:p w14:paraId="779239AB" w14:textId="0E697E10" w:rsidR="00DC6594" w:rsidRPr="00737AEC" w:rsidRDefault="00DC6594" w:rsidP="00330DB1">
      <w:pPr>
        <w:jc w:val="center"/>
        <w:rPr>
          <w:rFonts w:ascii="Arial" w:hAnsi="Arial" w:cs="Arial"/>
          <w:lang w:val="en-US"/>
        </w:rPr>
      </w:pPr>
      <w:r w:rsidRPr="00737AEC">
        <w:rPr>
          <w:rFonts w:ascii="Arial" w:hAnsi="Arial" w:cs="Arial"/>
          <w:noProof/>
          <w:lang w:val="en-US"/>
          <w14:ligatures w14:val="standardContextual"/>
        </w:rPr>
        <w:drawing>
          <wp:inline distT="0" distB="0" distL="0" distR="0" wp14:anchorId="0015D4E1" wp14:editId="5E109AD5">
            <wp:extent cx="3765550" cy="2590800"/>
            <wp:effectExtent l="0" t="0" r="19050" b="0"/>
            <wp:docPr id="32879557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0F67DB7" w14:textId="2F80FD49" w:rsidR="00DC6594" w:rsidRPr="00737AEC" w:rsidRDefault="00DC6594" w:rsidP="00330DB1">
      <w:pPr>
        <w:jc w:val="center"/>
        <w:rPr>
          <w:rFonts w:ascii="Arial" w:hAnsi="Arial" w:cs="Arial"/>
          <w:lang w:val="en-US"/>
        </w:rPr>
      </w:pPr>
      <w:r w:rsidRPr="00737AEC">
        <w:rPr>
          <w:rFonts w:ascii="Arial" w:hAnsi="Arial" w:cs="Arial"/>
          <w:lang w:val="en-US"/>
        </w:rPr>
        <w:t>Figure-</w:t>
      </w:r>
      <w:r w:rsidR="003C503E" w:rsidRPr="00737AEC">
        <w:rPr>
          <w:rFonts w:ascii="Arial" w:hAnsi="Arial" w:cs="Arial"/>
          <w:lang w:val="en-US"/>
        </w:rPr>
        <w:t>2</w:t>
      </w:r>
      <w:r w:rsidRPr="00737AEC">
        <w:rPr>
          <w:rFonts w:ascii="Arial" w:hAnsi="Arial" w:cs="Arial"/>
          <w:lang w:val="en-US"/>
        </w:rPr>
        <w:t xml:space="preserve">: External environmental factors </w:t>
      </w:r>
      <w:r w:rsidR="00B10235" w:rsidRPr="00737AEC">
        <w:rPr>
          <w:rFonts w:ascii="Arial" w:hAnsi="Arial" w:cs="Arial"/>
          <w:lang w:val="en-US"/>
        </w:rPr>
        <w:t>(</w:t>
      </w:r>
      <w:r w:rsidR="009A3E35" w:rsidRPr="00737AEC">
        <w:rPr>
          <w:rFonts w:ascii="Arial" w:hAnsi="Arial" w:cs="Arial"/>
          <w:lang w:val="en-US"/>
        </w:rPr>
        <w:t>Balogun, 2008)</w:t>
      </w:r>
    </w:p>
    <w:p w14:paraId="0101D75C" w14:textId="35C33FD0" w:rsidR="003E7E0E" w:rsidRPr="00737AEC" w:rsidRDefault="003E7E0E" w:rsidP="00330DB1">
      <w:pPr>
        <w:rPr>
          <w:rFonts w:ascii="Arial" w:hAnsi="Arial" w:cs="Arial"/>
          <w:b/>
          <w:bCs/>
          <w:lang w:val="en-US"/>
        </w:rPr>
      </w:pPr>
      <w:r w:rsidRPr="00737AEC">
        <w:rPr>
          <w:rFonts w:ascii="Arial" w:hAnsi="Arial" w:cs="Arial"/>
          <w:b/>
          <w:bCs/>
          <w:lang w:val="en-US"/>
        </w:rPr>
        <w:t>Digital Disruption</w:t>
      </w:r>
    </w:p>
    <w:p w14:paraId="34AE9E01" w14:textId="30478517" w:rsidR="0098245D" w:rsidRPr="00737AEC" w:rsidRDefault="0098245D" w:rsidP="00330DB1">
      <w:pPr>
        <w:rPr>
          <w:rFonts w:ascii="Arial" w:hAnsi="Arial" w:cs="Arial"/>
        </w:rPr>
      </w:pPr>
      <w:r w:rsidRPr="00737AEC">
        <w:rPr>
          <w:rFonts w:ascii="Arial" w:hAnsi="Arial" w:cs="Arial"/>
        </w:rPr>
        <w:t>The enhanced use of digital products has brought about the most significant challenges to banking industries such as Barclays bank. Fintech firms also began to provide simple and inexpensive financial solutions that increase pressure on Barclays to improve its digital presence</w:t>
      </w:r>
      <w:r w:rsidR="00D52AC0" w:rsidRPr="00737AEC">
        <w:rPr>
          <w:rFonts w:ascii="Arial" w:hAnsi="Arial" w:cs="Arial"/>
        </w:rPr>
        <w:t xml:space="preserve"> (</w:t>
      </w:r>
      <w:r w:rsidR="00D52AC0" w:rsidRPr="00737AEC">
        <w:rPr>
          <w:rFonts w:ascii="Arial" w:hAnsi="Arial" w:cs="Arial"/>
          <w:lang w:val="en-US"/>
        </w:rPr>
        <w:t>Beer, 2000)</w:t>
      </w:r>
      <w:r w:rsidRPr="00737AEC">
        <w:rPr>
          <w:rFonts w:ascii="Arial" w:hAnsi="Arial" w:cs="Arial"/>
        </w:rPr>
        <w:t xml:space="preserve">. Traditional banking faces headwinds in the form of new challengers that have targeted new and existing customer base that prefer mobile-first services such as Monzo and </w:t>
      </w:r>
      <w:proofErr w:type="spellStart"/>
      <w:r w:rsidRPr="00737AEC">
        <w:rPr>
          <w:rFonts w:ascii="Arial" w:hAnsi="Arial" w:cs="Arial"/>
        </w:rPr>
        <w:t>Revolut</w:t>
      </w:r>
      <w:proofErr w:type="spellEnd"/>
      <w:r w:rsidRPr="00737AEC">
        <w:rPr>
          <w:rFonts w:ascii="Arial" w:hAnsi="Arial" w:cs="Arial"/>
        </w:rPr>
        <w:t xml:space="preserve"> who are purely mobile apps offering banking and financial services.</w:t>
      </w:r>
    </w:p>
    <w:p w14:paraId="29F05771" w14:textId="6C46C268" w:rsidR="0098245D" w:rsidRPr="00737AEC" w:rsidRDefault="0098245D" w:rsidP="00330DB1">
      <w:pPr>
        <w:rPr>
          <w:rFonts w:ascii="Arial" w:hAnsi="Arial" w:cs="Arial"/>
        </w:rPr>
      </w:pPr>
      <w:r w:rsidRPr="00737AEC">
        <w:rPr>
          <w:rFonts w:ascii="Arial" w:hAnsi="Arial" w:cs="Arial"/>
        </w:rPr>
        <w:t>Thus, it is not surprising that Barclays has focused on increasing the digital services, starting with increasing the functionality of the mobile application and ending with the integration of artificial intelligence in communication with customers. “Barclays Mobile Banking” and “</w:t>
      </w:r>
      <w:proofErr w:type="spellStart"/>
      <w:r w:rsidRPr="00737AEC">
        <w:rPr>
          <w:rFonts w:ascii="Arial" w:hAnsi="Arial" w:cs="Arial"/>
        </w:rPr>
        <w:t>Pingit</w:t>
      </w:r>
      <w:proofErr w:type="spellEnd"/>
      <w:r w:rsidRPr="00737AEC">
        <w:rPr>
          <w:rFonts w:ascii="Arial" w:hAnsi="Arial" w:cs="Arial"/>
        </w:rPr>
        <w:t>” are products that are developed to support banking via smartphone, which corresponds to the tendency of mobile availability. Also, using the AI-based chatbots to solve customer service issues ensures fast results, with less human intermediary.</w:t>
      </w:r>
    </w:p>
    <w:p w14:paraId="27A5B33E" w14:textId="6068B4E5" w:rsidR="0098245D" w:rsidRPr="00737AEC" w:rsidRDefault="00862DD7" w:rsidP="00330DB1">
      <w:pPr>
        <w:rPr>
          <w:rFonts w:ascii="Arial" w:hAnsi="Arial" w:cs="Arial"/>
        </w:rPr>
      </w:pPr>
      <w:r w:rsidRPr="00737AEC">
        <w:rPr>
          <w:rFonts w:ascii="Arial" w:hAnsi="Arial" w:cs="Arial"/>
          <w:b/>
          <w:bCs/>
        </w:rPr>
        <w:t xml:space="preserve">Economic Uncertainty </w:t>
      </w:r>
    </w:p>
    <w:p w14:paraId="2932227E" w14:textId="4859B97A" w:rsidR="00672AFC" w:rsidRPr="00737AEC" w:rsidRDefault="0098245D" w:rsidP="00330DB1">
      <w:pPr>
        <w:rPr>
          <w:rFonts w:ascii="Arial" w:hAnsi="Arial" w:cs="Arial"/>
        </w:rPr>
      </w:pPr>
      <w:r w:rsidRPr="00737AEC">
        <w:rPr>
          <w:rFonts w:ascii="Arial" w:hAnsi="Arial" w:cs="Arial"/>
        </w:rPr>
        <w:lastRenderedPageBreak/>
        <w:t>Interest rate, inflation, GDP growth have significantly influenced Barclays’ performance and its strategic actions</w:t>
      </w:r>
      <w:r w:rsidR="00053D9B" w:rsidRPr="00737AEC">
        <w:rPr>
          <w:rFonts w:ascii="Arial" w:hAnsi="Arial" w:cs="Arial"/>
        </w:rPr>
        <w:t xml:space="preserve"> (</w:t>
      </w:r>
      <w:r w:rsidR="00053D9B" w:rsidRPr="00737AEC">
        <w:rPr>
          <w:rFonts w:ascii="Arial" w:hAnsi="Arial" w:cs="Arial"/>
          <w:lang w:val="en-US"/>
        </w:rPr>
        <w:t>Burnes, 2004)</w:t>
      </w:r>
      <w:r w:rsidRPr="00737AEC">
        <w:rPr>
          <w:rFonts w:ascii="Arial" w:hAnsi="Arial" w:cs="Arial"/>
        </w:rPr>
        <w:t>. Brexit and COVID-19, the two black swan events and economic instability defines the UK’s economy which in t</w:t>
      </w:r>
      <w:r w:rsidR="0010068C" w:rsidRPr="00737AEC">
        <w:rPr>
          <w:rFonts w:ascii="Arial" w:hAnsi="Arial" w:cs="Arial"/>
        </w:rPr>
        <w:t>urn,</w:t>
      </w:r>
      <w:r w:rsidRPr="00737AEC">
        <w:rPr>
          <w:rFonts w:ascii="Arial" w:hAnsi="Arial" w:cs="Arial"/>
        </w:rPr>
        <w:t xml:space="preserve"> defines Barclays risk such </w:t>
      </w:r>
      <w:proofErr w:type="gramStart"/>
      <w:r w:rsidRPr="00737AEC">
        <w:rPr>
          <w:rFonts w:ascii="Arial" w:hAnsi="Arial" w:cs="Arial"/>
        </w:rPr>
        <w:t>as;</w:t>
      </w:r>
      <w:proofErr w:type="gramEnd"/>
      <w:r w:rsidRPr="00737AEC">
        <w:rPr>
          <w:rFonts w:ascii="Arial" w:hAnsi="Arial" w:cs="Arial"/>
        </w:rPr>
        <w:t xml:space="preserve"> Increasing number of rate swings and Consumer sentiments. These have affected the flow of funds to borrowers and deserving investment instruments thus the revenues of </w:t>
      </w:r>
      <w:r w:rsidR="0010068C" w:rsidRPr="00737AEC">
        <w:rPr>
          <w:rFonts w:ascii="Arial" w:hAnsi="Arial" w:cs="Arial"/>
        </w:rPr>
        <w:t>Barclays’</w:t>
      </w:r>
      <w:r w:rsidRPr="00737AEC">
        <w:rPr>
          <w:rFonts w:ascii="Arial" w:hAnsi="Arial" w:cs="Arial"/>
        </w:rPr>
        <w:t xml:space="preserve"> bank.</w:t>
      </w:r>
    </w:p>
    <w:p w14:paraId="4137DBD2" w14:textId="56297311" w:rsidR="00672AFC" w:rsidRPr="00737AEC" w:rsidRDefault="00672AFC" w:rsidP="00330DB1">
      <w:pPr>
        <w:rPr>
          <w:rFonts w:ascii="Arial" w:hAnsi="Arial" w:cs="Arial"/>
        </w:rPr>
      </w:pPr>
      <w:r w:rsidRPr="00737AEC">
        <w:rPr>
          <w:rFonts w:ascii="Arial" w:hAnsi="Arial" w:cs="Arial"/>
        </w:rPr>
        <w:t xml:space="preserve">The issues relating to Covid-19 caused contractual risks to escalate and Barclays had to provide a large amount of provision against loans losses due to their customer and borrowers’ financial stress. Despite efforts by the bank to </w:t>
      </w:r>
      <w:r w:rsidR="00D742FC" w:rsidRPr="00737AEC">
        <w:rPr>
          <w:rFonts w:ascii="Arial" w:hAnsi="Arial" w:cs="Arial"/>
        </w:rPr>
        <w:t>pre-emptively</w:t>
      </w:r>
      <w:r w:rsidRPr="00737AEC">
        <w:rPr>
          <w:rFonts w:ascii="Arial" w:hAnsi="Arial" w:cs="Arial"/>
        </w:rPr>
        <w:t xml:space="preserve"> manage risk hence reducing avoidable losses, the pandemic exposed the banking sectors to macroeconomic shocks. Also, inflation and interest effects have been mixed in terms of the effect on Barclays as discussed </w:t>
      </w:r>
      <w:r w:rsidR="00053D9B" w:rsidRPr="00737AEC">
        <w:rPr>
          <w:rFonts w:ascii="Arial" w:hAnsi="Arial" w:cs="Arial"/>
        </w:rPr>
        <w:t>(</w:t>
      </w:r>
      <w:r w:rsidR="00053D9B" w:rsidRPr="00737AEC">
        <w:rPr>
          <w:rFonts w:ascii="Arial" w:hAnsi="Arial" w:cs="Arial"/>
          <w:lang w:val="en-US"/>
        </w:rPr>
        <w:t>Cameron, 2019)</w:t>
      </w:r>
      <w:r w:rsidRPr="00737AEC">
        <w:rPr>
          <w:rFonts w:ascii="Arial" w:hAnsi="Arial" w:cs="Arial"/>
        </w:rPr>
        <w:t xml:space="preserve">. Although there is an increase in the quantity of net interest margins </w:t>
      </w:r>
      <w:proofErr w:type="gramStart"/>
      <w:r w:rsidRPr="00737AEC">
        <w:rPr>
          <w:rFonts w:ascii="Arial" w:hAnsi="Arial" w:cs="Arial"/>
        </w:rPr>
        <w:t>as a result of</w:t>
      </w:r>
      <w:proofErr w:type="gramEnd"/>
      <w:r w:rsidRPr="00737AEC">
        <w:rPr>
          <w:rFonts w:ascii="Arial" w:hAnsi="Arial" w:cs="Arial"/>
        </w:rPr>
        <w:t xml:space="preserve"> high interest rates, the flow of loan business which can come from individuals and companies can be hampered because they do not want to borrow money which they will be charged highly to repay.</w:t>
      </w:r>
    </w:p>
    <w:p w14:paraId="13E76A31" w14:textId="77777777" w:rsidR="00DB7888" w:rsidRPr="00737AEC" w:rsidRDefault="00DB7888" w:rsidP="00330DB1">
      <w:pPr>
        <w:rPr>
          <w:rFonts w:ascii="Arial" w:hAnsi="Arial" w:cs="Arial"/>
          <w:b/>
          <w:bCs/>
        </w:rPr>
      </w:pPr>
    </w:p>
    <w:p w14:paraId="643AC829" w14:textId="0CAAEA33" w:rsidR="00672AFC" w:rsidRPr="00737AEC" w:rsidRDefault="00672AFC" w:rsidP="00330DB1">
      <w:pPr>
        <w:rPr>
          <w:rFonts w:ascii="Arial" w:hAnsi="Arial" w:cs="Arial"/>
        </w:rPr>
      </w:pPr>
      <w:r w:rsidRPr="00737AEC">
        <w:rPr>
          <w:rFonts w:ascii="Arial" w:hAnsi="Arial" w:cs="Arial"/>
          <w:b/>
          <w:bCs/>
        </w:rPr>
        <w:t xml:space="preserve">Regulatory Environment </w:t>
      </w:r>
    </w:p>
    <w:p w14:paraId="3E1DAF20" w14:textId="4E61BB80" w:rsidR="00672AFC" w:rsidRPr="00737AEC" w:rsidRDefault="00672AFC" w:rsidP="00330DB1">
      <w:pPr>
        <w:rPr>
          <w:rFonts w:ascii="Arial" w:hAnsi="Arial" w:cs="Arial"/>
        </w:rPr>
      </w:pPr>
      <w:r w:rsidRPr="00737AEC">
        <w:rPr>
          <w:rFonts w:ascii="Arial" w:hAnsi="Arial" w:cs="Arial"/>
        </w:rPr>
        <w:t>Barclays maintains its operations in the financial sector, which is very much regulated by the UK and the EU regulators. New acts like the GDPR and business conduct rules, set by FCA, require protection and high levels of disclosure. Furthermore, the globali</w:t>
      </w:r>
      <w:r w:rsidR="00AD3914" w:rsidRPr="00737AEC">
        <w:rPr>
          <w:rFonts w:ascii="Arial" w:hAnsi="Arial" w:cs="Arial"/>
        </w:rPr>
        <w:t>sation</w:t>
      </w:r>
      <w:r w:rsidRPr="00737AEC">
        <w:rPr>
          <w:rFonts w:ascii="Arial" w:hAnsi="Arial" w:cs="Arial"/>
        </w:rPr>
        <w:t xml:space="preserve"> of the LIBOR scandal also increased expectations for compliance with the regulations from the regulators to Barclays and to increase the executive compliance programme to meet those expectations.</w:t>
      </w:r>
    </w:p>
    <w:p w14:paraId="667E9FED" w14:textId="42B9C773" w:rsidR="00DD0E34" w:rsidRPr="00737AEC" w:rsidRDefault="00672AFC" w:rsidP="00330DB1">
      <w:pPr>
        <w:rPr>
          <w:rFonts w:ascii="Arial" w:hAnsi="Arial" w:cs="Arial"/>
        </w:rPr>
      </w:pPr>
      <w:r w:rsidRPr="00737AEC">
        <w:rPr>
          <w:rFonts w:ascii="Arial" w:hAnsi="Arial" w:cs="Arial"/>
        </w:rPr>
        <w:t>It has also influenced how Barclays has managed climate risk</w:t>
      </w:r>
      <w:r w:rsidR="00D0702E" w:rsidRPr="00737AEC">
        <w:rPr>
          <w:rFonts w:ascii="Arial" w:hAnsi="Arial" w:cs="Arial"/>
        </w:rPr>
        <w:t xml:space="preserve"> (</w:t>
      </w:r>
      <w:proofErr w:type="spellStart"/>
      <w:r w:rsidR="00D0702E" w:rsidRPr="00737AEC">
        <w:rPr>
          <w:rFonts w:ascii="Arial" w:hAnsi="Arial" w:cs="Arial"/>
          <w:lang w:val="en-US"/>
        </w:rPr>
        <w:t>Champy</w:t>
      </w:r>
      <w:proofErr w:type="spellEnd"/>
      <w:r w:rsidR="00D0702E" w:rsidRPr="00737AEC">
        <w:rPr>
          <w:rFonts w:ascii="Arial" w:hAnsi="Arial" w:cs="Arial"/>
          <w:lang w:val="en-US"/>
        </w:rPr>
        <w:t>, 2016)</w:t>
      </w:r>
      <w:r w:rsidR="00B92A7B" w:rsidRPr="00737AEC">
        <w:rPr>
          <w:rFonts w:ascii="Arial" w:hAnsi="Arial" w:cs="Arial"/>
        </w:rPr>
        <w:t>.</w:t>
      </w:r>
      <w:r w:rsidRPr="00737AEC">
        <w:rPr>
          <w:rFonts w:ascii="Arial" w:hAnsi="Arial" w:cs="Arial"/>
        </w:rPr>
        <w:t xml:space="preserve"> Similarly, the regulation has also played a role where Barclays </w:t>
      </w:r>
      <w:proofErr w:type="gramStart"/>
      <w:r w:rsidRPr="00737AEC">
        <w:rPr>
          <w:rFonts w:ascii="Arial" w:hAnsi="Arial" w:cs="Arial"/>
        </w:rPr>
        <w:t>has to</w:t>
      </w:r>
      <w:proofErr w:type="gramEnd"/>
      <w:r w:rsidRPr="00737AEC">
        <w:rPr>
          <w:rFonts w:ascii="Arial" w:hAnsi="Arial" w:cs="Arial"/>
        </w:rPr>
        <w:t xml:space="preserve">- Cross your eyes. This is because world bodies enlarged their concern on the impact of carbon junior Barclays has devised strategies of minimizing its carbon display and accepting environ-mentalism. The bank had a plan to be Net Zero by 2050 and has progressively cut its exposure to fossil </w:t>
      </w:r>
      <w:r w:rsidRPr="00737AEC">
        <w:rPr>
          <w:rFonts w:ascii="Arial" w:hAnsi="Arial" w:cs="Arial"/>
        </w:rPr>
        <w:lastRenderedPageBreak/>
        <w:t xml:space="preserve">fuels, as it began to follow both legislative and sociopolitical pressure for sustainable finance. </w:t>
      </w:r>
    </w:p>
    <w:p w14:paraId="05DC60C4" w14:textId="77777777" w:rsidR="00DD0E34" w:rsidRPr="00737AEC" w:rsidRDefault="00DD0E34" w:rsidP="00330DB1">
      <w:pPr>
        <w:rPr>
          <w:rFonts w:ascii="Arial" w:hAnsi="Arial" w:cs="Arial"/>
        </w:rPr>
      </w:pPr>
      <w:r w:rsidRPr="00737AEC">
        <w:rPr>
          <w:rFonts w:ascii="Arial" w:hAnsi="Arial" w:cs="Arial"/>
          <w:b/>
          <w:bCs/>
        </w:rPr>
        <w:t xml:space="preserve">Technological Advancements </w:t>
      </w:r>
    </w:p>
    <w:p w14:paraId="55687A8E" w14:textId="12B03579" w:rsidR="00DD0E34" w:rsidRPr="00737AEC" w:rsidRDefault="00DD0E34" w:rsidP="00330DB1">
      <w:pPr>
        <w:rPr>
          <w:rFonts w:ascii="Arial" w:hAnsi="Arial" w:cs="Arial"/>
        </w:rPr>
      </w:pPr>
      <w:r w:rsidRPr="00737AEC">
        <w:rPr>
          <w:rFonts w:ascii="Arial" w:hAnsi="Arial" w:cs="Arial"/>
        </w:rPr>
        <w:t xml:space="preserve">Barclays has gone further than adopting digital banking to incorporate technology in its operations as well as improving its services. Leveraging the big data, the bank has been able to strategically </w:t>
      </w:r>
      <w:proofErr w:type="gramStart"/>
      <w:r w:rsidRPr="00737AEC">
        <w:rPr>
          <w:rFonts w:ascii="Arial" w:hAnsi="Arial" w:cs="Arial"/>
        </w:rPr>
        <w:t>designed</w:t>
      </w:r>
      <w:proofErr w:type="gramEnd"/>
      <w:r w:rsidRPr="00737AEC">
        <w:rPr>
          <w:rFonts w:ascii="Arial" w:hAnsi="Arial" w:cs="Arial"/>
        </w:rPr>
        <w:t xml:space="preserve"> their services in such a way that it will suit different clients</w:t>
      </w:r>
      <w:r w:rsidR="005C4792" w:rsidRPr="00737AEC">
        <w:rPr>
          <w:rFonts w:ascii="Arial" w:hAnsi="Arial" w:cs="Arial"/>
        </w:rPr>
        <w:t xml:space="preserve"> (</w:t>
      </w:r>
      <w:r w:rsidR="005C4792" w:rsidRPr="00737AEC">
        <w:rPr>
          <w:rFonts w:ascii="Arial" w:hAnsi="Arial" w:cs="Arial"/>
          <w:lang w:val="en-US"/>
        </w:rPr>
        <w:t>Christensen, 2015)</w:t>
      </w:r>
      <w:r w:rsidRPr="00737AEC">
        <w:rPr>
          <w:rFonts w:ascii="Arial" w:hAnsi="Arial" w:cs="Arial"/>
        </w:rPr>
        <w:t xml:space="preserve">. For instance, Barclays </w:t>
      </w:r>
      <w:proofErr w:type="gramStart"/>
      <w:r w:rsidRPr="00737AEC">
        <w:rPr>
          <w:rFonts w:ascii="Arial" w:hAnsi="Arial" w:cs="Arial"/>
        </w:rPr>
        <w:t>looks into</w:t>
      </w:r>
      <w:proofErr w:type="gramEnd"/>
      <w:r w:rsidRPr="00737AEC">
        <w:rPr>
          <w:rFonts w:ascii="Arial" w:hAnsi="Arial" w:cs="Arial"/>
        </w:rPr>
        <w:t xml:space="preserve"> how consumers expend their money through personal spending habits so as to guide customers towards the right service and product to make them recoil with us.</w:t>
      </w:r>
    </w:p>
    <w:p w14:paraId="24328449" w14:textId="372953D4" w:rsidR="00DD0E34" w:rsidRPr="00737AEC" w:rsidRDefault="00DD0E34" w:rsidP="00330DB1">
      <w:pPr>
        <w:rPr>
          <w:rFonts w:ascii="Arial" w:hAnsi="Arial" w:cs="Arial"/>
        </w:rPr>
      </w:pPr>
      <w:r w:rsidRPr="00737AEC">
        <w:rPr>
          <w:rFonts w:ascii="Arial" w:hAnsi="Arial" w:cs="Arial"/>
        </w:rPr>
        <w:t xml:space="preserve">In investment banking, Barclays has used automation in trading thereby lessening the human interface in the transmission of trades and thus cutting out on errands. Through the application of </w:t>
      </w:r>
      <w:r w:rsidR="00D742FC" w:rsidRPr="00737AEC">
        <w:rPr>
          <w:rFonts w:ascii="Arial" w:hAnsi="Arial" w:cs="Arial"/>
        </w:rPr>
        <w:t>automation,</w:t>
      </w:r>
      <w:r w:rsidRPr="00737AEC">
        <w:rPr>
          <w:rFonts w:ascii="Arial" w:hAnsi="Arial" w:cs="Arial"/>
        </w:rPr>
        <w:t xml:space="preserve"> the bank can also handle large numbers of trading transactions in a shorter span of time. But getting the technology in place needs a balance from going overboard on it since it can minimize the human interaction part with the banking institutions.</w:t>
      </w:r>
    </w:p>
    <w:p w14:paraId="4109B12C" w14:textId="2C275C90" w:rsidR="00DD0E34" w:rsidRPr="00737AEC" w:rsidRDefault="00DD0E34" w:rsidP="00330DB1">
      <w:pPr>
        <w:rPr>
          <w:rFonts w:ascii="Arial" w:hAnsi="Arial" w:cs="Arial"/>
          <w:b/>
          <w:bCs/>
        </w:rPr>
      </w:pPr>
      <w:r w:rsidRPr="00737AEC">
        <w:rPr>
          <w:rFonts w:ascii="Arial" w:hAnsi="Arial" w:cs="Arial"/>
          <w:b/>
          <w:bCs/>
        </w:rPr>
        <w:t xml:space="preserve">Shifting Customer Expectations </w:t>
      </w:r>
    </w:p>
    <w:p w14:paraId="2BDEB7DB" w14:textId="3E6E28CE" w:rsidR="00DD0E34" w:rsidRPr="00737AEC" w:rsidRDefault="00DD0E34" w:rsidP="00330DB1">
      <w:pPr>
        <w:rPr>
          <w:rFonts w:ascii="Arial" w:hAnsi="Arial" w:cs="Arial"/>
        </w:rPr>
      </w:pPr>
      <w:r w:rsidRPr="00737AEC">
        <w:rPr>
          <w:rFonts w:ascii="Arial" w:hAnsi="Arial" w:cs="Arial"/>
        </w:rPr>
        <w:t>Self-service and one-stop shopping attitudes that is common with consumers today have impacted Barclays’ services</w:t>
      </w:r>
      <w:r w:rsidR="00A15CEB" w:rsidRPr="00737AEC">
        <w:rPr>
          <w:rFonts w:ascii="Arial" w:hAnsi="Arial" w:cs="Arial"/>
        </w:rPr>
        <w:t xml:space="preserve"> (</w:t>
      </w:r>
      <w:r w:rsidR="00A15CEB" w:rsidRPr="00737AEC">
        <w:rPr>
          <w:rFonts w:ascii="Arial" w:hAnsi="Arial" w:cs="Arial"/>
          <w:lang w:val="en-US"/>
        </w:rPr>
        <w:t>Cummings, 2018)</w:t>
      </w:r>
      <w:r w:rsidRPr="00737AEC">
        <w:rPr>
          <w:rFonts w:ascii="Arial" w:hAnsi="Arial" w:cs="Arial"/>
        </w:rPr>
        <w:t>. Customers’ reliance on digital platforms has become steadfast as they are no longer keen on climbing through the ladder of ‘traditional banking’, which compels Barclays to ramp up investment in its mobile and online channels. The strategies that the bank has taken in an endeavo</w:t>
      </w:r>
      <w:r w:rsidR="002E21EA" w:rsidRPr="00737AEC">
        <w:rPr>
          <w:rFonts w:ascii="Arial" w:hAnsi="Arial" w:cs="Arial"/>
        </w:rPr>
        <w:t>u</w:t>
      </w:r>
      <w:r w:rsidRPr="00737AEC">
        <w:rPr>
          <w:rFonts w:ascii="Arial" w:hAnsi="Arial" w:cs="Arial"/>
        </w:rPr>
        <w:t>r to create and introduce the new services including contactless payments and online account management.</w:t>
      </w:r>
    </w:p>
    <w:p w14:paraId="1A40225B" w14:textId="58A4445F" w:rsidR="00DD0E34" w:rsidRPr="00737AEC" w:rsidRDefault="00DD0E34" w:rsidP="00330DB1">
      <w:pPr>
        <w:rPr>
          <w:rFonts w:ascii="Arial" w:hAnsi="Arial" w:cs="Arial"/>
        </w:rPr>
      </w:pPr>
      <w:r w:rsidRPr="00737AEC">
        <w:rPr>
          <w:rFonts w:ascii="Arial" w:hAnsi="Arial" w:cs="Arial"/>
        </w:rPr>
        <w:t>Additionally, ethical concerns are important to young customers putting Barclays under pressure to prove its corporate preoccupation with social justice. Therefore, there is the increased transparency for Barclays, which discloses its sustainability and social responsibility projects</w:t>
      </w:r>
      <w:r w:rsidR="00B67449" w:rsidRPr="00737AEC">
        <w:rPr>
          <w:rFonts w:ascii="Arial" w:hAnsi="Arial" w:cs="Arial"/>
        </w:rPr>
        <w:t xml:space="preserve"> (</w:t>
      </w:r>
      <w:r w:rsidR="00B67449" w:rsidRPr="00737AEC">
        <w:rPr>
          <w:rFonts w:ascii="Arial" w:hAnsi="Arial" w:cs="Arial"/>
          <w:lang w:val="en-US"/>
        </w:rPr>
        <w:t>Davis, 2015)</w:t>
      </w:r>
      <w:r w:rsidRPr="00737AEC">
        <w:rPr>
          <w:rFonts w:ascii="Arial" w:hAnsi="Arial" w:cs="Arial"/>
        </w:rPr>
        <w:t xml:space="preserve">. Another factor that works in favour of putting emphasise on corporate social responsibility is that it is good business practice in </w:t>
      </w:r>
      <w:r w:rsidRPr="00737AEC">
        <w:rPr>
          <w:rFonts w:ascii="Arial" w:hAnsi="Arial" w:cs="Arial"/>
        </w:rPr>
        <w:lastRenderedPageBreak/>
        <w:t xml:space="preserve">accordance with the principles of the contemporary consumer; therefore, Barclays </w:t>
      </w:r>
      <w:proofErr w:type="gramStart"/>
      <w:r w:rsidRPr="00737AEC">
        <w:rPr>
          <w:rFonts w:ascii="Arial" w:hAnsi="Arial" w:cs="Arial"/>
        </w:rPr>
        <w:t>is able to</w:t>
      </w:r>
      <w:proofErr w:type="gramEnd"/>
      <w:r w:rsidRPr="00737AEC">
        <w:rPr>
          <w:rFonts w:ascii="Arial" w:hAnsi="Arial" w:cs="Arial"/>
        </w:rPr>
        <w:t xml:space="preserve"> keep on building its brand image as the one that is friendly to the environment.</w:t>
      </w:r>
    </w:p>
    <w:p w14:paraId="3B3CFB48" w14:textId="51B3A578" w:rsidR="00A31DC6" w:rsidRPr="00737AEC" w:rsidRDefault="00A31DC6" w:rsidP="00330DB1">
      <w:pPr>
        <w:rPr>
          <w:rFonts w:ascii="Arial" w:hAnsi="Arial" w:cs="Arial"/>
        </w:rPr>
      </w:pPr>
      <w:r w:rsidRPr="00737AEC">
        <w:rPr>
          <w:rFonts w:ascii="Arial" w:hAnsi="Arial" w:cs="Arial"/>
        </w:rPr>
        <w:br w:type="page"/>
      </w:r>
    </w:p>
    <w:p w14:paraId="29E6398E" w14:textId="719EB52E" w:rsidR="00A31DC6" w:rsidRPr="00737AEC" w:rsidRDefault="00A31DC6" w:rsidP="00330DB1">
      <w:pPr>
        <w:pStyle w:val="Heading1"/>
        <w:rPr>
          <w:rFonts w:ascii="Arial" w:hAnsi="Arial" w:cs="Arial"/>
        </w:rPr>
      </w:pPr>
      <w:bookmarkStart w:id="5" w:name="_Toc181555330"/>
      <w:r w:rsidRPr="00737AEC">
        <w:rPr>
          <w:rFonts w:ascii="Arial" w:hAnsi="Arial" w:cs="Arial"/>
        </w:rPr>
        <w:lastRenderedPageBreak/>
        <w:t>Change Management Models and Strategic Change Analysis</w:t>
      </w:r>
      <w:bookmarkEnd w:id="5"/>
    </w:p>
    <w:p w14:paraId="432DE0C9" w14:textId="2F74561C" w:rsidR="00D742FC" w:rsidRPr="00737AEC" w:rsidRDefault="00D742FC" w:rsidP="00330DB1">
      <w:pPr>
        <w:rPr>
          <w:rFonts w:ascii="Arial" w:hAnsi="Arial" w:cs="Arial"/>
          <w:lang w:val="en-US"/>
        </w:rPr>
      </w:pPr>
      <w:r w:rsidRPr="00737AEC">
        <w:rPr>
          <w:rFonts w:ascii="Arial" w:hAnsi="Arial" w:cs="Arial"/>
          <w:lang w:val="en-US"/>
        </w:rPr>
        <w:t xml:space="preserve">Managing change is critical to </w:t>
      </w:r>
      <w:proofErr w:type="spellStart"/>
      <w:r w:rsidRPr="00737AEC">
        <w:rPr>
          <w:rFonts w:ascii="Arial" w:hAnsi="Arial" w:cs="Arial"/>
          <w:lang w:val="en-US"/>
        </w:rPr>
        <w:t>organi</w:t>
      </w:r>
      <w:r w:rsidR="00AD3914" w:rsidRPr="00737AEC">
        <w:rPr>
          <w:rFonts w:ascii="Arial" w:hAnsi="Arial" w:cs="Arial"/>
          <w:lang w:val="en-US"/>
        </w:rPr>
        <w:t>sation</w:t>
      </w:r>
      <w:r w:rsidRPr="00737AEC">
        <w:rPr>
          <w:rFonts w:ascii="Arial" w:hAnsi="Arial" w:cs="Arial"/>
          <w:lang w:val="en-US"/>
        </w:rPr>
        <w:t>s</w:t>
      </w:r>
      <w:proofErr w:type="spellEnd"/>
      <w:r w:rsidRPr="00737AEC">
        <w:rPr>
          <w:rFonts w:ascii="Arial" w:hAnsi="Arial" w:cs="Arial"/>
          <w:lang w:val="en-US"/>
        </w:rPr>
        <w:t xml:space="preserve"> today especially those operating in multiple environments such as banking industry where competition is high and operating environment is highly regulated</w:t>
      </w:r>
      <w:r w:rsidR="00E80FFA" w:rsidRPr="00737AEC">
        <w:rPr>
          <w:rFonts w:ascii="Arial" w:hAnsi="Arial" w:cs="Arial"/>
          <w:lang w:val="en-US"/>
        </w:rPr>
        <w:t xml:space="preserve"> (Deal, 2012)</w:t>
      </w:r>
      <w:r w:rsidRPr="00737AEC">
        <w:rPr>
          <w:rFonts w:ascii="Arial" w:hAnsi="Arial" w:cs="Arial"/>
          <w:lang w:val="en-US"/>
        </w:rPr>
        <w:t xml:space="preserve">. Over the years, Barclays has experienced many external forces which </w:t>
      </w:r>
      <w:proofErr w:type="gramStart"/>
      <w:r w:rsidRPr="00737AEC">
        <w:rPr>
          <w:rFonts w:ascii="Arial" w:hAnsi="Arial" w:cs="Arial"/>
          <w:lang w:val="en-US"/>
        </w:rPr>
        <w:t>include;</w:t>
      </w:r>
      <w:proofErr w:type="gramEnd"/>
      <w:r w:rsidRPr="00737AEC">
        <w:rPr>
          <w:rFonts w:ascii="Arial" w:hAnsi="Arial" w:cs="Arial"/>
          <w:lang w:val="en-US"/>
        </w:rPr>
        <w:t xml:space="preserve"> Political, legal and social issues, Economic instability, Technological advancements and Customer change. Barclays has implemented various change management models to assist it transform itself as a competitive outfit. This section reviews various change management frameworks and demonstrating how Barclays has dealt with change and the kind of leadership that has been applied to those changes/processes.</w:t>
      </w:r>
    </w:p>
    <w:p w14:paraId="521545D3" w14:textId="3E7DA2BF" w:rsidR="00D742FC" w:rsidRPr="00737AEC" w:rsidRDefault="005A186B" w:rsidP="00330DB1">
      <w:pPr>
        <w:pStyle w:val="Heading2"/>
        <w:rPr>
          <w:rFonts w:ascii="Arial" w:hAnsi="Arial" w:cs="Arial"/>
        </w:rPr>
      </w:pPr>
      <w:bookmarkStart w:id="6" w:name="_Toc181555331"/>
      <w:r w:rsidRPr="00737AEC">
        <w:rPr>
          <w:rFonts w:ascii="Arial" w:hAnsi="Arial" w:cs="Arial"/>
        </w:rPr>
        <w:t>Key Change Management Models</w:t>
      </w:r>
      <w:bookmarkEnd w:id="6"/>
      <w:r w:rsidRPr="00737AEC">
        <w:rPr>
          <w:rFonts w:ascii="Arial" w:hAnsi="Arial" w:cs="Arial"/>
        </w:rPr>
        <w:t xml:space="preserve"> </w:t>
      </w:r>
    </w:p>
    <w:p w14:paraId="43F5CE69" w14:textId="3BB01E3C" w:rsidR="0040536E" w:rsidRPr="00737AEC" w:rsidRDefault="0040536E" w:rsidP="00330DB1">
      <w:pPr>
        <w:jc w:val="center"/>
        <w:rPr>
          <w:rFonts w:ascii="Arial" w:hAnsi="Arial" w:cs="Arial"/>
          <w:lang w:val="en-US"/>
        </w:rPr>
      </w:pPr>
      <w:r w:rsidRPr="00737AEC">
        <w:rPr>
          <w:rFonts w:ascii="Arial" w:hAnsi="Arial" w:cs="Arial"/>
          <w:noProof/>
          <w:lang w:val="en-US"/>
          <w14:ligatures w14:val="standardContextual"/>
        </w:rPr>
        <w:drawing>
          <wp:inline distT="0" distB="0" distL="0" distR="0" wp14:anchorId="6E84B325" wp14:editId="685BB7E1">
            <wp:extent cx="4038600" cy="2501900"/>
            <wp:effectExtent l="0" t="0" r="0" b="0"/>
            <wp:docPr id="30953831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31106E8" w14:textId="50895D67" w:rsidR="000A4E81" w:rsidRPr="00737AEC" w:rsidRDefault="000A4E81" w:rsidP="00330DB1">
      <w:pPr>
        <w:jc w:val="center"/>
        <w:rPr>
          <w:rFonts w:ascii="Arial" w:hAnsi="Arial" w:cs="Arial"/>
          <w:lang w:val="en-US"/>
        </w:rPr>
      </w:pPr>
      <w:r w:rsidRPr="00737AEC">
        <w:rPr>
          <w:rFonts w:ascii="Arial" w:hAnsi="Arial" w:cs="Arial"/>
          <w:lang w:val="en-US"/>
        </w:rPr>
        <w:t>Figure-</w:t>
      </w:r>
      <w:r w:rsidR="00B97479" w:rsidRPr="00737AEC">
        <w:rPr>
          <w:rFonts w:ascii="Arial" w:hAnsi="Arial" w:cs="Arial"/>
          <w:lang w:val="en-US"/>
        </w:rPr>
        <w:t>3</w:t>
      </w:r>
      <w:r w:rsidRPr="00737AEC">
        <w:rPr>
          <w:rFonts w:ascii="Arial" w:hAnsi="Arial" w:cs="Arial"/>
          <w:lang w:val="en-US"/>
        </w:rPr>
        <w:t>: Key change management models</w:t>
      </w:r>
      <w:r w:rsidR="005D0556" w:rsidRPr="00737AEC">
        <w:rPr>
          <w:rFonts w:ascii="Arial" w:hAnsi="Arial" w:cs="Arial"/>
          <w:lang w:val="en-US"/>
        </w:rPr>
        <w:t xml:space="preserve"> (Dobbs, 2015)</w:t>
      </w:r>
    </w:p>
    <w:p w14:paraId="2153FBFA" w14:textId="3F8483A8" w:rsidR="009D00A1" w:rsidRPr="00737AEC" w:rsidRDefault="009D00A1" w:rsidP="00330DB1">
      <w:pPr>
        <w:rPr>
          <w:rFonts w:ascii="Arial" w:hAnsi="Arial" w:cs="Arial"/>
          <w:b/>
          <w:bCs/>
          <w:lang w:val="en-US"/>
        </w:rPr>
      </w:pPr>
      <w:r w:rsidRPr="00737AEC">
        <w:rPr>
          <w:rFonts w:ascii="Arial" w:hAnsi="Arial" w:cs="Arial"/>
          <w:b/>
          <w:bCs/>
          <w:lang w:val="en-US"/>
        </w:rPr>
        <w:t xml:space="preserve">Lewin’s Change Model </w:t>
      </w:r>
    </w:p>
    <w:p w14:paraId="1524A272" w14:textId="77777777" w:rsidR="00D742FC" w:rsidRPr="00737AEC" w:rsidRDefault="00D742FC" w:rsidP="00330DB1">
      <w:pPr>
        <w:rPr>
          <w:rFonts w:ascii="Arial" w:hAnsi="Arial" w:cs="Arial"/>
          <w:lang w:val="en-US"/>
        </w:rPr>
      </w:pPr>
      <w:r w:rsidRPr="00737AEC">
        <w:rPr>
          <w:rFonts w:ascii="Arial" w:hAnsi="Arial" w:cs="Arial"/>
          <w:lang w:val="en-US"/>
        </w:rPr>
        <w:t>Lewin’s Change Model or The Three-Stage Model of Change Management is one of the oldest strategies grounded on a three-step process: “Unfreeze – Change – Refreeze.” This model involves elements of war before initiating change (Unfreeze), during and after change (Change), and working towards re-establishing new parameters (Refreeze).</w:t>
      </w:r>
    </w:p>
    <w:p w14:paraId="3978AD61" w14:textId="044BBDB4" w:rsidR="00D742FC" w:rsidRPr="00737AEC" w:rsidRDefault="00D742FC" w:rsidP="00330DB1">
      <w:pPr>
        <w:rPr>
          <w:rFonts w:ascii="Arial" w:hAnsi="Arial" w:cs="Arial"/>
          <w:lang w:val="en-US"/>
        </w:rPr>
      </w:pPr>
      <w:r w:rsidRPr="00737AEC">
        <w:rPr>
          <w:rFonts w:ascii="Arial" w:hAnsi="Arial" w:cs="Arial"/>
          <w:lang w:val="en-US"/>
        </w:rPr>
        <w:lastRenderedPageBreak/>
        <w:t xml:space="preserve">Barclays used elements of Lewin’s model </w:t>
      </w:r>
      <w:proofErr w:type="gramStart"/>
      <w:r w:rsidRPr="00737AEC">
        <w:rPr>
          <w:rFonts w:ascii="Arial" w:hAnsi="Arial" w:cs="Arial"/>
          <w:lang w:val="en-US"/>
        </w:rPr>
        <w:t>in the course of</w:t>
      </w:r>
      <w:proofErr w:type="gramEnd"/>
      <w:r w:rsidRPr="00737AEC">
        <w:rPr>
          <w:rFonts w:ascii="Arial" w:hAnsi="Arial" w:cs="Arial"/>
          <w:lang w:val="en-US"/>
        </w:rPr>
        <w:t xml:space="preserve"> the post-LIBOR scandal restructuring. The ‘Unfreeze’ stage embraced acknowledging the requirement for cultural/operational change in some of the most crucial aspects notably Transparencies/Compliance</w:t>
      </w:r>
      <w:r w:rsidR="005D0556" w:rsidRPr="00737AEC">
        <w:rPr>
          <w:rFonts w:ascii="Arial" w:hAnsi="Arial" w:cs="Arial"/>
          <w:lang w:val="en-US"/>
        </w:rPr>
        <w:t xml:space="preserve"> (Graetz, 2011)</w:t>
      </w:r>
      <w:r w:rsidRPr="00737AEC">
        <w:rPr>
          <w:rFonts w:ascii="Arial" w:hAnsi="Arial" w:cs="Arial"/>
          <w:lang w:val="en-US"/>
        </w:rPr>
        <w:t xml:space="preserve">. It was done by admitting previous misdeeds, which are common for Barclays, and making </w:t>
      </w:r>
      <w:proofErr w:type="spellStart"/>
      <w:r w:rsidRPr="00737AEC">
        <w:rPr>
          <w:rFonts w:ascii="Arial" w:hAnsi="Arial" w:cs="Arial"/>
          <w:lang w:val="en-US"/>
        </w:rPr>
        <w:t>organi</w:t>
      </w:r>
      <w:r w:rsidR="00AD3914" w:rsidRPr="00737AEC">
        <w:rPr>
          <w:rFonts w:ascii="Arial" w:hAnsi="Arial" w:cs="Arial"/>
          <w:lang w:val="en-US"/>
        </w:rPr>
        <w:t>sation</w:t>
      </w:r>
      <w:proofErr w:type="spellEnd"/>
      <w:r w:rsidRPr="00737AEC">
        <w:rPr>
          <w:rFonts w:ascii="Arial" w:hAnsi="Arial" w:cs="Arial"/>
          <w:lang w:val="en-US"/>
        </w:rPr>
        <w:t xml:space="preserve"> ready for change in its values, which are based on ethical norms and standards. The “Refreeze” stage were to help in saturating these practices and create a set culture of Ethical Standard.</w:t>
      </w:r>
    </w:p>
    <w:p w14:paraId="65A04464" w14:textId="77777777" w:rsidR="00D742FC" w:rsidRPr="00737AEC" w:rsidRDefault="00D742FC" w:rsidP="00330DB1">
      <w:pPr>
        <w:rPr>
          <w:rFonts w:ascii="Arial" w:hAnsi="Arial" w:cs="Arial"/>
          <w:lang w:val="en-US"/>
        </w:rPr>
      </w:pPr>
      <w:r w:rsidRPr="00737AEC">
        <w:rPr>
          <w:rFonts w:ascii="Arial" w:hAnsi="Arial" w:cs="Arial"/>
          <w:b/>
          <w:bCs/>
          <w:lang w:val="en-US"/>
        </w:rPr>
        <w:t xml:space="preserve">Critique: </w:t>
      </w:r>
      <w:r w:rsidRPr="00737AEC">
        <w:rPr>
          <w:rFonts w:ascii="Arial" w:hAnsi="Arial" w:cs="Arial"/>
          <w:lang w:val="en-US"/>
        </w:rPr>
        <w:t>While doing so, the paper identified that Lewin’s model offered a clear approach to change because of its linearity, although it may not be fully appreciated for reflecting the fact that Barclays likely requires change on an ongoing basis. The accumulative “Refreeze” phase of the model is less applicable for the dynamic environment where Barclays operates, requiring permanent changes.</w:t>
      </w:r>
    </w:p>
    <w:p w14:paraId="5AD569DD" w14:textId="484B2631" w:rsidR="00264F30" w:rsidRPr="00737AEC" w:rsidRDefault="00264F30" w:rsidP="00330DB1">
      <w:pPr>
        <w:rPr>
          <w:rFonts w:ascii="Arial" w:hAnsi="Arial" w:cs="Arial"/>
          <w:lang w:val="en-US"/>
        </w:rPr>
      </w:pPr>
      <w:r w:rsidRPr="00737AEC">
        <w:rPr>
          <w:rFonts w:ascii="Arial" w:hAnsi="Arial" w:cs="Arial"/>
          <w:b/>
          <w:bCs/>
          <w:lang w:val="en-US"/>
        </w:rPr>
        <w:t xml:space="preserve">Kotter’s 8-Step Process for Leading Change </w:t>
      </w:r>
    </w:p>
    <w:p w14:paraId="5BAA4194" w14:textId="5D42568D" w:rsidR="0041207E" w:rsidRPr="00737AEC" w:rsidRDefault="00D742FC" w:rsidP="00330DB1">
      <w:pPr>
        <w:rPr>
          <w:rFonts w:ascii="Arial" w:hAnsi="Arial" w:cs="Arial"/>
          <w:lang w:val="en-US"/>
        </w:rPr>
      </w:pPr>
      <w:r w:rsidRPr="00737AEC">
        <w:rPr>
          <w:rFonts w:ascii="Arial" w:hAnsi="Arial" w:cs="Arial"/>
          <w:lang w:val="en-US"/>
        </w:rPr>
        <w:t xml:space="preserve">Kotter’s model can be </w:t>
      </w:r>
      <w:proofErr w:type="spellStart"/>
      <w:r w:rsidRPr="00737AEC">
        <w:rPr>
          <w:rFonts w:ascii="Arial" w:hAnsi="Arial" w:cs="Arial"/>
          <w:lang w:val="en-US"/>
        </w:rPr>
        <w:t>categori</w:t>
      </w:r>
      <w:r w:rsidR="005D0556" w:rsidRPr="00737AEC">
        <w:rPr>
          <w:rFonts w:ascii="Arial" w:hAnsi="Arial" w:cs="Arial"/>
          <w:lang w:val="en-US"/>
        </w:rPr>
        <w:t>s</w:t>
      </w:r>
      <w:r w:rsidRPr="00737AEC">
        <w:rPr>
          <w:rFonts w:ascii="Arial" w:hAnsi="Arial" w:cs="Arial"/>
          <w:lang w:val="en-US"/>
        </w:rPr>
        <w:t>ed</w:t>
      </w:r>
      <w:proofErr w:type="spellEnd"/>
      <w:r w:rsidRPr="00737AEC">
        <w:rPr>
          <w:rFonts w:ascii="Arial" w:hAnsi="Arial" w:cs="Arial"/>
          <w:lang w:val="en-US"/>
        </w:rPr>
        <w:t xml:space="preserve"> as an extended framework because it comprises of eight steps when it comes to leading </w:t>
      </w:r>
      <w:proofErr w:type="spellStart"/>
      <w:r w:rsidRPr="00737AEC">
        <w:rPr>
          <w:rFonts w:ascii="Arial" w:hAnsi="Arial" w:cs="Arial"/>
          <w:lang w:val="en-US"/>
        </w:rPr>
        <w:t>organi</w:t>
      </w:r>
      <w:r w:rsidR="00AD3914" w:rsidRPr="00737AEC">
        <w:rPr>
          <w:rFonts w:ascii="Arial" w:hAnsi="Arial" w:cs="Arial"/>
          <w:lang w:val="en-US"/>
        </w:rPr>
        <w:t>sation</w:t>
      </w:r>
      <w:r w:rsidRPr="00737AEC">
        <w:rPr>
          <w:rFonts w:ascii="Arial" w:hAnsi="Arial" w:cs="Arial"/>
          <w:lang w:val="en-US"/>
        </w:rPr>
        <w:t>al</w:t>
      </w:r>
      <w:proofErr w:type="spellEnd"/>
      <w:r w:rsidRPr="00737AEC">
        <w:rPr>
          <w:rFonts w:ascii="Arial" w:hAnsi="Arial" w:cs="Arial"/>
          <w:lang w:val="en-US"/>
        </w:rPr>
        <w:t xml:space="preserve"> change and implementing these changes among the following include building pressure, building change coalition, setting the vision, change message development, changing the culture, achieving small and incremental wins, anchoring of change</w:t>
      </w:r>
      <w:r w:rsidR="00C20228" w:rsidRPr="00737AEC">
        <w:rPr>
          <w:rFonts w:ascii="Arial" w:hAnsi="Arial" w:cs="Arial"/>
          <w:lang w:val="en-US"/>
        </w:rPr>
        <w:t xml:space="preserve"> (Kotter, 2016)</w:t>
      </w:r>
      <w:r w:rsidRPr="00737AEC">
        <w:rPr>
          <w:rFonts w:ascii="Arial" w:hAnsi="Arial" w:cs="Arial"/>
          <w:lang w:val="en-US"/>
        </w:rPr>
        <w:t>.</w:t>
      </w:r>
    </w:p>
    <w:p w14:paraId="2665B4B8" w14:textId="0B626225" w:rsidR="0041207E" w:rsidRPr="00737AEC" w:rsidRDefault="0041207E" w:rsidP="00330DB1">
      <w:pPr>
        <w:rPr>
          <w:rFonts w:ascii="Arial" w:hAnsi="Arial" w:cs="Arial"/>
          <w:lang w:val="en-US"/>
        </w:rPr>
      </w:pPr>
      <w:r w:rsidRPr="00737AEC">
        <w:rPr>
          <w:rFonts w:ascii="Arial" w:hAnsi="Arial" w:cs="Arial"/>
          <w:lang w:val="en-US"/>
        </w:rPr>
        <w:t xml:space="preserve">Barclays acted in accordance </w:t>
      </w:r>
      <w:r w:rsidR="00974F79" w:rsidRPr="00737AEC">
        <w:rPr>
          <w:rFonts w:ascii="Arial" w:hAnsi="Arial" w:cs="Arial"/>
          <w:lang w:val="en-US"/>
        </w:rPr>
        <w:t>with</w:t>
      </w:r>
      <w:r w:rsidRPr="00737AEC">
        <w:rPr>
          <w:rFonts w:ascii="Arial" w:hAnsi="Arial" w:cs="Arial"/>
          <w:lang w:val="en-US"/>
        </w:rPr>
        <w:t xml:space="preserve"> Kotter’s 8-Step Process during digital transformation projects. Understanding the need to fight fintech firms, Barclays formed a guiding coalition made up of the company’s top managers to initiate the digital transformation process. For example, </w:t>
      </w:r>
      <w:r w:rsidR="000A0802" w:rsidRPr="00737AEC">
        <w:rPr>
          <w:rFonts w:ascii="Arial" w:hAnsi="Arial" w:cs="Arial"/>
          <w:lang w:val="en-US"/>
        </w:rPr>
        <w:t>Barclays</w:t>
      </w:r>
      <w:r w:rsidRPr="00737AEC">
        <w:rPr>
          <w:rFonts w:ascii="Arial" w:hAnsi="Arial" w:cs="Arial"/>
          <w:lang w:val="en-US"/>
        </w:rPr>
        <w:t xml:space="preserve"> recently launched digital initiative – a mobile banking app is a clearly defined, and relatively short-term initiative that offers tangible evidence of the effectiveness of digital banking to the customers. Some of the designed apps were successful, thus providing further evidence for the continuous development of digital solutions that was crucial for the bank</w:t>
      </w:r>
      <w:r w:rsidR="004E43CF" w:rsidRPr="00737AEC">
        <w:rPr>
          <w:rFonts w:ascii="Arial" w:hAnsi="Arial" w:cs="Arial"/>
          <w:lang w:val="en-US"/>
        </w:rPr>
        <w:t xml:space="preserve"> (Lewin, 2017)</w:t>
      </w:r>
      <w:r w:rsidRPr="00737AEC">
        <w:rPr>
          <w:rFonts w:ascii="Arial" w:hAnsi="Arial" w:cs="Arial"/>
          <w:lang w:val="en-US"/>
        </w:rPr>
        <w:t>. Barclays has been able to incorporate Kotter’s strategies into a strategic change process since the firm has consistently nurtured digital culture and customer-oriented perspectives.</w:t>
      </w:r>
    </w:p>
    <w:p w14:paraId="26D2C6DE" w14:textId="77777777" w:rsidR="0041207E" w:rsidRPr="00737AEC" w:rsidRDefault="0041207E" w:rsidP="00330DB1">
      <w:pPr>
        <w:rPr>
          <w:rFonts w:ascii="Arial" w:hAnsi="Arial" w:cs="Arial"/>
          <w:lang w:val="en-US"/>
        </w:rPr>
      </w:pPr>
      <w:r w:rsidRPr="00737AEC">
        <w:rPr>
          <w:rFonts w:ascii="Arial" w:hAnsi="Arial" w:cs="Arial"/>
          <w:lang w:val="en-US"/>
        </w:rPr>
        <w:lastRenderedPageBreak/>
        <w:t xml:space="preserve">Critique: Kotter’s model has been valuable for Barclays when it meant building a clear framework pertaining to the subject of digital change </w:t>
      </w:r>
      <w:proofErr w:type="gramStart"/>
      <w:r w:rsidRPr="00737AEC">
        <w:rPr>
          <w:rFonts w:ascii="Arial" w:hAnsi="Arial" w:cs="Arial"/>
          <w:lang w:val="en-US"/>
        </w:rPr>
        <w:t>management</w:t>
      </w:r>
      <w:proofErr w:type="gramEnd"/>
      <w:r w:rsidRPr="00737AEC">
        <w:rPr>
          <w:rFonts w:ascii="Arial" w:hAnsi="Arial" w:cs="Arial"/>
          <w:lang w:val="en-US"/>
        </w:rPr>
        <w:t xml:space="preserve"> but it is truly leadership-sensitive and language-oriented. In these cases, when communication failed to occur, such as during internal restructuring, resistance to change emerged, meaning that the success of the model depends on ongoing senior manager and employee involvement.</w:t>
      </w:r>
    </w:p>
    <w:p w14:paraId="7F240C2F" w14:textId="21B2A787" w:rsidR="0041207E" w:rsidRPr="00737AEC" w:rsidRDefault="0041207E" w:rsidP="00330DB1">
      <w:pPr>
        <w:rPr>
          <w:rFonts w:ascii="Arial" w:hAnsi="Arial" w:cs="Arial"/>
          <w:b/>
          <w:bCs/>
          <w:lang w:val="en-US"/>
        </w:rPr>
      </w:pPr>
      <w:r w:rsidRPr="00737AEC">
        <w:rPr>
          <w:rFonts w:ascii="Arial" w:hAnsi="Arial" w:cs="Arial"/>
          <w:b/>
          <w:bCs/>
          <w:lang w:val="en-US"/>
        </w:rPr>
        <w:t xml:space="preserve">McKinsey’s 7-S Model </w:t>
      </w:r>
    </w:p>
    <w:p w14:paraId="24F4699A" w14:textId="2A2BC1C0" w:rsidR="0041207E" w:rsidRPr="00737AEC" w:rsidRDefault="0041207E" w:rsidP="00330DB1">
      <w:pPr>
        <w:rPr>
          <w:rFonts w:ascii="Arial" w:hAnsi="Arial" w:cs="Arial"/>
          <w:lang w:val="en-US"/>
        </w:rPr>
      </w:pPr>
      <w:r w:rsidRPr="00737AEC">
        <w:rPr>
          <w:rFonts w:ascii="Arial" w:hAnsi="Arial" w:cs="Arial"/>
          <w:lang w:val="en-US"/>
        </w:rPr>
        <w:t xml:space="preserve">The McKinsey 7-S model is seven organizing variables – strategy, structure, systems, staff, skills, style and shared values which must be all </w:t>
      </w:r>
      <w:proofErr w:type="spellStart"/>
      <w:r w:rsidRPr="00737AEC">
        <w:rPr>
          <w:rFonts w:ascii="Arial" w:hAnsi="Arial" w:cs="Arial"/>
          <w:lang w:val="en-US"/>
        </w:rPr>
        <w:t>synchronised</w:t>
      </w:r>
      <w:proofErr w:type="spellEnd"/>
      <w:r w:rsidRPr="00737AEC">
        <w:rPr>
          <w:rFonts w:ascii="Arial" w:hAnsi="Arial" w:cs="Arial"/>
          <w:lang w:val="en-US"/>
        </w:rPr>
        <w:t xml:space="preserve"> hence influence </w:t>
      </w:r>
      <w:proofErr w:type="spellStart"/>
      <w:r w:rsidRPr="00737AEC">
        <w:rPr>
          <w:rFonts w:ascii="Arial" w:hAnsi="Arial" w:cs="Arial"/>
          <w:lang w:val="en-US"/>
        </w:rPr>
        <w:t>organisation</w:t>
      </w:r>
      <w:proofErr w:type="spellEnd"/>
      <w:r w:rsidRPr="00737AEC">
        <w:rPr>
          <w:rFonts w:ascii="Arial" w:hAnsi="Arial" w:cs="Arial"/>
          <w:lang w:val="en-US"/>
        </w:rPr>
        <w:t xml:space="preserve"> change</w:t>
      </w:r>
      <w:r w:rsidR="000A0802" w:rsidRPr="00737AEC">
        <w:rPr>
          <w:rFonts w:ascii="Arial" w:hAnsi="Arial" w:cs="Arial"/>
          <w:lang w:val="en-US"/>
        </w:rPr>
        <w:t xml:space="preserve"> (Hayes, 2018)</w:t>
      </w:r>
      <w:r w:rsidRPr="00737AEC">
        <w:rPr>
          <w:rFonts w:ascii="Arial" w:hAnsi="Arial" w:cs="Arial"/>
          <w:lang w:val="en-US"/>
        </w:rPr>
        <w:t xml:space="preserve">. The model is more useful in such </w:t>
      </w:r>
      <w:proofErr w:type="spellStart"/>
      <w:r w:rsidRPr="00737AEC">
        <w:rPr>
          <w:rFonts w:ascii="Arial" w:hAnsi="Arial" w:cs="Arial"/>
          <w:lang w:val="en-US"/>
        </w:rPr>
        <w:t>organi</w:t>
      </w:r>
      <w:r w:rsidR="00AD3914" w:rsidRPr="00737AEC">
        <w:rPr>
          <w:rFonts w:ascii="Arial" w:hAnsi="Arial" w:cs="Arial"/>
          <w:lang w:val="en-US"/>
        </w:rPr>
        <w:t>sation</w:t>
      </w:r>
      <w:r w:rsidRPr="00737AEC">
        <w:rPr>
          <w:rFonts w:ascii="Arial" w:hAnsi="Arial" w:cs="Arial"/>
          <w:lang w:val="en-US"/>
        </w:rPr>
        <w:t>s</w:t>
      </w:r>
      <w:proofErr w:type="spellEnd"/>
      <w:r w:rsidRPr="00737AEC">
        <w:rPr>
          <w:rFonts w:ascii="Arial" w:hAnsi="Arial" w:cs="Arial"/>
          <w:lang w:val="en-US"/>
        </w:rPr>
        <w:t xml:space="preserve"> like Barclays since all the factors have an impact on change processes.</w:t>
      </w:r>
    </w:p>
    <w:p w14:paraId="4F83FC9B" w14:textId="14B2F856" w:rsidR="0041207E" w:rsidRPr="00737AEC" w:rsidRDefault="0041207E" w:rsidP="00330DB1">
      <w:pPr>
        <w:rPr>
          <w:rFonts w:ascii="Arial" w:hAnsi="Arial" w:cs="Arial"/>
          <w:lang w:val="en-US"/>
        </w:rPr>
      </w:pPr>
      <w:r w:rsidRPr="00737AEC">
        <w:rPr>
          <w:rFonts w:ascii="Arial" w:hAnsi="Arial" w:cs="Arial"/>
          <w:lang w:val="en-US"/>
        </w:rPr>
        <w:t xml:space="preserve">When Chairman Marcus </w:t>
      </w:r>
      <w:proofErr w:type="spellStart"/>
      <w:r w:rsidRPr="00737AEC">
        <w:rPr>
          <w:rFonts w:ascii="Arial" w:hAnsi="Arial" w:cs="Arial"/>
          <w:lang w:val="en-US"/>
        </w:rPr>
        <w:t>Agius</w:t>
      </w:r>
      <w:proofErr w:type="spellEnd"/>
      <w:r w:rsidRPr="00737AEC">
        <w:rPr>
          <w:rFonts w:ascii="Arial" w:hAnsi="Arial" w:cs="Arial"/>
          <w:lang w:val="en-US"/>
        </w:rPr>
        <w:t xml:space="preserve"> moved to refocus on digital banking as well as investment banking, Barclays used the 7-S Framework to match them up structures. The strategy to improve digital solutions called for a change in the </w:t>
      </w:r>
      <w:proofErr w:type="spellStart"/>
      <w:r w:rsidRPr="00737AEC">
        <w:rPr>
          <w:rFonts w:ascii="Arial" w:hAnsi="Arial" w:cs="Arial"/>
          <w:lang w:val="en-US"/>
        </w:rPr>
        <w:t>organi</w:t>
      </w:r>
      <w:r w:rsidR="00AD3914" w:rsidRPr="00737AEC">
        <w:rPr>
          <w:rFonts w:ascii="Arial" w:hAnsi="Arial" w:cs="Arial"/>
          <w:lang w:val="en-US"/>
        </w:rPr>
        <w:t>sation</w:t>
      </w:r>
      <w:r w:rsidRPr="00737AEC">
        <w:rPr>
          <w:rFonts w:ascii="Arial" w:hAnsi="Arial" w:cs="Arial"/>
          <w:lang w:val="en-US"/>
        </w:rPr>
        <w:t>al</w:t>
      </w:r>
      <w:proofErr w:type="spellEnd"/>
      <w:r w:rsidRPr="00737AEC">
        <w:rPr>
          <w:rFonts w:ascii="Arial" w:hAnsi="Arial" w:cs="Arial"/>
          <w:lang w:val="en-US"/>
        </w:rPr>
        <w:t xml:space="preserve"> structure, in that combined IT cente</w:t>
      </w:r>
      <w:r w:rsidR="006319AE" w:rsidRPr="00737AEC">
        <w:rPr>
          <w:rFonts w:ascii="Arial" w:hAnsi="Arial" w:cs="Arial"/>
          <w:lang w:val="en-US"/>
        </w:rPr>
        <w:t>r</w:t>
      </w:r>
      <w:r w:rsidRPr="00737AEC">
        <w:rPr>
          <w:rFonts w:ascii="Arial" w:hAnsi="Arial" w:cs="Arial"/>
          <w:lang w:val="en-US"/>
        </w:rPr>
        <w:t xml:space="preserve">s and aligned infrastructure for digital offerings. Thus, Barclays nurtured values that are stated as common in the industry and the </w:t>
      </w:r>
      <w:proofErr w:type="spellStart"/>
      <w:r w:rsidRPr="00737AEC">
        <w:rPr>
          <w:rFonts w:ascii="Arial" w:hAnsi="Arial" w:cs="Arial"/>
          <w:lang w:val="en-US"/>
        </w:rPr>
        <w:t>organi</w:t>
      </w:r>
      <w:r w:rsidR="00AD3914" w:rsidRPr="00737AEC">
        <w:rPr>
          <w:rFonts w:ascii="Arial" w:hAnsi="Arial" w:cs="Arial"/>
          <w:lang w:val="en-US"/>
        </w:rPr>
        <w:t>sation</w:t>
      </w:r>
      <w:proofErr w:type="spellEnd"/>
      <w:r w:rsidRPr="00737AEC">
        <w:rPr>
          <w:rFonts w:ascii="Arial" w:hAnsi="Arial" w:cs="Arial"/>
          <w:lang w:val="en-US"/>
        </w:rPr>
        <w:t>; and aligned them with the development of skills.</w:t>
      </w:r>
    </w:p>
    <w:p w14:paraId="6ACB0789" w14:textId="3F1D6DFC" w:rsidR="00BE2903" w:rsidRPr="00737AEC" w:rsidRDefault="0041207E" w:rsidP="00330DB1">
      <w:pPr>
        <w:rPr>
          <w:rFonts w:ascii="Arial" w:hAnsi="Arial" w:cs="Arial"/>
          <w:lang w:val="en-US"/>
        </w:rPr>
      </w:pPr>
      <w:r w:rsidRPr="00737AEC">
        <w:rPr>
          <w:rFonts w:ascii="Arial" w:hAnsi="Arial" w:cs="Arial"/>
          <w:b/>
          <w:bCs/>
          <w:lang w:val="en-US"/>
        </w:rPr>
        <w:t>Critique:</w:t>
      </w:r>
      <w:r w:rsidRPr="00737AEC">
        <w:rPr>
          <w:rFonts w:ascii="Arial" w:hAnsi="Arial" w:cs="Arial"/>
          <w:lang w:val="en-US"/>
        </w:rPr>
        <w:t xml:space="preserve"> Barclays was able to use the 7-S Framework to implement a wide</w:t>
      </w:r>
      <w:r w:rsidR="00162A6C" w:rsidRPr="00737AEC">
        <w:rPr>
          <w:rFonts w:ascii="Arial" w:hAnsi="Arial" w:cs="Arial"/>
          <w:lang w:val="en-US"/>
        </w:rPr>
        <w:t>-</w:t>
      </w:r>
      <w:r w:rsidRPr="00737AEC">
        <w:rPr>
          <w:rFonts w:ascii="Arial" w:hAnsi="Arial" w:cs="Arial"/>
          <w:lang w:val="en-US"/>
        </w:rPr>
        <w:t xml:space="preserve">ranging change in the </w:t>
      </w:r>
      <w:proofErr w:type="spellStart"/>
      <w:r w:rsidRPr="00737AEC">
        <w:rPr>
          <w:rFonts w:ascii="Arial" w:hAnsi="Arial" w:cs="Arial"/>
          <w:lang w:val="en-US"/>
        </w:rPr>
        <w:t>organisation</w:t>
      </w:r>
      <w:proofErr w:type="spellEnd"/>
      <w:r w:rsidRPr="00737AEC">
        <w:rPr>
          <w:rFonts w:ascii="Arial" w:hAnsi="Arial" w:cs="Arial"/>
          <w:lang w:val="en-US"/>
        </w:rPr>
        <w:t xml:space="preserve"> which included working on the </w:t>
      </w:r>
      <w:proofErr w:type="spellStart"/>
      <w:r w:rsidRPr="00737AEC">
        <w:rPr>
          <w:rFonts w:ascii="Arial" w:hAnsi="Arial" w:cs="Arial"/>
          <w:lang w:val="en-US"/>
        </w:rPr>
        <w:t>organisational</w:t>
      </w:r>
      <w:proofErr w:type="spellEnd"/>
      <w:r w:rsidRPr="00737AEC">
        <w:rPr>
          <w:rFonts w:ascii="Arial" w:hAnsi="Arial" w:cs="Arial"/>
          <w:lang w:val="en-US"/>
        </w:rPr>
        <w:t xml:space="preserve"> structure as well as the culture</w:t>
      </w:r>
      <w:r w:rsidR="001C6EF3" w:rsidRPr="00737AEC">
        <w:rPr>
          <w:rFonts w:ascii="Arial" w:hAnsi="Arial" w:cs="Arial"/>
          <w:lang w:val="en-US"/>
        </w:rPr>
        <w:t xml:space="preserve"> (Lewin, 2017)</w:t>
      </w:r>
      <w:r w:rsidRPr="00737AEC">
        <w:rPr>
          <w:rFonts w:ascii="Arial" w:hAnsi="Arial" w:cs="Arial"/>
          <w:lang w:val="en-US"/>
        </w:rPr>
        <w:t>. However, the elements are connected, which at times was problematic, because a shift in one direction, for example, lack of adequate digital competence among employees, could slow down developments in other areas as well.</w:t>
      </w:r>
    </w:p>
    <w:p w14:paraId="630F9977" w14:textId="254A8B85" w:rsidR="00BE2903" w:rsidRPr="00737AEC" w:rsidRDefault="00BE2903" w:rsidP="00330DB1">
      <w:pPr>
        <w:pStyle w:val="Heading2"/>
        <w:rPr>
          <w:rFonts w:ascii="Arial" w:hAnsi="Arial" w:cs="Arial"/>
        </w:rPr>
      </w:pPr>
      <w:bookmarkStart w:id="7" w:name="_Toc181555332"/>
      <w:r w:rsidRPr="00737AEC">
        <w:rPr>
          <w:rFonts w:ascii="Arial" w:hAnsi="Arial" w:cs="Arial"/>
        </w:rPr>
        <w:t xml:space="preserve">Strategic </w:t>
      </w:r>
      <w:r w:rsidR="00FB24D2" w:rsidRPr="00737AEC">
        <w:rPr>
          <w:rFonts w:ascii="Arial" w:hAnsi="Arial" w:cs="Arial"/>
        </w:rPr>
        <w:t>Change</w:t>
      </w:r>
      <w:r w:rsidRPr="00737AEC">
        <w:rPr>
          <w:rFonts w:ascii="Arial" w:hAnsi="Arial" w:cs="Arial"/>
        </w:rPr>
        <w:t xml:space="preserve"> </w:t>
      </w:r>
      <w:r w:rsidR="00FB24D2" w:rsidRPr="00737AEC">
        <w:rPr>
          <w:rFonts w:ascii="Arial" w:hAnsi="Arial" w:cs="Arial"/>
        </w:rPr>
        <w:t>at</w:t>
      </w:r>
      <w:r w:rsidRPr="00737AEC">
        <w:rPr>
          <w:rFonts w:ascii="Arial" w:hAnsi="Arial" w:cs="Arial"/>
        </w:rPr>
        <w:t xml:space="preserve"> Barclays</w:t>
      </w:r>
      <w:bookmarkEnd w:id="7"/>
      <w:r w:rsidR="00494562" w:rsidRPr="00737AEC">
        <w:rPr>
          <w:rFonts w:ascii="Arial" w:hAnsi="Arial" w:cs="Arial"/>
        </w:rPr>
        <w:t xml:space="preserve"> </w:t>
      </w:r>
    </w:p>
    <w:p w14:paraId="695E1A54" w14:textId="72AA84CA" w:rsidR="00BE2903" w:rsidRPr="00737AEC" w:rsidRDefault="00BE2903" w:rsidP="00330DB1">
      <w:pPr>
        <w:rPr>
          <w:rFonts w:ascii="Arial" w:hAnsi="Arial" w:cs="Arial"/>
          <w:lang w:val="en-US"/>
        </w:rPr>
      </w:pPr>
      <w:r w:rsidRPr="00737AEC">
        <w:rPr>
          <w:rFonts w:ascii="Arial" w:hAnsi="Arial" w:cs="Arial"/>
          <w:lang w:val="en-US"/>
        </w:rPr>
        <w:t xml:space="preserve">The strategic change in Barclays has been centered on operational competitiveness, </w:t>
      </w:r>
      <w:proofErr w:type="spellStart"/>
      <w:r w:rsidRPr="00737AEC">
        <w:rPr>
          <w:rFonts w:ascii="Arial" w:hAnsi="Arial" w:cs="Arial"/>
          <w:lang w:val="en-US"/>
        </w:rPr>
        <w:t>digiti</w:t>
      </w:r>
      <w:r w:rsidR="00AD3914" w:rsidRPr="00737AEC">
        <w:rPr>
          <w:rFonts w:ascii="Arial" w:hAnsi="Arial" w:cs="Arial"/>
          <w:lang w:val="en-US"/>
        </w:rPr>
        <w:t>sation</w:t>
      </w:r>
      <w:proofErr w:type="spellEnd"/>
      <w:r w:rsidRPr="00737AEC">
        <w:rPr>
          <w:rFonts w:ascii="Arial" w:hAnsi="Arial" w:cs="Arial"/>
          <w:lang w:val="en-US"/>
        </w:rPr>
        <w:t>, and adherence to regulatory requirements and structural adjustment. It is apparent that digital transformation is a continuous process, with Barclays in a position where it must respond to the disruption in the financial technologies sector as well as clients’ increasing expectation to engage with highly digital, advanced banking solutions</w:t>
      </w:r>
      <w:r w:rsidR="00563619" w:rsidRPr="00737AEC">
        <w:rPr>
          <w:rFonts w:ascii="Arial" w:hAnsi="Arial" w:cs="Arial"/>
          <w:lang w:val="en-US"/>
        </w:rPr>
        <w:t xml:space="preserve"> (Martin, 2002)</w:t>
      </w:r>
      <w:r w:rsidRPr="00737AEC">
        <w:rPr>
          <w:rFonts w:ascii="Arial" w:hAnsi="Arial" w:cs="Arial"/>
          <w:lang w:val="en-US"/>
        </w:rPr>
        <w:t xml:space="preserve">. It proposes an omni-digital approach, digital banking, and transforming </w:t>
      </w:r>
      <w:r w:rsidRPr="00737AEC">
        <w:rPr>
          <w:rFonts w:ascii="Arial" w:hAnsi="Arial" w:cs="Arial"/>
          <w:lang w:val="en-US"/>
        </w:rPr>
        <w:lastRenderedPageBreak/>
        <w:t>customer experience through digital means, artificial intelligence, and mobile applications. In achieving these objectives, Barclays has embraced systems transformational and systems adaptive leadership practices to create conscious overall leadership direction on systems transformation, recruited leaders who can motivate subordinates through change.</w:t>
      </w:r>
    </w:p>
    <w:p w14:paraId="5A2500C6" w14:textId="30294B2F" w:rsidR="00BE2903" w:rsidRPr="00737AEC" w:rsidRDefault="00BE2903" w:rsidP="00330DB1">
      <w:pPr>
        <w:rPr>
          <w:rFonts w:ascii="Arial" w:hAnsi="Arial" w:cs="Arial"/>
          <w:lang w:val="en-US"/>
        </w:rPr>
      </w:pPr>
      <w:r w:rsidRPr="00737AEC">
        <w:rPr>
          <w:rFonts w:ascii="Arial" w:hAnsi="Arial" w:cs="Arial"/>
          <w:lang w:val="en-US"/>
        </w:rPr>
        <w:t>The second strategic change is regulation since Barclays is subjected to high regulation standards. In response, the bank has stepped up compliance and risk management measures and promoted accountability measures. To perform this shift, both transactional and transformational leadership systems proved necessary</w:t>
      </w:r>
      <w:r w:rsidR="004B7807" w:rsidRPr="00737AEC">
        <w:rPr>
          <w:rFonts w:ascii="Arial" w:hAnsi="Arial" w:cs="Arial"/>
          <w:lang w:val="en-US"/>
        </w:rPr>
        <w:t xml:space="preserve"> (Schein, 2010)</w:t>
      </w:r>
      <w:r w:rsidRPr="00737AEC">
        <w:rPr>
          <w:rFonts w:ascii="Arial" w:hAnsi="Arial" w:cs="Arial"/>
          <w:lang w:val="en-US"/>
        </w:rPr>
        <w:t xml:space="preserve">. Transactional leadership was focused on policies and procedures, while transformational leadership </w:t>
      </w:r>
      <w:proofErr w:type="spellStart"/>
      <w:r w:rsidRPr="00737AEC">
        <w:rPr>
          <w:rFonts w:ascii="Arial" w:hAnsi="Arial" w:cs="Arial"/>
          <w:lang w:val="en-US"/>
        </w:rPr>
        <w:t>emphasi</w:t>
      </w:r>
      <w:r w:rsidR="004B7807" w:rsidRPr="00737AEC">
        <w:rPr>
          <w:rFonts w:ascii="Arial" w:hAnsi="Arial" w:cs="Arial"/>
          <w:lang w:val="en-US"/>
        </w:rPr>
        <w:t>s</w:t>
      </w:r>
      <w:r w:rsidRPr="00737AEC">
        <w:rPr>
          <w:rFonts w:ascii="Arial" w:hAnsi="Arial" w:cs="Arial"/>
          <w:lang w:val="en-US"/>
        </w:rPr>
        <w:t>ed</w:t>
      </w:r>
      <w:proofErr w:type="spellEnd"/>
      <w:r w:rsidRPr="00737AEC">
        <w:rPr>
          <w:rFonts w:ascii="Arial" w:hAnsi="Arial" w:cs="Arial"/>
          <w:lang w:val="en-US"/>
        </w:rPr>
        <w:t xml:space="preserve"> acceptance of ethical standards and shares compliance-related goals.</w:t>
      </w:r>
    </w:p>
    <w:p w14:paraId="589B9A39" w14:textId="7FDC87AC" w:rsidR="00BE2903" w:rsidRPr="00737AEC" w:rsidRDefault="00BC76DD" w:rsidP="00330DB1">
      <w:pPr>
        <w:pStyle w:val="Heading2"/>
        <w:rPr>
          <w:rFonts w:ascii="Arial" w:hAnsi="Arial" w:cs="Arial"/>
        </w:rPr>
      </w:pPr>
      <w:bookmarkStart w:id="8" w:name="_Toc181555333"/>
      <w:r w:rsidRPr="00737AEC">
        <w:rPr>
          <w:rFonts w:ascii="Arial" w:hAnsi="Arial" w:cs="Arial"/>
        </w:rPr>
        <w:t>Leadership Styles in Change Management</w:t>
      </w:r>
      <w:bookmarkEnd w:id="8"/>
      <w:r w:rsidRPr="00737AEC">
        <w:rPr>
          <w:rFonts w:ascii="Arial" w:hAnsi="Arial" w:cs="Arial"/>
        </w:rPr>
        <w:t xml:space="preserve"> </w:t>
      </w:r>
    </w:p>
    <w:p w14:paraId="647864EE" w14:textId="7F5CFCE2" w:rsidR="00BE2903" w:rsidRPr="00737AEC" w:rsidRDefault="00BE2903" w:rsidP="00330DB1">
      <w:pPr>
        <w:rPr>
          <w:rFonts w:ascii="Arial" w:hAnsi="Arial" w:cs="Arial"/>
          <w:lang w:val="en-US"/>
        </w:rPr>
      </w:pPr>
      <w:r w:rsidRPr="00737AEC">
        <w:rPr>
          <w:rFonts w:ascii="Arial" w:hAnsi="Arial" w:cs="Arial"/>
          <w:lang w:val="en-US"/>
        </w:rPr>
        <w:t xml:space="preserve">Various leadership styles have been sound instrumental in the Barclays </w:t>
      </w:r>
      <w:proofErr w:type="gramStart"/>
      <w:r w:rsidRPr="00737AEC">
        <w:rPr>
          <w:rFonts w:ascii="Arial" w:hAnsi="Arial" w:cs="Arial"/>
          <w:lang w:val="en-US"/>
        </w:rPr>
        <w:t>with regard to</w:t>
      </w:r>
      <w:proofErr w:type="gramEnd"/>
      <w:r w:rsidRPr="00737AEC">
        <w:rPr>
          <w:rFonts w:ascii="Arial" w:hAnsi="Arial" w:cs="Arial"/>
          <w:lang w:val="en-US"/>
        </w:rPr>
        <w:t xml:space="preserve"> managing change. Team transformation culture, motivating employees, leading by example and increasing </w:t>
      </w:r>
      <w:proofErr w:type="spellStart"/>
      <w:r w:rsidRPr="00737AEC">
        <w:rPr>
          <w:rFonts w:ascii="Arial" w:hAnsi="Arial" w:cs="Arial"/>
          <w:lang w:val="en-US"/>
        </w:rPr>
        <w:t>organisational</w:t>
      </w:r>
      <w:proofErr w:type="spellEnd"/>
      <w:r w:rsidRPr="00737AEC">
        <w:rPr>
          <w:rFonts w:ascii="Arial" w:hAnsi="Arial" w:cs="Arial"/>
          <w:lang w:val="en-US"/>
        </w:rPr>
        <w:t xml:space="preserve"> commitment have been core activities to the digital transformation of the bank. Such leadership style encouraged Local Barcl</w:t>
      </w:r>
      <w:r w:rsidR="00A75C70" w:rsidRPr="00737AEC">
        <w:rPr>
          <w:rFonts w:ascii="Arial" w:hAnsi="Arial" w:cs="Arial"/>
          <w:lang w:val="en-US"/>
        </w:rPr>
        <w:t>a</w:t>
      </w:r>
      <w:r w:rsidRPr="00737AEC">
        <w:rPr>
          <w:rFonts w:ascii="Arial" w:hAnsi="Arial" w:cs="Arial"/>
          <w:lang w:val="en-US"/>
        </w:rPr>
        <w:t>ys to transform culture and to adapt new technologies for employees that were consistent with the long-term vision of Barclays.</w:t>
      </w:r>
    </w:p>
    <w:p w14:paraId="79C4F1B3" w14:textId="19ABBD9A" w:rsidR="00BE2903" w:rsidRPr="00737AEC" w:rsidRDefault="00BE2903" w:rsidP="00330DB1">
      <w:pPr>
        <w:rPr>
          <w:rFonts w:ascii="Arial" w:hAnsi="Arial" w:cs="Arial"/>
          <w:lang w:val="en-US"/>
        </w:rPr>
      </w:pPr>
      <w:r w:rsidRPr="00737AEC">
        <w:rPr>
          <w:rFonts w:ascii="Arial" w:hAnsi="Arial" w:cs="Arial"/>
          <w:lang w:val="en-US"/>
        </w:rPr>
        <w:t>One of the most common forms of leadership in managing regulatory compliance has been transactional leadership focusing on rules and regulations</w:t>
      </w:r>
      <w:r w:rsidR="00B0079F" w:rsidRPr="00737AEC">
        <w:rPr>
          <w:rFonts w:ascii="Arial" w:hAnsi="Arial" w:cs="Arial"/>
          <w:lang w:val="en-US"/>
        </w:rPr>
        <w:t xml:space="preserve"> (Smith, 2003)</w:t>
      </w:r>
      <w:r w:rsidRPr="00737AEC">
        <w:rPr>
          <w:rFonts w:ascii="Arial" w:hAnsi="Arial" w:cs="Arial"/>
          <w:lang w:val="en-US"/>
        </w:rPr>
        <w:t xml:space="preserve">. It is well suited for a conservative industry such as is banking because it reminds one of high levels of policies compliance. Due to crafting the compliance policies </w:t>
      </w:r>
      <w:proofErr w:type="gramStart"/>
      <w:r w:rsidRPr="00737AEC">
        <w:rPr>
          <w:rFonts w:ascii="Arial" w:hAnsi="Arial" w:cs="Arial"/>
          <w:lang w:val="en-US"/>
        </w:rPr>
        <w:t>and also</w:t>
      </w:r>
      <w:proofErr w:type="gramEnd"/>
      <w:r w:rsidRPr="00737AEC">
        <w:rPr>
          <w:rFonts w:ascii="Arial" w:hAnsi="Arial" w:cs="Arial"/>
          <w:lang w:val="en-US"/>
        </w:rPr>
        <w:t xml:space="preserve"> for ensuring that adherence to these standards attracts nice things in the </w:t>
      </w:r>
      <w:proofErr w:type="spellStart"/>
      <w:r w:rsidRPr="00737AEC">
        <w:rPr>
          <w:rFonts w:ascii="Arial" w:hAnsi="Arial" w:cs="Arial"/>
          <w:lang w:val="en-US"/>
        </w:rPr>
        <w:t>organi</w:t>
      </w:r>
      <w:r w:rsidR="00AD3914" w:rsidRPr="00737AEC">
        <w:rPr>
          <w:rFonts w:ascii="Arial" w:hAnsi="Arial" w:cs="Arial"/>
          <w:lang w:val="en-US"/>
        </w:rPr>
        <w:t>sation</w:t>
      </w:r>
      <w:proofErr w:type="spellEnd"/>
      <w:r w:rsidRPr="00737AEC">
        <w:rPr>
          <w:rFonts w:ascii="Arial" w:hAnsi="Arial" w:cs="Arial"/>
          <w:lang w:val="en-US"/>
        </w:rPr>
        <w:t>, transactional leaders such as Barclays have ensured discipline and avoidance of risks.</w:t>
      </w:r>
    </w:p>
    <w:p w14:paraId="748F26B0" w14:textId="031DA19C" w:rsidR="00A31DC6" w:rsidRPr="00737AEC" w:rsidRDefault="00BE2903" w:rsidP="00330DB1">
      <w:pPr>
        <w:rPr>
          <w:rFonts w:ascii="Arial" w:hAnsi="Arial" w:cs="Arial"/>
          <w:lang w:val="en-US"/>
        </w:rPr>
      </w:pPr>
      <w:r w:rsidRPr="00737AEC">
        <w:rPr>
          <w:rFonts w:ascii="Arial" w:hAnsi="Arial" w:cs="Arial"/>
          <w:lang w:val="en-US"/>
        </w:rPr>
        <w:t>There is also the ability through adaptive leadership to manage the institution during the uncertain economic period. One has seen flexibility at Barclays, where adaptive leaders have been able to change strategies whenever there seemed to be pressure from the outside world. Such leadership was apparent during the COVID-19 crisis, Barclays shifted to a virtual environment to execute services for its customers</w:t>
      </w:r>
      <w:r w:rsidR="004909E1" w:rsidRPr="00737AEC">
        <w:rPr>
          <w:rFonts w:ascii="Arial" w:hAnsi="Arial" w:cs="Arial"/>
          <w:lang w:val="en-US"/>
        </w:rPr>
        <w:t xml:space="preserve"> (Stacey, 2011)</w:t>
      </w:r>
      <w:r w:rsidRPr="00737AEC">
        <w:rPr>
          <w:rFonts w:ascii="Arial" w:hAnsi="Arial" w:cs="Arial"/>
          <w:lang w:val="en-US"/>
        </w:rPr>
        <w:t>.</w:t>
      </w:r>
      <w:r w:rsidR="00A31DC6" w:rsidRPr="00737AEC">
        <w:rPr>
          <w:rFonts w:ascii="Arial" w:hAnsi="Arial" w:cs="Arial"/>
          <w:lang w:val="en-US"/>
        </w:rPr>
        <w:br w:type="page"/>
      </w:r>
    </w:p>
    <w:p w14:paraId="5D5AF51A" w14:textId="70998D2F" w:rsidR="00A31DC6" w:rsidRPr="00737AEC" w:rsidRDefault="00A31DC6" w:rsidP="00330DB1">
      <w:pPr>
        <w:pStyle w:val="Heading1"/>
        <w:rPr>
          <w:rFonts w:ascii="Arial" w:hAnsi="Arial" w:cs="Arial"/>
        </w:rPr>
      </w:pPr>
      <w:bookmarkStart w:id="9" w:name="_Toc181555334"/>
      <w:r w:rsidRPr="00737AEC">
        <w:rPr>
          <w:rFonts w:ascii="Arial" w:hAnsi="Arial" w:cs="Arial"/>
        </w:rPr>
        <w:lastRenderedPageBreak/>
        <w:t xml:space="preserve">Impacts of </w:t>
      </w:r>
      <w:proofErr w:type="spellStart"/>
      <w:r w:rsidRPr="00737AEC">
        <w:rPr>
          <w:rFonts w:ascii="Arial" w:hAnsi="Arial" w:cs="Arial"/>
        </w:rPr>
        <w:t>Organisational</w:t>
      </w:r>
      <w:proofErr w:type="spellEnd"/>
      <w:r w:rsidRPr="00737AEC">
        <w:rPr>
          <w:rFonts w:ascii="Arial" w:hAnsi="Arial" w:cs="Arial"/>
        </w:rPr>
        <w:t xml:space="preserve"> Culture in Change Management</w:t>
      </w:r>
      <w:bookmarkEnd w:id="9"/>
    </w:p>
    <w:p w14:paraId="5EA473F9" w14:textId="1347FC57" w:rsidR="00D64519" w:rsidRPr="00737AEC" w:rsidRDefault="00D64519" w:rsidP="00330DB1">
      <w:pPr>
        <w:pStyle w:val="Heading2"/>
        <w:rPr>
          <w:rFonts w:ascii="Arial" w:hAnsi="Arial" w:cs="Arial"/>
        </w:rPr>
      </w:pPr>
      <w:bookmarkStart w:id="10" w:name="_Toc181555335"/>
      <w:proofErr w:type="spellStart"/>
      <w:r w:rsidRPr="00737AEC">
        <w:rPr>
          <w:rFonts w:ascii="Arial" w:hAnsi="Arial" w:cs="Arial"/>
        </w:rPr>
        <w:t>Organisational</w:t>
      </w:r>
      <w:proofErr w:type="spellEnd"/>
      <w:r w:rsidRPr="00737AEC">
        <w:rPr>
          <w:rFonts w:ascii="Arial" w:hAnsi="Arial" w:cs="Arial"/>
        </w:rPr>
        <w:t xml:space="preserve"> Culture in Barclays</w:t>
      </w:r>
      <w:bookmarkEnd w:id="10"/>
      <w:r w:rsidRPr="00737AEC">
        <w:rPr>
          <w:rFonts w:ascii="Arial" w:hAnsi="Arial" w:cs="Arial"/>
        </w:rPr>
        <w:t xml:space="preserve"> </w:t>
      </w:r>
    </w:p>
    <w:p w14:paraId="36812F57" w14:textId="093E27C1" w:rsidR="00D64519" w:rsidRPr="00737AEC" w:rsidRDefault="00D64519" w:rsidP="00330DB1">
      <w:pPr>
        <w:rPr>
          <w:rFonts w:ascii="Arial" w:hAnsi="Arial" w:cs="Arial"/>
          <w:lang w:val="en-US"/>
        </w:rPr>
      </w:pPr>
      <w:r w:rsidRPr="00737AEC">
        <w:rPr>
          <w:rFonts w:ascii="Arial" w:hAnsi="Arial" w:cs="Arial"/>
          <w:lang w:val="en-US"/>
        </w:rPr>
        <w:t>This paper scoping is a focused examination of Barclays PLC Company where Barclays’ culture will be discussed based on its history, market position, and the regulatory systems in that market. Until now, culture in banking has been compliance with the rules, stability, and fear to take risks, which are important to sustain customer and regulator confidence</w:t>
      </w:r>
      <w:r w:rsidR="00FA3FBC" w:rsidRPr="00737AEC">
        <w:rPr>
          <w:rFonts w:ascii="Arial" w:hAnsi="Arial" w:cs="Arial"/>
          <w:lang w:val="en-US"/>
        </w:rPr>
        <w:t xml:space="preserve"> (Stokes, 2017)</w:t>
      </w:r>
      <w:r w:rsidRPr="00737AEC">
        <w:rPr>
          <w:rFonts w:ascii="Arial" w:hAnsi="Arial" w:cs="Arial"/>
          <w:lang w:val="en-US"/>
        </w:rPr>
        <w:t>. Nonetheless, Barclays has also received reputational threats, especially after cases such as LIBOR rate manipulation in the financial year ended 30 June 2012. Therefore</w:t>
      </w:r>
      <w:r w:rsidR="00B0079F" w:rsidRPr="00737AEC">
        <w:rPr>
          <w:rFonts w:ascii="Arial" w:hAnsi="Arial" w:cs="Arial"/>
          <w:lang w:val="en-US"/>
        </w:rPr>
        <w:t>,</w:t>
      </w:r>
      <w:r w:rsidRPr="00737AEC">
        <w:rPr>
          <w:rFonts w:ascii="Arial" w:hAnsi="Arial" w:cs="Arial"/>
          <w:lang w:val="en-US"/>
        </w:rPr>
        <w:t xml:space="preserve"> it has strived to change the </w:t>
      </w:r>
      <w:proofErr w:type="spellStart"/>
      <w:r w:rsidRPr="00737AEC">
        <w:rPr>
          <w:rFonts w:ascii="Arial" w:hAnsi="Arial" w:cs="Arial"/>
          <w:lang w:val="en-US"/>
        </w:rPr>
        <w:t>organi</w:t>
      </w:r>
      <w:r w:rsidR="00AD3914" w:rsidRPr="00737AEC">
        <w:rPr>
          <w:rFonts w:ascii="Arial" w:hAnsi="Arial" w:cs="Arial"/>
          <w:lang w:val="en-US"/>
        </w:rPr>
        <w:t>sation</w:t>
      </w:r>
      <w:r w:rsidRPr="00737AEC">
        <w:rPr>
          <w:rFonts w:ascii="Arial" w:hAnsi="Arial" w:cs="Arial"/>
          <w:lang w:val="en-US"/>
        </w:rPr>
        <w:t>al</w:t>
      </w:r>
      <w:proofErr w:type="spellEnd"/>
      <w:r w:rsidRPr="00737AEC">
        <w:rPr>
          <w:rFonts w:ascii="Arial" w:hAnsi="Arial" w:cs="Arial"/>
          <w:lang w:val="en-US"/>
        </w:rPr>
        <w:t xml:space="preserve"> culture and introduce culture of transparency, ethical and customer orientated.</w:t>
      </w:r>
    </w:p>
    <w:p w14:paraId="1501F3D3" w14:textId="641F372F" w:rsidR="00D64519" w:rsidRPr="00737AEC" w:rsidRDefault="00D64519" w:rsidP="00330DB1">
      <w:pPr>
        <w:rPr>
          <w:rFonts w:ascii="Arial" w:hAnsi="Arial" w:cs="Arial"/>
          <w:lang w:val="en-US"/>
        </w:rPr>
      </w:pPr>
      <w:r w:rsidRPr="00737AEC">
        <w:rPr>
          <w:rFonts w:ascii="Arial" w:hAnsi="Arial" w:cs="Arial"/>
          <w:lang w:val="en-US"/>
        </w:rPr>
        <w:t>Barclays’ cultural values today are centered around five key pillars: self-respect, employee respect, company services, best quality, and responsibility. These values define how employees should behave, the policies to be followed, and the processes for decision making within which change initiatives take place</w:t>
      </w:r>
      <w:r w:rsidR="00FA3FBC" w:rsidRPr="00737AEC">
        <w:rPr>
          <w:rFonts w:ascii="Arial" w:hAnsi="Arial" w:cs="Arial"/>
          <w:lang w:val="en-US"/>
        </w:rPr>
        <w:t xml:space="preserve"> </w:t>
      </w:r>
      <w:r w:rsidR="00FA3FBC" w:rsidRPr="00737AEC">
        <w:rPr>
          <w:rFonts w:ascii="Arial" w:hAnsi="Arial" w:cs="Arial"/>
        </w:rPr>
        <w:t>(</w:t>
      </w:r>
      <w:r w:rsidR="00FA3FBC" w:rsidRPr="00737AEC">
        <w:rPr>
          <w:rFonts w:ascii="Arial" w:hAnsi="Arial" w:cs="Arial"/>
          <w:lang w:val="en-US"/>
        </w:rPr>
        <w:t>Davis, 2015)</w:t>
      </w:r>
      <w:r w:rsidRPr="00737AEC">
        <w:rPr>
          <w:rFonts w:ascii="Arial" w:hAnsi="Arial" w:cs="Arial"/>
          <w:lang w:val="en-US"/>
        </w:rPr>
        <w:t>. This culture stresses a compliance and ethical tone, especially with Barclays’ obligations, as well as the generally high-risk exposure that financial institutions receive regularly.</w:t>
      </w:r>
    </w:p>
    <w:p w14:paraId="06F3A99E" w14:textId="2CFA208C" w:rsidR="00D64519" w:rsidRPr="00737AEC" w:rsidRDefault="00D64519" w:rsidP="00330DB1">
      <w:pPr>
        <w:pStyle w:val="Heading2"/>
        <w:rPr>
          <w:rFonts w:ascii="Arial" w:hAnsi="Arial" w:cs="Arial"/>
        </w:rPr>
      </w:pPr>
      <w:bookmarkStart w:id="11" w:name="_Toc181555336"/>
      <w:r w:rsidRPr="00737AEC">
        <w:rPr>
          <w:rFonts w:ascii="Arial" w:hAnsi="Arial" w:cs="Arial"/>
        </w:rPr>
        <w:t>Cultur</w:t>
      </w:r>
      <w:r w:rsidR="004A30AA" w:rsidRPr="00737AEC">
        <w:rPr>
          <w:rFonts w:ascii="Arial" w:hAnsi="Arial" w:cs="Arial"/>
        </w:rPr>
        <w:t>e as Enabler and</w:t>
      </w:r>
      <w:r w:rsidRPr="00737AEC">
        <w:rPr>
          <w:rFonts w:ascii="Arial" w:hAnsi="Arial" w:cs="Arial"/>
        </w:rPr>
        <w:t xml:space="preserve"> Barriers </w:t>
      </w:r>
      <w:r w:rsidR="00CB5528" w:rsidRPr="00737AEC">
        <w:rPr>
          <w:rFonts w:ascii="Arial" w:hAnsi="Arial" w:cs="Arial"/>
        </w:rPr>
        <w:t>to Change</w:t>
      </w:r>
      <w:bookmarkEnd w:id="11"/>
      <w:r w:rsidR="00CB5528" w:rsidRPr="00737AEC">
        <w:rPr>
          <w:rFonts w:ascii="Arial" w:hAnsi="Arial" w:cs="Arial"/>
        </w:rPr>
        <w:t xml:space="preserve"> </w:t>
      </w:r>
    </w:p>
    <w:p w14:paraId="1469532A" w14:textId="79632777" w:rsidR="003C503E" w:rsidRPr="00737AEC" w:rsidRDefault="003C503E" w:rsidP="00330DB1">
      <w:pPr>
        <w:jc w:val="center"/>
        <w:rPr>
          <w:rFonts w:ascii="Arial" w:hAnsi="Arial" w:cs="Arial"/>
          <w:lang w:val="en-US"/>
        </w:rPr>
      </w:pPr>
      <w:r w:rsidRPr="00737AEC">
        <w:rPr>
          <w:rFonts w:ascii="Arial" w:hAnsi="Arial" w:cs="Arial"/>
          <w:noProof/>
          <w:lang w:val="en-US"/>
          <w14:ligatures w14:val="standardContextual"/>
        </w:rPr>
        <w:drawing>
          <wp:inline distT="0" distB="0" distL="0" distR="0" wp14:anchorId="6BEDF724" wp14:editId="2827FC0F">
            <wp:extent cx="4972050" cy="1936750"/>
            <wp:effectExtent l="25400" t="0" r="6350" b="19050"/>
            <wp:docPr id="159087699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859F781" w14:textId="0FB9544C" w:rsidR="003C503E" w:rsidRPr="00737AEC" w:rsidRDefault="003C503E" w:rsidP="00330DB1">
      <w:pPr>
        <w:jc w:val="center"/>
        <w:rPr>
          <w:rFonts w:ascii="Arial" w:hAnsi="Arial" w:cs="Arial"/>
        </w:rPr>
      </w:pPr>
      <w:r w:rsidRPr="00737AEC">
        <w:rPr>
          <w:rFonts w:ascii="Arial" w:hAnsi="Arial" w:cs="Arial"/>
          <w:lang w:val="en-US"/>
        </w:rPr>
        <w:t>Figure-</w:t>
      </w:r>
      <w:r w:rsidR="002E718B" w:rsidRPr="00737AEC">
        <w:rPr>
          <w:rFonts w:ascii="Arial" w:hAnsi="Arial" w:cs="Arial"/>
          <w:lang w:val="en-US"/>
        </w:rPr>
        <w:t xml:space="preserve">4: </w:t>
      </w:r>
      <w:r w:rsidR="002E718B" w:rsidRPr="00737AEC">
        <w:rPr>
          <w:rFonts w:ascii="Arial" w:hAnsi="Arial" w:cs="Arial"/>
        </w:rPr>
        <w:t>Culture as Enabler and Barriers to Change</w:t>
      </w:r>
      <w:r w:rsidR="00AE1C46" w:rsidRPr="00737AEC">
        <w:rPr>
          <w:rFonts w:ascii="Arial" w:hAnsi="Arial" w:cs="Arial"/>
        </w:rPr>
        <w:t xml:space="preserve"> (</w:t>
      </w:r>
      <w:proofErr w:type="spellStart"/>
      <w:r w:rsidR="00AE1C46" w:rsidRPr="00737AEC">
        <w:rPr>
          <w:rFonts w:ascii="Arial" w:hAnsi="Arial" w:cs="Arial"/>
          <w:lang w:val="en-US"/>
        </w:rPr>
        <w:t>Champy</w:t>
      </w:r>
      <w:proofErr w:type="spellEnd"/>
      <w:r w:rsidR="00AE1C46" w:rsidRPr="00737AEC">
        <w:rPr>
          <w:rFonts w:ascii="Arial" w:hAnsi="Arial" w:cs="Arial"/>
          <w:lang w:val="en-US"/>
        </w:rPr>
        <w:t>, 2016)</w:t>
      </w:r>
    </w:p>
    <w:p w14:paraId="7AC6BDF5" w14:textId="0D4FF7DE" w:rsidR="00D64519" w:rsidRPr="00737AEC" w:rsidRDefault="00D64519" w:rsidP="00330DB1">
      <w:pPr>
        <w:rPr>
          <w:rFonts w:ascii="Arial" w:hAnsi="Arial" w:cs="Arial"/>
          <w:b/>
          <w:bCs/>
          <w:lang w:val="en-US"/>
        </w:rPr>
      </w:pPr>
      <w:r w:rsidRPr="00737AEC">
        <w:rPr>
          <w:rFonts w:ascii="Arial" w:hAnsi="Arial" w:cs="Arial"/>
          <w:b/>
          <w:bCs/>
          <w:lang w:val="en-US"/>
        </w:rPr>
        <w:t>Compliance-Driven Change</w:t>
      </w:r>
    </w:p>
    <w:p w14:paraId="4CBEBC35" w14:textId="55135C70" w:rsidR="00D64519" w:rsidRPr="00737AEC" w:rsidRDefault="00D64519" w:rsidP="00330DB1">
      <w:pPr>
        <w:rPr>
          <w:rFonts w:ascii="Arial" w:hAnsi="Arial" w:cs="Arial"/>
          <w:lang w:val="en-US"/>
        </w:rPr>
      </w:pPr>
      <w:r w:rsidRPr="00737AEC">
        <w:rPr>
          <w:rFonts w:ascii="Arial" w:hAnsi="Arial" w:cs="Arial"/>
          <w:lang w:val="en-US"/>
        </w:rPr>
        <w:lastRenderedPageBreak/>
        <w:t xml:space="preserve">The last decade has witnessed increased accentuation on compliance and accountability in </w:t>
      </w:r>
      <w:proofErr w:type="spellStart"/>
      <w:r w:rsidRPr="00737AEC">
        <w:rPr>
          <w:rFonts w:ascii="Arial" w:hAnsi="Arial" w:cs="Arial"/>
          <w:lang w:val="en-US"/>
        </w:rPr>
        <w:t>organi</w:t>
      </w:r>
      <w:r w:rsidR="00AD3914" w:rsidRPr="00737AEC">
        <w:rPr>
          <w:rFonts w:ascii="Arial" w:hAnsi="Arial" w:cs="Arial"/>
          <w:lang w:val="en-US"/>
        </w:rPr>
        <w:t>sation</w:t>
      </w:r>
      <w:r w:rsidRPr="00737AEC">
        <w:rPr>
          <w:rFonts w:ascii="Arial" w:hAnsi="Arial" w:cs="Arial"/>
          <w:lang w:val="en-US"/>
        </w:rPr>
        <w:t>s</w:t>
      </w:r>
      <w:proofErr w:type="spellEnd"/>
      <w:r w:rsidRPr="00737AEC">
        <w:rPr>
          <w:rFonts w:ascii="Arial" w:hAnsi="Arial" w:cs="Arial"/>
          <w:lang w:val="en-US"/>
        </w:rPr>
        <w:t xml:space="preserve">, especially Barclays following regulatory issues and eradications of reputational dilemmas. It influences the role of regulatory-imposed change management where employees being used to following policies seamlessly address change management </w:t>
      </w:r>
      <w:proofErr w:type="spellStart"/>
      <w:r w:rsidRPr="00737AEC">
        <w:rPr>
          <w:rFonts w:ascii="Arial" w:hAnsi="Arial" w:cs="Arial"/>
          <w:lang w:val="en-US"/>
        </w:rPr>
        <w:t>endeavours</w:t>
      </w:r>
      <w:proofErr w:type="spellEnd"/>
      <w:r w:rsidRPr="00737AEC">
        <w:rPr>
          <w:rFonts w:ascii="Arial" w:hAnsi="Arial" w:cs="Arial"/>
          <w:lang w:val="en-US"/>
        </w:rPr>
        <w:t xml:space="preserve">. </w:t>
      </w:r>
    </w:p>
    <w:p w14:paraId="4C4724BB" w14:textId="69DD5850" w:rsidR="00D64519" w:rsidRPr="00737AEC" w:rsidRDefault="00D64519" w:rsidP="00330DB1">
      <w:pPr>
        <w:rPr>
          <w:rFonts w:ascii="Arial" w:hAnsi="Arial" w:cs="Arial"/>
          <w:lang w:val="en-US"/>
        </w:rPr>
      </w:pPr>
      <w:r w:rsidRPr="00737AEC">
        <w:rPr>
          <w:rFonts w:ascii="Arial" w:hAnsi="Arial" w:cs="Arial"/>
          <w:lang w:val="en-US"/>
        </w:rPr>
        <w:t xml:space="preserve">In addition, there are implications that the framework has been influential in changing the perception of the bank’s employees </w:t>
      </w:r>
      <w:proofErr w:type="gramStart"/>
      <w:r w:rsidRPr="00737AEC">
        <w:rPr>
          <w:rFonts w:ascii="Arial" w:hAnsi="Arial" w:cs="Arial"/>
          <w:lang w:val="en-US"/>
        </w:rPr>
        <w:t>with regard to</w:t>
      </w:r>
      <w:proofErr w:type="gramEnd"/>
      <w:r w:rsidRPr="00737AEC">
        <w:rPr>
          <w:rFonts w:ascii="Arial" w:hAnsi="Arial" w:cs="Arial"/>
          <w:lang w:val="en-US"/>
        </w:rPr>
        <w:t xml:space="preserve"> the principles of ethical behavior leading to easy implementation of governance reforms</w:t>
      </w:r>
      <w:r w:rsidR="00613F70" w:rsidRPr="00737AEC">
        <w:rPr>
          <w:rFonts w:ascii="Arial" w:hAnsi="Arial" w:cs="Arial"/>
          <w:lang w:val="en-US"/>
        </w:rPr>
        <w:t xml:space="preserve"> (Balogun, 2008)</w:t>
      </w:r>
      <w:r w:rsidRPr="00737AEC">
        <w:rPr>
          <w:rFonts w:ascii="Arial" w:hAnsi="Arial" w:cs="Arial"/>
          <w:lang w:val="en-US"/>
        </w:rPr>
        <w:t>. They must actively follow high compliance rules thus avoiding cases of regulatory breaches. As a result, Barclays culture served as a micro-force that brought trustworthiness and reliability in the environment that is inherently unpredictable with financial services. Thus, the overall cultural compatibility of Barclays with the regulations has let the bank handle most compliance related changes without much of a fuss.</w:t>
      </w:r>
    </w:p>
    <w:p w14:paraId="4BCA891A" w14:textId="77777777" w:rsidR="00972B60" w:rsidRPr="00737AEC" w:rsidRDefault="00972B60" w:rsidP="00330DB1">
      <w:pPr>
        <w:rPr>
          <w:rFonts w:ascii="Arial" w:hAnsi="Arial" w:cs="Arial"/>
          <w:lang w:val="en-US"/>
        </w:rPr>
      </w:pPr>
      <w:r w:rsidRPr="00737AEC">
        <w:rPr>
          <w:rFonts w:ascii="Arial" w:hAnsi="Arial" w:cs="Arial"/>
          <w:b/>
          <w:bCs/>
          <w:lang w:val="en-US"/>
        </w:rPr>
        <w:t xml:space="preserve">Customer Centricity and Digital Transformation </w:t>
      </w:r>
    </w:p>
    <w:p w14:paraId="08C83279" w14:textId="0082303A" w:rsidR="00972B60" w:rsidRPr="00737AEC" w:rsidRDefault="00972B60" w:rsidP="00330DB1">
      <w:pPr>
        <w:rPr>
          <w:rFonts w:ascii="Arial" w:hAnsi="Arial" w:cs="Arial"/>
          <w:lang w:val="en-US"/>
        </w:rPr>
      </w:pPr>
      <w:r w:rsidRPr="00737AEC">
        <w:rPr>
          <w:rFonts w:ascii="Arial" w:hAnsi="Arial" w:cs="Arial"/>
          <w:lang w:val="en-US"/>
        </w:rPr>
        <w:t xml:space="preserve">Apparently, the culture changes now in Barclays where the company focuses more on the client has also been seen to align with its efforts in embracing the digital shift. With change in consumers’ demand, Barclays has the principle of product differentiation and convenience in the provision of its banking services. Implementing this change of culture supports the </w:t>
      </w:r>
      <w:proofErr w:type="spellStart"/>
      <w:r w:rsidRPr="00737AEC">
        <w:rPr>
          <w:rFonts w:ascii="Arial" w:hAnsi="Arial" w:cs="Arial"/>
          <w:lang w:val="en-US"/>
        </w:rPr>
        <w:t>organisations</w:t>
      </w:r>
      <w:proofErr w:type="spellEnd"/>
      <w:r w:rsidRPr="00737AEC">
        <w:rPr>
          <w:rFonts w:ascii="Arial" w:hAnsi="Arial" w:cs="Arial"/>
          <w:lang w:val="en-US"/>
        </w:rPr>
        <w:t xml:space="preserve"> move towards digital, as employees are encouraged to use technologies that improve their </w:t>
      </w:r>
      <w:proofErr w:type="gramStart"/>
      <w:r w:rsidRPr="00737AEC">
        <w:rPr>
          <w:rFonts w:ascii="Arial" w:hAnsi="Arial" w:cs="Arial"/>
          <w:lang w:val="en-US"/>
        </w:rPr>
        <w:t>relation</w:t>
      </w:r>
      <w:proofErr w:type="gramEnd"/>
      <w:r w:rsidRPr="00737AEC">
        <w:rPr>
          <w:rFonts w:ascii="Arial" w:hAnsi="Arial" w:cs="Arial"/>
          <w:lang w:val="en-US"/>
        </w:rPr>
        <w:t xml:space="preserve"> with the customer</w:t>
      </w:r>
      <w:r w:rsidR="00944417" w:rsidRPr="00737AEC">
        <w:rPr>
          <w:rFonts w:ascii="Arial" w:hAnsi="Arial" w:cs="Arial"/>
          <w:lang w:val="en-US"/>
        </w:rPr>
        <w:t xml:space="preserve"> </w:t>
      </w:r>
      <w:r w:rsidR="00944417" w:rsidRPr="00737AEC">
        <w:rPr>
          <w:rFonts w:ascii="Arial" w:hAnsi="Arial" w:cs="Arial"/>
        </w:rPr>
        <w:t>(</w:t>
      </w:r>
      <w:r w:rsidR="00944417" w:rsidRPr="00737AEC">
        <w:rPr>
          <w:rFonts w:ascii="Arial" w:hAnsi="Arial" w:cs="Arial"/>
          <w:lang w:val="en-US"/>
        </w:rPr>
        <w:t>Christensen, 2015)</w:t>
      </w:r>
      <w:r w:rsidRPr="00737AEC">
        <w:rPr>
          <w:rFonts w:ascii="Arial" w:hAnsi="Arial" w:cs="Arial"/>
          <w:lang w:val="en-US"/>
        </w:rPr>
        <w:t>.</w:t>
      </w:r>
    </w:p>
    <w:p w14:paraId="0344EFDA" w14:textId="77777777" w:rsidR="00972B60" w:rsidRPr="00737AEC" w:rsidRDefault="00972B60" w:rsidP="00330DB1">
      <w:pPr>
        <w:rPr>
          <w:rFonts w:ascii="Arial" w:hAnsi="Arial" w:cs="Arial"/>
          <w:lang w:val="en-US"/>
        </w:rPr>
      </w:pPr>
      <w:r w:rsidRPr="00737AEC">
        <w:rPr>
          <w:rFonts w:ascii="Arial" w:hAnsi="Arial" w:cs="Arial"/>
          <w:lang w:val="en-US"/>
        </w:rPr>
        <w:t xml:space="preserve">Mobile banking app, touchless payment services, and voice-enabled assistance system, established in the bank portray, a customer-centric approach. That is why Barclays hasn’t experienced major difficulties in the implementation of these digital initiatives: employees understand that such changes are relevant to customer requirements. This culture of focusing on the customer helps the staff members to embrace the digital </w:t>
      </w:r>
      <w:proofErr w:type="gramStart"/>
      <w:r w:rsidRPr="00737AEC">
        <w:rPr>
          <w:rFonts w:ascii="Arial" w:hAnsi="Arial" w:cs="Arial"/>
          <w:lang w:val="en-US"/>
        </w:rPr>
        <w:t>technologies, and</w:t>
      </w:r>
      <w:proofErr w:type="gramEnd"/>
      <w:r w:rsidRPr="00737AEC">
        <w:rPr>
          <w:rFonts w:ascii="Arial" w:hAnsi="Arial" w:cs="Arial"/>
          <w:lang w:val="en-US"/>
        </w:rPr>
        <w:t xml:space="preserve"> take responsibility of advancing customer engagement.</w:t>
      </w:r>
    </w:p>
    <w:p w14:paraId="06B231E6" w14:textId="1F4B8662" w:rsidR="00972B60" w:rsidRPr="00737AEC" w:rsidRDefault="00EC1BDF" w:rsidP="00330DB1">
      <w:pPr>
        <w:rPr>
          <w:rFonts w:ascii="Arial" w:hAnsi="Arial" w:cs="Arial"/>
          <w:b/>
          <w:bCs/>
          <w:lang w:val="en-US"/>
        </w:rPr>
      </w:pPr>
      <w:r w:rsidRPr="00737AEC">
        <w:rPr>
          <w:rFonts w:ascii="Arial" w:hAnsi="Arial" w:cs="Arial"/>
          <w:b/>
          <w:bCs/>
          <w:lang w:val="en-US"/>
        </w:rPr>
        <w:t xml:space="preserve">Bureaucratic Challenges </w:t>
      </w:r>
    </w:p>
    <w:p w14:paraId="7D3104C4" w14:textId="529F6371" w:rsidR="00972B60" w:rsidRPr="00737AEC" w:rsidRDefault="00972B60" w:rsidP="00330DB1">
      <w:pPr>
        <w:rPr>
          <w:rFonts w:ascii="Arial" w:hAnsi="Arial" w:cs="Arial"/>
          <w:lang w:val="en-US"/>
        </w:rPr>
      </w:pPr>
      <w:r w:rsidRPr="00737AEC">
        <w:rPr>
          <w:rFonts w:ascii="Arial" w:hAnsi="Arial" w:cs="Arial"/>
          <w:lang w:val="en-US"/>
        </w:rPr>
        <w:t xml:space="preserve">Although Barclays has established improvements in terms of the agility and customer orientation of the firm, there are definitional elements of banks’ bureaucratic culture that </w:t>
      </w:r>
      <w:r w:rsidRPr="00737AEC">
        <w:rPr>
          <w:rFonts w:ascii="Arial" w:hAnsi="Arial" w:cs="Arial"/>
          <w:lang w:val="en-US"/>
        </w:rPr>
        <w:lastRenderedPageBreak/>
        <w:t>pose risks to change</w:t>
      </w:r>
      <w:r w:rsidR="00307375" w:rsidRPr="00737AEC">
        <w:rPr>
          <w:rFonts w:ascii="Arial" w:hAnsi="Arial" w:cs="Arial"/>
          <w:lang w:val="en-US"/>
        </w:rPr>
        <w:t xml:space="preserve"> (Alvesson, 2015)</w:t>
      </w:r>
      <w:r w:rsidRPr="00737AEC">
        <w:rPr>
          <w:rFonts w:ascii="Arial" w:hAnsi="Arial" w:cs="Arial"/>
          <w:lang w:val="en-US"/>
        </w:rPr>
        <w:t xml:space="preserve">. Like in most of the big financial companies Barclays has many layers of authority and very strict documentation procedures. Such a characteristic can frustrate a change program by making it hard to provide the necessary </w:t>
      </w:r>
      <w:proofErr w:type="spellStart"/>
      <w:r w:rsidRPr="00737AEC">
        <w:rPr>
          <w:rFonts w:ascii="Arial" w:hAnsi="Arial" w:cs="Arial"/>
          <w:lang w:val="en-US"/>
        </w:rPr>
        <w:t>organisational</w:t>
      </w:r>
      <w:proofErr w:type="spellEnd"/>
      <w:r w:rsidRPr="00737AEC">
        <w:rPr>
          <w:rFonts w:ascii="Arial" w:hAnsi="Arial" w:cs="Arial"/>
          <w:lang w:val="en-US"/>
        </w:rPr>
        <w:t xml:space="preserve"> response in a timely fashion.</w:t>
      </w:r>
    </w:p>
    <w:p w14:paraId="5C90DD96" w14:textId="18E48221" w:rsidR="00972B60" w:rsidRPr="00737AEC" w:rsidRDefault="00972B60" w:rsidP="00330DB1">
      <w:pPr>
        <w:rPr>
          <w:rFonts w:ascii="Arial" w:hAnsi="Arial" w:cs="Arial"/>
          <w:lang w:val="en-US"/>
        </w:rPr>
      </w:pPr>
      <w:r w:rsidRPr="00737AEC">
        <w:rPr>
          <w:rFonts w:ascii="Arial" w:hAnsi="Arial" w:cs="Arial"/>
          <w:lang w:val="en-US"/>
        </w:rPr>
        <w:t xml:space="preserve">For example, when seeking to manage resources well and reduce costs, Barclays came up against problems in departments where workers had been trained to expect definite procedures. This cautionary culture sometimes has negative impacts to the </w:t>
      </w:r>
      <w:proofErr w:type="spellStart"/>
      <w:r w:rsidRPr="00737AEC">
        <w:rPr>
          <w:rFonts w:ascii="Arial" w:hAnsi="Arial" w:cs="Arial"/>
          <w:lang w:val="en-US"/>
        </w:rPr>
        <w:t>organi</w:t>
      </w:r>
      <w:r w:rsidR="00AD3914" w:rsidRPr="00737AEC">
        <w:rPr>
          <w:rFonts w:ascii="Arial" w:hAnsi="Arial" w:cs="Arial"/>
          <w:lang w:val="en-US"/>
        </w:rPr>
        <w:t>sation</w:t>
      </w:r>
      <w:proofErr w:type="spellEnd"/>
      <w:r w:rsidRPr="00737AEC">
        <w:rPr>
          <w:rFonts w:ascii="Arial" w:hAnsi="Arial" w:cs="Arial"/>
          <w:lang w:val="en-US"/>
        </w:rPr>
        <w:t xml:space="preserve"> and especially in implementing change initiatives requiring proactivity. Furthermore, it is also stressed that bureaucracy create barriers that sap employees’ energy, resulting in change fatigue and loss of commitment at change initiatives. </w:t>
      </w:r>
    </w:p>
    <w:p w14:paraId="3C91A0EE" w14:textId="26941C24" w:rsidR="00972B60" w:rsidRPr="00737AEC" w:rsidRDefault="00EC1BDF" w:rsidP="00330DB1">
      <w:pPr>
        <w:rPr>
          <w:rFonts w:ascii="Arial" w:hAnsi="Arial" w:cs="Arial"/>
          <w:b/>
          <w:bCs/>
          <w:lang w:val="en-US"/>
        </w:rPr>
      </w:pPr>
      <w:r w:rsidRPr="00737AEC">
        <w:rPr>
          <w:rFonts w:ascii="Arial" w:hAnsi="Arial" w:cs="Arial"/>
          <w:b/>
          <w:bCs/>
          <w:lang w:val="en-US"/>
        </w:rPr>
        <w:t xml:space="preserve">Role of Leadership in Shaping Culture </w:t>
      </w:r>
    </w:p>
    <w:p w14:paraId="43CE2E80" w14:textId="0F963536" w:rsidR="00481958" w:rsidRPr="00737AEC" w:rsidRDefault="00972B60" w:rsidP="00330DB1">
      <w:pPr>
        <w:rPr>
          <w:rFonts w:ascii="Arial" w:hAnsi="Arial" w:cs="Arial"/>
          <w:lang w:val="en-US"/>
        </w:rPr>
      </w:pPr>
      <w:r w:rsidRPr="00737AEC">
        <w:rPr>
          <w:rFonts w:ascii="Arial" w:hAnsi="Arial" w:cs="Arial"/>
          <w:lang w:val="en-US"/>
        </w:rPr>
        <w:t>It is strongly with leadership to ensure that cultural values promote change subsequently management</w:t>
      </w:r>
      <w:r w:rsidR="00ED3DC6" w:rsidRPr="00737AEC">
        <w:rPr>
          <w:rFonts w:ascii="Arial" w:hAnsi="Arial" w:cs="Arial"/>
          <w:lang w:val="en-US"/>
        </w:rPr>
        <w:t xml:space="preserve"> (Hayes, 2018)</w:t>
      </w:r>
      <w:r w:rsidRPr="00737AEC">
        <w:rPr>
          <w:rFonts w:ascii="Arial" w:hAnsi="Arial" w:cs="Arial"/>
          <w:lang w:val="en-US"/>
        </w:rPr>
        <w:t xml:space="preserve">. Barclays’ leadership has engaged in a process of transforming the </w:t>
      </w:r>
      <w:proofErr w:type="spellStart"/>
      <w:r w:rsidRPr="00737AEC">
        <w:rPr>
          <w:rFonts w:ascii="Arial" w:hAnsi="Arial" w:cs="Arial"/>
          <w:lang w:val="en-US"/>
        </w:rPr>
        <w:t>organisational</w:t>
      </w:r>
      <w:proofErr w:type="spellEnd"/>
      <w:r w:rsidRPr="00737AEC">
        <w:rPr>
          <w:rFonts w:ascii="Arial" w:hAnsi="Arial" w:cs="Arial"/>
          <w:lang w:val="en-US"/>
        </w:rPr>
        <w:t xml:space="preserve"> culture through encouraging ethical business practices, customer orientation and creativity. For example, the senior leadership has put in place training, meetings, presentations, and workshops that assist employees to remember the culture’s essential aspects and appreciate the need for change.</w:t>
      </w:r>
    </w:p>
    <w:p w14:paraId="31DFBEB2" w14:textId="1DF5CABF" w:rsidR="00481958" w:rsidRPr="00737AEC" w:rsidRDefault="00481958" w:rsidP="00330DB1">
      <w:pPr>
        <w:rPr>
          <w:rFonts w:ascii="Arial" w:hAnsi="Arial" w:cs="Arial"/>
          <w:lang w:val="en-US"/>
        </w:rPr>
      </w:pPr>
      <w:r w:rsidRPr="00737AEC">
        <w:rPr>
          <w:rFonts w:ascii="Arial" w:hAnsi="Arial" w:cs="Arial"/>
          <w:lang w:val="en-US"/>
        </w:rPr>
        <w:t xml:space="preserve">The continental shift to use of digital services has been largely influenced </w:t>
      </w:r>
      <w:proofErr w:type="gramStart"/>
      <w:r w:rsidRPr="00737AEC">
        <w:rPr>
          <w:rFonts w:ascii="Arial" w:hAnsi="Arial" w:cs="Arial"/>
          <w:lang w:val="en-US"/>
        </w:rPr>
        <w:t>by the use of</w:t>
      </w:r>
      <w:proofErr w:type="gramEnd"/>
      <w:r w:rsidRPr="00737AEC">
        <w:rPr>
          <w:rFonts w:ascii="Arial" w:hAnsi="Arial" w:cs="Arial"/>
          <w:lang w:val="en-US"/>
        </w:rPr>
        <w:t xml:space="preserve"> transformational leadership in Barclay’s. CEOs have encouraged employees to adapt to the change and ensured them they get the necessary materials to enable them to change. Moreover, Barclays have also paid much attention in ethical leadership, most especially after the LIBOR scandals that they have implemented which is indeed important in maintaining the corporate culture in the </w:t>
      </w:r>
      <w:proofErr w:type="spellStart"/>
      <w:r w:rsidRPr="00737AEC">
        <w:rPr>
          <w:rFonts w:ascii="Arial" w:hAnsi="Arial" w:cs="Arial"/>
          <w:lang w:val="en-US"/>
        </w:rPr>
        <w:t>organi</w:t>
      </w:r>
      <w:r w:rsidR="00AD3914" w:rsidRPr="00737AEC">
        <w:rPr>
          <w:rFonts w:ascii="Arial" w:hAnsi="Arial" w:cs="Arial"/>
          <w:lang w:val="en-US"/>
        </w:rPr>
        <w:t>sation</w:t>
      </w:r>
      <w:proofErr w:type="spellEnd"/>
      <w:r w:rsidR="00ED3DC6" w:rsidRPr="00737AEC">
        <w:rPr>
          <w:rFonts w:ascii="Arial" w:hAnsi="Arial" w:cs="Arial"/>
          <w:lang w:val="en-US"/>
        </w:rPr>
        <w:t xml:space="preserve"> (Smith, 2003)</w:t>
      </w:r>
      <w:r w:rsidRPr="00737AEC">
        <w:rPr>
          <w:rFonts w:ascii="Arial" w:hAnsi="Arial" w:cs="Arial"/>
          <w:lang w:val="en-US"/>
        </w:rPr>
        <w:t>. It has emerged that leaders at the workplace have ensured that there are communication channels that are available to the employees and can be utilized in the future for purposes of impact assessment – that is keeping the employees informed and supported during the change process.</w:t>
      </w:r>
    </w:p>
    <w:p w14:paraId="6FA38D79" w14:textId="24B882D2" w:rsidR="00481958" w:rsidRPr="00737AEC" w:rsidRDefault="00481958" w:rsidP="00330DB1">
      <w:pPr>
        <w:rPr>
          <w:rFonts w:ascii="Arial" w:hAnsi="Arial" w:cs="Arial"/>
          <w:lang w:val="en-US"/>
        </w:rPr>
      </w:pPr>
      <w:r w:rsidRPr="00737AEC">
        <w:rPr>
          <w:rFonts w:ascii="Arial" w:hAnsi="Arial" w:cs="Arial"/>
          <w:b/>
          <w:bCs/>
          <w:lang w:val="en-US"/>
        </w:rPr>
        <w:t xml:space="preserve">Cultural Resistance and Change Fatigue </w:t>
      </w:r>
    </w:p>
    <w:p w14:paraId="707760DA" w14:textId="5146FFD8" w:rsidR="00481958" w:rsidRPr="00737AEC" w:rsidRDefault="00481958" w:rsidP="00330DB1">
      <w:pPr>
        <w:rPr>
          <w:rFonts w:ascii="Arial" w:hAnsi="Arial" w:cs="Arial"/>
          <w:lang w:val="en-US"/>
        </w:rPr>
      </w:pPr>
      <w:proofErr w:type="spellStart"/>
      <w:r w:rsidRPr="00737AEC">
        <w:rPr>
          <w:rFonts w:ascii="Arial" w:hAnsi="Arial" w:cs="Arial"/>
          <w:lang w:val="en-US"/>
        </w:rPr>
        <w:lastRenderedPageBreak/>
        <w:t>Organi</w:t>
      </w:r>
      <w:r w:rsidR="00AD3914" w:rsidRPr="00737AEC">
        <w:rPr>
          <w:rFonts w:ascii="Arial" w:hAnsi="Arial" w:cs="Arial"/>
          <w:lang w:val="en-US"/>
        </w:rPr>
        <w:t>sation</w:t>
      </w:r>
      <w:r w:rsidRPr="00737AEC">
        <w:rPr>
          <w:rFonts w:ascii="Arial" w:hAnsi="Arial" w:cs="Arial"/>
          <w:lang w:val="en-US"/>
        </w:rPr>
        <w:t>al</w:t>
      </w:r>
      <w:proofErr w:type="spellEnd"/>
      <w:r w:rsidRPr="00737AEC">
        <w:rPr>
          <w:rFonts w:ascii="Arial" w:hAnsi="Arial" w:cs="Arial"/>
          <w:lang w:val="en-US"/>
        </w:rPr>
        <w:t xml:space="preserve"> culture always present</w:t>
      </w:r>
      <w:r w:rsidR="009B6F01" w:rsidRPr="00737AEC">
        <w:rPr>
          <w:rFonts w:ascii="Arial" w:hAnsi="Arial" w:cs="Arial"/>
          <w:lang w:val="en-US"/>
        </w:rPr>
        <w:t>s</w:t>
      </w:r>
      <w:r w:rsidRPr="00737AEC">
        <w:rPr>
          <w:rFonts w:ascii="Arial" w:hAnsi="Arial" w:cs="Arial"/>
          <w:lang w:val="en-US"/>
        </w:rPr>
        <w:t xml:space="preserve"> a major obstacle to change since people always have culture that determine their way of doing things. At Barclays the patterns of cultural resistance noticed is change fatigue, where employees are overwhelmed by several changes taking place simultaneously. For example, as the </w:t>
      </w:r>
      <w:proofErr w:type="spellStart"/>
      <w:r w:rsidRPr="00737AEC">
        <w:rPr>
          <w:rFonts w:ascii="Arial" w:hAnsi="Arial" w:cs="Arial"/>
          <w:lang w:val="en-US"/>
        </w:rPr>
        <w:t>organi</w:t>
      </w:r>
      <w:r w:rsidR="00AD3914" w:rsidRPr="00737AEC">
        <w:rPr>
          <w:rFonts w:ascii="Arial" w:hAnsi="Arial" w:cs="Arial"/>
          <w:lang w:val="en-US"/>
        </w:rPr>
        <w:t>sation</w:t>
      </w:r>
      <w:r w:rsidRPr="00737AEC">
        <w:rPr>
          <w:rFonts w:ascii="Arial" w:hAnsi="Arial" w:cs="Arial"/>
          <w:lang w:val="en-US"/>
        </w:rPr>
        <w:t>s</w:t>
      </w:r>
      <w:proofErr w:type="spellEnd"/>
      <w:r w:rsidRPr="00737AEC">
        <w:rPr>
          <w:rFonts w:ascii="Arial" w:hAnsi="Arial" w:cs="Arial"/>
          <w:lang w:val="en-US"/>
        </w:rPr>
        <w:t xml:space="preserve"> transformed digitally, employees are also transforming in terms of regulatory compliance, structure, and so forth which cause overwhelm feelings.</w:t>
      </w:r>
    </w:p>
    <w:p w14:paraId="2ECB7BD0" w14:textId="76BBDCC5" w:rsidR="00481958" w:rsidRPr="00737AEC" w:rsidRDefault="00481958" w:rsidP="00330DB1">
      <w:pPr>
        <w:rPr>
          <w:rFonts w:ascii="Arial" w:hAnsi="Arial" w:cs="Arial"/>
          <w:lang w:val="en-US"/>
        </w:rPr>
      </w:pPr>
      <w:r w:rsidRPr="00737AEC">
        <w:rPr>
          <w:rFonts w:ascii="Arial" w:hAnsi="Arial" w:cs="Arial"/>
          <w:lang w:val="en-US"/>
        </w:rPr>
        <w:t>Change resistance is often associated with attitude, especially among the workforce, that does not possess adequate skills to handle new practices, systems or tools</w:t>
      </w:r>
      <w:r w:rsidR="00317B87" w:rsidRPr="00737AEC">
        <w:rPr>
          <w:rFonts w:ascii="Arial" w:hAnsi="Arial" w:cs="Arial"/>
          <w:lang w:val="en-US"/>
        </w:rPr>
        <w:t xml:space="preserve"> (Lewin, 2017)</w:t>
      </w:r>
      <w:r w:rsidRPr="00737AEC">
        <w:rPr>
          <w:rFonts w:ascii="Arial" w:hAnsi="Arial" w:cs="Arial"/>
          <w:lang w:val="en-US"/>
        </w:rPr>
        <w:t xml:space="preserve">. As a result of this, Barclays has embarked on training its employees to enable them </w:t>
      </w:r>
      <w:proofErr w:type="gramStart"/>
      <w:r w:rsidRPr="00737AEC">
        <w:rPr>
          <w:rFonts w:ascii="Arial" w:hAnsi="Arial" w:cs="Arial"/>
          <w:lang w:val="en-US"/>
        </w:rPr>
        <w:t>develop</w:t>
      </w:r>
      <w:proofErr w:type="gramEnd"/>
      <w:r w:rsidRPr="00737AEC">
        <w:rPr>
          <w:rFonts w:ascii="Arial" w:hAnsi="Arial" w:cs="Arial"/>
          <w:lang w:val="en-US"/>
        </w:rPr>
        <w:t xml:space="preserve"> into the right model of the transformation. Nevertheless, strong, steady support along with constant and open communication is critical to overcoming change exhaustion, and therefore, to maintaining cultural fit throughout change at Barclays.</w:t>
      </w:r>
    </w:p>
    <w:p w14:paraId="4F59B4B3" w14:textId="77777777" w:rsidR="00481958" w:rsidRPr="00737AEC" w:rsidRDefault="00481958" w:rsidP="00330DB1">
      <w:pPr>
        <w:rPr>
          <w:rFonts w:ascii="Arial" w:hAnsi="Arial" w:cs="Arial"/>
          <w:lang w:val="en-US"/>
        </w:rPr>
      </w:pPr>
    </w:p>
    <w:p w14:paraId="7ACA48FF" w14:textId="77777777" w:rsidR="00965DBF" w:rsidRPr="00737AEC" w:rsidRDefault="00965DBF" w:rsidP="00330DB1">
      <w:pPr>
        <w:jc w:val="left"/>
        <w:rPr>
          <w:rFonts w:ascii="Arial" w:eastAsiaTheme="majorEastAsia" w:hAnsi="Arial" w:cs="Arial"/>
          <w:b/>
          <w:sz w:val="30"/>
          <w:szCs w:val="32"/>
          <w:lang w:val="en-US"/>
        </w:rPr>
      </w:pPr>
      <w:r w:rsidRPr="00737AEC">
        <w:rPr>
          <w:rFonts w:ascii="Arial" w:hAnsi="Arial" w:cs="Arial"/>
        </w:rPr>
        <w:br w:type="page"/>
      </w:r>
    </w:p>
    <w:p w14:paraId="09228FCC" w14:textId="4DCA3E6E" w:rsidR="00A10B83" w:rsidRPr="00737AEC" w:rsidRDefault="00A31DC6" w:rsidP="00330DB1">
      <w:pPr>
        <w:pStyle w:val="Heading1"/>
        <w:rPr>
          <w:rFonts w:ascii="Arial" w:hAnsi="Arial" w:cs="Arial"/>
        </w:rPr>
      </w:pPr>
      <w:bookmarkStart w:id="12" w:name="_Toc181555337"/>
      <w:r w:rsidRPr="00737AEC">
        <w:rPr>
          <w:rFonts w:ascii="Arial" w:hAnsi="Arial" w:cs="Arial"/>
        </w:rPr>
        <w:lastRenderedPageBreak/>
        <w:t>Proposed Change Management Plan</w:t>
      </w:r>
      <w:bookmarkEnd w:id="12"/>
    </w:p>
    <w:p w14:paraId="3D5D0BCE" w14:textId="6E93E757" w:rsidR="00965DBF" w:rsidRPr="00737AEC" w:rsidRDefault="00965DBF" w:rsidP="00330DB1">
      <w:pPr>
        <w:pStyle w:val="Heading2"/>
        <w:rPr>
          <w:rFonts w:ascii="Arial" w:hAnsi="Arial" w:cs="Arial"/>
        </w:rPr>
      </w:pPr>
      <w:bookmarkStart w:id="13" w:name="_Toc181555338"/>
      <w:r w:rsidRPr="00737AEC">
        <w:rPr>
          <w:rFonts w:ascii="Arial" w:hAnsi="Arial" w:cs="Arial"/>
        </w:rPr>
        <w:t>Proposed Change</w:t>
      </w:r>
      <w:bookmarkEnd w:id="13"/>
    </w:p>
    <w:p w14:paraId="343C2F45" w14:textId="02684314" w:rsidR="007968F8" w:rsidRPr="00737AEC" w:rsidRDefault="007968F8" w:rsidP="00330DB1">
      <w:pPr>
        <w:rPr>
          <w:rFonts w:ascii="Arial" w:hAnsi="Arial" w:cs="Arial"/>
          <w:lang w:val="en-US"/>
        </w:rPr>
      </w:pPr>
      <w:r w:rsidRPr="00737AEC">
        <w:rPr>
          <w:rFonts w:ascii="Arial" w:hAnsi="Arial" w:cs="Arial"/>
          <w:b/>
          <w:bCs/>
          <w:lang w:val="en-US"/>
        </w:rPr>
        <w:t xml:space="preserve">Streamlining Digital Integration and Customer Experience </w:t>
      </w:r>
    </w:p>
    <w:p w14:paraId="1CF042F8" w14:textId="08BE5961" w:rsidR="007968F8" w:rsidRPr="00737AEC" w:rsidRDefault="00965DBF" w:rsidP="00330DB1">
      <w:pPr>
        <w:rPr>
          <w:rFonts w:ascii="Arial" w:hAnsi="Arial" w:cs="Arial"/>
          <w:lang w:val="en-US"/>
        </w:rPr>
      </w:pPr>
      <w:r w:rsidRPr="00737AEC">
        <w:rPr>
          <w:rFonts w:ascii="Arial" w:hAnsi="Arial" w:cs="Arial"/>
          <w:lang w:val="en-US"/>
        </w:rPr>
        <w:t xml:space="preserve">Thinking of the problems that Barclays faced regarding the digital model and </w:t>
      </w:r>
      <w:proofErr w:type="spellStart"/>
      <w:r w:rsidRPr="00737AEC">
        <w:rPr>
          <w:rFonts w:ascii="Arial" w:hAnsi="Arial" w:cs="Arial"/>
          <w:lang w:val="en-US"/>
        </w:rPr>
        <w:t>organi</w:t>
      </w:r>
      <w:r w:rsidR="00AD3914" w:rsidRPr="00737AEC">
        <w:rPr>
          <w:rFonts w:ascii="Arial" w:hAnsi="Arial" w:cs="Arial"/>
          <w:lang w:val="en-US"/>
        </w:rPr>
        <w:t>sation</w:t>
      </w:r>
      <w:r w:rsidRPr="00737AEC">
        <w:rPr>
          <w:rFonts w:ascii="Arial" w:hAnsi="Arial" w:cs="Arial"/>
          <w:lang w:val="en-US"/>
        </w:rPr>
        <w:t>al</w:t>
      </w:r>
      <w:proofErr w:type="spellEnd"/>
      <w:r w:rsidRPr="00737AEC">
        <w:rPr>
          <w:rFonts w:ascii="Arial" w:hAnsi="Arial" w:cs="Arial"/>
          <w:lang w:val="en-US"/>
        </w:rPr>
        <w:t xml:space="preserve"> culture, the change model targets the simplification process of digital merger for the upgrade of customer experience. While Barclays has increasingly adopted digital banking to the current generation, it is still possible for the company to enhance the access, mobility, and support services to consumers in this digital environment since it </w:t>
      </w:r>
      <w:proofErr w:type="gramStart"/>
      <w:r w:rsidRPr="00737AEC">
        <w:rPr>
          <w:rFonts w:ascii="Arial" w:hAnsi="Arial" w:cs="Arial"/>
          <w:lang w:val="en-US"/>
        </w:rPr>
        <w:t>has to</w:t>
      </w:r>
      <w:proofErr w:type="gramEnd"/>
      <w:r w:rsidRPr="00737AEC">
        <w:rPr>
          <w:rFonts w:ascii="Arial" w:hAnsi="Arial" w:cs="Arial"/>
          <w:lang w:val="en-US"/>
        </w:rPr>
        <w:t xml:space="preserve"> compete with new emerging fintech companies</w:t>
      </w:r>
      <w:r w:rsidR="003F0472" w:rsidRPr="00737AEC">
        <w:rPr>
          <w:rFonts w:ascii="Arial" w:hAnsi="Arial" w:cs="Arial"/>
          <w:lang w:val="en-US"/>
        </w:rPr>
        <w:t xml:space="preserve"> (Dobbs, 2015)</w:t>
      </w:r>
      <w:r w:rsidRPr="00737AEC">
        <w:rPr>
          <w:rFonts w:ascii="Arial" w:hAnsi="Arial" w:cs="Arial"/>
          <w:lang w:val="en-US"/>
        </w:rPr>
        <w:t>. The proposed change therefore involves creating an omni-channel digital service, or a single personali</w:t>
      </w:r>
      <w:r w:rsidR="0064163F" w:rsidRPr="00737AEC">
        <w:rPr>
          <w:rFonts w:ascii="Arial" w:hAnsi="Arial" w:cs="Arial"/>
          <w:lang w:val="en-US"/>
        </w:rPr>
        <w:t>s</w:t>
      </w:r>
      <w:r w:rsidRPr="00737AEC">
        <w:rPr>
          <w:rFonts w:ascii="Arial" w:hAnsi="Arial" w:cs="Arial"/>
          <w:lang w:val="en-US"/>
        </w:rPr>
        <w:t xml:space="preserve">ed platform that encompasses all forms of client interface, whether it’s a mobile application, internet banking or branch services. This change will also deal with culture by </w:t>
      </w:r>
      <w:proofErr w:type="spellStart"/>
      <w:r w:rsidRPr="00737AEC">
        <w:rPr>
          <w:rFonts w:ascii="Arial" w:hAnsi="Arial" w:cs="Arial"/>
          <w:lang w:val="en-US"/>
        </w:rPr>
        <w:t>minimi</w:t>
      </w:r>
      <w:r w:rsidR="0064163F" w:rsidRPr="00737AEC">
        <w:rPr>
          <w:rFonts w:ascii="Arial" w:hAnsi="Arial" w:cs="Arial"/>
          <w:lang w:val="en-US"/>
        </w:rPr>
        <w:t>s</w:t>
      </w:r>
      <w:r w:rsidRPr="00737AEC">
        <w:rPr>
          <w:rFonts w:ascii="Arial" w:hAnsi="Arial" w:cs="Arial"/>
          <w:lang w:val="en-US"/>
        </w:rPr>
        <w:t>ing</w:t>
      </w:r>
      <w:proofErr w:type="spellEnd"/>
      <w:r w:rsidRPr="00737AEC">
        <w:rPr>
          <w:rFonts w:ascii="Arial" w:hAnsi="Arial" w:cs="Arial"/>
          <w:lang w:val="en-US"/>
        </w:rPr>
        <w:t xml:space="preserve"> complicated procedures for the workers.</w:t>
      </w:r>
    </w:p>
    <w:p w14:paraId="45C7FCC2" w14:textId="77777777" w:rsidR="00E90554" w:rsidRPr="00737AEC" w:rsidRDefault="00E90554" w:rsidP="00330DB1">
      <w:pPr>
        <w:pStyle w:val="Heading2"/>
        <w:rPr>
          <w:rFonts w:ascii="Arial" w:hAnsi="Arial" w:cs="Arial"/>
        </w:rPr>
      </w:pPr>
      <w:bookmarkStart w:id="14" w:name="_Toc181555339"/>
      <w:r w:rsidRPr="00737AEC">
        <w:rPr>
          <w:rFonts w:ascii="Arial" w:hAnsi="Arial" w:cs="Arial"/>
        </w:rPr>
        <w:t>Financial Plan</w:t>
      </w:r>
      <w:bookmarkEnd w:id="14"/>
    </w:p>
    <w:p w14:paraId="63A281BB" w14:textId="7C0C93B3" w:rsidR="001920EB" w:rsidRPr="00737AEC" w:rsidRDefault="001920EB" w:rsidP="00330DB1">
      <w:pPr>
        <w:rPr>
          <w:rFonts w:ascii="Arial" w:hAnsi="Arial" w:cs="Arial"/>
          <w:b/>
          <w:bCs/>
          <w:lang w:val="en-US"/>
        </w:rPr>
      </w:pPr>
      <w:r w:rsidRPr="00737AEC">
        <w:rPr>
          <w:rFonts w:ascii="Arial" w:hAnsi="Arial" w:cs="Arial"/>
          <w:b/>
          <w:bCs/>
          <w:lang w:val="en-US"/>
        </w:rPr>
        <w:t xml:space="preserve">Budget Outline for Streamlining Digital Platform </w:t>
      </w:r>
    </w:p>
    <w:p w14:paraId="34ADD550" w14:textId="092BA1F7" w:rsidR="00E90554" w:rsidRPr="00737AEC" w:rsidRDefault="00E90554" w:rsidP="00330DB1">
      <w:pPr>
        <w:rPr>
          <w:rFonts w:ascii="Arial" w:hAnsi="Arial" w:cs="Arial"/>
        </w:rPr>
      </w:pPr>
      <w:r w:rsidRPr="00737AEC">
        <w:rPr>
          <w:rFonts w:ascii="Arial" w:hAnsi="Arial" w:cs="Arial"/>
        </w:rPr>
        <w:t>The plan to advance the conventional digital platform further necessitates the development of a good financial plan</w:t>
      </w:r>
      <w:r w:rsidR="00A9281B" w:rsidRPr="00737AEC">
        <w:rPr>
          <w:rFonts w:ascii="Arial" w:hAnsi="Arial" w:cs="Arial"/>
        </w:rPr>
        <w:t xml:space="preserve"> (</w:t>
      </w:r>
      <w:proofErr w:type="spellStart"/>
      <w:r w:rsidR="00A9281B" w:rsidRPr="00737AEC">
        <w:rPr>
          <w:rFonts w:ascii="Arial" w:hAnsi="Arial" w:cs="Arial"/>
          <w:lang w:val="en-US"/>
        </w:rPr>
        <w:t>Champy</w:t>
      </w:r>
      <w:proofErr w:type="spellEnd"/>
      <w:r w:rsidR="00A9281B" w:rsidRPr="00737AEC">
        <w:rPr>
          <w:rFonts w:ascii="Arial" w:hAnsi="Arial" w:cs="Arial"/>
          <w:lang w:val="en-US"/>
        </w:rPr>
        <w:t>, 2016)</w:t>
      </w:r>
      <w:r w:rsidRPr="00737AEC">
        <w:rPr>
          <w:rFonts w:ascii="Arial" w:hAnsi="Arial" w:cs="Arial"/>
        </w:rPr>
        <w:t>. The high-level budget would include costs related to technology upgrades, employee training, marketing, and evaluation:</w:t>
      </w:r>
    </w:p>
    <w:p w14:paraId="0BDD3B6D" w14:textId="77777777" w:rsidR="00E90554" w:rsidRPr="00737AEC" w:rsidRDefault="00E90554" w:rsidP="00330DB1">
      <w:pPr>
        <w:pStyle w:val="ListParagraph"/>
        <w:numPr>
          <w:ilvl w:val="0"/>
          <w:numId w:val="1"/>
        </w:numPr>
        <w:rPr>
          <w:rFonts w:ascii="Arial" w:hAnsi="Arial" w:cs="Arial"/>
        </w:rPr>
      </w:pPr>
      <w:r w:rsidRPr="00737AEC">
        <w:rPr>
          <w:rFonts w:ascii="Arial" w:hAnsi="Arial" w:cs="Arial"/>
          <w:b/>
          <w:bCs/>
        </w:rPr>
        <w:t>Technology and Infrastructure:</w:t>
      </w:r>
      <w:r w:rsidRPr="00737AEC">
        <w:rPr>
          <w:rFonts w:ascii="Arial" w:hAnsi="Arial" w:cs="Arial"/>
        </w:rPr>
        <w:t xml:space="preserve"> $15 million for building a platform, integrating with cloud service, deploying security protocols and data management systems.</w:t>
      </w:r>
    </w:p>
    <w:p w14:paraId="413D8483" w14:textId="77777777" w:rsidR="00E90554" w:rsidRPr="00737AEC" w:rsidRDefault="00E90554" w:rsidP="00330DB1">
      <w:pPr>
        <w:pStyle w:val="ListParagraph"/>
        <w:numPr>
          <w:ilvl w:val="0"/>
          <w:numId w:val="1"/>
        </w:numPr>
        <w:rPr>
          <w:rFonts w:ascii="Arial" w:hAnsi="Arial" w:cs="Arial"/>
        </w:rPr>
      </w:pPr>
      <w:r w:rsidRPr="00737AEC">
        <w:rPr>
          <w:rFonts w:ascii="Arial" w:hAnsi="Arial" w:cs="Arial"/>
          <w:b/>
          <w:bCs/>
        </w:rPr>
        <w:t>Training and Development:</w:t>
      </w:r>
      <w:r w:rsidRPr="00737AEC">
        <w:rPr>
          <w:rFonts w:ascii="Arial" w:hAnsi="Arial" w:cs="Arial"/>
        </w:rPr>
        <w:t xml:space="preserve"> $5 million for training of the human resource to enable them </w:t>
      </w:r>
      <w:proofErr w:type="gramStart"/>
      <w:r w:rsidRPr="00737AEC">
        <w:rPr>
          <w:rFonts w:ascii="Arial" w:hAnsi="Arial" w:cs="Arial"/>
        </w:rPr>
        <w:t>adapt</w:t>
      </w:r>
      <w:proofErr w:type="gramEnd"/>
      <w:r w:rsidRPr="00737AEC">
        <w:rPr>
          <w:rFonts w:ascii="Arial" w:hAnsi="Arial" w:cs="Arial"/>
        </w:rPr>
        <w:t xml:space="preserve"> to these new technological tools by attending workshops and training sessions to demystify the new tools.</w:t>
      </w:r>
    </w:p>
    <w:p w14:paraId="70116D1A" w14:textId="77777777" w:rsidR="00E90554" w:rsidRPr="00737AEC" w:rsidRDefault="00E90554" w:rsidP="00330DB1">
      <w:pPr>
        <w:pStyle w:val="ListParagraph"/>
        <w:numPr>
          <w:ilvl w:val="0"/>
          <w:numId w:val="1"/>
        </w:numPr>
        <w:rPr>
          <w:rFonts w:ascii="Arial" w:hAnsi="Arial" w:cs="Arial"/>
        </w:rPr>
      </w:pPr>
      <w:r w:rsidRPr="00737AEC">
        <w:rPr>
          <w:rFonts w:ascii="Arial" w:hAnsi="Arial" w:cs="Arial"/>
          <w:b/>
          <w:bCs/>
        </w:rPr>
        <w:t>Marketing and Customer Education:</w:t>
      </w:r>
      <w:r w:rsidRPr="00737AEC">
        <w:rPr>
          <w:rFonts w:ascii="Arial" w:hAnsi="Arial" w:cs="Arial"/>
        </w:rPr>
        <w:t xml:space="preserve"> It separately outsourced $3 million for designing a communication strategy for informing the customers about how to utilise the newly added digital functions </w:t>
      </w:r>
      <w:proofErr w:type="gramStart"/>
      <w:r w:rsidRPr="00737AEC">
        <w:rPr>
          <w:rFonts w:ascii="Arial" w:hAnsi="Arial" w:cs="Arial"/>
        </w:rPr>
        <w:t>in order to</w:t>
      </w:r>
      <w:proofErr w:type="gramEnd"/>
      <w:r w:rsidRPr="00737AEC">
        <w:rPr>
          <w:rFonts w:ascii="Arial" w:hAnsi="Arial" w:cs="Arial"/>
        </w:rPr>
        <w:t xml:space="preserve"> enhance their popularity.</w:t>
      </w:r>
    </w:p>
    <w:p w14:paraId="679384A4" w14:textId="77777777" w:rsidR="00E90554" w:rsidRPr="00737AEC" w:rsidRDefault="00E90554" w:rsidP="00330DB1">
      <w:pPr>
        <w:pStyle w:val="ListParagraph"/>
        <w:numPr>
          <w:ilvl w:val="0"/>
          <w:numId w:val="1"/>
        </w:numPr>
        <w:rPr>
          <w:rFonts w:ascii="Arial" w:hAnsi="Arial" w:cs="Arial"/>
        </w:rPr>
      </w:pPr>
      <w:r w:rsidRPr="00737AEC">
        <w:rPr>
          <w:rFonts w:ascii="Arial" w:hAnsi="Arial" w:cs="Arial"/>
          <w:b/>
          <w:bCs/>
        </w:rPr>
        <w:lastRenderedPageBreak/>
        <w:t>Evaluation and Monitoring:</w:t>
      </w:r>
      <w:r w:rsidRPr="00737AEC">
        <w:rPr>
          <w:rFonts w:ascii="Arial" w:hAnsi="Arial" w:cs="Arial"/>
        </w:rPr>
        <w:t xml:space="preserve"> $2 million to set up the monitoring solutions, as well as hiring a team for user testing and post launch analysis of the platform.</w:t>
      </w:r>
    </w:p>
    <w:p w14:paraId="21546DB5" w14:textId="1C721A5C" w:rsidR="00E90554" w:rsidRPr="00737AEC" w:rsidRDefault="00E90554" w:rsidP="00330DB1">
      <w:pPr>
        <w:rPr>
          <w:rFonts w:ascii="Arial" w:hAnsi="Arial" w:cs="Arial"/>
        </w:rPr>
      </w:pPr>
      <w:r w:rsidRPr="00737AEC">
        <w:rPr>
          <w:rFonts w:ascii="Arial" w:hAnsi="Arial" w:cs="Arial"/>
          <w:b/>
          <w:bCs/>
        </w:rPr>
        <w:t>Total Estimated Budget:</w:t>
      </w:r>
      <w:r w:rsidRPr="00737AEC">
        <w:rPr>
          <w:rFonts w:ascii="Arial" w:hAnsi="Arial" w:cs="Arial"/>
        </w:rPr>
        <w:t xml:space="preserve"> </w:t>
      </w:r>
      <w:r w:rsidR="004474C2" w:rsidRPr="00737AEC">
        <w:rPr>
          <w:rFonts w:ascii="Arial" w:hAnsi="Arial" w:cs="Arial"/>
        </w:rPr>
        <w:t xml:space="preserve">$25 Million </w:t>
      </w:r>
    </w:p>
    <w:p w14:paraId="0843D2F4" w14:textId="0098A3F1" w:rsidR="00B730D7" w:rsidRPr="00737AEC" w:rsidRDefault="00B730D7" w:rsidP="00330DB1">
      <w:pPr>
        <w:pStyle w:val="Heading2"/>
        <w:rPr>
          <w:rFonts w:ascii="Arial" w:hAnsi="Arial" w:cs="Arial"/>
        </w:rPr>
      </w:pPr>
      <w:bookmarkStart w:id="15" w:name="_Toc181555340"/>
      <w:r w:rsidRPr="00737AEC">
        <w:rPr>
          <w:rFonts w:ascii="Arial" w:hAnsi="Arial" w:cs="Arial"/>
        </w:rPr>
        <w:t>Communication Plan</w:t>
      </w:r>
      <w:bookmarkEnd w:id="15"/>
      <w:r w:rsidRPr="00737AEC">
        <w:rPr>
          <w:rFonts w:ascii="Arial" w:hAnsi="Arial" w:cs="Arial"/>
        </w:rPr>
        <w:t xml:space="preserve"> </w:t>
      </w:r>
    </w:p>
    <w:p w14:paraId="1F3049F7" w14:textId="1FD48EE2" w:rsidR="00DF03A0" w:rsidRPr="00737AEC" w:rsidRDefault="00DF03A0" w:rsidP="00330DB1">
      <w:pPr>
        <w:rPr>
          <w:rFonts w:ascii="Arial" w:hAnsi="Arial" w:cs="Arial"/>
          <w:b/>
          <w:bCs/>
          <w:lang w:val="en-US"/>
        </w:rPr>
      </w:pPr>
      <w:r w:rsidRPr="00737AEC">
        <w:rPr>
          <w:rFonts w:ascii="Arial" w:hAnsi="Arial" w:cs="Arial"/>
          <w:b/>
          <w:bCs/>
          <w:lang w:val="en-US"/>
        </w:rPr>
        <w:t xml:space="preserve">Engaging Internal and External Communication </w:t>
      </w:r>
    </w:p>
    <w:p w14:paraId="3F018255" w14:textId="6ECAC80C" w:rsidR="00E90554" w:rsidRPr="00737AEC" w:rsidRDefault="00A9281B" w:rsidP="00330DB1">
      <w:pPr>
        <w:rPr>
          <w:rFonts w:ascii="Arial" w:hAnsi="Arial" w:cs="Arial"/>
        </w:rPr>
      </w:pPr>
      <w:r w:rsidRPr="00737AEC">
        <w:rPr>
          <w:rFonts w:ascii="Arial" w:hAnsi="Arial" w:cs="Arial"/>
        </w:rPr>
        <w:t>T</w:t>
      </w:r>
      <w:r w:rsidR="00E90554" w:rsidRPr="00737AEC">
        <w:rPr>
          <w:rFonts w:ascii="Arial" w:hAnsi="Arial" w:cs="Arial"/>
        </w:rPr>
        <w:t xml:space="preserve">he communication plan should be very clear so that everybody can </w:t>
      </w:r>
      <w:proofErr w:type="gramStart"/>
      <w:r w:rsidR="00E90554" w:rsidRPr="00737AEC">
        <w:rPr>
          <w:rFonts w:ascii="Arial" w:hAnsi="Arial" w:cs="Arial"/>
        </w:rPr>
        <w:t>agree</w:t>
      </w:r>
      <w:proofErr w:type="gramEnd"/>
      <w:r w:rsidR="00E90554" w:rsidRPr="00737AEC">
        <w:rPr>
          <w:rFonts w:ascii="Arial" w:hAnsi="Arial" w:cs="Arial"/>
        </w:rPr>
        <w:t xml:space="preserve"> and the project can be rolled out more efficiently</w:t>
      </w:r>
      <w:r w:rsidRPr="00737AEC">
        <w:rPr>
          <w:rFonts w:ascii="Arial" w:hAnsi="Arial" w:cs="Arial"/>
        </w:rPr>
        <w:t xml:space="preserve"> (</w:t>
      </w:r>
      <w:r w:rsidRPr="00737AEC">
        <w:rPr>
          <w:rFonts w:ascii="Arial" w:hAnsi="Arial" w:cs="Arial"/>
          <w:lang w:val="en-US"/>
        </w:rPr>
        <w:t>Davis, 2015)</w:t>
      </w:r>
      <w:r w:rsidR="00E90554" w:rsidRPr="00737AEC">
        <w:rPr>
          <w:rFonts w:ascii="Arial" w:hAnsi="Arial" w:cs="Arial"/>
        </w:rPr>
        <w:t xml:space="preserve">. The plan will be developed </w:t>
      </w:r>
      <w:proofErr w:type="gramStart"/>
      <w:r w:rsidR="00E90554" w:rsidRPr="00737AEC">
        <w:rPr>
          <w:rFonts w:ascii="Arial" w:hAnsi="Arial" w:cs="Arial"/>
        </w:rPr>
        <w:t>with regard to</w:t>
      </w:r>
      <w:proofErr w:type="gramEnd"/>
      <w:r w:rsidR="00E90554" w:rsidRPr="00737AEC">
        <w:rPr>
          <w:rFonts w:ascii="Arial" w:hAnsi="Arial" w:cs="Arial"/>
        </w:rPr>
        <w:t xml:space="preserve"> the internal consumers including the employees, the managerial staff, while the external consumers are the customers and the shareholders.</w:t>
      </w:r>
    </w:p>
    <w:p w14:paraId="37F1DEF5" w14:textId="06C5E408" w:rsidR="00E90554" w:rsidRPr="00737AEC" w:rsidRDefault="00542C39" w:rsidP="00330DB1">
      <w:pPr>
        <w:rPr>
          <w:rFonts w:ascii="Arial" w:hAnsi="Arial" w:cs="Arial"/>
          <w:b/>
          <w:bCs/>
        </w:rPr>
      </w:pPr>
      <w:r w:rsidRPr="00737AEC">
        <w:rPr>
          <w:rFonts w:ascii="Arial" w:hAnsi="Arial" w:cs="Arial"/>
          <w:b/>
          <w:bCs/>
        </w:rPr>
        <w:t>Internal Communication</w:t>
      </w:r>
    </w:p>
    <w:p w14:paraId="55031BF1" w14:textId="103413A1" w:rsidR="00E90554" w:rsidRPr="00737AEC" w:rsidRDefault="00E90554" w:rsidP="00330DB1">
      <w:pPr>
        <w:pStyle w:val="ListParagraph"/>
        <w:numPr>
          <w:ilvl w:val="0"/>
          <w:numId w:val="2"/>
        </w:numPr>
        <w:rPr>
          <w:rFonts w:ascii="Arial" w:hAnsi="Arial" w:cs="Arial"/>
        </w:rPr>
      </w:pPr>
      <w:r w:rsidRPr="00737AEC">
        <w:rPr>
          <w:rFonts w:ascii="Arial" w:hAnsi="Arial" w:cs="Arial"/>
          <w:b/>
          <w:bCs/>
        </w:rPr>
        <w:t>Pre-Launch:</w:t>
      </w:r>
      <w:r w:rsidRPr="00737AEC">
        <w:rPr>
          <w:rFonts w:ascii="Arial" w:hAnsi="Arial" w:cs="Arial"/>
        </w:rPr>
        <w:t xml:space="preserve"> Hold online seminars and presentations </w:t>
      </w:r>
      <w:proofErr w:type="gramStart"/>
      <w:r w:rsidRPr="00737AEC">
        <w:rPr>
          <w:rFonts w:ascii="Arial" w:hAnsi="Arial" w:cs="Arial"/>
        </w:rPr>
        <w:t>in order to</w:t>
      </w:r>
      <w:proofErr w:type="gramEnd"/>
      <w:r w:rsidRPr="00737AEC">
        <w:rPr>
          <w:rFonts w:ascii="Arial" w:hAnsi="Arial" w:cs="Arial"/>
        </w:rPr>
        <w:t xml:space="preserve"> address audiences regarding platform’s functions and relating it to Barclays’ client-oriented policy. Use newsletters and intranet posts to disseminate information about organi</w:t>
      </w:r>
      <w:r w:rsidR="00AD3914" w:rsidRPr="00737AEC">
        <w:rPr>
          <w:rFonts w:ascii="Arial" w:hAnsi="Arial" w:cs="Arial"/>
        </w:rPr>
        <w:t>sation</w:t>
      </w:r>
      <w:r w:rsidRPr="00737AEC">
        <w:rPr>
          <w:rFonts w:ascii="Arial" w:hAnsi="Arial" w:cs="Arial"/>
        </w:rPr>
        <w:t>al timelines, goals as well as other anticipated effects.</w:t>
      </w:r>
    </w:p>
    <w:p w14:paraId="7353DC91" w14:textId="77777777" w:rsidR="00E90554" w:rsidRPr="00737AEC" w:rsidRDefault="00E90554" w:rsidP="00330DB1">
      <w:pPr>
        <w:pStyle w:val="ListParagraph"/>
        <w:numPr>
          <w:ilvl w:val="0"/>
          <w:numId w:val="2"/>
        </w:numPr>
        <w:rPr>
          <w:rFonts w:ascii="Arial" w:hAnsi="Arial" w:cs="Arial"/>
        </w:rPr>
      </w:pPr>
      <w:r w:rsidRPr="00737AEC">
        <w:rPr>
          <w:rFonts w:ascii="Arial" w:hAnsi="Arial" w:cs="Arial"/>
          <w:b/>
          <w:bCs/>
        </w:rPr>
        <w:t>Launch Phase:</w:t>
      </w:r>
      <w:r w:rsidRPr="00737AEC">
        <w:rPr>
          <w:rFonts w:ascii="Arial" w:hAnsi="Arial" w:cs="Arial"/>
        </w:rPr>
        <w:t xml:space="preserve"> Conduct team meetings and have a </w:t>
      </w:r>
      <w:proofErr w:type="gramStart"/>
      <w:r w:rsidRPr="00737AEC">
        <w:rPr>
          <w:rFonts w:ascii="Arial" w:hAnsi="Arial" w:cs="Arial"/>
        </w:rPr>
        <w:t>help-desk</w:t>
      </w:r>
      <w:proofErr w:type="gramEnd"/>
      <w:r w:rsidRPr="00737AEC">
        <w:rPr>
          <w:rFonts w:ascii="Arial" w:hAnsi="Arial" w:cs="Arial"/>
        </w:rPr>
        <w:t xml:space="preserve"> that responds to questions that employees have at their workplace in the future.</w:t>
      </w:r>
    </w:p>
    <w:p w14:paraId="734195B7" w14:textId="77777777" w:rsidR="00E90554" w:rsidRPr="00737AEC" w:rsidRDefault="00E90554" w:rsidP="00330DB1">
      <w:pPr>
        <w:pStyle w:val="ListParagraph"/>
        <w:numPr>
          <w:ilvl w:val="0"/>
          <w:numId w:val="2"/>
        </w:numPr>
        <w:rPr>
          <w:rFonts w:ascii="Arial" w:hAnsi="Arial" w:cs="Arial"/>
        </w:rPr>
      </w:pPr>
      <w:r w:rsidRPr="00737AEC">
        <w:rPr>
          <w:rFonts w:ascii="Arial" w:hAnsi="Arial" w:cs="Arial"/>
          <w:b/>
          <w:bCs/>
        </w:rPr>
        <w:t xml:space="preserve">Continuous Engagement: </w:t>
      </w:r>
      <w:r w:rsidRPr="00737AEC">
        <w:rPr>
          <w:rFonts w:ascii="Arial" w:hAnsi="Arial" w:cs="Arial"/>
        </w:rPr>
        <w:t xml:space="preserve">Conduct frequent communication with employees to keep them informed on the change initiatives and achievement, even supply some success stories or </w:t>
      </w:r>
      <w:proofErr w:type="gramStart"/>
      <w:r w:rsidRPr="00737AEC">
        <w:rPr>
          <w:rFonts w:ascii="Arial" w:hAnsi="Arial" w:cs="Arial"/>
        </w:rPr>
        <w:t>feedbacks</w:t>
      </w:r>
      <w:proofErr w:type="gramEnd"/>
      <w:r w:rsidRPr="00737AEC">
        <w:rPr>
          <w:rFonts w:ascii="Arial" w:hAnsi="Arial" w:cs="Arial"/>
        </w:rPr>
        <w:t xml:space="preserve"> from the employees.</w:t>
      </w:r>
    </w:p>
    <w:p w14:paraId="3619952D" w14:textId="0D7DAF5B" w:rsidR="00E90554" w:rsidRPr="00737AEC" w:rsidRDefault="00542C39" w:rsidP="00330DB1">
      <w:pPr>
        <w:rPr>
          <w:rFonts w:ascii="Arial" w:hAnsi="Arial" w:cs="Arial"/>
          <w:b/>
          <w:bCs/>
        </w:rPr>
      </w:pPr>
      <w:r w:rsidRPr="00737AEC">
        <w:rPr>
          <w:rFonts w:ascii="Arial" w:hAnsi="Arial" w:cs="Arial"/>
          <w:b/>
          <w:bCs/>
        </w:rPr>
        <w:t xml:space="preserve">External Communication </w:t>
      </w:r>
    </w:p>
    <w:p w14:paraId="0E7CB764" w14:textId="77777777" w:rsidR="00E90554" w:rsidRPr="00737AEC" w:rsidRDefault="00E90554" w:rsidP="00330DB1">
      <w:pPr>
        <w:pStyle w:val="ListParagraph"/>
        <w:numPr>
          <w:ilvl w:val="0"/>
          <w:numId w:val="3"/>
        </w:numPr>
        <w:rPr>
          <w:rFonts w:ascii="Arial" w:hAnsi="Arial" w:cs="Arial"/>
        </w:rPr>
      </w:pPr>
      <w:r w:rsidRPr="00737AEC">
        <w:rPr>
          <w:rFonts w:ascii="Arial" w:hAnsi="Arial" w:cs="Arial"/>
          <w:b/>
          <w:bCs/>
        </w:rPr>
        <w:t>Customer Education Campaign:</w:t>
      </w:r>
      <w:r w:rsidRPr="00737AEC">
        <w:rPr>
          <w:rFonts w:ascii="Arial" w:hAnsi="Arial" w:cs="Arial"/>
        </w:rPr>
        <w:t xml:space="preserve"> Sent out a mass email, social media post, or SMS blast that highlights the new and improved digital services and guiding customers to the changes and improvements promoted under accessibility and security.</w:t>
      </w:r>
    </w:p>
    <w:p w14:paraId="0EECF7CD" w14:textId="77777777" w:rsidR="00381EA1" w:rsidRPr="00737AEC" w:rsidRDefault="00E90554" w:rsidP="00330DB1">
      <w:pPr>
        <w:pStyle w:val="ListParagraph"/>
        <w:numPr>
          <w:ilvl w:val="0"/>
          <w:numId w:val="3"/>
        </w:numPr>
        <w:rPr>
          <w:rFonts w:ascii="Arial" w:hAnsi="Arial" w:cs="Arial"/>
        </w:rPr>
      </w:pPr>
      <w:r w:rsidRPr="00737AEC">
        <w:rPr>
          <w:rFonts w:ascii="Arial" w:hAnsi="Arial" w:cs="Arial"/>
          <w:b/>
          <w:bCs/>
        </w:rPr>
        <w:t xml:space="preserve">Shareholder Updates: </w:t>
      </w:r>
      <w:r w:rsidRPr="00737AEC">
        <w:rPr>
          <w:rFonts w:ascii="Arial" w:hAnsi="Arial" w:cs="Arial"/>
        </w:rPr>
        <w:t xml:space="preserve">After each quarter, provide an outline of the platform’s influence on growth and customer retention during the earnings call with investment analysts, </w:t>
      </w:r>
      <w:proofErr w:type="gramStart"/>
      <w:r w:rsidRPr="00737AEC">
        <w:rPr>
          <w:rFonts w:ascii="Arial" w:hAnsi="Arial" w:cs="Arial"/>
        </w:rPr>
        <w:t>in order to</w:t>
      </w:r>
      <w:proofErr w:type="gramEnd"/>
      <w:r w:rsidRPr="00737AEC">
        <w:rPr>
          <w:rFonts w:ascii="Arial" w:hAnsi="Arial" w:cs="Arial"/>
        </w:rPr>
        <w:t xml:space="preserve"> show that Barclays is ready to embrace the digital future.</w:t>
      </w:r>
    </w:p>
    <w:p w14:paraId="5D00FE62" w14:textId="02706FBF" w:rsidR="00381EA1" w:rsidRPr="00737AEC" w:rsidRDefault="00381EA1" w:rsidP="00330DB1">
      <w:pPr>
        <w:pStyle w:val="Heading2"/>
        <w:rPr>
          <w:rFonts w:ascii="Arial" w:hAnsi="Arial" w:cs="Arial"/>
        </w:rPr>
      </w:pPr>
      <w:bookmarkStart w:id="16" w:name="_Toc181555341"/>
      <w:r w:rsidRPr="00737AEC">
        <w:rPr>
          <w:rFonts w:ascii="Arial" w:hAnsi="Arial" w:cs="Arial"/>
        </w:rPr>
        <w:lastRenderedPageBreak/>
        <w:t>Evaluation Plan</w:t>
      </w:r>
      <w:bookmarkEnd w:id="16"/>
    </w:p>
    <w:p w14:paraId="29816D9F" w14:textId="6AF8B8B3" w:rsidR="00381EA1" w:rsidRPr="00737AEC" w:rsidRDefault="00381EA1" w:rsidP="00330DB1">
      <w:pPr>
        <w:rPr>
          <w:rFonts w:ascii="Arial" w:hAnsi="Arial" w:cs="Arial"/>
          <w:b/>
          <w:bCs/>
          <w:lang w:val="en-US"/>
        </w:rPr>
      </w:pPr>
      <w:r w:rsidRPr="00737AEC">
        <w:rPr>
          <w:rFonts w:ascii="Arial" w:hAnsi="Arial" w:cs="Arial"/>
          <w:b/>
          <w:bCs/>
          <w:lang w:val="en-US"/>
        </w:rPr>
        <w:t xml:space="preserve">Metrics and Monitoring Process </w:t>
      </w:r>
    </w:p>
    <w:p w14:paraId="723E61BF" w14:textId="77777777" w:rsidR="00381EA1" w:rsidRPr="00737AEC" w:rsidRDefault="00381EA1" w:rsidP="00330DB1">
      <w:pPr>
        <w:rPr>
          <w:rFonts w:ascii="Arial" w:hAnsi="Arial" w:cs="Arial"/>
        </w:rPr>
      </w:pPr>
      <w:r w:rsidRPr="00737AEC">
        <w:rPr>
          <w:rFonts w:ascii="Arial" w:hAnsi="Arial" w:cs="Arial"/>
        </w:rPr>
        <w:t>To gauge the effectiveness of the digital integration and its impact on customer experience, the following metrics and evaluation methods will be implemented:</w:t>
      </w:r>
    </w:p>
    <w:p w14:paraId="5E38C2BD" w14:textId="77777777" w:rsidR="00381EA1" w:rsidRPr="00737AEC" w:rsidRDefault="00381EA1" w:rsidP="00330DB1">
      <w:pPr>
        <w:pStyle w:val="ListParagraph"/>
        <w:numPr>
          <w:ilvl w:val="0"/>
          <w:numId w:val="4"/>
        </w:numPr>
        <w:rPr>
          <w:rFonts w:ascii="Arial" w:hAnsi="Arial" w:cs="Arial"/>
        </w:rPr>
      </w:pPr>
      <w:r w:rsidRPr="00737AEC">
        <w:rPr>
          <w:rFonts w:ascii="Arial" w:hAnsi="Arial" w:cs="Arial"/>
          <w:b/>
          <w:bCs/>
        </w:rPr>
        <w:t>Customer Satisfaction and Adoption Rate:</w:t>
      </w:r>
      <w:r w:rsidRPr="00737AEC">
        <w:rPr>
          <w:rFonts w:ascii="Arial" w:hAnsi="Arial" w:cs="Arial"/>
        </w:rPr>
        <w:t xml:space="preserve"> Reliance on unweighted Net Promiser Score (NPS) and rates of digital adoption as the key metrics of customer acceptance. Customer </w:t>
      </w:r>
      <w:proofErr w:type="gramStart"/>
      <w:r w:rsidRPr="00737AEC">
        <w:rPr>
          <w:rFonts w:ascii="Arial" w:hAnsi="Arial" w:cs="Arial"/>
        </w:rPr>
        <w:t>feedbacks</w:t>
      </w:r>
      <w:proofErr w:type="gramEnd"/>
      <w:r w:rsidRPr="00737AEC">
        <w:rPr>
          <w:rFonts w:ascii="Arial" w:hAnsi="Arial" w:cs="Arial"/>
        </w:rPr>
        <w:t xml:space="preserve"> and use generated for every month will facilitate the direction of improvements and the overall aim to augment the usage.</w:t>
      </w:r>
    </w:p>
    <w:p w14:paraId="4293AB4B" w14:textId="77777777" w:rsidR="00381EA1" w:rsidRPr="00737AEC" w:rsidRDefault="00381EA1" w:rsidP="00330DB1">
      <w:pPr>
        <w:pStyle w:val="ListParagraph"/>
        <w:numPr>
          <w:ilvl w:val="0"/>
          <w:numId w:val="4"/>
        </w:numPr>
        <w:rPr>
          <w:rFonts w:ascii="Arial" w:hAnsi="Arial" w:cs="Arial"/>
        </w:rPr>
      </w:pPr>
      <w:r w:rsidRPr="00737AEC">
        <w:rPr>
          <w:rFonts w:ascii="Arial" w:hAnsi="Arial" w:cs="Arial"/>
          <w:b/>
          <w:bCs/>
        </w:rPr>
        <w:t>Employee Feedback and Productivity:</w:t>
      </w:r>
      <w:r w:rsidRPr="00737AEC">
        <w:rPr>
          <w:rFonts w:ascii="Arial" w:hAnsi="Arial" w:cs="Arial"/>
        </w:rPr>
        <w:t xml:space="preserve"> Take simple polls or gather feedback, trusting how smoothly they navigate the new platform right and actual levels of confidence in it and if they continue to face certain challenges. Check on rates of output to determine whether the new tools have made it easier for them to work.</w:t>
      </w:r>
    </w:p>
    <w:p w14:paraId="361F45E5" w14:textId="77777777" w:rsidR="00381EA1" w:rsidRPr="00737AEC" w:rsidRDefault="00381EA1" w:rsidP="00330DB1">
      <w:pPr>
        <w:pStyle w:val="ListParagraph"/>
        <w:numPr>
          <w:ilvl w:val="0"/>
          <w:numId w:val="4"/>
        </w:numPr>
        <w:rPr>
          <w:rFonts w:ascii="Arial" w:hAnsi="Arial" w:cs="Arial"/>
        </w:rPr>
      </w:pPr>
      <w:r w:rsidRPr="00737AEC">
        <w:rPr>
          <w:rFonts w:ascii="Arial" w:hAnsi="Arial" w:cs="Arial"/>
          <w:b/>
          <w:bCs/>
        </w:rPr>
        <w:t xml:space="preserve">Return on Investment (ROI): </w:t>
      </w:r>
      <w:r w:rsidRPr="00737AEC">
        <w:rPr>
          <w:rFonts w:ascii="Arial" w:hAnsi="Arial" w:cs="Arial"/>
        </w:rPr>
        <w:t>Monitor the revenues stimulated with the help of the platform referring to the overall customer interactions and loyalty. Describe the usage rates of the digital services and evaluate the cost-saving effects of reduced in-branch engagement in terms of their results within six to twelve months after the full implementation of the program.</w:t>
      </w:r>
    </w:p>
    <w:p w14:paraId="0BB78915" w14:textId="091E6F88" w:rsidR="00381EA1" w:rsidRPr="00737AEC" w:rsidRDefault="00381EA1" w:rsidP="00330DB1">
      <w:pPr>
        <w:pStyle w:val="ListParagraph"/>
        <w:numPr>
          <w:ilvl w:val="0"/>
          <w:numId w:val="4"/>
        </w:numPr>
        <w:rPr>
          <w:rFonts w:ascii="Arial" w:hAnsi="Arial" w:cs="Arial"/>
        </w:rPr>
      </w:pPr>
      <w:r w:rsidRPr="00737AEC">
        <w:rPr>
          <w:rFonts w:ascii="Arial" w:hAnsi="Arial" w:cs="Arial"/>
          <w:b/>
          <w:bCs/>
        </w:rPr>
        <w:t>Compliance and Security Metrics:</w:t>
      </w:r>
      <w:r w:rsidRPr="00737AEC">
        <w:rPr>
          <w:rFonts w:ascii="Arial" w:hAnsi="Arial" w:cs="Arial"/>
        </w:rPr>
        <w:t xml:space="preserve"> Since digital banking is likely to be operationally sensitive, metrics that will have to be kept track of </w:t>
      </w:r>
      <w:proofErr w:type="gramStart"/>
      <w:r w:rsidRPr="00737AEC">
        <w:rPr>
          <w:rFonts w:ascii="Arial" w:hAnsi="Arial" w:cs="Arial"/>
        </w:rPr>
        <w:t>include;</w:t>
      </w:r>
      <w:proofErr w:type="gramEnd"/>
      <w:r w:rsidRPr="00737AEC">
        <w:rPr>
          <w:rFonts w:ascii="Arial" w:hAnsi="Arial" w:cs="Arial"/>
        </w:rPr>
        <w:t xml:space="preserve"> system availability, the rate of compliance with regulations, and the rate of occurrence of security breaches. </w:t>
      </w:r>
    </w:p>
    <w:p w14:paraId="30C1A32F" w14:textId="68F41282" w:rsidR="00965DBF" w:rsidRPr="00737AEC" w:rsidRDefault="00381EA1" w:rsidP="00330DB1">
      <w:pPr>
        <w:rPr>
          <w:rFonts w:ascii="Arial" w:hAnsi="Arial" w:cs="Arial"/>
        </w:rPr>
      </w:pPr>
      <w:r w:rsidRPr="00737AEC">
        <w:rPr>
          <w:rFonts w:ascii="Arial" w:hAnsi="Arial" w:cs="Arial"/>
        </w:rPr>
        <w:t>The following strategy correlates with Barclays</w:t>
      </w:r>
      <w:r w:rsidR="007A122B" w:rsidRPr="00737AEC">
        <w:rPr>
          <w:rFonts w:ascii="Arial" w:hAnsi="Arial" w:cs="Arial"/>
        </w:rPr>
        <w:t>’</w:t>
      </w:r>
      <w:r w:rsidRPr="00737AEC">
        <w:rPr>
          <w:rFonts w:ascii="Arial" w:hAnsi="Arial" w:cs="Arial"/>
        </w:rPr>
        <w:t xml:space="preserve"> long-term goals to transform customer experiences and construct a stable, IT-intensified structure. Through a meticulous consideration of the financial, communication, and evaluation extent of the issue, Barclays can withstand the prevailing trends in digital banking and evolution upheld as a competitive edge.</w:t>
      </w:r>
      <w:r w:rsidR="00965DBF" w:rsidRPr="00737AEC">
        <w:rPr>
          <w:rFonts w:ascii="Arial" w:hAnsi="Arial" w:cs="Arial"/>
        </w:rPr>
        <w:br w:type="page"/>
      </w:r>
    </w:p>
    <w:p w14:paraId="6803030F" w14:textId="77777777" w:rsidR="00AD3914" w:rsidRPr="00737AEC" w:rsidRDefault="00A10B83" w:rsidP="00330DB1">
      <w:pPr>
        <w:pStyle w:val="Heading1"/>
        <w:rPr>
          <w:rFonts w:ascii="Arial" w:hAnsi="Arial" w:cs="Arial"/>
        </w:rPr>
      </w:pPr>
      <w:bookmarkStart w:id="17" w:name="_Toc181555342"/>
      <w:r w:rsidRPr="00737AEC">
        <w:rPr>
          <w:rFonts w:ascii="Arial" w:hAnsi="Arial" w:cs="Arial"/>
        </w:rPr>
        <w:lastRenderedPageBreak/>
        <w:t>Conclusion</w:t>
      </w:r>
      <w:bookmarkEnd w:id="17"/>
    </w:p>
    <w:p w14:paraId="0ECD0BB8" w14:textId="77777777" w:rsidR="00BF2D61" w:rsidRPr="00737AEC" w:rsidRDefault="00AD3914" w:rsidP="00330DB1">
      <w:pPr>
        <w:rPr>
          <w:rFonts w:ascii="Arial" w:hAnsi="Arial" w:cs="Arial"/>
        </w:rPr>
      </w:pPr>
      <w:r w:rsidRPr="00737AEC">
        <w:rPr>
          <w:rFonts w:ascii="Arial" w:hAnsi="Arial" w:cs="Arial"/>
        </w:rPr>
        <w:t>Barclays’ evolution from a traditional bank to a more digitized banking firm for a better experience clearly points to one important factor – change management. However, as the bank is exposed to changes in the operating environment such as the development of new technologies, an unstable macroeconomic environment, and changing regulations, there is a need to develop a strong change management plan that will help the organisation build its resilience so that it can protect its competitive advantage. The findings in this report imply for Barclays to rationalise its operations and to maintain customer orientation and innovativeness consistent with the implementation of its strategy. To overcome resistance and engage employees in the use of new digital tools and process Barclays should consider financial methods alongside cultural actions to change. The change management plan which includes more details on a financial interface, communication and a strong assessment approach empowers Barclays for performing change. Owning to this, the strategy bolsters the bank’s current requirements while simultaneously positioning Barclays for long-term success by providing the organisation with the tools to adapt, grow and remain relevant in a financial industry that is increasingly shaped by technology and the customer’s increasing demands.</w:t>
      </w:r>
    </w:p>
    <w:p w14:paraId="2B93C5EC" w14:textId="77777777" w:rsidR="00BF2D61" w:rsidRDefault="00BF2D61">
      <w:pPr>
        <w:spacing w:line="259" w:lineRule="auto"/>
        <w:jc w:val="left"/>
      </w:pPr>
      <w:r>
        <w:br w:type="page"/>
      </w:r>
    </w:p>
    <w:p w14:paraId="5F9AFC96" w14:textId="77777777" w:rsidR="00BF2D61" w:rsidRDefault="00BF2D61" w:rsidP="00BF2D61">
      <w:pPr>
        <w:pStyle w:val="Heading1"/>
      </w:pPr>
      <w:bookmarkStart w:id="18" w:name="_Toc181555343"/>
      <w:r>
        <w:lastRenderedPageBreak/>
        <w:t>References</w:t>
      </w:r>
      <w:bookmarkEnd w:id="18"/>
      <w:r>
        <w:t xml:space="preserve"> </w:t>
      </w:r>
    </w:p>
    <w:p w14:paraId="708B5E62" w14:textId="77777777" w:rsidR="007B2605" w:rsidRPr="00BF2D61" w:rsidRDefault="007B2605" w:rsidP="00BF2D61">
      <w:pPr>
        <w:rPr>
          <w:lang w:val="en-US"/>
        </w:rPr>
      </w:pPr>
      <w:r w:rsidRPr="00BF2D61">
        <w:rPr>
          <w:lang w:val="en-US"/>
        </w:rPr>
        <w:t xml:space="preserve">Alvesson, M., &amp; </w:t>
      </w:r>
      <w:proofErr w:type="spellStart"/>
      <w:r w:rsidRPr="00BF2D61">
        <w:rPr>
          <w:lang w:val="en-US"/>
        </w:rPr>
        <w:t>Sveningsson</w:t>
      </w:r>
      <w:proofErr w:type="spellEnd"/>
      <w:r w:rsidRPr="00BF2D61">
        <w:rPr>
          <w:lang w:val="en-US"/>
        </w:rPr>
        <w:t>, S. (2015). Changing organizational culture: Cultural change work in progress. Routledge.</w:t>
      </w:r>
    </w:p>
    <w:p w14:paraId="2DB0C09A" w14:textId="77777777" w:rsidR="007B2605" w:rsidRPr="00BF2D61" w:rsidRDefault="007B2605" w:rsidP="00BF2D61">
      <w:pPr>
        <w:rPr>
          <w:lang w:val="en-US"/>
        </w:rPr>
      </w:pPr>
      <w:proofErr w:type="spellStart"/>
      <w:r w:rsidRPr="00BF2D61">
        <w:rPr>
          <w:lang w:val="en-US"/>
        </w:rPr>
        <w:t>Armenakis</w:t>
      </w:r>
      <w:proofErr w:type="spellEnd"/>
      <w:r w:rsidRPr="00BF2D61">
        <w:rPr>
          <w:lang w:val="en-US"/>
        </w:rPr>
        <w:t>, A. A., &amp; Harris, S. G. (2009). Reflections: Our journey in organizational change research and practice. Journal of Change Management, 9(2), 127-142. https://doi.org/10.1080/14697010902879079</w:t>
      </w:r>
    </w:p>
    <w:p w14:paraId="70D9961B" w14:textId="77777777" w:rsidR="007B2605" w:rsidRPr="00BF2D61" w:rsidRDefault="007B2605" w:rsidP="00BF2D61">
      <w:pPr>
        <w:rPr>
          <w:lang w:val="en-US"/>
        </w:rPr>
      </w:pPr>
      <w:r w:rsidRPr="00BF2D61">
        <w:rPr>
          <w:lang w:val="en-US"/>
        </w:rPr>
        <w:t>Balogun, J., &amp; Hailey, V. H. (2008). Exploring strategic change (3rd ed.). Pearson Education.</w:t>
      </w:r>
    </w:p>
    <w:p w14:paraId="6660728E" w14:textId="77777777" w:rsidR="007B2605" w:rsidRPr="00BF2D61" w:rsidRDefault="007B2605" w:rsidP="00BF2D61">
      <w:pPr>
        <w:rPr>
          <w:lang w:val="en-US"/>
        </w:rPr>
      </w:pPr>
      <w:r w:rsidRPr="00BF2D61">
        <w:rPr>
          <w:lang w:val="en-US"/>
        </w:rPr>
        <w:t xml:space="preserve">Barclays Bank PLC. (2023). Annual report 2023. Barclays. </w:t>
      </w:r>
      <w:hyperlink r:id="rId26" w:tgtFrame="_new" w:history="1">
        <w:r w:rsidRPr="00BF2D61">
          <w:rPr>
            <w:color w:val="0000FF"/>
            <w:u w:val="single"/>
            <w:lang w:val="en-US"/>
          </w:rPr>
          <w:t>https://www.barclays.com</w:t>
        </w:r>
      </w:hyperlink>
    </w:p>
    <w:p w14:paraId="1D17AF65" w14:textId="77777777" w:rsidR="007B2605" w:rsidRPr="00BF2D61" w:rsidRDefault="007B2605" w:rsidP="00BF2D61">
      <w:pPr>
        <w:rPr>
          <w:lang w:val="en-US"/>
        </w:rPr>
      </w:pPr>
      <w:r w:rsidRPr="00BF2D61">
        <w:rPr>
          <w:lang w:val="en-US"/>
        </w:rPr>
        <w:t>Beer, M., &amp; Nohria, N. (2000). Breaking the code of change. Harvard Business School Press.</w:t>
      </w:r>
    </w:p>
    <w:p w14:paraId="30B06832" w14:textId="77777777" w:rsidR="007B2605" w:rsidRPr="00BF2D61" w:rsidRDefault="007B2605" w:rsidP="00BF2D61">
      <w:pPr>
        <w:rPr>
          <w:lang w:val="en-US"/>
        </w:rPr>
      </w:pPr>
      <w:r w:rsidRPr="00BF2D61">
        <w:rPr>
          <w:lang w:val="en-US"/>
        </w:rPr>
        <w:t xml:space="preserve">Burnes, B. (2004). Managing change: A strategic approach to </w:t>
      </w:r>
      <w:proofErr w:type="spellStart"/>
      <w:r w:rsidRPr="00BF2D61">
        <w:rPr>
          <w:lang w:val="en-US"/>
        </w:rPr>
        <w:t>organisational</w:t>
      </w:r>
      <w:proofErr w:type="spellEnd"/>
      <w:r w:rsidRPr="00BF2D61">
        <w:rPr>
          <w:lang w:val="en-US"/>
        </w:rPr>
        <w:t xml:space="preserve"> dynamics. Prentice Hall.</w:t>
      </w:r>
    </w:p>
    <w:p w14:paraId="7A9A09F9" w14:textId="77777777" w:rsidR="007B2605" w:rsidRPr="00BF2D61" w:rsidRDefault="007B2605" w:rsidP="00BF2D61">
      <w:pPr>
        <w:rPr>
          <w:lang w:val="en-US"/>
        </w:rPr>
      </w:pPr>
      <w:r w:rsidRPr="00BF2D61">
        <w:rPr>
          <w:lang w:val="en-US"/>
        </w:rPr>
        <w:t>Cameron, E., &amp; Green, M. (2019). Making sense of change management: A complete guide to the models, tools, and techniques of organizational change (5th ed.). Kogan Page.</w:t>
      </w:r>
    </w:p>
    <w:p w14:paraId="027D7E10" w14:textId="77777777" w:rsidR="007B2605" w:rsidRPr="00BF2D61" w:rsidRDefault="007B2605" w:rsidP="00BF2D61">
      <w:pPr>
        <w:rPr>
          <w:lang w:val="en-US"/>
        </w:rPr>
      </w:pPr>
      <w:proofErr w:type="spellStart"/>
      <w:r w:rsidRPr="00BF2D61">
        <w:rPr>
          <w:lang w:val="en-US"/>
        </w:rPr>
        <w:t>Champy</w:t>
      </w:r>
      <w:proofErr w:type="spellEnd"/>
      <w:r w:rsidRPr="00BF2D61">
        <w:rPr>
          <w:lang w:val="en-US"/>
        </w:rPr>
        <w:t>, J., &amp; Nohria, N. (</w:t>
      </w:r>
      <w:r>
        <w:rPr>
          <w:lang w:val="en-US"/>
        </w:rPr>
        <w:t>20</w:t>
      </w:r>
      <w:r w:rsidRPr="00BF2D61">
        <w:rPr>
          <w:lang w:val="en-US"/>
        </w:rPr>
        <w:t>16). Fast forward: The best ideas on managing business change. Harvard Business Review Press.</w:t>
      </w:r>
    </w:p>
    <w:p w14:paraId="2359CECE" w14:textId="77777777" w:rsidR="007B2605" w:rsidRPr="00BF2D61" w:rsidRDefault="007B2605" w:rsidP="00BF2D61">
      <w:pPr>
        <w:rPr>
          <w:lang w:val="en-US"/>
        </w:rPr>
      </w:pPr>
      <w:r w:rsidRPr="00BF2D61">
        <w:rPr>
          <w:lang w:val="en-US"/>
        </w:rPr>
        <w:t>Christensen, C. M., Raynor, M. E., &amp; McDonald, R. (2015). What is disruptive innovation? Harvard Business Review, 93(12), 44-53.</w:t>
      </w:r>
    </w:p>
    <w:p w14:paraId="475F8802" w14:textId="77777777" w:rsidR="007B2605" w:rsidRPr="00BF2D61" w:rsidRDefault="007B2605" w:rsidP="00BF2D61">
      <w:pPr>
        <w:rPr>
          <w:lang w:val="en-US"/>
        </w:rPr>
      </w:pPr>
      <w:r w:rsidRPr="00BF2D61">
        <w:rPr>
          <w:lang w:val="en-US"/>
        </w:rPr>
        <w:t>Cummings, T. G., &amp; Worley, C. G. (2018). Organization development and change (11th ed.). Cengage Learning.</w:t>
      </w:r>
    </w:p>
    <w:p w14:paraId="36F19709" w14:textId="77777777" w:rsidR="007B2605" w:rsidRPr="00BF2D61" w:rsidRDefault="007B2605" w:rsidP="00BF2D61">
      <w:pPr>
        <w:rPr>
          <w:lang w:val="en-US"/>
        </w:rPr>
      </w:pPr>
      <w:r w:rsidRPr="00BF2D61">
        <w:rPr>
          <w:lang w:val="en-US"/>
        </w:rPr>
        <w:t>Davis, G. F., &amp; Kim, S. (2015). Financialization of the economy. Annual Review of Sociology, 41(1), 203-221. https://doi.org/10.1146/annurev-soc-073014-112402</w:t>
      </w:r>
    </w:p>
    <w:p w14:paraId="6D3BF3BB" w14:textId="77777777" w:rsidR="007B2605" w:rsidRPr="00BF2D61" w:rsidRDefault="007B2605" w:rsidP="00BF2D61">
      <w:pPr>
        <w:rPr>
          <w:lang w:val="en-US"/>
        </w:rPr>
      </w:pPr>
      <w:r w:rsidRPr="00BF2D61">
        <w:rPr>
          <w:lang w:val="en-US"/>
        </w:rPr>
        <w:t>Deal, T. E., &amp; Kennedy, A. A. (</w:t>
      </w:r>
      <w:r>
        <w:rPr>
          <w:lang w:val="en-US"/>
        </w:rPr>
        <w:t>20</w:t>
      </w:r>
      <w:r w:rsidRPr="00BF2D61">
        <w:rPr>
          <w:lang w:val="en-US"/>
        </w:rPr>
        <w:t>12). Corporate cultures: The rites and rituals of corporate life. Addison-Wesley.</w:t>
      </w:r>
    </w:p>
    <w:p w14:paraId="3002475E" w14:textId="77777777" w:rsidR="007B2605" w:rsidRPr="00BF2D61" w:rsidRDefault="007B2605" w:rsidP="00BF2D61">
      <w:pPr>
        <w:rPr>
          <w:lang w:val="en-US"/>
        </w:rPr>
      </w:pPr>
      <w:r w:rsidRPr="00BF2D61">
        <w:rPr>
          <w:lang w:val="en-US"/>
        </w:rPr>
        <w:t>Dobbs, R., Manyika, J., &amp; Woetzel, J. (2015). No ordinary disruption: The four global forces breaking all the trends. PublicAffairs.</w:t>
      </w:r>
    </w:p>
    <w:p w14:paraId="6278B37E" w14:textId="77777777" w:rsidR="007B2605" w:rsidRPr="00BF2D61" w:rsidRDefault="007B2605" w:rsidP="00BF2D61">
      <w:pPr>
        <w:rPr>
          <w:lang w:val="en-US"/>
        </w:rPr>
      </w:pPr>
      <w:r w:rsidRPr="00BF2D61">
        <w:rPr>
          <w:lang w:val="en-US"/>
        </w:rPr>
        <w:lastRenderedPageBreak/>
        <w:t>Graetz, F., Rimmer, M., Smith, A., &amp; Lawrence, A. (2011). Managing organizational change (3rd ed.). Wiley.</w:t>
      </w:r>
    </w:p>
    <w:p w14:paraId="4B8ADA84" w14:textId="77777777" w:rsidR="007B2605" w:rsidRPr="00BF2D61" w:rsidRDefault="007B2605" w:rsidP="00BF2D61">
      <w:pPr>
        <w:rPr>
          <w:lang w:val="en-US"/>
        </w:rPr>
      </w:pPr>
      <w:r w:rsidRPr="00BF2D61">
        <w:rPr>
          <w:lang w:val="en-US"/>
        </w:rPr>
        <w:t>Hayes, J. (2018). The theory and practice of change management (5th ed.). Palgrave Macmillan.</w:t>
      </w:r>
    </w:p>
    <w:p w14:paraId="28EDC974" w14:textId="77777777" w:rsidR="007B2605" w:rsidRPr="00BF2D61" w:rsidRDefault="007B2605" w:rsidP="00BF2D61">
      <w:pPr>
        <w:rPr>
          <w:lang w:val="en-US"/>
        </w:rPr>
      </w:pPr>
      <w:r w:rsidRPr="00BF2D61">
        <w:rPr>
          <w:lang w:val="en-US"/>
        </w:rPr>
        <w:t>Kotter, J. P. (</w:t>
      </w:r>
      <w:r>
        <w:rPr>
          <w:lang w:val="en-US"/>
        </w:rPr>
        <w:t>20</w:t>
      </w:r>
      <w:r w:rsidRPr="00BF2D61">
        <w:rPr>
          <w:lang w:val="en-US"/>
        </w:rPr>
        <w:t>16). Leading change. Harvard Business Review Press.</w:t>
      </w:r>
    </w:p>
    <w:p w14:paraId="45563644" w14:textId="77777777" w:rsidR="007B2605" w:rsidRPr="00BF2D61" w:rsidRDefault="007B2605" w:rsidP="00BF2D61">
      <w:pPr>
        <w:rPr>
          <w:lang w:val="en-US"/>
        </w:rPr>
      </w:pPr>
      <w:r w:rsidRPr="00BF2D61">
        <w:rPr>
          <w:lang w:val="en-US"/>
        </w:rPr>
        <w:t>Lewin, K. (</w:t>
      </w:r>
      <w:r>
        <w:rPr>
          <w:lang w:val="en-US"/>
        </w:rPr>
        <w:t>20</w:t>
      </w:r>
      <w:r w:rsidRPr="00BF2D61">
        <w:rPr>
          <w:lang w:val="en-US"/>
        </w:rPr>
        <w:t>17). Frontiers in group dynamics: Concept, method and reality in social science; social equilibria and social change. Human Relations, 1(1), 5-41. https://doi.org/10.1177/001872674700100103</w:t>
      </w:r>
    </w:p>
    <w:p w14:paraId="176CA15A" w14:textId="77777777" w:rsidR="007B2605" w:rsidRPr="00BF2D61" w:rsidRDefault="007B2605" w:rsidP="00BF2D61">
      <w:pPr>
        <w:rPr>
          <w:lang w:val="en-US"/>
        </w:rPr>
      </w:pPr>
      <w:r w:rsidRPr="00BF2D61">
        <w:rPr>
          <w:lang w:val="en-US"/>
        </w:rPr>
        <w:t>Martin, J. (2002). Organizational culture: Mapping the terrain. Sage Publications.</w:t>
      </w:r>
    </w:p>
    <w:p w14:paraId="3D76BA95" w14:textId="77777777" w:rsidR="007B2605" w:rsidRPr="00BF2D61" w:rsidRDefault="007B2605" w:rsidP="00BF2D61">
      <w:pPr>
        <w:rPr>
          <w:lang w:val="en-US"/>
        </w:rPr>
      </w:pPr>
      <w:r w:rsidRPr="00BF2D61">
        <w:rPr>
          <w:lang w:val="en-US"/>
        </w:rPr>
        <w:t>Schein, E. H. (2010). Organizational culture and leadership (4th ed.). Jossey-Bass.</w:t>
      </w:r>
    </w:p>
    <w:p w14:paraId="0EE0CB83" w14:textId="77777777" w:rsidR="007B2605" w:rsidRPr="00BF2D61" w:rsidRDefault="007B2605" w:rsidP="00BF2D61">
      <w:pPr>
        <w:rPr>
          <w:lang w:val="en-US"/>
        </w:rPr>
      </w:pPr>
      <w:r w:rsidRPr="00BF2D61">
        <w:rPr>
          <w:lang w:val="en-US"/>
        </w:rPr>
        <w:t>Smith, M. E. (2003). Changing an organization's culture: Correlates of success and failure. Leadership &amp; Organization Development Journal, 24(5), 249-261. https://doi.org/10.1108/01437730310485752</w:t>
      </w:r>
    </w:p>
    <w:p w14:paraId="60EC0AD9" w14:textId="77777777" w:rsidR="007B2605" w:rsidRPr="00BF2D61" w:rsidRDefault="007B2605" w:rsidP="00BF2D61">
      <w:pPr>
        <w:rPr>
          <w:lang w:val="en-US"/>
        </w:rPr>
      </w:pPr>
      <w:r w:rsidRPr="00BF2D61">
        <w:rPr>
          <w:lang w:val="en-US"/>
        </w:rPr>
        <w:t xml:space="preserve">Stacey, R. D. (2011). Strategic management and </w:t>
      </w:r>
      <w:proofErr w:type="spellStart"/>
      <w:r w:rsidRPr="00BF2D61">
        <w:rPr>
          <w:lang w:val="en-US"/>
        </w:rPr>
        <w:t>organisational</w:t>
      </w:r>
      <w:proofErr w:type="spellEnd"/>
      <w:r w:rsidRPr="00BF2D61">
        <w:rPr>
          <w:lang w:val="en-US"/>
        </w:rPr>
        <w:t xml:space="preserve"> dynamics: The challenge of complexity to ways of thinking about </w:t>
      </w:r>
      <w:proofErr w:type="spellStart"/>
      <w:r w:rsidRPr="00BF2D61">
        <w:rPr>
          <w:lang w:val="en-US"/>
        </w:rPr>
        <w:t>organisations</w:t>
      </w:r>
      <w:proofErr w:type="spellEnd"/>
      <w:r w:rsidRPr="00BF2D61">
        <w:rPr>
          <w:lang w:val="en-US"/>
        </w:rPr>
        <w:t xml:space="preserve"> (6th ed.). Pearson Education.</w:t>
      </w:r>
    </w:p>
    <w:p w14:paraId="5A6911C1" w14:textId="77777777" w:rsidR="007B2605" w:rsidRPr="00BF2D61" w:rsidRDefault="007B2605" w:rsidP="00BF2D61">
      <w:pPr>
        <w:rPr>
          <w:lang w:val="en-US"/>
        </w:rPr>
      </w:pPr>
      <w:r w:rsidRPr="00BF2D61">
        <w:rPr>
          <w:lang w:val="en-US"/>
        </w:rPr>
        <w:t>Stokes, D., &amp; Wilson, N. (2017). Small business management and entrepreneurship (7th ed.). Cengage Learning.</w:t>
      </w:r>
    </w:p>
    <w:p w14:paraId="6EC7C798" w14:textId="4D6610B0" w:rsidR="00A31DC6" w:rsidRPr="00A31DC6" w:rsidRDefault="00A10B83" w:rsidP="000E762D">
      <w:r>
        <w:t xml:space="preserve"> </w:t>
      </w:r>
    </w:p>
    <w:p w14:paraId="35391B5A" w14:textId="77777777" w:rsidR="00A31DC6" w:rsidRPr="00A31DC6" w:rsidRDefault="00A31DC6" w:rsidP="00A31DC6">
      <w:pPr>
        <w:rPr>
          <w:lang w:val="en-US"/>
        </w:rPr>
      </w:pPr>
    </w:p>
    <w:sectPr w:rsidR="00A31DC6" w:rsidRPr="00A31DC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4CF7E" w14:textId="77777777" w:rsidR="00B84B19" w:rsidRDefault="00B84B19" w:rsidP="000E762D">
      <w:pPr>
        <w:spacing w:after="0" w:line="240" w:lineRule="auto"/>
      </w:pPr>
      <w:r>
        <w:separator/>
      </w:r>
    </w:p>
  </w:endnote>
  <w:endnote w:type="continuationSeparator" w:id="0">
    <w:p w14:paraId="3D0E2AD8" w14:textId="77777777" w:rsidR="00B84B19" w:rsidRDefault="00B84B19" w:rsidP="000E7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0845643"/>
      <w:docPartObj>
        <w:docPartGallery w:val="Page Numbers (Bottom of Page)"/>
        <w:docPartUnique/>
      </w:docPartObj>
    </w:sdtPr>
    <w:sdtEndPr>
      <w:rPr>
        <w:color w:val="7F7F7F" w:themeColor="background1" w:themeShade="7F"/>
        <w:spacing w:val="60"/>
      </w:rPr>
    </w:sdtEndPr>
    <w:sdtContent>
      <w:p w14:paraId="428EC602" w14:textId="3EBA4994" w:rsidR="000E762D" w:rsidRDefault="000E762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C08D850" w14:textId="77777777" w:rsidR="000E762D" w:rsidRDefault="000E76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C1174" w14:textId="77777777" w:rsidR="00B84B19" w:rsidRDefault="00B84B19" w:rsidP="000E762D">
      <w:pPr>
        <w:spacing w:after="0" w:line="240" w:lineRule="auto"/>
      </w:pPr>
      <w:r>
        <w:separator/>
      </w:r>
    </w:p>
  </w:footnote>
  <w:footnote w:type="continuationSeparator" w:id="0">
    <w:p w14:paraId="4CF7D780" w14:textId="77777777" w:rsidR="00B84B19" w:rsidRDefault="00B84B19" w:rsidP="000E7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BF19FE"/>
    <w:multiLevelType w:val="hybridMultilevel"/>
    <w:tmpl w:val="D71E3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825678"/>
    <w:multiLevelType w:val="hybridMultilevel"/>
    <w:tmpl w:val="24762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B53D3F"/>
    <w:multiLevelType w:val="hybridMultilevel"/>
    <w:tmpl w:val="95C06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7545D8"/>
    <w:multiLevelType w:val="hybridMultilevel"/>
    <w:tmpl w:val="5F6AF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6444A1"/>
    <w:multiLevelType w:val="multilevel"/>
    <w:tmpl w:val="420A0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0293084">
    <w:abstractNumId w:val="3"/>
  </w:num>
  <w:num w:numId="2" w16cid:durableId="2130052771">
    <w:abstractNumId w:val="2"/>
  </w:num>
  <w:num w:numId="3" w16cid:durableId="93940396">
    <w:abstractNumId w:val="0"/>
  </w:num>
  <w:num w:numId="4" w16cid:durableId="428505094">
    <w:abstractNumId w:val="1"/>
  </w:num>
  <w:num w:numId="5" w16cid:durableId="5313089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DC6"/>
    <w:rsid w:val="0001758A"/>
    <w:rsid w:val="000340C1"/>
    <w:rsid w:val="000446A3"/>
    <w:rsid w:val="000479A7"/>
    <w:rsid w:val="00053D9B"/>
    <w:rsid w:val="000A0802"/>
    <w:rsid w:val="000A4E81"/>
    <w:rsid w:val="000A72A3"/>
    <w:rsid w:val="000B205E"/>
    <w:rsid w:val="000E762D"/>
    <w:rsid w:val="000F027F"/>
    <w:rsid w:val="000F453F"/>
    <w:rsid w:val="000F6439"/>
    <w:rsid w:val="0010068C"/>
    <w:rsid w:val="0013732F"/>
    <w:rsid w:val="00162A6C"/>
    <w:rsid w:val="001920EB"/>
    <w:rsid w:val="001C6EF3"/>
    <w:rsid w:val="001F0FBE"/>
    <w:rsid w:val="001F3DBD"/>
    <w:rsid w:val="002339DB"/>
    <w:rsid w:val="00264F30"/>
    <w:rsid w:val="0028278B"/>
    <w:rsid w:val="002876D0"/>
    <w:rsid w:val="00292FFD"/>
    <w:rsid w:val="002A793C"/>
    <w:rsid w:val="002E21EA"/>
    <w:rsid w:val="002E718B"/>
    <w:rsid w:val="00307375"/>
    <w:rsid w:val="00317B87"/>
    <w:rsid w:val="00326843"/>
    <w:rsid w:val="00330DB1"/>
    <w:rsid w:val="00355B5D"/>
    <w:rsid w:val="00381EA1"/>
    <w:rsid w:val="00386D07"/>
    <w:rsid w:val="003C503E"/>
    <w:rsid w:val="003E7E0E"/>
    <w:rsid w:val="003F0472"/>
    <w:rsid w:val="003F3FBB"/>
    <w:rsid w:val="0040536E"/>
    <w:rsid w:val="004067B7"/>
    <w:rsid w:val="0041207E"/>
    <w:rsid w:val="004474C2"/>
    <w:rsid w:val="00466EFF"/>
    <w:rsid w:val="00481958"/>
    <w:rsid w:val="004909E1"/>
    <w:rsid w:val="00494562"/>
    <w:rsid w:val="004A1C46"/>
    <w:rsid w:val="004A30AA"/>
    <w:rsid w:val="004B7807"/>
    <w:rsid w:val="004C450D"/>
    <w:rsid w:val="004E43CF"/>
    <w:rsid w:val="00511020"/>
    <w:rsid w:val="0051229F"/>
    <w:rsid w:val="00534CB6"/>
    <w:rsid w:val="00542C39"/>
    <w:rsid w:val="00563619"/>
    <w:rsid w:val="00585A87"/>
    <w:rsid w:val="005A186B"/>
    <w:rsid w:val="005C4792"/>
    <w:rsid w:val="005D0556"/>
    <w:rsid w:val="005D2148"/>
    <w:rsid w:val="005D57CC"/>
    <w:rsid w:val="00613F70"/>
    <w:rsid w:val="00625CCF"/>
    <w:rsid w:val="006319AE"/>
    <w:rsid w:val="00633FFA"/>
    <w:rsid w:val="00636D0C"/>
    <w:rsid w:val="0064163F"/>
    <w:rsid w:val="006548A6"/>
    <w:rsid w:val="00672AFC"/>
    <w:rsid w:val="006B7144"/>
    <w:rsid w:val="006E3853"/>
    <w:rsid w:val="006E49C0"/>
    <w:rsid w:val="00702825"/>
    <w:rsid w:val="00730D29"/>
    <w:rsid w:val="00737AEC"/>
    <w:rsid w:val="007968F8"/>
    <w:rsid w:val="007A122B"/>
    <w:rsid w:val="007A2152"/>
    <w:rsid w:val="007B2605"/>
    <w:rsid w:val="008372E0"/>
    <w:rsid w:val="008421C3"/>
    <w:rsid w:val="00843DFB"/>
    <w:rsid w:val="00862DD7"/>
    <w:rsid w:val="00862DFF"/>
    <w:rsid w:val="008A33AF"/>
    <w:rsid w:val="008D3D27"/>
    <w:rsid w:val="00912ACB"/>
    <w:rsid w:val="00944417"/>
    <w:rsid w:val="00956EB3"/>
    <w:rsid w:val="00965DBF"/>
    <w:rsid w:val="00972B60"/>
    <w:rsid w:val="00974F79"/>
    <w:rsid w:val="0098245D"/>
    <w:rsid w:val="009A19EB"/>
    <w:rsid w:val="009A3E35"/>
    <w:rsid w:val="009B0318"/>
    <w:rsid w:val="009B6F01"/>
    <w:rsid w:val="009D00A1"/>
    <w:rsid w:val="00A10B83"/>
    <w:rsid w:val="00A15CEB"/>
    <w:rsid w:val="00A31DC6"/>
    <w:rsid w:val="00A33407"/>
    <w:rsid w:val="00A75C70"/>
    <w:rsid w:val="00A9281B"/>
    <w:rsid w:val="00AC4F1F"/>
    <w:rsid w:val="00AD3914"/>
    <w:rsid w:val="00AE1C46"/>
    <w:rsid w:val="00B0079F"/>
    <w:rsid w:val="00B10235"/>
    <w:rsid w:val="00B14A6A"/>
    <w:rsid w:val="00B67449"/>
    <w:rsid w:val="00B730D7"/>
    <w:rsid w:val="00B84B19"/>
    <w:rsid w:val="00B856CC"/>
    <w:rsid w:val="00B92A7B"/>
    <w:rsid w:val="00B96909"/>
    <w:rsid w:val="00B97479"/>
    <w:rsid w:val="00BC76DD"/>
    <w:rsid w:val="00BE2903"/>
    <w:rsid w:val="00BE3C19"/>
    <w:rsid w:val="00BE565E"/>
    <w:rsid w:val="00BF2D61"/>
    <w:rsid w:val="00C06BDF"/>
    <w:rsid w:val="00C20228"/>
    <w:rsid w:val="00C845BA"/>
    <w:rsid w:val="00CB5528"/>
    <w:rsid w:val="00CC2E1F"/>
    <w:rsid w:val="00CD3064"/>
    <w:rsid w:val="00D0702E"/>
    <w:rsid w:val="00D52AC0"/>
    <w:rsid w:val="00D64519"/>
    <w:rsid w:val="00D742FC"/>
    <w:rsid w:val="00DA27EB"/>
    <w:rsid w:val="00DB7888"/>
    <w:rsid w:val="00DC6594"/>
    <w:rsid w:val="00DD0E34"/>
    <w:rsid w:val="00DF03A0"/>
    <w:rsid w:val="00E42D6D"/>
    <w:rsid w:val="00E80FFA"/>
    <w:rsid w:val="00E90554"/>
    <w:rsid w:val="00E966AC"/>
    <w:rsid w:val="00EB03E3"/>
    <w:rsid w:val="00EC1BDF"/>
    <w:rsid w:val="00ED3DC6"/>
    <w:rsid w:val="00ED7301"/>
    <w:rsid w:val="00F4138A"/>
    <w:rsid w:val="00FA3FBC"/>
    <w:rsid w:val="00FB24D2"/>
    <w:rsid w:val="00FD68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B9F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7CC"/>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E966AC"/>
    <w:pPr>
      <w:keepNext/>
      <w:keepLines/>
      <w:spacing w:before="240"/>
      <w:outlineLvl w:val="0"/>
    </w:pPr>
    <w:rPr>
      <w:rFonts w:eastAsiaTheme="majorEastAsia" w:cstheme="majorBidi"/>
      <w:b/>
      <w:sz w:val="30"/>
      <w:szCs w:val="32"/>
      <w:lang w:val="en-US"/>
    </w:rPr>
  </w:style>
  <w:style w:type="paragraph" w:styleId="Heading2">
    <w:name w:val="heading 2"/>
    <w:basedOn w:val="Normal"/>
    <w:next w:val="Normal"/>
    <w:link w:val="Heading2Char"/>
    <w:uiPriority w:val="9"/>
    <w:unhideWhenUsed/>
    <w:qFormat/>
    <w:rsid w:val="000F6439"/>
    <w:pPr>
      <w:keepNext/>
      <w:keepLines/>
      <w:spacing w:before="40"/>
      <w:outlineLvl w:val="1"/>
    </w:pPr>
    <w:rPr>
      <w:rFonts w:eastAsiaTheme="majorEastAsia" w:cstheme="majorBidi"/>
      <w:b/>
      <w:color w:val="4472C4" w:themeColor="accent1"/>
      <w:sz w:val="26"/>
      <w:szCs w:val="26"/>
      <w:lang w:val="en-US"/>
    </w:rPr>
  </w:style>
  <w:style w:type="paragraph" w:styleId="Heading3">
    <w:name w:val="heading 3"/>
    <w:basedOn w:val="Normal"/>
    <w:next w:val="Normal"/>
    <w:link w:val="Heading3Char"/>
    <w:uiPriority w:val="9"/>
    <w:unhideWhenUsed/>
    <w:qFormat/>
    <w:rsid w:val="000A72A3"/>
    <w:pPr>
      <w:keepNext/>
      <w:keepLines/>
      <w:spacing w:before="40" w:line="480" w:lineRule="auto"/>
      <w:outlineLvl w:val="2"/>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6AC"/>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0F6439"/>
    <w:rPr>
      <w:rFonts w:ascii="Times New Roman" w:eastAsiaTheme="majorEastAsia" w:hAnsi="Times New Roman" w:cstheme="majorBidi"/>
      <w:b/>
      <w:color w:val="4472C4" w:themeColor="accent1"/>
      <w:sz w:val="26"/>
      <w:szCs w:val="26"/>
    </w:rPr>
  </w:style>
  <w:style w:type="character" w:customStyle="1" w:styleId="Heading3Char">
    <w:name w:val="Heading 3 Char"/>
    <w:basedOn w:val="DefaultParagraphFont"/>
    <w:link w:val="Heading3"/>
    <w:uiPriority w:val="9"/>
    <w:rsid w:val="000A72A3"/>
    <w:rPr>
      <w:rFonts w:ascii="Times New Roman" w:eastAsiaTheme="majorEastAsia" w:hAnsi="Times New Roman" w:cstheme="majorBidi"/>
      <w:b/>
      <w:i/>
      <w:sz w:val="24"/>
      <w:szCs w:val="24"/>
      <w:lang w:val="en-GB"/>
    </w:rPr>
  </w:style>
  <w:style w:type="paragraph" w:styleId="ListParagraph">
    <w:name w:val="List Paragraph"/>
    <w:basedOn w:val="Normal"/>
    <w:uiPriority w:val="34"/>
    <w:qFormat/>
    <w:rsid w:val="00E90554"/>
    <w:pPr>
      <w:ind w:left="720"/>
      <w:contextualSpacing/>
    </w:pPr>
  </w:style>
  <w:style w:type="paragraph" w:styleId="NormalWeb">
    <w:name w:val="Normal (Web)"/>
    <w:basedOn w:val="Normal"/>
    <w:uiPriority w:val="99"/>
    <w:semiHidden/>
    <w:unhideWhenUsed/>
    <w:rsid w:val="00BF2D61"/>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BF2D61"/>
    <w:rPr>
      <w:i/>
      <w:iCs/>
    </w:rPr>
  </w:style>
  <w:style w:type="character" w:styleId="Hyperlink">
    <w:name w:val="Hyperlink"/>
    <w:basedOn w:val="DefaultParagraphFont"/>
    <w:uiPriority w:val="99"/>
    <w:unhideWhenUsed/>
    <w:rsid w:val="00BF2D61"/>
    <w:rPr>
      <w:color w:val="0000FF"/>
      <w:u w:val="single"/>
    </w:rPr>
  </w:style>
  <w:style w:type="paragraph" w:styleId="Header">
    <w:name w:val="header"/>
    <w:basedOn w:val="Normal"/>
    <w:link w:val="HeaderChar"/>
    <w:uiPriority w:val="99"/>
    <w:unhideWhenUsed/>
    <w:rsid w:val="000E76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762D"/>
    <w:rPr>
      <w:rFonts w:ascii="Times New Roman" w:hAnsi="Times New Roman"/>
      <w:kern w:val="0"/>
      <w:sz w:val="24"/>
      <w:lang w:val="en-GB"/>
      <w14:ligatures w14:val="none"/>
    </w:rPr>
  </w:style>
  <w:style w:type="paragraph" w:styleId="Footer">
    <w:name w:val="footer"/>
    <w:basedOn w:val="Normal"/>
    <w:link w:val="FooterChar"/>
    <w:uiPriority w:val="99"/>
    <w:unhideWhenUsed/>
    <w:rsid w:val="000E76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762D"/>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636D0C"/>
    <w:pP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36D0C"/>
    <w:pPr>
      <w:spacing w:after="100"/>
    </w:pPr>
  </w:style>
  <w:style w:type="paragraph" w:styleId="TOC2">
    <w:name w:val="toc 2"/>
    <w:basedOn w:val="Normal"/>
    <w:next w:val="Normal"/>
    <w:autoRedefine/>
    <w:uiPriority w:val="39"/>
    <w:unhideWhenUsed/>
    <w:rsid w:val="00636D0C"/>
    <w:pPr>
      <w:spacing w:after="100"/>
      <w:ind w:left="240"/>
    </w:pPr>
  </w:style>
  <w:style w:type="paragraph" w:styleId="NoSpacing">
    <w:name w:val="No Spacing"/>
    <w:uiPriority w:val="1"/>
    <w:qFormat/>
    <w:rsid w:val="00BE3C19"/>
    <w:pPr>
      <w:spacing w:after="0" w:line="240" w:lineRule="auto"/>
      <w:jc w:val="both"/>
    </w:pPr>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89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www.barclays.com" TargetMode="Externa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4657A9-6801-4676-BA35-1129EDA474EF}" type="doc">
      <dgm:prSet loTypeId="urn:microsoft.com/office/officeart/2005/8/layout/list1" loCatId="list" qsTypeId="urn:microsoft.com/office/officeart/2005/8/quickstyle/simple1" qsCatId="simple" csTypeId="urn:microsoft.com/office/officeart/2005/8/colors/accent0_2" csCatId="mainScheme" phldr="1"/>
      <dgm:spPr/>
      <dgm:t>
        <a:bodyPr/>
        <a:lstStyle/>
        <a:p>
          <a:endParaRPr lang="en-US"/>
        </a:p>
      </dgm:t>
    </dgm:pt>
    <dgm:pt modelId="{DC650AC8-0564-4874-A7D0-27EC9BEDAC6E}">
      <dgm:prSet phldrT="[Text]"/>
      <dgm:spPr/>
      <dgm:t>
        <a:bodyPr/>
        <a:lstStyle/>
        <a:p>
          <a:r>
            <a:rPr lang="en-US"/>
            <a:t>Digital Disruption </a:t>
          </a:r>
        </a:p>
      </dgm:t>
    </dgm:pt>
    <dgm:pt modelId="{841F180F-AAA8-4BCC-B2D4-486A2E5AED6D}" type="parTrans" cxnId="{FA9679C0-FF37-4CB8-A160-ACBC01FFD682}">
      <dgm:prSet/>
      <dgm:spPr/>
      <dgm:t>
        <a:bodyPr/>
        <a:lstStyle/>
        <a:p>
          <a:endParaRPr lang="en-US"/>
        </a:p>
      </dgm:t>
    </dgm:pt>
    <dgm:pt modelId="{EA2B3050-CEDD-46F8-930F-8C74C96F70E9}" type="sibTrans" cxnId="{FA9679C0-FF37-4CB8-A160-ACBC01FFD682}">
      <dgm:prSet/>
      <dgm:spPr/>
      <dgm:t>
        <a:bodyPr/>
        <a:lstStyle/>
        <a:p>
          <a:endParaRPr lang="en-US"/>
        </a:p>
      </dgm:t>
    </dgm:pt>
    <dgm:pt modelId="{96BD9C50-5343-4D74-9D88-DEE299C6D86C}">
      <dgm:prSet phldrT="[Text]"/>
      <dgm:spPr/>
      <dgm:t>
        <a:bodyPr/>
        <a:lstStyle/>
        <a:p>
          <a:r>
            <a:rPr lang="en-US"/>
            <a:t>Economic Uncertainty </a:t>
          </a:r>
        </a:p>
      </dgm:t>
    </dgm:pt>
    <dgm:pt modelId="{E33655CD-20C7-43EF-96B8-A586344F21CF}" type="parTrans" cxnId="{CA84DEB3-22DA-4818-B699-1592A5E160E3}">
      <dgm:prSet/>
      <dgm:spPr/>
      <dgm:t>
        <a:bodyPr/>
        <a:lstStyle/>
        <a:p>
          <a:endParaRPr lang="en-US"/>
        </a:p>
      </dgm:t>
    </dgm:pt>
    <dgm:pt modelId="{B4D52C98-C438-4320-B9E3-F126C437CC2C}" type="sibTrans" cxnId="{CA84DEB3-22DA-4818-B699-1592A5E160E3}">
      <dgm:prSet/>
      <dgm:spPr/>
      <dgm:t>
        <a:bodyPr/>
        <a:lstStyle/>
        <a:p>
          <a:endParaRPr lang="en-US"/>
        </a:p>
      </dgm:t>
    </dgm:pt>
    <dgm:pt modelId="{9C0692BC-37EA-4F72-979F-AED2050C6C96}">
      <dgm:prSet phldrT="[Text]"/>
      <dgm:spPr/>
      <dgm:t>
        <a:bodyPr/>
        <a:lstStyle/>
        <a:p>
          <a:r>
            <a:rPr lang="en-US"/>
            <a:t>Regulatory Environment </a:t>
          </a:r>
        </a:p>
      </dgm:t>
    </dgm:pt>
    <dgm:pt modelId="{47934A2F-DB8A-443A-BE51-C4F9932833E1}" type="parTrans" cxnId="{2BDDB63E-C3FA-4BB8-A831-AADC58B6F512}">
      <dgm:prSet/>
      <dgm:spPr/>
      <dgm:t>
        <a:bodyPr/>
        <a:lstStyle/>
        <a:p>
          <a:endParaRPr lang="en-US"/>
        </a:p>
      </dgm:t>
    </dgm:pt>
    <dgm:pt modelId="{1C0E40C4-DDD6-4AB7-AD78-95FDC5EBB9A8}" type="sibTrans" cxnId="{2BDDB63E-C3FA-4BB8-A831-AADC58B6F512}">
      <dgm:prSet/>
      <dgm:spPr/>
      <dgm:t>
        <a:bodyPr/>
        <a:lstStyle/>
        <a:p>
          <a:endParaRPr lang="en-US"/>
        </a:p>
      </dgm:t>
    </dgm:pt>
    <dgm:pt modelId="{06645E2F-62FC-457D-B5DB-B566A572C3D4}">
      <dgm:prSet phldrT="[Text]"/>
      <dgm:spPr/>
      <dgm:t>
        <a:bodyPr/>
        <a:lstStyle/>
        <a:p>
          <a:r>
            <a:rPr lang="en-US"/>
            <a:t>Technological Advancement </a:t>
          </a:r>
        </a:p>
      </dgm:t>
    </dgm:pt>
    <dgm:pt modelId="{49A97D75-BFC1-4BE8-94D1-2EB47F4B5AC1}" type="parTrans" cxnId="{F27EA96C-6B91-40C1-A5F8-5EA48C1ED414}">
      <dgm:prSet/>
      <dgm:spPr/>
      <dgm:t>
        <a:bodyPr/>
        <a:lstStyle/>
        <a:p>
          <a:endParaRPr lang="en-US"/>
        </a:p>
      </dgm:t>
    </dgm:pt>
    <dgm:pt modelId="{D4DA49EC-B1D6-41EC-83C2-0F8BB5BF22BD}" type="sibTrans" cxnId="{F27EA96C-6B91-40C1-A5F8-5EA48C1ED414}">
      <dgm:prSet/>
      <dgm:spPr/>
      <dgm:t>
        <a:bodyPr/>
        <a:lstStyle/>
        <a:p>
          <a:endParaRPr lang="en-US"/>
        </a:p>
      </dgm:t>
    </dgm:pt>
    <dgm:pt modelId="{2C51183E-131F-406C-9901-08D6C2638281}">
      <dgm:prSet phldrT="[Text]"/>
      <dgm:spPr/>
      <dgm:t>
        <a:bodyPr/>
        <a:lstStyle/>
        <a:p>
          <a:r>
            <a:rPr lang="en-US"/>
            <a:t>Shifting Customer Expectations </a:t>
          </a:r>
        </a:p>
      </dgm:t>
    </dgm:pt>
    <dgm:pt modelId="{2791A79C-C8E6-4722-9B10-9EDCD4906D36}" type="parTrans" cxnId="{A88D6A81-FA86-48A0-8302-8924C2A8E325}">
      <dgm:prSet/>
      <dgm:spPr/>
      <dgm:t>
        <a:bodyPr/>
        <a:lstStyle/>
        <a:p>
          <a:endParaRPr lang="en-US"/>
        </a:p>
      </dgm:t>
    </dgm:pt>
    <dgm:pt modelId="{7A82C55E-50DA-4B86-B46C-24471D12C84C}" type="sibTrans" cxnId="{A88D6A81-FA86-48A0-8302-8924C2A8E325}">
      <dgm:prSet/>
      <dgm:spPr/>
      <dgm:t>
        <a:bodyPr/>
        <a:lstStyle/>
        <a:p>
          <a:endParaRPr lang="en-US"/>
        </a:p>
      </dgm:t>
    </dgm:pt>
    <dgm:pt modelId="{A04FFF20-3FE9-43C9-B2E1-FFB7CBAF3235}" type="pres">
      <dgm:prSet presAssocID="{F04657A9-6801-4676-BA35-1129EDA474EF}" presName="linear" presStyleCnt="0">
        <dgm:presLayoutVars>
          <dgm:dir/>
          <dgm:animLvl val="lvl"/>
          <dgm:resizeHandles val="exact"/>
        </dgm:presLayoutVars>
      </dgm:prSet>
      <dgm:spPr/>
    </dgm:pt>
    <dgm:pt modelId="{49149EFF-72AF-4CD5-AE3D-CD997770B749}" type="pres">
      <dgm:prSet presAssocID="{DC650AC8-0564-4874-A7D0-27EC9BEDAC6E}" presName="parentLin" presStyleCnt="0"/>
      <dgm:spPr/>
    </dgm:pt>
    <dgm:pt modelId="{F3DF47A4-3375-40D3-B3F5-CF06D99CA517}" type="pres">
      <dgm:prSet presAssocID="{DC650AC8-0564-4874-A7D0-27EC9BEDAC6E}" presName="parentLeftMargin" presStyleLbl="node1" presStyleIdx="0" presStyleCnt="5"/>
      <dgm:spPr/>
    </dgm:pt>
    <dgm:pt modelId="{6ED2E5BA-D4C5-43EA-B64F-05D371348EA5}" type="pres">
      <dgm:prSet presAssocID="{DC650AC8-0564-4874-A7D0-27EC9BEDAC6E}" presName="parentText" presStyleLbl="node1" presStyleIdx="0" presStyleCnt="5">
        <dgm:presLayoutVars>
          <dgm:chMax val="0"/>
          <dgm:bulletEnabled val="1"/>
        </dgm:presLayoutVars>
      </dgm:prSet>
      <dgm:spPr/>
    </dgm:pt>
    <dgm:pt modelId="{DB2E7436-8966-4DBC-8F97-98B1D0ED065D}" type="pres">
      <dgm:prSet presAssocID="{DC650AC8-0564-4874-A7D0-27EC9BEDAC6E}" presName="negativeSpace" presStyleCnt="0"/>
      <dgm:spPr/>
    </dgm:pt>
    <dgm:pt modelId="{B426E5AE-171C-4FBD-BFC9-5B9ED899C766}" type="pres">
      <dgm:prSet presAssocID="{DC650AC8-0564-4874-A7D0-27EC9BEDAC6E}" presName="childText" presStyleLbl="conFgAcc1" presStyleIdx="0" presStyleCnt="5">
        <dgm:presLayoutVars>
          <dgm:bulletEnabled val="1"/>
        </dgm:presLayoutVars>
      </dgm:prSet>
      <dgm:spPr/>
    </dgm:pt>
    <dgm:pt modelId="{9901D2FD-353F-4A22-8693-23CEF69C69FF}" type="pres">
      <dgm:prSet presAssocID="{EA2B3050-CEDD-46F8-930F-8C74C96F70E9}" presName="spaceBetweenRectangles" presStyleCnt="0"/>
      <dgm:spPr/>
    </dgm:pt>
    <dgm:pt modelId="{B31D7FE4-3FA0-49FF-9AF1-31CD63FDCEFC}" type="pres">
      <dgm:prSet presAssocID="{96BD9C50-5343-4D74-9D88-DEE299C6D86C}" presName="parentLin" presStyleCnt="0"/>
      <dgm:spPr/>
    </dgm:pt>
    <dgm:pt modelId="{6D24FE65-8848-4A42-9690-0F0878ADEFF0}" type="pres">
      <dgm:prSet presAssocID="{96BD9C50-5343-4D74-9D88-DEE299C6D86C}" presName="parentLeftMargin" presStyleLbl="node1" presStyleIdx="0" presStyleCnt="5"/>
      <dgm:spPr/>
    </dgm:pt>
    <dgm:pt modelId="{6D2847AE-F8A1-426B-A334-AD4324BE2E14}" type="pres">
      <dgm:prSet presAssocID="{96BD9C50-5343-4D74-9D88-DEE299C6D86C}" presName="parentText" presStyleLbl="node1" presStyleIdx="1" presStyleCnt="5">
        <dgm:presLayoutVars>
          <dgm:chMax val="0"/>
          <dgm:bulletEnabled val="1"/>
        </dgm:presLayoutVars>
      </dgm:prSet>
      <dgm:spPr/>
    </dgm:pt>
    <dgm:pt modelId="{A12A4D81-94FC-461F-B653-99637C6D3090}" type="pres">
      <dgm:prSet presAssocID="{96BD9C50-5343-4D74-9D88-DEE299C6D86C}" presName="negativeSpace" presStyleCnt="0"/>
      <dgm:spPr/>
    </dgm:pt>
    <dgm:pt modelId="{B238C28F-33ED-4819-A92E-CAEB3F23D8B0}" type="pres">
      <dgm:prSet presAssocID="{96BD9C50-5343-4D74-9D88-DEE299C6D86C}" presName="childText" presStyleLbl="conFgAcc1" presStyleIdx="1" presStyleCnt="5">
        <dgm:presLayoutVars>
          <dgm:bulletEnabled val="1"/>
        </dgm:presLayoutVars>
      </dgm:prSet>
      <dgm:spPr/>
    </dgm:pt>
    <dgm:pt modelId="{4EEBB48F-124B-444D-BD6C-666039A3AC7D}" type="pres">
      <dgm:prSet presAssocID="{B4D52C98-C438-4320-B9E3-F126C437CC2C}" presName="spaceBetweenRectangles" presStyleCnt="0"/>
      <dgm:spPr/>
    </dgm:pt>
    <dgm:pt modelId="{B5DDE476-7C96-4EA3-8238-E7638227E9EA}" type="pres">
      <dgm:prSet presAssocID="{9C0692BC-37EA-4F72-979F-AED2050C6C96}" presName="parentLin" presStyleCnt="0"/>
      <dgm:spPr/>
    </dgm:pt>
    <dgm:pt modelId="{C3EF79E5-B611-43B0-B169-640369AA23DC}" type="pres">
      <dgm:prSet presAssocID="{9C0692BC-37EA-4F72-979F-AED2050C6C96}" presName="parentLeftMargin" presStyleLbl="node1" presStyleIdx="1" presStyleCnt="5"/>
      <dgm:spPr/>
    </dgm:pt>
    <dgm:pt modelId="{B9F85740-253B-4813-8980-E243AB64F51D}" type="pres">
      <dgm:prSet presAssocID="{9C0692BC-37EA-4F72-979F-AED2050C6C96}" presName="parentText" presStyleLbl="node1" presStyleIdx="2" presStyleCnt="5">
        <dgm:presLayoutVars>
          <dgm:chMax val="0"/>
          <dgm:bulletEnabled val="1"/>
        </dgm:presLayoutVars>
      </dgm:prSet>
      <dgm:spPr/>
    </dgm:pt>
    <dgm:pt modelId="{55766A7A-6947-46DB-8C27-5D2B68DAE2DE}" type="pres">
      <dgm:prSet presAssocID="{9C0692BC-37EA-4F72-979F-AED2050C6C96}" presName="negativeSpace" presStyleCnt="0"/>
      <dgm:spPr/>
    </dgm:pt>
    <dgm:pt modelId="{5F58B59F-077E-4C98-9542-B7F53FDED140}" type="pres">
      <dgm:prSet presAssocID="{9C0692BC-37EA-4F72-979F-AED2050C6C96}" presName="childText" presStyleLbl="conFgAcc1" presStyleIdx="2" presStyleCnt="5">
        <dgm:presLayoutVars>
          <dgm:bulletEnabled val="1"/>
        </dgm:presLayoutVars>
      </dgm:prSet>
      <dgm:spPr/>
    </dgm:pt>
    <dgm:pt modelId="{19886E56-5EE7-4F40-A582-4736C089A9F9}" type="pres">
      <dgm:prSet presAssocID="{1C0E40C4-DDD6-4AB7-AD78-95FDC5EBB9A8}" presName="spaceBetweenRectangles" presStyleCnt="0"/>
      <dgm:spPr/>
    </dgm:pt>
    <dgm:pt modelId="{8ECDA240-A8AD-43E1-86A3-214613A7A37D}" type="pres">
      <dgm:prSet presAssocID="{06645E2F-62FC-457D-B5DB-B566A572C3D4}" presName="parentLin" presStyleCnt="0"/>
      <dgm:spPr/>
    </dgm:pt>
    <dgm:pt modelId="{9744D9D9-278C-4873-95F6-72BF5B019C9B}" type="pres">
      <dgm:prSet presAssocID="{06645E2F-62FC-457D-B5DB-B566A572C3D4}" presName="parentLeftMargin" presStyleLbl="node1" presStyleIdx="2" presStyleCnt="5"/>
      <dgm:spPr/>
    </dgm:pt>
    <dgm:pt modelId="{C67B57B4-2890-4391-8302-70F3DD86997E}" type="pres">
      <dgm:prSet presAssocID="{06645E2F-62FC-457D-B5DB-B566A572C3D4}" presName="parentText" presStyleLbl="node1" presStyleIdx="3" presStyleCnt="5">
        <dgm:presLayoutVars>
          <dgm:chMax val="0"/>
          <dgm:bulletEnabled val="1"/>
        </dgm:presLayoutVars>
      </dgm:prSet>
      <dgm:spPr/>
    </dgm:pt>
    <dgm:pt modelId="{266C3F11-DC7D-4255-8168-F933DF47BAB4}" type="pres">
      <dgm:prSet presAssocID="{06645E2F-62FC-457D-B5DB-B566A572C3D4}" presName="negativeSpace" presStyleCnt="0"/>
      <dgm:spPr/>
    </dgm:pt>
    <dgm:pt modelId="{17796A8C-55E7-42F2-947A-E576446AD90B}" type="pres">
      <dgm:prSet presAssocID="{06645E2F-62FC-457D-B5DB-B566A572C3D4}" presName="childText" presStyleLbl="conFgAcc1" presStyleIdx="3" presStyleCnt="5">
        <dgm:presLayoutVars>
          <dgm:bulletEnabled val="1"/>
        </dgm:presLayoutVars>
      </dgm:prSet>
      <dgm:spPr/>
    </dgm:pt>
    <dgm:pt modelId="{3D24539F-C7F9-416E-BA3B-5EC1F67347EB}" type="pres">
      <dgm:prSet presAssocID="{D4DA49EC-B1D6-41EC-83C2-0F8BB5BF22BD}" presName="spaceBetweenRectangles" presStyleCnt="0"/>
      <dgm:spPr/>
    </dgm:pt>
    <dgm:pt modelId="{F8167EA5-4E95-4506-9131-F888F363F7B7}" type="pres">
      <dgm:prSet presAssocID="{2C51183E-131F-406C-9901-08D6C2638281}" presName="parentLin" presStyleCnt="0"/>
      <dgm:spPr/>
    </dgm:pt>
    <dgm:pt modelId="{FE4644FA-8A8B-4A58-9208-97319030FF96}" type="pres">
      <dgm:prSet presAssocID="{2C51183E-131F-406C-9901-08D6C2638281}" presName="parentLeftMargin" presStyleLbl="node1" presStyleIdx="3" presStyleCnt="5"/>
      <dgm:spPr/>
    </dgm:pt>
    <dgm:pt modelId="{1208E6D6-19A9-4AF2-8295-A85984A17B72}" type="pres">
      <dgm:prSet presAssocID="{2C51183E-131F-406C-9901-08D6C2638281}" presName="parentText" presStyleLbl="node1" presStyleIdx="4" presStyleCnt="5">
        <dgm:presLayoutVars>
          <dgm:chMax val="0"/>
          <dgm:bulletEnabled val="1"/>
        </dgm:presLayoutVars>
      </dgm:prSet>
      <dgm:spPr/>
    </dgm:pt>
    <dgm:pt modelId="{A4A5760F-ABD3-4DF8-ADB2-CD92C312C4E5}" type="pres">
      <dgm:prSet presAssocID="{2C51183E-131F-406C-9901-08D6C2638281}" presName="negativeSpace" presStyleCnt="0"/>
      <dgm:spPr/>
    </dgm:pt>
    <dgm:pt modelId="{A0EA6066-8EC2-4D6A-95C1-E9CC881A7258}" type="pres">
      <dgm:prSet presAssocID="{2C51183E-131F-406C-9901-08D6C2638281}" presName="childText" presStyleLbl="conFgAcc1" presStyleIdx="4" presStyleCnt="5">
        <dgm:presLayoutVars>
          <dgm:bulletEnabled val="1"/>
        </dgm:presLayoutVars>
      </dgm:prSet>
      <dgm:spPr/>
    </dgm:pt>
  </dgm:ptLst>
  <dgm:cxnLst>
    <dgm:cxn modelId="{4E9F6809-482F-43F2-B00A-2E2F21E6F6E9}" type="presOf" srcId="{96BD9C50-5343-4D74-9D88-DEE299C6D86C}" destId="{6D2847AE-F8A1-426B-A334-AD4324BE2E14}" srcOrd="1" destOrd="0" presId="urn:microsoft.com/office/officeart/2005/8/layout/list1"/>
    <dgm:cxn modelId="{04BB391F-AFDC-4C24-8F7D-29BE81180108}" type="presOf" srcId="{DC650AC8-0564-4874-A7D0-27EC9BEDAC6E}" destId="{6ED2E5BA-D4C5-43EA-B64F-05D371348EA5}" srcOrd="1" destOrd="0" presId="urn:microsoft.com/office/officeart/2005/8/layout/list1"/>
    <dgm:cxn modelId="{E5066F25-21EB-4134-AA64-86083131B2ED}" type="presOf" srcId="{9C0692BC-37EA-4F72-979F-AED2050C6C96}" destId="{C3EF79E5-B611-43B0-B169-640369AA23DC}" srcOrd="0" destOrd="0" presId="urn:microsoft.com/office/officeart/2005/8/layout/list1"/>
    <dgm:cxn modelId="{2BDDB63E-C3FA-4BB8-A831-AADC58B6F512}" srcId="{F04657A9-6801-4676-BA35-1129EDA474EF}" destId="{9C0692BC-37EA-4F72-979F-AED2050C6C96}" srcOrd="2" destOrd="0" parTransId="{47934A2F-DB8A-443A-BE51-C4F9932833E1}" sibTransId="{1C0E40C4-DDD6-4AB7-AD78-95FDC5EBB9A8}"/>
    <dgm:cxn modelId="{3BEF954C-D19D-477C-A944-595A75C8492E}" type="presOf" srcId="{2C51183E-131F-406C-9901-08D6C2638281}" destId="{1208E6D6-19A9-4AF2-8295-A85984A17B72}" srcOrd="1" destOrd="0" presId="urn:microsoft.com/office/officeart/2005/8/layout/list1"/>
    <dgm:cxn modelId="{F2269B61-3505-4C17-A75E-394C7E624637}" type="presOf" srcId="{DC650AC8-0564-4874-A7D0-27EC9BEDAC6E}" destId="{F3DF47A4-3375-40D3-B3F5-CF06D99CA517}" srcOrd="0" destOrd="0" presId="urn:microsoft.com/office/officeart/2005/8/layout/list1"/>
    <dgm:cxn modelId="{F27EA96C-6B91-40C1-A5F8-5EA48C1ED414}" srcId="{F04657A9-6801-4676-BA35-1129EDA474EF}" destId="{06645E2F-62FC-457D-B5DB-B566A572C3D4}" srcOrd="3" destOrd="0" parTransId="{49A97D75-BFC1-4BE8-94D1-2EB47F4B5AC1}" sibTransId="{D4DA49EC-B1D6-41EC-83C2-0F8BB5BF22BD}"/>
    <dgm:cxn modelId="{95A08270-B5B6-4C11-90A2-F8F63637B95A}" type="presOf" srcId="{2C51183E-131F-406C-9901-08D6C2638281}" destId="{FE4644FA-8A8B-4A58-9208-97319030FF96}" srcOrd="0" destOrd="0" presId="urn:microsoft.com/office/officeart/2005/8/layout/list1"/>
    <dgm:cxn modelId="{61D47F7D-0771-4519-B40E-CB9919C35F67}" type="presOf" srcId="{96BD9C50-5343-4D74-9D88-DEE299C6D86C}" destId="{6D24FE65-8848-4A42-9690-0F0878ADEFF0}" srcOrd="0" destOrd="0" presId="urn:microsoft.com/office/officeart/2005/8/layout/list1"/>
    <dgm:cxn modelId="{A88D6A81-FA86-48A0-8302-8924C2A8E325}" srcId="{F04657A9-6801-4676-BA35-1129EDA474EF}" destId="{2C51183E-131F-406C-9901-08D6C2638281}" srcOrd="4" destOrd="0" parTransId="{2791A79C-C8E6-4722-9B10-9EDCD4906D36}" sibTransId="{7A82C55E-50DA-4B86-B46C-24471D12C84C}"/>
    <dgm:cxn modelId="{1B13E4A6-50B1-4B02-B5AC-8D6A4A419440}" type="presOf" srcId="{06645E2F-62FC-457D-B5DB-B566A572C3D4}" destId="{9744D9D9-278C-4873-95F6-72BF5B019C9B}" srcOrd="0" destOrd="0" presId="urn:microsoft.com/office/officeart/2005/8/layout/list1"/>
    <dgm:cxn modelId="{9DAD3AA8-BE0D-4F94-A53F-28EE099A21F4}" type="presOf" srcId="{9C0692BC-37EA-4F72-979F-AED2050C6C96}" destId="{B9F85740-253B-4813-8980-E243AB64F51D}" srcOrd="1" destOrd="0" presId="urn:microsoft.com/office/officeart/2005/8/layout/list1"/>
    <dgm:cxn modelId="{CA84DEB3-22DA-4818-B699-1592A5E160E3}" srcId="{F04657A9-6801-4676-BA35-1129EDA474EF}" destId="{96BD9C50-5343-4D74-9D88-DEE299C6D86C}" srcOrd="1" destOrd="0" parTransId="{E33655CD-20C7-43EF-96B8-A586344F21CF}" sibTransId="{B4D52C98-C438-4320-B9E3-F126C437CC2C}"/>
    <dgm:cxn modelId="{FA9679C0-FF37-4CB8-A160-ACBC01FFD682}" srcId="{F04657A9-6801-4676-BA35-1129EDA474EF}" destId="{DC650AC8-0564-4874-A7D0-27EC9BEDAC6E}" srcOrd="0" destOrd="0" parTransId="{841F180F-AAA8-4BCC-B2D4-486A2E5AED6D}" sibTransId="{EA2B3050-CEDD-46F8-930F-8C74C96F70E9}"/>
    <dgm:cxn modelId="{406E0EC3-FD29-4853-BDBE-AB66BA8919AB}" type="presOf" srcId="{06645E2F-62FC-457D-B5DB-B566A572C3D4}" destId="{C67B57B4-2890-4391-8302-70F3DD86997E}" srcOrd="1" destOrd="0" presId="urn:microsoft.com/office/officeart/2005/8/layout/list1"/>
    <dgm:cxn modelId="{57E948E7-EBAB-4EB6-837D-478CCD6D2231}" type="presOf" srcId="{F04657A9-6801-4676-BA35-1129EDA474EF}" destId="{A04FFF20-3FE9-43C9-B2E1-FFB7CBAF3235}" srcOrd="0" destOrd="0" presId="urn:microsoft.com/office/officeart/2005/8/layout/list1"/>
    <dgm:cxn modelId="{1825D403-29E0-4B41-A727-F3661C38C25A}" type="presParOf" srcId="{A04FFF20-3FE9-43C9-B2E1-FFB7CBAF3235}" destId="{49149EFF-72AF-4CD5-AE3D-CD997770B749}" srcOrd="0" destOrd="0" presId="urn:microsoft.com/office/officeart/2005/8/layout/list1"/>
    <dgm:cxn modelId="{DEA273E5-8727-40FC-9646-5C34C3B77D82}" type="presParOf" srcId="{49149EFF-72AF-4CD5-AE3D-CD997770B749}" destId="{F3DF47A4-3375-40D3-B3F5-CF06D99CA517}" srcOrd="0" destOrd="0" presId="urn:microsoft.com/office/officeart/2005/8/layout/list1"/>
    <dgm:cxn modelId="{A469E79D-7C81-4E3D-B475-740413C3A99B}" type="presParOf" srcId="{49149EFF-72AF-4CD5-AE3D-CD997770B749}" destId="{6ED2E5BA-D4C5-43EA-B64F-05D371348EA5}" srcOrd="1" destOrd="0" presId="urn:microsoft.com/office/officeart/2005/8/layout/list1"/>
    <dgm:cxn modelId="{9C1EA6D1-2338-4874-B398-6B9C8209B5E8}" type="presParOf" srcId="{A04FFF20-3FE9-43C9-B2E1-FFB7CBAF3235}" destId="{DB2E7436-8966-4DBC-8F97-98B1D0ED065D}" srcOrd="1" destOrd="0" presId="urn:microsoft.com/office/officeart/2005/8/layout/list1"/>
    <dgm:cxn modelId="{8F4668F4-29CA-4EC0-9FDE-C0B97D2D5578}" type="presParOf" srcId="{A04FFF20-3FE9-43C9-B2E1-FFB7CBAF3235}" destId="{B426E5AE-171C-4FBD-BFC9-5B9ED899C766}" srcOrd="2" destOrd="0" presId="urn:microsoft.com/office/officeart/2005/8/layout/list1"/>
    <dgm:cxn modelId="{0D8F956D-7E06-45E4-A432-9D74CA403F67}" type="presParOf" srcId="{A04FFF20-3FE9-43C9-B2E1-FFB7CBAF3235}" destId="{9901D2FD-353F-4A22-8693-23CEF69C69FF}" srcOrd="3" destOrd="0" presId="urn:microsoft.com/office/officeart/2005/8/layout/list1"/>
    <dgm:cxn modelId="{D08DBBE2-DAC5-46E6-A086-1D397AA9E3D7}" type="presParOf" srcId="{A04FFF20-3FE9-43C9-B2E1-FFB7CBAF3235}" destId="{B31D7FE4-3FA0-49FF-9AF1-31CD63FDCEFC}" srcOrd="4" destOrd="0" presId="urn:microsoft.com/office/officeart/2005/8/layout/list1"/>
    <dgm:cxn modelId="{CB4D1BB2-10C0-4570-A881-2C3AFA3F5567}" type="presParOf" srcId="{B31D7FE4-3FA0-49FF-9AF1-31CD63FDCEFC}" destId="{6D24FE65-8848-4A42-9690-0F0878ADEFF0}" srcOrd="0" destOrd="0" presId="urn:microsoft.com/office/officeart/2005/8/layout/list1"/>
    <dgm:cxn modelId="{E9F69830-4087-4BA4-89ED-33DA3AD762A8}" type="presParOf" srcId="{B31D7FE4-3FA0-49FF-9AF1-31CD63FDCEFC}" destId="{6D2847AE-F8A1-426B-A334-AD4324BE2E14}" srcOrd="1" destOrd="0" presId="urn:microsoft.com/office/officeart/2005/8/layout/list1"/>
    <dgm:cxn modelId="{F6515CA1-1BBF-49C2-AC03-F4C213647AA0}" type="presParOf" srcId="{A04FFF20-3FE9-43C9-B2E1-FFB7CBAF3235}" destId="{A12A4D81-94FC-461F-B653-99637C6D3090}" srcOrd="5" destOrd="0" presId="urn:microsoft.com/office/officeart/2005/8/layout/list1"/>
    <dgm:cxn modelId="{D0039B34-CB81-4388-99CC-1B6C40F1770A}" type="presParOf" srcId="{A04FFF20-3FE9-43C9-B2E1-FFB7CBAF3235}" destId="{B238C28F-33ED-4819-A92E-CAEB3F23D8B0}" srcOrd="6" destOrd="0" presId="urn:microsoft.com/office/officeart/2005/8/layout/list1"/>
    <dgm:cxn modelId="{E46B7347-F623-472F-8BFD-CB0A941445D3}" type="presParOf" srcId="{A04FFF20-3FE9-43C9-B2E1-FFB7CBAF3235}" destId="{4EEBB48F-124B-444D-BD6C-666039A3AC7D}" srcOrd="7" destOrd="0" presId="urn:microsoft.com/office/officeart/2005/8/layout/list1"/>
    <dgm:cxn modelId="{516A64E8-EDEB-4671-B26D-CF5D89C5E820}" type="presParOf" srcId="{A04FFF20-3FE9-43C9-B2E1-FFB7CBAF3235}" destId="{B5DDE476-7C96-4EA3-8238-E7638227E9EA}" srcOrd="8" destOrd="0" presId="urn:microsoft.com/office/officeart/2005/8/layout/list1"/>
    <dgm:cxn modelId="{323FF4C4-157B-43DF-904F-D30867FF323C}" type="presParOf" srcId="{B5DDE476-7C96-4EA3-8238-E7638227E9EA}" destId="{C3EF79E5-B611-43B0-B169-640369AA23DC}" srcOrd="0" destOrd="0" presId="urn:microsoft.com/office/officeart/2005/8/layout/list1"/>
    <dgm:cxn modelId="{A40CE6C6-7727-4055-B2CE-33FECBBA3BF1}" type="presParOf" srcId="{B5DDE476-7C96-4EA3-8238-E7638227E9EA}" destId="{B9F85740-253B-4813-8980-E243AB64F51D}" srcOrd="1" destOrd="0" presId="urn:microsoft.com/office/officeart/2005/8/layout/list1"/>
    <dgm:cxn modelId="{CEF27939-A2DA-4F95-8DB0-EC363BB990EC}" type="presParOf" srcId="{A04FFF20-3FE9-43C9-B2E1-FFB7CBAF3235}" destId="{55766A7A-6947-46DB-8C27-5D2B68DAE2DE}" srcOrd="9" destOrd="0" presId="urn:microsoft.com/office/officeart/2005/8/layout/list1"/>
    <dgm:cxn modelId="{D5962005-CAD0-4A4B-9C54-999F08FCD1A2}" type="presParOf" srcId="{A04FFF20-3FE9-43C9-B2E1-FFB7CBAF3235}" destId="{5F58B59F-077E-4C98-9542-B7F53FDED140}" srcOrd="10" destOrd="0" presId="urn:microsoft.com/office/officeart/2005/8/layout/list1"/>
    <dgm:cxn modelId="{5D423C22-9D6B-4268-8132-C6A2A0B7F291}" type="presParOf" srcId="{A04FFF20-3FE9-43C9-B2E1-FFB7CBAF3235}" destId="{19886E56-5EE7-4F40-A582-4736C089A9F9}" srcOrd="11" destOrd="0" presId="urn:microsoft.com/office/officeart/2005/8/layout/list1"/>
    <dgm:cxn modelId="{5C9D3A88-016D-45AB-BD35-D281F9E704CA}" type="presParOf" srcId="{A04FFF20-3FE9-43C9-B2E1-FFB7CBAF3235}" destId="{8ECDA240-A8AD-43E1-86A3-214613A7A37D}" srcOrd="12" destOrd="0" presId="urn:microsoft.com/office/officeart/2005/8/layout/list1"/>
    <dgm:cxn modelId="{C8480A56-5FC2-4EAB-820E-6305134A0B5C}" type="presParOf" srcId="{8ECDA240-A8AD-43E1-86A3-214613A7A37D}" destId="{9744D9D9-278C-4873-95F6-72BF5B019C9B}" srcOrd="0" destOrd="0" presId="urn:microsoft.com/office/officeart/2005/8/layout/list1"/>
    <dgm:cxn modelId="{73640CE2-CD8A-4697-B2E3-9E6EDF05F0FC}" type="presParOf" srcId="{8ECDA240-A8AD-43E1-86A3-214613A7A37D}" destId="{C67B57B4-2890-4391-8302-70F3DD86997E}" srcOrd="1" destOrd="0" presId="urn:microsoft.com/office/officeart/2005/8/layout/list1"/>
    <dgm:cxn modelId="{710B74EF-2D5D-424B-88EA-8882389B1E50}" type="presParOf" srcId="{A04FFF20-3FE9-43C9-B2E1-FFB7CBAF3235}" destId="{266C3F11-DC7D-4255-8168-F933DF47BAB4}" srcOrd="13" destOrd="0" presId="urn:microsoft.com/office/officeart/2005/8/layout/list1"/>
    <dgm:cxn modelId="{17935D63-79D9-45FF-A317-648A61967E2F}" type="presParOf" srcId="{A04FFF20-3FE9-43C9-B2E1-FFB7CBAF3235}" destId="{17796A8C-55E7-42F2-947A-E576446AD90B}" srcOrd="14" destOrd="0" presId="urn:microsoft.com/office/officeart/2005/8/layout/list1"/>
    <dgm:cxn modelId="{77A4B469-C6B2-4B5C-B865-0F3CA751E976}" type="presParOf" srcId="{A04FFF20-3FE9-43C9-B2E1-FFB7CBAF3235}" destId="{3D24539F-C7F9-416E-BA3B-5EC1F67347EB}" srcOrd="15" destOrd="0" presId="urn:microsoft.com/office/officeart/2005/8/layout/list1"/>
    <dgm:cxn modelId="{6A5C0851-5AD4-4F4E-88EA-0B4BFD985475}" type="presParOf" srcId="{A04FFF20-3FE9-43C9-B2E1-FFB7CBAF3235}" destId="{F8167EA5-4E95-4506-9131-F888F363F7B7}" srcOrd="16" destOrd="0" presId="urn:microsoft.com/office/officeart/2005/8/layout/list1"/>
    <dgm:cxn modelId="{E387921C-0769-48C4-B3C1-AB7AA0123409}" type="presParOf" srcId="{F8167EA5-4E95-4506-9131-F888F363F7B7}" destId="{FE4644FA-8A8B-4A58-9208-97319030FF96}" srcOrd="0" destOrd="0" presId="urn:microsoft.com/office/officeart/2005/8/layout/list1"/>
    <dgm:cxn modelId="{78066CDE-A9C4-41B1-9BEA-FE56C7F9F6DD}" type="presParOf" srcId="{F8167EA5-4E95-4506-9131-F888F363F7B7}" destId="{1208E6D6-19A9-4AF2-8295-A85984A17B72}" srcOrd="1" destOrd="0" presId="urn:microsoft.com/office/officeart/2005/8/layout/list1"/>
    <dgm:cxn modelId="{AF80AE70-F413-4DFD-B94B-9EADDC2300C1}" type="presParOf" srcId="{A04FFF20-3FE9-43C9-B2E1-FFB7CBAF3235}" destId="{A4A5760F-ABD3-4DF8-ADB2-CD92C312C4E5}" srcOrd="17" destOrd="0" presId="urn:microsoft.com/office/officeart/2005/8/layout/list1"/>
    <dgm:cxn modelId="{F6F4EC57-C294-4413-9BCF-1631B1680517}" type="presParOf" srcId="{A04FFF20-3FE9-43C9-B2E1-FFB7CBAF3235}" destId="{A0EA6066-8EC2-4D6A-95C1-E9CC881A7258}"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E74F870-4273-4086-9AB9-CD834AFF2310}" type="doc">
      <dgm:prSet loTypeId="urn:microsoft.com/office/officeart/2008/layout/VerticalCurvedList" loCatId="list" qsTypeId="urn:microsoft.com/office/officeart/2005/8/quickstyle/simple1" qsCatId="simple" csTypeId="urn:microsoft.com/office/officeart/2005/8/colors/accent2_1" csCatId="accent2" phldr="1"/>
      <dgm:spPr/>
      <dgm:t>
        <a:bodyPr/>
        <a:lstStyle/>
        <a:p>
          <a:endParaRPr lang="en-US"/>
        </a:p>
      </dgm:t>
    </dgm:pt>
    <dgm:pt modelId="{D67369BC-9FD8-4749-B8A4-CB9B287BDFBF}">
      <dgm:prSet phldrT="[Text]"/>
      <dgm:spPr/>
      <dgm:t>
        <a:bodyPr/>
        <a:lstStyle/>
        <a:p>
          <a:r>
            <a:rPr lang="en-US"/>
            <a:t>Lewin's Change Model </a:t>
          </a:r>
        </a:p>
      </dgm:t>
    </dgm:pt>
    <dgm:pt modelId="{CB11DAB2-C63B-4B75-9EAB-50FC385A71AF}" type="parTrans" cxnId="{576E4273-7A33-4585-9C0B-B5CB6F58EC05}">
      <dgm:prSet/>
      <dgm:spPr/>
      <dgm:t>
        <a:bodyPr/>
        <a:lstStyle/>
        <a:p>
          <a:endParaRPr lang="en-US"/>
        </a:p>
      </dgm:t>
    </dgm:pt>
    <dgm:pt modelId="{378F8405-CE17-4FBC-9A9B-FDC007D71E7E}" type="sibTrans" cxnId="{576E4273-7A33-4585-9C0B-B5CB6F58EC05}">
      <dgm:prSet/>
      <dgm:spPr/>
      <dgm:t>
        <a:bodyPr/>
        <a:lstStyle/>
        <a:p>
          <a:endParaRPr lang="en-US"/>
        </a:p>
      </dgm:t>
    </dgm:pt>
    <dgm:pt modelId="{2ACDD474-E385-4A28-9B84-BA9DE7B457E7}">
      <dgm:prSet phldrT="[Text]"/>
      <dgm:spPr/>
      <dgm:t>
        <a:bodyPr/>
        <a:lstStyle/>
        <a:p>
          <a:r>
            <a:rPr lang="en-US"/>
            <a:t>Kotter's 8-Step Process for Leading Change </a:t>
          </a:r>
        </a:p>
      </dgm:t>
    </dgm:pt>
    <dgm:pt modelId="{53108787-8CB3-4829-9009-58036B2F3A3C}" type="parTrans" cxnId="{159AE7AC-BC0B-402D-8CAB-99C6C5437B24}">
      <dgm:prSet/>
      <dgm:spPr/>
      <dgm:t>
        <a:bodyPr/>
        <a:lstStyle/>
        <a:p>
          <a:endParaRPr lang="en-US"/>
        </a:p>
      </dgm:t>
    </dgm:pt>
    <dgm:pt modelId="{AE1486B1-CCA5-455A-86AD-0EBF476EAD1F}" type="sibTrans" cxnId="{159AE7AC-BC0B-402D-8CAB-99C6C5437B24}">
      <dgm:prSet/>
      <dgm:spPr/>
      <dgm:t>
        <a:bodyPr/>
        <a:lstStyle/>
        <a:p>
          <a:endParaRPr lang="en-US"/>
        </a:p>
      </dgm:t>
    </dgm:pt>
    <dgm:pt modelId="{1706CAA8-3945-4F55-BF4F-E69CCF2AD192}">
      <dgm:prSet phldrT="[Text]"/>
      <dgm:spPr/>
      <dgm:t>
        <a:bodyPr/>
        <a:lstStyle/>
        <a:p>
          <a:r>
            <a:rPr lang="en-US"/>
            <a:t>McKinsey's 7-S Model</a:t>
          </a:r>
        </a:p>
      </dgm:t>
    </dgm:pt>
    <dgm:pt modelId="{99C610C7-4B79-442C-A5FE-AC54D6D447EF}" type="parTrans" cxnId="{C6C4D40C-F8C8-4565-AF33-9345ECD72D6A}">
      <dgm:prSet/>
      <dgm:spPr/>
      <dgm:t>
        <a:bodyPr/>
        <a:lstStyle/>
        <a:p>
          <a:endParaRPr lang="en-US"/>
        </a:p>
      </dgm:t>
    </dgm:pt>
    <dgm:pt modelId="{A8B3355E-177F-4C6E-9E1A-7D9599610179}" type="sibTrans" cxnId="{C6C4D40C-F8C8-4565-AF33-9345ECD72D6A}">
      <dgm:prSet/>
      <dgm:spPr/>
      <dgm:t>
        <a:bodyPr/>
        <a:lstStyle/>
        <a:p>
          <a:endParaRPr lang="en-US"/>
        </a:p>
      </dgm:t>
    </dgm:pt>
    <dgm:pt modelId="{5FF2B983-AC26-4F29-AAA7-16107017F1F5}" type="pres">
      <dgm:prSet presAssocID="{DE74F870-4273-4086-9AB9-CD834AFF2310}" presName="Name0" presStyleCnt="0">
        <dgm:presLayoutVars>
          <dgm:chMax val="7"/>
          <dgm:chPref val="7"/>
          <dgm:dir/>
        </dgm:presLayoutVars>
      </dgm:prSet>
      <dgm:spPr/>
    </dgm:pt>
    <dgm:pt modelId="{92C78C2B-4A52-473A-B3DD-2509548CA4EC}" type="pres">
      <dgm:prSet presAssocID="{DE74F870-4273-4086-9AB9-CD834AFF2310}" presName="Name1" presStyleCnt="0"/>
      <dgm:spPr/>
    </dgm:pt>
    <dgm:pt modelId="{BC5630AB-4A32-43CD-843D-E55DF48D6076}" type="pres">
      <dgm:prSet presAssocID="{DE74F870-4273-4086-9AB9-CD834AFF2310}" presName="cycle" presStyleCnt="0"/>
      <dgm:spPr/>
    </dgm:pt>
    <dgm:pt modelId="{4040C26D-B35B-4947-B8FD-C2358EA3F93F}" type="pres">
      <dgm:prSet presAssocID="{DE74F870-4273-4086-9AB9-CD834AFF2310}" presName="srcNode" presStyleLbl="node1" presStyleIdx="0" presStyleCnt="3"/>
      <dgm:spPr/>
    </dgm:pt>
    <dgm:pt modelId="{A9431637-2403-434A-A1E8-C37E4A0A5894}" type="pres">
      <dgm:prSet presAssocID="{DE74F870-4273-4086-9AB9-CD834AFF2310}" presName="conn" presStyleLbl="parChTrans1D2" presStyleIdx="0" presStyleCnt="1"/>
      <dgm:spPr/>
    </dgm:pt>
    <dgm:pt modelId="{049B9780-8CD9-406B-96B2-245E077FE6D2}" type="pres">
      <dgm:prSet presAssocID="{DE74F870-4273-4086-9AB9-CD834AFF2310}" presName="extraNode" presStyleLbl="node1" presStyleIdx="0" presStyleCnt="3"/>
      <dgm:spPr/>
    </dgm:pt>
    <dgm:pt modelId="{DBC96A5E-F066-4DA1-A36A-AC28D0F502FD}" type="pres">
      <dgm:prSet presAssocID="{DE74F870-4273-4086-9AB9-CD834AFF2310}" presName="dstNode" presStyleLbl="node1" presStyleIdx="0" presStyleCnt="3"/>
      <dgm:spPr/>
    </dgm:pt>
    <dgm:pt modelId="{5170BF1F-5921-4527-B4C0-93105BFAEC33}" type="pres">
      <dgm:prSet presAssocID="{D67369BC-9FD8-4749-B8A4-CB9B287BDFBF}" presName="text_1" presStyleLbl="node1" presStyleIdx="0" presStyleCnt="3">
        <dgm:presLayoutVars>
          <dgm:bulletEnabled val="1"/>
        </dgm:presLayoutVars>
      </dgm:prSet>
      <dgm:spPr/>
    </dgm:pt>
    <dgm:pt modelId="{A41ABC0B-E14F-45AA-8A01-D10CE750A71A}" type="pres">
      <dgm:prSet presAssocID="{D67369BC-9FD8-4749-B8A4-CB9B287BDFBF}" presName="accent_1" presStyleCnt="0"/>
      <dgm:spPr/>
    </dgm:pt>
    <dgm:pt modelId="{81E39514-A8BA-4302-9C34-B6FF2EDEC944}" type="pres">
      <dgm:prSet presAssocID="{D67369BC-9FD8-4749-B8A4-CB9B287BDFBF}" presName="accentRepeatNode" presStyleLbl="solidFgAcc1" presStyleIdx="0" presStyleCnt="3"/>
      <dgm:spPr/>
    </dgm:pt>
    <dgm:pt modelId="{CAFFE2B1-6B8B-44BB-AAB4-B6E1382A921E}" type="pres">
      <dgm:prSet presAssocID="{2ACDD474-E385-4A28-9B84-BA9DE7B457E7}" presName="text_2" presStyleLbl="node1" presStyleIdx="1" presStyleCnt="3">
        <dgm:presLayoutVars>
          <dgm:bulletEnabled val="1"/>
        </dgm:presLayoutVars>
      </dgm:prSet>
      <dgm:spPr/>
    </dgm:pt>
    <dgm:pt modelId="{F991F368-B0FF-4C88-8B30-F3A93E6C1B13}" type="pres">
      <dgm:prSet presAssocID="{2ACDD474-E385-4A28-9B84-BA9DE7B457E7}" presName="accent_2" presStyleCnt="0"/>
      <dgm:spPr/>
    </dgm:pt>
    <dgm:pt modelId="{927FE8F5-DDB9-42A2-BDA1-2ED10542ECB1}" type="pres">
      <dgm:prSet presAssocID="{2ACDD474-E385-4A28-9B84-BA9DE7B457E7}" presName="accentRepeatNode" presStyleLbl="solidFgAcc1" presStyleIdx="1" presStyleCnt="3"/>
      <dgm:spPr/>
    </dgm:pt>
    <dgm:pt modelId="{4D858BA0-A7D9-4A04-87BC-4654B3F19F5E}" type="pres">
      <dgm:prSet presAssocID="{1706CAA8-3945-4F55-BF4F-E69CCF2AD192}" presName="text_3" presStyleLbl="node1" presStyleIdx="2" presStyleCnt="3">
        <dgm:presLayoutVars>
          <dgm:bulletEnabled val="1"/>
        </dgm:presLayoutVars>
      </dgm:prSet>
      <dgm:spPr/>
    </dgm:pt>
    <dgm:pt modelId="{218B6427-DD34-473D-BF13-EDCFEFFD00E0}" type="pres">
      <dgm:prSet presAssocID="{1706CAA8-3945-4F55-BF4F-E69CCF2AD192}" presName="accent_3" presStyleCnt="0"/>
      <dgm:spPr/>
    </dgm:pt>
    <dgm:pt modelId="{DC806B05-6EF6-44A4-AFC7-AF1635CF9A7A}" type="pres">
      <dgm:prSet presAssocID="{1706CAA8-3945-4F55-BF4F-E69CCF2AD192}" presName="accentRepeatNode" presStyleLbl="solidFgAcc1" presStyleIdx="2" presStyleCnt="3"/>
      <dgm:spPr/>
    </dgm:pt>
  </dgm:ptLst>
  <dgm:cxnLst>
    <dgm:cxn modelId="{C6C4D40C-F8C8-4565-AF33-9345ECD72D6A}" srcId="{DE74F870-4273-4086-9AB9-CD834AFF2310}" destId="{1706CAA8-3945-4F55-BF4F-E69CCF2AD192}" srcOrd="2" destOrd="0" parTransId="{99C610C7-4B79-442C-A5FE-AC54D6D447EF}" sibTransId="{A8B3355E-177F-4C6E-9E1A-7D9599610179}"/>
    <dgm:cxn modelId="{553A2F14-AF27-4364-86FF-7B8856CF3D8C}" type="presOf" srcId="{D67369BC-9FD8-4749-B8A4-CB9B287BDFBF}" destId="{5170BF1F-5921-4527-B4C0-93105BFAEC33}" srcOrd="0" destOrd="0" presId="urn:microsoft.com/office/officeart/2008/layout/VerticalCurvedList"/>
    <dgm:cxn modelId="{576E4273-7A33-4585-9C0B-B5CB6F58EC05}" srcId="{DE74F870-4273-4086-9AB9-CD834AFF2310}" destId="{D67369BC-9FD8-4749-B8A4-CB9B287BDFBF}" srcOrd="0" destOrd="0" parTransId="{CB11DAB2-C63B-4B75-9EAB-50FC385A71AF}" sibTransId="{378F8405-CE17-4FBC-9A9B-FDC007D71E7E}"/>
    <dgm:cxn modelId="{EA7FBC87-E2FF-452D-AF71-F3783ED0C959}" type="presOf" srcId="{1706CAA8-3945-4F55-BF4F-E69CCF2AD192}" destId="{4D858BA0-A7D9-4A04-87BC-4654B3F19F5E}" srcOrd="0" destOrd="0" presId="urn:microsoft.com/office/officeart/2008/layout/VerticalCurvedList"/>
    <dgm:cxn modelId="{DCC78298-065B-4802-B33B-AD6719729B9D}" type="presOf" srcId="{378F8405-CE17-4FBC-9A9B-FDC007D71E7E}" destId="{A9431637-2403-434A-A1E8-C37E4A0A5894}" srcOrd="0" destOrd="0" presId="urn:microsoft.com/office/officeart/2008/layout/VerticalCurvedList"/>
    <dgm:cxn modelId="{159AE7AC-BC0B-402D-8CAB-99C6C5437B24}" srcId="{DE74F870-4273-4086-9AB9-CD834AFF2310}" destId="{2ACDD474-E385-4A28-9B84-BA9DE7B457E7}" srcOrd="1" destOrd="0" parTransId="{53108787-8CB3-4829-9009-58036B2F3A3C}" sibTransId="{AE1486B1-CCA5-455A-86AD-0EBF476EAD1F}"/>
    <dgm:cxn modelId="{532D52CF-778D-434F-841D-D40285CE42C3}" type="presOf" srcId="{DE74F870-4273-4086-9AB9-CD834AFF2310}" destId="{5FF2B983-AC26-4F29-AAA7-16107017F1F5}" srcOrd="0" destOrd="0" presId="urn:microsoft.com/office/officeart/2008/layout/VerticalCurvedList"/>
    <dgm:cxn modelId="{1867A1E1-63FD-4F29-8236-BB29BABF6C83}" type="presOf" srcId="{2ACDD474-E385-4A28-9B84-BA9DE7B457E7}" destId="{CAFFE2B1-6B8B-44BB-AAB4-B6E1382A921E}" srcOrd="0" destOrd="0" presId="urn:microsoft.com/office/officeart/2008/layout/VerticalCurvedList"/>
    <dgm:cxn modelId="{D36306B1-E62A-4112-8238-2F44EC722092}" type="presParOf" srcId="{5FF2B983-AC26-4F29-AAA7-16107017F1F5}" destId="{92C78C2B-4A52-473A-B3DD-2509548CA4EC}" srcOrd="0" destOrd="0" presId="urn:microsoft.com/office/officeart/2008/layout/VerticalCurvedList"/>
    <dgm:cxn modelId="{4C862A60-582E-4347-903F-6E4BF1CAE6C6}" type="presParOf" srcId="{92C78C2B-4A52-473A-B3DD-2509548CA4EC}" destId="{BC5630AB-4A32-43CD-843D-E55DF48D6076}" srcOrd="0" destOrd="0" presId="urn:microsoft.com/office/officeart/2008/layout/VerticalCurvedList"/>
    <dgm:cxn modelId="{1ADE3AE6-E0E9-4537-A193-268E83CF40ED}" type="presParOf" srcId="{BC5630AB-4A32-43CD-843D-E55DF48D6076}" destId="{4040C26D-B35B-4947-B8FD-C2358EA3F93F}" srcOrd="0" destOrd="0" presId="urn:microsoft.com/office/officeart/2008/layout/VerticalCurvedList"/>
    <dgm:cxn modelId="{B4AD0D63-430D-4A6B-B2A4-C5BF30BFECE1}" type="presParOf" srcId="{BC5630AB-4A32-43CD-843D-E55DF48D6076}" destId="{A9431637-2403-434A-A1E8-C37E4A0A5894}" srcOrd="1" destOrd="0" presId="urn:microsoft.com/office/officeart/2008/layout/VerticalCurvedList"/>
    <dgm:cxn modelId="{7E477608-1D44-4256-AADD-47F5C5D71CA7}" type="presParOf" srcId="{BC5630AB-4A32-43CD-843D-E55DF48D6076}" destId="{049B9780-8CD9-406B-96B2-245E077FE6D2}" srcOrd="2" destOrd="0" presId="urn:microsoft.com/office/officeart/2008/layout/VerticalCurvedList"/>
    <dgm:cxn modelId="{AFCBD8DD-B5A0-4C9E-9C92-A29908B42176}" type="presParOf" srcId="{BC5630AB-4A32-43CD-843D-E55DF48D6076}" destId="{DBC96A5E-F066-4DA1-A36A-AC28D0F502FD}" srcOrd="3" destOrd="0" presId="urn:microsoft.com/office/officeart/2008/layout/VerticalCurvedList"/>
    <dgm:cxn modelId="{8E79DAEB-0220-4D46-8C58-D3847A3C95B7}" type="presParOf" srcId="{92C78C2B-4A52-473A-B3DD-2509548CA4EC}" destId="{5170BF1F-5921-4527-B4C0-93105BFAEC33}" srcOrd="1" destOrd="0" presId="urn:microsoft.com/office/officeart/2008/layout/VerticalCurvedList"/>
    <dgm:cxn modelId="{4C4C1727-06C1-462B-B955-789572E30813}" type="presParOf" srcId="{92C78C2B-4A52-473A-B3DD-2509548CA4EC}" destId="{A41ABC0B-E14F-45AA-8A01-D10CE750A71A}" srcOrd="2" destOrd="0" presId="urn:microsoft.com/office/officeart/2008/layout/VerticalCurvedList"/>
    <dgm:cxn modelId="{E396FCB7-FB49-457D-AA21-8EB71CCDE4CD}" type="presParOf" srcId="{A41ABC0B-E14F-45AA-8A01-D10CE750A71A}" destId="{81E39514-A8BA-4302-9C34-B6FF2EDEC944}" srcOrd="0" destOrd="0" presId="urn:microsoft.com/office/officeart/2008/layout/VerticalCurvedList"/>
    <dgm:cxn modelId="{4BEAF2C9-F1C0-47A9-ADAC-A6D87DE63FA5}" type="presParOf" srcId="{92C78C2B-4A52-473A-B3DD-2509548CA4EC}" destId="{CAFFE2B1-6B8B-44BB-AAB4-B6E1382A921E}" srcOrd="3" destOrd="0" presId="urn:microsoft.com/office/officeart/2008/layout/VerticalCurvedList"/>
    <dgm:cxn modelId="{B1A70C41-7D24-4558-9D7D-477F558633AD}" type="presParOf" srcId="{92C78C2B-4A52-473A-B3DD-2509548CA4EC}" destId="{F991F368-B0FF-4C88-8B30-F3A93E6C1B13}" srcOrd="4" destOrd="0" presId="urn:microsoft.com/office/officeart/2008/layout/VerticalCurvedList"/>
    <dgm:cxn modelId="{173C7CC5-A270-46EB-B44C-157C75B548B6}" type="presParOf" srcId="{F991F368-B0FF-4C88-8B30-F3A93E6C1B13}" destId="{927FE8F5-DDB9-42A2-BDA1-2ED10542ECB1}" srcOrd="0" destOrd="0" presId="urn:microsoft.com/office/officeart/2008/layout/VerticalCurvedList"/>
    <dgm:cxn modelId="{E1F7400A-9710-4E2D-859F-90778B55BE4C}" type="presParOf" srcId="{92C78C2B-4A52-473A-B3DD-2509548CA4EC}" destId="{4D858BA0-A7D9-4A04-87BC-4654B3F19F5E}" srcOrd="5" destOrd="0" presId="urn:microsoft.com/office/officeart/2008/layout/VerticalCurvedList"/>
    <dgm:cxn modelId="{67854F77-67FB-42D2-957F-1FFD16CE034A}" type="presParOf" srcId="{92C78C2B-4A52-473A-B3DD-2509548CA4EC}" destId="{218B6427-DD34-473D-BF13-EDCFEFFD00E0}" srcOrd="6" destOrd="0" presId="urn:microsoft.com/office/officeart/2008/layout/VerticalCurvedList"/>
    <dgm:cxn modelId="{8944B618-90C9-4F86-9BD1-95A6A3A34D98}" type="presParOf" srcId="{218B6427-DD34-473D-BF13-EDCFEFFD00E0}" destId="{DC806B05-6EF6-44A4-AFC7-AF1635CF9A7A}" srcOrd="0" destOrd="0" presId="urn:microsoft.com/office/officeart/2008/layout/VerticalCurvedLis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E93D1C2-2132-4F53-BFD4-693498412051}" type="doc">
      <dgm:prSet loTypeId="urn:microsoft.com/office/officeart/2005/8/layout/vProcess5" loCatId="process" qsTypeId="urn:microsoft.com/office/officeart/2005/8/quickstyle/simple1" qsCatId="simple" csTypeId="urn:microsoft.com/office/officeart/2005/8/colors/accent0_1" csCatId="mainScheme" phldr="1"/>
      <dgm:spPr/>
      <dgm:t>
        <a:bodyPr/>
        <a:lstStyle/>
        <a:p>
          <a:endParaRPr lang="en-US"/>
        </a:p>
      </dgm:t>
    </dgm:pt>
    <dgm:pt modelId="{BE6ECE95-AC36-4A1D-A297-AA9B14BCC048}">
      <dgm:prSet phldrT="[Text]"/>
      <dgm:spPr/>
      <dgm:t>
        <a:bodyPr/>
        <a:lstStyle/>
        <a:p>
          <a:r>
            <a:rPr lang="en-US"/>
            <a:t>Compliance-Driven Change </a:t>
          </a:r>
        </a:p>
      </dgm:t>
    </dgm:pt>
    <dgm:pt modelId="{EC4AC17B-9F92-4842-8D4E-A35CCEA48AF5}" type="parTrans" cxnId="{1E979184-C745-4DA0-AA3F-F7CDBF6A3ED4}">
      <dgm:prSet/>
      <dgm:spPr/>
      <dgm:t>
        <a:bodyPr/>
        <a:lstStyle/>
        <a:p>
          <a:endParaRPr lang="en-US"/>
        </a:p>
      </dgm:t>
    </dgm:pt>
    <dgm:pt modelId="{CE8C5FFC-5B2C-48A5-BEFE-8A5C98346430}" type="sibTrans" cxnId="{1E979184-C745-4DA0-AA3F-F7CDBF6A3ED4}">
      <dgm:prSet/>
      <dgm:spPr/>
      <dgm:t>
        <a:bodyPr/>
        <a:lstStyle/>
        <a:p>
          <a:endParaRPr lang="en-US"/>
        </a:p>
      </dgm:t>
    </dgm:pt>
    <dgm:pt modelId="{22765150-2F77-44F1-A385-4C16E8B2EDE3}">
      <dgm:prSet phldrT="[Text]"/>
      <dgm:spPr/>
      <dgm:t>
        <a:bodyPr/>
        <a:lstStyle/>
        <a:p>
          <a:r>
            <a:rPr lang="en-US"/>
            <a:t>Customer Centricity and Digital Transformation</a:t>
          </a:r>
        </a:p>
      </dgm:t>
    </dgm:pt>
    <dgm:pt modelId="{3D83C109-84C0-416F-9DEC-F7CC4BE43F4D}" type="parTrans" cxnId="{11C31917-C167-4DA2-9773-BE2358BF69C1}">
      <dgm:prSet/>
      <dgm:spPr/>
      <dgm:t>
        <a:bodyPr/>
        <a:lstStyle/>
        <a:p>
          <a:endParaRPr lang="en-US"/>
        </a:p>
      </dgm:t>
    </dgm:pt>
    <dgm:pt modelId="{7CC999F6-6E4F-4CD4-A902-1BDD6ED8AA6A}" type="sibTrans" cxnId="{11C31917-C167-4DA2-9773-BE2358BF69C1}">
      <dgm:prSet/>
      <dgm:spPr/>
      <dgm:t>
        <a:bodyPr/>
        <a:lstStyle/>
        <a:p>
          <a:endParaRPr lang="en-US"/>
        </a:p>
      </dgm:t>
    </dgm:pt>
    <dgm:pt modelId="{BC4677E8-CAF6-4B19-B71F-8BFE9AB8DEF1}">
      <dgm:prSet phldrT="[Text]"/>
      <dgm:spPr/>
      <dgm:t>
        <a:bodyPr/>
        <a:lstStyle/>
        <a:p>
          <a:r>
            <a:rPr lang="en-US"/>
            <a:t>Bureaucratic Challenges </a:t>
          </a:r>
        </a:p>
      </dgm:t>
    </dgm:pt>
    <dgm:pt modelId="{019884DF-D7DC-4306-A8D0-9E122D1B049B}" type="parTrans" cxnId="{90F397F4-EBC1-4C49-899D-02BFC15C19E8}">
      <dgm:prSet/>
      <dgm:spPr/>
      <dgm:t>
        <a:bodyPr/>
        <a:lstStyle/>
        <a:p>
          <a:endParaRPr lang="en-US"/>
        </a:p>
      </dgm:t>
    </dgm:pt>
    <dgm:pt modelId="{6A707797-AC10-4565-A875-E8613CD292F7}" type="sibTrans" cxnId="{90F397F4-EBC1-4C49-899D-02BFC15C19E8}">
      <dgm:prSet/>
      <dgm:spPr/>
      <dgm:t>
        <a:bodyPr/>
        <a:lstStyle/>
        <a:p>
          <a:endParaRPr lang="en-US"/>
        </a:p>
      </dgm:t>
    </dgm:pt>
    <dgm:pt modelId="{F63B43B3-9C6E-48B3-A9AE-2D320BA17DF5}">
      <dgm:prSet phldrT="[Text]"/>
      <dgm:spPr/>
      <dgm:t>
        <a:bodyPr/>
        <a:lstStyle/>
        <a:p>
          <a:r>
            <a:rPr lang="en-US"/>
            <a:t>Role of Leadership </a:t>
          </a:r>
        </a:p>
      </dgm:t>
    </dgm:pt>
    <dgm:pt modelId="{76E56F30-C2CA-4E42-A768-F9FE16A82819}" type="parTrans" cxnId="{C9E4D38B-54DF-4125-BD0F-E1BF6B3B4CBD}">
      <dgm:prSet/>
      <dgm:spPr/>
      <dgm:t>
        <a:bodyPr/>
        <a:lstStyle/>
        <a:p>
          <a:endParaRPr lang="en-US"/>
        </a:p>
      </dgm:t>
    </dgm:pt>
    <dgm:pt modelId="{434464B0-9C29-4AA8-819A-6B0D03F9E6A5}" type="sibTrans" cxnId="{C9E4D38B-54DF-4125-BD0F-E1BF6B3B4CBD}">
      <dgm:prSet/>
      <dgm:spPr/>
      <dgm:t>
        <a:bodyPr/>
        <a:lstStyle/>
        <a:p>
          <a:endParaRPr lang="en-US"/>
        </a:p>
      </dgm:t>
    </dgm:pt>
    <dgm:pt modelId="{72FC76FF-C592-4DBE-AB4E-F8DAF246BF7E}">
      <dgm:prSet phldrT="[Text]"/>
      <dgm:spPr/>
      <dgm:t>
        <a:bodyPr/>
        <a:lstStyle/>
        <a:p>
          <a:r>
            <a:rPr lang="en-US"/>
            <a:t>Cultural Resistance </a:t>
          </a:r>
        </a:p>
      </dgm:t>
    </dgm:pt>
    <dgm:pt modelId="{11680259-2490-4C19-B8DC-BDF4FD440E9A}" type="parTrans" cxnId="{D6033A41-A029-4D6E-A7E6-1DAF00BF0E68}">
      <dgm:prSet/>
      <dgm:spPr/>
      <dgm:t>
        <a:bodyPr/>
        <a:lstStyle/>
        <a:p>
          <a:endParaRPr lang="en-US"/>
        </a:p>
      </dgm:t>
    </dgm:pt>
    <dgm:pt modelId="{F25A5B24-8BCB-4084-9142-0CC6831DEDE0}" type="sibTrans" cxnId="{D6033A41-A029-4D6E-A7E6-1DAF00BF0E68}">
      <dgm:prSet/>
      <dgm:spPr/>
      <dgm:t>
        <a:bodyPr/>
        <a:lstStyle/>
        <a:p>
          <a:endParaRPr lang="en-US"/>
        </a:p>
      </dgm:t>
    </dgm:pt>
    <dgm:pt modelId="{09BFD76B-0C93-4DD2-ABD9-7846F19DDE84}" type="pres">
      <dgm:prSet presAssocID="{5E93D1C2-2132-4F53-BFD4-693498412051}" presName="outerComposite" presStyleCnt="0">
        <dgm:presLayoutVars>
          <dgm:chMax val="5"/>
          <dgm:dir/>
          <dgm:resizeHandles val="exact"/>
        </dgm:presLayoutVars>
      </dgm:prSet>
      <dgm:spPr/>
    </dgm:pt>
    <dgm:pt modelId="{24C8BF68-3894-405F-A4B4-0EBE93D98CC3}" type="pres">
      <dgm:prSet presAssocID="{5E93D1C2-2132-4F53-BFD4-693498412051}" presName="dummyMaxCanvas" presStyleCnt="0">
        <dgm:presLayoutVars/>
      </dgm:prSet>
      <dgm:spPr/>
    </dgm:pt>
    <dgm:pt modelId="{FC64CA36-1CCA-4FBA-8C4D-E6C437F8C5B3}" type="pres">
      <dgm:prSet presAssocID="{5E93D1C2-2132-4F53-BFD4-693498412051}" presName="FiveNodes_1" presStyleLbl="node1" presStyleIdx="0" presStyleCnt="5">
        <dgm:presLayoutVars>
          <dgm:bulletEnabled val="1"/>
        </dgm:presLayoutVars>
      </dgm:prSet>
      <dgm:spPr/>
    </dgm:pt>
    <dgm:pt modelId="{CFF6E9BD-0E44-4028-883E-D214EC504F1A}" type="pres">
      <dgm:prSet presAssocID="{5E93D1C2-2132-4F53-BFD4-693498412051}" presName="FiveNodes_2" presStyleLbl="node1" presStyleIdx="1" presStyleCnt="5">
        <dgm:presLayoutVars>
          <dgm:bulletEnabled val="1"/>
        </dgm:presLayoutVars>
      </dgm:prSet>
      <dgm:spPr/>
    </dgm:pt>
    <dgm:pt modelId="{2633C366-84A5-48E1-BBD5-758C92CE490E}" type="pres">
      <dgm:prSet presAssocID="{5E93D1C2-2132-4F53-BFD4-693498412051}" presName="FiveNodes_3" presStyleLbl="node1" presStyleIdx="2" presStyleCnt="5">
        <dgm:presLayoutVars>
          <dgm:bulletEnabled val="1"/>
        </dgm:presLayoutVars>
      </dgm:prSet>
      <dgm:spPr/>
    </dgm:pt>
    <dgm:pt modelId="{00DB2C67-C419-4BEC-9D5C-B12FAF87DDE9}" type="pres">
      <dgm:prSet presAssocID="{5E93D1C2-2132-4F53-BFD4-693498412051}" presName="FiveNodes_4" presStyleLbl="node1" presStyleIdx="3" presStyleCnt="5">
        <dgm:presLayoutVars>
          <dgm:bulletEnabled val="1"/>
        </dgm:presLayoutVars>
      </dgm:prSet>
      <dgm:spPr/>
    </dgm:pt>
    <dgm:pt modelId="{103E6041-7F91-4E6A-8E7E-16EDF0D18966}" type="pres">
      <dgm:prSet presAssocID="{5E93D1C2-2132-4F53-BFD4-693498412051}" presName="FiveNodes_5" presStyleLbl="node1" presStyleIdx="4" presStyleCnt="5">
        <dgm:presLayoutVars>
          <dgm:bulletEnabled val="1"/>
        </dgm:presLayoutVars>
      </dgm:prSet>
      <dgm:spPr/>
    </dgm:pt>
    <dgm:pt modelId="{45E72466-3CDB-4196-9484-D73B22434CAC}" type="pres">
      <dgm:prSet presAssocID="{5E93D1C2-2132-4F53-BFD4-693498412051}" presName="FiveConn_1-2" presStyleLbl="fgAccFollowNode1" presStyleIdx="0" presStyleCnt="4">
        <dgm:presLayoutVars>
          <dgm:bulletEnabled val="1"/>
        </dgm:presLayoutVars>
      </dgm:prSet>
      <dgm:spPr/>
    </dgm:pt>
    <dgm:pt modelId="{EADD76AB-6AC2-413E-9DA1-D5904866398E}" type="pres">
      <dgm:prSet presAssocID="{5E93D1C2-2132-4F53-BFD4-693498412051}" presName="FiveConn_2-3" presStyleLbl="fgAccFollowNode1" presStyleIdx="1" presStyleCnt="4">
        <dgm:presLayoutVars>
          <dgm:bulletEnabled val="1"/>
        </dgm:presLayoutVars>
      </dgm:prSet>
      <dgm:spPr/>
    </dgm:pt>
    <dgm:pt modelId="{4780226A-34F9-4AB3-9BC3-C6FB16DA611F}" type="pres">
      <dgm:prSet presAssocID="{5E93D1C2-2132-4F53-BFD4-693498412051}" presName="FiveConn_3-4" presStyleLbl="fgAccFollowNode1" presStyleIdx="2" presStyleCnt="4">
        <dgm:presLayoutVars>
          <dgm:bulletEnabled val="1"/>
        </dgm:presLayoutVars>
      </dgm:prSet>
      <dgm:spPr/>
    </dgm:pt>
    <dgm:pt modelId="{820FDA2E-35CD-4ADE-96C4-AAFD74AEEEB7}" type="pres">
      <dgm:prSet presAssocID="{5E93D1C2-2132-4F53-BFD4-693498412051}" presName="FiveConn_4-5" presStyleLbl="fgAccFollowNode1" presStyleIdx="3" presStyleCnt="4">
        <dgm:presLayoutVars>
          <dgm:bulletEnabled val="1"/>
        </dgm:presLayoutVars>
      </dgm:prSet>
      <dgm:spPr/>
    </dgm:pt>
    <dgm:pt modelId="{B2B3A0B5-AB63-4517-8FEA-BFAA3B226479}" type="pres">
      <dgm:prSet presAssocID="{5E93D1C2-2132-4F53-BFD4-693498412051}" presName="FiveNodes_1_text" presStyleLbl="node1" presStyleIdx="4" presStyleCnt="5">
        <dgm:presLayoutVars>
          <dgm:bulletEnabled val="1"/>
        </dgm:presLayoutVars>
      </dgm:prSet>
      <dgm:spPr/>
    </dgm:pt>
    <dgm:pt modelId="{87316DEF-F73D-4738-A132-FBDE5FD52E1B}" type="pres">
      <dgm:prSet presAssocID="{5E93D1C2-2132-4F53-BFD4-693498412051}" presName="FiveNodes_2_text" presStyleLbl="node1" presStyleIdx="4" presStyleCnt="5">
        <dgm:presLayoutVars>
          <dgm:bulletEnabled val="1"/>
        </dgm:presLayoutVars>
      </dgm:prSet>
      <dgm:spPr/>
    </dgm:pt>
    <dgm:pt modelId="{8952312F-331A-42BD-AE41-B4DC33832DD6}" type="pres">
      <dgm:prSet presAssocID="{5E93D1C2-2132-4F53-BFD4-693498412051}" presName="FiveNodes_3_text" presStyleLbl="node1" presStyleIdx="4" presStyleCnt="5">
        <dgm:presLayoutVars>
          <dgm:bulletEnabled val="1"/>
        </dgm:presLayoutVars>
      </dgm:prSet>
      <dgm:spPr/>
    </dgm:pt>
    <dgm:pt modelId="{8C3559EC-966B-4408-91D1-78D698368641}" type="pres">
      <dgm:prSet presAssocID="{5E93D1C2-2132-4F53-BFD4-693498412051}" presName="FiveNodes_4_text" presStyleLbl="node1" presStyleIdx="4" presStyleCnt="5">
        <dgm:presLayoutVars>
          <dgm:bulletEnabled val="1"/>
        </dgm:presLayoutVars>
      </dgm:prSet>
      <dgm:spPr/>
    </dgm:pt>
    <dgm:pt modelId="{06A7C3F8-4D54-45A1-BE54-CAE275327E94}" type="pres">
      <dgm:prSet presAssocID="{5E93D1C2-2132-4F53-BFD4-693498412051}" presName="FiveNodes_5_text" presStyleLbl="node1" presStyleIdx="4" presStyleCnt="5">
        <dgm:presLayoutVars>
          <dgm:bulletEnabled val="1"/>
        </dgm:presLayoutVars>
      </dgm:prSet>
      <dgm:spPr/>
    </dgm:pt>
  </dgm:ptLst>
  <dgm:cxnLst>
    <dgm:cxn modelId="{34258D16-D2FC-45D1-BC73-A7130F75515D}" type="presOf" srcId="{7CC999F6-6E4F-4CD4-A902-1BDD6ED8AA6A}" destId="{EADD76AB-6AC2-413E-9DA1-D5904866398E}" srcOrd="0" destOrd="0" presId="urn:microsoft.com/office/officeart/2005/8/layout/vProcess5"/>
    <dgm:cxn modelId="{11C31917-C167-4DA2-9773-BE2358BF69C1}" srcId="{5E93D1C2-2132-4F53-BFD4-693498412051}" destId="{22765150-2F77-44F1-A385-4C16E8B2EDE3}" srcOrd="1" destOrd="0" parTransId="{3D83C109-84C0-416F-9DEC-F7CC4BE43F4D}" sibTransId="{7CC999F6-6E4F-4CD4-A902-1BDD6ED8AA6A}"/>
    <dgm:cxn modelId="{6A9A4B1E-A353-4249-98DE-381AB874E0C4}" type="presOf" srcId="{F63B43B3-9C6E-48B3-A9AE-2D320BA17DF5}" destId="{8C3559EC-966B-4408-91D1-78D698368641}" srcOrd="1" destOrd="0" presId="urn:microsoft.com/office/officeart/2005/8/layout/vProcess5"/>
    <dgm:cxn modelId="{38F47236-AAED-4D62-89DC-190FCF20F87A}" type="presOf" srcId="{F63B43B3-9C6E-48B3-A9AE-2D320BA17DF5}" destId="{00DB2C67-C419-4BEC-9D5C-B12FAF87DDE9}" srcOrd="0" destOrd="0" presId="urn:microsoft.com/office/officeart/2005/8/layout/vProcess5"/>
    <dgm:cxn modelId="{D6033A41-A029-4D6E-A7E6-1DAF00BF0E68}" srcId="{5E93D1C2-2132-4F53-BFD4-693498412051}" destId="{72FC76FF-C592-4DBE-AB4E-F8DAF246BF7E}" srcOrd="4" destOrd="0" parTransId="{11680259-2490-4C19-B8DC-BDF4FD440E9A}" sibTransId="{F25A5B24-8BCB-4084-9142-0CC6831DEDE0}"/>
    <dgm:cxn modelId="{72A12942-9732-4039-BE63-143849DCEE29}" type="presOf" srcId="{72FC76FF-C592-4DBE-AB4E-F8DAF246BF7E}" destId="{06A7C3F8-4D54-45A1-BE54-CAE275327E94}" srcOrd="1" destOrd="0" presId="urn:microsoft.com/office/officeart/2005/8/layout/vProcess5"/>
    <dgm:cxn modelId="{8E310E64-6666-4C17-9E3D-6D213CF6E5BB}" type="presOf" srcId="{CE8C5FFC-5B2C-48A5-BEFE-8A5C98346430}" destId="{45E72466-3CDB-4196-9484-D73B22434CAC}" srcOrd="0" destOrd="0" presId="urn:microsoft.com/office/officeart/2005/8/layout/vProcess5"/>
    <dgm:cxn modelId="{EA22F275-6B36-46D5-993C-41D81C2721DF}" type="presOf" srcId="{5E93D1C2-2132-4F53-BFD4-693498412051}" destId="{09BFD76B-0C93-4DD2-ABD9-7846F19DDE84}" srcOrd="0" destOrd="0" presId="urn:microsoft.com/office/officeart/2005/8/layout/vProcess5"/>
    <dgm:cxn modelId="{99D1DC79-649B-4393-A420-434F13E2E2A3}" type="presOf" srcId="{BE6ECE95-AC36-4A1D-A297-AA9B14BCC048}" destId="{B2B3A0B5-AB63-4517-8FEA-BFAA3B226479}" srcOrd="1" destOrd="0" presId="urn:microsoft.com/office/officeart/2005/8/layout/vProcess5"/>
    <dgm:cxn modelId="{1E979184-C745-4DA0-AA3F-F7CDBF6A3ED4}" srcId="{5E93D1C2-2132-4F53-BFD4-693498412051}" destId="{BE6ECE95-AC36-4A1D-A297-AA9B14BCC048}" srcOrd="0" destOrd="0" parTransId="{EC4AC17B-9F92-4842-8D4E-A35CCEA48AF5}" sibTransId="{CE8C5FFC-5B2C-48A5-BEFE-8A5C98346430}"/>
    <dgm:cxn modelId="{C9E4D38B-54DF-4125-BD0F-E1BF6B3B4CBD}" srcId="{5E93D1C2-2132-4F53-BFD4-693498412051}" destId="{F63B43B3-9C6E-48B3-A9AE-2D320BA17DF5}" srcOrd="3" destOrd="0" parTransId="{76E56F30-C2CA-4E42-A768-F9FE16A82819}" sibTransId="{434464B0-9C29-4AA8-819A-6B0D03F9E6A5}"/>
    <dgm:cxn modelId="{5D27BA93-9B93-480C-91ED-695CE8F1819C}" type="presOf" srcId="{BE6ECE95-AC36-4A1D-A297-AA9B14BCC048}" destId="{FC64CA36-1CCA-4FBA-8C4D-E6C437F8C5B3}" srcOrd="0" destOrd="0" presId="urn:microsoft.com/office/officeart/2005/8/layout/vProcess5"/>
    <dgm:cxn modelId="{E9022FAB-D18A-4842-B56B-795A12DEB3CC}" type="presOf" srcId="{72FC76FF-C592-4DBE-AB4E-F8DAF246BF7E}" destId="{103E6041-7F91-4E6A-8E7E-16EDF0D18966}" srcOrd="0" destOrd="0" presId="urn:microsoft.com/office/officeart/2005/8/layout/vProcess5"/>
    <dgm:cxn modelId="{7555BCD6-66AA-42AD-8B19-07A7DBC2090D}" type="presOf" srcId="{22765150-2F77-44F1-A385-4C16E8B2EDE3}" destId="{CFF6E9BD-0E44-4028-883E-D214EC504F1A}" srcOrd="0" destOrd="0" presId="urn:microsoft.com/office/officeart/2005/8/layout/vProcess5"/>
    <dgm:cxn modelId="{D81777D9-FF2F-4DCF-A794-1681F01898D7}" type="presOf" srcId="{BC4677E8-CAF6-4B19-B71F-8BFE9AB8DEF1}" destId="{2633C366-84A5-48E1-BBD5-758C92CE490E}" srcOrd="0" destOrd="0" presId="urn:microsoft.com/office/officeart/2005/8/layout/vProcess5"/>
    <dgm:cxn modelId="{FCF572DD-56A6-4BA1-8559-508EEE972770}" type="presOf" srcId="{434464B0-9C29-4AA8-819A-6B0D03F9E6A5}" destId="{820FDA2E-35CD-4ADE-96C4-AAFD74AEEEB7}" srcOrd="0" destOrd="0" presId="urn:microsoft.com/office/officeart/2005/8/layout/vProcess5"/>
    <dgm:cxn modelId="{96785DE4-E7BF-4A6C-90D2-BE901B59DA73}" type="presOf" srcId="{22765150-2F77-44F1-A385-4C16E8B2EDE3}" destId="{87316DEF-F73D-4738-A132-FBDE5FD52E1B}" srcOrd="1" destOrd="0" presId="urn:microsoft.com/office/officeart/2005/8/layout/vProcess5"/>
    <dgm:cxn modelId="{47659DF1-D57D-4FBB-A47E-18C0C1F96A09}" type="presOf" srcId="{BC4677E8-CAF6-4B19-B71F-8BFE9AB8DEF1}" destId="{8952312F-331A-42BD-AE41-B4DC33832DD6}" srcOrd="1" destOrd="0" presId="urn:microsoft.com/office/officeart/2005/8/layout/vProcess5"/>
    <dgm:cxn modelId="{90F397F4-EBC1-4C49-899D-02BFC15C19E8}" srcId="{5E93D1C2-2132-4F53-BFD4-693498412051}" destId="{BC4677E8-CAF6-4B19-B71F-8BFE9AB8DEF1}" srcOrd="2" destOrd="0" parTransId="{019884DF-D7DC-4306-A8D0-9E122D1B049B}" sibTransId="{6A707797-AC10-4565-A875-E8613CD292F7}"/>
    <dgm:cxn modelId="{8EBDBFF5-0E94-41E9-8E8E-834C55F23438}" type="presOf" srcId="{6A707797-AC10-4565-A875-E8613CD292F7}" destId="{4780226A-34F9-4AB3-9BC3-C6FB16DA611F}" srcOrd="0" destOrd="0" presId="urn:microsoft.com/office/officeart/2005/8/layout/vProcess5"/>
    <dgm:cxn modelId="{827AC1E6-8A61-40DD-A0CE-2C73DC3411E3}" type="presParOf" srcId="{09BFD76B-0C93-4DD2-ABD9-7846F19DDE84}" destId="{24C8BF68-3894-405F-A4B4-0EBE93D98CC3}" srcOrd="0" destOrd="0" presId="urn:microsoft.com/office/officeart/2005/8/layout/vProcess5"/>
    <dgm:cxn modelId="{CD4D07C6-3401-4023-889C-D164A180384C}" type="presParOf" srcId="{09BFD76B-0C93-4DD2-ABD9-7846F19DDE84}" destId="{FC64CA36-1CCA-4FBA-8C4D-E6C437F8C5B3}" srcOrd="1" destOrd="0" presId="urn:microsoft.com/office/officeart/2005/8/layout/vProcess5"/>
    <dgm:cxn modelId="{695C1F90-480D-476E-9453-42FE1CA3632F}" type="presParOf" srcId="{09BFD76B-0C93-4DD2-ABD9-7846F19DDE84}" destId="{CFF6E9BD-0E44-4028-883E-D214EC504F1A}" srcOrd="2" destOrd="0" presId="urn:microsoft.com/office/officeart/2005/8/layout/vProcess5"/>
    <dgm:cxn modelId="{FEA05586-579E-4D13-94EC-6AC87325D6CD}" type="presParOf" srcId="{09BFD76B-0C93-4DD2-ABD9-7846F19DDE84}" destId="{2633C366-84A5-48E1-BBD5-758C92CE490E}" srcOrd="3" destOrd="0" presId="urn:microsoft.com/office/officeart/2005/8/layout/vProcess5"/>
    <dgm:cxn modelId="{A567560D-6A6D-4B80-9CEA-C50DF793F5D0}" type="presParOf" srcId="{09BFD76B-0C93-4DD2-ABD9-7846F19DDE84}" destId="{00DB2C67-C419-4BEC-9D5C-B12FAF87DDE9}" srcOrd="4" destOrd="0" presId="urn:microsoft.com/office/officeart/2005/8/layout/vProcess5"/>
    <dgm:cxn modelId="{7A676D3F-92D8-439F-8B5B-A76B916854A7}" type="presParOf" srcId="{09BFD76B-0C93-4DD2-ABD9-7846F19DDE84}" destId="{103E6041-7F91-4E6A-8E7E-16EDF0D18966}" srcOrd="5" destOrd="0" presId="urn:microsoft.com/office/officeart/2005/8/layout/vProcess5"/>
    <dgm:cxn modelId="{0292C229-68AD-4181-94C3-79829023FD73}" type="presParOf" srcId="{09BFD76B-0C93-4DD2-ABD9-7846F19DDE84}" destId="{45E72466-3CDB-4196-9484-D73B22434CAC}" srcOrd="6" destOrd="0" presId="urn:microsoft.com/office/officeart/2005/8/layout/vProcess5"/>
    <dgm:cxn modelId="{4AE3536B-6A88-4D56-81AA-5DC3A988DADD}" type="presParOf" srcId="{09BFD76B-0C93-4DD2-ABD9-7846F19DDE84}" destId="{EADD76AB-6AC2-413E-9DA1-D5904866398E}" srcOrd="7" destOrd="0" presId="urn:microsoft.com/office/officeart/2005/8/layout/vProcess5"/>
    <dgm:cxn modelId="{ADF817D4-1E77-4C82-8DE3-E327B20572C3}" type="presParOf" srcId="{09BFD76B-0C93-4DD2-ABD9-7846F19DDE84}" destId="{4780226A-34F9-4AB3-9BC3-C6FB16DA611F}" srcOrd="8" destOrd="0" presId="urn:microsoft.com/office/officeart/2005/8/layout/vProcess5"/>
    <dgm:cxn modelId="{E2786916-1826-49DB-91F2-2BFD772F9CE8}" type="presParOf" srcId="{09BFD76B-0C93-4DD2-ABD9-7846F19DDE84}" destId="{820FDA2E-35CD-4ADE-96C4-AAFD74AEEEB7}" srcOrd="9" destOrd="0" presId="urn:microsoft.com/office/officeart/2005/8/layout/vProcess5"/>
    <dgm:cxn modelId="{89F0A45D-E34F-4451-AF2A-2E3F56F132E9}" type="presParOf" srcId="{09BFD76B-0C93-4DD2-ABD9-7846F19DDE84}" destId="{B2B3A0B5-AB63-4517-8FEA-BFAA3B226479}" srcOrd="10" destOrd="0" presId="urn:microsoft.com/office/officeart/2005/8/layout/vProcess5"/>
    <dgm:cxn modelId="{25C39E5B-D860-4326-97AA-FEECADE82C41}" type="presParOf" srcId="{09BFD76B-0C93-4DD2-ABD9-7846F19DDE84}" destId="{87316DEF-F73D-4738-A132-FBDE5FD52E1B}" srcOrd="11" destOrd="0" presId="urn:microsoft.com/office/officeart/2005/8/layout/vProcess5"/>
    <dgm:cxn modelId="{F2D1D0A8-D272-4021-9674-FDDAC5E8F53B}" type="presParOf" srcId="{09BFD76B-0C93-4DD2-ABD9-7846F19DDE84}" destId="{8952312F-331A-42BD-AE41-B4DC33832DD6}" srcOrd="12" destOrd="0" presId="urn:microsoft.com/office/officeart/2005/8/layout/vProcess5"/>
    <dgm:cxn modelId="{8FFD0D98-9C7F-4F63-ADD7-E99B24ABE7EF}" type="presParOf" srcId="{09BFD76B-0C93-4DD2-ABD9-7846F19DDE84}" destId="{8C3559EC-966B-4408-91D1-78D698368641}" srcOrd="13" destOrd="0" presId="urn:microsoft.com/office/officeart/2005/8/layout/vProcess5"/>
    <dgm:cxn modelId="{369D02E5-293A-480F-8A2C-EAB67A96E043}" type="presParOf" srcId="{09BFD76B-0C93-4DD2-ABD9-7846F19DDE84}" destId="{06A7C3F8-4D54-45A1-BE54-CAE275327E94}" srcOrd="14" destOrd="0" presId="urn:microsoft.com/office/officeart/2005/8/layout/vProcess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6E5AE-171C-4FBD-BFC9-5B9ED899C766}">
      <dsp:nvSpPr>
        <dsp:cNvPr id="0" name=""/>
        <dsp:cNvSpPr/>
      </dsp:nvSpPr>
      <dsp:spPr>
        <a:xfrm>
          <a:off x="0" y="240060"/>
          <a:ext cx="3765550" cy="277199"/>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ED2E5BA-D4C5-43EA-B64F-05D371348EA5}">
      <dsp:nvSpPr>
        <dsp:cNvPr id="0" name=""/>
        <dsp:cNvSpPr/>
      </dsp:nvSpPr>
      <dsp:spPr>
        <a:xfrm>
          <a:off x="188277" y="77700"/>
          <a:ext cx="2635884" cy="3247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630" tIns="0" rIns="99630" bIns="0" numCol="1" spcCol="1270" anchor="ctr" anchorCtr="0">
          <a:noAutofit/>
        </a:bodyPr>
        <a:lstStyle/>
        <a:p>
          <a:pPr marL="0" lvl="0" indent="0" algn="l" defTabSz="488950">
            <a:lnSpc>
              <a:spcPct val="90000"/>
            </a:lnSpc>
            <a:spcBef>
              <a:spcPct val="0"/>
            </a:spcBef>
            <a:spcAft>
              <a:spcPct val="35000"/>
            </a:spcAft>
            <a:buNone/>
          </a:pPr>
          <a:r>
            <a:rPr lang="en-US" sz="1100" kern="1200"/>
            <a:t>Digital Disruption </a:t>
          </a:r>
        </a:p>
      </dsp:txBody>
      <dsp:txXfrm>
        <a:off x="204129" y="93552"/>
        <a:ext cx="2604180" cy="293016"/>
      </dsp:txXfrm>
    </dsp:sp>
    <dsp:sp modelId="{B238C28F-33ED-4819-A92E-CAEB3F23D8B0}">
      <dsp:nvSpPr>
        <dsp:cNvPr id="0" name=""/>
        <dsp:cNvSpPr/>
      </dsp:nvSpPr>
      <dsp:spPr>
        <a:xfrm>
          <a:off x="0" y="739020"/>
          <a:ext cx="3765550" cy="277199"/>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D2847AE-F8A1-426B-A334-AD4324BE2E14}">
      <dsp:nvSpPr>
        <dsp:cNvPr id="0" name=""/>
        <dsp:cNvSpPr/>
      </dsp:nvSpPr>
      <dsp:spPr>
        <a:xfrm>
          <a:off x="188277" y="576660"/>
          <a:ext cx="2635884" cy="3247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630" tIns="0" rIns="99630" bIns="0" numCol="1" spcCol="1270" anchor="ctr" anchorCtr="0">
          <a:noAutofit/>
        </a:bodyPr>
        <a:lstStyle/>
        <a:p>
          <a:pPr marL="0" lvl="0" indent="0" algn="l" defTabSz="488950">
            <a:lnSpc>
              <a:spcPct val="90000"/>
            </a:lnSpc>
            <a:spcBef>
              <a:spcPct val="0"/>
            </a:spcBef>
            <a:spcAft>
              <a:spcPct val="35000"/>
            </a:spcAft>
            <a:buNone/>
          </a:pPr>
          <a:r>
            <a:rPr lang="en-US" sz="1100" kern="1200"/>
            <a:t>Economic Uncertainty </a:t>
          </a:r>
        </a:p>
      </dsp:txBody>
      <dsp:txXfrm>
        <a:off x="204129" y="592512"/>
        <a:ext cx="2604180" cy="293016"/>
      </dsp:txXfrm>
    </dsp:sp>
    <dsp:sp modelId="{5F58B59F-077E-4C98-9542-B7F53FDED140}">
      <dsp:nvSpPr>
        <dsp:cNvPr id="0" name=""/>
        <dsp:cNvSpPr/>
      </dsp:nvSpPr>
      <dsp:spPr>
        <a:xfrm>
          <a:off x="0" y="1237980"/>
          <a:ext cx="3765550" cy="277199"/>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F85740-253B-4813-8980-E243AB64F51D}">
      <dsp:nvSpPr>
        <dsp:cNvPr id="0" name=""/>
        <dsp:cNvSpPr/>
      </dsp:nvSpPr>
      <dsp:spPr>
        <a:xfrm>
          <a:off x="188277" y="1075619"/>
          <a:ext cx="2635884" cy="3247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630" tIns="0" rIns="99630" bIns="0" numCol="1" spcCol="1270" anchor="ctr" anchorCtr="0">
          <a:noAutofit/>
        </a:bodyPr>
        <a:lstStyle/>
        <a:p>
          <a:pPr marL="0" lvl="0" indent="0" algn="l" defTabSz="488950">
            <a:lnSpc>
              <a:spcPct val="90000"/>
            </a:lnSpc>
            <a:spcBef>
              <a:spcPct val="0"/>
            </a:spcBef>
            <a:spcAft>
              <a:spcPct val="35000"/>
            </a:spcAft>
            <a:buNone/>
          </a:pPr>
          <a:r>
            <a:rPr lang="en-US" sz="1100" kern="1200"/>
            <a:t>Regulatory Environment </a:t>
          </a:r>
        </a:p>
      </dsp:txBody>
      <dsp:txXfrm>
        <a:off x="204129" y="1091471"/>
        <a:ext cx="2604180" cy="293016"/>
      </dsp:txXfrm>
    </dsp:sp>
    <dsp:sp modelId="{17796A8C-55E7-42F2-947A-E576446AD90B}">
      <dsp:nvSpPr>
        <dsp:cNvPr id="0" name=""/>
        <dsp:cNvSpPr/>
      </dsp:nvSpPr>
      <dsp:spPr>
        <a:xfrm>
          <a:off x="0" y="1736940"/>
          <a:ext cx="3765550" cy="277199"/>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67B57B4-2890-4391-8302-70F3DD86997E}">
      <dsp:nvSpPr>
        <dsp:cNvPr id="0" name=""/>
        <dsp:cNvSpPr/>
      </dsp:nvSpPr>
      <dsp:spPr>
        <a:xfrm>
          <a:off x="188277" y="1574579"/>
          <a:ext cx="2635884" cy="3247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630" tIns="0" rIns="99630" bIns="0" numCol="1" spcCol="1270" anchor="ctr" anchorCtr="0">
          <a:noAutofit/>
        </a:bodyPr>
        <a:lstStyle/>
        <a:p>
          <a:pPr marL="0" lvl="0" indent="0" algn="l" defTabSz="488950">
            <a:lnSpc>
              <a:spcPct val="90000"/>
            </a:lnSpc>
            <a:spcBef>
              <a:spcPct val="0"/>
            </a:spcBef>
            <a:spcAft>
              <a:spcPct val="35000"/>
            </a:spcAft>
            <a:buNone/>
          </a:pPr>
          <a:r>
            <a:rPr lang="en-US" sz="1100" kern="1200"/>
            <a:t>Technological Advancement </a:t>
          </a:r>
        </a:p>
      </dsp:txBody>
      <dsp:txXfrm>
        <a:off x="204129" y="1590431"/>
        <a:ext cx="2604180" cy="293016"/>
      </dsp:txXfrm>
    </dsp:sp>
    <dsp:sp modelId="{A0EA6066-8EC2-4D6A-95C1-E9CC881A7258}">
      <dsp:nvSpPr>
        <dsp:cNvPr id="0" name=""/>
        <dsp:cNvSpPr/>
      </dsp:nvSpPr>
      <dsp:spPr>
        <a:xfrm>
          <a:off x="0" y="2235900"/>
          <a:ext cx="3765550" cy="277199"/>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208E6D6-19A9-4AF2-8295-A85984A17B72}">
      <dsp:nvSpPr>
        <dsp:cNvPr id="0" name=""/>
        <dsp:cNvSpPr/>
      </dsp:nvSpPr>
      <dsp:spPr>
        <a:xfrm>
          <a:off x="188277" y="2073540"/>
          <a:ext cx="2635884" cy="3247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630" tIns="0" rIns="99630" bIns="0" numCol="1" spcCol="1270" anchor="ctr" anchorCtr="0">
          <a:noAutofit/>
        </a:bodyPr>
        <a:lstStyle/>
        <a:p>
          <a:pPr marL="0" lvl="0" indent="0" algn="l" defTabSz="488950">
            <a:lnSpc>
              <a:spcPct val="90000"/>
            </a:lnSpc>
            <a:spcBef>
              <a:spcPct val="0"/>
            </a:spcBef>
            <a:spcAft>
              <a:spcPct val="35000"/>
            </a:spcAft>
            <a:buNone/>
          </a:pPr>
          <a:r>
            <a:rPr lang="en-US" sz="1100" kern="1200"/>
            <a:t>Shifting Customer Expectations </a:t>
          </a:r>
        </a:p>
      </dsp:txBody>
      <dsp:txXfrm>
        <a:off x="204129" y="2089392"/>
        <a:ext cx="2604180"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431637-2403-434A-A1E8-C37E4A0A5894}">
      <dsp:nvSpPr>
        <dsp:cNvPr id="0" name=""/>
        <dsp:cNvSpPr/>
      </dsp:nvSpPr>
      <dsp:spPr>
        <a:xfrm>
          <a:off x="-2827004" y="-435726"/>
          <a:ext cx="3373353" cy="3373353"/>
        </a:xfrm>
        <a:prstGeom prst="blockArc">
          <a:avLst>
            <a:gd name="adj1" fmla="val 18900000"/>
            <a:gd name="adj2" fmla="val 2700000"/>
            <a:gd name="adj3" fmla="val 640"/>
          </a:avLst>
        </a:pr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70BF1F-5921-4527-B4C0-93105BFAEC33}">
      <dsp:nvSpPr>
        <dsp:cNvPr id="0" name=""/>
        <dsp:cNvSpPr/>
      </dsp:nvSpPr>
      <dsp:spPr>
        <a:xfrm>
          <a:off x="351275" y="250190"/>
          <a:ext cx="3656810" cy="500380"/>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7177" tIns="38100" rIns="38100" bIns="38100" numCol="1" spcCol="1270" anchor="ctr" anchorCtr="0">
          <a:noAutofit/>
        </a:bodyPr>
        <a:lstStyle/>
        <a:p>
          <a:pPr marL="0" lvl="0" indent="0" algn="l" defTabSz="666750">
            <a:lnSpc>
              <a:spcPct val="90000"/>
            </a:lnSpc>
            <a:spcBef>
              <a:spcPct val="0"/>
            </a:spcBef>
            <a:spcAft>
              <a:spcPct val="35000"/>
            </a:spcAft>
            <a:buNone/>
          </a:pPr>
          <a:r>
            <a:rPr lang="en-US" sz="1500" kern="1200"/>
            <a:t>Lewin's Change Model </a:t>
          </a:r>
        </a:p>
      </dsp:txBody>
      <dsp:txXfrm>
        <a:off x="351275" y="250190"/>
        <a:ext cx="3656810" cy="500380"/>
      </dsp:txXfrm>
    </dsp:sp>
    <dsp:sp modelId="{81E39514-A8BA-4302-9C34-B6FF2EDEC944}">
      <dsp:nvSpPr>
        <dsp:cNvPr id="0" name=""/>
        <dsp:cNvSpPr/>
      </dsp:nvSpPr>
      <dsp:spPr>
        <a:xfrm>
          <a:off x="38537" y="187642"/>
          <a:ext cx="625475" cy="625475"/>
        </a:xfrm>
        <a:prstGeom prst="ellipse">
          <a:avLst/>
        </a:prstGeom>
        <a:solidFill>
          <a:schemeClr val="lt1">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AFFE2B1-6B8B-44BB-AAB4-B6E1382A921E}">
      <dsp:nvSpPr>
        <dsp:cNvPr id="0" name=""/>
        <dsp:cNvSpPr/>
      </dsp:nvSpPr>
      <dsp:spPr>
        <a:xfrm>
          <a:off x="533163" y="1000760"/>
          <a:ext cx="3474921" cy="500380"/>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7177" tIns="38100" rIns="38100" bIns="38100" numCol="1" spcCol="1270" anchor="ctr" anchorCtr="0">
          <a:noAutofit/>
        </a:bodyPr>
        <a:lstStyle/>
        <a:p>
          <a:pPr marL="0" lvl="0" indent="0" algn="l" defTabSz="666750">
            <a:lnSpc>
              <a:spcPct val="90000"/>
            </a:lnSpc>
            <a:spcBef>
              <a:spcPct val="0"/>
            </a:spcBef>
            <a:spcAft>
              <a:spcPct val="35000"/>
            </a:spcAft>
            <a:buNone/>
          </a:pPr>
          <a:r>
            <a:rPr lang="en-US" sz="1500" kern="1200"/>
            <a:t>Kotter's 8-Step Process for Leading Change </a:t>
          </a:r>
        </a:p>
      </dsp:txBody>
      <dsp:txXfrm>
        <a:off x="533163" y="1000760"/>
        <a:ext cx="3474921" cy="500380"/>
      </dsp:txXfrm>
    </dsp:sp>
    <dsp:sp modelId="{927FE8F5-DDB9-42A2-BDA1-2ED10542ECB1}">
      <dsp:nvSpPr>
        <dsp:cNvPr id="0" name=""/>
        <dsp:cNvSpPr/>
      </dsp:nvSpPr>
      <dsp:spPr>
        <a:xfrm>
          <a:off x="220425" y="938212"/>
          <a:ext cx="625475" cy="625475"/>
        </a:xfrm>
        <a:prstGeom prst="ellipse">
          <a:avLst/>
        </a:prstGeom>
        <a:solidFill>
          <a:schemeClr val="lt1">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D858BA0-A7D9-4A04-87BC-4654B3F19F5E}">
      <dsp:nvSpPr>
        <dsp:cNvPr id="0" name=""/>
        <dsp:cNvSpPr/>
      </dsp:nvSpPr>
      <dsp:spPr>
        <a:xfrm>
          <a:off x="351275" y="1751330"/>
          <a:ext cx="3656810" cy="500380"/>
        </a:xfrm>
        <a:prstGeom prst="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7177" tIns="38100" rIns="38100" bIns="38100" numCol="1" spcCol="1270" anchor="ctr" anchorCtr="0">
          <a:noAutofit/>
        </a:bodyPr>
        <a:lstStyle/>
        <a:p>
          <a:pPr marL="0" lvl="0" indent="0" algn="l" defTabSz="666750">
            <a:lnSpc>
              <a:spcPct val="90000"/>
            </a:lnSpc>
            <a:spcBef>
              <a:spcPct val="0"/>
            </a:spcBef>
            <a:spcAft>
              <a:spcPct val="35000"/>
            </a:spcAft>
            <a:buNone/>
          </a:pPr>
          <a:r>
            <a:rPr lang="en-US" sz="1500" kern="1200"/>
            <a:t>McKinsey's 7-S Model</a:t>
          </a:r>
        </a:p>
      </dsp:txBody>
      <dsp:txXfrm>
        <a:off x="351275" y="1751330"/>
        <a:ext cx="3656810" cy="500380"/>
      </dsp:txXfrm>
    </dsp:sp>
    <dsp:sp modelId="{DC806B05-6EF6-44A4-AFC7-AF1635CF9A7A}">
      <dsp:nvSpPr>
        <dsp:cNvPr id="0" name=""/>
        <dsp:cNvSpPr/>
      </dsp:nvSpPr>
      <dsp:spPr>
        <a:xfrm>
          <a:off x="38537" y="1688782"/>
          <a:ext cx="625475" cy="625475"/>
        </a:xfrm>
        <a:prstGeom prst="ellipse">
          <a:avLst/>
        </a:prstGeom>
        <a:solidFill>
          <a:schemeClr val="lt1">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64CA36-1CCA-4FBA-8C4D-E6C437F8C5B3}">
      <dsp:nvSpPr>
        <dsp:cNvPr id="0" name=""/>
        <dsp:cNvSpPr/>
      </dsp:nvSpPr>
      <dsp:spPr>
        <a:xfrm>
          <a:off x="0" y="0"/>
          <a:ext cx="3828478" cy="34861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Compliance-Driven Change </a:t>
          </a:r>
        </a:p>
      </dsp:txBody>
      <dsp:txXfrm>
        <a:off x="10211" y="10211"/>
        <a:ext cx="3411506" cy="328193"/>
      </dsp:txXfrm>
    </dsp:sp>
    <dsp:sp modelId="{CFF6E9BD-0E44-4028-883E-D214EC504F1A}">
      <dsp:nvSpPr>
        <dsp:cNvPr id="0" name=""/>
        <dsp:cNvSpPr/>
      </dsp:nvSpPr>
      <dsp:spPr>
        <a:xfrm>
          <a:off x="285892" y="397033"/>
          <a:ext cx="3828478" cy="34861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Customer Centricity and Digital Transformation</a:t>
          </a:r>
        </a:p>
      </dsp:txBody>
      <dsp:txXfrm>
        <a:off x="296103" y="407244"/>
        <a:ext cx="3295563" cy="328193"/>
      </dsp:txXfrm>
    </dsp:sp>
    <dsp:sp modelId="{2633C366-84A5-48E1-BBD5-758C92CE490E}">
      <dsp:nvSpPr>
        <dsp:cNvPr id="0" name=""/>
        <dsp:cNvSpPr/>
      </dsp:nvSpPr>
      <dsp:spPr>
        <a:xfrm>
          <a:off x="571785" y="794067"/>
          <a:ext cx="3828478" cy="34861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Bureaucratic Challenges </a:t>
          </a:r>
        </a:p>
      </dsp:txBody>
      <dsp:txXfrm>
        <a:off x="581996" y="804278"/>
        <a:ext cx="3295563" cy="328193"/>
      </dsp:txXfrm>
    </dsp:sp>
    <dsp:sp modelId="{00DB2C67-C419-4BEC-9D5C-B12FAF87DDE9}">
      <dsp:nvSpPr>
        <dsp:cNvPr id="0" name=""/>
        <dsp:cNvSpPr/>
      </dsp:nvSpPr>
      <dsp:spPr>
        <a:xfrm>
          <a:off x="857678" y="1191101"/>
          <a:ext cx="3828478" cy="34861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Role of Leadership </a:t>
          </a:r>
        </a:p>
      </dsp:txBody>
      <dsp:txXfrm>
        <a:off x="867889" y="1201312"/>
        <a:ext cx="3295563" cy="328193"/>
      </dsp:txXfrm>
    </dsp:sp>
    <dsp:sp modelId="{103E6041-7F91-4E6A-8E7E-16EDF0D18966}">
      <dsp:nvSpPr>
        <dsp:cNvPr id="0" name=""/>
        <dsp:cNvSpPr/>
      </dsp:nvSpPr>
      <dsp:spPr>
        <a:xfrm>
          <a:off x="1143571" y="1588135"/>
          <a:ext cx="3828478" cy="34861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US" sz="1300" kern="1200"/>
            <a:t>Cultural Resistance </a:t>
          </a:r>
        </a:p>
      </dsp:txBody>
      <dsp:txXfrm>
        <a:off x="1153782" y="1598346"/>
        <a:ext cx="3295563" cy="328193"/>
      </dsp:txXfrm>
    </dsp:sp>
    <dsp:sp modelId="{45E72466-3CDB-4196-9484-D73B22434CAC}">
      <dsp:nvSpPr>
        <dsp:cNvPr id="0" name=""/>
        <dsp:cNvSpPr/>
      </dsp:nvSpPr>
      <dsp:spPr>
        <a:xfrm>
          <a:off x="3601878" y="254682"/>
          <a:ext cx="226599" cy="226599"/>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3652863" y="254682"/>
        <a:ext cx="124629" cy="170516"/>
      </dsp:txXfrm>
    </dsp:sp>
    <dsp:sp modelId="{EADD76AB-6AC2-413E-9DA1-D5904866398E}">
      <dsp:nvSpPr>
        <dsp:cNvPr id="0" name=""/>
        <dsp:cNvSpPr/>
      </dsp:nvSpPr>
      <dsp:spPr>
        <a:xfrm>
          <a:off x="3887771" y="651716"/>
          <a:ext cx="226599" cy="226599"/>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3938756" y="651716"/>
        <a:ext cx="124629" cy="170516"/>
      </dsp:txXfrm>
    </dsp:sp>
    <dsp:sp modelId="{4780226A-34F9-4AB3-9BC3-C6FB16DA611F}">
      <dsp:nvSpPr>
        <dsp:cNvPr id="0" name=""/>
        <dsp:cNvSpPr/>
      </dsp:nvSpPr>
      <dsp:spPr>
        <a:xfrm>
          <a:off x="4173664" y="1042939"/>
          <a:ext cx="226599" cy="226599"/>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4224649" y="1042939"/>
        <a:ext cx="124629" cy="170516"/>
      </dsp:txXfrm>
    </dsp:sp>
    <dsp:sp modelId="{820FDA2E-35CD-4ADE-96C4-AAFD74AEEEB7}">
      <dsp:nvSpPr>
        <dsp:cNvPr id="0" name=""/>
        <dsp:cNvSpPr/>
      </dsp:nvSpPr>
      <dsp:spPr>
        <a:xfrm>
          <a:off x="4459557" y="1443847"/>
          <a:ext cx="226599" cy="226599"/>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4510542" y="1443847"/>
        <a:ext cx="124629" cy="1705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D2AFF-57FC-4848-815C-2A6892E6F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5464</Words>
  <Characters>31147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2024-11-19T18:54:00Z</dcterms:created>
  <dcterms:modified xsi:type="dcterms:W3CDTF">2024-11-19T20:01:00Z</dcterms:modified>
</cp:coreProperties>
</file>