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uppressAutoHyphens w:val="true"/>
        <w:spacing w:before="0" w:after="0" w:line="360"/>
        <w:ind w:right="0" w:left="0" w:firstLine="0"/>
        <w:jc w:val="center"/>
        <w:rPr>
          <w:rFonts w:ascii="Times New Roman" w:hAnsi="Times New Roman" w:cs="Times New Roman" w:eastAsia="Times New Roman"/>
          <w:b/>
          <w:color w:val="000000"/>
          <w:spacing w:val="0"/>
          <w:position w:val="0"/>
          <w:sz w:val="56"/>
          <w:shd w:fill="auto" w:val="clear"/>
        </w:rPr>
      </w:pPr>
      <w:r>
        <w:rPr>
          <w:rFonts w:ascii="Times New Roman" w:hAnsi="Times New Roman" w:cs="Times New Roman" w:eastAsia="Times New Roman"/>
          <w:b/>
          <w:color w:val="000000"/>
          <w:spacing w:val="0"/>
          <w:position w:val="0"/>
          <w:sz w:val="56"/>
          <w:shd w:fill="auto" w:val="clear"/>
        </w:rPr>
        <w:t xml:space="preserve">Ioana Alexandrina Luchian</w:t>
      </w:r>
    </w:p>
    <w:p>
      <w:pPr>
        <w:suppressAutoHyphens w:val="true"/>
        <w:spacing w:before="0" w:after="0" w:line="360"/>
        <w:ind w:right="0" w:left="0" w:firstLine="0"/>
        <w:jc w:val="center"/>
        <w:rPr>
          <w:rFonts w:ascii="Times New Roman" w:hAnsi="Times New Roman" w:cs="Times New Roman" w:eastAsia="Times New Roman"/>
          <w:b/>
          <w:i/>
          <w:color w:val="000000"/>
          <w:spacing w:val="0"/>
          <w:position w:val="0"/>
          <w:sz w:val="96"/>
          <w:shd w:fill="auto" w:val="clear"/>
        </w:rPr>
      </w:pPr>
      <w:r>
        <w:rPr>
          <w:rFonts w:ascii="Times New Roman" w:hAnsi="Times New Roman" w:cs="Times New Roman" w:eastAsia="Times New Roman"/>
          <w:b/>
          <w:color w:val="000000"/>
          <w:spacing w:val="0"/>
          <w:position w:val="0"/>
          <w:sz w:val="56"/>
          <w:shd w:fill="auto" w:val="clear"/>
        </w:rPr>
        <w:t xml:space="preserve">student no:1814714</w:t>
      </w:r>
    </w:p>
    <w:p>
      <w:pPr>
        <w:suppressAutoHyphens w:val="true"/>
        <w:spacing w:before="0" w:after="0" w:line="360"/>
        <w:ind w:right="0" w:left="0" w:firstLine="0"/>
        <w:jc w:val="center"/>
        <w:rPr>
          <w:rFonts w:ascii="Times New Roman" w:hAnsi="Times New Roman" w:cs="Times New Roman" w:eastAsia="Times New Roman"/>
          <w:b/>
          <w:i/>
          <w:color w:val="000000"/>
          <w:spacing w:val="0"/>
          <w:position w:val="0"/>
          <w:sz w:val="96"/>
          <w:shd w:fill="auto" w:val="clear"/>
        </w:rPr>
      </w:pPr>
    </w:p>
    <w:p>
      <w:pPr>
        <w:suppressAutoHyphens w:val="true"/>
        <w:spacing w:before="0" w:after="0" w:line="360"/>
        <w:ind w:right="0" w:left="0" w:firstLine="0"/>
        <w:jc w:val="center"/>
        <w:rPr>
          <w:rFonts w:ascii="Times New Roman" w:hAnsi="Times New Roman" w:cs="Times New Roman" w:eastAsia="Times New Roman"/>
          <w:b/>
          <w:i/>
          <w:color w:val="000000"/>
          <w:spacing w:val="0"/>
          <w:position w:val="0"/>
          <w:sz w:val="96"/>
          <w:shd w:fill="auto" w:val="clear"/>
        </w:rPr>
      </w:pPr>
    </w:p>
    <w:p>
      <w:pPr>
        <w:suppressAutoHyphens w:val="true"/>
        <w:spacing w:before="0" w:after="0" w:line="360"/>
        <w:ind w:right="0" w:left="0" w:firstLine="0"/>
        <w:jc w:val="center"/>
        <w:rPr>
          <w:rFonts w:ascii="Times New Roman" w:hAnsi="Times New Roman" w:cs="Times New Roman" w:eastAsia="Times New Roman"/>
          <w:b/>
          <w:i/>
          <w:color w:val="000000"/>
          <w:spacing w:val="0"/>
          <w:position w:val="0"/>
          <w:sz w:val="96"/>
          <w:shd w:fill="auto" w:val="clear"/>
        </w:rPr>
      </w:pPr>
      <w:r>
        <w:rPr>
          <w:rFonts w:ascii="Times New Roman" w:hAnsi="Times New Roman" w:cs="Times New Roman" w:eastAsia="Times New Roman"/>
          <w:b/>
          <w:i/>
          <w:color w:val="000000"/>
          <w:spacing w:val="0"/>
          <w:position w:val="0"/>
          <w:sz w:val="96"/>
          <w:shd w:fill="auto" w:val="clear"/>
        </w:rPr>
        <w:t xml:space="preserve">Managing People  </w:t>
      </w:r>
    </w:p>
    <w:p>
      <w:pPr>
        <w:suppressAutoHyphens w:val="true"/>
        <w:spacing w:before="0" w:after="0" w:line="360"/>
        <w:ind w:right="0" w:left="0" w:firstLine="0"/>
        <w:jc w:val="center"/>
        <w:rPr>
          <w:rFonts w:ascii="Times New Roman" w:hAnsi="Times New Roman" w:cs="Times New Roman" w:eastAsia="Times New Roman"/>
          <w:b/>
          <w:i/>
          <w:color w:val="000000"/>
          <w:spacing w:val="0"/>
          <w:position w:val="0"/>
          <w:sz w:val="96"/>
          <w:shd w:fill="auto" w:val="clear"/>
        </w:rPr>
      </w:pPr>
    </w:p>
    <w:p>
      <w:pPr>
        <w:spacing w:before="0" w:after="0" w:line="240"/>
        <w:ind w:right="0" w:left="0" w:firstLine="0"/>
        <w:jc w:val="left"/>
        <w:rPr>
          <w:rFonts w:ascii="Times New Roman" w:hAnsi="Times New Roman" w:cs="Times New Roman" w:eastAsia="Times New Roman"/>
          <w:b/>
          <w:i/>
          <w:color w:val="000000"/>
          <w:spacing w:val="0"/>
          <w:position w:val="0"/>
          <w:sz w:val="96"/>
          <w:shd w:fill="auto" w:val="clear"/>
        </w:rPr>
      </w:pPr>
    </w:p>
    <w:p>
      <w:pPr>
        <w:suppressAutoHyphens w:val="true"/>
        <w:spacing w:before="0" w:after="0" w:line="360"/>
        <w:ind w:right="0" w:left="0" w:firstLine="0"/>
        <w:jc w:val="both"/>
        <w:rPr>
          <w:rFonts w:ascii="Times New Roman" w:hAnsi="Times New Roman" w:cs="Times New Roman" w:eastAsia="Times New Roman"/>
          <w:b/>
          <w:i/>
          <w:color w:val="000000"/>
          <w:spacing w:val="0"/>
          <w:position w:val="0"/>
          <w:sz w:val="88"/>
          <w:shd w:fill="auto" w:val="clear"/>
        </w:rPr>
      </w:pPr>
    </w:p>
    <w:p>
      <w:pPr>
        <w:suppressAutoHyphens w:val="true"/>
        <w:spacing w:before="0" w:after="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Table of Contents</w:t>
      </w:r>
    </w:p>
    <w:p>
      <w:pPr>
        <w:suppressLineNumbers w:val="true"/>
        <w:tabs>
          <w:tab w:val="right" w:pos="9360" w:leader="dot"/>
        </w:tabs>
        <w:suppressAutoHyphens w:val="true"/>
        <w:spacing w:before="0" w:after="0" w:line="360"/>
        <w:ind w:right="0" w:left="0" w:firstLine="0"/>
        <w:jc w:val="both"/>
        <w:rPr>
          <w:rFonts w:ascii="Calibri" w:hAnsi="Calibri" w:cs="Calibri" w:eastAsia="Calibri"/>
          <w:color w:val="auto"/>
          <w:spacing w:val="0"/>
          <w:position w:val="0"/>
          <w:sz w:val="22"/>
          <w:shd w:fill="auto" w:val="clear"/>
        </w:rPr>
      </w:pPr>
      <w:r>
        <w:rPr>
          <w:rFonts w:ascii="Times New Roman" w:hAnsi="Times New Roman" w:cs="Times New Roman" w:eastAsia="Times New Roman"/>
          <w:color w:val="000080"/>
          <w:spacing w:val="0"/>
          <w:position w:val="0"/>
          <w:sz w:val="24"/>
          <w:u w:val="single"/>
          <w:shd w:fill="auto" w:val="clear"/>
        </w:rPr>
        <w:t xml:space="preserve">INTRODUCTION</w:t>
      </w:r>
      <w:r>
        <w:rPr>
          <w:rFonts w:ascii="Times New Roman" w:hAnsi="Times New Roman" w:cs="Times New Roman" w:eastAsia="Times New Roman"/>
          <w:color w:val="000000"/>
          <w:spacing w:val="0"/>
          <w:position w:val="0"/>
          <w:sz w:val="24"/>
          <w:shd w:fill="auto" w:val="clear"/>
        </w:rPr>
        <w:tab/>
        <w:t xml:space="preserve">2</w:t>
      </w:r>
    </w:p>
    <w:p>
      <w:pPr>
        <w:suppressLineNumbers w:val="true"/>
        <w:tabs>
          <w:tab w:val="right" w:pos="9360" w:leader="dot"/>
        </w:tabs>
        <w:suppressAutoHyphens w:val="true"/>
        <w:spacing w:before="0" w:after="0" w:line="360"/>
        <w:ind w:right="0" w:left="0" w:firstLine="0"/>
        <w:jc w:val="both"/>
        <w:rPr>
          <w:rFonts w:ascii="Calibri" w:hAnsi="Calibri" w:cs="Calibri" w:eastAsia="Calibri"/>
          <w:color w:val="auto"/>
          <w:spacing w:val="0"/>
          <w:position w:val="0"/>
          <w:sz w:val="22"/>
          <w:shd w:fill="auto" w:val="clear"/>
        </w:rPr>
      </w:pPr>
      <w:r>
        <w:rPr>
          <w:rFonts w:ascii="Times New Roman" w:hAnsi="Times New Roman" w:cs="Times New Roman" w:eastAsia="Times New Roman"/>
          <w:color w:val="000080"/>
          <w:spacing w:val="0"/>
          <w:position w:val="0"/>
          <w:sz w:val="24"/>
          <w:u w:val="single"/>
          <w:shd w:fill="auto" w:val="clear"/>
        </w:rPr>
        <w:t xml:space="preserve">QUESTION 1</w:t>
      </w:r>
      <w:r>
        <w:rPr>
          <w:rFonts w:ascii="Times New Roman" w:hAnsi="Times New Roman" w:cs="Times New Roman" w:eastAsia="Times New Roman"/>
          <w:color w:val="000000"/>
          <w:spacing w:val="0"/>
          <w:position w:val="0"/>
          <w:sz w:val="24"/>
          <w:shd w:fill="auto" w:val="clear"/>
        </w:rPr>
        <w:tab/>
        <w:t xml:space="preserve">2</w:t>
      </w:r>
    </w:p>
    <w:p>
      <w:pPr>
        <w:suppressLineNumbers w:val="true"/>
        <w:tabs>
          <w:tab w:val="right" w:pos="9077" w:leader="dot"/>
        </w:tabs>
        <w:suppressAutoHyphens w:val="true"/>
        <w:spacing w:before="0" w:after="0" w:line="360"/>
        <w:ind w:right="0" w:left="283" w:firstLine="0"/>
        <w:jc w:val="both"/>
        <w:rPr>
          <w:rFonts w:ascii="Calibri" w:hAnsi="Calibri" w:cs="Calibri" w:eastAsia="Calibri"/>
          <w:color w:val="auto"/>
          <w:spacing w:val="0"/>
          <w:position w:val="0"/>
          <w:sz w:val="22"/>
          <w:shd w:fill="auto" w:val="clear"/>
        </w:rPr>
      </w:pPr>
      <w:r>
        <w:rPr>
          <w:rFonts w:ascii="Times New Roman" w:hAnsi="Times New Roman" w:cs="Times New Roman" w:eastAsia="Times New Roman"/>
          <w:color w:val="000080"/>
          <w:spacing w:val="0"/>
          <w:position w:val="0"/>
          <w:sz w:val="24"/>
          <w:u w:val="single"/>
          <w:shd w:fill="auto" w:val="clear"/>
        </w:rPr>
        <w:t xml:space="preserve">Why the organization needs robust and progressive HRM policies and how these are linked with HRM strategy of company?</w:t>
      </w:r>
      <w:r>
        <w:rPr>
          <w:rFonts w:ascii="Times New Roman" w:hAnsi="Times New Roman" w:cs="Times New Roman" w:eastAsia="Times New Roman"/>
          <w:color w:val="000000"/>
          <w:spacing w:val="0"/>
          <w:position w:val="0"/>
          <w:sz w:val="24"/>
          <w:shd w:fill="auto" w:val="clear"/>
        </w:rPr>
        <w:tab/>
        <w:t xml:space="preserve">2</w:t>
      </w:r>
    </w:p>
    <w:p>
      <w:pPr>
        <w:suppressLineNumbers w:val="true"/>
        <w:tabs>
          <w:tab w:val="right" w:pos="9360" w:leader="dot"/>
        </w:tabs>
        <w:suppressAutoHyphens w:val="true"/>
        <w:spacing w:before="0" w:after="0" w:line="360"/>
        <w:ind w:right="0" w:left="0" w:firstLine="0"/>
        <w:jc w:val="both"/>
        <w:rPr>
          <w:rFonts w:ascii="Calibri" w:hAnsi="Calibri" w:cs="Calibri" w:eastAsia="Calibri"/>
          <w:color w:val="auto"/>
          <w:spacing w:val="0"/>
          <w:position w:val="0"/>
          <w:sz w:val="22"/>
          <w:shd w:fill="auto" w:val="clear"/>
        </w:rPr>
      </w:pPr>
      <w:r>
        <w:rPr>
          <w:rFonts w:ascii="Times New Roman" w:hAnsi="Times New Roman" w:cs="Times New Roman" w:eastAsia="Times New Roman"/>
          <w:color w:val="000080"/>
          <w:spacing w:val="0"/>
          <w:position w:val="0"/>
          <w:sz w:val="24"/>
          <w:u w:val="single"/>
          <w:shd w:fill="auto" w:val="clear"/>
        </w:rPr>
        <w:t xml:space="preserve">QUESTION 2</w:t>
      </w:r>
      <w:r>
        <w:rPr>
          <w:rFonts w:ascii="Times New Roman" w:hAnsi="Times New Roman" w:cs="Times New Roman" w:eastAsia="Times New Roman"/>
          <w:color w:val="000000"/>
          <w:spacing w:val="0"/>
          <w:position w:val="0"/>
          <w:sz w:val="24"/>
          <w:shd w:fill="auto" w:val="clear"/>
        </w:rPr>
        <w:tab/>
        <w:t xml:space="preserve">4</w:t>
      </w:r>
    </w:p>
    <w:p>
      <w:pPr>
        <w:suppressLineNumbers w:val="true"/>
        <w:tabs>
          <w:tab w:val="right" w:pos="9077" w:leader="dot"/>
        </w:tabs>
        <w:suppressAutoHyphens w:val="true"/>
        <w:spacing w:before="0" w:after="0" w:line="360"/>
        <w:ind w:right="0" w:left="283" w:firstLine="0"/>
        <w:jc w:val="both"/>
        <w:rPr>
          <w:rFonts w:ascii="Calibri" w:hAnsi="Calibri" w:cs="Calibri" w:eastAsia="Calibri"/>
          <w:color w:val="auto"/>
          <w:spacing w:val="0"/>
          <w:position w:val="0"/>
          <w:sz w:val="22"/>
          <w:shd w:fill="auto" w:val="clear"/>
        </w:rPr>
      </w:pPr>
      <w:r>
        <w:rPr>
          <w:rFonts w:ascii="Times New Roman" w:hAnsi="Times New Roman" w:cs="Times New Roman" w:eastAsia="Times New Roman"/>
          <w:color w:val="000080"/>
          <w:spacing w:val="0"/>
          <w:position w:val="0"/>
          <w:sz w:val="24"/>
          <w:u w:val="single"/>
          <w:shd w:fill="auto" w:val="clear"/>
        </w:rPr>
        <w:t xml:space="preserve">Discussing the benefits and drawbacks of typical employment contracts for both the employer and employee.</w:t>
      </w:r>
      <w:r>
        <w:rPr>
          <w:rFonts w:ascii="Times New Roman" w:hAnsi="Times New Roman" w:cs="Times New Roman" w:eastAsia="Times New Roman"/>
          <w:color w:val="000000"/>
          <w:spacing w:val="0"/>
          <w:position w:val="0"/>
          <w:sz w:val="24"/>
          <w:shd w:fill="auto" w:val="clear"/>
        </w:rPr>
        <w:tab/>
        <w:t xml:space="preserve">4</w:t>
      </w:r>
    </w:p>
    <w:p>
      <w:pPr>
        <w:suppressLineNumbers w:val="true"/>
        <w:tabs>
          <w:tab w:val="right" w:pos="9360" w:leader="dot"/>
        </w:tabs>
        <w:suppressAutoHyphens w:val="true"/>
        <w:spacing w:before="0" w:after="0" w:line="360"/>
        <w:ind w:right="0" w:left="0" w:firstLine="0"/>
        <w:jc w:val="both"/>
        <w:rPr>
          <w:rFonts w:ascii="Calibri" w:hAnsi="Calibri" w:cs="Calibri" w:eastAsia="Calibri"/>
          <w:color w:val="auto"/>
          <w:spacing w:val="0"/>
          <w:position w:val="0"/>
          <w:sz w:val="22"/>
          <w:shd w:fill="auto" w:val="clear"/>
        </w:rPr>
      </w:pPr>
      <w:r>
        <w:rPr>
          <w:rFonts w:ascii="Times New Roman" w:hAnsi="Times New Roman" w:cs="Times New Roman" w:eastAsia="Times New Roman"/>
          <w:color w:val="000080"/>
          <w:spacing w:val="0"/>
          <w:position w:val="0"/>
          <w:sz w:val="24"/>
          <w:u w:val="single"/>
          <w:shd w:fill="auto" w:val="clear"/>
        </w:rPr>
        <w:t xml:space="preserve">QUESTION 3</w:t>
      </w:r>
      <w:r>
        <w:rPr>
          <w:rFonts w:ascii="Times New Roman" w:hAnsi="Times New Roman" w:cs="Times New Roman" w:eastAsia="Times New Roman"/>
          <w:color w:val="000000"/>
          <w:spacing w:val="0"/>
          <w:position w:val="0"/>
          <w:sz w:val="24"/>
          <w:shd w:fill="auto" w:val="clear"/>
        </w:rPr>
        <w:tab/>
        <w:t xml:space="preserve">6</w:t>
      </w:r>
    </w:p>
    <w:p>
      <w:pPr>
        <w:suppressLineNumbers w:val="true"/>
        <w:tabs>
          <w:tab w:val="right" w:pos="9077" w:leader="dot"/>
        </w:tabs>
        <w:suppressAutoHyphens w:val="true"/>
        <w:spacing w:before="0" w:after="0" w:line="360"/>
        <w:ind w:right="0" w:left="283" w:firstLine="0"/>
        <w:jc w:val="both"/>
        <w:rPr>
          <w:rFonts w:ascii="Calibri" w:hAnsi="Calibri" w:cs="Calibri" w:eastAsia="Calibri"/>
          <w:color w:val="auto"/>
          <w:spacing w:val="0"/>
          <w:position w:val="0"/>
          <w:sz w:val="22"/>
          <w:shd w:fill="auto" w:val="clear"/>
        </w:rPr>
      </w:pPr>
      <w:r>
        <w:rPr>
          <w:rFonts w:ascii="Times New Roman" w:hAnsi="Times New Roman" w:cs="Times New Roman" w:eastAsia="Times New Roman"/>
          <w:color w:val="000080"/>
          <w:spacing w:val="0"/>
          <w:position w:val="0"/>
          <w:sz w:val="24"/>
          <w:u w:val="single"/>
          <w:shd w:fill="auto" w:val="clear"/>
        </w:rPr>
        <w:t xml:space="preserve">Reviewing how the company manages grievance and disciplinary issues? Explaining whether these procedures effectively improve performance and workplace morale.</w:t>
      </w:r>
      <w:r>
        <w:rPr>
          <w:rFonts w:ascii="Times New Roman" w:hAnsi="Times New Roman" w:cs="Times New Roman" w:eastAsia="Times New Roman"/>
          <w:color w:val="000000"/>
          <w:spacing w:val="0"/>
          <w:position w:val="0"/>
          <w:sz w:val="24"/>
          <w:shd w:fill="auto" w:val="clear"/>
        </w:rPr>
        <w:tab/>
        <w:t xml:space="preserve">6</w:t>
      </w:r>
    </w:p>
    <w:p>
      <w:pPr>
        <w:suppressLineNumbers w:val="true"/>
        <w:tabs>
          <w:tab w:val="right" w:pos="9360" w:leader="dot"/>
        </w:tabs>
        <w:suppressAutoHyphens w:val="true"/>
        <w:spacing w:before="0" w:after="0" w:line="360"/>
        <w:ind w:right="0" w:left="0" w:firstLine="0"/>
        <w:jc w:val="both"/>
        <w:rPr>
          <w:rFonts w:ascii="Calibri" w:hAnsi="Calibri" w:cs="Calibri" w:eastAsia="Calibri"/>
          <w:color w:val="auto"/>
          <w:spacing w:val="0"/>
          <w:position w:val="0"/>
          <w:sz w:val="22"/>
          <w:shd w:fill="auto" w:val="clear"/>
        </w:rPr>
      </w:pPr>
      <w:r>
        <w:rPr>
          <w:rFonts w:ascii="Times New Roman" w:hAnsi="Times New Roman" w:cs="Times New Roman" w:eastAsia="Times New Roman"/>
          <w:color w:val="000080"/>
          <w:spacing w:val="0"/>
          <w:position w:val="0"/>
          <w:sz w:val="24"/>
          <w:u w:val="single"/>
          <w:shd w:fill="auto" w:val="clear"/>
        </w:rPr>
        <w:t xml:space="preserve">CONCLUSION</w:t>
      </w:r>
      <w:r>
        <w:rPr>
          <w:rFonts w:ascii="Times New Roman" w:hAnsi="Times New Roman" w:cs="Times New Roman" w:eastAsia="Times New Roman"/>
          <w:color w:val="000000"/>
          <w:spacing w:val="0"/>
          <w:position w:val="0"/>
          <w:sz w:val="24"/>
          <w:shd w:fill="auto" w:val="clear"/>
        </w:rPr>
        <w:tab/>
        <w:t xml:space="preserve">7</w:t>
      </w:r>
    </w:p>
    <w:p>
      <w:pPr>
        <w:suppressLineNumbers w:val="true"/>
        <w:tabs>
          <w:tab w:val="right" w:pos="9360" w:leader="dot"/>
        </w:tabs>
        <w:suppressAutoHyphens w:val="true"/>
        <w:spacing w:before="0" w:after="0" w:line="360"/>
        <w:ind w:right="0" w:left="0" w:firstLine="0"/>
        <w:jc w:val="both"/>
        <w:rPr>
          <w:rFonts w:ascii="Calibri" w:hAnsi="Calibri" w:cs="Calibri" w:eastAsia="Calibri"/>
          <w:color w:val="auto"/>
          <w:spacing w:val="0"/>
          <w:position w:val="0"/>
          <w:sz w:val="22"/>
          <w:shd w:fill="auto" w:val="clear"/>
        </w:rPr>
      </w:pPr>
      <w:r>
        <w:rPr>
          <w:rFonts w:ascii="Times New Roman" w:hAnsi="Times New Roman" w:cs="Times New Roman" w:eastAsia="Times New Roman"/>
          <w:color w:val="000080"/>
          <w:spacing w:val="0"/>
          <w:position w:val="0"/>
          <w:sz w:val="24"/>
          <w:u w:val="single"/>
          <w:shd w:fill="auto" w:val="clear"/>
        </w:rPr>
        <w:t xml:space="preserve">REFRENCES</w:t>
      </w:r>
      <w:r>
        <w:rPr>
          <w:rFonts w:ascii="Times New Roman" w:hAnsi="Times New Roman" w:cs="Times New Roman" w:eastAsia="Times New Roman"/>
          <w:color w:val="000000"/>
          <w:spacing w:val="0"/>
          <w:position w:val="0"/>
          <w:sz w:val="24"/>
          <w:shd w:fill="auto" w:val="clear"/>
        </w:rPr>
        <w:tab/>
        <w:t xml:space="preserve">8</w:t>
      </w:r>
    </w:p>
    <w:p>
      <w:pPr>
        <w:spacing w:before="0" w:after="0" w:line="240"/>
        <w:ind w:right="0" w:left="0" w:firstLine="0"/>
        <w:jc w:val="both"/>
        <w:rPr>
          <w:rFonts w:ascii="Times New Roman" w:hAnsi="Times New Roman" w:cs="Times New Roman" w:eastAsia="Times New Roman"/>
          <w:b/>
          <w:color w:val="000000"/>
          <w:spacing w:val="0"/>
          <w:position w:val="0"/>
          <w:sz w:val="28"/>
          <w:shd w:fill="auto" w:val="clear"/>
        </w:rPr>
      </w:pPr>
    </w:p>
    <w:p>
      <w:pPr>
        <w:keepNext w:val="true"/>
        <w:keepLines w:val="true"/>
        <w:pageBreakBefore w:val="true"/>
        <w:numPr>
          <w:ilvl w:val="0"/>
          <w:numId w:val="14"/>
        </w:numPr>
        <w:tabs>
          <w:tab w:val="left" w:pos="0" w:leader="none"/>
        </w:tabs>
        <w:suppressAutoHyphens w:val="true"/>
        <w:spacing w:before="113" w:after="0" w:line="360"/>
        <w:ind w:right="0" w:left="432" w:hanging="432"/>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INTRODUCTION</w:t>
      </w:r>
    </w:p>
    <w:p>
      <w:pPr>
        <w:suppressAutoHyphens w:val="true"/>
        <w:spacing w:before="0" w:after="0" w:line="360"/>
        <w:ind w:right="0" w:left="0" w:firstLine="432"/>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Managing human resource or managing people is a very vague concept. The concept of managing people covers different approaches from how managers organised the people for whom they are responsible and how they managed projects enterprises for which they are ultimately responsible. The human resource of an organisation is one of the most potential and productive asset of it which makes very important for the company to manage two people and workforce. Sport is developed on Tyrone Superstore limited, which is a food supermarket that has been established in the very beginning of 20th century. The organisation has built up a reputation for good quality food products and services. The organisation is headquartered in London and most of its outlets are present in the south east and the south west of the UK. It has currently 14 stores and employs more than thousand staff members. The report covers 3 very important aspects of managing people in which first is few arguments related to the robust and progressive HRM policies developed by the company and their inter linkages which the HRM strategy. Moving forward different typical employment contracts are discussed with their advantages and disadvantages for both employers and employees. And at the end review of companies managing grievances and disciplinary issues and techniques is performed. </w:t>
      </w:r>
    </w:p>
    <w:p>
      <w:pPr>
        <w:keepNext w:val="true"/>
        <w:keepLines w:val="true"/>
        <w:numPr>
          <w:ilvl w:val="0"/>
          <w:numId w:val="16"/>
        </w:numPr>
        <w:tabs>
          <w:tab w:val="left" w:pos="0" w:leader="none"/>
        </w:tabs>
        <w:suppressAutoHyphens w:val="true"/>
        <w:spacing w:before="113" w:after="0" w:line="360"/>
        <w:ind w:right="0" w:left="432" w:hanging="432"/>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QUESTION 1</w:t>
      </w:r>
    </w:p>
    <w:p>
      <w:pPr>
        <w:keepNext w:val="true"/>
        <w:keepLines w:val="true"/>
        <w:numPr>
          <w:ilvl w:val="0"/>
          <w:numId w:val="16"/>
        </w:numPr>
        <w:tabs>
          <w:tab w:val="left" w:pos="0" w:leader="none"/>
        </w:tabs>
        <w:suppressAutoHyphens w:val="true"/>
        <w:spacing w:before="113" w:after="0" w:line="360"/>
        <w:ind w:right="0" w:left="576" w:hanging="576"/>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Why the organization needs robust and progressive HRM policies and how these are linked with HRM strategy of company?</w:t>
      </w:r>
    </w:p>
    <w:p>
      <w:pPr>
        <w:suppressAutoHyphens w:val="true"/>
        <w:spacing w:before="0" w:after="0" w:line="360"/>
        <w:ind w:right="0" w:left="0" w:firstLine="576"/>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HRM policies and techniques refers to those actions which are taken by the human resource department of Tyrone Superstores limited for managing the workforce and the people associated with the organisation. The human resource department Tyrone Superstores limited needs very robust and progressive HRM policies in order to manage the staff and improve their satisfaction level while working with the organisation </w:t>
      </w:r>
      <w:r>
        <w:rPr>
          <w:rFonts w:ascii="Times New Roman" w:hAnsi="Times New Roman" w:cs="Times New Roman" w:eastAsia="Times New Roman"/>
          <w:color w:val="222222"/>
          <w:spacing w:val="0"/>
          <w:position w:val="0"/>
          <w:sz w:val="24"/>
          <w:shd w:fill="FFFFFF" w:val="clear"/>
        </w:rPr>
        <w:t xml:space="preserve">(Psychogios and Prouska, 2019</w:t>
      </w:r>
      <w:r>
        <w:rPr>
          <w:rFonts w:ascii="Times New Roman" w:hAnsi="Times New Roman" w:cs="Times New Roman" w:eastAsia="Times New Roman"/>
          <w:color w:val="000000"/>
          <w:spacing w:val="0"/>
          <w:position w:val="0"/>
          <w:sz w:val="24"/>
          <w:shd w:fill="auto" w:val="clear"/>
        </w:rPr>
        <w:t xml:space="preserve">). The HR strategies which are developed by the human resource department of Tyrone Superstores limited are on very broad level and simulated through standard policies and procedures to the stores. The store manager and HR department works together for ensuring uniformity in delivery of the processes in each stores of the company. </w:t>
      </w:r>
    </w:p>
    <w:p>
      <w:pPr>
        <w:suppressAutoHyphens w:val="true"/>
        <w:spacing w:before="0" w:after="0" w:line="360"/>
        <w:ind w:right="0" w:left="0" w:firstLine="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HRM policies of Tyrone Superstores limited are very ineffective and not at all potential for the organisation as the company is facing many problems improving the satisfaction and purchasing experience of customers along with retaining staff and managing the the grievances and discipline in the stores. Few important actions which is necessary for HR department of Tyrone Superstores limited needs to undertake are as follows:</w:t>
      </w:r>
    </w:p>
    <w:p>
      <w:pPr>
        <w:numPr>
          <w:ilvl w:val="0"/>
          <w:numId w:val="20"/>
        </w:numPr>
        <w:suppressAutoHyphens w:val="true"/>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Training and development- </w:t>
      </w:r>
      <w:r>
        <w:rPr>
          <w:rFonts w:ascii="Times New Roman" w:hAnsi="Times New Roman" w:cs="Times New Roman" w:eastAsia="Times New Roman"/>
          <w:color w:val="000000"/>
          <w:spacing w:val="0"/>
          <w:position w:val="0"/>
          <w:sz w:val="24"/>
          <w:shd w:fill="auto" w:val="clear"/>
        </w:rPr>
        <w:t xml:space="preserve">The Tyrone Superstores limited offers basic training to all the shop floor staff which are associated with the organisation and works with in the stores. These trainings are very important for organisation to provide to the shop floor employees because the company is highly dependent upon part time female labors and casual student workers for the shop floor employees (</w:t>
      </w:r>
      <w:r>
        <w:rPr>
          <w:rFonts w:ascii="Times New Roman" w:hAnsi="Times New Roman" w:cs="Times New Roman" w:eastAsia="Times New Roman"/>
          <w:color w:val="222222"/>
          <w:spacing w:val="0"/>
          <w:position w:val="0"/>
          <w:sz w:val="24"/>
          <w:shd w:fill="FFFFFF" w:val="clear"/>
        </w:rPr>
        <w:t xml:space="preserve">Brechin and et al., 2020</w:t>
      </w:r>
      <w:r>
        <w:rPr>
          <w:rFonts w:ascii="Times New Roman" w:hAnsi="Times New Roman" w:cs="Times New Roman" w:eastAsia="Times New Roman"/>
          <w:color w:val="000000"/>
          <w:spacing w:val="0"/>
          <w:position w:val="0"/>
          <w:sz w:val="24"/>
          <w:shd w:fill="auto" w:val="clear"/>
        </w:rPr>
        <w:t xml:space="preserve">). These individuals are country and do not have any idea about the functions and operations of the company and how to make sales in the stores. therefore training and development is one of the most important HRM policy which is needed to be considered by the human resource department and staff of Tyrone Superstores limited. The training and development is basically an activity for increasing the knowledge and skills of individuals and employees associated with the entity. The major issue which is being highlighted in the recent years and affecting the business of Tyrone Superstore limited is unskilled and untrained managers. the company focuses on training the shop floor employees but the managers which manages the whole store are untrained. According to the HR strategy the managers are also appointed from the lower staff by moving them to upper position therefore it is very obvious that they are not at all skilled and fit to the job role. The HRM strategy of the organisation need to be modified and the human resource department of Tyrone Superstores limited has to focus over the training and development of managers as well. The human resource manager also needs to conduct training and development sessions for the store managers. It is important because many complaints is receive from the dissatisfied customers about the in capabilities of managers to resolve the issues and provide them proper information and solutions to their queries (</w:t>
      </w:r>
      <w:r>
        <w:rPr>
          <w:rFonts w:ascii="Times New Roman" w:hAnsi="Times New Roman" w:cs="Times New Roman" w:eastAsia="Times New Roman"/>
          <w:color w:val="222222"/>
          <w:spacing w:val="0"/>
          <w:position w:val="0"/>
          <w:sz w:val="24"/>
          <w:shd w:fill="FFFFFF" w:val="clear"/>
        </w:rPr>
        <w:t xml:space="preserve">Mantle and Lichty, 2019</w:t>
      </w:r>
      <w:r>
        <w:rPr>
          <w:rFonts w:ascii="Times New Roman" w:hAnsi="Times New Roman" w:cs="Times New Roman" w:eastAsia="Times New Roman"/>
          <w:color w:val="000000"/>
          <w:spacing w:val="0"/>
          <w:position w:val="0"/>
          <w:sz w:val="24"/>
          <w:shd w:fill="auto" w:val="clear"/>
        </w:rPr>
        <w:t xml:space="preserve">).</w:t>
      </w:r>
    </w:p>
    <w:p>
      <w:pPr>
        <w:numPr>
          <w:ilvl w:val="0"/>
          <w:numId w:val="20"/>
        </w:numPr>
        <w:suppressAutoHyphens w:val="true"/>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Employee engagement- </w:t>
      </w:r>
      <w:r>
        <w:rPr>
          <w:rFonts w:ascii="Times New Roman" w:hAnsi="Times New Roman" w:cs="Times New Roman" w:eastAsia="Times New Roman"/>
          <w:color w:val="000000"/>
          <w:spacing w:val="0"/>
          <w:position w:val="0"/>
          <w:sz w:val="24"/>
          <w:shd w:fill="auto" w:val="clear"/>
        </w:rPr>
        <w:t xml:space="preserve">Another HRM policy which is needs to be a part of HRM in strategy of Tyrone Superstores limited is of employee engagement. It is referred as engaging the people and the employees of the company in different decisions and strategy making for joining there fresh and innovative or creative prospective. Employee engagement increases the flow of creative and fresh ideas in the company along with it the employees of the organisation are also motivated and encouraged as they start feeling the importance in the company and there engagement in the operations. The employee engagement can help Tyrone Superstores limited to improve customer satisfaction level as once the employees are engaged and when informed about the different policy is and manners of the company they will be performing with their utmost level and potentials to serve the best quality products and services to the potential buyers. Employee engagement increases the motivation and encouragement level of the workforce along with it also helps them to become loyal towards the entity (</w:t>
      </w:r>
      <w:r>
        <w:rPr>
          <w:rFonts w:ascii="Times New Roman" w:hAnsi="Times New Roman" w:cs="Times New Roman" w:eastAsia="Times New Roman"/>
          <w:color w:val="222222"/>
          <w:spacing w:val="0"/>
          <w:position w:val="0"/>
          <w:sz w:val="24"/>
          <w:shd w:fill="FFFFFF" w:val="clear"/>
        </w:rPr>
        <w:t xml:space="preserve">Butler, Copnell and Hall, 2019)</w:t>
      </w:r>
      <w:r>
        <w:rPr>
          <w:rFonts w:ascii="Times New Roman" w:hAnsi="Times New Roman" w:cs="Times New Roman" w:eastAsia="Times New Roman"/>
          <w:color w:val="000000"/>
          <w:spacing w:val="0"/>
          <w:position w:val="0"/>
          <w:sz w:val="24"/>
          <w:shd w:fill="auto" w:val="clear"/>
        </w:rPr>
        <w:t xml:space="preserve">. The incidence strategies and policies of employee engagement will help the superstores to reduce employee turnover ratio and improve their employee retention power and ratio. This will also bring competitive advantage for the company as the talent is managed to properly and retained within the organisation rather than  moving out and looking for better opportunities for the careers. </w:t>
      </w:r>
    </w:p>
    <w:p>
      <w:pPr>
        <w:keepNext w:val="true"/>
        <w:keepLines w:val="true"/>
        <w:numPr>
          <w:ilvl w:val="0"/>
          <w:numId w:val="20"/>
        </w:numPr>
        <w:tabs>
          <w:tab w:val="left" w:pos="0" w:leader="none"/>
        </w:tabs>
        <w:suppressAutoHyphens w:val="true"/>
        <w:spacing w:before="113" w:after="0" w:line="360"/>
        <w:ind w:right="0" w:left="432" w:hanging="432"/>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QUESTION 2 </w:t>
      </w:r>
    </w:p>
    <w:p>
      <w:pPr>
        <w:keepNext w:val="true"/>
        <w:keepLines w:val="true"/>
        <w:numPr>
          <w:ilvl w:val="0"/>
          <w:numId w:val="20"/>
        </w:numPr>
        <w:tabs>
          <w:tab w:val="left" w:pos="0" w:leader="none"/>
        </w:tabs>
        <w:suppressAutoHyphens w:val="true"/>
        <w:spacing w:before="113" w:after="0" w:line="360"/>
        <w:ind w:right="0" w:left="576" w:hanging="576"/>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Discussing the benefits and drawbacks of typical employment contracts for both the employer and employee.</w:t>
      </w:r>
    </w:p>
    <w:p>
      <w:pPr>
        <w:suppressAutoHyphens w:val="true"/>
        <w:spacing w:before="0" w:after="0" w:line="360"/>
        <w:ind w:right="0" w:left="0" w:firstLine="576"/>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All different types of employees and organisation requires administrative professional and executive employees to sign in an agreement for employment contracts. Government contracts are growing very fast in recent past years. There are various different types of typical employment contracts having their respective characteristics, advantages and disadvantages. </w:t>
      </w:r>
    </w:p>
    <w:p>
      <w:pPr>
        <w:suppressAutoHyphens w:val="true"/>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These typical employment contracts are mention below and explained in contacts of Tyrone Superstores limited.</w:t>
      </w:r>
    </w:p>
    <w:p>
      <w:pPr>
        <w:numPr>
          <w:ilvl w:val="0"/>
          <w:numId w:val="25"/>
        </w:numPr>
        <w:suppressAutoHyphens w:val="true"/>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Zero hour contracts- </w:t>
      </w:r>
      <w:r>
        <w:rPr>
          <w:rFonts w:ascii="Times New Roman" w:hAnsi="Times New Roman" w:cs="Times New Roman" w:eastAsia="Times New Roman"/>
          <w:color w:val="000000"/>
          <w:spacing w:val="0"/>
          <w:position w:val="0"/>
          <w:sz w:val="24"/>
          <w:shd w:fill="auto" w:val="clear"/>
        </w:rPr>
        <w:t xml:space="preserve">The zero hour contract is a flexible option for both employers and employees. The zero hour contract is basically a contract where the employees of the company have the choice to choose their task and deny the work of a to them if they are not comfortable with it</w:t>
      </w:r>
      <w:r>
        <w:rPr>
          <w:rFonts w:ascii="Times New Roman" w:hAnsi="Times New Roman" w:cs="Times New Roman" w:eastAsia="Times New Roman"/>
          <w:color w:val="222222"/>
          <w:spacing w:val="0"/>
          <w:position w:val="0"/>
          <w:sz w:val="24"/>
          <w:shd w:fill="FFFFFF" w:val="clear"/>
        </w:rPr>
        <w:t xml:space="preserve"> (Scarlett, 2019</w:t>
      </w:r>
      <w:r>
        <w:rPr>
          <w:rFonts w:ascii="Times New Roman" w:hAnsi="Times New Roman" w:cs="Times New Roman" w:eastAsia="Times New Roman"/>
          <w:color w:val="000000"/>
          <w:spacing w:val="0"/>
          <w:position w:val="0"/>
          <w:sz w:val="24"/>
          <w:shd w:fill="auto" w:val="clear"/>
        </w:rPr>
        <w:t xml:space="preserve">). Along with it in a zero hour contract employee also have the  ability to not give and specify any minimum working hours to the employee as they are binded  in a zero hour contract. Most commonly the type of work zero hour contract includes is casual hours for students who are only work during holidays, the hospitality work, gig the economy work for delivering takeaway food or giving car rides and delivery driving. The employees working in a zero hour contract have the rights of paid holidays, pay for being on call, pay for work related travels and most important is the national minimum wage and national living wage. These rights are also modified according to the contract and the circumstances in which an employee are working. also the employer cannot stop the employee working on a zero hour contract from getting engaged with other employees and are not entitled to treat the employees unfairly if the work for others. This contract is signed by the students labours who are associated with the Tyrone Superstores limited looking for work in their holidays or breaks and work on their shop floor.</w:t>
      </w:r>
    </w:p>
    <w:p>
      <w:pPr>
        <w:suppressAutoHyphens w:val="true"/>
        <w:spacing w:before="0" w:after="0" w:line="360"/>
        <w:ind w:right="0" w:left="36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Advantages and Disadvantages of Zero hour contracts:</w:t>
      </w:r>
    </w:p>
    <w:tbl>
      <w:tblPr/>
      <w:tblGrid>
        <w:gridCol w:w="4743"/>
        <w:gridCol w:w="4743"/>
      </w:tblGrid>
      <w:tr>
        <w:trPr>
          <w:trHeight w:val="324" w:hRule="auto"/>
          <w:jc w:val="left"/>
        </w:trPr>
        <w:tc>
          <w:tcPr>
            <w:tcW w:w="474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uppressAutoHyphens w:val="true"/>
              <w:spacing w:before="0" w:after="0" w:line="360"/>
              <w:ind w:right="0" w:left="0" w:firstLine="0"/>
              <w:jc w:val="center"/>
              <w:rPr>
                <w:spacing w:val="0"/>
                <w:position w:val="0"/>
                <w:shd w:fill="auto" w:val="clear"/>
              </w:rPr>
            </w:pPr>
            <w:r>
              <w:rPr>
                <w:rFonts w:ascii="Times New Roman" w:hAnsi="Times New Roman" w:cs="Times New Roman" w:eastAsia="Times New Roman"/>
                <w:b/>
                <w:color w:val="000000"/>
                <w:spacing w:val="0"/>
                <w:position w:val="0"/>
                <w:sz w:val="24"/>
                <w:shd w:fill="auto" w:val="clear"/>
              </w:rPr>
              <w:t xml:space="preserve">Advantages</w:t>
            </w:r>
          </w:p>
        </w:tc>
        <w:tc>
          <w:tcPr>
            <w:tcW w:w="474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uppressAutoHyphens w:val="true"/>
              <w:spacing w:before="0" w:after="0" w:line="360"/>
              <w:ind w:right="0" w:left="0" w:firstLine="0"/>
              <w:jc w:val="center"/>
              <w:rPr>
                <w:spacing w:val="0"/>
                <w:position w:val="0"/>
                <w:shd w:fill="auto" w:val="clear"/>
              </w:rPr>
            </w:pPr>
            <w:r>
              <w:rPr>
                <w:rFonts w:ascii="Times New Roman" w:hAnsi="Times New Roman" w:cs="Times New Roman" w:eastAsia="Times New Roman"/>
                <w:b/>
                <w:color w:val="000000"/>
                <w:spacing w:val="0"/>
                <w:position w:val="0"/>
                <w:sz w:val="24"/>
                <w:shd w:fill="auto" w:val="clear"/>
              </w:rPr>
              <w:t xml:space="preserve">Disadvantages</w:t>
            </w:r>
          </w:p>
        </w:tc>
      </w:tr>
      <w:tr>
        <w:trPr>
          <w:trHeight w:val="2869" w:hRule="auto"/>
          <w:jc w:val="left"/>
        </w:trPr>
        <w:tc>
          <w:tcPr>
            <w:tcW w:w="474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uppressAutoHyphens w:val="true"/>
              <w:spacing w:before="0" w:after="0" w:line="360"/>
              <w:ind w:right="0" w:left="0" w:firstLine="0"/>
              <w:jc w:val="both"/>
              <w:rPr>
                <w:spacing w:val="0"/>
                <w:position w:val="0"/>
              </w:rPr>
            </w:pPr>
            <w:r>
              <w:rPr>
                <w:rFonts w:ascii="Times New Roman" w:hAnsi="Times New Roman" w:cs="Times New Roman" w:eastAsia="Times New Roman"/>
                <w:i/>
                <w:color w:val="000000"/>
                <w:spacing w:val="0"/>
                <w:position w:val="0"/>
                <w:sz w:val="24"/>
                <w:shd w:fill="auto" w:val="clear"/>
              </w:rPr>
              <w:t xml:space="preserve">Employees: </w:t>
            </w:r>
            <w:r>
              <w:rPr>
                <w:rFonts w:ascii="Times New Roman" w:hAnsi="Times New Roman" w:cs="Times New Roman" w:eastAsia="Times New Roman"/>
                <w:color w:val="000000"/>
                <w:spacing w:val="0"/>
                <w:position w:val="0"/>
                <w:sz w:val="24"/>
                <w:shd w:fill="auto" w:val="clear"/>
              </w:rPr>
              <w:t xml:space="preserve">The students and casual female labours who are binded in Zero hour contract with Tyrone Superstores limited has appropriate opportunity and full freedom to work with other employers in order to earn better and more income for themselves and for fulfilling their needs and requirements (</w:t>
            </w:r>
            <w:r>
              <w:rPr>
                <w:rFonts w:ascii="Times New Roman" w:hAnsi="Times New Roman" w:cs="Times New Roman" w:eastAsia="Times New Roman"/>
                <w:color w:val="222222"/>
                <w:spacing w:val="0"/>
                <w:position w:val="0"/>
                <w:sz w:val="24"/>
                <w:shd w:fill="FFFFFF" w:val="clear"/>
              </w:rPr>
              <w:t xml:space="preserve">Trivedi and et. al., 2019</w:t>
            </w:r>
            <w:r>
              <w:rPr>
                <w:rFonts w:ascii="Times New Roman" w:hAnsi="Times New Roman" w:cs="Times New Roman" w:eastAsia="Times New Roman"/>
                <w:color w:val="000000"/>
                <w:spacing w:val="0"/>
                <w:position w:val="0"/>
                <w:sz w:val="24"/>
                <w:shd w:fill="auto" w:val="clear"/>
              </w:rPr>
              <w:t xml:space="preserve">). </w:t>
            </w:r>
          </w:p>
        </w:tc>
        <w:tc>
          <w:tcPr>
            <w:tcW w:w="474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uppressAutoHyphens w:val="true"/>
              <w:spacing w:before="0" w:after="0" w:line="360"/>
              <w:ind w:right="0" w:left="0" w:firstLine="0"/>
              <w:jc w:val="both"/>
              <w:rPr>
                <w:spacing w:val="0"/>
                <w:position w:val="0"/>
                <w:shd w:fill="auto" w:val="clear"/>
              </w:rPr>
            </w:pPr>
            <w:r>
              <w:rPr>
                <w:rFonts w:ascii="Times New Roman" w:hAnsi="Times New Roman" w:cs="Times New Roman" w:eastAsia="Times New Roman"/>
                <w:i/>
                <w:color w:val="000000"/>
                <w:spacing w:val="0"/>
                <w:position w:val="0"/>
                <w:sz w:val="24"/>
                <w:shd w:fill="auto" w:val="clear"/>
              </w:rPr>
              <w:t xml:space="preserve">Employees: </w:t>
            </w:r>
            <w:r>
              <w:rPr>
                <w:rFonts w:ascii="Times New Roman" w:hAnsi="Times New Roman" w:cs="Times New Roman" w:eastAsia="Times New Roman"/>
                <w:color w:val="000000"/>
                <w:spacing w:val="0"/>
                <w:position w:val="0"/>
                <w:sz w:val="24"/>
                <w:shd w:fill="auto" w:val="clear"/>
              </w:rPr>
              <w:t xml:space="preserve">The drawback associated with this contract for the employees who have signed Zero hour contract with Tyrone Superstores limited is that the employees cannot depend upon this agreement and they cannot develop any financial planning while depending on this contract as it is uncertain.</w:t>
            </w:r>
          </w:p>
        </w:tc>
      </w:tr>
      <w:tr>
        <w:trPr>
          <w:trHeight w:val="3197" w:hRule="auto"/>
          <w:jc w:val="left"/>
        </w:trPr>
        <w:tc>
          <w:tcPr>
            <w:tcW w:w="474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uppressAutoHyphens w:val="true"/>
              <w:spacing w:before="0" w:after="0" w:line="360"/>
              <w:ind w:right="0" w:left="0" w:firstLine="0"/>
              <w:jc w:val="both"/>
              <w:rPr>
                <w:spacing w:val="0"/>
                <w:position w:val="0"/>
                <w:shd w:fill="auto" w:val="clear"/>
              </w:rPr>
            </w:pPr>
            <w:r>
              <w:rPr>
                <w:rFonts w:ascii="Times New Roman" w:hAnsi="Times New Roman" w:cs="Times New Roman" w:eastAsia="Times New Roman"/>
                <w:i/>
                <w:color w:val="000000"/>
                <w:spacing w:val="0"/>
                <w:position w:val="0"/>
                <w:sz w:val="24"/>
                <w:shd w:fill="auto" w:val="clear"/>
              </w:rPr>
              <w:t xml:space="preserve">Employer: </w:t>
            </w:r>
            <w:r>
              <w:rPr>
                <w:rFonts w:ascii="Times New Roman" w:hAnsi="Times New Roman" w:cs="Times New Roman" w:eastAsia="Times New Roman"/>
                <w:color w:val="000000"/>
                <w:spacing w:val="0"/>
                <w:position w:val="0"/>
                <w:sz w:val="24"/>
                <w:shd w:fill="auto" w:val="clear"/>
              </w:rPr>
              <w:t xml:space="preserve">The advantage of engaging in this type of contract for the Tyrone Superstores limited is the employers and managers have the right to call the employees at any time they need extra work for emergency situations.</w:t>
            </w:r>
          </w:p>
        </w:tc>
        <w:tc>
          <w:tcPr>
            <w:tcW w:w="474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uppressAutoHyphens w:val="true"/>
              <w:spacing w:before="0" w:after="0" w:line="360"/>
              <w:ind w:right="0" w:left="0" w:firstLine="0"/>
              <w:jc w:val="both"/>
              <w:rPr>
                <w:spacing w:val="0"/>
                <w:position w:val="0"/>
              </w:rPr>
            </w:pPr>
            <w:r>
              <w:rPr>
                <w:rFonts w:ascii="Times New Roman" w:hAnsi="Times New Roman" w:cs="Times New Roman" w:eastAsia="Times New Roman"/>
                <w:i/>
                <w:color w:val="000000"/>
                <w:spacing w:val="0"/>
                <w:position w:val="0"/>
                <w:sz w:val="24"/>
                <w:shd w:fill="auto" w:val="clear"/>
              </w:rPr>
              <w:t xml:space="preserve">Employer: </w:t>
            </w:r>
            <w:r>
              <w:rPr>
                <w:rFonts w:ascii="Times New Roman" w:hAnsi="Times New Roman" w:cs="Times New Roman" w:eastAsia="Times New Roman"/>
                <w:color w:val="000000"/>
                <w:spacing w:val="0"/>
                <w:position w:val="0"/>
                <w:sz w:val="24"/>
                <w:shd w:fill="auto" w:val="clear"/>
              </w:rPr>
              <w:t xml:space="preserve">The organisation and employer does not usually have the power or any influence over the decisions of employees. This increases the uncertainty for the employees as the employees can also deny for the task assigned to them in which they are not comfortable performing</w:t>
            </w:r>
            <w:r>
              <w:rPr>
                <w:rFonts w:ascii="Times New Roman" w:hAnsi="Times New Roman" w:cs="Times New Roman" w:eastAsia="Times New Roman"/>
                <w:color w:val="222222"/>
                <w:spacing w:val="0"/>
                <w:position w:val="0"/>
                <w:sz w:val="24"/>
                <w:shd w:fill="FFFFFF" w:val="clear"/>
              </w:rPr>
              <w:t xml:space="preserve"> (Fried and Kastel, 2020)</w:t>
            </w:r>
            <w:r>
              <w:rPr>
                <w:rFonts w:ascii="Times New Roman" w:hAnsi="Times New Roman" w:cs="Times New Roman" w:eastAsia="Times New Roman"/>
                <w:color w:val="000000"/>
                <w:spacing w:val="0"/>
                <w:position w:val="0"/>
                <w:sz w:val="24"/>
                <w:shd w:fill="auto" w:val="clear"/>
              </w:rPr>
              <w:t xml:space="preserve">. </w:t>
            </w:r>
          </w:p>
        </w:tc>
      </w:tr>
    </w:tbl>
    <w:p>
      <w:pPr>
        <w:suppressAutoHyphens w:val="true"/>
        <w:spacing w:before="0" w:after="0" w:line="360"/>
        <w:ind w:right="0" w:left="360" w:firstLine="0"/>
        <w:jc w:val="both"/>
        <w:rPr>
          <w:rFonts w:ascii="Times New Roman" w:hAnsi="Times New Roman" w:cs="Times New Roman" w:eastAsia="Times New Roman"/>
          <w:b/>
          <w:color w:val="000000"/>
          <w:spacing w:val="0"/>
          <w:position w:val="0"/>
          <w:sz w:val="24"/>
          <w:shd w:fill="auto" w:val="clear"/>
        </w:rPr>
      </w:pPr>
    </w:p>
    <w:p>
      <w:pPr>
        <w:suppressAutoHyphens w:val="true"/>
        <w:spacing w:before="0" w:after="0" w:line="360"/>
        <w:ind w:right="0" w:left="360" w:firstLine="0"/>
        <w:jc w:val="both"/>
        <w:rPr>
          <w:rFonts w:ascii="Times New Roman" w:hAnsi="Times New Roman" w:cs="Times New Roman" w:eastAsia="Times New Roman"/>
          <w:b/>
          <w:color w:val="000000"/>
          <w:spacing w:val="0"/>
          <w:position w:val="0"/>
          <w:sz w:val="24"/>
          <w:shd w:fill="auto" w:val="clear"/>
        </w:rPr>
      </w:pPr>
    </w:p>
    <w:p>
      <w:pPr>
        <w:keepNext w:val="true"/>
        <w:keepLines w:val="true"/>
        <w:numPr>
          <w:ilvl w:val="0"/>
          <w:numId w:val="37"/>
        </w:numPr>
        <w:tabs>
          <w:tab w:val="left" w:pos="0" w:leader="none"/>
        </w:tabs>
        <w:suppressAutoHyphens w:val="true"/>
        <w:spacing w:before="113" w:after="0" w:line="360"/>
        <w:ind w:right="0" w:left="432" w:hanging="432"/>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QUESTION 3 </w:t>
      </w:r>
    </w:p>
    <w:p>
      <w:pPr>
        <w:keepNext w:val="true"/>
        <w:keepLines w:val="true"/>
        <w:numPr>
          <w:ilvl w:val="0"/>
          <w:numId w:val="37"/>
        </w:numPr>
        <w:tabs>
          <w:tab w:val="left" w:pos="0" w:leader="none"/>
        </w:tabs>
        <w:suppressAutoHyphens w:val="true"/>
        <w:spacing w:before="113" w:after="0" w:line="360"/>
        <w:ind w:right="0" w:left="576" w:hanging="576"/>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Reviewing how the company manages grievance and disciplinary issues? Explaining whether these procedures effectively improve performance and workplace morale.</w:t>
      </w:r>
    </w:p>
    <w:p>
      <w:pPr>
        <w:suppressAutoHyphens w:val="true"/>
        <w:spacing w:before="0" w:after="0" w:line="360"/>
        <w:ind w:right="0" w:left="0" w:firstLine="576"/>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Staff grievances and discipline is a very important and critical issue which has impact over the performance of the employees and their morals and on the overall performance of the organisation. In Tyrone superstores limited the discipline and grievance process is where the interviews are conducted by the age of staff from the exiting staff members and employees. These interviews are anonymous where no names of the interviewees are given out. </w:t>
      </w:r>
    </w:p>
    <w:p>
      <w:pPr>
        <w:suppressAutoHyphens w:val="true"/>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Once the interviews are conducted by the HR department of Tyrone superstores limited it has been identified that employs are very unsatisfied with the grievance and discipline process of the organisation. The morals of individuals are very low and they are not at all motivated while working with the company (</w:t>
      </w:r>
      <w:r>
        <w:rPr>
          <w:rFonts w:ascii="Times New Roman" w:hAnsi="Times New Roman" w:cs="Times New Roman" w:eastAsia="Times New Roman"/>
          <w:color w:val="222222"/>
          <w:spacing w:val="0"/>
          <w:position w:val="0"/>
          <w:sz w:val="24"/>
          <w:shd w:fill="FFFFFF" w:val="clear"/>
        </w:rPr>
        <w:t xml:space="preserve">Roberts and et. al., 2019</w:t>
      </w:r>
      <w:r>
        <w:rPr>
          <w:rFonts w:ascii="Times New Roman" w:hAnsi="Times New Roman" w:cs="Times New Roman" w:eastAsia="Times New Roman"/>
          <w:color w:val="000000"/>
          <w:spacing w:val="0"/>
          <w:position w:val="0"/>
          <w:sz w:val="24"/>
          <w:shd w:fill="auto" w:val="clear"/>
        </w:rPr>
        <w:t xml:space="preserve">). The Tyrone superstores limited exiting employees gender that feedbacks crew interviews in which day highlighted their main reasons to leave the company. One of the most common reason which is given by the employees to leave the job is is that the human resource department and managers of stores do not take the problems of employees very seriously. the employees tell that their problems and issues are just ignored by them without providing them any solutions for explanation for the grievances. Another reason which decrease the moral of people and increases the staff turnover of Tyrone superstores limited is that the disciplinary procedures have not been handled professionally and fairly by the managers and human resource department of the company. This increases the dissatisfaction among employees and decrease their motivation level and morals while working in the super stores. The employees were very dissatisfied and unhappy e while performing the job rules as they did not receive any solutions for their problems and also faces few unfair practices in the organisation. Therefore it is that the discipline and grievance processes which is followed by the managers and human resource department of Tyrone superstores limited are very effective and do fulfill the motive of the procedures.</w:t>
      </w:r>
    </w:p>
    <w:p>
      <w:pPr>
        <w:suppressAutoHyphens w:val="true"/>
        <w:spacing w:before="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Recommendation:</w:t>
      </w:r>
    </w:p>
    <w:p>
      <w:pPr>
        <w:suppressAutoHyphens w:val="true"/>
        <w:spacing w:before="0" w:after="0" w:line="360"/>
        <w:ind w:right="0" w:left="0" w:firstLine="432"/>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It is suggested and recommended to the managers and more importantly to the human resource department of Tyrone superstores limited that they should revise and along with discipline and provinces processes (</w:t>
      </w:r>
      <w:r>
        <w:rPr>
          <w:rFonts w:ascii="Times New Roman" w:hAnsi="Times New Roman" w:cs="Times New Roman" w:eastAsia="Times New Roman"/>
          <w:color w:val="222222"/>
          <w:spacing w:val="0"/>
          <w:position w:val="0"/>
          <w:sz w:val="24"/>
          <w:shd w:fill="FFFFFF" w:val="clear"/>
        </w:rPr>
        <w:t xml:space="preserve">Braun and et. al., 2019)</w:t>
      </w:r>
      <w:r>
        <w:rPr>
          <w:rFonts w:ascii="Times New Roman" w:hAnsi="Times New Roman" w:cs="Times New Roman" w:eastAsia="Times New Roman"/>
          <w:color w:val="000000"/>
          <w:spacing w:val="0"/>
          <w:position w:val="0"/>
          <w:sz w:val="24"/>
          <w:shd w:fill="auto" w:val="clear"/>
        </w:rPr>
        <w:t xml:space="preserve">.  The grievance and discipline processes are handled by store managers with support from the centralised human resource department but both the parties need to give their utmost attentions in order to increase the morals of individuals by resolving their problems and grievances and fairly treating all the employees rather than conducting any discriminative activities (</w:t>
      </w:r>
      <w:r>
        <w:rPr>
          <w:rFonts w:ascii="Times New Roman" w:hAnsi="Times New Roman" w:cs="Times New Roman" w:eastAsia="Times New Roman"/>
          <w:color w:val="222222"/>
          <w:spacing w:val="0"/>
          <w:position w:val="0"/>
          <w:sz w:val="24"/>
          <w:shd w:fill="FFFFFF" w:val="clear"/>
        </w:rPr>
        <w:t xml:space="preserve">Pearlson, Saunders and Galletta, 2019</w:t>
      </w:r>
      <w:r>
        <w:rPr>
          <w:rFonts w:ascii="Times New Roman" w:hAnsi="Times New Roman" w:cs="Times New Roman" w:eastAsia="Times New Roman"/>
          <w:color w:val="000000"/>
          <w:spacing w:val="0"/>
          <w:position w:val="0"/>
          <w:sz w:val="24"/>
          <w:shd w:fill="auto" w:val="clear"/>
        </w:rPr>
        <w:t xml:space="preserve">). It is suggested to the organisation that the HR department should why is there human resource management policies with the whole and sole objective of reducing employee turnover by which the encouragement level of individuals can be increased along with rendering customer’s all the best quality services and higher level of satisfaction. </w:t>
      </w:r>
    </w:p>
    <w:p>
      <w:pPr>
        <w:keepNext w:val="true"/>
        <w:keepLines w:val="true"/>
        <w:numPr>
          <w:ilvl w:val="0"/>
          <w:numId w:val="42"/>
        </w:numPr>
        <w:tabs>
          <w:tab w:val="left" w:pos="0" w:leader="none"/>
        </w:tabs>
        <w:suppressAutoHyphens w:val="true"/>
        <w:spacing w:before="113" w:after="0" w:line="360"/>
        <w:ind w:right="0" w:left="432" w:hanging="432"/>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CONCLUSION</w:t>
      </w:r>
    </w:p>
    <w:p>
      <w:pPr>
        <w:suppressAutoHyphens w:val="true"/>
        <w:spacing w:before="0" w:after="0" w:line="360"/>
        <w:ind w:right="0" w:left="0" w:firstLine="432"/>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report above is about managing people and human resource of an organisation in the most effective and questions on manners for bringing the best out of them and making exposed use of the skills and expertise of employees. The report concludes that managing people is one of the most essential and important task of an organisation for which the HRM strategies and policies developed by the company and HR staff need to be interlinked so that best results can be attend. </w:t>
      </w:r>
    </w:p>
    <w:p>
      <w:pPr>
        <w:keepNext w:val="true"/>
        <w:keepLines w:val="true"/>
        <w:numPr>
          <w:ilvl w:val="0"/>
          <w:numId w:val="44"/>
        </w:numPr>
        <w:tabs>
          <w:tab w:val="left" w:pos="0" w:leader="none"/>
        </w:tabs>
        <w:suppressAutoHyphens w:val="true"/>
        <w:spacing w:before="113" w:after="0" w:line="360"/>
        <w:ind w:right="0" w:left="432" w:hanging="432"/>
        <w:jc w:val="both"/>
        <w:rPr>
          <w:rFonts w:ascii="Times New Roman" w:hAnsi="Times New Roman" w:cs="Times New Roman" w:eastAsia="Times New Roman"/>
          <w:b/>
          <w:color w:val="000000"/>
          <w:spacing w:val="0"/>
          <w:position w:val="0"/>
          <w:sz w:val="28"/>
          <w:shd w:fill="auto" w:val="clear"/>
        </w:rPr>
      </w:pPr>
    </w:p>
    <w:p>
      <w:pPr>
        <w:keepNext w:val="true"/>
        <w:keepLines w:val="true"/>
        <w:pageBreakBefore w:val="true"/>
        <w:numPr>
          <w:ilvl w:val="0"/>
          <w:numId w:val="44"/>
        </w:numPr>
        <w:tabs>
          <w:tab w:val="left" w:pos="0" w:leader="none"/>
        </w:tabs>
        <w:suppressAutoHyphens w:val="true"/>
        <w:spacing w:before="113" w:after="0" w:line="360"/>
        <w:ind w:right="0" w:left="432" w:hanging="432"/>
        <w:jc w:val="both"/>
        <w:rPr>
          <w:rFonts w:ascii="Times New Roman" w:hAnsi="Times New Roman" w:cs="Times New Roman" w:eastAsia="Times New Roman"/>
          <w:b/>
          <w:color w:val="000000"/>
          <w:spacing w:val="0"/>
          <w:position w:val="0"/>
          <w:sz w:val="28"/>
          <w:u w:val="single"/>
          <w:shd w:fill="auto" w:val="clear"/>
        </w:rPr>
      </w:pPr>
      <w:r>
        <w:rPr>
          <w:rFonts w:ascii="Times New Roman" w:hAnsi="Times New Roman" w:cs="Times New Roman" w:eastAsia="Times New Roman"/>
          <w:b/>
          <w:color w:val="000000"/>
          <w:spacing w:val="0"/>
          <w:position w:val="0"/>
          <w:sz w:val="28"/>
          <w:shd w:fill="auto" w:val="clear"/>
        </w:rPr>
        <w:t xml:space="preserve">REFRENCES</w:t>
      </w:r>
    </w:p>
    <w:p>
      <w:pPr>
        <w:suppressAutoHyphens w:val="true"/>
        <w:spacing w:before="0" w:after="0" w:line="360"/>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Books and journals</w:t>
      </w:r>
    </w:p>
    <w:p>
      <w:pPr>
        <w:suppressAutoHyphens w:val="true"/>
        <w:spacing w:before="0" w:after="0" w:line="240"/>
        <w:ind w:right="0" w:left="851" w:hanging="851"/>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Braun, A., and et. al., 2019. Managing behavioural and psychological symptoms in community dwelling older people with dementia: 2. A systematic review of qualitative studies. </w:t>
      </w:r>
      <w:r>
        <w:rPr>
          <w:rFonts w:ascii="Times New Roman" w:hAnsi="Times New Roman" w:cs="Times New Roman" w:eastAsia="Times New Roman"/>
          <w:i/>
          <w:color w:val="222222"/>
          <w:spacing w:val="0"/>
          <w:position w:val="0"/>
          <w:sz w:val="24"/>
          <w:shd w:fill="FFFFFF" w:val="clear"/>
        </w:rPr>
        <w:t xml:space="preserve">Dementia</w:t>
      </w:r>
      <w:r>
        <w:rPr>
          <w:rFonts w:ascii="Times New Roman" w:hAnsi="Times New Roman" w:cs="Times New Roman" w:eastAsia="Times New Roman"/>
          <w:color w:val="222222"/>
          <w:spacing w:val="0"/>
          <w:position w:val="0"/>
          <w:sz w:val="24"/>
          <w:shd w:fill="FFFFFF" w:val="clear"/>
        </w:rPr>
        <w:t xml:space="preserve">. 18(7-8). pp.2950-2970.</w:t>
      </w:r>
    </w:p>
    <w:p>
      <w:pPr>
        <w:suppressAutoHyphens w:val="true"/>
        <w:spacing w:before="0" w:after="0" w:line="240"/>
        <w:ind w:right="0" w:left="851" w:hanging="851"/>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Brechin, D. and et al., 2020. </w:t>
      </w:r>
      <w:r>
        <w:rPr>
          <w:rFonts w:ascii="Times New Roman" w:hAnsi="Times New Roman" w:cs="Times New Roman" w:eastAsia="Times New Roman"/>
          <w:i/>
          <w:color w:val="222222"/>
          <w:spacing w:val="0"/>
          <w:position w:val="0"/>
          <w:sz w:val="24"/>
          <w:shd w:fill="FFFFFF" w:val="clear"/>
        </w:rPr>
        <w:t xml:space="preserve">Alternatives to antipsychotic medication: psychological approaches in managing psychological and behavioural distress in people with dementia</w:t>
      </w:r>
      <w:r>
        <w:rPr>
          <w:rFonts w:ascii="Times New Roman" w:hAnsi="Times New Roman" w:cs="Times New Roman" w:eastAsia="Times New Roman"/>
          <w:color w:val="222222"/>
          <w:spacing w:val="0"/>
          <w:position w:val="0"/>
          <w:sz w:val="24"/>
          <w:shd w:fill="FFFFFF" w:val="clear"/>
        </w:rPr>
        <w:t xml:space="preserve">.</w:t>
      </w:r>
    </w:p>
    <w:p>
      <w:pPr>
        <w:suppressAutoHyphens w:val="true"/>
        <w:spacing w:before="0" w:after="0" w:line="240"/>
        <w:ind w:right="0" w:left="851" w:hanging="851"/>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Butler, A. E., Copnell, B. and Hall, H., 2019. Researching people who are bereaved: Managing risks to participants and researchers. </w:t>
      </w:r>
      <w:r>
        <w:rPr>
          <w:rFonts w:ascii="Times New Roman" w:hAnsi="Times New Roman" w:cs="Times New Roman" w:eastAsia="Times New Roman"/>
          <w:i/>
          <w:color w:val="222222"/>
          <w:spacing w:val="0"/>
          <w:position w:val="0"/>
          <w:sz w:val="24"/>
          <w:shd w:fill="FFFFFF" w:val="clear"/>
        </w:rPr>
        <w:t xml:space="preserve">Nursing Ethics</w:t>
      </w:r>
      <w:r>
        <w:rPr>
          <w:rFonts w:ascii="Times New Roman" w:hAnsi="Times New Roman" w:cs="Times New Roman" w:eastAsia="Times New Roman"/>
          <w:color w:val="222222"/>
          <w:spacing w:val="0"/>
          <w:position w:val="0"/>
          <w:sz w:val="24"/>
          <w:shd w:fill="FFFFFF" w:val="clear"/>
        </w:rPr>
        <w:t xml:space="preserve">. 26(1). pp.224-234.</w:t>
      </w:r>
    </w:p>
    <w:p>
      <w:pPr>
        <w:suppressAutoHyphens w:val="true"/>
        <w:spacing w:before="0" w:after="0" w:line="240"/>
        <w:ind w:right="0" w:left="851" w:hanging="851"/>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Fried, G. and Kastel, M., 2020. </w:t>
      </w:r>
      <w:r>
        <w:rPr>
          <w:rFonts w:ascii="Times New Roman" w:hAnsi="Times New Roman" w:cs="Times New Roman" w:eastAsia="Times New Roman"/>
          <w:i/>
          <w:color w:val="222222"/>
          <w:spacing w:val="0"/>
          <w:position w:val="0"/>
          <w:sz w:val="24"/>
          <w:shd w:fill="FFFFFF" w:val="clear"/>
        </w:rPr>
        <w:t xml:space="preserve">Managing sport facilities</w:t>
      </w:r>
      <w:r>
        <w:rPr>
          <w:rFonts w:ascii="Times New Roman" w:hAnsi="Times New Roman" w:cs="Times New Roman" w:eastAsia="Times New Roman"/>
          <w:color w:val="222222"/>
          <w:spacing w:val="0"/>
          <w:position w:val="0"/>
          <w:sz w:val="24"/>
          <w:shd w:fill="FFFFFF" w:val="clear"/>
        </w:rPr>
        <w:t xml:space="preserve">. Human Kinetics Publishers.</w:t>
      </w:r>
    </w:p>
    <w:p>
      <w:pPr>
        <w:suppressAutoHyphens w:val="true"/>
        <w:spacing w:before="0" w:after="0" w:line="240"/>
        <w:ind w:right="0" w:left="851" w:hanging="851"/>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Mantle, M. W. and Lichty, R., 2019. </w:t>
      </w:r>
      <w:r>
        <w:rPr>
          <w:rFonts w:ascii="Times New Roman" w:hAnsi="Times New Roman" w:cs="Times New Roman" w:eastAsia="Times New Roman"/>
          <w:i/>
          <w:color w:val="222222"/>
          <w:spacing w:val="0"/>
          <w:position w:val="0"/>
          <w:sz w:val="24"/>
          <w:shd w:fill="FFFFFF" w:val="clear"/>
        </w:rPr>
        <w:t xml:space="preserve">Managing the unmanageable: rules, tools, and insights for managing software people and teams</w:t>
      </w:r>
      <w:r>
        <w:rPr>
          <w:rFonts w:ascii="Times New Roman" w:hAnsi="Times New Roman" w:cs="Times New Roman" w:eastAsia="Times New Roman"/>
          <w:color w:val="222222"/>
          <w:spacing w:val="0"/>
          <w:position w:val="0"/>
          <w:sz w:val="24"/>
          <w:shd w:fill="FFFFFF" w:val="clear"/>
        </w:rPr>
        <w:t xml:space="preserve">. Addison-Wesley Professional.</w:t>
      </w:r>
    </w:p>
    <w:p>
      <w:pPr>
        <w:suppressAutoHyphens w:val="true"/>
        <w:spacing w:before="0" w:after="0" w:line="240"/>
        <w:ind w:right="0" w:left="851" w:hanging="851"/>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Pearlson, K. E., Saunders, C. S. and Galletta, D. F., 2019. </w:t>
      </w:r>
      <w:r>
        <w:rPr>
          <w:rFonts w:ascii="Times New Roman" w:hAnsi="Times New Roman" w:cs="Times New Roman" w:eastAsia="Times New Roman"/>
          <w:i/>
          <w:color w:val="222222"/>
          <w:spacing w:val="0"/>
          <w:position w:val="0"/>
          <w:sz w:val="24"/>
          <w:shd w:fill="FFFFFF" w:val="clear"/>
        </w:rPr>
        <w:t xml:space="preserve">Managing and using information systems: A strategic approach</w:t>
      </w:r>
      <w:r>
        <w:rPr>
          <w:rFonts w:ascii="Times New Roman" w:hAnsi="Times New Roman" w:cs="Times New Roman" w:eastAsia="Times New Roman"/>
          <w:color w:val="222222"/>
          <w:spacing w:val="0"/>
          <w:position w:val="0"/>
          <w:sz w:val="24"/>
          <w:shd w:fill="FFFFFF" w:val="clear"/>
        </w:rPr>
        <w:t xml:space="preserve">. John Wiley &amp; Sons.</w:t>
      </w:r>
    </w:p>
    <w:p>
      <w:pPr>
        <w:suppressAutoHyphens w:val="true"/>
        <w:spacing w:before="0" w:after="0" w:line="240"/>
        <w:ind w:right="0" w:left="851" w:hanging="851"/>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Psychogios, A. and Prouska, R., 2019. </w:t>
      </w:r>
      <w:r>
        <w:rPr>
          <w:rFonts w:ascii="Times New Roman" w:hAnsi="Times New Roman" w:cs="Times New Roman" w:eastAsia="Times New Roman"/>
          <w:i/>
          <w:color w:val="222222"/>
          <w:spacing w:val="0"/>
          <w:position w:val="0"/>
          <w:sz w:val="24"/>
          <w:shd w:fill="FFFFFF" w:val="clear"/>
        </w:rPr>
        <w:t xml:space="preserve">Managing People in Small and Medium Enterprises in Turbulent Contexts</w:t>
      </w:r>
      <w:r>
        <w:rPr>
          <w:rFonts w:ascii="Times New Roman" w:hAnsi="Times New Roman" w:cs="Times New Roman" w:eastAsia="Times New Roman"/>
          <w:color w:val="222222"/>
          <w:spacing w:val="0"/>
          <w:position w:val="0"/>
          <w:sz w:val="24"/>
          <w:shd w:fill="FFFFFF" w:val="clear"/>
        </w:rPr>
        <w:t xml:space="preserve">. Routledge.</w:t>
      </w:r>
    </w:p>
    <w:p>
      <w:pPr>
        <w:suppressAutoHyphens w:val="true"/>
        <w:spacing w:before="0" w:after="0" w:line="240"/>
        <w:ind w:right="0" w:left="851" w:hanging="851"/>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Roberts, H. C. and et. al., 2019. The challenge of managing undernutrition in older people with Frailty. </w:t>
      </w:r>
      <w:r>
        <w:rPr>
          <w:rFonts w:ascii="Times New Roman" w:hAnsi="Times New Roman" w:cs="Times New Roman" w:eastAsia="Times New Roman"/>
          <w:i/>
          <w:color w:val="222222"/>
          <w:spacing w:val="0"/>
          <w:position w:val="0"/>
          <w:sz w:val="24"/>
          <w:shd w:fill="FFFFFF" w:val="clear"/>
        </w:rPr>
        <w:t xml:space="preserve">Nutrients</w:t>
      </w:r>
      <w:r>
        <w:rPr>
          <w:rFonts w:ascii="Times New Roman" w:hAnsi="Times New Roman" w:cs="Times New Roman" w:eastAsia="Times New Roman"/>
          <w:color w:val="222222"/>
          <w:spacing w:val="0"/>
          <w:position w:val="0"/>
          <w:sz w:val="24"/>
          <w:shd w:fill="FFFFFF" w:val="clear"/>
        </w:rPr>
        <w:t xml:space="preserve">. 11(4). p.808.</w:t>
      </w:r>
    </w:p>
    <w:p>
      <w:pPr>
        <w:suppressAutoHyphens w:val="true"/>
        <w:spacing w:before="0" w:after="0" w:line="240"/>
        <w:ind w:right="0" w:left="851" w:hanging="851"/>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Scarlett, H., 2019. </w:t>
      </w:r>
      <w:r>
        <w:rPr>
          <w:rFonts w:ascii="Times New Roman" w:hAnsi="Times New Roman" w:cs="Times New Roman" w:eastAsia="Times New Roman"/>
          <w:i/>
          <w:color w:val="222222"/>
          <w:spacing w:val="0"/>
          <w:position w:val="0"/>
          <w:sz w:val="24"/>
          <w:shd w:fill="FFFFFF" w:val="clear"/>
        </w:rPr>
        <w:t xml:space="preserve">Neuroscience for organizational change: An evidence-based practical guide to managing change</w:t>
      </w:r>
      <w:r>
        <w:rPr>
          <w:rFonts w:ascii="Times New Roman" w:hAnsi="Times New Roman" w:cs="Times New Roman" w:eastAsia="Times New Roman"/>
          <w:color w:val="222222"/>
          <w:spacing w:val="0"/>
          <w:position w:val="0"/>
          <w:sz w:val="24"/>
          <w:shd w:fill="FFFFFF" w:val="clear"/>
        </w:rPr>
        <w:t xml:space="preserve">. Kogan Page Publishers.</w:t>
      </w:r>
    </w:p>
    <w:p>
      <w:pPr>
        <w:suppressAutoHyphens w:val="true"/>
        <w:spacing w:before="0" w:after="0" w:line="240"/>
        <w:ind w:right="0" w:left="851" w:hanging="851"/>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Trivedi, D. P. and et. al., 2019. Managing behavioural and psychological symptoms in community dwelling older people with dementia: 1. A systematic review of the effectiveness of interventions. </w:t>
      </w:r>
      <w:r>
        <w:rPr>
          <w:rFonts w:ascii="Times New Roman" w:hAnsi="Times New Roman" w:cs="Times New Roman" w:eastAsia="Times New Roman"/>
          <w:i/>
          <w:color w:val="222222"/>
          <w:spacing w:val="0"/>
          <w:position w:val="0"/>
          <w:sz w:val="24"/>
          <w:shd w:fill="FFFFFF" w:val="clear"/>
        </w:rPr>
        <w:t xml:space="preserve">Dementia</w:t>
      </w:r>
      <w:r>
        <w:rPr>
          <w:rFonts w:ascii="Times New Roman" w:hAnsi="Times New Roman" w:cs="Times New Roman" w:eastAsia="Times New Roman"/>
          <w:color w:val="222222"/>
          <w:spacing w:val="0"/>
          <w:position w:val="0"/>
          <w:sz w:val="24"/>
          <w:shd w:fill="FFFFFF" w:val="clear"/>
        </w:rPr>
        <w:t xml:space="preserve">. 18(7-8). pp.2925-2949.</w:t>
      </w:r>
    </w:p>
    <w:p>
      <w:pPr>
        <w:suppressAutoHyphens w:val="true"/>
        <w:spacing w:before="0" w:after="0" w:line="240"/>
        <w:ind w:right="0" w:left="851" w:hanging="851"/>
        <w:jc w:val="both"/>
        <w:rPr>
          <w:rFonts w:ascii="Times New Roman" w:hAnsi="Times New Roman" w:cs="Times New Roman" w:eastAsia="Times New Roman"/>
          <w:color w:val="222222"/>
          <w:spacing w:val="0"/>
          <w:position w:val="0"/>
          <w:sz w:val="24"/>
          <w:shd w:fill="FFFFFF" w:val="clear"/>
        </w:rPr>
      </w:pPr>
    </w:p>
    <w:p>
      <w:pPr>
        <w:suppressAutoHyphens w:val="true"/>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num w:numId="14">
    <w:abstractNumId w:val="36"/>
  </w:num>
  <w:num w:numId="16">
    <w:abstractNumId w:val="30"/>
  </w:num>
  <w:num w:numId="20">
    <w:abstractNumId w:val="24"/>
  </w:num>
  <w:num w:numId="25">
    <w:abstractNumId w:val="18"/>
  </w:num>
  <w:num w:numId="37">
    <w:abstractNumId w:val="12"/>
  </w:num>
  <w:num w:numId="42">
    <w:abstractNumId w:val="6"/>
  </w:num>
  <w:num w:numId="44">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