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rPr>
        <w:id w:val="1239282919"/>
        <w:docPartObj>
          <w:docPartGallery w:val="Cover Pages"/>
          <w:docPartUnique/>
        </w:docPartObj>
      </w:sdtPr>
      <w:sdtEndPr>
        <w:rPr>
          <w:rFonts w:ascii="Arial" w:hAnsi="Arial" w:cs="Arial"/>
          <w:sz w:val="22"/>
        </w:rPr>
      </w:sdtEndPr>
      <w:sdtContent>
        <w:p w14:paraId="10942AA5" w14:textId="44748B78" w:rsidR="001A48C7" w:rsidRDefault="00536B14">
          <w:pPr>
            <w:pStyle w:val="NoSpacing"/>
            <w:rPr>
              <w:sz w:val="2"/>
            </w:rPr>
          </w:pPr>
          <w:r>
            <w:rPr>
              <w:noProof/>
            </w:rPr>
            <mc:AlternateContent>
              <mc:Choice Requires="wps">
                <w:drawing>
                  <wp:anchor distT="0" distB="0" distL="114300" distR="114300" simplePos="0" relativeHeight="251661312" behindDoc="0" locked="0" layoutInCell="1" allowOverlap="1" wp14:anchorId="466DA8AF" wp14:editId="46175363">
                    <wp:simplePos x="0" y="0"/>
                    <wp:positionH relativeFrom="page">
                      <wp:posOffset>885825</wp:posOffset>
                    </wp:positionH>
                    <wp:positionV relativeFrom="margin">
                      <wp:align>top</wp:align>
                    </wp:positionV>
                    <wp:extent cx="61722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172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2037993" w14:textId="5C3537EA" w:rsidR="001A48C7" w:rsidRPr="00F33527" w:rsidRDefault="0090230D">
                                    <w:pPr>
                                      <w:pStyle w:val="NoSpacing"/>
                                      <w:rPr>
                                        <w:rFonts w:asciiTheme="majorHAnsi" w:eastAsiaTheme="majorEastAsia" w:hAnsiTheme="majorHAnsi" w:cstheme="majorBidi"/>
                                        <w:b/>
                                        <w:bCs/>
                                        <w:caps/>
                                        <w:color w:val="8496B0" w:themeColor="text2" w:themeTint="99"/>
                                        <w:sz w:val="68"/>
                                        <w:szCs w:val="68"/>
                                      </w:rPr>
                                    </w:pPr>
                                    <w:r w:rsidRPr="00F33527">
                                      <w:rPr>
                                        <w:rFonts w:asciiTheme="majorHAnsi" w:eastAsiaTheme="majorEastAsia" w:hAnsiTheme="majorHAnsi" w:cstheme="majorBidi"/>
                                        <w:b/>
                                        <w:bCs/>
                                        <w:color w:val="8496B0" w:themeColor="text2" w:themeTint="99"/>
                                        <w:sz w:val="64"/>
                                        <w:szCs w:val="64"/>
                                      </w:rPr>
                                      <w:t xml:space="preserve">Criminal Exploitation </w:t>
                                    </w:r>
                                    <w:r>
                                      <w:rPr>
                                        <w:rFonts w:asciiTheme="majorHAnsi" w:eastAsiaTheme="majorEastAsia" w:hAnsiTheme="majorHAnsi" w:cstheme="majorBidi"/>
                                        <w:b/>
                                        <w:bCs/>
                                        <w:color w:val="8496B0" w:themeColor="text2" w:themeTint="99"/>
                                        <w:sz w:val="64"/>
                                        <w:szCs w:val="64"/>
                                      </w:rPr>
                                      <w:t>o</w:t>
                                    </w:r>
                                    <w:r w:rsidRPr="00F33527">
                                      <w:rPr>
                                        <w:rFonts w:asciiTheme="majorHAnsi" w:eastAsiaTheme="majorEastAsia" w:hAnsiTheme="majorHAnsi" w:cstheme="majorBidi"/>
                                        <w:b/>
                                        <w:bCs/>
                                        <w:color w:val="8496B0" w:themeColor="text2" w:themeTint="99"/>
                                        <w:sz w:val="64"/>
                                        <w:szCs w:val="64"/>
                                      </w:rPr>
                                      <w:t>f Vulnerable People</w:t>
                                    </w:r>
                                  </w:p>
                                </w:sdtContent>
                              </w:sdt>
                              <w:p w14:paraId="7A5BB6B1" w14:textId="7A9BD581" w:rsidR="001A48C7" w:rsidRPr="00536B14" w:rsidRDefault="008D0EE0">
                                <w:pPr>
                                  <w:pStyle w:val="NoSpacing"/>
                                  <w:spacing w:before="120"/>
                                  <w:rPr>
                                    <w:color w:val="4472C4" w:themeColor="accent1"/>
                                    <w:sz w:val="44"/>
                                    <w:szCs w:val="44"/>
                                  </w:rPr>
                                </w:pPr>
                                <w:sdt>
                                  <w:sdtPr>
                                    <w:rPr>
                                      <w:color w:val="4472C4"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0230D" w:rsidRPr="00536B14">
                                      <w:rPr>
                                        <w:color w:val="4472C4" w:themeColor="accent1"/>
                                        <w:sz w:val="48"/>
                                        <w:szCs w:val="48"/>
                                      </w:rPr>
                                      <w:t>Is it Increasing?</w:t>
                                    </w:r>
                                  </w:sdtContent>
                                </w:sdt>
                                <w:r w:rsidR="0090230D" w:rsidRPr="00536B14">
                                  <w:rPr>
                                    <w:noProof/>
                                    <w:sz w:val="28"/>
                                    <w:szCs w:val="28"/>
                                  </w:rPr>
                                  <w:t xml:space="preserve"> </w:t>
                                </w:r>
                              </w:p>
                              <w:p w14:paraId="2B7CB0A5" w14:textId="77777777" w:rsidR="001A48C7" w:rsidRDefault="001A48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466DA8AF" id="_x0000_t202" coordsize="21600,21600" o:spt="202" path="m,l,21600r21600,l21600,xe">
                    <v:stroke joinstyle="miter"/>
                    <v:path gradientshapeok="t" o:connecttype="rect"/>
                  </v:shapetype>
                  <v:shape id="Text Box 62" o:spid="_x0000_s1026" type="#_x0000_t202" style="position:absolute;margin-left:69.75pt;margin-top:0;width:486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&#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2037993" w14:textId="5C3537EA" w:rsidR="001A48C7" w:rsidRPr="00F33527" w:rsidRDefault="0090230D">
                              <w:pPr>
                                <w:pStyle w:val="NoSpacing"/>
                                <w:rPr>
                                  <w:rFonts w:asciiTheme="majorHAnsi" w:eastAsiaTheme="majorEastAsia" w:hAnsiTheme="majorHAnsi" w:cstheme="majorBidi"/>
                                  <w:b/>
                                  <w:bCs/>
                                  <w:caps/>
                                  <w:color w:val="8496B0" w:themeColor="text2" w:themeTint="99"/>
                                  <w:sz w:val="68"/>
                                  <w:szCs w:val="68"/>
                                </w:rPr>
                              </w:pPr>
                              <w:r w:rsidRPr="00F33527">
                                <w:rPr>
                                  <w:rFonts w:asciiTheme="majorHAnsi" w:eastAsiaTheme="majorEastAsia" w:hAnsiTheme="majorHAnsi" w:cstheme="majorBidi"/>
                                  <w:b/>
                                  <w:bCs/>
                                  <w:color w:val="8496B0" w:themeColor="text2" w:themeTint="99"/>
                                  <w:sz w:val="64"/>
                                  <w:szCs w:val="64"/>
                                </w:rPr>
                                <w:t xml:space="preserve">Criminal Exploitation </w:t>
                              </w:r>
                              <w:r>
                                <w:rPr>
                                  <w:rFonts w:asciiTheme="majorHAnsi" w:eastAsiaTheme="majorEastAsia" w:hAnsiTheme="majorHAnsi" w:cstheme="majorBidi"/>
                                  <w:b/>
                                  <w:bCs/>
                                  <w:color w:val="8496B0" w:themeColor="text2" w:themeTint="99"/>
                                  <w:sz w:val="64"/>
                                  <w:szCs w:val="64"/>
                                </w:rPr>
                                <w:t>o</w:t>
                              </w:r>
                              <w:r w:rsidRPr="00F33527">
                                <w:rPr>
                                  <w:rFonts w:asciiTheme="majorHAnsi" w:eastAsiaTheme="majorEastAsia" w:hAnsiTheme="majorHAnsi" w:cstheme="majorBidi"/>
                                  <w:b/>
                                  <w:bCs/>
                                  <w:color w:val="8496B0" w:themeColor="text2" w:themeTint="99"/>
                                  <w:sz w:val="64"/>
                                  <w:szCs w:val="64"/>
                                </w:rPr>
                                <w:t>f Vulnerable People</w:t>
                              </w:r>
                            </w:p>
                          </w:sdtContent>
                        </w:sdt>
                        <w:p w14:paraId="7A5BB6B1" w14:textId="7A9BD581" w:rsidR="001A48C7" w:rsidRPr="00536B14" w:rsidRDefault="008D0EE0">
                          <w:pPr>
                            <w:pStyle w:val="NoSpacing"/>
                            <w:spacing w:before="120"/>
                            <w:rPr>
                              <w:color w:val="4472C4" w:themeColor="accent1"/>
                              <w:sz w:val="44"/>
                              <w:szCs w:val="44"/>
                            </w:rPr>
                          </w:pPr>
                          <w:sdt>
                            <w:sdtPr>
                              <w:rPr>
                                <w:color w:val="4472C4"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0230D" w:rsidRPr="00536B14">
                                <w:rPr>
                                  <w:color w:val="4472C4" w:themeColor="accent1"/>
                                  <w:sz w:val="48"/>
                                  <w:szCs w:val="48"/>
                                </w:rPr>
                                <w:t>Is it Increasing?</w:t>
                              </w:r>
                            </w:sdtContent>
                          </w:sdt>
                          <w:r w:rsidR="0090230D" w:rsidRPr="00536B14">
                            <w:rPr>
                              <w:noProof/>
                              <w:sz w:val="28"/>
                              <w:szCs w:val="28"/>
                            </w:rPr>
                            <w:t xml:space="preserve"> </w:t>
                          </w:r>
                        </w:p>
                        <w:p w14:paraId="2B7CB0A5" w14:textId="77777777" w:rsidR="001A48C7" w:rsidRDefault="001A48C7"/>
                      </w:txbxContent>
                    </v:textbox>
                    <w10:wrap anchorx="page" anchory="margin"/>
                  </v:shape>
                </w:pict>
              </mc:Fallback>
            </mc:AlternateContent>
          </w:r>
        </w:p>
        <w:p w14:paraId="1F34C4C6" w14:textId="02A664C5" w:rsidR="001A48C7" w:rsidRDefault="001A48C7">
          <w:r>
            <w:rPr>
              <w:noProof/>
              <w:color w:val="4472C4" w:themeColor="accent1"/>
              <w:sz w:val="36"/>
              <w:szCs w:val="36"/>
            </w:rPr>
            <mc:AlternateContent>
              <mc:Choice Requires="wpg">
                <w:drawing>
                  <wp:anchor distT="0" distB="0" distL="114300" distR="114300" simplePos="0" relativeHeight="251660288" behindDoc="1" locked="0" layoutInCell="1" allowOverlap="1" wp14:anchorId="60668A7A" wp14:editId="58DB564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BF119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18A4B44" wp14:editId="61766F9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F5D552" w14:textId="49E5D56F" w:rsidR="001A48C7" w:rsidRDefault="008D0EE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33527">
                                      <w:rPr>
                                        <w:color w:val="4472C4" w:themeColor="accent1"/>
                                        <w:sz w:val="36"/>
                                        <w:szCs w:val="36"/>
                                      </w:rPr>
                                      <w:t>JACK ROBERTS</w:t>
                                    </w:r>
                                  </w:sdtContent>
                                </w:sdt>
                              </w:p>
                              <w:sdt>
                                <w:sdtPr>
                                  <w:rPr>
                                    <w:b/>
                                    <w:bCs/>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564DC" w14:textId="4B820C3A" w:rsidR="001A48C7" w:rsidRDefault="00F33527">
                                    <w:pPr>
                                      <w:pStyle w:val="NoSpacing"/>
                                      <w:jc w:val="right"/>
                                      <w:rPr>
                                        <w:color w:val="4472C4" w:themeColor="accent1"/>
                                        <w:sz w:val="36"/>
                                        <w:szCs w:val="36"/>
                                      </w:rPr>
                                    </w:pPr>
                                    <w:r w:rsidRPr="006A4C92">
                                      <w:rPr>
                                        <w:b/>
                                        <w:bCs/>
                                        <w:color w:val="4472C4" w:themeColor="accent1"/>
                                        <w:sz w:val="36"/>
                                        <w:szCs w:val="36"/>
                                      </w:rPr>
                                      <w:t>2003821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18A4B4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9F5D552" w14:textId="49E5D56F" w:rsidR="001A48C7" w:rsidRDefault="008D0EE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33527">
                                <w:rPr>
                                  <w:color w:val="4472C4" w:themeColor="accent1"/>
                                  <w:sz w:val="36"/>
                                  <w:szCs w:val="36"/>
                                </w:rPr>
                                <w:t>JACK ROBERTS</w:t>
                              </w:r>
                            </w:sdtContent>
                          </w:sdt>
                        </w:p>
                        <w:sdt>
                          <w:sdtPr>
                            <w:rPr>
                              <w:b/>
                              <w:bCs/>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564DC" w14:textId="4B820C3A" w:rsidR="001A48C7" w:rsidRDefault="00F33527">
                              <w:pPr>
                                <w:pStyle w:val="NoSpacing"/>
                                <w:jc w:val="right"/>
                                <w:rPr>
                                  <w:color w:val="4472C4" w:themeColor="accent1"/>
                                  <w:sz w:val="36"/>
                                  <w:szCs w:val="36"/>
                                </w:rPr>
                              </w:pPr>
                              <w:r w:rsidRPr="006A4C92">
                                <w:rPr>
                                  <w:b/>
                                  <w:bCs/>
                                  <w:color w:val="4472C4" w:themeColor="accent1"/>
                                  <w:sz w:val="36"/>
                                  <w:szCs w:val="36"/>
                                </w:rPr>
                                <w:t>2003821</w:t>
                              </w:r>
                            </w:p>
                          </w:sdtContent>
                        </w:sdt>
                      </w:txbxContent>
                    </v:textbox>
                    <w10:wrap anchorx="page" anchory="margin"/>
                  </v:shape>
                </w:pict>
              </mc:Fallback>
            </mc:AlternateContent>
          </w:r>
        </w:p>
        <w:p w14:paraId="78F5F6D0" w14:textId="1AE29E8B" w:rsidR="00145A94" w:rsidRPr="00961BB0" w:rsidRDefault="001A48C7">
          <w:pPr>
            <w:rPr>
              <w:rFonts w:ascii="Arial" w:hAnsi="Arial" w:cs="Arial"/>
              <w:sz w:val="22"/>
              <w:szCs w:val="22"/>
            </w:rPr>
          </w:pPr>
          <w:r>
            <w:rPr>
              <w:rFonts w:ascii="Arial" w:hAnsi="Arial" w:cs="Arial"/>
              <w:sz w:val="22"/>
              <w:szCs w:val="22"/>
            </w:rPr>
            <w:br w:type="page"/>
          </w:r>
        </w:p>
      </w:sdtContent>
    </w:sdt>
    <w:p w14:paraId="757B501B" w14:textId="1CECF517" w:rsidR="00145A94" w:rsidRPr="00961BB0" w:rsidRDefault="009056DF" w:rsidP="008F4624">
      <w:pPr>
        <w:spacing w:line="480" w:lineRule="auto"/>
        <w:rPr>
          <w:rFonts w:ascii="Arial" w:hAnsi="Arial" w:cs="Arial"/>
          <w:sz w:val="22"/>
          <w:szCs w:val="22"/>
        </w:rPr>
      </w:pPr>
      <w:r w:rsidRPr="00961BB0">
        <w:rPr>
          <w:rFonts w:ascii="Arial" w:hAnsi="Arial" w:cs="Arial"/>
          <w:sz w:val="22"/>
          <w:szCs w:val="22"/>
        </w:rPr>
        <w:lastRenderedPageBreak/>
        <w:t xml:space="preserve">        </w:t>
      </w:r>
      <w:r w:rsidR="00145A94" w:rsidRPr="00961BB0">
        <w:rPr>
          <w:rFonts w:ascii="Arial" w:hAnsi="Arial" w:cs="Arial"/>
          <w:sz w:val="22"/>
          <w:szCs w:val="22"/>
        </w:rPr>
        <w:t xml:space="preserve">The College of </w:t>
      </w:r>
      <w:r w:rsidR="00AD6B20">
        <w:rPr>
          <w:rFonts w:ascii="Arial" w:hAnsi="Arial" w:cs="Arial"/>
          <w:sz w:val="22"/>
          <w:szCs w:val="22"/>
        </w:rPr>
        <w:t>P</w:t>
      </w:r>
      <w:r w:rsidR="00145A94" w:rsidRPr="00961BB0">
        <w:rPr>
          <w:rFonts w:ascii="Arial" w:hAnsi="Arial" w:cs="Arial"/>
          <w:sz w:val="22"/>
          <w:szCs w:val="22"/>
        </w:rPr>
        <w:t xml:space="preserve">olicing (2022), defines a vulnerable person as ‘a person who is vulnerable if, as a result of their situation or circumstances, they are unable to take care of or protect themselves or others from harm or exploitation.’ The ‘THRIVE’ (Threat, Harm, Risk, Investigation, Vulnerability and Exploitation) model </w:t>
      </w:r>
      <w:r w:rsidRPr="00961BB0">
        <w:rPr>
          <w:rFonts w:ascii="Arial" w:hAnsi="Arial" w:cs="Arial"/>
          <w:sz w:val="22"/>
          <w:szCs w:val="22"/>
        </w:rPr>
        <w:t>is used and applied to identify the needs of those who may be labelled as a vulnerable person</w:t>
      </w:r>
      <w:r w:rsidR="00FA170F">
        <w:rPr>
          <w:rFonts w:ascii="Arial" w:hAnsi="Arial" w:cs="Arial"/>
          <w:sz w:val="22"/>
          <w:szCs w:val="22"/>
        </w:rPr>
        <w:t>. With this model, a vulnerable person can be successfully identified and be given the necessary support</w:t>
      </w:r>
      <w:r w:rsidRPr="00961BB0">
        <w:rPr>
          <w:rFonts w:ascii="Arial" w:hAnsi="Arial" w:cs="Arial"/>
          <w:sz w:val="22"/>
          <w:szCs w:val="22"/>
        </w:rPr>
        <w:t xml:space="preserve"> (College of Policing, 2022). This paper will apply the concept of a vulnerable person and investigate its relation to criminal exploitation</w:t>
      </w:r>
      <w:r w:rsidR="00430091">
        <w:rPr>
          <w:rFonts w:ascii="Arial" w:hAnsi="Arial" w:cs="Arial"/>
          <w:sz w:val="22"/>
          <w:szCs w:val="22"/>
        </w:rPr>
        <w:t xml:space="preserve"> and determine whether it is increasing. A largely discussed topic in this paper will be surrounding the term known as ‘County Lines’ and how it is a major contributor in the exploitation of vulnerable people. COVID-19 will also be addressed and whether it had any impact on the </w:t>
      </w:r>
      <w:r w:rsidR="00DC2B54">
        <w:rPr>
          <w:rFonts w:ascii="Arial" w:hAnsi="Arial" w:cs="Arial"/>
          <w:sz w:val="22"/>
          <w:szCs w:val="22"/>
        </w:rPr>
        <w:t>current situation surrounding criminal exploitation.</w:t>
      </w:r>
    </w:p>
    <w:p w14:paraId="1A08993D" w14:textId="56EB7C4C" w:rsidR="009056DF" w:rsidRPr="00961BB0" w:rsidRDefault="009056DF" w:rsidP="008F4624">
      <w:pPr>
        <w:spacing w:line="480" w:lineRule="auto"/>
        <w:rPr>
          <w:rFonts w:ascii="Arial" w:hAnsi="Arial" w:cs="Arial"/>
          <w:sz w:val="22"/>
          <w:szCs w:val="22"/>
        </w:rPr>
      </w:pPr>
    </w:p>
    <w:p w14:paraId="56BA63BA" w14:textId="1D9DE001" w:rsidR="00F02907" w:rsidRDefault="00341F90" w:rsidP="008F4624">
      <w:pPr>
        <w:spacing w:line="480" w:lineRule="auto"/>
        <w:rPr>
          <w:rFonts w:ascii="Arial" w:hAnsi="Arial" w:cs="Arial"/>
          <w:sz w:val="22"/>
          <w:szCs w:val="22"/>
        </w:rPr>
      </w:pPr>
      <w:r w:rsidRPr="00961BB0">
        <w:rPr>
          <w:rFonts w:ascii="Arial" w:hAnsi="Arial" w:cs="Arial"/>
          <w:sz w:val="22"/>
          <w:szCs w:val="22"/>
        </w:rPr>
        <w:t xml:space="preserve">        </w:t>
      </w:r>
      <w:r w:rsidR="009056DF" w:rsidRPr="00961BB0">
        <w:rPr>
          <w:rFonts w:ascii="Arial" w:hAnsi="Arial" w:cs="Arial"/>
          <w:sz w:val="22"/>
          <w:szCs w:val="22"/>
        </w:rPr>
        <w:t xml:space="preserve">Young children </w:t>
      </w:r>
      <w:r w:rsidR="008711E2" w:rsidRPr="00961BB0">
        <w:rPr>
          <w:rFonts w:ascii="Arial" w:hAnsi="Arial" w:cs="Arial"/>
          <w:sz w:val="22"/>
          <w:szCs w:val="22"/>
        </w:rPr>
        <w:t xml:space="preserve">are defined as vulnerable and when exposed to the internet, the risk is greatly increased. According to </w:t>
      </w:r>
      <w:proofErr w:type="spellStart"/>
      <w:r w:rsidR="008711E2" w:rsidRPr="00961BB0">
        <w:rPr>
          <w:rFonts w:ascii="Arial" w:hAnsi="Arial" w:cs="Arial"/>
          <w:sz w:val="22"/>
          <w:szCs w:val="22"/>
        </w:rPr>
        <w:t>Asam</w:t>
      </w:r>
      <w:proofErr w:type="spellEnd"/>
      <w:r w:rsidR="008711E2" w:rsidRPr="00961BB0">
        <w:rPr>
          <w:rFonts w:ascii="Arial" w:hAnsi="Arial" w:cs="Arial"/>
          <w:sz w:val="22"/>
          <w:szCs w:val="22"/>
        </w:rPr>
        <w:t xml:space="preserve"> and Katz (2018), children who have lives that increase their vulnerability face greater risk online when </w:t>
      </w:r>
      <w:r w:rsidRPr="00961BB0">
        <w:rPr>
          <w:rFonts w:ascii="Arial" w:hAnsi="Arial" w:cs="Arial"/>
          <w:sz w:val="22"/>
          <w:szCs w:val="22"/>
        </w:rPr>
        <w:t>faced with cyber-criminals</w:t>
      </w:r>
      <w:r w:rsidR="007C11D7">
        <w:rPr>
          <w:rFonts w:ascii="Arial" w:hAnsi="Arial" w:cs="Arial"/>
          <w:sz w:val="22"/>
          <w:szCs w:val="22"/>
        </w:rPr>
        <w:t xml:space="preserve"> with intentions to only harm individuals either psychically or mentally</w:t>
      </w:r>
      <w:r w:rsidRPr="00961BB0">
        <w:rPr>
          <w:rFonts w:ascii="Arial" w:hAnsi="Arial" w:cs="Arial"/>
          <w:sz w:val="22"/>
          <w:szCs w:val="22"/>
        </w:rPr>
        <w:t xml:space="preserve">. Choo and Smith (2007), </w:t>
      </w:r>
      <w:r w:rsidR="009C5573" w:rsidRPr="00961BB0">
        <w:rPr>
          <w:rFonts w:ascii="Arial" w:hAnsi="Arial" w:cs="Arial"/>
          <w:sz w:val="22"/>
          <w:szCs w:val="22"/>
        </w:rPr>
        <w:t>states</w:t>
      </w:r>
      <w:r w:rsidRPr="00961BB0">
        <w:rPr>
          <w:rFonts w:ascii="Arial" w:hAnsi="Arial" w:cs="Arial"/>
          <w:sz w:val="22"/>
          <w:szCs w:val="22"/>
        </w:rPr>
        <w:t xml:space="preserve"> that Organised Cybercriminal Groups are aware of the presence of young children online and often </w:t>
      </w:r>
      <w:r w:rsidR="009C5573" w:rsidRPr="00961BB0">
        <w:rPr>
          <w:rFonts w:ascii="Arial" w:hAnsi="Arial" w:cs="Arial"/>
          <w:sz w:val="22"/>
          <w:szCs w:val="22"/>
        </w:rPr>
        <w:t xml:space="preserve">pursue these targets with the aim of (most commonly) financial gain but can also have other criminal intentions such as releasing sensitive materials for paedophile rings, for example. Also, these criminals use the internet to manipulate and groom vulnerable children in order to meet them face-to-face, often </w:t>
      </w:r>
      <w:r w:rsidR="000213F1" w:rsidRPr="00961BB0">
        <w:rPr>
          <w:rFonts w:ascii="Arial" w:hAnsi="Arial" w:cs="Arial"/>
          <w:sz w:val="22"/>
          <w:szCs w:val="22"/>
        </w:rPr>
        <w:t>to commit further offences such as rape (</w:t>
      </w:r>
      <w:proofErr w:type="spellStart"/>
      <w:r w:rsidR="000213F1" w:rsidRPr="00961BB0">
        <w:rPr>
          <w:rFonts w:ascii="Arial" w:hAnsi="Arial" w:cs="Arial"/>
          <w:sz w:val="22"/>
          <w:szCs w:val="22"/>
        </w:rPr>
        <w:t>Asam</w:t>
      </w:r>
      <w:proofErr w:type="spellEnd"/>
      <w:r w:rsidR="000213F1" w:rsidRPr="00961BB0">
        <w:rPr>
          <w:rFonts w:ascii="Arial" w:hAnsi="Arial" w:cs="Arial"/>
          <w:sz w:val="22"/>
          <w:szCs w:val="22"/>
        </w:rPr>
        <w:t xml:space="preserve"> and Katz, 2018).</w:t>
      </w:r>
      <w:r w:rsidR="00AF5E19" w:rsidRPr="00961BB0">
        <w:rPr>
          <w:rFonts w:ascii="Arial" w:hAnsi="Arial" w:cs="Arial"/>
          <w:sz w:val="22"/>
          <w:szCs w:val="22"/>
        </w:rPr>
        <w:t xml:space="preserve"> </w:t>
      </w:r>
      <w:r w:rsidR="00447DD3">
        <w:rPr>
          <w:rFonts w:ascii="Arial" w:hAnsi="Arial" w:cs="Arial"/>
          <w:sz w:val="22"/>
          <w:szCs w:val="22"/>
        </w:rPr>
        <w:t xml:space="preserve">According to a report by Kelly and </w:t>
      </w:r>
      <w:proofErr w:type="spellStart"/>
      <w:r w:rsidR="00447DD3">
        <w:rPr>
          <w:rFonts w:ascii="Arial" w:hAnsi="Arial" w:cs="Arial"/>
          <w:sz w:val="22"/>
          <w:szCs w:val="22"/>
        </w:rPr>
        <w:t>Carsna</w:t>
      </w:r>
      <w:proofErr w:type="spellEnd"/>
      <w:r w:rsidR="00447DD3">
        <w:rPr>
          <w:rFonts w:ascii="Arial" w:hAnsi="Arial" w:cs="Arial"/>
          <w:sz w:val="22"/>
          <w:szCs w:val="22"/>
        </w:rPr>
        <w:t xml:space="preserve"> (2017), it is recorded that from 2006 to 2016, all forms of sexual exploitation of vulnerable people have increased</w:t>
      </w:r>
      <w:r w:rsidR="00DC2B54">
        <w:rPr>
          <w:rFonts w:ascii="Arial" w:hAnsi="Arial" w:cs="Arial"/>
          <w:sz w:val="22"/>
          <w:szCs w:val="22"/>
        </w:rPr>
        <w:t xml:space="preserve"> (this includes cyber-crime)</w:t>
      </w:r>
      <w:r w:rsidR="00447DD3">
        <w:rPr>
          <w:rFonts w:ascii="Arial" w:hAnsi="Arial" w:cs="Arial"/>
          <w:sz w:val="22"/>
          <w:szCs w:val="22"/>
        </w:rPr>
        <w:t xml:space="preserve">. For example, all sexual assault offences in England and Wales have risen from approximately 600 in 2006 to just over 1,500 in 2016. The report also highlights the pattern of defendants proceeded against with 3,616 adults in </w:t>
      </w:r>
      <w:r w:rsidR="00287531">
        <w:rPr>
          <w:rFonts w:ascii="Arial" w:hAnsi="Arial" w:cs="Arial"/>
          <w:sz w:val="22"/>
          <w:szCs w:val="22"/>
        </w:rPr>
        <w:t>2006 compared to 8,687 in 2016. As for juveniles, the increase is still present (526 in 2006 to 583 in 2016) but is not as steep as adult defendants proceeded against.</w:t>
      </w:r>
      <w:r w:rsidR="009D6D7F">
        <w:rPr>
          <w:rFonts w:ascii="Arial" w:hAnsi="Arial" w:cs="Arial"/>
          <w:sz w:val="22"/>
          <w:szCs w:val="22"/>
        </w:rPr>
        <w:t xml:space="preserve"> This is supported by Colley (2019) stating that </w:t>
      </w:r>
      <w:r w:rsidR="009D6D7F">
        <w:rPr>
          <w:rFonts w:ascii="Arial" w:hAnsi="Arial" w:cs="Arial"/>
          <w:sz w:val="22"/>
          <w:szCs w:val="22"/>
        </w:rPr>
        <w:lastRenderedPageBreak/>
        <w:t>from an online perspective, accessibility and capability have reached an unprecedented level. This has resulted in a sense of confidence among perpetrators to be able to abuse children online at a scale never seen before.</w:t>
      </w:r>
      <w:r w:rsidR="00F02907">
        <w:rPr>
          <w:rFonts w:ascii="Arial" w:hAnsi="Arial" w:cs="Arial"/>
          <w:sz w:val="22"/>
          <w:szCs w:val="22"/>
        </w:rPr>
        <w:t xml:space="preserve"> Colley also notes that sexual grooming crimes have increased from 969 to 1132 from 2016 to 2017. Furthermore, crimes involving sexual exploitation have also increased from 541 to 593 in the same year, adding to the previous statistics provided by Kelly and </w:t>
      </w:r>
      <w:proofErr w:type="spellStart"/>
      <w:r w:rsidR="00F02907">
        <w:rPr>
          <w:rFonts w:ascii="Arial" w:hAnsi="Arial" w:cs="Arial"/>
          <w:sz w:val="22"/>
          <w:szCs w:val="22"/>
        </w:rPr>
        <w:t>Carsna</w:t>
      </w:r>
      <w:proofErr w:type="spellEnd"/>
      <w:r w:rsidR="00F02907">
        <w:rPr>
          <w:rFonts w:ascii="Arial" w:hAnsi="Arial" w:cs="Arial"/>
          <w:sz w:val="22"/>
          <w:szCs w:val="22"/>
        </w:rPr>
        <w:t xml:space="preserve"> (2017). These statistics indicate the growing problem of sexual exploitation of vulnerable people and how it is increasing at an alarming rate.</w:t>
      </w:r>
      <w:r w:rsidR="00222175">
        <w:rPr>
          <w:rFonts w:ascii="Arial" w:hAnsi="Arial" w:cs="Arial"/>
          <w:sz w:val="22"/>
          <w:szCs w:val="22"/>
        </w:rPr>
        <w:t xml:space="preserve"> Clearly, these figures are going in the wrong direction and need the attention of various organisations that can work to change the growth.</w:t>
      </w:r>
    </w:p>
    <w:p w14:paraId="304CED29" w14:textId="12330887" w:rsidR="00B344F1" w:rsidRDefault="00B344F1" w:rsidP="008F4624">
      <w:pPr>
        <w:spacing w:line="480" w:lineRule="auto"/>
        <w:rPr>
          <w:rFonts w:ascii="Arial" w:hAnsi="Arial" w:cs="Arial"/>
          <w:sz w:val="22"/>
          <w:szCs w:val="22"/>
        </w:rPr>
      </w:pPr>
    </w:p>
    <w:p w14:paraId="4ADAD339" w14:textId="75CC5375" w:rsidR="00B344F1" w:rsidRDefault="00B344F1" w:rsidP="008F4624">
      <w:pPr>
        <w:spacing w:line="480" w:lineRule="auto"/>
        <w:rPr>
          <w:rFonts w:ascii="Arial" w:hAnsi="Arial" w:cs="Arial"/>
          <w:sz w:val="22"/>
          <w:szCs w:val="22"/>
        </w:rPr>
      </w:pPr>
      <w:r>
        <w:rPr>
          <w:rFonts w:ascii="Arial" w:hAnsi="Arial" w:cs="Arial"/>
          <w:sz w:val="22"/>
          <w:szCs w:val="22"/>
        </w:rPr>
        <w:t xml:space="preserve">        Jay (2014)</w:t>
      </w:r>
      <w:r w:rsidR="00AD6B20">
        <w:rPr>
          <w:rFonts w:ascii="Arial" w:hAnsi="Arial" w:cs="Arial"/>
          <w:sz w:val="22"/>
          <w:szCs w:val="22"/>
        </w:rPr>
        <w:t>,</w:t>
      </w:r>
      <w:r>
        <w:rPr>
          <w:rFonts w:ascii="Arial" w:hAnsi="Arial" w:cs="Arial"/>
          <w:sz w:val="22"/>
          <w:szCs w:val="22"/>
        </w:rPr>
        <w:t xml:space="preserve"> conducted an independent Inquiry that revealed the level of sexual exploitation of children in Rotherham from 1997 to 2013. The report revealed a </w:t>
      </w:r>
      <w:r w:rsidR="00892D23">
        <w:rPr>
          <w:rFonts w:ascii="Arial" w:hAnsi="Arial" w:cs="Arial"/>
          <w:sz w:val="22"/>
          <w:szCs w:val="22"/>
        </w:rPr>
        <w:t xml:space="preserve">significant </w:t>
      </w:r>
      <w:r>
        <w:rPr>
          <w:rFonts w:ascii="Arial" w:hAnsi="Arial" w:cs="Arial"/>
          <w:sz w:val="22"/>
          <w:szCs w:val="22"/>
        </w:rPr>
        <w:t>level of exploitation at an increasing rate through the years. As a result of this, more attention to preventing such crimes has been provided from both a community perspective and a social care perspective. Berry</w:t>
      </w:r>
      <w:r w:rsidR="004D45AF">
        <w:rPr>
          <w:rFonts w:ascii="Arial" w:hAnsi="Arial" w:cs="Arial"/>
          <w:sz w:val="22"/>
          <w:szCs w:val="22"/>
        </w:rPr>
        <w:t>, Tully and Egan</w:t>
      </w:r>
      <w:r w:rsidR="00AD6B20">
        <w:rPr>
          <w:rFonts w:ascii="Arial" w:hAnsi="Arial" w:cs="Arial"/>
          <w:sz w:val="22"/>
          <w:szCs w:val="22"/>
        </w:rPr>
        <w:t xml:space="preserve"> </w:t>
      </w:r>
      <w:r>
        <w:rPr>
          <w:rFonts w:ascii="Arial" w:hAnsi="Arial" w:cs="Arial"/>
          <w:sz w:val="22"/>
          <w:szCs w:val="22"/>
        </w:rPr>
        <w:t>(2017)</w:t>
      </w:r>
      <w:r w:rsidR="00AD6B20">
        <w:rPr>
          <w:rFonts w:ascii="Arial" w:hAnsi="Arial" w:cs="Arial"/>
          <w:sz w:val="22"/>
          <w:szCs w:val="22"/>
        </w:rPr>
        <w:t>,</w:t>
      </w:r>
      <w:r>
        <w:rPr>
          <w:rFonts w:ascii="Arial" w:hAnsi="Arial" w:cs="Arial"/>
          <w:sz w:val="22"/>
          <w:szCs w:val="22"/>
        </w:rPr>
        <w:t xml:space="preserve"> highlights the significance of this report and the effect it has had on the overall aim of preventing sexual exploitation of children. However, it also discusses how it is still a growing problem </w:t>
      </w:r>
      <w:r w:rsidR="00892D23">
        <w:rPr>
          <w:rFonts w:ascii="Arial" w:hAnsi="Arial" w:cs="Arial"/>
          <w:sz w:val="22"/>
          <w:szCs w:val="22"/>
        </w:rPr>
        <w:t>within the UK and more needs to be done in order to stop the increase. After an extensive psychoeducational assessment, Berry</w:t>
      </w:r>
      <w:r w:rsidR="004D45AF">
        <w:rPr>
          <w:rFonts w:ascii="Arial" w:hAnsi="Arial" w:cs="Arial"/>
          <w:sz w:val="22"/>
          <w:szCs w:val="22"/>
        </w:rPr>
        <w:t>, Tully and Egan</w:t>
      </w:r>
      <w:r w:rsidR="00892D23">
        <w:rPr>
          <w:rFonts w:ascii="Arial" w:hAnsi="Arial" w:cs="Arial"/>
          <w:sz w:val="22"/>
          <w:szCs w:val="22"/>
        </w:rPr>
        <w:t xml:space="preserve"> (2017)</w:t>
      </w:r>
      <w:r w:rsidR="00202815">
        <w:rPr>
          <w:rFonts w:ascii="Arial" w:hAnsi="Arial" w:cs="Arial"/>
          <w:sz w:val="22"/>
          <w:szCs w:val="22"/>
        </w:rPr>
        <w:t>,</w:t>
      </w:r>
      <w:r w:rsidR="00892D23">
        <w:rPr>
          <w:rFonts w:ascii="Arial" w:hAnsi="Arial" w:cs="Arial"/>
          <w:sz w:val="22"/>
          <w:szCs w:val="22"/>
        </w:rPr>
        <w:t xml:space="preserve"> reported a number of positive observational improvements such as self-reported self-esteem and positive changes to attitudes among young people. Figures from the National Crime Agency (2012), showed that in 2012, 236 young people were trafficked with intentions of sexual exploitation. Berry</w:t>
      </w:r>
      <w:r w:rsidR="004D45AF">
        <w:rPr>
          <w:rFonts w:ascii="Arial" w:hAnsi="Arial" w:cs="Arial"/>
          <w:sz w:val="22"/>
          <w:szCs w:val="22"/>
        </w:rPr>
        <w:t>, Tully and Egan</w:t>
      </w:r>
      <w:r w:rsidR="00892D23">
        <w:rPr>
          <w:rFonts w:ascii="Arial" w:hAnsi="Arial" w:cs="Arial"/>
          <w:sz w:val="22"/>
          <w:szCs w:val="22"/>
        </w:rPr>
        <w:t xml:space="preserve">, (2017) acknowledges this and notes that these figures can be considered underrepresented, as </w:t>
      </w:r>
      <w:r w:rsidR="009D7583">
        <w:rPr>
          <w:rFonts w:ascii="Arial" w:hAnsi="Arial" w:cs="Arial"/>
          <w:sz w:val="22"/>
          <w:szCs w:val="22"/>
        </w:rPr>
        <w:t>such criminal activity is conducted at a highly undetected level, meaning that the true figure is estimated to be much higher for 2012 alone.</w:t>
      </w:r>
    </w:p>
    <w:p w14:paraId="29AED0AD" w14:textId="70534EB8" w:rsidR="00AF5E19" w:rsidRDefault="00AF5E19" w:rsidP="008F4624">
      <w:pPr>
        <w:spacing w:line="480" w:lineRule="auto"/>
        <w:rPr>
          <w:rFonts w:ascii="Arial" w:hAnsi="Arial" w:cs="Arial"/>
          <w:sz w:val="22"/>
          <w:szCs w:val="22"/>
        </w:rPr>
      </w:pPr>
    </w:p>
    <w:p w14:paraId="1585D67A" w14:textId="2C107E6C" w:rsidR="00975E1E" w:rsidRDefault="007176E2" w:rsidP="008F4624">
      <w:pPr>
        <w:spacing w:line="480" w:lineRule="auto"/>
        <w:rPr>
          <w:rFonts w:ascii="Arial" w:hAnsi="Arial" w:cs="Arial"/>
          <w:sz w:val="22"/>
          <w:szCs w:val="22"/>
        </w:rPr>
      </w:pPr>
      <w:r>
        <w:rPr>
          <w:rFonts w:ascii="Arial" w:hAnsi="Arial" w:cs="Arial"/>
          <w:sz w:val="22"/>
          <w:szCs w:val="22"/>
        </w:rPr>
        <w:t xml:space="preserve">        </w:t>
      </w:r>
      <w:r w:rsidR="00287531">
        <w:rPr>
          <w:rFonts w:ascii="Arial" w:hAnsi="Arial" w:cs="Arial"/>
          <w:sz w:val="22"/>
          <w:szCs w:val="22"/>
        </w:rPr>
        <w:t xml:space="preserve">The next concept that will be explored is ‘County Lines’. As described by the Home Office (2018), County Lines is an issue affecting England and Wales, involving various </w:t>
      </w:r>
      <w:r w:rsidR="00287531">
        <w:rPr>
          <w:rFonts w:ascii="Arial" w:hAnsi="Arial" w:cs="Arial"/>
          <w:sz w:val="22"/>
          <w:szCs w:val="22"/>
        </w:rPr>
        <w:lastRenderedPageBreak/>
        <w:t xml:space="preserve">criminal activity from drug trafficking, gang warfare and exploitation of vulnerable people to work in these trafficking operations (often with sexual offending </w:t>
      </w:r>
      <w:r>
        <w:rPr>
          <w:rFonts w:ascii="Arial" w:hAnsi="Arial" w:cs="Arial"/>
          <w:sz w:val="22"/>
          <w:szCs w:val="22"/>
        </w:rPr>
        <w:t>involved</w:t>
      </w:r>
      <w:r w:rsidR="00287531">
        <w:rPr>
          <w:rFonts w:ascii="Arial" w:hAnsi="Arial" w:cs="Arial"/>
          <w:sz w:val="22"/>
          <w:szCs w:val="22"/>
        </w:rPr>
        <w:t>).</w:t>
      </w:r>
      <w:r>
        <w:rPr>
          <w:rFonts w:ascii="Arial" w:hAnsi="Arial" w:cs="Arial"/>
          <w:sz w:val="22"/>
          <w:szCs w:val="22"/>
        </w:rPr>
        <w:t xml:space="preserve"> The National Crime Agency (2023)</w:t>
      </w:r>
      <w:r w:rsidR="004F2E77">
        <w:rPr>
          <w:rFonts w:ascii="Arial" w:hAnsi="Arial" w:cs="Arial"/>
          <w:sz w:val="22"/>
          <w:szCs w:val="22"/>
        </w:rPr>
        <w:t>,</w:t>
      </w:r>
      <w:r>
        <w:rPr>
          <w:rFonts w:ascii="Arial" w:hAnsi="Arial" w:cs="Arial"/>
          <w:sz w:val="22"/>
          <w:szCs w:val="22"/>
        </w:rPr>
        <w:t xml:space="preserve"> or NCA reinforce this, stating that</w:t>
      </w:r>
      <w:r w:rsidR="00287531">
        <w:rPr>
          <w:rFonts w:ascii="Arial" w:hAnsi="Arial" w:cs="Arial"/>
          <w:sz w:val="22"/>
          <w:szCs w:val="22"/>
        </w:rPr>
        <w:t xml:space="preserve"> </w:t>
      </w:r>
      <w:r>
        <w:rPr>
          <w:rFonts w:ascii="Arial" w:hAnsi="Arial" w:cs="Arial"/>
          <w:sz w:val="22"/>
          <w:szCs w:val="22"/>
        </w:rPr>
        <w:t xml:space="preserve">a common aspect of county lines is the involvement of vulnerable people, often those with mental health and/or addiction issues being exploited by drug gangs to move drugs or cash on </w:t>
      </w:r>
      <w:r w:rsidR="00B710D8">
        <w:rPr>
          <w:rFonts w:ascii="Arial" w:hAnsi="Arial" w:cs="Arial"/>
          <w:sz w:val="22"/>
          <w:szCs w:val="22"/>
        </w:rPr>
        <w:t>behalf</w:t>
      </w:r>
      <w:r>
        <w:rPr>
          <w:rFonts w:ascii="Arial" w:hAnsi="Arial" w:cs="Arial"/>
          <w:sz w:val="22"/>
          <w:szCs w:val="22"/>
        </w:rPr>
        <w:t xml:space="preserve"> of the gangs to avoid attention from police.</w:t>
      </w:r>
      <w:r w:rsidR="009B0418">
        <w:rPr>
          <w:rFonts w:ascii="Arial" w:hAnsi="Arial" w:cs="Arial"/>
          <w:sz w:val="22"/>
          <w:szCs w:val="22"/>
        </w:rPr>
        <w:t xml:space="preserve"> </w:t>
      </w:r>
      <w:r w:rsidR="0013604B">
        <w:rPr>
          <w:rFonts w:ascii="Arial" w:hAnsi="Arial" w:cs="Arial"/>
          <w:sz w:val="22"/>
          <w:szCs w:val="22"/>
        </w:rPr>
        <w:t xml:space="preserve">Glover </w:t>
      </w:r>
      <w:r w:rsidR="009B0418">
        <w:rPr>
          <w:rFonts w:ascii="Arial" w:hAnsi="Arial" w:cs="Arial"/>
          <w:sz w:val="22"/>
          <w:szCs w:val="22"/>
        </w:rPr>
        <w:t>Williams and Finlay (2018)</w:t>
      </w:r>
      <w:r w:rsidR="00202815">
        <w:rPr>
          <w:rFonts w:ascii="Arial" w:hAnsi="Arial" w:cs="Arial"/>
          <w:sz w:val="22"/>
          <w:szCs w:val="22"/>
        </w:rPr>
        <w:t>,</w:t>
      </w:r>
      <w:r w:rsidR="009B0418">
        <w:rPr>
          <w:rFonts w:ascii="Arial" w:hAnsi="Arial" w:cs="Arial"/>
          <w:sz w:val="22"/>
          <w:szCs w:val="22"/>
        </w:rPr>
        <w:t xml:space="preserve"> state that a multi-agency approach involving bodies such as the police, NCA, social services and border force is required to tackle the growing problem of county lines. Furthermore, county lines </w:t>
      </w:r>
      <w:r w:rsidR="0013604B">
        <w:rPr>
          <w:rFonts w:ascii="Arial" w:hAnsi="Arial" w:cs="Arial"/>
          <w:sz w:val="22"/>
          <w:szCs w:val="22"/>
        </w:rPr>
        <w:t>have</w:t>
      </w:r>
      <w:r w:rsidR="009B0418">
        <w:rPr>
          <w:rFonts w:ascii="Arial" w:hAnsi="Arial" w:cs="Arial"/>
          <w:sz w:val="22"/>
          <w:szCs w:val="22"/>
        </w:rPr>
        <w:t xml:space="preserve"> a severely negative impact on those who are recruited into it with long lasting effects</w:t>
      </w:r>
      <w:r w:rsidR="0013604B">
        <w:rPr>
          <w:rFonts w:ascii="Arial" w:hAnsi="Arial" w:cs="Arial"/>
          <w:sz w:val="22"/>
          <w:szCs w:val="22"/>
        </w:rPr>
        <w:t xml:space="preserve"> that can affect future aspects of life such as employment etc</w:t>
      </w:r>
      <w:r w:rsidR="009B0418">
        <w:rPr>
          <w:rFonts w:ascii="Arial" w:hAnsi="Arial" w:cs="Arial"/>
          <w:sz w:val="22"/>
          <w:szCs w:val="22"/>
        </w:rPr>
        <w:t xml:space="preserve">. Finally, </w:t>
      </w:r>
      <w:r w:rsidR="0013604B">
        <w:rPr>
          <w:rFonts w:ascii="Arial" w:hAnsi="Arial" w:cs="Arial"/>
          <w:sz w:val="22"/>
          <w:szCs w:val="22"/>
        </w:rPr>
        <w:t xml:space="preserve">Glover </w:t>
      </w:r>
      <w:r w:rsidR="009B0418">
        <w:rPr>
          <w:rFonts w:ascii="Arial" w:hAnsi="Arial" w:cs="Arial"/>
          <w:sz w:val="22"/>
          <w:szCs w:val="22"/>
        </w:rPr>
        <w:t>Williams and Finlay note that those involved with</w:t>
      </w:r>
      <w:r w:rsidR="0013604B">
        <w:rPr>
          <w:rFonts w:ascii="Arial" w:hAnsi="Arial" w:cs="Arial"/>
          <w:sz w:val="22"/>
          <w:szCs w:val="22"/>
        </w:rPr>
        <w:t>in the</w:t>
      </w:r>
      <w:r w:rsidR="009B0418">
        <w:rPr>
          <w:rFonts w:ascii="Arial" w:hAnsi="Arial" w:cs="Arial"/>
          <w:sz w:val="22"/>
          <w:szCs w:val="22"/>
        </w:rPr>
        <w:t xml:space="preserve"> healthcare </w:t>
      </w:r>
      <w:r w:rsidR="0013604B">
        <w:rPr>
          <w:rFonts w:ascii="Arial" w:hAnsi="Arial" w:cs="Arial"/>
          <w:sz w:val="22"/>
          <w:szCs w:val="22"/>
        </w:rPr>
        <w:t>industry in</w:t>
      </w:r>
      <w:r w:rsidR="009B0418">
        <w:rPr>
          <w:rFonts w:ascii="Arial" w:hAnsi="Arial" w:cs="Arial"/>
          <w:sz w:val="22"/>
          <w:szCs w:val="22"/>
        </w:rPr>
        <w:t xml:space="preserve"> the UK should be given a high-level of training surrounding the matter, as this can help spot and deal with potential victims of County Lines to ensure early interventions are in place to give them the support needed to avoid the deceptive recruitment tactics.</w:t>
      </w:r>
      <w:r w:rsidR="00B518A4">
        <w:rPr>
          <w:rFonts w:ascii="Arial" w:hAnsi="Arial" w:cs="Arial"/>
          <w:sz w:val="22"/>
          <w:szCs w:val="22"/>
        </w:rPr>
        <w:t xml:space="preserve"> O’Hagan and Edmundson (2021) also agree that exploitation of vulnerable people through County Lines is increasing. They note that in general, all offences relating to County Lines have increased, with more organised crime groups moving to more severe forms of criminal activity on a nationwide level. O’Hagan and Edmundson suggest that only a nationwide effort from police will create the preventative measures necessary to deal with the increasing exploitation of both vulnerable adults and children. Furthermore, they support Glover Williams and Finlay (2018) in regards to a multi-agency approach being a key part of this effort as collaboration must be exercised to reduce the growing threat.</w:t>
      </w:r>
      <w:r w:rsidR="009B0418">
        <w:rPr>
          <w:rFonts w:ascii="Arial" w:hAnsi="Arial" w:cs="Arial"/>
          <w:sz w:val="22"/>
          <w:szCs w:val="22"/>
        </w:rPr>
        <w:t xml:space="preserve"> </w:t>
      </w:r>
      <w:r w:rsidR="00B518A4">
        <w:rPr>
          <w:rFonts w:ascii="Arial" w:hAnsi="Arial" w:cs="Arial"/>
          <w:sz w:val="22"/>
          <w:szCs w:val="22"/>
        </w:rPr>
        <w:t>In addition to this, a</w:t>
      </w:r>
      <w:r>
        <w:rPr>
          <w:rFonts w:ascii="Arial" w:hAnsi="Arial" w:cs="Arial"/>
          <w:sz w:val="22"/>
          <w:szCs w:val="22"/>
        </w:rPr>
        <w:t xml:space="preserve"> report from the NCA (2019), indicated that a continued risk of loss of life to these vulnerable people when involved in county lines offending</w:t>
      </w:r>
      <w:r w:rsidR="001426F2">
        <w:rPr>
          <w:rFonts w:ascii="Arial" w:hAnsi="Arial" w:cs="Arial"/>
          <w:sz w:val="22"/>
          <w:szCs w:val="22"/>
        </w:rPr>
        <w:t xml:space="preserve"> remains present and does not appear to be slowing down. However, since a similar report in 2017 there has been an increased awareness surrounding</w:t>
      </w:r>
      <w:r w:rsidR="009B0418">
        <w:rPr>
          <w:rFonts w:ascii="Arial" w:hAnsi="Arial" w:cs="Arial"/>
          <w:sz w:val="22"/>
          <w:szCs w:val="22"/>
        </w:rPr>
        <w:t xml:space="preserve"> county lines related crimes such as</w:t>
      </w:r>
      <w:r w:rsidR="001426F2">
        <w:rPr>
          <w:rFonts w:ascii="Arial" w:hAnsi="Arial" w:cs="Arial"/>
          <w:sz w:val="22"/>
          <w:szCs w:val="22"/>
        </w:rPr>
        <w:t xml:space="preserve"> human trafficking and modern slavery as a result of </w:t>
      </w:r>
      <w:r w:rsidR="00BF7093">
        <w:rPr>
          <w:rFonts w:ascii="Arial" w:hAnsi="Arial" w:cs="Arial"/>
          <w:sz w:val="22"/>
          <w:szCs w:val="22"/>
        </w:rPr>
        <w:t>enhanced</w:t>
      </w:r>
      <w:r w:rsidR="001426F2">
        <w:rPr>
          <w:rFonts w:ascii="Arial" w:hAnsi="Arial" w:cs="Arial"/>
          <w:sz w:val="22"/>
          <w:szCs w:val="22"/>
        </w:rPr>
        <w:t xml:space="preserve"> data collection methods. This means that the process of identifying and reporting this activity has greatly improved as a result (National Crime Agency, 2019).</w:t>
      </w:r>
    </w:p>
    <w:p w14:paraId="4B40D427" w14:textId="1117C48C" w:rsidR="00975E1E" w:rsidRDefault="00975E1E" w:rsidP="008F4624">
      <w:pPr>
        <w:spacing w:line="480" w:lineRule="auto"/>
        <w:rPr>
          <w:rFonts w:ascii="Arial" w:hAnsi="Arial" w:cs="Arial"/>
          <w:sz w:val="22"/>
          <w:szCs w:val="22"/>
        </w:rPr>
      </w:pPr>
    </w:p>
    <w:p w14:paraId="19844F8A" w14:textId="6E762F02" w:rsidR="00E80B95" w:rsidRDefault="0050289B" w:rsidP="008F4624">
      <w:pPr>
        <w:spacing w:line="480" w:lineRule="auto"/>
        <w:rPr>
          <w:rFonts w:ascii="Arial" w:hAnsi="Arial" w:cs="Arial"/>
          <w:sz w:val="22"/>
          <w:szCs w:val="22"/>
        </w:rPr>
      </w:pPr>
      <w:r>
        <w:rPr>
          <w:rFonts w:ascii="Arial" w:hAnsi="Arial" w:cs="Arial"/>
          <w:sz w:val="22"/>
          <w:szCs w:val="22"/>
        </w:rPr>
        <w:t xml:space="preserve">        </w:t>
      </w:r>
      <w:r w:rsidR="00975E1E">
        <w:rPr>
          <w:rFonts w:ascii="Arial" w:hAnsi="Arial" w:cs="Arial"/>
          <w:sz w:val="22"/>
          <w:szCs w:val="22"/>
        </w:rPr>
        <w:t xml:space="preserve">As described by </w:t>
      </w:r>
      <w:r w:rsidR="004D45AF" w:rsidRPr="005558BA">
        <w:rPr>
          <w:rFonts w:ascii="Arial" w:hAnsi="Arial" w:cs="Arial"/>
          <w:sz w:val="22"/>
          <w:szCs w:val="22"/>
        </w:rPr>
        <w:t xml:space="preserve">Such, </w:t>
      </w:r>
      <w:proofErr w:type="spellStart"/>
      <w:r w:rsidR="004D45AF" w:rsidRPr="005558BA">
        <w:rPr>
          <w:rFonts w:ascii="Arial" w:hAnsi="Arial" w:cs="Arial"/>
          <w:sz w:val="22"/>
          <w:szCs w:val="22"/>
        </w:rPr>
        <w:t>Jaipaul</w:t>
      </w:r>
      <w:proofErr w:type="spellEnd"/>
      <w:r w:rsidR="004D45AF">
        <w:rPr>
          <w:rFonts w:ascii="Arial" w:hAnsi="Arial" w:cs="Arial"/>
          <w:sz w:val="22"/>
          <w:szCs w:val="22"/>
        </w:rPr>
        <w:t xml:space="preserve"> </w:t>
      </w:r>
      <w:r w:rsidR="004D45AF" w:rsidRPr="005558BA">
        <w:rPr>
          <w:rFonts w:ascii="Arial" w:hAnsi="Arial" w:cs="Arial"/>
          <w:sz w:val="22"/>
          <w:szCs w:val="22"/>
        </w:rPr>
        <w:t xml:space="preserve">and </w:t>
      </w:r>
      <w:proofErr w:type="spellStart"/>
      <w:r w:rsidR="004D45AF" w:rsidRPr="005558BA">
        <w:rPr>
          <w:rFonts w:ascii="Arial" w:hAnsi="Arial" w:cs="Arial"/>
          <w:sz w:val="22"/>
          <w:szCs w:val="22"/>
        </w:rPr>
        <w:t>Salway</w:t>
      </w:r>
      <w:proofErr w:type="spellEnd"/>
      <w:r w:rsidR="004D45AF">
        <w:rPr>
          <w:rFonts w:ascii="Arial" w:hAnsi="Arial" w:cs="Arial"/>
          <w:sz w:val="22"/>
          <w:szCs w:val="22"/>
        </w:rPr>
        <w:t xml:space="preserve"> </w:t>
      </w:r>
      <w:r w:rsidR="00975E1E">
        <w:rPr>
          <w:rFonts w:ascii="Arial" w:hAnsi="Arial" w:cs="Arial"/>
          <w:sz w:val="22"/>
          <w:szCs w:val="22"/>
        </w:rPr>
        <w:t>(20</w:t>
      </w:r>
      <w:r>
        <w:rPr>
          <w:rFonts w:ascii="Arial" w:hAnsi="Arial" w:cs="Arial"/>
          <w:sz w:val="22"/>
          <w:szCs w:val="22"/>
        </w:rPr>
        <w:t>20</w:t>
      </w:r>
      <w:r w:rsidR="00975E1E">
        <w:rPr>
          <w:rFonts w:ascii="Arial" w:hAnsi="Arial" w:cs="Arial"/>
          <w:sz w:val="22"/>
          <w:szCs w:val="22"/>
        </w:rPr>
        <w:t>), modern slavery is a form of severe exploitation and stands as a major issue in the UK. It involves a victim being forced, deceived and abused through their vulnerability for various purposes including labour, sexual exploitation and domestic servitude.</w:t>
      </w:r>
      <w:r>
        <w:rPr>
          <w:rFonts w:ascii="Arial" w:hAnsi="Arial" w:cs="Arial"/>
          <w:sz w:val="22"/>
          <w:szCs w:val="22"/>
        </w:rPr>
        <w:t xml:space="preserve"> Over the years, the government have created interventions that aim to tackle this growing threat (</w:t>
      </w:r>
      <w:r w:rsidR="004D45AF" w:rsidRPr="005558BA">
        <w:rPr>
          <w:rFonts w:ascii="Arial" w:hAnsi="Arial" w:cs="Arial"/>
          <w:sz w:val="22"/>
          <w:szCs w:val="22"/>
        </w:rPr>
        <w:t>Such,</w:t>
      </w:r>
      <w:r w:rsidR="004D45AF">
        <w:rPr>
          <w:rFonts w:ascii="Arial" w:hAnsi="Arial" w:cs="Arial"/>
          <w:sz w:val="22"/>
          <w:szCs w:val="22"/>
        </w:rPr>
        <w:t xml:space="preserve"> </w:t>
      </w:r>
      <w:proofErr w:type="spellStart"/>
      <w:r w:rsidR="004D45AF" w:rsidRPr="005558BA">
        <w:rPr>
          <w:rFonts w:ascii="Arial" w:hAnsi="Arial" w:cs="Arial"/>
          <w:sz w:val="22"/>
          <w:szCs w:val="22"/>
        </w:rPr>
        <w:t>Jaipaul</w:t>
      </w:r>
      <w:proofErr w:type="spellEnd"/>
      <w:r w:rsidR="004D45AF">
        <w:rPr>
          <w:rFonts w:ascii="Arial" w:hAnsi="Arial" w:cs="Arial"/>
          <w:sz w:val="22"/>
          <w:szCs w:val="22"/>
        </w:rPr>
        <w:t xml:space="preserve"> </w:t>
      </w:r>
      <w:r w:rsidR="004D45AF" w:rsidRPr="005558BA">
        <w:rPr>
          <w:rFonts w:ascii="Arial" w:hAnsi="Arial" w:cs="Arial"/>
          <w:sz w:val="22"/>
          <w:szCs w:val="22"/>
        </w:rPr>
        <w:t xml:space="preserve">and </w:t>
      </w:r>
      <w:proofErr w:type="spellStart"/>
      <w:r w:rsidR="004D45AF" w:rsidRPr="005558BA">
        <w:rPr>
          <w:rFonts w:ascii="Arial" w:hAnsi="Arial" w:cs="Arial"/>
          <w:sz w:val="22"/>
          <w:szCs w:val="22"/>
        </w:rPr>
        <w:t>Salway</w:t>
      </w:r>
      <w:proofErr w:type="spellEnd"/>
      <w:r>
        <w:rPr>
          <w:rFonts w:ascii="Arial" w:hAnsi="Arial" w:cs="Arial"/>
          <w:sz w:val="22"/>
          <w:szCs w:val="22"/>
        </w:rPr>
        <w:t xml:space="preserve"> 2020).</w:t>
      </w:r>
      <w:r w:rsidR="00975E1E">
        <w:rPr>
          <w:rFonts w:ascii="Arial" w:hAnsi="Arial" w:cs="Arial"/>
          <w:sz w:val="22"/>
          <w:szCs w:val="22"/>
        </w:rPr>
        <w:t xml:space="preserve"> The</w:t>
      </w:r>
      <w:r>
        <w:rPr>
          <w:rFonts w:ascii="Arial" w:hAnsi="Arial" w:cs="Arial"/>
          <w:sz w:val="22"/>
          <w:szCs w:val="22"/>
        </w:rPr>
        <w:t xml:space="preserve"> Home Office (2022) discusses one of these modern slavery frameworks; the</w:t>
      </w:r>
      <w:r w:rsidR="00975E1E">
        <w:rPr>
          <w:rFonts w:ascii="Arial" w:hAnsi="Arial" w:cs="Arial"/>
          <w:sz w:val="22"/>
          <w:szCs w:val="22"/>
        </w:rPr>
        <w:t xml:space="preserve"> National </w:t>
      </w:r>
      <w:r>
        <w:rPr>
          <w:rFonts w:ascii="Arial" w:hAnsi="Arial" w:cs="Arial"/>
          <w:sz w:val="22"/>
          <w:szCs w:val="22"/>
        </w:rPr>
        <w:t>Referral</w:t>
      </w:r>
      <w:r w:rsidR="00975E1E">
        <w:rPr>
          <w:rFonts w:ascii="Arial" w:hAnsi="Arial" w:cs="Arial"/>
          <w:sz w:val="22"/>
          <w:szCs w:val="22"/>
        </w:rPr>
        <w:t xml:space="preserve"> Mechanism (NRM) was introduced in 2009 and is a framework built to identity and refer victims that were potentially involved in modern slavery to get the help and support they need. </w:t>
      </w:r>
      <w:r w:rsidR="00B710D8">
        <w:rPr>
          <w:rFonts w:ascii="Arial" w:hAnsi="Arial" w:cs="Arial"/>
          <w:sz w:val="22"/>
          <w:szCs w:val="22"/>
        </w:rPr>
        <w:t>Referrals to the NRM can be made by first responders such as the police and the police</w:t>
      </w:r>
      <w:r w:rsidR="00E03BA3">
        <w:rPr>
          <w:rFonts w:ascii="Arial" w:hAnsi="Arial" w:cs="Arial"/>
          <w:sz w:val="22"/>
          <w:szCs w:val="22"/>
        </w:rPr>
        <w:t>,</w:t>
      </w:r>
      <w:r w:rsidR="00B710D8">
        <w:rPr>
          <w:rFonts w:ascii="Arial" w:hAnsi="Arial" w:cs="Arial"/>
          <w:sz w:val="22"/>
          <w:szCs w:val="22"/>
        </w:rPr>
        <w:t xml:space="preserve"> in fact</w:t>
      </w:r>
      <w:r w:rsidR="00560CFD">
        <w:rPr>
          <w:rFonts w:ascii="Arial" w:hAnsi="Arial" w:cs="Arial"/>
          <w:sz w:val="22"/>
          <w:szCs w:val="22"/>
        </w:rPr>
        <w:t>,</w:t>
      </w:r>
      <w:r w:rsidR="00B710D8">
        <w:rPr>
          <w:rFonts w:ascii="Arial" w:hAnsi="Arial" w:cs="Arial"/>
          <w:sz w:val="22"/>
          <w:szCs w:val="22"/>
        </w:rPr>
        <w:t xml:space="preserve"> made up one third of referrals in 2020. For an adult to be referred, they must give consent to the referral and when successful, the case is forwarded to the Home Office for assessment (O’Brien,</w:t>
      </w:r>
      <w:r w:rsidR="004D45AF">
        <w:rPr>
          <w:rFonts w:ascii="Arial" w:hAnsi="Arial" w:cs="Arial"/>
          <w:sz w:val="22"/>
          <w:szCs w:val="22"/>
        </w:rPr>
        <w:t xml:space="preserve"> Palmer and </w:t>
      </w:r>
      <w:proofErr w:type="spellStart"/>
      <w:r w:rsidR="004D45AF">
        <w:rPr>
          <w:rFonts w:ascii="Arial" w:hAnsi="Arial" w:cs="Arial"/>
          <w:sz w:val="22"/>
          <w:szCs w:val="22"/>
        </w:rPr>
        <w:t>Blinkhorn</w:t>
      </w:r>
      <w:proofErr w:type="spellEnd"/>
      <w:r w:rsidR="004D45AF">
        <w:rPr>
          <w:rFonts w:ascii="Arial" w:hAnsi="Arial" w:cs="Arial"/>
          <w:sz w:val="22"/>
          <w:szCs w:val="22"/>
        </w:rPr>
        <w:t>,</w:t>
      </w:r>
      <w:r w:rsidR="00B710D8">
        <w:rPr>
          <w:rFonts w:ascii="Arial" w:hAnsi="Arial" w:cs="Arial"/>
          <w:sz w:val="22"/>
          <w:szCs w:val="22"/>
        </w:rPr>
        <w:t xml:space="preserve"> 2022).</w:t>
      </w:r>
      <w:r w:rsidR="00C864F9">
        <w:rPr>
          <w:rFonts w:ascii="Arial" w:hAnsi="Arial" w:cs="Arial"/>
          <w:sz w:val="22"/>
          <w:szCs w:val="22"/>
        </w:rPr>
        <w:t xml:space="preserve"> Statistics from the Office for National Statistics (2022) indicate a substantial increase in referrals of potential victims to the NRM from 2009 to 2021. In 2009, there were a total of 151 referrals and 100 of them being positive referral grounds decisions (RDGs). Compared to 2021, with 5,468 referrals to the NRM and 4,964 positive RGDs. While this suggests an increase in victims of modern slavery, it can also be argued that the NRM has proven to be effective in its aim to identify such crimes (ONS, 2022).</w:t>
      </w:r>
      <w:r w:rsidR="008F4624">
        <w:rPr>
          <w:rFonts w:ascii="Arial" w:hAnsi="Arial" w:cs="Arial"/>
          <w:sz w:val="22"/>
          <w:szCs w:val="22"/>
        </w:rPr>
        <w:t xml:space="preserve"> </w:t>
      </w:r>
      <w:r w:rsidR="00AF5E19" w:rsidRPr="00961BB0">
        <w:rPr>
          <w:rFonts w:ascii="Arial" w:hAnsi="Arial" w:cs="Arial"/>
          <w:sz w:val="22"/>
          <w:szCs w:val="22"/>
        </w:rPr>
        <w:t xml:space="preserve">Due to COVID-19, there was a spike in trauma from victims of slavery in the UK with the COVID regulations of being instructed to stay indoors, reminding them of dark times in their lives when they were a subject of abuse and restriction. In the inevitable financial crisis following the pandemic, the time to support those who are a victim of exploitation has never been so important </w:t>
      </w:r>
      <w:r w:rsidR="00C451F2" w:rsidRPr="00961BB0">
        <w:rPr>
          <w:rFonts w:ascii="Arial" w:hAnsi="Arial" w:cs="Arial"/>
          <w:sz w:val="22"/>
          <w:szCs w:val="22"/>
        </w:rPr>
        <w:t>to ensure they feel safe and secure within the United Kingdom</w:t>
      </w:r>
      <w:r w:rsidR="00E62EC7" w:rsidRPr="00961BB0">
        <w:rPr>
          <w:rFonts w:ascii="Arial" w:hAnsi="Arial" w:cs="Arial"/>
          <w:sz w:val="22"/>
          <w:szCs w:val="22"/>
        </w:rPr>
        <w:t xml:space="preserve"> (</w:t>
      </w:r>
      <w:proofErr w:type="spellStart"/>
      <w:r w:rsidR="00202815">
        <w:rPr>
          <w:rFonts w:ascii="Arial" w:hAnsi="Arial" w:cs="Arial"/>
          <w:sz w:val="22"/>
          <w:szCs w:val="22"/>
        </w:rPr>
        <w:t>Papadaki</w:t>
      </w:r>
      <w:proofErr w:type="spellEnd"/>
      <w:r w:rsidR="00202815">
        <w:rPr>
          <w:rFonts w:ascii="Arial" w:hAnsi="Arial" w:cs="Arial"/>
          <w:sz w:val="22"/>
          <w:szCs w:val="22"/>
        </w:rPr>
        <w:t>, 2020</w:t>
      </w:r>
      <w:r w:rsidR="00E62EC7" w:rsidRPr="00961BB0">
        <w:rPr>
          <w:rFonts w:ascii="Arial" w:hAnsi="Arial" w:cs="Arial"/>
          <w:sz w:val="22"/>
          <w:szCs w:val="22"/>
        </w:rPr>
        <w:t>)</w:t>
      </w:r>
      <w:r w:rsidR="00604E8A">
        <w:rPr>
          <w:rFonts w:ascii="Arial" w:hAnsi="Arial" w:cs="Arial"/>
          <w:sz w:val="22"/>
          <w:szCs w:val="22"/>
        </w:rPr>
        <w:t>. This is reinforced by</w:t>
      </w:r>
      <w:r w:rsidR="00E62EC7" w:rsidRPr="00961BB0">
        <w:rPr>
          <w:rFonts w:ascii="Arial" w:hAnsi="Arial" w:cs="Arial"/>
          <w:sz w:val="22"/>
          <w:szCs w:val="22"/>
        </w:rPr>
        <w:t xml:space="preserve"> </w:t>
      </w:r>
      <w:proofErr w:type="spellStart"/>
      <w:r w:rsidR="00604E8A">
        <w:rPr>
          <w:rFonts w:ascii="Arial" w:hAnsi="Arial" w:cs="Arial"/>
          <w:sz w:val="22"/>
          <w:szCs w:val="22"/>
        </w:rPr>
        <w:t>Todres</w:t>
      </w:r>
      <w:proofErr w:type="spellEnd"/>
      <w:r w:rsidR="00604E8A">
        <w:rPr>
          <w:rFonts w:ascii="Arial" w:hAnsi="Arial" w:cs="Arial"/>
          <w:sz w:val="22"/>
          <w:szCs w:val="22"/>
        </w:rPr>
        <w:t xml:space="preserve"> and Diaz (2021), stating that COVID 19 ha</w:t>
      </w:r>
      <w:r w:rsidR="00E55EA0">
        <w:rPr>
          <w:rFonts w:ascii="Arial" w:hAnsi="Arial" w:cs="Arial"/>
          <w:sz w:val="22"/>
          <w:szCs w:val="22"/>
        </w:rPr>
        <w:t xml:space="preserve">s significantly affected trafficking survivors’ lives in a number of ways. Their much-needed support faced disruption as they were unable to access it. Other factors such as financial-instability and food insecurity are among other problems vulnerable people and victims of trafficking had faced throughout the pandemic. </w:t>
      </w:r>
      <w:r w:rsidR="00E62EC7" w:rsidRPr="00961BB0">
        <w:rPr>
          <w:rFonts w:ascii="Arial" w:hAnsi="Arial" w:cs="Arial"/>
          <w:sz w:val="22"/>
          <w:szCs w:val="22"/>
        </w:rPr>
        <w:t xml:space="preserve">Although this is not </w:t>
      </w:r>
      <w:r w:rsidR="00961BB0" w:rsidRPr="00961BB0">
        <w:rPr>
          <w:rFonts w:ascii="Arial" w:hAnsi="Arial" w:cs="Arial"/>
          <w:sz w:val="22"/>
          <w:szCs w:val="22"/>
        </w:rPr>
        <w:t>necessarily</w:t>
      </w:r>
      <w:r w:rsidR="00205436">
        <w:rPr>
          <w:rFonts w:ascii="Arial" w:hAnsi="Arial" w:cs="Arial"/>
          <w:sz w:val="22"/>
          <w:szCs w:val="22"/>
        </w:rPr>
        <w:t xml:space="preserve"> </w:t>
      </w:r>
      <w:r w:rsidR="00205436">
        <w:rPr>
          <w:rFonts w:ascii="Arial" w:hAnsi="Arial" w:cs="Arial"/>
          <w:sz w:val="22"/>
          <w:szCs w:val="22"/>
        </w:rPr>
        <w:lastRenderedPageBreak/>
        <w:t>indicating</w:t>
      </w:r>
      <w:r w:rsidR="00E62EC7" w:rsidRPr="00961BB0">
        <w:rPr>
          <w:rFonts w:ascii="Arial" w:hAnsi="Arial" w:cs="Arial"/>
          <w:sz w:val="22"/>
          <w:szCs w:val="22"/>
        </w:rPr>
        <w:t xml:space="preserve"> an increase, it is a spike that is worth noting </w:t>
      </w:r>
      <w:r w:rsidR="00961BB0">
        <w:rPr>
          <w:rFonts w:ascii="Arial" w:hAnsi="Arial" w:cs="Arial"/>
          <w:sz w:val="22"/>
          <w:szCs w:val="22"/>
        </w:rPr>
        <w:t xml:space="preserve">when discussing </w:t>
      </w:r>
      <w:r w:rsidR="00C864F9">
        <w:rPr>
          <w:rFonts w:ascii="Arial" w:hAnsi="Arial" w:cs="Arial"/>
          <w:sz w:val="22"/>
          <w:szCs w:val="22"/>
        </w:rPr>
        <w:t xml:space="preserve">modern-day slavery and more broadly, </w:t>
      </w:r>
      <w:r w:rsidR="00961BB0">
        <w:rPr>
          <w:rFonts w:ascii="Arial" w:hAnsi="Arial" w:cs="Arial"/>
          <w:sz w:val="22"/>
          <w:szCs w:val="22"/>
        </w:rPr>
        <w:t>the question at hand</w:t>
      </w:r>
      <w:r w:rsidR="00C864F9">
        <w:rPr>
          <w:rFonts w:ascii="Arial" w:hAnsi="Arial" w:cs="Arial"/>
          <w:sz w:val="22"/>
          <w:szCs w:val="22"/>
        </w:rPr>
        <w:t>.</w:t>
      </w:r>
      <w:r w:rsidR="00513FA6">
        <w:rPr>
          <w:rFonts w:ascii="Arial" w:hAnsi="Arial" w:cs="Arial"/>
          <w:sz w:val="22"/>
          <w:szCs w:val="22"/>
        </w:rPr>
        <w:t xml:space="preserve"> </w:t>
      </w:r>
    </w:p>
    <w:p w14:paraId="325E7C07" w14:textId="0CE7DD6A" w:rsidR="00AF5E19" w:rsidRDefault="00E80B95" w:rsidP="008F4624">
      <w:pPr>
        <w:spacing w:line="480" w:lineRule="auto"/>
        <w:rPr>
          <w:rFonts w:ascii="Arial" w:hAnsi="Arial" w:cs="Arial"/>
          <w:sz w:val="22"/>
          <w:szCs w:val="22"/>
        </w:rPr>
      </w:pPr>
      <w:r>
        <w:rPr>
          <w:rFonts w:ascii="Arial" w:hAnsi="Arial" w:cs="Arial"/>
          <w:sz w:val="22"/>
          <w:szCs w:val="22"/>
        </w:rPr>
        <w:t xml:space="preserve">        </w:t>
      </w:r>
      <w:r w:rsidR="00513FA6">
        <w:rPr>
          <w:rFonts w:ascii="Arial" w:hAnsi="Arial" w:cs="Arial"/>
          <w:sz w:val="22"/>
          <w:szCs w:val="22"/>
        </w:rPr>
        <w:t xml:space="preserve">Brewster, </w:t>
      </w:r>
      <w:r w:rsidR="00E03BA3" w:rsidRPr="00E03BA3">
        <w:rPr>
          <w:rFonts w:ascii="Arial" w:hAnsi="Arial" w:cs="Arial"/>
          <w:i/>
          <w:iCs/>
          <w:sz w:val="22"/>
          <w:szCs w:val="22"/>
        </w:rPr>
        <w:t>et al.</w:t>
      </w:r>
      <w:r w:rsidR="00513FA6">
        <w:rPr>
          <w:rFonts w:ascii="Arial" w:hAnsi="Arial" w:cs="Arial"/>
          <w:sz w:val="22"/>
          <w:szCs w:val="22"/>
        </w:rPr>
        <w:t xml:space="preserve"> (2021)</w:t>
      </w:r>
      <w:r w:rsidR="004F2E77">
        <w:rPr>
          <w:rFonts w:ascii="Arial" w:hAnsi="Arial" w:cs="Arial"/>
          <w:sz w:val="22"/>
          <w:szCs w:val="22"/>
        </w:rPr>
        <w:t>,</w:t>
      </w:r>
      <w:r w:rsidR="00513FA6">
        <w:rPr>
          <w:rFonts w:ascii="Arial" w:hAnsi="Arial" w:cs="Arial"/>
          <w:sz w:val="22"/>
          <w:szCs w:val="22"/>
        </w:rPr>
        <w:t xml:space="preserve"> suggests that </w:t>
      </w:r>
      <w:r w:rsidR="00E264B2">
        <w:rPr>
          <w:rFonts w:ascii="Arial" w:hAnsi="Arial" w:cs="Arial"/>
          <w:sz w:val="22"/>
          <w:szCs w:val="22"/>
        </w:rPr>
        <w:t>many new and existing organised crime groups involved with the exploitation of vulnerable children and adults took advantage of the COVID-19 pandemic. This is apparent through the spike of drug-related crime that had taken place (and continues to take place) during the pandemic, as criminals used vulnerable people (especially children) to be ‘drug-runners’ during the period.</w:t>
      </w:r>
      <w:r w:rsidR="00E20DE6">
        <w:rPr>
          <w:rFonts w:ascii="Arial" w:hAnsi="Arial" w:cs="Arial"/>
          <w:sz w:val="22"/>
          <w:szCs w:val="22"/>
        </w:rPr>
        <w:t xml:space="preserve"> Townsend (2020) </w:t>
      </w:r>
      <w:r w:rsidR="003217C7">
        <w:rPr>
          <w:rFonts w:ascii="Arial" w:hAnsi="Arial" w:cs="Arial"/>
          <w:sz w:val="22"/>
          <w:szCs w:val="22"/>
        </w:rPr>
        <w:t>noted that there was an increase in vulnerable missing children as a result of the pandemic, indicating that there could be a link between Brewster</w:t>
      </w:r>
      <w:r w:rsidR="004863AC">
        <w:rPr>
          <w:rFonts w:ascii="Arial" w:hAnsi="Arial" w:cs="Arial"/>
          <w:sz w:val="22"/>
          <w:szCs w:val="22"/>
        </w:rPr>
        <w:t xml:space="preserve"> </w:t>
      </w:r>
      <w:r w:rsidR="00E03BA3" w:rsidRPr="00E03BA3">
        <w:rPr>
          <w:rFonts w:ascii="Arial" w:hAnsi="Arial" w:cs="Arial"/>
          <w:i/>
          <w:iCs/>
          <w:sz w:val="22"/>
          <w:szCs w:val="22"/>
        </w:rPr>
        <w:t>et al.</w:t>
      </w:r>
      <w:r w:rsidR="003217C7">
        <w:rPr>
          <w:rFonts w:ascii="Arial" w:hAnsi="Arial" w:cs="Arial"/>
          <w:sz w:val="22"/>
          <w:szCs w:val="22"/>
        </w:rPr>
        <w:t xml:space="preserve"> and Townsend surrounding vulnerable children being used for drug-related crimes during COVID-19. On the other hand, the National Police Chiefs’ Council (2020) indicates a reduction of vulnerable people being exploited in relation to County Lines during the pandemic.</w:t>
      </w:r>
      <w:r w:rsidR="00DA15B6">
        <w:rPr>
          <w:rFonts w:ascii="Arial" w:hAnsi="Arial" w:cs="Arial"/>
          <w:sz w:val="22"/>
          <w:szCs w:val="22"/>
        </w:rPr>
        <w:t xml:space="preserve"> To support this,</w:t>
      </w:r>
      <w:r w:rsidR="004863AC">
        <w:rPr>
          <w:rFonts w:ascii="Arial" w:hAnsi="Arial" w:cs="Arial"/>
          <w:sz w:val="22"/>
          <w:szCs w:val="22"/>
        </w:rPr>
        <w:t xml:space="preserve"> Brewster </w:t>
      </w:r>
      <w:r w:rsidR="00E03BA3" w:rsidRPr="00E03BA3">
        <w:rPr>
          <w:rFonts w:ascii="Arial" w:hAnsi="Arial" w:cs="Arial"/>
          <w:i/>
          <w:iCs/>
          <w:sz w:val="22"/>
          <w:szCs w:val="22"/>
        </w:rPr>
        <w:t>et al.</w:t>
      </w:r>
      <w:r w:rsidR="004863AC">
        <w:rPr>
          <w:rFonts w:ascii="Arial" w:hAnsi="Arial" w:cs="Arial"/>
          <w:sz w:val="22"/>
          <w:szCs w:val="22"/>
        </w:rPr>
        <w:t xml:space="preserve"> (2021) does point out that the periods of lockdowns during COVID-19 have actually removed opportunities for organised crime groups conducting County Lines-related offenses to gather the necessary intelligence and scout potential risk-factors that are key to them operating undetected. Therefore, the lockdowns have acted as an obstruction within these criminal networks to recruit vulnerable people to carry out their offences, providing a reinforcement to the viewpoint of the National Police Chief’s’ Council surrounding the reduction of vulnerable people being exploited during the pandemic. This</w:t>
      </w:r>
      <w:r w:rsidR="001E38DF">
        <w:rPr>
          <w:rFonts w:ascii="Arial" w:hAnsi="Arial" w:cs="Arial"/>
          <w:sz w:val="22"/>
          <w:szCs w:val="22"/>
        </w:rPr>
        <w:t>,</w:t>
      </w:r>
      <w:r w:rsidR="004863AC">
        <w:rPr>
          <w:rFonts w:ascii="Arial" w:hAnsi="Arial" w:cs="Arial"/>
          <w:sz w:val="22"/>
          <w:szCs w:val="22"/>
        </w:rPr>
        <w:t xml:space="preserve"> however, has a potentially negative impact when considering online presence of </w:t>
      </w:r>
      <w:r w:rsidR="00490FD4">
        <w:rPr>
          <w:rFonts w:ascii="Arial" w:hAnsi="Arial" w:cs="Arial"/>
          <w:sz w:val="22"/>
          <w:szCs w:val="22"/>
        </w:rPr>
        <w:t xml:space="preserve">criminals being increased as they attempt to groom vulnerable people on the internet as a means for recruitment (Brewster </w:t>
      </w:r>
      <w:r w:rsidR="00E03BA3" w:rsidRPr="00E03BA3">
        <w:rPr>
          <w:rFonts w:ascii="Arial" w:hAnsi="Arial" w:cs="Arial"/>
          <w:i/>
          <w:iCs/>
          <w:sz w:val="22"/>
          <w:szCs w:val="22"/>
        </w:rPr>
        <w:t>et al.</w:t>
      </w:r>
      <w:r w:rsidR="00E03BA3">
        <w:rPr>
          <w:rFonts w:ascii="Arial" w:hAnsi="Arial" w:cs="Arial"/>
          <w:sz w:val="22"/>
          <w:szCs w:val="22"/>
        </w:rPr>
        <w:t>,</w:t>
      </w:r>
      <w:r w:rsidR="00490FD4">
        <w:rPr>
          <w:rFonts w:ascii="Arial" w:hAnsi="Arial" w:cs="Arial"/>
          <w:sz w:val="22"/>
          <w:szCs w:val="22"/>
        </w:rPr>
        <w:t xml:space="preserve"> 2021). Linking this to the previously mentioned points in the paper surrounding vulnerable people online by </w:t>
      </w:r>
      <w:proofErr w:type="spellStart"/>
      <w:r w:rsidR="00490FD4" w:rsidRPr="00961BB0">
        <w:rPr>
          <w:rFonts w:ascii="Arial" w:hAnsi="Arial" w:cs="Arial"/>
          <w:sz w:val="22"/>
          <w:szCs w:val="22"/>
        </w:rPr>
        <w:t>Asam</w:t>
      </w:r>
      <w:proofErr w:type="spellEnd"/>
      <w:r w:rsidR="00490FD4" w:rsidRPr="00961BB0">
        <w:rPr>
          <w:rFonts w:ascii="Arial" w:hAnsi="Arial" w:cs="Arial"/>
          <w:sz w:val="22"/>
          <w:szCs w:val="22"/>
        </w:rPr>
        <w:t xml:space="preserve"> and Katz (2018)</w:t>
      </w:r>
      <w:r w:rsidR="00490FD4">
        <w:rPr>
          <w:rFonts w:ascii="Arial" w:hAnsi="Arial" w:cs="Arial"/>
          <w:sz w:val="22"/>
          <w:szCs w:val="22"/>
        </w:rPr>
        <w:t xml:space="preserve"> and Choo and Smith (2007), regarding the risk being far greater when exposed to the internet, it is clear how Brewster </w:t>
      </w:r>
      <w:r w:rsidR="00E03BA3" w:rsidRPr="00E03BA3">
        <w:rPr>
          <w:rFonts w:ascii="Arial" w:hAnsi="Arial" w:cs="Arial"/>
          <w:i/>
          <w:iCs/>
          <w:sz w:val="22"/>
          <w:szCs w:val="22"/>
        </w:rPr>
        <w:t>et al.</w:t>
      </w:r>
      <w:r w:rsidR="00490FD4">
        <w:rPr>
          <w:rFonts w:ascii="Arial" w:hAnsi="Arial" w:cs="Arial"/>
          <w:sz w:val="22"/>
          <w:szCs w:val="22"/>
        </w:rPr>
        <w:t xml:space="preserve"> view this as a cause of concern.</w:t>
      </w:r>
      <w:r w:rsidR="00DA15B6">
        <w:rPr>
          <w:rFonts w:ascii="Arial" w:hAnsi="Arial" w:cs="Arial"/>
          <w:sz w:val="22"/>
          <w:szCs w:val="22"/>
        </w:rPr>
        <w:t xml:space="preserve"> In addition, </w:t>
      </w:r>
      <w:r w:rsidR="00106287" w:rsidRPr="00106287">
        <w:rPr>
          <w:rFonts w:ascii="Arial" w:hAnsi="Arial" w:cs="Arial"/>
          <w:sz w:val="22"/>
          <w:szCs w:val="22"/>
        </w:rPr>
        <w:t>Brewster</w:t>
      </w:r>
      <w:r w:rsidR="001A3F00">
        <w:rPr>
          <w:rFonts w:ascii="Arial" w:hAnsi="Arial" w:cs="Arial"/>
          <w:sz w:val="22"/>
          <w:szCs w:val="22"/>
        </w:rPr>
        <w:t xml:space="preserve"> </w:t>
      </w:r>
      <w:r w:rsidR="00E03BA3" w:rsidRPr="00E03BA3">
        <w:rPr>
          <w:rFonts w:ascii="Arial" w:hAnsi="Arial" w:cs="Arial"/>
          <w:i/>
          <w:iCs/>
          <w:sz w:val="22"/>
          <w:szCs w:val="22"/>
        </w:rPr>
        <w:t>et al.</w:t>
      </w:r>
      <w:r w:rsidR="001A3F00">
        <w:rPr>
          <w:rFonts w:ascii="Arial" w:hAnsi="Arial" w:cs="Arial"/>
          <w:sz w:val="22"/>
          <w:szCs w:val="22"/>
        </w:rPr>
        <w:t xml:space="preserve"> (2021) further emphasises the fact that the introductions of national lockdowns raised concern with those working in the child-protection field surrounding the idea that the presence of vulnerable children online would be far greater than before. This would mean a greater risk of exploitation due to the nature of the pandemic </w:t>
      </w:r>
      <w:r w:rsidR="001A3F00">
        <w:rPr>
          <w:rFonts w:ascii="Arial" w:hAnsi="Arial" w:cs="Arial"/>
          <w:sz w:val="22"/>
          <w:szCs w:val="22"/>
        </w:rPr>
        <w:lastRenderedPageBreak/>
        <w:t>and its effects with an ‘ongoing’ risk of harm to these children who are confined to their homes.</w:t>
      </w:r>
      <w:r>
        <w:rPr>
          <w:rFonts w:ascii="Arial" w:hAnsi="Arial" w:cs="Arial"/>
          <w:sz w:val="22"/>
          <w:szCs w:val="22"/>
        </w:rPr>
        <w:t xml:space="preserve"> This supports a number of academic points previously mentioned.  Finally, it is important to address that </w:t>
      </w:r>
      <w:r w:rsidR="00106287" w:rsidRPr="00106287">
        <w:rPr>
          <w:rFonts w:ascii="Arial" w:hAnsi="Arial" w:cs="Arial"/>
          <w:sz w:val="22"/>
          <w:szCs w:val="22"/>
        </w:rPr>
        <w:t>Brewster</w:t>
      </w:r>
      <w:r>
        <w:rPr>
          <w:rFonts w:ascii="Arial" w:hAnsi="Arial" w:cs="Arial"/>
          <w:sz w:val="22"/>
          <w:szCs w:val="22"/>
        </w:rPr>
        <w:t xml:space="preserve"> </w:t>
      </w:r>
      <w:r w:rsidR="00E03BA3" w:rsidRPr="00E03BA3">
        <w:rPr>
          <w:rFonts w:ascii="Arial" w:hAnsi="Arial" w:cs="Arial"/>
          <w:i/>
          <w:iCs/>
          <w:sz w:val="22"/>
          <w:szCs w:val="22"/>
        </w:rPr>
        <w:t>et al.</w:t>
      </w:r>
      <w:r>
        <w:rPr>
          <w:rFonts w:ascii="Arial" w:hAnsi="Arial" w:cs="Arial"/>
          <w:sz w:val="22"/>
          <w:szCs w:val="22"/>
        </w:rPr>
        <w:t xml:space="preserve"> does also reinforce the viewpoint of Glover Williams and Finlay (2018) that was referenced earlier on in the paper, regarding the need for </w:t>
      </w:r>
      <w:r w:rsidR="00157695">
        <w:rPr>
          <w:rFonts w:ascii="Arial" w:hAnsi="Arial" w:cs="Arial"/>
          <w:sz w:val="22"/>
          <w:szCs w:val="22"/>
        </w:rPr>
        <w:t>those working in the healthcare sector to have additional training and collaboration with youth workers to ensure NHS facilities are fully equipped to deal with all kinds of exploitation-related admissions.</w:t>
      </w:r>
    </w:p>
    <w:p w14:paraId="507AD2C6" w14:textId="12F4C80E" w:rsidR="001B189B" w:rsidRDefault="001B189B" w:rsidP="008F4624">
      <w:pPr>
        <w:spacing w:line="480" w:lineRule="auto"/>
        <w:rPr>
          <w:rFonts w:ascii="Arial" w:hAnsi="Arial" w:cs="Arial"/>
          <w:sz w:val="22"/>
          <w:szCs w:val="22"/>
        </w:rPr>
      </w:pPr>
    </w:p>
    <w:p w14:paraId="6ECE8323" w14:textId="3F5F48A3" w:rsidR="008F4624" w:rsidRDefault="001B189B" w:rsidP="001852B7">
      <w:pPr>
        <w:spacing w:line="480" w:lineRule="auto"/>
        <w:rPr>
          <w:rFonts w:ascii="Arial" w:hAnsi="Arial" w:cs="Arial"/>
          <w:sz w:val="22"/>
          <w:szCs w:val="22"/>
        </w:rPr>
      </w:pPr>
      <w:r>
        <w:rPr>
          <w:rFonts w:ascii="Arial" w:hAnsi="Arial" w:cs="Arial"/>
          <w:sz w:val="22"/>
          <w:szCs w:val="22"/>
        </w:rPr>
        <w:t xml:space="preserve">        The criminal exploitation of vulnerable people is a nationwide issue that evidently needs more attention in the efforts of reducing its presence across the UK. This paper has identified a clear consistency of academic opinion on the argument of whether it is increasing. The overwhelming majority of academia featured in this paper has pointed to its persistence through County Lines-related crimes such as modern-day slavery, child sexual exploitation etc., where it is actually rising year by year</w:t>
      </w:r>
      <w:r w:rsidR="00536B14">
        <w:rPr>
          <w:rFonts w:ascii="Arial" w:hAnsi="Arial" w:cs="Arial"/>
          <w:sz w:val="22"/>
          <w:szCs w:val="22"/>
        </w:rPr>
        <w:t xml:space="preserve"> as seen by NRM referrals</w:t>
      </w:r>
      <w:r>
        <w:rPr>
          <w:rFonts w:ascii="Arial" w:hAnsi="Arial" w:cs="Arial"/>
          <w:sz w:val="22"/>
          <w:szCs w:val="22"/>
        </w:rPr>
        <w:t xml:space="preserve"> (ONS, 2022).</w:t>
      </w:r>
      <w:r w:rsidR="00430091">
        <w:rPr>
          <w:rFonts w:ascii="Arial" w:hAnsi="Arial" w:cs="Arial"/>
          <w:sz w:val="22"/>
          <w:szCs w:val="22"/>
        </w:rPr>
        <w:t xml:space="preserve"> Furthermore, COVID-19 was discussed in its relation to criminal exploitation of vulnerable people and its presence through the pandemic. As noted, though it did disrupt certain criminal activity (and spiked others), it did not reduce the focus point surrounding the increase of the criminal exploitation </w:t>
      </w:r>
      <w:r w:rsidR="00E20DE6">
        <w:rPr>
          <w:rFonts w:ascii="Arial" w:hAnsi="Arial" w:cs="Arial"/>
          <w:sz w:val="22"/>
          <w:szCs w:val="22"/>
        </w:rPr>
        <w:t xml:space="preserve">(Brewster, </w:t>
      </w:r>
      <w:r w:rsidR="00E03BA3" w:rsidRPr="00E03BA3">
        <w:rPr>
          <w:rFonts w:ascii="Arial" w:hAnsi="Arial" w:cs="Arial"/>
          <w:i/>
          <w:iCs/>
          <w:sz w:val="22"/>
          <w:szCs w:val="22"/>
        </w:rPr>
        <w:t>et al.</w:t>
      </w:r>
      <w:r w:rsidR="00E20DE6">
        <w:rPr>
          <w:rFonts w:ascii="Arial" w:hAnsi="Arial" w:cs="Arial"/>
          <w:sz w:val="22"/>
          <w:szCs w:val="22"/>
        </w:rPr>
        <w:t>, 2021)</w:t>
      </w:r>
      <w:r w:rsidR="00430091">
        <w:rPr>
          <w:rFonts w:ascii="Arial" w:hAnsi="Arial" w:cs="Arial"/>
          <w:sz w:val="22"/>
          <w:szCs w:val="22"/>
        </w:rPr>
        <w:t xml:space="preserve">. </w:t>
      </w:r>
      <w:r w:rsidR="00DC2B54">
        <w:rPr>
          <w:rFonts w:ascii="Arial" w:hAnsi="Arial" w:cs="Arial"/>
          <w:sz w:val="22"/>
          <w:szCs w:val="22"/>
        </w:rPr>
        <w:t>Online vulnerability of young children was also addressed and concluded that as technology improves, so do the undetectable methods of those wanting to exploit children online, meaning more concentration on defending those online</w:t>
      </w:r>
      <w:r w:rsidR="00157695">
        <w:rPr>
          <w:rFonts w:ascii="Arial" w:hAnsi="Arial" w:cs="Arial"/>
          <w:sz w:val="22"/>
          <w:szCs w:val="22"/>
        </w:rPr>
        <w:t>, especially as a result of COVID-19’s lockdown rules,</w:t>
      </w:r>
      <w:r w:rsidR="00DC2B54">
        <w:rPr>
          <w:rFonts w:ascii="Arial" w:hAnsi="Arial" w:cs="Arial"/>
          <w:sz w:val="22"/>
          <w:szCs w:val="22"/>
        </w:rPr>
        <w:t xml:space="preserve"> who are by definition classed as vulnerable is required to stop the increase. In conclusion, the criminal exploitation of vulnerable people is increasing from many different perspectives (online, county-lines etc.), and more needs to be done on a nationwide, multi-agency scale (Glover Williams and Finlay, 2018</w:t>
      </w:r>
      <w:r w:rsidR="00636966">
        <w:rPr>
          <w:rFonts w:ascii="Arial" w:hAnsi="Arial" w:cs="Arial"/>
          <w:sz w:val="22"/>
          <w:szCs w:val="22"/>
        </w:rPr>
        <w:t>,</w:t>
      </w:r>
      <w:r w:rsidR="00DC2B54">
        <w:rPr>
          <w:rFonts w:ascii="Arial" w:hAnsi="Arial" w:cs="Arial"/>
          <w:sz w:val="22"/>
          <w:szCs w:val="22"/>
        </w:rPr>
        <w:t xml:space="preserve"> &amp; O’Hagan and Edmundson, 2021) in order to stop the increase that </w:t>
      </w:r>
      <w:r w:rsidR="00636966">
        <w:rPr>
          <w:rFonts w:ascii="Arial" w:hAnsi="Arial" w:cs="Arial"/>
          <w:sz w:val="22"/>
          <w:szCs w:val="22"/>
        </w:rPr>
        <w:t xml:space="preserve">inevitably </w:t>
      </w:r>
      <w:r w:rsidR="00DC2B54">
        <w:rPr>
          <w:rFonts w:ascii="Arial" w:hAnsi="Arial" w:cs="Arial"/>
          <w:sz w:val="22"/>
          <w:szCs w:val="22"/>
        </w:rPr>
        <w:t xml:space="preserve">has </w:t>
      </w:r>
      <w:r w:rsidR="00636966">
        <w:rPr>
          <w:rFonts w:ascii="Arial" w:hAnsi="Arial" w:cs="Arial"/>
          <w:sz w:val="22"/>
          <w:szCs w:val="22"/>
        </w:rPr>
        <w:t>a massive psychological effect on those who fall victim to it and survive</w:t>
      </w:r>
      <w:r w:rsidR="00C01C0B">
        <w:rPr>
          <w:rFonts w:ascii="Arial" w:hAnsi="Arial" w:cs="Arial"/>
          <w:sz w:val="22"/>
          <w:szCs w:val="22"/>
        </w:rPr>
        <w:t xml:space="preserve"> </w:t>
      </w:r>
      <w:r w:rsidR="00636966">
        <w:rPr>
          <w:rFonts w:ascii="Arial" w:hAnsi="Arial" w:cs="Arial"/>
          <w:sz w:val="22"/>
          <w:szCs w:val="22"/>
        </w:rPr>
        <w:t>(Glover Williams and Finlay, 2018).</w:t>
      </w:r>
    </w:p>
    <w:p w14:paraId="6304CB26" w14:textId="77777777" w:rsidR="003264F9" w:rsidRPr="001852B7" w:rsidRDefault="003264F9" w:rsidP="001852B7">
      <w:pPr>
        <w:spacing w:line="480" w:lineRule="auto"/>
        <w:rPr>
          <w:rFonts w:ascii="Arial" w:hAnsi="Arial" w:cs="Arial"/>
          <w:sz w:val="22"/>
          <w:szCs w:val="22"/>
        </w:rPr>
      </w:pPr>
    </w:p>
    <w:p w14:paraId="5787A539" w14:textId="77777777" w:rsidR="008F4624" w:rsidRDefault="008F4624">
      <w:pPr>
        <w:rPr>
          <w:b/>
          <w:bCs/>
        </w:rPr>
      </w:pPr>
    </w:p>
    <w:p w14:paraId="3F1304A4" w14:textId="64AD9939" w:rsidR="009056DF" w:rsidRDefault="009056DF">
      <w:pPr>
        <w:rPr>
          <w:b/>
          <w:bCs/>
        </w:rPr>
      </w:pPr>
      <w:r w:rsidRPr="009C5573">
        <w:rPr>
          <w:b/>
          <w:bCs/>
        </w:rPr>
        <w:t>REFERENCE LIST</w:t>
      </w:r>
    </w:p>
    <w:p w14:paraId="72DC0B9A" w14:textId="77777777" w:rsidR="0027679C" w:rsidRPr="009C5573" w:rsidRDefault="0027679C">
      <w:pPr>
        <w:rPr>
          <w:b/>
          <w:bCs/>
        </w:rPr>
      </w:pPr>
    </w:p>
    <w:p w14:paraId="1F8546A5" w14:textId="56F3ED66" w:rsidR="009056DF" w:rsidRDefault="009056DF"/>
    <w:p w14:paraId="6B131B42" w14:textId="6625A6B0" w:rsidR="008F4624" w:rsidRDefault="008F4624" w:rsidP="008F4624">
      <w:pPr>
        <w:spacing w:line="360" w:lineRule="auto"/>
        <w:rPr>
          <w:rFonts w:ascii="Arial" w:hAnsi="Arial" w:cs="Arial"/>
          <w:sz w:val="22"/>
          <w:szCs w:val="22"/>
        </w:rPr>
      </w:pPr>
      <w:proofErr w:type="spellStart"/>
      <w:r w:rsidRPr="005558BA">
        <w:rPr>
          <w:rFonts w:ascii="Arial" w:hAnsi="Arial" w:cs="Arial"/>
          <w:sz w:val="22"/>
          <w:szCs w:val="22"/>
        </w:rPr>
        <w:t>Asam</w:t>
      </w:r>
      <w:proofErr w:type="spellEnd"/>
      <w:r w:rsidRPr="005558BA">
        <w:rPr>
          <w:rFonts w:ascii="Arial" w:hAnsi="Arial" w:cs="Arial"/>
          <w:sz w:val="22"/>
          <w:szCs w:val="22"/>
        </w:rPr>
        <w:t>, A., E. &amp; Katz, A. (2018). Vulnerable Young People and Their Experience of Online Risks, </w:t>
      </w:r>
      <w:r w:rsidRPr="00622016">
        <w:rPr>
          <w:rFonts w:ascii="Arial" w:hAnsi="Arial" w:cs="Arial"/>
          <w:i/>
          <w:iCs/>
          <w:sz w:val="22"/>
          <w:szCs w:val="22"/>
        </w:rPr>
        <w:t>Human–Computer Interaction</w:t>
      </w:r>
      <w:r w:rsidRPr="005558BA">
        <w:rPr>
          <w:rFonts w:ascii="Arial" w:hAnsi="Arial" w:cs="Arial"/>
          <w:sz w:val="22"/>
          <w:szCs w:val="22"/>
        </w:rPr>
        <w:t>, 33:4, 281-304, DOI: </w:t>
      </w:r>
      <w:hyperlink r:id="rId7" w:history="1">
        <w:r w:rsidRPr="005558BA">
          <w:rPr>
            <w:rStyle w:val="Hyperlink"/>
            <w:rFonts w:ascii="Arial" w:hAnsi="Arial" w:cs="Arial"/>
            <w:color w:val="auto"/>
            <w:sz w:val="22"/>
            <w:szCs w:val="22"/>
            <w:u w:val="none"/>
          </w:rPr>
          <w:t>10.1080/07370024.2018.1437544</w:t>
        </w:r>
      </w:hyperlink>
      <w:r w:rsidRPr="005558BA">
        <w:rPr>
          <w:rFonts w:ascii="Arial" w:hAnsi="Arial" w:cs="Arial"/>
          <w:sz w:val="22"/>
          <w:szCs w:val="22"/>
        </w:rPr>
        <w:t>.</w:t>
      </w:r>
    </w:p>
    <w:p w14:paraId="4D78ACF1" w14:textId="77777777" w:rsidR="008F4624" w:rsidRPr="005558BA" w:rsidRDefault="008F4624" w:rsidP="008F4624">
      <w:pPr>
        <w:spacing w:line="360" w:lineRule="auto"/>
        <w:rPr>
          <w:rFonts w:ascii="Arial" w:hAnsi="Arial" w:cs="Arial"/>
          <w:sz w:val="22"/>
          <w:szCs w:val="22"/>
        </w:rPr>
      </w:pPr>
    </w:p>
    <w:p w14:paraId="5709925C" w14:textId="27858786" w:rsidR="008F4624" w:rsidRDefault="008F4624" w:rsidP="008F4624">
      <w:pPr>
        <w:spacing w:line="360" w:lineRule="auto"/>
        <w:rPr>
          <w:rFonts w:ascii="Arial" w:hAnsi="Arial" w:cs="Arial"/>
          <w:sz w:val="22"/>
          <w:szCs w:val="22"/>
        </w:rPr>
      </w:pPr>
      <w:r w:rsidRPr="005558BA">
        <w:rPr>
          <w:rFonts w:ascii="Arial" w:hAnsi="Arial" w:cs="Arial"/>
          <w:sz w:val="22"/>
          <w:szCs w:val="22"/>
        </w:rPr>
        <w:t>Berry, L.J., Tully, R.J. and Egan, V. (2017)</w:t>
      </w:r>
      <w:r w:rsidR="0027679C">
        <w:rPr>
          <w:rFonts w:ascii="Arial" w:hAnsi="Arial" w:cs="Arial"/>
          <w:sz w:val="22"/>
          <w:szCs w:val="22"/>
        </w:rPr>
        <w:t>.</w:t>
      </w:r>
      <w:r w:rsidRPr="005558BA">
        <w:rPr>
          <w:rFonts w:ascii="Arial" w:hAnsi="Arial" w:cs="Arial"/>
          <w:sz w:val="22"/>
          <w:szCs w:val="22"/>
        </w:rPr>
        <w:t xml:space="preserve"> “A case study approach to reducing the risks of child sexual exploitation (CSE),” </w:t>
      </w:r>
      <w:r w:rsidRPr="00622016">
        <w:rPr>
          <w:rFonts w:ascii="Arial" w:hAnsi="Arial" w:cs="Arial"/>
          <w:i/>
          <w:iCs/>
          <w:sz w:val="22"/>
          <w:szCs w:val="22"/>
        </w:rPr>
        <w:t>Journal of Child Sexual Abuse</w:t>
      </w:r>
      <w:r w:rsidRPr="005558BA">
        <w:rPr>
          <w:rFonts w:ascii="Arial" w:hAnsi="Arial" w:cs="Arial"/>
          <w:sz w:val="22"/>
          <w:szCs w:val="22"/>
        </w:rPr>
        <w:t xml:space="preserve">, 26(7), pp. 769–784. Available at: </w:t>
      </w:r>
      <w:hyperlink r:id="rId8" w:history="1">
        <w:r w:rsidRPr="005558BA">
          <w:rPr>
            <w:rStyle w:val="Hyperlink"/>
            <w:rFonts w:ascii="Arial" w:hAnsi="Arial" w:cs="Arial"/>
            <w:color w:val="auto"/>
            <w:sz w:val="22"/>
            <w:szCs w:val="22"/>
            <w:u w:val="none"/>
          </w:rPr>
          <w:t>https://doi.org/10.1080/10538712.2017.1360428</w:t>
        </w:r>
      </w:hyperlink>
      <w:r w:rsidRPr="005558BA">
        <w:rPr>
          <w:rFonts w:ascii="Arial" w:hAnsi="Arial" w:cs="Arial"/>
          <w:sz w:val="22"/>
          <w:szCs w:val="22"/>
        </w:rPr>
        <w:t>.</w:t>
      </w:r>
    </w:p>
    <w:p w14:paraId="7E9B3CE3" w14:textId="77777777" w:rsidR="008F4624" w:rsidRPr="005558BA" w:rsidRDefault="008F4624" w:rsidP="008F4624">
      <w:pPr>
        <w:spacing w:line="360" w:lineRule="auto"/>
        <w:rPr>
          <w:rFonts w:ascii="Arial" w:hAnsi="Arial" w:cs="Arial"/>
          <w:sz w:val="22"/>
          <w:szCs w:val="22"/>
        </w:rPr>
      </w:pPr>
    </w:p>
    <w:p w14:paraId="2540B61B" w14:textId="52DECFBA" w:rsidR="008F4624" w:rsidRDefault="008F4624" w:rsidP="008F4624">
      <w:pPr>
        <w:spacing w:line="360" w:lineRule="auto"/>
        <w:rPr>
          <w:rFonts w:ascii="Arial" w:hAnsi="Arial" w:cs="Arial"/>
          <w:sz w:val="22"/>
          <w:szCs w:val="22"/>
        </w:rPr>
      </w:pPr>
      <w:r w:rsidRPr="00DA15B6">
        <w:rPr>
          <w:rFonts w:ascii="Arial" w:hAnsi="Arial" w:cs="Arial"/>
          <w:sz w:val="22"/>
          <w:szCs w:val="22"/>
        </w:rPr>
        <w:t xml:space="preserve">Brewster, B. </w:t>
      </w:r>
      <w:r w:rsidR="00D51BC7" w:rsidRPr="00E03BA3">
        <w:rPr>
          <w:rFonts w:ascii="Arial" w:hAnsi="Arial" w:cs="Arial"/>
          <w:i/>
          <w:iCs/>
          <w:sz w:val="22"/>
          <w:szCs w:val="22"/>
        </w:rPr>
        <w:t>et al.</w:t>
      </w:r>
      <w:r w:rsidRPr="00DA15B6">
        <w:rPr>
          <w:rFonts w:ascii="Arial" w:hAnsi="Arial" w:cs="Arial"/>
          <w:sz w:val="22"/>
          <w:szCs w:val="22"/>
        </w:rPr>
        <w:t xml:space="preserve"> (2021)</w:t>
      </w:r>
      <w:r w:rsidR="0027679C">
        <w:rPr>
          <w:rFonts w:ascii="Arial" w:hAnsi="Arial" w:cs="Arial"/>
          <w:sz w:val="22"/>
          <w:szCs w:val="22"/>
        </w:rPr>
        <w:t>.</w:t>
      </w:r>
      <w:r w:rsidRPr="00DA15B6">
        <w:rPr>
          <w:rFonts w:ascii="Arial" w:hAnsi="Arial" w:cs="Arial"/>
          <w:sz w:val="22"/>
          <w:szCs w:val="22"/>
        </w:rPr>
        <w:t xml:space="preserve"> “Covid-19 and child criminal exploitation in the UK: Implications of the pandemic for county lines,” </w:t>
      </w:r>
      <w:r w:rsidRPr="00DA15B6">
        <w:rPr>
          <w:rFonts w:ascii="Arial" w:hAnsi="Arial" w:cs="Arial"/>
          <w:i/>
          <w:iCs/>
          <w:sz w:val="22"/>
          <w:szCs w:val="22"/>
        </w:rPr>
        <w:t>Trends in Organized Crime</w:t>
      </w:r>
      <w:r w:rsidRPr="00DA15B6">
        <w:rPr>
          <w:rFonts w:ascii="Arial" w:hAnsi="Arial" w:cs="Arial"/>
          <w:sz w:val="22"/>
          <w:szCs w:val="22"/>
        </w:rPr>
        <w:t xml:space="preserve"> [Preprint]. Available at: </w:t>
      </w:r>
      <w:hyperlink r:id="rId9" w:history="1">
        <w:r w:rsidRPr="007004DE">
          <w:rPr>
            <w:rStyle w:val="Hyperlink"/>
            <w:rFonts w:ascii="Arial" w:hAnsi="Arial" w:cs="Arial"/>
            <w:color w:val="auto"/>
            <w:sz w:val="22"/>
            <w:szCs w:val="22"/>
            <w:u w:val="none"/>
          </w:rPr>
          <w:t>https://doi.org/10.1007/s12117-021-09442-x</w:t>
        </w:r>
      </w:hyperlink>
      <w:r w:rsidRPr="007004DE">
        <w:rPr>
          <w:rFonts w:ascii="Arial" w:hAnsi="Arial" w:cs="Arial"/>
          <w:sz w:val="22"/>
          <w:szCs w:val="22"/>
        </w:rPr>
        <w:t>.</w:t>
      </w:r>
    </w:p>
    <w:p w14:paraId="3A5D802F" w14:textId="77777777" w:rsidR="008F4624" w:rsidRPr="007004DE" w:rsidRDefault="008F4624" w:rsidP="008F4624">
      <w:pPr>
        <w:spacing w:line="360" w:lineRule="auto"/>
        <w:rPr>
          <w:rFonts w:ascii="Arial" w:hAnsi="Arial" w:cs="Arial"/>
          <w:sz w:val="22"/>
          <w:szCs w:val="22"/>
        </w:rPr>
      </w:pPr>
    </w:p>
    <w:p w14:paraId="3E96E5C0" w14:textId="257DA88E" w:rsidR="008F4624" w:rsidRPr="008F4624" w:rsidRDefault="008F4624" w:rsidP="008F4624">
      <w:pPr>
        <w:spacing w:line="360" w:lineRule="auto"/>
        <w:rPr>
          <w:rFonts w:ascii="Arial" w:hAnsi="Arial" w:cs="Arial"/>
          <w:sz w:val="22"/>
          <w:szCs w:val="22"/>
        </w:rPr>
      </w:pPr>
      <w:r w:rsidRPr="005558BA">
        <w:rPr>
          <w:rFonts w:ascii="Arial" w:hAnsi="Arial" w:cs="Arial"/>
          <w:sz w:val="22"/>
          <w:szCs w:val="22"/>
        </w:rPr>
        <w:t>Choo, K.-K.R. and Smith, R.G. (2007). “Criminal exploitation of online systems by organised crime groups,” </w:t>
      </w:r>
      <w:r w:rsidRPr="005558BA">
        <w:rPr>
          <w:rFonts w:ascii="Arial" w:hAnsi="Arial" w:cs="Arial"/>
          <w:i/>
          <w:iCs/>
          <w:sz w:val="22"/>
          <w:szCs w:val="22"/>
        </w:rPr>
        <w:t>Asian Journal of Criminology</w:t>
      </w:r>
      <w:r w:rsidRPr="005558BA">
        <w:rPr>
          <w:rFonts w:ascii="Arial" w:hAnsi="Arial" w:cs="Arial"/>
          <w:sz w:val="22"/>
          <w:szCs w:val="22"/>
        </w:rPr>
        <w:t xml:space="preserve">, 3(1), pp. 37–59. Available at: </w:t>
      </w:r>
      <w:hyperlink r:id="rId10" w:history="1">
        <w:r w:rsidRPr="008F4624">
          <w:rPr>
            <w:rStyle w:val="Hyperlink"/>
            <w:rFonts w:ascii="Arial" w:hAnsi="Arial" w:cs="Arial"/>
            <w:color w:val="auto"/>
            <w:sz w:val="22"/>
            <w:szCs w:val="22"/>
            <w:u w:val="none"/>
          </w:rPr>
          <w:t>https://doi.org/10.1007/s11417-007-9035-y</w:t>
        </w:r>
      </w:hyperlink>
      <w:r w:rsidRPr="008F4624">
        <w:rPr>
          <w:rFonts w:ascii="Arial" w:hAnsi="Arial" w:cs="Arial"/>
          <w:sz w:val="22"/>
          <w:szCs w:val="22"/>
        </w:rPr>
        <w:t>. </w:t>
      </w:r>
    </w:p>
    <w:p w14:paraId="4181474A" w14:textId="77777777" w:rsidR="008F4624" w:rsidRPr="005558BA" w:rsidRDefault="008F4624" w:rsidP="008F4624">
      <w:pPr>
        <w:spacing w:line="360" w:lineRule="auto"/>
        <w:rPr>
          <w:rFonts w:ascii="Arial" w:hAnsi="Arial" w:cs="Arial"/>
          <w:sz w:val="22"/>
          <w:szCs w:val="22"/>
        </w:rPr>
      </w:pPr>
    </w:p>
    <w:p w14:paraId="0F32EDD7" w14:textId="328352BE" w:rsidR="008F4624" w:rsidRDefault="008F4624" w:rsidP="008F4624">
      <w:pPr>
        <w:spacing w:line="360" w:lineRule="auto"/>
        <w:rPr>
          <w:rFonts w:ascii="Arial" w:hAnsi="Arial" w:cs="Arial"/>
          <w:sz w:val="22"/>
          <w:szCs w:val="22"/>
        </w:rPr>
      </w:pPr>
      <w:r w:rsidRPr="005558BA">
        <w:rPr>
          <w:rFonts w:ascii="Arial" w:hAnsi="Arial" w:cs="Arial"/>
          <w:sz w:val="22"/>
          <w:szCs w:val="22"/>
        </w:rPr>
        <w:t xml:space="preserve">College of Policing, (2022). Introduction to vulnerability-related risk. [Online]. Available at </w:t>
      </w:r>
      <w:hyperlink r:id="rId11" w:history="1">
        <w:r w:rsidRPr="005558BA">
          <w:rPr>
            <w:rStyle w:val="Hyperlink"/>
            <w:rFonts w:ascii="Arial" w:hAnsi="Arial" w:cs="Arial"/>
            <w:color w:val="auto"/>
            <w:sz w:val="22"/>
            <w:szCs w:val="22"/>
            <w:u w:val="none"/>
          </w:rPr>
          <w:t>https://www.college.police.uk/guidance/vulnerability-related-risks/introduction-vulnerability-related-risk</w:t>
        </w:r>
      </w:hyperlink>
      <w:r w:rsidRPr="005558BA">
        <w:rPr>
          <w:rFonts w:ascii="Arial" w:hAnsi="Arial" w:cs="Arial"/>
          <w:sz w:val="22"/>
          <w:szCs w:val="22"/>
        </w:rPr>
        <w:t>. Accessed on December 8 2022.</w:t>
      </w:r>
      <w:r>
        <w:rPr>
          <w:rFonts w:ascii="Arial" w:hAnsi="Arial" w:cs="Arial"/>
          <w:sz w:val="22"/>
          <w:szCs w:val="22"/>
        </w:rPr>
        <w:t xml:space="preserve"> </w:t>
      </w:r>
      <w:r w:rsidRPr="00622016">
        <w:rPr>
          <w:rFonts w:ascii="Arial" w:hAnsi="Arial" w:cs="Arial"/>
          <w:sz w:val="22"/>
          <w:szCs w:val="22"/>
        </w:rPr>
        <w:t>DOI: 10.15406/frcij.2021.09.00340</w:t>
      </w:r>
    </w:p>
    <w:p w14:paraId="2A8FE97F" w14:textId="77777777" w:rsidR="008F4624" w:rsidRDefault="008F4624" w:rsidP="008F4624">
      <w:pPr>
        <w:spacing w:line="360" w:lineRule="auto"/>
        <w:rPr>
          <w:rFonts w:ascii="Arial" w:hAnsi="Arial" w:cs="Arial"/>
          <w:sz w:val="22"/>
          <w:szCs w:val="22"/>
        </w:rPr>
      </w:pPr>
    </w:p>
    <w:p w14:paraId="2FDAFCF1" w14:textId="48ACDC26" w:rsidR="008F4624" w:rsidRDefault="008F4624" w:rsidP="008F4624">
      <w:pPr>
        <w:spacing w:line="360" w:lineRule="auto"/>
        <w:rPr>
          <w:rFonts w:ascii="Arial" w:hAnsi="Arial" w:cs="Arial"/>
          <w:sz w:val="22"/>
          <w:szCs w:val="22"/>
        </w:rPr>
      </w:pPr>
      <w:r w:rsidRPr="005558BA">
        <w:rPr>
          <w:rFonts w:ascii="Arial" w:hAnsi="Arial" w:cs="Arial"/>
          <w:sz w:val="22"/>
          <w:szCs w:val="22"/>
        </w:rPr>
        <w:t>Glover Williams, A. and Finlay, F. (2018)</w:t>
      </w:r>
      <w:r w:rsidR="0027679C">
        <w:rPr>
          <w:rFonts w:ascii="Arial" w:hAnsi="Arial" w:cs="Arial"/>
          <w:sz w:val="22"/>
          <w:szCs w:val="22"/>
        </w:rPr>
        <w:t>.</w:t>
      </w:r>
      <w:r w:rsidRPr="005558BA">
        <w:rPr>
          <w:rFonts w:ascii="Arial" w:hAnsi="Arial" w:cs="Arial"/>
          <w:sz w:val="22"/>
          <w:szCs w:val="22"/>
        </w:rPr>
        <w:t xml:space="preserve"> “County lines: How gang crime is affecting our young people</w:t>
      </w:r>
      <w:r w:rsidRPr="00622016">
        <w:rPr>
          <w:rFonts w:ascii="Arial" w:hAnsi="Arial" w:cs="Arial"/>
          <w:sz w:val="22"/>
          <w:szCs w:val="22"/>
        </w:rPr>
        <w:t xml:space="preserve">,” </w:t>
      </w:r>
      <w:r w:rsidRPr="00622016">
        <w:rPr>
          <w:rFonts w:ascii="Arial" w:hAnsi="Arial" w:cs="Arial"/>
          <w:i/>
          <w:iCs/>
          <w:sz w:val="22"/>
          <w:szCs w:val="22"/>
        </w:rPr>
        <w:t>Archives of Disease in Childhood</w:t>
      </w:r>
      <w:r w:rsidRPr="005558BA">
        <w:rPr>
          <w:rFonts w:ascii="Arial" w:hAnsi="Arial" w:cs="Arial"/>
          <w:sz w:val="22"/>
          <w:szCs w:val="22"/>
        </w:rPr>
        <w:t xml:space="preserve">, 104(8), pp. 730–732. Available at: </w:t>
      </w:r>
      <w:hyperlink r:id="rId12" w:history="1">
        <w:r w:rsidRPr="005558BA">
          <w:rPr>
            <w:rStyle w:val="Hyperlink"/>
            <w:rFonts w:ascii="Arial" w:hAnsi="Arial" w:cs="Arial"/>
            <w:color w:val="auto"/>
            <w:sz w:val="22"/>
            <w:szCs w:val="22"/>
            <w:u w:val="none"/>
          </w:rPr>
          <w:t>https://doi.org/10.1136/archdischild-2018-315909</w:t>
        </w:r>
      </w:hyperlink>
      <w:r w:rsidRPr="005558BA">
        <w:rPr>
          <w:rFonts w:ascii="Arial" w:hAnsi="Arial" w:cs="Arial"/>
          <w:sz w:val="22"/>
          <w:szCs w:val="22"/>
        </w:rPr>
        <w:t>.</w:t>
      </w:r>
    </w:p>
    <w:p w14:paraId="4F0526AE" w14:textId="77777777" w:rsidR="008F4624" w:rsidRPr="005558BA" w:rsidRDefault="008F4624" w:rsidP="008F4624">
      <w:pPr>
        <w:spacing w:line="360" w:lineRule="auto"/>
        <w:rPr>
          <w:rFonts w:ascii="Arial" w:hAnsi="Arial" w:cs="Arial"/>
          <w:sz w:val="22"/>
          <w:szCs w:val="22"/>
        </w:rPr>
      </w:pPr>
    </w:p>
    <w:p w14:paraId="7F2666FD" w14:textId="730A1810" w:rsidR="008F4624" w:rsidRDefault="008F4624" w:rsidP="008F4624">
      <w:pPr>
        <w:spacing w:line="360" w:lineRule="auto"/>
        <w:rPr>
          <w:rFonts w:ascii="Arial" w:hAnsi="Arial" w:cs="Arial"/>
          <w:sz w:val="22"/>
          <w:szCs w:val="22"/>
        </w:rPr>
      </w:pPr>
      <w:r>
        <w:rPr>
          <w:rFonts w:ascii="Arial" w:hAnsi="Arial" w:cs="Arial"/>
          <w:sz w:val="22"/>
          <w:szCs w:val="22"/>
        </w:rPr>
        <w:t xml:space="preserve">Home Office, (2018). Criminal Exploitation of children and vulnerable adults: County Lines guidance. [Online]. Available at </w:t>
      </w:r>
      <w:hyperlink r:id="rId13" w:history="1">
        <w:r w:rsidRPr="001A48C7">
          <w:rPr>
            <w:rStyle w:val="Hyperlink"/>
            <w:rFonts w:ascii="Arial" w:hAnsi="Arial" w:cs="Arial"/>
            <w:color w:val="auto"/>
            <w:sz w:val="22"/>
            <w:szCs w:val="22"/>
            <w:u w:val="none"/>
          </w:rPr>
          <w:t>https://assets.publishing.service.gov.uk/government/uploads/system/uploads/attachment_data/file/863323/HOCountyLinesGuidance_-_Sept2018.pdf</w:t>
        </w:r>
      </w:hyperlink>
      <w:r w:rsidRPr="001A48C7">
        <w:rPr>
          <w:rFonts w:ascii="Arial" w:hAnsi="Arial" w:cs="Arial"/>
          <w:sz w:val="22"/>
          <w:szCs w:val="22"/>
        </w:rPr>
        <w:t xml:space="preserve"> Accessed on January 6th 2023.</w:t>
      </w:r>
    </w:p>
    <w:p w14:paraId="654A243B" w14:textId="77777777" w:rsidR="008F4624" w:rsidRDefault="008F4624" w:rsidP="008F4624">
      <w:pPr>
        <w:spacing w:line="360" w:lineRule="auto"/>
        <w:rPr>
          <w:rFonts w:ascii="Arial" w:hAnsi="Arial" w:cs="Arial"/>
          <w:sz w:val="22"/>
          <w:szCs w:val="22"/>
        </w:rPr>
      </w:pPr>
    </w:p>
    <w:p w14:paraId="7F49F603" w14:textId="13A9C64B" w:rsidR="008F4624" w:rsidRDefault="008F4624" w:rsidP="008F4624">
      <w:pPr>
        <w:spacing w:line="360" w:lineRule="auto"/>
        <w:rPr>
          <w:rFonts w:ascii="Arial" w:hAnsi="Arial" w:cs="Arial"/>
          <w:sz w:val="22"/>
          <w:szCs w:val="22"/>
        </w:rPr>
      </w:pPr>
      <w:r w:rsidRPr="005558BA">
        <w:rPr>
          <w:rFonts w:ascii="Arial" w:hAnsi="Arial" w:cs="Arial"/>
          <w:sz w:val="22"/>
          <w:szCs w:val="22"/>
        </w:rPr>
        <w:t xml:space="preserve">Home Office, (2022). National referral mechanism guidance: adult (England and Wales. [Online]. Available at </w:t>
      </w:r>
      <w:hyperlink r:id="rId14" w:history="1">
        <w:r w:rsidRPr="005558BA">
          <w:rPr>
            <w:rStyle w:val="Hyperlink"/>
            <w:rFonts w:ascii="Arial" w:hAnsi="Arial" w:cs="Arial"/>
            <w:color w:val="auto"/>
            <w:sz w:val="22"/>
            <w:szCs w:val="22"/>
            <w:u w:val="none"/>
          </w:rPr>
          <w:t>https://www.gov.uk/government/publications/human-trafficking-victims-referral-and-assessment-forms/guidance-on-the-national-referral-mechanism-for-potential-adult-victims-of-modern-slavery-england-and-wales</w:t>
        </w:r>
      </w:hyperlink>
      <w:r w:rsidRPr="005558BA">
        <w:rPr>
          <w:rFonts w:ascii="Arial" w:hAnsi="Arial" w:cs="Arial"/>
          <w:sz w:val="22"/>
          <w:szCs w:val="22"/>
        </w:rPr>
        <w:t xml:space="preserve"> Accessed on January 6th 2023.</w:t>
      </w:r>
    </w:p>
    <w:p w14:paraId="7328DFFE" w14:textId="77777777" w:rsidR="008F4624" w:rsidRPr="005558BA" w:rsidRDefault="008F4624" w:rsidP="008F4624">
      <w:pPr>
        <w:spacing w:line="360" w:lineRule="auto"/>
        <w:rPr>
          <w:rFonts w:ascii="Arial" w:hAnsi="Arial" w:cs="Arial"/>
          <w:sz w:val="22"/>
          <w:szCs w:val="22"/>
        </w:rPr>
      </w:pPr>
    </w:p>
    <w:p w14:paraId="536FC5E7" w14:textId="741F9210" w:rsidR="008F4624" w:rsidRDefault="008F4624" w:rsidP="008F4624">
      <w:pPr>
        <w:spacing w:line="360" w:lineRule="auto"/>
        <w:rPr>
          <w:rFonts w:ascii="Arial" w:hAnsi="Arial" w:cs="Arial"/>
          <w:sz w:val="22"/>
          <w:szCs w:val="22"/>
        </w:rPr>
      </w:pPr>
      <w:r>
        <w:rPr>
          <w:rFonts w:ascii="Arial" w:hAnsi="Arial" w:cs="Arial"/>
          <w:sz w:val="22"/>
          <w:szCs w:val="22"/>
        </w:rPr>
        <w:lastRenderedPageBreak/>
        <w:t xml:space="preserve">Kelly, L., and </w:t>
      </w:r>
      <w:proofErr w:type="spellStart"/>
      <w:r>
        <w:rPr>
          <w:rFonts w:ascii="Arial" w:hAnsi="Arial" w:cs="Arial"/>
          <w:sz w:val="22"/>
          <w:szCs w:val="22"/>
        </w:rPr>
        <w:t>Karsna</w:t>
      </w:r>
      <w:proofErr w:type="spellEnd"/>
      <w:r>
        <w:rPr>
          <w:rFonts w:ascii="Arial" w:hAnsi="Arial" w:cs="Arial"/>
          <w:sz w:val="22"/>
          <w:szCs w:val="22"/>
        </w:rPr>
        <w:t xml:space="preserve">, K. (2017). “Measuring the scale and changing nature of child sexual abuse and child </w:t>
      </w:r>
      <w:r w:rsidRPr="001A48C7">
        <w:rPr>
          <w:rFonts w:ascii="Arial" w:hAnsi="Arial" w:cs="Arial"/>
          <w:sz w:val="22"/>
          <w:szCs w:val="22"/>
        </w:rPr>
        <w:t>sexual exploitation: Scoping report.</w:t>
      </w:r>
      <w:r>
        <w:rPr>
          <w:rFonts w:ascii="Arial" w:hAnsi="Arial" w:cs="Arial"/>
          <w:sz w:val="22"/>
          <w:szCs w:val="22"/>
        </w:rPr>
        <w:t>”</w:t>
      </w:r>
      <w:r w:rsidRPr="001A48C7">
        <w:rPr>
          <w:rFonts w:ascii="Arial" w:hAnsi="Arial" w:cs="Arial"/>
          <w:sz w:val="22"/>
          <w:szCs w:val="22"/>
        </w:rPr>
        <w:t xml:space="preserve"> [Online]. Available at </w:t>
      </w:r>
      <w:hyperlink r:id="rId15" w:history="1">
        <w:r w:rsidRPr="001A48C7">
          <w:rPr>
            <w:rStyle w:val="Hyperlink"/>
            <w:rFonts w:ascii="Arial" w:hAnsi="Arial" w:cs="Arial"/>
            <w:color w:val="auto"/>
            <w:sz w:val="22"/>
            <w:szCs w:val="22"/>
            <w:u w:val="none"/>
          </w:rPr>
          <w:t>https://repository.londonmet.ac.uk/1525/1/18871_CSA_Scoping_paper_web_FA.pdf</w:t>
        </w:r>
      </w:hyperlink>
      <w:r w:rsidRPr="001A48C7">
        <w:rPr>
          <w:rFonts w:ascii="Arial" w:hAnsi="Arial" w:cs="Arial"/>
          <w:sz w:val="22"/>
          <w:szCs w:val="22"/>
        </w:rPr>
        <w:t xml:space="preserve"> Accessed on January 7th 2023.</w:t>
      </w:r>
    </w:p>
    <w:p w14:paraId="090E0959" w14:textId="77777777" w:rsidR="008F4624" w:rsidRPr="001A48C7" w:rsidRDefault="008F4624" w:rsidP="008F4624">
      <w:pPr>
        <w:spacing w:line="360" w:lineRule="auto"/>
        <w:rPr>
          <w:rFonts w:ascii="Arial" w:hAnsi="Arial" w:cs="Arial"/>
          <w:sz w:val="22"/>
          <w:szCs w:val="22"/>
        </w:rPr>
      </w:pPr>
    </w:p>
    <w:p w14:paraId="02080FA8" w14:textId="7A895088" w:rsidR="008F4624" w:rsidRDefault="008F4624" w:rsidP="008F4624">
      <w:pPr>
        <w:spacing w:line="360" w:lineRule="auto"/>
        <w:rPr>
          <w:rFonts w:ascii="Arial" w:hAnsi="Arial" w:cs="Arial"/>
          <w:sz w:val="22"/>
          <w:szCs w:val="22"/>
        </w:rPr>
      </w:pPr>
      <w:r w:rsidRPr="001A48C7">
        <w:rPr>
          <w:rFonts w:ascii="Arial" w:hAnsi="Arial" w:cs="Arial"/>
          <w:sz w:val="22"/>
          <w:szCs w:val="22"/>
        </w:rPr>
        <w:t xml:space="preserve">National Crime Agency, (2019). Intelligence Assessment: County Lines Drug Supply, Vulnerability and Harm 2018. [Online]. Available at </w:t>
      </w:r>
      <w:hyperlink r:id="rId16" w:history="1">
        <w:r w:rsidRPr="001A48C7">
          <w:rPr>
            <w:rStyle w:val="Hyperlink"/>
            <w:rFonts w:ascii="Arial" w:hAnsi="Arial" w:cs="Arial"/>
            <w:color w:val="auto"/>
            <w:sz w:val="22"/>
            <w:szCs w:val="22"/>
            <w:u w:val="none"/>
          </w:rPr>
          <w:t>https://www.nationalcrimeagency.gov.uk/who-we-are/publications/257-county-lines-drug-supply-vulnerability-and-harm-2018/file</w:t>
        </w:r>
      </w:hyperlink>
      <w:r w:rsidRPr="001A48C7">
        <w:rPr>
          <w:rFonts w:ascii="Arial" w:hAnsi="Arial" w:cs="Arial"/>
          <w:sz w:val="22"/>
          <w:szCs w:val="22"/>
        </w:rPr>
        <w:t xml:space="preserve"> Accessed on January 6th 2023.</w:t>
      </w:r>
    </w:p>
    <w:p w14:paraId="00E360E5" w14:textId="77777777" w:rsidR="008F4624" w:rsidRDefault="008F4624" w:rsidP="008F4624">
      <w:pPr>
        <w:spacing w:line="360" w:lineRule="auto"/>
        <w:rPr>
          <w:rFonts w:ascii="Arial" w:hAnsi="Arial" w:cs="Arial"/>
          <w:sz w:val="22"/>
          <w:szCs w:val="22"/>
        </w:rPr>
      </w:pPr>
    </w:p>
    <w:p w14:paraId="0A4D4041" w14:textId="2E08E053" w:rsidR="008F4624" w:rsidRDefault="008F4624" w:rsidP="008F4624">
      <w:pPr>
        <w:spacing w:line="360" w:lineRule="auto"/>
        <w:rPr>
          <w:rFonts w:ascii="Arial" w:hAnsi="Arial" w:cs="Arial"/>
          <w:sz w:val="22"/>
          <w:szCs w:val="22"/>
        </w:rPr>
      </w:pPr>
      <w:r w:rsidRPr="005558BA">
        <w:rPr>
          <w:rFonts w:ascii="Arial" w:hAnsi="Arial" w:cs="Arial"/>
          <w:sz w:val="22"/>
          <w:szCs w:val="22"/>
        </w:rPr>
        <w:t xml:space="preserve">National Crime Agency, (2023). County Lines. [Online]. Available at </w:t>
      </w:r>
      <w:hyperlink r:id="rId17" w:history="1">
        <w:r w:rsidRPr="005558BA">
          <w:rPr>
            <w:rStyle w:val="Hyperlink"/>
            <w:rFonts w:ascii="Arial" w:hAnsi="Arial" w:cs="Arial"/>
            <w:color w:val="auto"/>
            <w:sz w:val="22"/>
            <w:szCs w:val="22"/>
            <w:u w:val="none"/>
          </w:rPr>
          <w:t>https://www.nationalcrimeagency.gov.uk/what-we-do/crime-threats/drug-trafficking/county-lines</w:t>
        </w:r>
      </w:hyperlink>
      <w:r w:rsidRPr="005558BA">
        <w:rPr>
          <w:rFonts w:ascii="Arial" w:hAnsi="Arial" w:cs="Arial"/>
          <w:sz w:val="22"/>
          <w:szCs w:val="22"/>
        </w:rPr>
        <w:t xml:space="preserve"> Accessed on January 6th 2023.</w:t>
      </w:r>
    </w:p>
    <w:p w14:paraId="25928D4C" w14:textId="77777777" w:rsidR="008F4624" w:rsidRPr="005558BA" w:rsidRDefault="008F4624" w:rsidP="008F4624">
      <w:pPr>
        <w:spacing w:line="360" w:lineRule="auto"/>
        <w:rPr>
          <w:rFonts w:ascii="Arial" w:hAnsi="Arial" w:cs="Arial"/>
          <w:sz w:val="22"/>
          <w:szCs w:val="22"/>
        </w:rPr>
      </w:pPr>
    </w:p>
    <w:p w14:paraId="6E5F5B53" w14:textId="6F18B1E3" w:rsidR="008F4624" w:rsidRDefault="008F4624" w:rsidP="008F4624">
      <w:pPr>
        <w:spacing w:line="360" w:lineRule="auto"/>
        <w:rPr>
          <w:rFonts w:ascii="Arial" w:hAnsi="Arial" w:cs="Arial"/>
          <w:sz w:val="22"/>
          <w:szCs w:val="22"/>
        </w:rPr>
      </w:pPr>
      <w:r w:rsidRPr="001139B2">
        <w:rPr>
          <w:rFonts w:ascii="Arial" w:hAnsi="Arial" w:cs="Arial"/>
          <w:sz w:val="22"/>
          <w:szCs w:val="22"/>
        </w:rPr>
        <w:t>National Police Chiefs’ Council</w:t>
      </w:r>
      <w:r>
        <w:rPr>
          <w:rFonts w:ascii="Arial" w:hAnsi="Arial" w:cs="Arial"/>
          <w:sz w:val="22"/>
          <w:szCs w:val="22"/>
        </w:rPr>
        <w:t>,</w:t>
      </w:r>
      <w:r w:rsidRPr="001139B2">
        <w:rPr>
          <w:rFonts w:ascii="Arial" w:hAnsi="Arial" w:cs="Arial"/>
          <w:sz w:val="22"/>
          <w:szCs w:val="22"/>
        </w:rPr>
        <w:t xml:space="preserve"> (2020)</w:t>
      </w:r>
      <w:r>
        <w:rPr>
          <w:rFonts w:ascii="Arial" w:hAnsi="Arial" w:cs="Arial"/>
          <w:sz w:val="22"/>
          <w:szCs w:val="22"/>
        </w:rPr>
        <w:t>.</w:t>
      </w:r>
      <w:r w:rsidRPr="001139B2">
        <w:rPr>
          <w:rFonts w:ascii="Arial" w:hAnsi="Arial" w:cs="Arial"/>
          <w:sz w:val="22"/>
          <w:szCs w:val="22"/>
        </w:rPr>
        <w:t xml:space="preserve"> “Sustained falls in recorded crime reported throughout lockdown.” NPCC.</w:t>
      </w:r>
      <w:r>
        <w:rPr>
          <w:rFonts w:ascii="Arial" w:hAnsi="Arial" w:cs="Arial"/>
          <w:sz w:val="22"/>
          <w:szCs w:val="22"/>
        </w:rPr>
        <w:t xml:space="preserve"> [Online]. Available at:</w:t>
      </w:r>
      <w:r w:rsidRPr="001139B2">
        <w:rPr>
          <w:rFonts w:ascii="Arial" w:hAnsi="Arial" w:cs="Arial"/>
          <w:sz w:val="22"/>
          <w:szCs w:val="22"/>
        </w:rPr>
        <w:t xml:space="preserve"> https://news.npcc.police.uk/releases/sustained-falls-in-recorded-crime-reportedthroughout-lockdown. Accessed </w:t>
      </w:r>
      <w:r>
        <w:rPr>
          <w:rFonts w:ascii="Arial" w:hAnsi="Arial" w:cs="Arial"/>
          <w:sz w:val="22"/>
          <w:szCs w:val="22"/>
        </w:rPr>
        <w:t>6th January 2023.</w:t>
      </w:r>
    </w:p>
    <w:p w14:paraId="216D3EF0" w14:textId="77777777" w:rsidR="008F4624" w:rsidRDefault="008F4624" w:rsidP="008F4624">
      <w:pPr>
        <w:spacing w:line="360" w:lineRule="auto"/>
        <w:rPr>
          <w:rFonts w:ascii="Arial" w:hAnsi="Arial" w:cs="Arial"/>
          <w:sz w:val="22"/>
          <w:szCs w:val="22"/>
        </w:rPr>
      </w:pPr>
    </w:p>
    <w:p w14:paraId="267FE10A" w14:textId="2A8667B0" w:rsidR="008F4624" w:rsidRDefault="008F4624" w:rsidP="008F4624">
      <w:pPr>
        <w:spacing w:line="360" w:lineRule="auto"/>
        <w:rPr>
          <w:rFonts w:ascii="Arial" w:hAnsi="Arial" w:cs="Arial"/>
          <w:sz w:val="22"/>
          <w:szCs w:val="22"/>
        </w:rPr>
      </w:pPr>
      <w:r w:rsidRPr="005558BA">
        <w:rPr>
          <w:rFonts w:ascii="Arial" w:hAnsi="Arial" w:cs="Arial"/>
          <w:sz w:val="22"/>
          <w:szCs w:val="22"/>
        </w:rPr>
        <w:t xml:space="preserve">O’Brien, F., Palmer, S. and </w:t>
      </w:r>
      <w:proofErr w:type="spellStart"/>
      <w:r w:rsidRPr="005558BA">
        <w:rPr>
          <w:rFonts w:ascii="Arial" w:hAnsi="Arial" w:cs="Arial"/>
          <w:sz w:val="22"/>
          <w:szCs w:val="22"/>
        </w:rPr>
        <w:t>Blinkhorn</w:t>
      </w:r>
      <w:proofErr w:type="spellEnd"/>
      <w:r w:rsidRPr="005558BA">
        <w:rPr>
          <w:rFonts w:ascii="Arial" w:hAnsi="Arial" w:cs="Arial"/>
          <w:sz w:val="22"/>
          <w:szCs w:val="22"/>
        </w:rPr>
        <w:t>, V. (2022)</w:t>
      </w:r>
      <w:r w:rsidR="0027679C">
        <w:rPr>
          <w:rFonts w:ascii="Arial" w:hAnsi="Arial" w:cs="Arial"/>
          <w:sz w:val="22"/>
          <w:szCs w:val="22"/>
        </w:rPr>
        <w:t>.</w:t>
      </w:r>
      <w:r w:rsidRPr="005558BA">
        <w:rPr>
          <w:rFonts w:ascii="Arial" w:hAnsi="Arial" w:cs="Arial"/>
          <w:sz w:val="22"/>
          <w:szCs w:val="22"/>
        </w:rPr>
        <w:t xml:space="preserve"> “Factors that predict </w:t>
      </w:r>
      <w:r w:rsidRPr="008F4624">
        <w:rPr>
          <w:rFonts w:ascii="Arial" w:hAnsi="Arial" w:cs="Arial"/>
          <w:sz w:val="22"/>
          <w:szCs w:val="22"/>
        </w:rPr>
        <w:t>the referral of adult modern day slavery cases to the UK's National Referral Mechanism</w:t>
      </w:r>
      <w:r w:rsidRPr="00622016">
        <w:rPr>
          <w:rFonts w:ascii="Arial" w:hAnsi="Arial" w:cs="Arial"/>
          <w:i/>
          <w:iCs/>
          <w:sz w:val="22"/>
          <w:szCs w:val="22"/>
        </w:rPr>
        <w:t>,” International Journal of Police Science &amp; Management</w:t>
      </w:r>
      <w:r w:rsidRPr="005558BA">
        <w:rPr>
          <w:rFonts w:ascii="Arial" w:hAnsi="Arial" w:cs="Arial"/>
          <w:sz w:val="22"/>
          <w:szCs w:val="22"/>
        </w:rPr>
        <w:t xml:space="preserve">, 24(3), pp. 273–284. Available at: </w:t>
      </w:r>
      <w:hyperlink r:id="rId18" w:history="1">
        <w:r w:rsidRPr="005558BA">
          <w:rPr>
            <w:rStyle w:val="Hyperlink"/>
            <w:rFonts w:ascii="Arial" w:hAnsi="Arial" w:cs="Arial"/>
            <w:color w:val="auto"/>
            <w:sz w:val="22"/>
            <w:szCs w:val="22"/>
            <w:u w:val="none"/>
          </w:rPr>
          <w:t>https://doi.org/10.1177/14613557221074989</w:t>
        </w:r>
      </w:hyperlink>
      <w:r w:rsidRPr="005558BA">
        <w:rPr>
          <w:rFonts w:ascii="Arial" w:hAnsi="Arial" w:cs="Arial"/>
          <w:sz w:val="22"/>
          <w:szCs w:val="22"/>
        </w:rPr>
        <w:t>.</w:t>
      </w:r>
    </w:p>
    <w:p w14:paraId="0F84CF5D" w14:textId="77777777" w:rsidR="008F4624" w:rsidRPr="005558BA" w:rsidRDefault="008F4624" w:rsidP="008F4624">
      <w:pPr>
        <w:spacing w:line="360" w:lineRule="auto"/>
        <w:rPr>
          <w:rFonts w:ascii="Arial" w:hAnsi="Arial" w:cs="Arial"/>
          <w:sz w:val="22"/>
          <w:szCs w:val="22"/>
        </w:rPr>
      </w:pPr>
    </w:p>
    <w:p w14:paraId="12E90551" w14:textId="6D4AEA17" w:rsidR="008F4624" w:rsidRDefault="008F4624" w:rsidP="008F4624">
      <w:pPr>
        <w:spacing w:line="360" w:lineRule="auto"/>
        <w:rPr>
          <w:rFonts w:ascii="Arial" w:hAnsi="Arial" w:cs="Arial"/>
          <w:sz w:val="22"/>
          <w:szCs w:val="22"/>
        </w:rPr>
      </w:pPr>
      <w:r w:rsidRPr="00622016">
        <w:rPr>
          <w:rFonts w:ascii="Arial" w:hAnsi="Arial" w:cs="Arial"/>
          <w:sz w:val="22"/>
          <w:szCs w:val="22"/>
        </w:rPr>
        <w:t xml:space="preserve">O’Hagan A, Edmundson CJ. </w:t>
      </w:r>
      <w:r>
        <w:rPr>
          <w:rFonts w:ascii="Arial" w:hAnsi="Arial" w:cs="Arial"/>
          <w:sz w:val="22"/>
          <w:szCs w:val="22"/>
        </w:rPr>
        <w:t>(2021). “</w:t>
      </w:r>
      <w:r w:rsidRPr="00622016">
        <w:rPr>
          <w:rFonts w:ascii="Arial" w:hAnsi="Arial" w:cs="Arial"/>
          <w:sz w:val="22"/>
          <w:szCs w:val="22"/>
        </w:rPr>
        <w:t>County lines: The exploitation of vulnerable members of society.</w:t>
      </w:r>
      <w:r>
        <w:rPr>
          <w:rFonts w:ascii="Arial" w:hAnsi="Arial" w:cs="Arial"/>
          <w:sz w:val="22"/>
          <w:szCs w:val="22"/>
        </w:rPr>
        <w:t>”</w:t>
      </w:r>
      <w:r w:rsidRPr="00622016">
        <w:rPr>
          <w:rFonts w:ascii="Arial" w:hAnsi="Arial" w:cs="Arial"/>
          <w:sz w:val="22"/>
          <w:szCs w:val="22"/>
        </w:rPr>
        <w:t xml:space="preserve"> </w:t>
      </w:r>
      <w:r w:rsidRPr="00622016">
        <w:rPr>
          <w:rFonts w:ascii="Arial" w:hAnsi="Arial" w:cs="Arial"/>
          <w:i/>
          <w:iCs/>
          <w:sz w:val="22"/>
          <w:szCs w:val="22"/>
        </w:rPr>
        <w:t>Forensic Research and Criminology International Journal</w:t>
      </w:r>
      <w:r w:rsidRPr="00622016">
        <w:rPr>
          <w:rFonts w:ascii="Arial" w:hAnsi="Arial" w:cs="Arial"/>
          <w:sz w:val="22"/>
          <w:szCs w:val="22"/>
        </w:rPr>
        <w:t>. 9(2)</w:t>
      </w:r>
      <w:r>
        <w:rPr>
          <w:rFonts w:ascii="Arial" w:hAnsi="Arial" w:cs="Arial"/>
          <w:sz w:val="22"/>
          <w:szCs w:val="22"/>
        </w:rPr>
        <w:t>, pp.</w:t>
      </w:r>
      <w:r w:rsidRPr="00622016">
        <w:rPr>
          <w:rFonts w:ascii="Arial" w:hAnsi="Arial" w:cs="Arial"/>
          <w:sz w:val="22"/>
          <w:szCs w:val="22"/>
        </w:rPr>
        <w:t>47‒57.</w:t>
      </w:r>
    </w:p>
    <w:p w14:paraId="62C66350" w14:textId="77777777" w:rsidR="008F4624" w:rsidRPr="00622016" w:rsidRDefault="008F4624" w:rsidP="008F4624">
      <w:pPr>
        <w:spacing w:line="360" w:lineRule="auto"/>
        <w:rPr>
          <w:rFonts w:ascii="Arial" w:hAnsi="Arial" w:cs="Arial"/>
          <w:sz w:val="22"/>
          <w:szCs w:val="22"/>
        </w:rPr>
      </w:pPr>
    </w:p>
    <w:p w14:paraId="7580C47C" w14:textId="49F26DC9" w:rsidR="00202815" w:rsidRDefault="008F4624" w:rsidP="008F4624">
      <w:pPr>
        <w:spacing w:line="360" w:lineRule="auto"/>
        <w:rPr>
          <w:rFonts w:ascii="Arial" w:hAnsi="Arial" w:cs="Arial"/>
          <w:sz w:val="22"/>
          <w:szCs w:val="22"/>
        </w:rPr>
      </w:pPr>
      <w:r>
        <w:rPr>
          <w:rFonts w:ascii="Arial" w:hAnsi="Arial" w:cs="Arial"/>
          <w:sz w:val="22"/>
          <w:szCs w:val="22"/>
        </w:rPr>
        <w:t xml:space="preserve">Office for National Statistics, (2022). Child victims of modern slavery in the UK: March 2022. [Online]. Available at </w:t>
      </w:r>
      <w:hyperlink r:id="rId19" w:anchor=":~:text=boys%20who%20received%20a%20positive,aged%2015%20to%2017%20years" w:history="1">
        <w:r w:rsidRPr="00536B14">
          <w:rPr>
            <w:rStyle w:val="Hyperlink"/>
            <w:rFonts w:ascii="Arial" w:hAnsi="Arial" w:cs="Arial"/>
            <w:color w:val="auto"/>
            <w:sz w:val="22"/>
            <w:szCs w:val="22"/>
            <w:u w:val="none"/>
          </w:rPr>
          <w:t>https://www.ons.gov.uk/peoplepopulationandcommunity/crimeandjustice/bulletins/childvictimsofmodernslaveryintheuk/march2022#:~:text=boys%20who%20received%20a%20positive,aged%2015%20to%2017%20years</w:t>
        </w:r>
      </w:hyperlink>
      <w:r w:rsidRPr="00536B14">
        <w:rPr>
          <w:rFonts w:ascii="Arial" w:hAnsi="Arial" w:cs="Arial"/>
          <w:sz w:val="22"/>
          <w:szCs w:val="22"/>
        </w:rPr>
        <w:t xml:space="preserve"> Accessed on January 4</w:t>
      </w:r>
      <w:r w:rsidRPr="00536B14">
        <w:rPr>
          <w:rFonts w:ascii="Arial" w:hAnsi="Arial" w:cs="Arial"/>
          <w:sz w:val="22"/>
          <w:szCs w:val="22"/>
          <w:vertAlign w:val="superscript"/>
        </w:rPr>
        <w:t>th</w:t>
      </w:r>
      <w:r w:rsidRPr="00536B14">
        <w:rPr>
          <w:rFonts w:ascii="Arial" w:hAnsi="Arial" w:cs="Arial"/>
          <w:sz w:val="22"/>
          <w:szCs w:val="22"/>
        </w:rPr>
        <w:t xml:space="preserve"> 2023.</w:t>
      </w:r>
    </w:p>
    <w:p w14:paraId="3DA47528" w14:textId="77777777" w:rsidR="00202815" w:rsidRDefault="00202815" w:rsidP="00202815">
      <w:pPr>
        <w:spacing w:line="360" w:lineRule="auto"/>
        <w:rPr>
          <w:rFonts w:ascii="Arial" w:hAnsi="Arial" w:cs="Arial"/>
          <w:sz w:val="22"/>
          <w:szCs w:val="22"/>
        </w:rPr>
      </w:pPr>
      <w:proofErr w:type="spellStart"/>
      <w:r>
        <w:rPr>
          <w:rFonts w:ascii="Arial" w:hAnsi="Arial" w:cs="Arial"/>
          <w:sz w:val="22"/>
          <w:szCs w:val="22"/>
        </w:rPr>
        <w:t>Papadaki</w:t>
      </w:r>
      <w:proofErr w:type="spellEnd"/>
      <w:r>
        <w:rPr>
          <w:rFonts w:ascii="Arial" w:hAnsi="Arial" w:cs="Arial"/>
          <w:sz w:val="22"/>
          <w:szCs w:val="22"/>
        </w:rPr>
        <w:t xml:space="preserve">, H. (2020). “Underground Lives: Criminal Exploitation of Adult Victims”. [Online]. </w:t>
      </w:r>
      <w:r w:rsidRPr="00202815">
        <w:rPr>
          <w:rFonts w:ascii="Arial" w:hAnsi="Arial" w:cs="Arial"/>
          <w:sz w:val="22"/>
          <w:szCs w:val="22"/>
        </w:rPr>
        <w:t xml:space="preserve">Available at </w:t>
      </w:r>
      <w:hyperlink r:id="rId20" w:history="1">
        <w:r w:rsidRPr="00202815">
          <w:rPr>
            <w:rStyle w:val="Hyperlink"/>
            <w:rFonts w:ascii="Arial" w:hAnsi="Arial" w:cs="Arial"/>
            <w:color w:val="auto"/>
            <w:sz w:val="22"/>
            <w:szCs w:val="22"/>
            <w:u w:val="none"/>
          </w:rPr>
          <w:t>https://www.antislaverycommissioner.co.uk/media/1446/1196_criminal_exploitation_report_2020_v0_13w.pdf</w:t>
        </w:r>
      </w:hyperlink>
      <w:r w:rsidRPr="00202815">
        <w:rPr>
          <w:rFonts w:ascii="Arial" w:hAnsi="Arial" w:cs="Arial"/>
          <w:sz w:val="22"/>
          <w:szCs w:val="22"/>
        </w:rPr>
        <w:t xml:space="preserve"> Accessed on January 4th 2023.</w:t>
      </w:r>
    </w:p>
    <w:p w14:paraId="076ECA97" w14:textId="77777777" w:rsidR="008F4624" w:rsidRPr="007004DE" w:rsidRDefault="008F4624" w:rsidP="008F4624">
      <w:pPr>
        <w:spacing w:line="360" w:lineRule="auto"/>
        <w:rPr>
          <w:rFonts w:ascii="Arial" w:hAnsi="Arial" w:cs="Arial"/>
          <w:sz w:val="22"/>
          <w:szCs w:val="22"/>
        </w:rPr>
      </w:pPr>
    </w:p>
    <w:p w14:paraId="0CC07589" w14:textId="0144822A" w:rsidR="008F4624" w:rsidRDefault="008F4624" w:rsidP="008F4624">
      <w:pPr>
        <w:spacing w:line="360" w:lineRule="auto"/>
        <w:rPr>
          <w:rFonts w:ascii="Arial" w:hAnsi="Arial" w:cs="Arial"/>
          <w:sz w:val="22"/>
          <w:szCs w:val="22"/>
        </w:rPr>
      </w:pPr>
      <w:r w:rsidRPr="005558BA">
        <w:rPr>
          <w:rFonts w:ascii="Arial" w:hAnsi="Arial" w:cs="Arial"/>
          <w:sz w:val="22"/>
          <w:szCs w:val="22"/>
        </w:rPr>
        <w:lastRenderedPageBreak/>
        <w:t xml:space="preserve">Such, E., </w:t>
      </w:r>
      <w:proofErr w:type="spellStart"/>
      <w:r w:rsidRPr="005558BA">
        <w:rPr>
          <w:rFonts w:ascii="Arial" w:hAnsi="Arial" w:cs="Arial"/>
          <w:sz w:val="22"/>
          <w:szCs w:val="22"/>
        </w:rPr>
        <w:t>Jaipaul</w:t>
      </w:r>
      <w:proofErr w:type="spellEnd"/>
      <w:r w:rsidRPr="005558BA">
        <w:rPr>
          <w:rFonts w:ascii="Arial" w:hAnsi="Arial" w:cs="Arial"/>
          <w:sz w:val="22"/>
          <w:szCs w:val="22"/>
        </w:rPr>
        <w:t xml:space="preserve">, R. and </w:t>
      </w:r>
      <w:proofErr w:type="spellStart"/>
      <w:r w:rsidRPr="005558BA">
        <w:rPr>
          <w:rFonts w:ascii="Arial" w:hAnsi="Arial" w:cs="Arial"/>
          <w:sz w:val="22"/>
          <w:szCs w:val="22"/>
        </w:rPr>
        <w:t>Salway</w:t>
      </w:r>
      <w:proofErr w:type="spellEnd"/>
      <w:r w:rsidRPr="005558BA">
        <w:rPr>
          <w:rFonts w:ascii="Arial" w:hAnsi="Arial" w:cs="Arial"/>
          <w:sz w:val="22"/>
          <w:szCs w:val="22"/>
        </w:rPr>
        <w:t>, S. (2018)</w:t>
      </w:r>
      <w:r w:rsidR="0027679C">
        <w:rPr>
          <w:rFonts w:ascii="Arial" w:hAnsi="Arial" w:cs="Arial"/>
          <w:sz w:val="22"/>
          <w:szCs w:val="22"/>
        </w:rPr>
        <w:t>.</w:t>
      </w:r>
      <w:r w:rsidRPr="005558BA">
        <w:rPr>
          <w:rFonts w:ascii="Arial" w:hAnsi="Arial" w:cs="Arial"/>
          <w:sz w:val="22"/>
          <w:szCs w:val="22"/>
        </w:rPr>
        <w:t xml:space="preserve"> “Modern slavery in the UK: How should the health sector be responding?” </w:t>
      </w:r>
      <w:r w:rsidRPr="008F4624">
        <w:rPr>
          <w:rFonts w:ascii="Arial" w:hAnsi="Arial" w:cs="Arial"/>
          <w:i/>
          <w:iCs/>
          <w:sz w:val="22"/>
          <w:szCs w:val="22"/>
        </w:rPr>
        <w:t>Journal of Public Health</w:t>
      </w:r>
      <w:r w:rsidRPr="005558BA">
        <w:rPr>
          <w:rFonts w:ascii="Arial" w:hAnsi="Arial" w:cs="Arial"/>
          <w:sz w:val="22"/>
          <w:szCs w:val="22"/>
        </w:rPr>
        <w:t xml:space="preserve"> [Preprint]. Available at: </w:t>
      </w:r>
      <w:hyperlink r:id="rId21" w:history="1">
        <w:r w:rsidRPr="005558BA">
          <w:rPr>
            <w:rStyle w:val="Hyperlink"/>
            <w:rFonts w:ascii="Arial" w:hAnsi="Arial" w:cs="Arial"/>
            <w:color w:val="auto"/>
            <w:sz w:val="22"/>
            <w:szCs w:val="22"/>
            <w:u w:val="none"/>
          </w:rPr>
          <w:t>https://doi.org/10.1093/pubmed/fdy217</w:t>
        </w:r>
      </w:hyperlink>
      <w:r w:rsidRPr="005558BA">
        <w:rPr>
          <w:rFonts w:ascii="Arial" w:hAnsi="Arial" w:cs="Arial"/>
          <w:sz w:val="22"/>
          <w:szCs w:val="22"/>
        </w:rPr>
        <w:t>.</w:t>
      </w:r>
    </w:p>
    <w:p w14:paraId="0CED27E6" w14:textId="77777777" w:rsidR="008F4624" w:rsidRPr="005558BA" w:rsidRDefault="008F4624" w:rsidP="008F4624">
      <w:pPr>
        <w:spacing w:line="360" w:lineRule="auto"/>
        <w:rPr>
          <w:rFonts w:ascii="Arial" w:hAnsi="Arial" w:cs="Arial"/>
          <w:sz w:val="22"/>
          <w:szCs w:val="22"/>
        </w:rPr>
      </w:pPr>
    </w:p>
    <w:p w14:paraId="4E69AEFB" w14:textId="3C4233B7" w:rsidR="008F4624" w:rsidRDefault="008F4624" w:rsidP="008F4624">
      <w:pPr>
        <w:spacing w:line="360" w:lineRule="auto"/>
        <w:rPr>
          <w:rFonts w:ascii="Arial" w:hAnsi="Arial" w:cs="Arial"/>
          <w:sz w:val="22"/>
          <w:szCs w:val="22"/>
        </w:rPr>
      </w:pPr>
      <w:proofErr w:type="spellStart"/>
      <w:r w:rsidRPr="005558BA">
        <w:rPr>
          <w:rFonts w:ascii="Arial" w:hAnsi="Arial" w:cs="Arial"/>
          <w:sz w:val="22"/>
          <w:szCs w:val="22"/>
        </w:rPr>
        <w:t>Todres</w:t>
      </w:r>
      <w:proofErr w:type="spellEnd"/>
      <w:r w:rsidRPr="005558BA">
        <w:rPr>
          <w:rFonts w:ascii="Arial" w:hAnsi="Arial" w:cs="Arial"/>
          <w:sz w:val="22"/>
          <w:szCs w:val="22"/>
        </w:rPr>
        <w:t>, J. and Diaz, A. (2021)</w:t>
      </w:r>
      <w:r w:rsidR="0027679C">
        <w:rPr>
          <w:rFonts w:ascii="Arial" w:hAnsi="Arial" w:cs="Arial"/>
          <w:sz w:val="22"/>
          <w:szCs w:val="22"/>
        </w:rPr>
        <w:t>.</w:t>
      </w:r>
      <w:r w:rsidRPr="005558BA">
        <w:rPr>
          <w:rFonts w:ascii="Arial" w:hAnsi="Arial" w:cs="Arial"/>
          <w:sz w:val="22"/>
          <w:szCs w:val="22"/>
        </w:rPr>
        <w:t xml:space="preserve"> “Covid-19 and human trafficking—the amplified impact on vulnerable populations,” </w:t>
      </w:r>
      <w:r w:rsidRPr="008F4624">
        <w:rPr>
          <w:rFonts w:ascii="Arial" w:hAnsi="Arial" w:cs="Arial"/>
          <w:i/>
          <w:iCs/>
          <w:sz w:val="22"/>
          <w:szCs w:val="22"/>
        </w:rPr>
        <w:t>JAMA Paediatrics</w:t>
      </w:r>
      <w:r w:rsidRPr="005558BA">
        <w:rPr>
          <w:rFonts w:ascii="Arial" w:hAnsi="Arial" w:cs="Arial"/>
          <w:sz w:val="22"/>
          <w:szCs w:val="22"/>
        </w:rPr>
        <w:t xml:space="preserve">, 175(2), p. 123. Available at: </w:t>
      </w:r>
      <w:hyperlink r:id="rId22" w:history="1">
        <w:r w:rsidRPr="005558BA">
          <w:rPr>
            <w:rStyle w:val="Hyperlink"/>
            <w:rFonts w:ascii="Arial" w:hAnsi="Arial" w:cs="Arial"/>
            <w:color w:val="auto"/>
            <w:sz w:val="22"/>
            <w:szCs w:val="22"/>
            <w:u w:val="none"/>
          </w:rPr>
          <w:t>https://doi.org/10.1001/jamapediatrics.2020.3610</w:t>
        </w:r>
      </w:hyperlink>
      <w:r w:rsidRPr="005558BA">
        <w:rPr>
          <w:rFonts w:ascii="Arial" w:hAnsi="Arial" w:cs="Arial"/>
          <w:sz w:val="22"/>
          <w:szCs w:val="22"/>
        </w:rPr>
        <w:t>.</w:t>
      </w:r>
    </w:p>
    <w:p w14:paraId="51437A8F" w14:textId="77777777" w:rsidR="008F4624" w:rsidRPr="005558BA" w:rsidRDefault="008F4624" w:rsidP="008F4624">
      <w:pPr>
        <w:spacing w:line="360" w:lineRule="auto"/>
        <w:rPr>
          <w:rFonts w:ascii="Arial" w:hAnsi="Arial" w:cs="Arial"/>
          <w:sz w:val="22"/>
          <w:szCs w:val="22"/>
        </w:rPr>
      </w:pPr>
    </w:p>
    <w:p w14:paraId="6A7125F7" w14:textId="660EF86B" w:rsidR="00202815" w:rsidRDefault="008F4624" w:rsidP="008F4624">
      <w:pPr>
        <w:spacing w:line="360" w:lineRule="auto"/>
        <w:rPr>
          <w:rFonts w:ascii="Arial" w:hAnsi="Arial" w:cs="Arial"/>
          <w:sz w:val="22"/>
          <w:szCs w:val="22"/>
        </w:rPr>
      </w:pPr>
      <w:r w:rsidRPr="00E20DE6">
        <w:rPr>
          <w:rFonts w:ascii="Arial" w:hAnsi="Arial" w:cs="Arial"/>
          <w:sz w:val="22"/>
          <w:szCs w:val="22"/>
        </w:rPr>
        <w:t>Townsend</w:t>
      </w:r>
      <w:r>
        <w:rPr>
          <w:rFonts w:ascii="Arial" w:hAnsi="Arial" w:cs="Arial"/>
          <w:sz w:val="22"/>
          <w:szCs w:val="22"/>
        </w:rPr>
        <w:t xml:space="preserve">, </w:t>
      </w:r>
      <w:r w:rsidRPr="00E20DE6">
        <w:rPr>
          <w:rFonts w:ascii="Arial" w:hAnsi="Arial" w:cs="Arial"/>
          <w:sz w:val="22"/>
          <w:szCs w:val="22"/>
        </w:rPr>
        <w:t>M</w:t>
      </w:r>
      <w:r>
        <w:rPr>
          <w:rFonts w:ascii="Arial" w:hAnsi="Arial" w:cs="Arial"/>
          <w:sz w:val="22"/>
          <w:szCs w:val="22"/>
        </w:rPr>
        <w:t>.</w:t>
      </w:r>
      <w:r w:rsidRPr="00E20DE6">
        <w:rPr>
          <w:rFonts w:ascii="Arial" w:hAnsi="Arial" w:cs="Arial"/>
          <w:sz w:val="22"/>
          <w:szCs w:val="22"/>
        </w:rPr>
        <w:t xml:space="preserve"> (2020)</w:t>
      </w:r>
      <w:r>
        <w:rPr>
          <w:rFonts w:ascii="Arial" w:hAnsi="Arial" w:cs="Arial"/>
          <w:sz w:val="22"/>
          <w:szCs w:val="22"/>
        </w:rPr>
        <w:t>.</w:t>
      </w:r>
      <w:r w:rsidRPr="00E20DE6">
        <w:rPr>
          <w:rFonts w:ascii="Arial" w:hAnsi="Arial" w:cs="Arial"/>
          <w:sz w:val="22"/>
          <w:szCs w:val="22"/>
        </w:rPr>
        <w:t xml:space="preserve"> “Number of Missing Vulnerable Children Soars as Safeguarding Is Cut during Pandemic.” </w:t>
      </w:r>
      <w:r>
        <w:rPr>
          <w:rFonts w:ascii="Arial" w:hAnsi="Arial" w:cs="Arial"/>
          <w:sz w:val="22"/>
          <w:szCs w:val="22"/>
        </w:rPr>
        <w:t xml:space="preserve">[Online]. </w:t>
      </w:r>
      <w:r w:rsidRPr="00E20DE6">
        <w:rPr>
          <w:rFonts w:ascii="Arial" w:hAnsi="Arial" w:cs="Arial"/>
          <w:sz w:val="22"/>
          <w:szCs w:val="22"/>
        </w:rPr>
        <w:t>The Guardian.</w:t>
      </w:r>
      <w:r>
        <w:rPr>
          <w:rFonts w:ascii="Arial" w:hAnsi="Arial" w:cs="Arial"/>
          <w:sz w:val="22"/>
          <w:szCs w:val="22"/>
        </w:rPr>
        <w:t xml:space="preserve"> Available at:</w:t>
      </w:r>
      <w:r w:rsidRPr="00E20DE6">
        <w:rPr>
          <w:rFonts w:ascii="Arial" w:hAnsi="Arial" w:cs="Arial"/>
          <w:sz w:val="22"/>
          <w:szCs w:val="22"/>
        </w:rPr>
        <w:t xml:space="preserve"> https://www.theguardian.com/society/2020/jun/06/alarming-rise-in-casesof-missing-children-following-safeguarding-cuts. Accessed </w:t>
      </w:r>
      <w:r>
        <w:rPr>
          <w:rFonts w:ascii="Arial" w:hAnsi="Arial" w:cs="Arial"/>
          <w:sz w:val="22"/>
          <w:szCs w:val="22"/>
        </w:rPr>
        <w:t>on January 5th 2023.</w:t>
      </w:r>
    </w:p>
    <w:sectPr w:rsidR="00202815" w:rsidSect="001A48C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D7921" w14:textId="77777777" w:rsidR="00A552E4" w:rsidRDefault="00A552E4" w:rsidP="00A552E4">
      <w:r>
        <w:separator/>
      </w:r>
    </w:p>
  </w:endnote>
  <w:endnote w:type="continuationSeparator" w:id="0">
    <w:p w14:paraId="0F2B97AC" w14:textId="77777777" w:rsidR="00A552E4" w:rsidRDefault="00A552E4" w:rsidP="00A552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6552197"/>
      <w:docPartObj>
        <w:docPartGallery w:val="Page Numbers (Bottom of Page)"/>
        <w:docPartUnique/>
      </w:docPartObj>
    </w:sdtPr>
    <w:sdtEndPr>
      <w:rPr>
        <w:noProof/>
      </w:rPr>
    </w:sdtEndPr>
    <w:sdtContent>
      <w:p w14:paraId="3950DCB3" w14:textId="10F1C080" w:rsidR="00A552E4" w:rsidRDefault="00A552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7BD495" w14:textId="77777777" w:rsidR="00A552E4" w:rsidRDefault="00A55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9492F" w14:textId="77777777" w:rsidR="00A552E4" w:rsidRDefault="00A552E4" w:rsidP="00A552E4">
      <w:r>
        <w:separator/>
      </w:r>
    </w:p>
  </w:footnote>
  <w:footnote w:type="continuationSeparator" w:id="0">
    <w:p w14:paraId="1290E1F2" w14:textId="77777777" w:rsidR="00A552E4" w:rsidRDefault="00A552E4" w:rsidP="00A552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A73B8"/>
    <w:multiLevelType w:val="multilevel"/>
    <w:tmpl w:val="60EE1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CC43B7"/>
    <w:multiLevelType w:val="hybridMultilevel"/>
    <w:tmpl w:val="B196793A"/>
    <w:lvl w:ilvl="0" w:tplc="43F8D608">
      <w:start w:val="1"/>
      <w:numFmt w:val="bullet"/>
      <w:lvlText w:val=""/>
      <w:lvlJc w:val="left"/>
      <w:pPr>
        <w:ind w:left="720" w:hanging="360"/>
      </w:pPr>
      <w:rPr>
        <w:rFonts w:ascii="Symbol" w:hAnsi="Symbol" w:hint="default"/>
      </w:rPr>
    </w:lvl>
    <w:lvl w:ilvl="1" w:tplc="7172B366">
      <w:start w:val="1"/>
      <w:numFmt w:val="bullet"/>
      <w:lvlText w:val="o"/>
      <w:lvlJc w:val="left"/>
      <w:pPr>
        <w:ind w:left="1440" w:hanging="360"/>
      </w:pPr>
      <w:rPr>
        <w:rFonts w:ascii="Courier New" w:hAnsi="Courier New" w:hint="default"/>
      </w:rPr>
    </w:lvl>
    <w:lvl w:ilvl="2" w:tplc="05806EBA">
      <w:start w:val="1"/>
      <w:numFmt w:val="bullet"/>
      <w:lvlText w:val=""/>
      <w:lvlJc w:val="left"/>
      <w:pPr>
        <w:ind w:left="2160" w:hanging="360"/>
      </w:pPr>
      <w:rPr>
        <w:rFonts w:ascii="Wingdings" w:hAnsi="Wingdings" w:hint="default"/>
      </w:rPr>
    </w:lvl>
    <w:lvl w:ilvl="3" w:tplc="439AF77E">
      <w:start w:val="1"/>
      <w:numFmt w:val="bullet"/>
      <w:lvlText w:val=""/>
      <w:lvlJc w:val="left"/>
      <w:pPr>
        <w:ind w:left="2880" w:hanging="360"/>
      </w:pPr>
      <w:rPr>
        <w:rFonts w:ascii="Symbol" w:hAnsi="Symbol" w:hint="default"/>
      </w:rPr>
    </w:lvl>
    <w:lvl w:ilvl="4" w:tplc="316EC9AC">
      <w:start w:val="1"/>
      <w:numFmt w:val="bullet"/>
      <w:lvlText w:val="o"/>
      <w:lvlJc w:val="left"/>
      <w:pPr>
        <w:ind w:left="3600" w:hanging="360"/>
      </w:pPr>
      <w:rPr>
        <w:rFonts w:ascii="Courier New" w:hAnsi="Courier New" w:hint="default"/>
      </w:rPr>
    </w:lvl>
    <w:lvl w:ilvl="5" w:tplc="4B7E9F5E">
      <w:start w:val="1"/>
      <w:numFmt w:val="bullet"/>
      <w:lvlText w:val=""/>
      <w:lvlJc w:val="left"/>
      <w:pPr>
        <w:ind w:left="4320" w:hanging="360"/>
      </w:pPr>
      <w:rPr>
        <w:rFonts w:ascii="Wingdings" w:hAnsi="Wingdings" w:hint="default"/>
      </w:rPr>
    </w:lvl>
    <w:lvl w:ilvl="6" w:tplc="5778F156">
      <w:start w:val="1"/>
      <w:numFmt w:val="bullet"/>
      <w:lvlText w:val=""/>
      <w:lvlJc w:val="left"/>
      <w:pPr>
        <w:ind w:left="5040" w:hanging="360"/>
      </w:pPr>
      <w:rPr>
        <w:rFonts w:ascii="Symbol" w:hAnsi="Symbol" w:hint="default"/>
      </w:rPr>
    </w:lvl>
    <w:lvl w:ilvl="7" w:tplc="0B10A8A6">
      <w:start w:val="1"/>
      <w:numFmt w:val="bullet"/>
      <w:lvlText w:val="o"/>
      <w:lvlJc w:val="left"/>
      <w:pPr>
        <w:ind w:left="5760" w:hanging="360"/>
      </w:pPr>
      <w:rPr>
        <w:rFonts w:ascii="Courier New" w:hAnsi="Courier New" w:hint="default"/>
      </w:rPr>
    </w:lvl>
    <w:lvl w:ilvl="8" w:tplc="766A3688">
      <w:start w:val="1"/>
      <w:numFmt w:val="bullet"/>
      <w:lvlText w:val=""/>
      <w:lvlJc w:val="left"/>
      <w:pPr>
        <w:ind w:left="6480" w:hanging="360"/>
      </w:pPr>
      <w:rPr>
        <w:rFonts w:ascii="Wingdings" w:hAnsi="Wingdings" w:hint="default"/>
      </w:rPr>
    </w:lvl>
  </w:abstractNum>
  <w:num w:numId="1" w16cid:durableId="406420636">
    <w:abstractNumId w:val="1"/>
  </w:num>
  <w:num w:numId="2" w16cid:durableId="1803305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A94"/>
    <w:rsid w:val="000213F1"/>
    <w:rsid w:val="00106287"/>
    <w:rsid w:val="001139B2"/>
    <w:rsid w:val="0013604B"/>
    <w:rsid w:val="001426F2"/>
    <w:rsid w:val="00145A94"/>
    <w:rsid w:val="00157695"/>
    <w:rsid w:val="0016462B"/>
    <w:rsid w:val="001777E2"/>
    <w:rsid w:val="001852B7"/>
    <w:rsid w:val="001A3F00"/>
    <w:rsid w:val="001A48C7"/>
    <w:rsid w:val="001B189B"/>
    <w:rsid w:val="001B3F0C"/>
    <w:rsid w:val="001E38DF"/>
    <w:rsid w:val="00202815"/>
    <w:rsid w:val="00205436"/>
    <w:rsid w:val="00222175"/>
    <w:rsid w:val="00246C10"/>
    <w:rsid w:val="00263361"/>
    <w:rsid w:val="0027679C"/>
    <w:rsid w:val="00287531"/>
    <w:rsid w:val="00297C35"/>
    <w:rsid w:val="003217C7"/>
    <w:rsid w:val="003264F9"/>
    <w:rsid w:val="00341F90"/>
    <w:rsid w:val="00430091"/>
    <w:rsid w:val="00447DD3"/>
    <w:rsid w:val="004863AC"/>
    <w:rsid w:val="00490FD4"/>
    <w:rsid w:val="004D45AF"/>
    <w:rsid w:val="004F2E77"/>
    <w:rsid w:val="0050289B"/>
    <w:rsid w:val="00513FA6"/>
    <w:rsid w:val="00536B14"/>
    <w:rsid w:val="005558BA"/>
    <w:rsid w:val="00560CFD"/>
    <w:rsid w:val="005964BE"/>
    <w:rsid w:val="00604E8A"/>
    <w:rsid w:val="00622016"/>
    <w:rsid w:val="00636966"/>
    <w:rsid w:val="006A4C92"/>
    <w:rsid w:val="006D1D97"/>
    <w:rsid w:val="006E0F93"/>
    <w:rsid w:val="007004DE"/>
    <w:rsid w:val="007176E2"/>
    <w:rsid w:val="00725389"/>
    <w:rsid w:val="007C11D7"/>
    <w:rsid w:val="007C2F6D"/>
    <w:rsid w:val="007D0841"/>
    <w:rsid w:val="008711E2"/>
    <w:rsid w:val="00892D23"/>
    <w:rsid w:val="008D0EE0"/>
    <w:rsid w:val="008F4624"/>
    <w:rsid w:val="0090230D"/>
    <w:rsid w:val="009056DF"/>
    <w:rsid w:val="00961BB0"/>
    <w:rsid w:val="00975E1E"/>
    <w:rsid w:val="009B0418"/>
    <w:rsid w:val="009C5573"/>
    <w:rsid w:val="009D6D7F"/>
    <w:rsid w:val="009D7583"/>
    <w:rsid w:val="009E5073"/>
    <w:rsid w:val="00A552E4"/>
    <w:rsid w:val="00AA5C3C"/>
    <w:rsid w:val="00AD6B20"/>
    <w:rsid w:val="00AF5E19"/>
    <w:rsid w:val="00B344F1"/>
    <w:rsid w:val="00B3694F"/>
    <w:rsid w:val="00B518A4"/>
    <w:rsid w:val="00B710D8"/>
    <w:rsid w:val="00BF7093"/>
    <w:rsid w:val="00C01C0B"/>
    <w:rsid w:val="00C451F2"/>
    <w:rsid w:val="00C864F9"/>
    <w:rsid w:val="00CA5401"/>
    <w:rsid w:val="00D51BC7"/>
    <w:rsid w:val="00DA15B6"/>
    <w:rsid w:val="00DC2B54"/>
    <w:rsid w:val="00E03BA3"/>
    <w:rsid w:val="00E10815"/>
    <w:rsid w:val="00E20DE6"/>
    <w:rsid w:val="00E264B2"/>
    <w:rsid w:val="00E55EA0"/>
    <w:rsid w:val="00E62EC7"/>
    <w:rsid w:val="00E80B95"/>
    <w:rsid w:val="00ED6D77"/>
    <w:rsid w:val="00F02907"/>
    <w:rsid w:val="00F33527"/>
    <w:rsid w:val="00FA0097"/>
    <w:rsid w:val="00FA170F"/>
    <w:rsid w:val="00FA5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E8872"/>
  <w15:chartTrackingRefBased/>
  <w15:docId w15:val="{90FAC244-6004-9C4E-8877-1D1EDFCEE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5A94"/>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056DF"/>
    <w:rPr>
      <w:color w:val="0563C1" w:themeColor="hyperlink"/>
      <w:u w:val="single"/>
    </w:rPr>
  </w:style>
  <w:style w:type="character" w:styleId="UnresolvedMention">
    <w:name w:val="Unresolved Mention"/>
    <w:basedOn w:val="DefaultParagraphFont"/>
    <w:uiPriority w:val="99"/>
    <w:semiHidden/>
    <w:unhideWhenUsed/>
    <w:rsid w:val="009056DF"/>
    <w:rPr>
      <w:color w:val="605E5C"/>
      <w:shd w:val="clear" w:color="auto" w:fill="E1DFDD"/>
    </w:rPr>
  </w:style>
  <w:style w:type="paragraph" w:styleId="NoSpacing">
    <w:name w:val="No Spacing"/>
    <w:link w:val="NoSpacingChar"/>
    <w:uiPriority w:val="1"/>
    <w:qFormat/>
    <w:rsid w:val="001A48C7"/>
    <w:rPr>
      <w:rFonts w:eastAsiaTheme="minorEastAsia"/>
      <w:sz w:val="22"/>
      <w:szCs w:val="22"/>
      <w:lang w:val="en-US"/>
    </w:rPr>
  </w:style>
  <w:style w:type="character" w:customStyle="1" w:styleId="NoSpacingChar">
    <w:name w:val="No Spacing Char"/>
    <w:basedOn w:val="DefaultParagraphFont"/>
    <w:link w:val="NoSpacing"/>
    <w:uiPriority w:val="1"/>
    <w:rsid w:val="001A48C7"/>
    <w:rPr>
      <w:rFonts w:eastAsiaTheme="minorEastAsia"/>
      <w:sz w:val="22"/>
      <w:szCs w:val="22"/>
      <w:lang w:val="en-US"/>
    </w:rPr>
  </w:style>
  <w:style w:type="paragraph" w:styleId="Header">
    <w:name w:val="header"/>
    <w:basedOn w:val="Normal"/>
    <w:link w:val="HeaderChar"/>
    <w:uiPriority w:val="99"/>
    <w:unhideWhenUsed/>
    <w:rsid w:val="00A552E4"/>
    <w:pPr>
      <w:tabs>
        <w:tab w:val="center" w:pos="4513"/>
        <w:tab w:val="right" w:pos="9026"/>
      </w:tabs>
    </w:pPr>
  </w:style>
  <w:style w:type="character" w:customStyle="1" w:styleId="HeaderChar">
    <w:name w:val="Header Char"/>
    <w:basedOn w:val="DefaultParagraphFont"/>
    <w:link w:val="Header"/>
    <w:uiPriority w:val="99"/>
    <w:rsid w:val="00A552E4"/>
  </w:style>
  <w:style w:type="paragraph" w:styleId="Footer">
    <w:name w:val="footer"/>
    <w:basedOn w:val="Normal"/>
    <w:link w:val="FooterChar"/>
    <w:uiPriority w:val="99"/>
    <w:unhideWhenUsed/>
    <w:rsid w:val="00A552E4"/>
    <w:pPr>
      <w:tabs>
        <w:tab w:val="center" w:pos="4513"/>
        <w:tab w:val="right" w:pos="9026"/>
      </w:tabs>
    </w:pPr>
  </w:style>
  <w:style w:type="character" w:customStyle="1" w:styleId="FooterChar">
    <w:name w:val="Footer Char"/>
    <w:basedOn w:val="DefaultParagraphFont"/>
    <w:link w:val="Footer"/>
    <w:uiPriority w:val="99"/>
    <w:rsid w:val="00A55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06142">
      <w:bodyDiv w:val="1"/>
      <w:marLeft w:val="0"/>
      <w:marRight w:val="0"/>
      <w:marTop w:val="0"/>
      <w:marBottom w:val="0"/>
      <w:divBdr>
        <w:top w:val="none" w:sz="0" w:space="0" w:color="auto"/>
        <w:left w:val="none" w:sz="0" w:space="0" w:color="auto"/>
        <w:bottom w:val="none" w:sz="0" w:space="0" w:color="auto"/>
        <w:right w:val="none" w:sz="0" w:space="0" w:color="auto"/>
      </w:divBdr>
    </w:div>
    <w:div w:id="221525088">
      <w:bodyDiv w:val="1"/>
      <w:marLeft w:val="0"/>
      <w:marRight w:val="0"/>
      <w:marTop w:val="0"/>
      <w:marBottom w:val="0"/>
      <w:divBdr>
        <w:top w:val="none" w:sz="0" w:space="0" w:color="auto"/>
        <w:left w:val="none" w:sz="0" w:space="0" w:color="auto"/>
        <w:bottom w:val="none" w:sz="0" w:space="0" w:color="auto"/>
        <w:right w:val="none" w:sz="0" w:space="0" w:color="auto"/>
      </w:divBdr>
      <w:divsChild>
        <w:div w:id="1584102546">
          <w:marLeft w:val="0"/>
          <w:marRight w:val="0"/>
          <w:marTop w:val="0"/>
          <w:marBottom w:val="0"/>
          <w:divBdr>
            <w:top w:val="none" w:sz="0" w:space="0" w:color="auto"/>
            <w:left w:val="none" w:sz="0" w:space="0" w:color="auto"/>
            <w:bottom w:val="none" w:sz="0" w:space="0" w:color="auto"/>
            <w:right w:val="none" w:sz="0" w:space="0" w:color="auto"/>
          </w:divBdr>
        </w:div>
      </w:divsChild>
    </w:div>
    <w:div w:id="521629773">
      <w:bodyDiv w:val="1"/>
      <w:marLeft w:val="0"/>
      <w:marRight w:val="0"/>
      <w:marTop w:val="0"/>
      <w:marBottom w:val="0"/>
      <w:divBdr>
        <w:top w:val="none" w:sz="0" w:space="0" w:color="auto"/>
        <w:left w:val="none" w:sz="0" w:space="0" w:color="auto"/>
        <w:bottom w:val="none" w:sz="0" w:space="0" w:color="auto"/>
        <w:right w:val="none" w:sz="0" w:space="0" w:color="auto"/>
      </w:divBdr>
    </w:div>
    <w:div w:id="609438466">
      <w:bodyDiv w:val="1"/>
      <w:marLeft w:val="0"/>
      <w:marRight w:val="0"/>
      <w:marTop w:val="0"/>
      <w:marBottom w:val="0"/>
      <w:divBdr>
        <w:top w:val="none" w:sz="0" w:space="0" w:color="auto"/>
        <w:left w:val="none" w:sz="0" w:space="0" w:color="auto"/>
        <w:bottom w:val="none" w:sz="0" w:space="0" w:color="auto"/>
        <w:right w:val="none" w:sz="0" w:space="0" w:color="auto"/>
      </w:divBdr>
    </w:div>
    <w:div w:id="670792612">
      <w:bodyDiv w:val="1"/>
      <w:marLeft w:val="0"/>
      <w:marRight w:val="0"/>
      <w:marTop w:val="0"/>
      <w:marBottom w:val="0"/>
      <w:divBdr>
        <w:top w:val="none" w:sz="0" w:space="0" w:color="auto"/>
        <w:left w:val="none" w:sz="0" w:space="0" w:color="auto"/>
        <w:bottom w:val="none" w:sz="0" w:space="0" w:color="auto"/>
        <w:right w:val="none" w:sz="0" w:space="0" w:color="auto"/>
      </w:divBdr>
    </w:div>
    <w:div w:id="906845272">
      <w:bodyDiv w:val="1"/>
      <w:marLeft w:val="0"/>
      <w:marRight w:val="0"/>
      <w:marTop w:val="0"/>
      <w:marBottom w:val="0"/>
      <w:divBdr>
        <w:top w:val="none" w:sz="0" w:space="0" w:color="auto"/>
        <w:left w:val="none" w:sz="0" w:space="0" w:color="auto"/>
        <w:bottom w:val="none" w:sz="0" w:space="0" w:color="auto"/>
        <w:right w:val="none" w:sz="0" w:space="0" w:color="auto"/>
      </w:divBdr>
    </w:div>
    <w:div w:id="976030138">
      <w:bodyDiv w:val="1"/>
      <w:marLeft w:val="0"/>
      <w:marRight w:val="0"/>
      <w:marTop w:val="0"/>
      <w:marBottom w:val="0"/>
      <w:divBdr>
        <w:top w:val="none" w:sz="0" w:space="0" w:color="auto"/>
        <w:left w:val="none" w:sz="0" w:space="0" w:color="auto"/>
        <w:bottom w:val="none" w:sz="0" w:space="0" w:color="auto"/>
        <w:right w:val="none" w:sz="0" w:space="0" w:color="auto"/>
      </w:divBdr>
    </w:div>
    <w:div w:id="1087505703">
      <w:bodyDiv w:val="1"/>
      <w:marLeft w:val="0"/>
      <w:marRight w:val="0"/>
      <w:marTop w:val="0"/>
      <w:marBottom w:val="0"/>
      <w:divBdr>
        <w:top w:val="none" w:sz="0" w:space="0" w:color="auto"/>
        <w:left w:val="none" w:sz="0" w:space="0" w:color="auto"/>
        <w:bottom w:val="none" w:sz="0" w:space="0" w:color="auto"/>
        <w:right w:val="none" w:sz="0" w:space="0" w:color="auto"/>
      </w:divBdr>
    </w:div>
    <w:div w:id="1953124667">
      <w:bodyDiv w:val="1"/>
      <w:marLeft w:val="0"/>
      <w:marRight w:val="0"/>
      <w:marTop w:val="0"/>
      <w:marBottom w:val="0"/>
      <w:divBdr>
        <w:top w:val="none" w:sz="0" w:space="0" w:color="auto"/>
        <w:left w:val="none" w:sz="0" w:space="0" w:color="auto"/>
        <w:bottom w:val="none" w:sz="0" w:space="0" w:color="auto"/>
        <w:right w:val="none" w:sz="0" w:space="0" w:color="auto"/>
      </w:divBdr>
      <w:divsChild>
        <w:div w:id="1341661926">
          <w:marLeft w:val="0"/>
          <w:marRight w:val="0"/>
          <w:marTop w:val="0"/>
          <w:marBottom w:val="0"/>
          <w:divBdr>
            <w:top w:val="none" w:sz="0" w:space="0" w:color="auto"/>
            <w:left w:val="none" w:sz="0" w:space="0" w:color="auto"/>
            <w:bottom w:val="none" w:sz="0" w:space="0" w:color="auto"/>
            <w:right w:val="none" w:sz="0" w:space="0" w:color="auto"/>
          </w:divBdr>
        </w:div>
      </w:divsChild>
    </w:div>
    <w:div w:id="2108768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538712.2017.1360428" TargetMode="External"/><Relationship Id="rId13" Type="http://schemas.openxmlformats.org/officeDocument/2006/relationships/hyperlink" Target="https://assets.publishing.service.gov.uk/government/uploads/system/uploads/attachment_data/file/863323/HOCountyLinesGuidance_-_Sept2018.pdf" TargetMode="External"/><Relationship Id="rId18" Type="http://schemas.openxmlformats.org/officeDocument/2006/relationships/hyperlink" Target="https://doi.org/10.1177/14613557221074989" TargetMode="External"/><Relationship Id="rId3" Type="http://schemas.openxmlformats.org/officeDocument/2006/relationships/settings" Target="settings.xml"/><Relationship Id="rId21" Type="http://schemas.openxmlformats.org/officeDocument/2006/relationships/hyperlink" Target="https://doi.org/10.1093/pubmed/fdy217" TargetMode="External"/><Relationship Id="rId7" Type="http://schemas.openxmlformats.org/officeDocument/2006/relationships/hyperlink" Target="https://doi.org/10.1080/07370024.2018.1437544" TargetMode="External"/><Relationship Id="rId12" Type="http://schemas.openxmlformats.org/officeDocument/2006/relationships/hyperlink" Target="https://doi.org/10.1136/archdischild-2018-315909" TargetMode="External"/><Relationship Id="rId17" Type="http://schemas.openxmlformats.org/officeDocument/2006/relationships/hyperlink" Target="https://www.nationalcrimeagency.gov.uk/what-we-do/crime-threats/drug-trafficking/county-lin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ationalcrimeagency.gov.uk/who-we-are/publications/257-county-lines-drug-supply-vulnerability-and-harm-2018/file" TargetMode="External"/><Relationship Id="rId20" Type="http://schemas.openxmlformats.org/officeDocument/2006/relationships/hyperlink" Target="https://www.antislaverycommissioner.co.uk/media/1446/1196_criminal_exploitation_report_2020_v0_13w.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pository.londonmet.ac.uk/1525/1/18871_CSA_Scoping_paper_web_FA.pdf" TargetMode="External"/><Relationship Id="rId23" Type="http://schemas.openxmlformats.org/officeDocument/2006/relationships/footer" Target="footer1.xml"/><Relationship Id="rId10" Type="http://schemas.openxmlformats.org/officeDocument/2006/relationships/hyperlink" Target="https://doi.org/10.1007/s11417-007-9035-y" TargetMode="External"/><Relationship Id="rId19" Type="http://schemas.openxmlformats.org/officeDocument/2006/relationships/hyperlink" Target="https://www.ons.gov.uk/peoplepopulationandcommunity/crimeandjustice/bulletins/childvictimsofmodernslaveryintheuk/march2022" TargetMode="External"/><Relationship Id="rId4" Type="http://schemas.openxmlformats.org/officeDocument/2006/relationships/webSettings" Target="webSettings.xml"/><Relationship Id="rId9" Type="http://schemas.openxmlformats.org/officeDocument/2006/relationships/hyperlink" Target="https://doi.org/10.1007/s12117-021-09442-x" TargetMode="External"/><Relationship Id="rId14"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22" Type="http://schemas.openxmlformats.org/officeDocument/2006/relationships/hyperlink" Target="https://doi.org/10.1001/jamapediatrics.2020.36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3106</Words>
  <Characters>17709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Criminal Exploitation of Vulnerable People</vt:lpstr>
    </vt:vector>
  </TitlesOfParts>
  <Company>JACK ROBERTS</Company>
  <LinksUpToDate>false</LinksUpToDate>
  <CharactersWithSpaces>20774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Exploitation of Vulnerable People</dc:title>
  <dc:subject>Is it Increasing?</dc:subject>
  <dc:creator>Jack Roberts</dc:creator>
  <cp:keywords/>
  <dc:description/>
  <cp:lastModifiedBy>Jack Roberts</cp:lastModifiedBy>
  <cp:revision>4</cp:revision>
  <dcterms:created xsi:type="dcterms:W3CDTF">2023-01-13T19:28:00Z</dcterms:created>
  <dcterms:modified xsi:type="dcterms:W3CDTF">2023-01-13T19:29:00Z</dcterms:modified>
  <cp:category>2003821</cp:category>
</cp:coreProperties>
</file>