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5E5024" w14:textId="4D499E9D" w:rsidR="009C7EF6" w:rsidRPr="00D07E78" w:rsidRDefault="009C7EF6" w:rsidP="009C7EF6">
      <w:pPr>
        <w:rPr>
          <w:rFonts w:ascii="Arial" w:hAnsi="Arial" w:cs="Arial"/>
          <w:b/>
          <w:bCs/>
          <w:sz w:val="28"/>
          <w:szCs w:val="28"/>
        </w:rPr>
      </w:pPr>
      <w:r w:rsidRPr="00D07E78">
        <w:rPr>
          <w:rFonts w:ascii="Arial" w:hAnsi="Arial" w:cs="Arial"/>
          <w:b/>
          <w:bCs/>
          <w:sz w:val="28"/>
          <w:szCs w:val="28"/>
        </w:rPr>
        <w:t>Methodology</w:t>
      </w:r>
    </w:p>
    <w:p w14:paraId="476B6DB7" w14:textId="7E9D96F2" w:rsidR="009C7EF6" w:rsidRDefault="009C7EF6" w:rsidP="009C7EF6">
      <w:pPr>
        <w:pStyle w:val="ListParagraph"/>
        <w:numPr>
          <w:ilvl w:val="0"/>
          <w:numId w:val="1"/>
        </w:numPr>
        <w:rPr>
          <w:rFonts w:ascii="Arial" w:hAnsi="Arial" w:cs="Arial"/>
          <w:b/>
          <w:bCs/>
          <w:sz w:val="24"/>
          <w:szCs w:val="24"/>
        </w:rPr>
      </w:pPr>
      <w:r w:rsidRPr="00CC403C">
        <w:rPr>
          <w:rFonts w:ascii="Arial" w:hAnsi="Arial" w:cs="Arial"/>
          <w:b/>
          <w:bCs/>
          <w:sz w:val="24"/>
          <w:szCs w:val="24"/>
        </w:rPr>
        <w:t>Introduction</w:t>
      </w:r>
    </w:p>
    <w:p w14:paraId="6C8421E6" w14:textId="192ECDC5" w:rsidR="009C7EF6" w:rsidRPr="00011A72" w:rsidRDefault="00BC4970" w:rsidP="009C7EF6">
      <w:pPr>
        <w:rPr>
          <w:rFonts w:ascii="Arial" w:hAnsi="Arial" w:cs="Arial"/>
        </w:rPr>
      </w:pPr>
      <w:r w:rsidRPr="0053595F">
        <w:rPr>
          <w:rFonts w:ascii="Arial" w:hAnsi="Arial" w:cs="Arial"/>
        </w:rPr>
        <w:t>This chapter outlines the methodological approach adopted to investigate public perceptions of substance misuse among young adults in Wales and the perceived barriers and opportunities for enhancing police responses. The methodology provides a rationale for the research design, data collection methods, sampling strategy, and analytical procedures used in the study. Given the study’s focus on capturing current attitudes and experiences within a defined population, a quantitative survey approach was selected as the most appropriate means of generating relevant and timely data</w:t>
      </w:r>
      <w:r w:rsidR="00011A72">
        <w:rPr>
          <w:rFonts w:ascii="Arial" w:hAnsi="Arial" w:cs="Arial"/>
        </w:rPr>
        <w:t xml:space="preserve">, </w:t>
      </w:r>
      <w:r w:rsidR="00011A72" w:rsidRPr="00011A72">
        <w:rPr>
          <w:rFonts w:ascii="Arial" w:hAnsi="Arial" w:cs="Arial"/>
        </w:rPr>
        <w:t>while also offering a low</w:t>
      </w:r>
      <w:r w:rsidR="00011A72" w:rsidRPr="00011A72">
        <w:rPr>
          <w:rFonts w:ascii="Arial" w:hAnsi="Arial" w:cs="Arial"/>
        </w:rPr>
        <w:noBreakHyphen/>
        <w:t>risk method of data collection</w:t>
      </w:r>
      <w:r w:rsidR="00850F03">
        <w:rPr>
          <w:rFonts w:ascii="Arial" w:hAnsi="Arial" w:cs="Arial"/>
        </w:rPr>
        <w:t>.</w:t>
      </w:r>
    </w:p>
    <w:p w14:paraId="4481D60E" w14:textId="1C56C993" w:rsidR="004C218F" w:rsidRPr="0082153B" w:rsidRDefault="009C7EF6" w:rsidP="004C218F">
      <w:pPr>
        <w:pStyle w:val="ListParagraph"/>
        <w:numPr>
          <w:ilvl w:val="0"/>
          <w:numId w:val="1"/>
        </w:numPr>
        <w:rPr>
          <w:b/>
          <w:bCs/>
          <w:sz w:val="24"/>
          <w:szCs w:val="24"/>
        </w:rPr>
      </w:pPr>
      <w:r w:rsidRPr="0053595F">
        <w:rPr>
          <w:rFonts w:ascii="Arial" w:hAnsi="Arial" w:cs="Arial"/>
          <w:b/>
          <w:bCs/>
          <w:sz w:val="24"/>
          <w:szCs w:val="24"/>
        </w:rPr>
        <w:t>Research Strategy</w:t>
      </w:r>
      <w:r w:rsidR="0082153B" w:rsidRPr="0053595F">
        <w:rPr>
          <w:rFonts w:ascii="Arial" w:hAnsi="Arial" w:cs="Arial"/>
          <w:b/>
          <w:bCs/>
          <w:sz w:val="24"/>
          <w:szCs w:val="24"/>
        </w:rPr>
        <w:t xml:space="preserve">                 </w:t>
      </w:r>
    </w:p>
    <w:p w14:paraId="063A5FFE" w14:textId="3154F21A" w:rsidR="00304DF2" w:rsidRDefault="00927F1E" w:rsidP="008B3E51">
      <w:pPr>
        <w:rPr>
          <w:rFonts w:ascii="Arial" w:hAnsi="Arial" w:cs="Arial"/>
        </w:rPr>
      </w:pPr>
      <w:r>
        <w:rPr>
          <w:rFonts w:ascii="Arial" w:hAnsi="Arial" w:cs="Arial"/>
        </w:rPr>
        <w:t>T</w:t>
      </w:r>
      <w:r w:rsidRPr="00815C9F">
        <w:rPr>
          <w:rFonts w:ascii="Arial" w:hAnsi="Arial" w:cs="Arial"/>
        </w:rPr>
        <w:t>o address the research question</w:t>
      </w:r>
      <w:r>
        <w:rPr>
          <w:rFonts w:ascii="Arial" w:hAnsi="Arial" w:cs="Arial"/>
        </w:rPr>
        <w:t xml:space="preserve"> t</w:t>
      </w:r>
      <w:r w:rsidRPr="00F610CC">
        <w:rPr>
          <w:rFonts w:ascii="Arial" w:hAnsi="Arial" w:cs="Arial"/>
        </w:rPr>
        <w:t xml:space="preserve">he study </w:t>
      </w:r>
      <w:r w:rsidR="009D56F4">
        <w:rPr>
          <w:rFonts w:ascii="Arial" w:hAnsi="Arial" w:cs="Arial"/>
        </w:rPr>
        <w:t>adopts</w:t>
      </w:r>
      <w:r w:rsidRPr="00F610CC">
        <w:rPr>
          <w:rFonts w:ascii="Arial" w:hAnsi="Arial" w:cs="Arial"/>
        </w:rPr>
        <w:t xml:space="preserve"> a </w:t>
      </w:r>
      <w:r w:rsidR="00DC4D6F" w:rsidRPr="00B662D7">
        <w:rPr>
          <w:rFonts w:ascii="Arial" w:hAnsi="Arial" w:cs="Arial"/>
        </w:rPr>
        <w:t>cross</w:t>
      </w:r>
      <w:r w:rsidR="00DC4D6F" w:rsidRPr="00B662D7">
        <w:rPr>
          <w:rFonts w:ascii="Arial" w:hAnsi="Arial" w:cs="Arial"/>
        </w:rPr>
        <w:noBreakHyphen/>
        <w:t>sectional survey strategy</w:t>
      </w:r>
      <w:r w:rsidR="00A5586A">
        <w:rPr>
          <w:rFonts w:ascii="Arial" w:hAnsi="Arial" w:cs="Arial"/>
        </w:rPr>
        <w:t>,</w:t>
      </w:r>
      <w:r w:rsidR="00A5586A" w:rsidRPr="00A5586A">
        <w:rPr>
          <w:rFonts w:ascii="Arial" w:hAnsi="Arial" w:cs="Arial"/>
        </w:rPr>
        <w:t xml:space="preserve"> </w:t>
      </w:r>
      <w:r w:rsidR="00A5586A" w:rsidRPr="00875740">
        <w:rPr>
          <w:rFonts w:ascii="Arial" w:hAnsi="Arial" w:cs="Arial"/>
        </w:rPr>
        <w:t>using an online questionnaire to gather data from participants at a single time point. Cross</w:t>
      </w:r>
      <w:r w:rsidR="00A5586A" w:rsidRPr="00875740">
        <w:rPr>
          <w:rFonts w:ascii="Arial" w:hAnsi="Arial" w:cs="Arial"/>
        </w:rPr>
        <w:noBreakHyphen/>
        <w:t>sectional designs collect data from individuals at a single moment and provide a</w:t>
      </w:r>
      <w:r w:rsidR="009E25BE">
        <w:rPr>
          <w:rFonts w:ascii="Arial" w:hAnsi="Arial" w:cs="Arial"/>
        </w:rPr>
        <w:t xml:space="preserve">n overview </w:t>
      </w:r>
      <w:r w:rsidR="00A5586A" w:rsidRPr="00875740">
        <w:rPr>
          <w:rFonts w:ascii="Arial" w:hAnsi="Arial" w:cs="Arial"/>
        </w:rPr>
        <w:t xml:space="preserve">of existing attitudes and experiences without </w:t>
      </w:r>
      <w:r w:rsidR="003C4649" w:rsidRPr="003C4649">
        <w:rPr>
          <w:rFonts w:ascii="Arial" w:hAnsi="Arial" w:cs="Arial"/>
        </w:rPr>
        <w:t>altering any conditions or influencing participants</w:t>
      </w:r>
      <w:r w:rsidR="003C4649" w:rsidRPr="003C4649">
        <w:rPr>
          <w:rFonts w:ascii="Arial" w:hAnsi="Arial" w:cs="Arial"/>
        </w:rPr>
        <w:t xml:space="preserve"> </w:t>
      </w:r>
      <w:r w:rsidR="00A5586A" w:rsidRPr="00875740">
        <w:rPr>
          <w:rFonts w:ascii="Arial" w:hAnsi="Arial" w:cs="Arial"/>
        </w:rPr>
        <w:t>(Simkus, 2023). This design enables the exploration of current attitudes, perceptions, and experiences related to substance misuse among young adults in Wales, as well as public views on the barriers and opportunities for enhancing police responses. Such an approach is well</w:t>
      </w:r>
      <w:r w:rsidR="00A5586A" w:rsidRPr="00875740">
        <w:rPr>
          <w:rFonts w:ascii="Arial" w:hAnsi="Arial" w:cs="Arial"/>
        </w:rPr>
        <w:noBreakHyphen/>
        <w:t>suited for identifying patterns and associations across demographic groups without inferring causality or temporal change (</w:t>
      </w:r>
      <w:r w:rsidR="003C1E65" w:rsidRPr="006A0E43">
        <w:rPr>
          <w:rFonts w:ascii="Arial" w:hAnsi="Arial" w:cs="Arial"/>
        </w:rPr>
        <w:t>Hunziker, Blankenagel, 2024</w:t>
      </w:r>
      <w:r w:rsidR="00A5586A" w:rsidRPr="00875740">
        <w:rPr>
          <w:rFonts w:ascii="Arial" w:hAnsi="Arial" w:cs="Arial"/>
        </w:rPr>
        <w:t>).</w:t>
      </w:r>
    </w:p>
    <w:p w14:paraId="71F7CD2A" w14:textId="5AF1B85B" w:rsidR="00722DA1" w:rsidRPr="0005554C" w:rsidRDefault="008B3E51" w:rsidP="008B3E51">
      <w:pPr>
        <w:rPr>
          <w:rFonts w:ascii="Arial" w:hAnsi="Arial" w:cs="Arial"/>
        </w:rPr>
      </w:pPr>
      <w:r w:rsidRPr="00897D24">
        <w:rPr>
          <w:rFonts w:ascii="Arial" w:hAnsi="Arial" w:cs="Arial"/>
        </w:rPr>
        <w:t>Social surveys have long been the predominant method in social research, used primarily to describe or explain social phenomena and sometimes to accomplish both aims concurrently (McNeill, 2005). McKim’s (2015) findings suggest that mixed</w:t>
      </w:r>
      <w:r w:rsidRPr="00897D24">
        <w:rPr>
          <w:rFonts w:ascii="Arial" w:hAnsi="Arial" w:cs="Arial"/>
        </w:rPr>
        <w:noBreakHyphen/>
        <w:t>methods approaches yield a deeper understanding of research topics.</w:t>
      </w:r>
      <w:r>
        <w:rPr>
          <w:rFonts w:ascii="Arial" w:hAnsi="Arial" w:cs="Arial"/>
        </w:rPr>
        <w:t xml:space="preserve"> </w:t>
      </w:r>
      <w:r w:rsidRPr="00897D24">
        <w:rPr>
          <w:rFonts w:ascii="Arial" w:hAnsi="Arial" w:cs="Arial"/>
        </w:rPr>
        <w:t xml:space="preserve">The growing interest in mixed methods invites comparison with studies that rely exclusively on quantitative or qualitative designs. McKim (2015) characterises the value of mixed methods as their ability to illuminate complex realities, deepen readers’ comprehension, increase confidence in findings, enhance </w:t>
      </w:r>
      <w:r w:rsidRPr="00F34E64">
        <w:rPr>
          <w:rFonts w:ascii="Arial" w:hAnsi="Arial" w:cs="Arial"/>
        </w:rPr>
        <w:t>precision and thoroughness, and strengthen overall validity.</w:t>
      </w:r>
      <w:r w:rsidRPr="00F34E64">
        <w:rPr>
          <w:rFonts w:ascii="Times New Roman" w:eastAsia="Times New Roman" w:hAnsi="Times New Roman" w:cs="Times New Roman"/>
          <w:kern w:val="0"/>
          <w:sz w:val="24"/>
          <w:szCs w:val="24"/>
          <w:lang w:eastAsia="en-GB"/>
          <w14:ligatures w14:val="none"/>
        </w:rPr>
        <w:t xml:space="preserve"> </w:t>
      </w:r>
    </w:p>
    <w:p w14:paraId="53E9FA8F" w14:textId="437744E0" w:rsidR="008B3E51" w:rsidRDefault="008B3E51" w:rsidP="008B3E51">
      <w:pPr>
        <w:rPr>
          <w:rFonts w:ascii="Arial" w:hAnsi="Arial" w:cs="Arial"/>
        </w:rPr>
      </w:pPr>
      <w:r w:rsidRPr="00F34E64">
        <w:rPr>
          <w:rFonts w:ascii="Arial" w:hAnsi="Arial" w:cs="Arial"/>
        </w:rPr>
        <w:t xml:space="preserve">Online surveys </w:t>
      </w:r>
      <w:r>
        <w:rPr>
          <w:rFonts w:ascii="Arial" w:hAnsi="Arial" w:cs="Arial"/>
        </w:rPr>
        <w:t xml:space="preserve">are </w:t>
      </w:r>
      <w:r w:rsidRPr="00FF0875">
        <w:rPr>
          <w:rFonts w:ascii="Arial" w:hAnsi="Arial" w:cs="Arial"/>
        </w:rPr>
        <w:t xml:space="preserve">widely recognised in recent methodological literature for </w:t>
      </w:r>
      <w:r>
        <w:rPr>
          <w:rFonts w:ascii="Arial" w:hAnsi="Arial" w:cs="Arial"/>
        </w:rPr>
        <w:t>the</w:t>
      </w:r>
      <w:r w:rsidRPr="00FF0875">
        <w:rPr>
          <w:rFonts w:ascii="Arial" w:hAnsi="Arial" w:cs="Arial"/>
        </w:rPr>
        <w:t xml:space="preserve"> ability to</w:t>
      </w:r>
      <w:r>
        <w:rPr>
          <w:rFonts w:ascii="Arial" w:hAnsi="Arial" w:cs="Arial"/>
        </w:rPr>
        <w:t xml:space="preserve"> </w:t>
      </w:r>
      <w:r w:rsidRPr="00F34E64">
        <w:rPr>
          <w:rFonts w:ascii="Arial" w:hAnsi="Arial" w:cs="Arial"/>
        </w:rPr>
        <w:t>extend these strengths by offering broad reach, rapid data collection, and cost efficiencies</w:t>
      </w:r>
      <w:r>
        <w:rPr>
          <w:rFonts w:ascii="Arial" w:hAnsi="Arial" w:cs="Arial"/>
        </w:rPr>
        <w:t xml:space="preserve"> (</w:t>
      </w:r>
      <w:r w:rsidRPr="00B56FB4">
        <w:rPr>
          <w:rFonts w:ascii="Arial" w:hAnsi="Arial" w:cs="Arial"/>
        </w:rPr>
        <w:t>Dillman</w:t>
      </w:r>
      <w:r>
        <w:t xml:space="preserve">, </w:t>
      </w:r>
      <w:r w:rsidRPr="00A56F6A">
        <w:rPr>
          <w:rFonts w:ascii="Arial" w:hAnsi="Arial" w:cs="Arial"/>
        </w:rPr>
        <w:t>Smyth, &amp; Christian, 201</w:t>
      </w:r>
      <w:r>
        <w:rPr>
          <w:rFonts w:ascii="Arial" w:hAnsi="Arial" w:cs="Arial"/>
        </w:rPr>
        <w:t>6</w:t>
      </w:r>
      <w:r w:rsidRPr="00A56F6A">
        <w:rPr>
          <w:rFonts w:ascii="Arial" w:hAnsi="Arial" w:cs="Arial"/>
        </w:rPr>
        <w:t>)</w:t>
      </w:r>
      <w:r>
        <w:rPr>
          <w:rFonts w:ascii="Arial" w:hAnsi="Arial" w:cs="Arial"/>
        </w:rPr>
        <w:t xml:space="preserve"> </w:t>
      </w:r>
      <w:r w:rsidRPr="00F34E64">
        <w:rPr>
          <w:rFonts w:ascii="Arial" w:hAnsi="Arial" w:cs="Arial"/>
        </w:rPr>
        <w:t xml:space="preserve">are particularly valuable when targeting young adults across multiple Welsh regions; they enable recruitment through social media, community networks, and institutional channels, increasing the likelihood of capturing diverse respondent profiles. </w:t>
      </w:r>
      <w:r w:rsidRPr="00BA1FE0">
        <w:rPr>
          <w:rFonts w:ascii="Arial" w:hAnsi="Arial" w:cs="Arial"/>
        </w:rPr>
        <w:t>Web platforms permit automated routing, mobile responsiveness, and real</w:t>
      </w:r>
      <w:r w:rsidRPr="00BA1FE0">
        <w:rPr>
          <w:rFonts w:ascii="Arial" w:hAnsi="Arial" w:cs="Arial"/>
        </w:rPr>
        <w:noBreakHyphen/>
        <w:t>time export of responses</w:t>
      </w:r>
      <w:r w:rsidR="00722DA1">
        <w:rPr>
          <w:rFonts w:ascii="Arial" w:hAnsi="Arial" w:cs="Arial"/>
        </w:rPr>
        <w:t xml:space="preserve"> </w:t>
      </w:r>
      <w:r w:rsidR="00722DA1" w:rsidRPr="00BA1FE0">
        <w:rPr>
          <w:rFonts w:ascii="Arial" w:hAnsi="Arial" w:cs="Arial"/>
        </w:rPr>
        <w:t>(Wright, 2019)</w:t>
      </w:r>
      <w:r w:rsidRPr="00BA1FE0">
        <w:rPr>
          <w:rFonts w:ascii="Arial" w:hAnsi="Arial" w:cs="Arial"/>
        </w:rPr>
        <w:t>, which together reduce administrative burden and accelerate the pace from data collection to analysis.</w:t>
      </w:r>
      <w:r>
        <w:rPr>
          <w:rFonts w:ascii="Arial" w:hAnsi="Arial" w:cs="Arial"/>
        </w:rPr>
        <w:t xml:space="preserve"> </w:t>
      </w:r>
      <w:r w:rsidRPr="00F34E64">
        <w:rPr>
          <w:rFonts w:ascii="Arial" w:hAnsi="Arial" w:cs="Arial"/>
        </w:rPr>
        <w:t>The online mode also supports anonymity and respondent control</w:t>
      </w:r>
      <w:r>
        <w:rPr>
          <w:rFonts w:ascii="Arial" w:hAnsi="Arial" w:cs="Arial"/>
        </w:rPr>
        <w:t xml:space="preserve"> (</w:t>
      </w:r>
      <w:r w:rsidRPr="000F2896">
        <w:rPr>
          <w:rFonts w:ascii="Arial" w:hAnsi="Arial" w:cs="Arial"/>
        </w:rPr>
        <w:t>Maslovskaya, Struminskava</w:t>
      </w:r>
      <w:r w:rsidR="00D07E78">
        <w:rPr>
          <w:rFonts w:ascii="Arial" w:hAnsi="Arial" w:cs="Arial"/>
        </w:rPr>
        <w:t xml:space="preserve"> &amp;</w:t>
      </w:r>
      <w:r w:rsidRPr="000F2896">
        <w:rPr>
          <w:rFonts w:ascii="Arial" w:hAnsi="Arial" w:cs="Arial"/>
        </w:rPr>
        <w:t xml:space="preserve"> Durrant, 2022)</w:t>
      </w:r>
      <w:r w:rsidRPr="00F34E64">
        <w:rPr>
          <w:rFonts w:ascii="Arial" w:hAnsi="Arial" w:cs="Arial"/>
        </w:rPr>
        <w:t>, which can improve candour on sensitive topics such as substance misuse and perceptions of policing</w:t>
      </w:r>
      <w:r>
        <w:rPr>
          <w:rFonts w:ascii="Arial" w:hAnsi="Arial" w:cs="Arial"/>
        </w:rPr>
        <w:t>.</w:t>
      </w:r>
    </w:p>
    <w:p w14:paraId="5AE23778" w14:textId="51043A5E" w:rsidR="00BE24E1" w:rsidRDefault="001316BB" w:rsidP="009C7EF6">
      <w:pPr>
        <w:rPr>
          <w:rFonts w:ascii="Arial" w:hAnsi="Arial" w:cs="Arial"/>
        </w:rPr>
      </w:pPr>
      <w:r w:rsidRPr="00DF34B1">
        <w:rPr>
          <w:rFonts w:ascii="Arial" w:hAnsi="Arial" w:cs="Arial"/>
        </w:rPr>
        <w:t>Building on this rationale, th</w:t>
      </w:r>
      <w:r>
        <w:rPr>
          <w:rFonts w:ascii="Arial" w:hAnsi="Arial" w:cs="Arial"/>
        </w:rPr>
        <w:t>is research</w:t>
      </w:r>
      <w:r w:rsidRPr="00DF34B1">
        <w:rPr>
          <w:rFonts w:ascii="Arial" w:hAnsi="Arial" w:cs="Arial"/>
        </w:rPr>
        <w:t xml:space="preserve"> aims to develop an online survey to gather systematic quantitative data</w:t>
      </w:r>
      <w:r>
        <w:rPr>
          <w:rFonts w:ascii="Arial" w:hAnsi="Arial" w:cs="Arial"/>
        </w:rPr>
        <w:t xml:space="preserve">, </w:t>
      </w:r>
      <w:r w:rsidRPr="00DF34B1">
        <w:rPr>
          <w:rFonts w:ascii="Arial" w:hAnsi="Arial" w:cs="Arial"/>
        </w:rPr>
        <w:t>including demographic information and attitudinal responses</w:t>
      </w:r>
      <w:r>
        <w:rPr>
          <w:rFonts w:ascii="Arial" w:hAnsi="Arial" w:cs="Arial"/>
        </w:rPr>
        <w:t xml:space="preserve"> </w:t>
      </w:r>
      <w:r w:rsidRPr="00DF34B1">
        <w:rPr>
          <w:rFonts w:ascii="Arial" w:hAnsi="Arial" w:cs="Arial"/>
        </w:rPr>
        <w:t>across diverse communities in Wales</w:t>
      </w:r>
      <w:r>
        <w:rPr>
          <w:rFonts w:ascii="Arial" w:hAnsi="Arial" w:cs="Arial"/>
        </w:rPr>
        <w:t>.</w:t>
      </w:r>
      <w:r w:rsidRPr="00DF34B1">
        <w:rPr>
          <w:rFonts w:ascii="Arial" w:hAnsi="Arial" w:cs="Arial"/>
        </w:rPr>
        <w:t xml:space="preserve"> </w:t>
      </w:r>
      <w:r>
        <w:rPr>
          <w:rFonts w:ascii="Arial" w:hAnsi="Arial" w:cs="Arial"/>
        </w:rPr>
        <w:t>T</w:t>
      </w:r>
      <w:r w:rsidRPr="00DF34B1">
        <w:rPr>
          <w:rFonts w:ascii="Arial" w:hAnsi="Arial" w:cs="Arial"/>
        </w:rPr>
        <w:t xml:space="preserve">he online format facilitates broad reach, respondent anonymity, efficient administration, and rapid data collection, while clear consent procedures, and a mix of closed and targeted open items will maximise validity and ethical rigour and allow the survey findings to be </w:t>
      </w:r>
      <w:r>
        <w:rPr>
          <w:rFonts w:ascii="Arial" w:hAnsi="Arial" w:cs="Arial"/>
        </w:rPr>
        <w:t>validated</w:t>
      </w:r>
      <w:r w:rsidRPr="00DF34B1">
        <w:rPr>
          <w:rFonts w:ascii="Arial" w:hAnsi="Arial" w:cs="Arial"/>
        </w:rPr>
        <w:t xml:space="preserve"> with complementary qualitative evidence</w:t>
      </w:r>
      <w:r>
        <w:rPr>
          <w:rFonts w:ascii="Arial" w:hAnsi="Arial" w:cs="Arial"/>
        </w:rPr>
        <w:t xml:space="preserve"> (</w:t>
      </w:r>
      <w:r w:rsidRPr="007D5956">
        <w:rPr>
          <w:rFonts w:ascii="Arial" w:hAnsi="Arial" w:cs="Arial"/>
        </w:rPr>
        <w:t>Menon &amp; Muraleedharan, 2020</w:t>
      </w:r>
      <w:r>
        <w:rPr>
          <w:rFonts w:ascii="Arial" w:hAnsi="Arial" w:cs="Arial"/>
        </w:rPr>
        <w:t xml:space="preserve">). </w:t>
      </w:r>
    </w:p>
    <w:p w14:paraId="7456FB8E" w14:textId="77777777" w:rsidR="00D07E78" w:rsidRPr="005240A3" w:rsidRDefault="00D07E78" w:rsidP="009C7EF6">
      <w:pPr>
        <w:rPr>
          <w:rFonts w:ascii="Arial" w:hAnsi="Arial" w:cs="Arial"/>
        </w:rPr>
      </w:pPr>
    </w:p>
    <w:p w14:paraId="20103DB2" w14:textId="2148A43B" w:rsidR="00D047FE" w:rsidRPr="00815FE1" w:rsidRDefault="009C7EF6" w:rsidP="00815FE1">
      <w:pPr>
        <w:pStyle w:val="ListParagraph"/>
        <w:numPr>
          <w:ilvl w:val="0"/>
          <w:numId w:val="1"/>
        </w:numPr>
        <w:rPr>
          <w:rFonts w:ascii="Arial" w:hAnsi="Arial" w:cs="Arial"/>
          <w:b/>
          <w:bCs/>
          <w:sz w:val="24"/>
          <w:szCs w:val="24"/>
        </w:rPr>
      </w:pPr>
      <w:r w:rsidRPr="00543D6F">
        <w:rPr>
          <w:rFonts w:ascii="Arial" w:hAnsi="Arial" w:cs="Arial"/>
          <w:b/>
          <w:bCs/>
          <w:sz w:val="24"/>
          <w:szCs w:val="24"/>
        </w:rPr>
        <w:t>Data Collection</w:t>
      </w:r>
      <w:r w:rsidR="00815FE1">
        <w:rPr>
          <w:rFonts w:ascii="Arial" w:hAnsi="Arial" w:cs="Arial"/>
          <w:b/>
          <w:bCs/>
          <w:sz w:val="24"/>
          <w:szCs w:val="24"/>
        </w:rPr>
        <w:t xml:space="preserve">   </w:t>
      </w:r>
    </w:p>
    <w:p w14:paraId="4CA011A9" w14:textId="75E51202" w:rsidR="00616B06" w:rsidRPr="00607E2A" w:rsidRDefault="00607E2A" w:rsidP="00815FE1">
      <w:pPr>
        <w:rPr>
          <w:rFonts w:ascii="Arial" w:hAnsi="Arial" w:cs="Arial"/>
        </w:rPr>
      </w:pPr>
      <w:r w:rsidRPr="00607E2A">
        <w:rPr>
          <w:rFonts w:ascii="Arial" w:hAnsi="Arial" w:cs="Arial"/>
        </w:rPr>
        <w:t xml:space="preserve">The data for this study will be obtained directly from members of the public living in Wales. The target population includes individuals aged 18 and above who are able to provide informed perspectives on substance misuse among young adults and on policing practices within their communities. </w:t>
      </w:r>
      <w:r w:rsidR="00616B06" w:rsidRPr="00A816BF">
        <w:rPr>
          <w:rFonts w:ascii="Arial" w:hAnsi="Arial" w:cs="Arial"/>
        </w:rPr>
        <w:t>Participants will be recruited through social media, university mailing lists and professional networks including co</w:t>
      </w:r>
      <w:r w:rsidR="00616B06" w:rsidRPr="00A816BF">
        <w:rPr>
          <w:rFonts w:ascii="Arial" w:hAnsi="Arial" w:cs="Arial"/>
        </w:rPr>
        <w:noBreakHyphen/>
        <w:t>workers, with eligibility restricted to individuals aged 18 and over currently residing in Wales.</w:t>
      </w:r>
      <w:r w:rsidR="00616B06">
        <w:rPr>
          <w:rFonts w:ascii="Arial" w:hAnsi="Arial" w:cs="Arial"/>
        </w:rPr>
        <w:t xml:space="preserve"> </w:t>
      </w:r>
      <w:r w:rsidRPr="00607E2A">
        <w:rPr>
          <w:rFonts w:ascii="Arial" w:hAnsi="Arial" w:cs="Arial"/>
        </w:rPr>
        <w:t>This approach enables broad reach across different regions of Wales and supports the inclusion of diverse demographic groups.</w:t>
      </w:r>
      <w:r w:rsidR="00805B21" w:rsidRPr="00805B21">
        <w:rPr>
          <w:rFonts w:ascii="Arial" w:hAnsi="Arial" w:cs="Arial"/>
        </w:rPr>
        <w:t xml:space="preserve"> </w:t>
      </w:r>
      <w:r w:rsidR="00805B21" w:rsidRPr="00897D24">
        <w:rPr>
          <w:rFonts w:ascii="Arial" w:hAnsi="Arial" w:cs="Arial"/>
        </w:rPr>
        <w:t>Such an inclusive sampling strategy supports a wide range of viewpoints, reduces potential bias, and contributes to a more accurate picture</w:t>
      </w:r>
      <w:r w:rsidR="00805B21" w:rsidRPr="009A2210">
        <w:t xml:space="preserve"> </w:t>
      </w:r>
      <w:r w:rsidR="00805B21" w:rsidRPr="009A2210">
        <w:rPr>
          <w:rFonts w:ascii="Arial" w:hAnsi="Arial" w:cs="Arial"/>
        </w:rPr>
        <w:t>(Government Social Research, 2022)</w:t>
      </w:r>
      <w:r w:rsidR="00805B21" w:rsidRPr="00897D24">
        <w:rPr>
          <w:rFonts w:ascii="Arial" w:hAnsi="Arial" w:cs="Arial"/>
        </w:rPr>
        <w:t xml:space="preserve"> of both substance misuse and the policing response to it. By gathering perspectives from individuals with varied experiences, the survey seeks to identify possible differences in views and build a comprehensive understanding of public opinion.</w:t>
      </w:r>
    </w:p>
    <w:p w14:paraId="0AAF1623" w14:textId="23A98038" w:rsidR="00805B21" w:rsidRPr="00D07E78" w:rsidRDefault="008F438C" w:rsidP="00616B06">
      <w:pPr>
        <w:rPr>
          <w:rFonts w:ascii="Arial" w:hAnsi="Arial" w:cs="Arial"/>
        </w:rPr>
      </w:pPr>
      <w:r w:rsidRPr="008F438C">
        <w:rPr>
          <w:rFonts w:ascii="Arial" w:hAnsi="Arial" w:cs="Arial"/>
        </w:rPr>
        <w:t>Data will be collected using an online, self</w:t>
      </w:r>
      <w:r w:rsidRPr="008F438C">
        <w:rPr>
          <w:rFonts w:ascii="Arial" w:hAnsi="Arial" w:cs="Arial"/>
        </w:rPr>
        <w:noBreakHyphen/>
        <w:t xml:space="preserve">administered </w:t>
      </w:r>
      <w:r w:rsidRPr="00A816BF">
        <w:rPr>
          <w:rFonts w:ascii="Arial" w:hAnsi="Arial" w:cs="Arial"/>
        </w:rPr>
        <w:t>questionnaire. The survey will be hosted on a secure digital platform and made accessible through a web link shared with potential participants. Respondents will complete the questionnaire at their convenience, providing both quantitative and qualitative data through a combination of closed</w:t>
      </w:r>
      <w:r w:rsidRPr="00A816BF">
        <w:rPr>
          <w:rFonts w:ascii="Arial" w:hAnsi="Arial" w:cs="Arial"/>
        </w:rPr>
        <w:noBreakHyphen/>
        <w:t>ended and open</w:t>
      </w:r>
      <w:r w:rsidRPr="00A816BF">
        <w:rPr>
          <w:rFonts w:ascii="Arial" w:hAnsi="Arial" w:cs="Arial"/>
        </w:rPr>
        <w:noBreakHyphen/>
        <w:t>ended items. The online format ensures efficient data collection, reduces administrative burden, and supports participant anonymity</w:t>
      </w:r>
      <w:r w:rsidR="004C30D6" w:rsidRPr="00A816BF">
        <w:rPr>
          <w:rFonts w:ascii="Arial" w:hAnsi="Arial" w:cs="Arial"/>
        </w:rPr>
        <w:t xml:space="preserve"> </w:t>
      </w:r>
      <w:r w:rsidR="004C30D6" w:rsidRPr="00A816BF">
        <w:rPr>
          <w:rFonts w:ascii="Arial" w:hAnsi="Arial" w:cs="Arial"/>
        </w:rPr>
        <w:t>(Menon &amp; Muraleedharan, 2020)</w:t>
      </w:r>
      <w:r w:rsidRPr="00A816BF">
        <w:rPr>
          <w:rFonts w:ascii="Arial" w:hAnsi="Arial" w:cs="Arial"/>
        </w:rPr>
        <w:t>, which is particularly important given the sensitivity of topics such as substance misuse and policing.</w:t>
      </w:r>
      <w:r w:rsidR="00616B06">
        <w:rPr>
          <w:rFonts w:ascii="Arial" w:hAnsi="Arial" w:cs="Arial"/>
        </w:rPr>
        <w:t xml:space="preserve"> </w:t>
      </w:r>
      <w:r w:rsidR="008718D7" w:rsidRPr="00A816BF">
        <w:rPr>
          <w:rFonts w:ascii="Arial" w:hAnsi="Arial" w:cs="Arial"/>
        </w:rPr>
        <w:t>Data collection will take place over a defined period, with reminders issued to maximise response rates. All responses will be stored securely, and accessible only to the researcher.</w:t>
      </w:r>
    </w:p>
    <w:p w14:paraId="658D4992" w14:textId="764C5A0D" w:rsidR="009C7EF6" w:rsidRPr="008F438C" w:rsidRDefault="009C7EF6" w:rsidP="009C7EF6">
      <w:pPr>
        <w:pStyle w:val="ListParagraph"/>
        <w:numPr>
          <w:ilvl w:val="0"/>
          <w:numId w:val="1"/>
        </w:numPr>
        <w:rPr>
          <w:rFonts w:ascii="Arial" w:hAnsi="Arial" w:cs="Arial"/>
          <w:b/>
          <w:bCs/>
          <w:sz w:val="24"/>
          <w:szCs w:val="24"/>
        </w:rPr>
      </w:pPr>
      <w:r w:rsidRPr="008F438C">
        <w:rPr>
          <w:rFonts w:ascii="Arial" w:hAnsi="Arial" w:cs="Arial"/>
          <w:b/>
          <w:bCs/>
          <w:sz w:val="24"/>
          <w:szCs w:val="24"/>
        </w:rPr>
        <w:t>Data Analysis</w:t>
      </w:r>
    </w:p>
    <w:p w14:paraId="4327F71A" w14:textId="3B357531" w:rsidR="009C7EF6" w:rsidRPr="0068773F" w:rsidRDefault="00D91C27" w:rsidP="0068773F">
      <w:pPr>
        <w:rPr>
          <w:rFonts w:ascii="Arial" w:hAnsi="Arial" w:cs="Arial"/>
        </w:rPr>
      </w:pPr>
      <w:r w:rsidRPr="00D91C27">
        <w:rPr>
          <w:rFonts w:ascii="Arial" w:hAnsi="Arial" w:cs="Arial"/>
        </w:rPr>
        <w:t>The data collected through the online questionnaire will be analysed using a combination of quantitative and qualitative techniques, reflecting the mixed</w:t>
      </w:r>
      <w:r w:rsidRPr="00D91C27">
        <w:rPr>
          <w:rFonts w:ascii="Arial" w:hAnsi="Arial" w:cs="Arial"/>
        </w:rPr>
        <w:noBreakHyphen/>
        <w:t>format nature of the survey items. The analysis process is designed to identify patterns, associations, and key themes relevant to public perceptions of substance misuse among young adults in Wales and views on policing responses</w:t>
      </w:r>
      <w:r w:rsidR="008473A3">
        <w:rPr>
          <w:rFonts w:ascii="Arial" w:hAnsi="Arial" w:cs="Arial"/>
        </w:rPr>
        <w:t xml:space="preserve">, </w:t>
      </w:r>
      <w:r w:rsidR="008473A3" w:rsidRPr="003F2BB8">
        <w:rPr>
          <w:rFonts w:ascii="Arial" w:hAnsi="Arial" w:cs="Arial"/>
        </w:rPr>
        <w:t xml:space="preserve">where quantitative techniques reveal trends and </w:t>
      </w:r>
      <w:r w:rsidR="00524AB5">
        <w:rPr>
          <w:rFonts w:ascii="Arial" w:hAnsi="Arial" w:cs="Arial"/>
        </w:rPr>
        <w:t>relatio</w:t>
      </w:r>
      <w:r w:rsidR="008473A3" w:rsidRPr="003F2BB8">
        <w:rPr>
          <w:rFonts w:ascii="Arial" w:hAnsi="Arial" w:cs="Arial"/>
        </w:rPr>
        <w:t>nships while qualitative analysis identifies recurring themes and deeper meanings</w:t>
      </w:r>
      <w:r w:rsidR="00524AB5">
        <w:rPr>
          <w:rFonts w:ascii="Arial" w:hAnsi="Arial" w:cs="Arial"/>
        </w:rPr>
        <w:t xml:space="preserve"> </w:t>
      </w:r>
      <w:r w:rsidR="004C1456">
        <w:rPr>
          <w:rFonts w:ascii="Arial" w:hAnsi="Arial" w:cs="Arial"/>
        </w:rPr>
        <w:t>(McLeod, 2024)</w:t>
      </w:r>
      <w:r w:rsidR="008473A3" w:rsidRPr="003F2BB8">
        <w:rPr>
          <w:rFonts w:ascii="Arial" w:hAnsi="Arial" w:cs="Arial"/>
        </w:rPr>
        <w:t>.</w:t>
      </w:r>
    </w:p>
    <w:p w14:paraId="2EE26B3C" w14:textId="217FB0C5" w:rsidR="00E008D9" w:rsidRDefault="00862F92" w:rsidP="009C7EF6">
      <w:pPr>
        <w:spacing w:line="256" w:lineRule="auto"/>
        <w:rPr>
          <w:rFonts w:ascii="Arial" w:hAnsi="Arial" w:cs="Arial"/>
        </w:rPr>
      </w:pPr>
      <w:r w:rsidRPr="00432FAF">
        <w:rPr>
          <w:rFonts w:ascii="Arial" w:hAnsi="Arial" w:cs="Arial"/>
        </w:rPr>
        <w:t>Data analysis will include descriptive statistics</w:t>
      </w:r>
      <w:r w:rsidRPr="001875B6">
        <w:rPr>
          <w:rFonts w:ascii="Arial" w:hAnsi="Arial" w:cs="Arial"/>
        </w:rPr>
        <w:t xml:space="preserve">, </w:t>
      </w:r>
      <w:r w:rsidR="001875B6" w:rsidRPr="001875B6">
        <w:rPr>
          <w:rFonts w:ascii="Arial" w:hAnsi="Arial" w:cs="Arial"/>
        </w:rPr>
        <w:t>comparisons between different groups, and models that explore which factors shape people’s perceptions and their willingness to seek help</w:t>
      </w:r>
      <w:r w:rsidR="00FB11A0">
        <w:rPr>
          <w:rFonts w:ascii="Arial" w:hAnsi="Arial" w:cs="Arial"/>
        </w:rPr>
        <w:t xml:space="preserve">. </w:t>
      </w:r>
      <w:r w:rsidR="00FB11A0" w:rsidRPr="00FB11A0">
        <w:rPr>
          <w:rFonts w:ascii="Arial" w:hAnsi="Arial" w:cs="Arial"/>
        </w:rPr>
        <w:t>P</w:t>
      </w:r>
      <w:r w:rsidRPr="00FB11A0">
        <w:rPr>
          <w:rFonts w:ascii="Arial" w:hAnsi="Arial" w:cs="Arial"/>
        </w:rPr>
        <w:t xml:space="preserve">lanned sensitivity checks will assess </w:t>
      </w:r>
      <w:r w:rsidR="00FB11A0" w:rsidRPr="00FB11A0">
        <w:rPr>
          <w:rFonts w:ascii="Arial" w:hAnsi="Arial" w:cs="Arial"/>
        </w:rPr>
        <w:t>whether the findings are reliable. Ethical measures</w:t>
      </w:r>
      <w:r w:rsidR="00FB11A0">
        <w:rPr>
          <w:rFonts w:ascii="Arial" w:hAnsi="Arial" w:cs="Arial"/>
        </w:rPr>
        <w:t xml:space="preserve">, </w:t>
      </w:r>
      <w:r w:rsidR="00FB11A0" w:rsidRPr="00FB11A0">
        <w:rPr>
          <w:rFonts w:ascii="Arial" w:hAnsi="Arial" w:cs="Arial"/>
        </w:rPr>
        <w:t>clear informed consent, anonymity, secure data storage, and full compliance with data protection rules</w:t>
      </w:r>
      <w:r w:rsidR="00724711">
        <w:rPr>
          <w:rFonts w:ascii="Arial" w:hAnsi="Arial" w:cs="Arial"/>
        </w:rPr>
        <w:t xml:space="preserve">, </w:t>
      </w:r>
      <w:r w:rsidR="00FB11A0" w:rsidRPr="00FB11A0">
        <w:rPr>
          <w:rFonts w:ascii="Arial" w:hAnsi="Arial" w:cs="Arial"/>
        </w:rPr>
        <w:t xml:space="preserve">will be followed throughout. </w:t>
      </w:r>
      <w:r w:rsidR="00AA37E6">
        <w:rPr>
          <w:rFonts w:ascii="Arial" w:hAnsi="Arial" w:cs="Arial"/>
        </w:rPr>
        <w:t xml:space="preserve">The aim is to </w:t>
      </w:r>
      <w:r w:rsidR="00BC25B0">
        <w:rPr>
          <w:rFonts w:ascii="Arial" w:hAnsi="Arial" w:cs="Arial"/>
        </w:rPr>
        <w:t>develop an online survey, using a mixed-method approach</w:t>
      </w:r>
      <w:r w:rsidR="006C4EBD">
        <w:rPr>
          <w:rFonts w:ascii="Arial" w:hAnsi="Arial" w:cs="Arial"/>
        </w:rPr>
        <w:t xml:space="preserve">, to </w:t>
      </w:r>
      <w:r w:rsidR="006C4EBD" w:rsidRPr="00FB11A0">
        <w:rPr>
          <w:rFonts w:ascii="Arial" w:hAnsi="Arial" w:cs="Arial"/>
        </w:rPr>
        <w:t>collect structured quantitative data that can later be compared with qualitative insights and used to guide policy and practice.</w:t>
      </w:r>
    </w:p>
    <w:p w14:paraId="10118C11" w14:textId="7FB40F64" w:rsidR="00A86668" w:rsidRPr="00E008D9" w:rsidRDefault="00A86668" w:rsidP="00A86668">
      <w:pPr>
        <w:spacing w:line="256" w:lineRule="auto"/>
        <w:rPr>
          <w:rFonts w:ascii="Arial" w:hAnsi="Arial" w:cs="Arial"/>
        </w:rPr>
      </w:pPr>
      <w:r w:rsidRPr="00E008D9">
        <w:rPr>
          <w:rFonts w:ascii="Arial" w:hAnsi="Arial" w:cs="Arial"/>
        </w:rPr>
        <w:t>The survey data will be analysed in several stages to ensure that the findings are clear, reliable, and directly address the research questions. Because the survey consists mainly of closed</w:t>
      </w:r>
      <w:r w:rsidRPr="00E008D9">
        <w:rPr>
          <w:rFonts w:ascii="Arial" w:hAnsi="Arial" w:cs="Arial"/>
        </w:rPr>
        <w:noBreakHyphen/>
        <w:t>ended items</w:t>
      </w:r>
      <w:r w:rsidR="00303597">
        <w:rPr>
          <w:rFonts w:ascii="Arial" w:hAnsi="Arial" w:cs="Arial"/>
        </w:rPr>
        <w:t xml:space="preserve">, </w:t>
      </w:r>
      <w:r w:rsidRPr="00E008D9">
        <w:rPr>
          <w:rFonts w:ascii="Arial" w:hAnsi="Arial" w:cs="Arial"/>
        </w:rPr>
        <w:t xml:space="preserve">the analysis will begin with descriptive statistics. These will summarise the data using frequencies, percentages, and average scores. </w:t>
      </w:r>
      <w:r w:rsidR="00800A70">
        <w:rPr>
          <w:rFonts w:ascii="Arial" w:hAnsi="Arial" w:cs="Arial"/>
        </w:rPr>
        <w:t xml:space="preserve">According to </w:t>
      </w:r>
      <w:r w:rsidR="00800A70" w:rsidRPr="006B45F8">
        <w:rPr>
          <w:rFonts w:ascii="Arial" w:hAnsi="Arial" w:cs="Arial"/>
        </w:rPr>
        <w:t>Bryman</w:t>
      </w:r>
      <w:r w:rsidR="00800A70">
        <w:rPr>
          <w:rFonts w:ascii="Arial" w:hAnsi="Arial" w:cs="Arial"/>
        </w:rPr>
        <w:t xml:space="preserve"> (</w:t>
      </w:r>
      <w:r w:rsidR="00800A70" w:rsidRPr="006B45F8">
        <w:rPr>
          <w:rFonts w:ascii="Arial" w:hAnsi="Arial" w:cs="Arial"/>
        </w:rPr>
        <w:t>2016)</w:t>
      </w:r>
      <w:r w:rsidR="00800A70">
        <w:rPr>
          <w:rFonts w:ascii="Arial" w:hAnsi="Arial" w:cs="Arial"/>
        </w:rPr>
        <w:t xml:space="preserve"> t</w:t>
      </w:r>
      <w:r w:rsidRPr="00E008D9">
        <w:rPr>
          <w:rFonts w:ascii="Arial" w:hAnsi="Arial" w:cs="Arial"/>
        </w:rPr>
        <w:t>his approach is appropriate because it provides an accessible overview of participants’ characteristics (Questions 1</w:t>
      </w:r>
      <w:r w:rsidR="003C11B5">
        <w:rPr>
          <w:rFonts w:ascii="Arial" w:hAnsi="Arial" w:cs="Arial"/>
        </w:rPr>
        <w:t>-</w:t>
      </w:r>
      <w:r w:rsidRPr="00E008D9">
        <w:rPr>
          <w:rFonts w:ascii="Arial" w:hAnsi="Arial" w:cs="Arial"/>
        </w:rPr>
        <w:t>5) and their views on safety, police visibility, help</w:t>
      </w:r>
      <w:r w:rsidRPr="00E008D9">
        <w:rPr>
          <w:rFonts w:ascii="Arial" w:hAnsi="Arial" w:cs="Arial"/>
        </w:rPr>
        <w:noBreakHyphen/>
        <w:t>seeking, fairness, and concerns about policing practices (Questions 6</w:t>
      </w:r>
      <w:r w:rsidR="003C11B5">
        <w:rPr>
          <w:rFonts w:ascii="Arial" w:hAnsi="Arial" w:cs="Arial"/>
        </w:rPr>
        <w:t>-</w:t>
      </w:r>
      <w:r w:rsidRPr="00E008D9">
        <w:rPr>
          <w:rFonts w:ascii="Arial" w:hAnsi="Arial" w:cs="Arial"/>
        </w:rPr>
        <w:t>12).</w:t>
      </w:r>
    </w:p>
    <w:p w14:paraId="0C371835" w14:textId="73DB3700" w:rsidR="00A86668" w:rsidRPr="00E008D9" w:rsidRDefault="00A86668" w:rsidP="00A86668">
      <w:pPr>
        <w:spacing w:line="256" w:lineRule="auto"/>
        <w:rPr>
          <w:rFonts w:ascii="Arial" w:hAnsi="Arial" w:cs="Arial"/>
        </w:rPr>
      </w:pPr>
      <w:r w:rsidRPr="00E008D9">
        <w:rPr>
          <w:rFonts w:ascii="Arial" w:hAnsi="Arial" w:cs="Arial"/>
        </w:rPr>
        <w:lastRenderedPageBreak/>
        <w:t>After describing the overall patterns, subgroup comparisons may be conducted where relevant</w:t>
      </w:r>
      <w:r w:rsidR="003C11B5">
        <w:rPr>
          <w:rFonts w:ascii="Arial" w:hAnsi="Arial" w:cs="Arial"/>
        </w:rPr>
        <w:t xml:space="preserve">, </w:t>
      </w:r>
      <w:r w:rsidRPr="00E008D9">
        <w:rPr>
          <w:rFonts w:ascii="Arial" w:hAnsi="Arial" w:cs="Arial"/>
        </w:rPr>
        <w:t>for example, examining whether perceptions differ by age group, gender, ethnicity, or region of Wales. This step is justified because it helps identify whether particular groups experience policing or substance</w:t>
      </w:r>
      <w:r w:rsidRPr="00E008D9">
        <w:rPr>
          <w:rFonts w:ascii="Arial" w:hAnsi="Arial" w:cs="Arial"/>
        </w:rPr>
        <w:noBreakHyphen/>
        <w:t>misuse</w:t>
      </w:r>
      <w:r w:rsidRPr="00E008D9">
        <w:rPr>
          <w:rFonts w:ascii="Arial" w:hAnsi="Arial" w:cs="Arial"/>
        </w:rPr>
        <w:noBreakHyphen/>
        <w:t>related issues differently, which is central to understanding community variation and potential inequalities</w:t>
      </w:r>
      <w:r w:rsidR="00BE1C37" w:rsidRPr="00BE1C37">
        <w:t xml:space="preserve"> </w:t>
      </w:r>
      <w:r w:rsidR="00BE1C37" w:rsidRPr="00BE1C37">
        <w:rPr>
          <w:rFonts w:ascii="Arial" w:hAnsi="Arial" w:cs="Arial"/>
        </w:rPr>
        <w:t>(Kim, 2025)</w:t>
      </w:r>
      <w:r w:rsidRPr="00E008D9">
        <w:rPr>
          <w:rFonts w:ascii="Arial" w:hAnsi="Arial" w:cs="Arial"/>
        </w:rPr>
        <w:t>.</w:t>
      </w:r>
    </w:p>
    <w:p w14:paraId="38A86D4A" w14:textId="0DEB46D3" w:rsidR="00A86668" w:rsidRPr="008F407A" w:rsidRDefault="00A86668" w:rsidP="00A86668">
      <w:pPr>
        <w:spacing w:line="256" w:lineRule="auto"/>
        <w:rPr>
          <w:rFonts w:ascii="Arial" w:hAnsi="Arial" w:cs="Arial"/>
        </w:rPr>
      </w:pPr>
      <w:r w:rsidRPr="008F407A">
        <w:rPr>
          <w:rFonts w:ascii="Arial" w:hAnsi="Arial" w:cs="Arial"/>
        </w:rPr>
        <w:t>For questions that explore more complex attitudes</w:t>
      </w:r>
      <w:r w:rsidR="003D5337">
        <w:rPr>
          <w:rFonts w:ascii="Arial" w:hAnsi="Arial" w:cs="Arial"/>
        </w:rPr>
        <w:t xml:space="preserve">, </w:t>
      </w:r>
      <w:r w:rsidRPr="008F407A">
        <w:rPr>
          <w:rFonts w:ascii="Arial" w:hAnsi="Arial" w:cs="Arial"/>
        </w:rPr>
        <w:t>such as perceived obstacles for police (Question 10) or suggested improvements (Questions 13</w:t>
      </w:r>
      <w:r w:rsidR="003D5337">
        <w:rPr>
          <w:rFonts w:ascii="Arial" w:hAnsi="Arial" w:cs="Arial"/>
        </w:rPr>
        <w:t>-</w:t>
      </w:r>
      <w:r w:rsidRPr="008F407A">
        <w:rPr>
          <w:rFonts w:ascii="Arial" w:hAnsi="Arial" w:cs="Arial"/>
        </w:rPr>
        <w:t>14)</w:t>
      </w:r>
      <w:r w:rsidR="003D5337">
        <w:rPr>
          <w:rFonts w:ascii="Arial" w:hAnsi="Arial" w:cs="Arial"/>
        </w:rPr>
        <w:t xml:space="preserve">, </w:t>
      </w:r>
      <w:r w:rsidRPr="008F407A">
        <w:rPr>
          <w:rFonts w:ascii="Arial" w:hAnsi="Arial" w:cs="Arial"/>
        </w:rPr>
        <w:t>responses will be categorised and summarised to identify common themes or priorities. Although these items are open</w:t>
      </w:r>
      <w:r w:rsidRPr="008F407A">
        <w:rPr>
          <w:rFonts w:ascii="Arial" w:hAnsi="Arial" w:cs="Arial"/>
        </w:rPr>
        <w:noBreakHyphen/>
        <w:t>ended in content, they can still be analysed systematically by grouping similar responses. This is justified because it allows qualitative insights to be presented in a structured, policy</w:t>
      </w:r>
      <w:r w:rsidRPr="008F407A">
        <w:rPr>
          <w:rFonts w:ascii="Arial" w:hAnsi="Arial" w:cs="Arial"/>
        </w:rPr>
        <w:noBreakHyphen/>
        <w:t>relevant way while maintaining the survey’s primarily quantitative focus</w:t>
      </w:r>
      <w:r w:rsidR="00B070BE">
        <w:rPr>
          <w:rFonts w:ascii="Arial" w:hAnsi="Arial" w:cs="Arial"/>
        </w:rPr>
        <w:t xml:space="preserve"> </w:t>
      </w:r>
      <w:r w:rsidR="00B070BE" w:rsidRPr="00B070BE">
        <w:rPr>
          <w:rFonts w:ascii="Arial" w:hAnsi="Arial" w:cs="Arial"/>
        </w:rPr>
        <w:t>(Webster</w:t>
      </w:r>
      <w:r w:rsidR="0014123E">
        <w:rPr>
          <w:rFonts w:ascii="Arial" w:hAnsi="Arial" w:cs="Arial"/>
        </w:rPr>
        <w:t>,</w:t>
      </w:r>
      <w:r w:rsidR="00B070BE" w:rsidRPr="00B070BE">
        <w:rPr>
          <w:rFonts w:ascii="Arial" w:hAnsi="Arial" w:cs="Arial"/>
        </w:rPr>
        <w:t xml:space="preserve"> Geisen, 2024</w:t>
      </w:r>
      <w:r w:rsidR="00B070BE">
        <w:rPr>
          <w:rFonts w:ascii="Arial" w:hAnsi="Arial" w:cs="Arial"/>
        </w:rPr>
        <w:t>)</w:t>
      </w:r>
      <w:r w:rsidRPr="008F407A">
        <w:rPr>
          <w:rFonts w:ascii="Arial" w:hAnsi="Arial" w:cs="Arial"/>
        </w:rPr>
        <w:t>.</w:t>
      </w:r>
    </w:p>
    <w:p w14:paraId="3C8DE3C5" w14:textId="77777777" w:rsidR="00CD4B38" w:rsidRDefault="00A86668" w:rsidP="00A86668">
      <w:pPr>
        <w:spacing w:line="256" w:lineRule="auto"/>
        <w:rPr>
          <w:rFonts w:ascii="Arial" w:hAnsi="Arial" w:cs="Arial"/>
        </w:rPr>
      </w:pPr>
      <w:r w:rsidRPr="008F407A">
        <w:rPr>
          <w:rFonts w:ascii="Arial" w:hAnsi="Arial" w:cs="Arial"/>
        </w:rPr>
        <w:t>Where appropriate, additional exploratory analyses may be used to examine how multiple factors relate to key outcomes, such as feelings of safety or likelihood of seeking help. This strengthens the analysis by moving beyond simple description and helping to identify which variables may influence perceptions or behaviours</w:t>
      </w:r>
      <w:r w:rsidR="00FE3C8B">
        <w:rPr>
          <w:rFonts w:ascii="Arial" w:hAnsi="Arial" w:cs="Arial"/>
        </w:rPr>
        <w:t xml:space="preserve"> (Bryman, 2016)</w:t>
      </w:r>
      <w:r w:rsidRPr="008F407A">
        <w:rPr>
          <w:rFonts w:ascii="Arial" w:hAnsi="Arial" w:cs="Arial"/>
        </w:rPr>
        <w:t>.</w:t>
      </w:r>
      <w:r w:rsidR="00CD4B38">
        <w:rPr>
          <w:rFonts w:ascii="Arial" w:hAnsi="Arial" w:cs="Arial"/>
        </w:rPr>
        <w:t xml:space="preserve"> </w:t>
      </w:r>
    </w:p>
    <w:p w14:paraId="1C0FE3C4" w14:textId="2E41731B" w:rsidR="00805B21" w:rsidRDefault="00A86668" w:rsidP="009A637E">
      <w:pPr>
        <w:spacing w:line="256" w:lineRule="auto"/>
        <w:rPr>
          <w:rFonts w:ascii="Arial" w:hAnsi="Arial" w:cs="Arial"/>
        </w:rPr>
      </w:pPr>
      <w:r w:rsidRPr="008F407A">
        <w:rPr>
          <w:rFonts w:ascii="Arial" w:hAnsi="Arial" w:cs="Arial"/>
        </w:rPr>
        <w:t>This analytical approach is justified because it aligns with the aims of the study: to provide a clear, evidence</w:t>
      </w:r>
      <w:r w:rsidRPr="008F407A">
        <w:rPr>
          <w:rFonts w:ascii="Arial" w:hAnsi="Arial" w:cs="Arial"/>
        </w:rPr>
        <w:noBreakHyphen/>
        <w:t>based picture of community perceptions, trust in policing, and barriers to help</w:t>
      </w:r>
      <w:r w:rsidRPr="008F407A">
        <w:rPr>
          <w:rFonts w:ascii="Arial" w:hAnsi="Arial" w:cs="Arial"/>
        </w:rPr>
        <w:noBreakHyphen/>
        <w:t>seeking among young adults in Wales. The combination of descriptive summaries, subgroup comparisons, and structured analysis of open</w:t>
      </w:r>
      <w:r w:rsidRPr="008F407A">
        <w:rPr>
          <w:rFonts w:ascii="Arial" w:hAnsi="Arial" w:cs="Arial"/>
        </w:rPr>
        <w:noBreakHyphen/>
        <w:t>ended responses supports a balanced and policy</w:t>
      </w:r>
      <w:r w:rsidRPr="008F407A">
        <w:rPr>
          <w:rFonts w:ascii="Arial" w:hAnsi="Arial" w:cs="Arial"/>
        </w:rPr>
        <w:noBreakHyphen/>
        <w:t>relevant interpretation of the data.</w:t>
      </w:r>
    </w:p>
    <w:p w14:paraId="2CA04AD3" w14:textId="32E0B2D3" w:rsidR="00A7499C" w:rsidRPr="009A637E" w:rsidRDefault="00A7499C" w:rsidP="00D46E21">
      <w:pPr>
        <w:pStyle w:val="ListParagraph"/>
        <w:numPr>
          <w:ilvl w:val="0"/>
          <w:numId w:val="1"/>
        </w:numPr>
        <w:rPr>
          <w:rFonts w:ascii="Arial" w:hAnsi="Arial" w:cs="Arial"/>
          <w:b/>
          <w:bCs/>
          <w:sz w:val="24"/>
          <w:szCs w:val="24"/>
        </w:rPr>
      </w:pPr>
      <w:r w:rsidRPr="009A637E">
        <w:rPr>
          <w:rFonts w:ascii="Arial" w:hAnsi="Arial" w:cs="Arial"/>
          <w:b/>
          <w:bCs/>
          <w:sz w:val="24"/>
          <w:szCs w:val="24"/>
        </w:rPr>
        <w:t>Limitations and Potential Hurdles</w:t>
      </w:r>
    </w:p>
    <w:p w14:paraId="28389A3A" w14:textId="4D7BACAB" w:rsidR="008117E6" w:rsidRPr="00A10FD3" w:rsidRDefault="00BC6306" w:rsidP="008117E6">
      <w:pPr>
        <w:spacing w:line="256" w:lineRule="auto"/>
        <w:rPr>
          <w:rFonts w:ascii="Arial" w:hAnsi="Arial" w:cs="Arial"/>
        </w:rPr>
      </w:pPr>
      <w:r w:rsidRPr="00BC6306">
        <w:rPr>
          <w:rFonts w:ascii="Arial" w:hAnsi="Arial" w:cs="Arial"/>
        </w:rPr>
        <w:t>Although the online questionnaire is an efficient and accessible method for gathering data from young adults across Wales, several limitations and practical challenges must be acknowledged. First, online surveys are vulnerable to variable response rates, which may be influenced by demographic factors, levels of digital confidence, or interest in the topic. Low or uneven response rates can introduce non</w:t>
      </w:r>
      <w:r w:rsidRPr="00BC6306">
        <w:rPr>
          <w:rFonts w:ascii="Arial" w:hAnsi="Arial" w:cs="Arial"/>
        </w:rPr>
        <w:noBreakHyphen/>
        <w:t>response bias and reduce the representativeness of the sample (Parish, 2023).</w:t>
      </w:r>
      <w:r w:rsidR="00DB73F5">
        <w:rPr>
          <w:rFonts w:ascii="Arial" w:hAnsi="Arial" w:cs="Arial"/>
        </w:rPr>
        <w:t xml:space="preserve"> </w:t>
      </w:r>
      <w:r w:rsidR="00C62F04" w:rsidRPr="005A72C9">
        <w:rPr>
          <w:rFonts w:ascii="Arial" w:hAnsi="Arial" w:cs="Arial"/>
        </w:rPr>
        <w:t>Technical and design</w:t>
      </w:r>
      <w:r w:rsidR="00C62F04" w:rsidRPr="005A72C9">
        <w:rPr>
          <w:rFonts w:ascii="Arial" w:hAnsi="Arial" w:cs="Arial"/>
        </w:rPr>
        <w:noBreakHyphen/>
        <w:t>related factors also present potential hurdles. Participants may disengage if the survey appears too long, repetitive, or co</w:t>
      </w:r>
      <w:r w:rsidR="00C3043D">
        <w:rPr>
          <w:rFonts w:ascii="Arial" w:hAnsi="Arial" w:cs="Arial"/>
        </w:rPr>
        <w:t>mplex</w:t>
      </w:r>
      <w:r w:rsidR="00C62F04" w:rsidRPr="005A72C9">
        <w:rPr>
          <w:rFonts w:ascii="Arial" w:hAnsi="Arial" w:cs="Arial"/>
        </w:rPr>
        <w:t xml:space="preserve">, which can lead to higher dropout rates or reduced data quality (Dillman, Smyth and Christian, 2014). </w:t>
      </w:r>
      <w:r w:rsidR="008117E6" w:rsidRPr="00A7499C">
        <w:rPr>
          <w:rFonts w:ascii="Arial" w:hAnsi="Arial" w:cs="Arial"/>
        </w:rPr>
        <w:t>Although the survey platform supports automated routing and centralised data storage, these features do not eliminate the possibility of incomplete responses or misinterpretation of fixed</w:t>
      </w:r>
      <w:r w:rsidR="008117E6" w:rsidRPr="00A7499C">
        <w:rPr>
          <w:rFonts w:ascii="Arial" w:hAnsi="Arial" w:cs="Arial"/>
        </w:rPr>
        <w:noBreakHyphen/>
        <w:t>choice items, particularly when researchers cannot clarify questions in real time (Bryman, 2016).</w:t>
      </w:r>
      <w:r w:rsidR="008117E6" w:rsidRPr="00D46E21">
        <w:rPr>
          <w:rFonts w:ascii="Times New Roman" w:eastAsia="Times New Roman" w:hAnsi="Times New Roman" w:cs="Times New Roman"/>
          <w:kern w:val="0"/>
          <w:sz w:val="24"/>
          <w:szCs w:val="24"/>
          <w:lang w:eastAsia="en-GB"/>
          <w14:ligatures w14:val="none"/>
        </w:rPr>
        <w:t xml:space="preserve"> </w:t>
      </w:r>
    </w:p>
    <w:p w14:paraId="6C6F1F7E" w14:textId="330084AA" w:rsidR="00A10FD3" w:rsidRPr="00C64A42" w:rsidRDefault="00A10FD3" w:rsidP="00A10FD3">
      <w:pPr>
        <w:spacing w:line="256" w:lineRule="auto"/>
        <w:rPr>
          <w:rFonts w:ascii="Arial" w:hAnsi="Arial" w:cs="Arial"/>
        </w:rPr>
      </w:pPr>
      <w:r w:rsidRPr="00C64A42">
        <w:rPr>
          <w:rFonts w:ascii="Arial" w:hAnsi="Arial" w:cs="Arial"/>
        </w:rPr>
        <w:t>To address the risk of low or uneven response rates, the survey was designed to be concise, clearly structured, and easy to complete on a range of devices. Following recommendations from Dillman, Smyth and Christian (2014), unnecessary complexity was avoided, and the survey was piloted to ensure that the length and wording did not discourage participation. The survey link w</w:t>
      </w:r>
      <w:r w:rsidR="00DB73F5">
        <w:rPr>
          <w:rFonts w:ascii="Arial" w:hAnsi="Arial" w:cs="Arial"/>
        </w:rPr>
        <w:t>ill</w:t>
      </w:r>
      <w:r w:rsidRPr="00C64A42">
        <w:rPr>
          <w:rFonts w:ascii="Arial" w:hAnsi="Arial" w:cs="Arial"/>
        </w:rPr>
        <w:t xml:space="preserve"> also </w:t>
      </w:r>
      <w:r w:rsidR="00DB73F5">
        <w:rPr>
          <w:rFonts w:ascii="Arial" w:hAnsi="Arial" w:cs="Arial"/>
        </w:rPr>
        <w:t xml:space="preserve">be </w:t>
      </w:r>
      <w:r w:rsidRPr="00C64A42">
        <w:rPr>
          <w:rFonts w:ascii="Arial" w:hAnsi="Arial" w:cs="Arial"/>
        </w:rPr>
        <w:t>distributed through multiple channels to widen reach and reduce the likelihood of demographic imbalance.</w:t>
      </w:r>
    </w:p>
    <w:p w14:paraId="242C0F5E" w14:textId="386F38E6" w:rsidR="001A02BC" w:rsidRDefault="004D613D" w:rsidP="00D46E21">
      <w:pPr>
        <w:spacing w:line="256" w:lineRule="auto"/>
        <w:rPr>
          <w:rFonts w:ascii="Arial" w:hAnsi="Arial" w:cs="Arial"/>
        </w:rPr>
      </w:pPr>
      <w:r w:rsidRPr="004D613D">
        <w:rPr>
          <w:rFonts w:ascii="Arial" w:hAnsi="Arial" w:cs="Arial"/>
        </w:rPr>
        <w:t>Another limitation concerns the depth of insight available from predominantly closed</w:t>
      </w:r>
      <w:r w:rsidRPr="004D613D">
        <w:rPr>
          <w:rFonts w:ascii="Arial" w:hAnsi="Arial" w:cs="Arial"/>
        </w:rPr>
        <w:noBreakHyphen/>
        <w:t>ended questions. While these items support efficient data collection and quantifiable analysis, they restrict participants’ ability to express nuance or context behind their views. Recent research shows that closed</w:t>
      </w:r>
      <w:r w:rsidRPr="004D613D">
        <w:rPr>
          <w:rFonts w:ascii="Arial" w:hAnsi="Arial" w:cs="Arial"/>
        </w:rPr>
        <w:noBreakHyphen/>
        <w:t>ended formats limit rich insights, and can lead to misleading assumptions, particularly when exploring complex issues such as perceptions of policing, trust, or help</w:t>
      </w:r>
      <w:r w:rsidRPr="004D613D">
        <w:rPr>
          <w:rFonts w:ascii="Arial" w:hAnsi="Arial" w:cs="Arial"/>
        </w:rPr>
        <w:noBreakHyphen/>
        <w:t>seeking behaviours (Sanchez, 2024</w:t>
      </w:r>
      <w:r w:rsidRPr="003948B2">
        <w:rPr>
          <w:rFonts w:ascii="Arial" w:hAnsi="Arial" w:cs="Arial"/>
        </w:rPr>
        <w:t>)</w:t>
      </w:r>
      <w:r w:rsidR="00EA3675" w:rsidRPr="003948B2">
        <w:rPr>
          <w:rFonts w:ascii="Arial" w:hAnsi="Arial" w:cs="Arial"/>
        </w:rPr>
        <w:t>.</w:t>
      </w:r>
      <w:r w:rsidR="003948B2" w:rsidRPr="003948B2">
        <w:rPr>
          <w:rFonts w:ascii="Arial" w:hAnsi="Arial" w:cs="Arial"/>
        </w:rPr>
        <w:t xml:space="preserve"> </w:t>
      </w:r>
      <w:r w:rsidR="003948B2" w:rsidRPr="003948B2">
        <w:rPr>
          <w:rFonts w:ascii="Arial" w:hAnsi="Arial" w:cs="Arial"/>
        </w:rPr>
        <w:t>To address this shortcoming, the survey will include open</w:t>
      </w:r>
      <w:r w:rsidR="003948B2" w:rsidRPr="003948B2">
        <w:rPr>
          <w:rFonts w:ascii="Arial" w:hAnsi="Arial" w:cs="Arial"/>
        </w:rPr>
        <w:noBreakHyphen/>
        <w:t xml:space="preserve">ended items that allow participants to offer richer, narrative responses. </w:t>
      </w:r>
      <w:r w:rsidR="003948B2" w:rsidRPr="003948B2">
        <w:rPr>
          <w:rFonts w:ascii="Arial" w:hAnsi="Arial" w:cs="Arial"/>
        </w:rPr>
        <w:lastRenderedPageBreak/>
        <w:t>Integrating quantitative survey data with qualitative elements will provide a more balanced and comprehensive picture of substance misuse.</w:t>
      </w:r>
    </w:p>
    <w:p w14:paraId="04C8CB19" w14:textId="0C8C65BD" w:rsidR="00604C0A" w:rsidRPr="00D46E21" w:rsidRDefault="00B778CA" w:rsidP="00D46E21">
      <w:pPr>
        <w:spacing w:line="256" w:lineRule="auto"/>
        <w:rPr>
          <w:rFonts w:ascii="Arial" w:hAnsi="Arial" w:cs="Arial"/>
        </w:rPr>
      </w:pPr>
      <w:r>
        <w:rPr>
          <w:rFonts w:ascii="Arial" w:hAnsi="Arial" w:cs="Arial"/>
        </w:rPr>
        <w:t>Finally, a</w:t>
      </w:r>
      <w:r w:rsidR="00604C0A" w:rsidRPr="00604C0A">
        <w:rPr>
          <w:rFonts w:ascii="Arial" w:hAnsi="Arial" w:cs="Arial"/>
        </w:rPr>
        <w:t xml:space="preserve"> further limitation arises from the ethical requirement to prevent harm to participants. Ethical research demands clear communication about the study and the provision of sufficient information for participants to give informed consent (Parish, 2023). Consequently, the survey’s first question is dedicated to obtaining informed consent, which, while essential, may also heighten awareness of the study’s sensitive themes and influence how some participants choose to respond</w:t>
      </w:r>
      <w:r>
        <w:rPr>
          <w:rFonts w:ascii="Arial" w:hAnsi="Arial" w:cs="Arial"/>
        </w:rPr>
        <w:t>.</w:t>
      </w:r>
    </w:p>
    <w:p w14:paraId="234A3D7F" w14:textId="17387454" w:rsidR="001515A9" w:rsidRPr="008B6F96" w:rsidRDefault="00D46E21" w:rsidP="00DB73F5">
      <w:pPr>
        <w:spacing w:line="256" w:lineRule="auto"/>
        <w:rPr>
          <w:rFonts w:ascii="Arial" w:hAnsi="Arial" w:cs="Arial"/>
        </w:rPr>
      </w:pPr>
      <w:r w:rsidRPr="008B6F96">
        <w:rPr>
          <w:rFonts w:ascii="Arial" w:hAnsi="Arial" w:cs="Arial"/>
        </w:rPr>
        <w:t>These limitations do not undermine the value of the survey but highlight the importance of careful design, clear question wording, and transparent reporting. Acknowledging these constraints ensures that the findings are interpreted appropriately and that conclusions remain proportionate to the strengths and boundaries of the data</w:t>
      </w:r>
      <w:r w:rsidR="00F02371" w:rsidRPr="008B6F96">
        <w:rPr>
          <w:rFonts w:ascii="Arial" w:hAnsi="Arial" w:cs="Arial"/>
        </w:rPr>
        <w:t xml:space="preserve"> </w:t>
      </w:r>
      <w:r w:rsidR="00F02371" w:rsidRPr="008B6F96">
        <w:rPr>
          <w:rFonts w:ascii="Arial" w:hAnsi="Arial" w:cs="Arial"/>
        </w:rPr>
        <w:t>(Braun</w:t>
      </w:r>
      <w:r w:rsidR="009A11F6" w:rsidRPr="008B6F96">
        <w:rPr>
          <w:rFonts w:ascii="Arial" w:hAnsi="Arial" w:cs="Arial"/>
        </w:rPr>
        <w:t xml:space="preserve">, </w:t>
      </w:r>
      <w:r w:rsidR="00F02371" w:rsidRPr="008B6F96">
        <w:rPr>
          <w:rFonts w:ascii="Arial" w:hAnsi="Arial" w:cs="Arial"/>
        </w:rPr>
        <w:t>Clarke, 2023</w:t>
      </w:r>
      <w:r w:rsidR="00F02371" w:rsidRPr="008B6F96">
        <w:rPr>
          <w:rFonts w:ascii="Arial" w:hAnsi="Arial" w:cs="Arial"/>
        </w:rPr>
        <w:t>)</w:t>
      </w:r>
      <w:r w:rsidRPr="008B6F96">
        <w:rPr>
          <w:rFonts w:ascii="Arial" w:hAnsi="Arial" w:cs="Arial"/>
        </w:rPr>
        <w:t>.</w:t>
      </w:r>
      <w:r w:rsidR="00B605C9">
        <w:rPr>
          <w:rFonts w:ascii="Arial" w:hAnsi="Arial" w:cs="Arial"/>
        </w:rPr>
        <w:t xml:space="preserve"> </w:t>
      </w:r>
      <w:r w:rsidR="001515A9" w:rsidRPr="008B6F96">
        <w:rPr>
          <w:rFonts w:ascii="Arial" w:hAnsi="Arial" w:cs="Arial"/>
        </w:rPr>
        <w:t>Ultimately, several steps will be taken to minimise the impact of the identified limitations and to ensure that the data collected remains as trustworthy as possible. Throughout the process, routine checks will be carried out to ensure the robustness of the findings, including reviewing missing data, identifying outliers, and confirming that results are consistent across different analytical choices. These procedures reflect established guidance that missing values, outliers, and other data</w:t>
      </w:r>
      <w:r w:rsidR="001515A9" w:rsidRPr="008B6F96">
        <w:rPr>
          <w:rFonts w:ascii="Arial" w:hAnsi="Arial" w:cs="Arial"/>
        </w:rPr>
        <w:noBreakHyphen/>
        <w:t xml:space="preserve">quality issues can distort results if not systematically addressed, and that </w:t>
      </w:r>
      <w:r w:rsidR="008B6F96" w:rsidRPr="008B6F96">
        <w:rPr>
          <w:rFonts w:ascii="Arial" w:hAnsi="Arial" w:cs="Arial"/>
        </w:rPr>
        <w:t>these steps</w:t>
      </w:r>
      <w:r w:rsidR="001515A9" w:rsidRPr="008B6F96">
        <w:rPr>
          <w:rFonts w:ascii="Arial" w:hAnsi="Arial" w:cs="Arial"/>
        </w:rPr>
        <w:t xml:space="preserve"> are essential for producing reliable and transparent analysis (Pallant, 2020).</w:t>
      </w:r>
    </w:p>
    <w:p w14:paraId="554CA291" w14:textId="0C889A1D" w:rsidR="009C7EF6" w:rsidRPr="00091A6D" w:rsidRDefault="009B4864" w:rsidP="009C7EF6">
      <w:pPr>
        <w:rPr>
          <w:rFonts w:ascii="Arial" w:hAnsi="Arial" w:cs="Arial"/>
        </w:rPr>
      </w:pPr>
      <w:r w:rsidRPr="00091A6D">
        <w:rPr>
          <w:rFonts w:ascii="Arial" w:hAnsi="Arial" w:cs="Arial"/>
        </w:rPr>
        <w:t>The reliability of this research is supported by the use of a standardised, self</w:t>
      </w:r>
      <w:r w:rsidRPr="00091A6D">
        <w:rPr>
          <w:rFonts w:ascii="Arial" w:hAnsi="Arial" w:cs="Arial"/>
        </w:rPr>
        <w:noBreakHyphen/>
        <w:t>administered online questionnaire that ensures all participants receive the same questions, in the same format, under the same conditions. This consistency reduces researcher influence and enhances the comparability of responses. Closed</w:t>
      </w:r>
      <w:r w:rsidRPr="00091A6D">
        <w:rPr>
          <w:rFonts w:ascii="Arial" w:hAnsi="Arial" w:cs="Arial"/>
        </w:rPr>
        <w:noBreakHyphen/>
        <w:t>ended items provide structured, repeatable measures, while qualitative responses will be analysed using systematic and transparent coding procedures to maintain consistency in interpretation. The digital format further strengthens reliability by automating data capture, reducing the risk of administrative error, and ensuring that responses are recorded accurately. Together, these features create a dependable and replicable methodological framework.</w:t>
      </w:r>
    </w:p>
    <w:p w14:paraId="4C66D1E5" w14:textId="1EFD5787" w:rsidR="00BA79CB" w:rsidRPr="00D41760" w:rsidRDefault="00091A6D">
      <w:pPr>
        <w:rPr>
          <w:rFonts w:ascii="Arial" w:hAnsi="Arial" w:cs="Arial"/>
        </w:rPr>
      </w:pPr>
      <w:r w:rsidRPr="00091A6D">
        <w:rPr>
          <w:rFonts w:ascii="Arial" w:hAnsi="Arial" w:cs="Arial"/>
        </w:rPr>
        <w:t xml:space="preserve">Overall, the study provides meaningful </w:t>
      </w:r>
      <w:r w:rsidR="004A580D" w:rsidRPr="00177EFB">
        <w:rPr>
          <w:rFonts w:ascii="Arial" w:hAnsi="Arial" w:cs="Arial"/>
        </w:rPr>
        <w:t>value by generating evidence that can inform more responsive, equitable, and effective approaches to policing and support services</w:t>
      </w:r>
      <w:r w:rsidR="00321132">
        <w:rPr>
          <w:rFonts w:ascii="Arial" w:hAnsi="Arial" w:cs="Arial"/>
        </w:rPr>
        <w:t xml:space="preserve"> </w:t>
      </w:r>
      <w:r w:rsidRPr="00091A6D">
        <w:rPr>
          <w:rFonts w:ascii="Arial" w:hAnsi="Arial" w:cs="Arial"/>
        </w:rPr>
        <w:t>on issues that directly affect young people’s safety, wellbeing, and trust in public services.</w:t>
      </w:r>
      <w:r w:rsidR="00B421CB" w:rsidRPr="00B421CB">
        <w:rPr>
          <w:rFonts w:ascii="Arial" w:hAnsi="Arial" w:cs="Arial"/>
        </w:rPr>
        <w:t xml:space="preserve"> </w:t>
      </w:r>
      <w:r w:rsidR="00B421CB" w:rsidRPr="00177EFB">
        <w:rPr>
          <w:rFonts w:ascii="Arial" w:hAnsi="Arial" w:cs="Arial"/>
        </w:rPr>
        <w:t>By capturing the perspectives of young adults in Wales, it contributes new insight to an area where contemporary, data</w:t>
      </w:r>
      <w:r w:rsidR="00B421CB" w:rsidRPr="00177EFB">
        <w:rPr>
          <w:rFonts w:ascii="Arial" w:hAnsi="Arial" w:cs="Arial"/>
        </w:rPr>
        <w:noBreakHyphen/>
        <w:t>driven understanding is urgently needed.</w:t>
      </w:r>
      <w:r w:rsidR="00D41760">
        <w:rPr>
          <w:rFonts w:ascii="Arial" w:hAnsi="Arial" w:cs="Arial"/>
        </w:rPr>
        <w:t xml:space="preserve"> </w:t>
      </w:r>
      <w:r w:rsidRPr="00091A6D">
        <w:rPr>
          <w:rFonts w:ascii="Arial" w:hAnsi="Arial" w:cs="Arial"/>
        </w:rPr>
        <w:t>Its findings can support both scholarly understanding and practical improvements, demonstrating the broader worth of the research.</w:t>
      </w:r>
    </w:p>
    <w:p w14:paraId="4F887D5A" w14:textId="77777777" w:rsidR="00BA79CB" w:rsidRDefault="00BA79CB">
      <w:pPr>
        <w:rPr>
          <w:b/>
          <w:bCs/>
          <w:sz w:val="24"/>
          <w:szCs w:val="24"/>
        </w:rPr>
      </w:pPr>
    </w:p>
    <w:p w14:paraId="598D128A" w14:textId="77777777" w:rsidR="00BA79CB" w:rsidRDefault="00BA79CB">
      <w:pPr>
        <w:rPr>
          <w:b/>
          <w:bCs/>
          <w:sz w:val="24"/>
          <w:szCs w:val="24"/>
        </w:rPr>
      </w:pPr>
    </w:p>
    <w:p w14:paraId="5E7ADD0D" w14:textId="77777777" w:rsidR="004562B8" w:rsidRDefault="004562B8" w:rsidP="008F438C">
      <w:pPr>
        <w:spacing w:line="256" w:lineRule="auto"/>
        <w:rPr>
          <w:rFonts w:cstheme="minorHAnsi"/>
        </w:rPr>
      </w:pPr>
    </w:p>
    <w:p w14:paraId="68EF4108" w14:textId="77777777" w:rsidR="004562B8" w:rsidRDefault="004562B8" w:rsidP="008F438C">
      <w:pPr>
        <w:spacing w:line="256" w:lineRule="auto"/>
        <w:rPr>
          <w:rFonts w:cstheme="minorHAnsi"/>
        </w:rPr>
      </w:pPr>
    </w:p>
    <w:p w14:paraId="10E790BE" w14:textId="77777777" w:rsidR="004562B8" w:rsidRDefault="004562B8" w:rsidP="008F438C">
      <w:pPr>
        <w:spacing w:line="256" w:lineRule="auto"/>
        <w:rPr>
          <w:rFonts w:cstheme="minorHAnsi"/>
        </w:rPr>
      </w:pPr>
    </w:p>
    <w:p w14:paraId="4318B103" w14:textId="77777777" w:rsidR="004562B8" w:rsidRDefault="004562B8" w:rsidP="008F438C">
      <w:pPr>
        <w:spacing w:line="256" w:lineRule="auto"/>
        <w:rPr>
          <w:rFonts w:cstheme="minorHAnsi"/>
        </w:rPr>
      </w:pPr>
    </w:p>
    <w:p w14:paraId="786E35A2" w14:textId="77777777" w:rsidR="0093455F" w:rsidRDefault="0093455F" w:rsidP="008A2DB8">
      <w:pPr>
        <w:rPr>
          <w:rFonts w:cstheme="minorHAnsi"/>
        </w:rPr>
      </w:pPr>
    </w:p>
    <w:p w14:paraId="181A1F7A" w14:textId="260712F0" w:rsidR="008A2DB8" w:rsidRPr="000B0F78" w:rsidRDefault="000B0F78" w:rsidP="008A2DB8">
      <w:pPr>
        <w:rPr>
          <w:rFonts w:ascii="Arial" w:hAnsi="Arial" w:cs="Arial"/>
          <w:b/>
          <w:bCs/>
          <w:sz w:val="24"/>
          <w:szCs w:val="24"/>
        </w:rPr>
      </w:pPr>
      <w:r w:rsidRPr="000B0F78">
        <w:rPr>
          <w:rFonts w:ascii="Arial" w:hAnsi="Arial" w:cs="Arial"/>
          <w:b/>
          <w:bCs/>
          <w:sz w:val="24"/>
          <w:szCs w:val="24"/>
        </w:rPr>
        <w:lastRenderedPageBreak/>
        <w:t>Reference List:</w:t>
      </w:r>
    </w:p>
    <w:p w14:paraId="3D364D7C" w14:textId="77777777" w:rsidR="008A2DB8" w:rsidRDefault="008A2DB8" w:rsidP="008A2DB8">
      <w:r w:rsidRPr="00E73498">
        <w:rPr>
          <w:rFonts w:ascii="Arial" w:hAnsi="Arial" w:cs="Arial"/>
        </w:rPr>
        <w:t>Adamson, J. (2003). Handbook of Mixed Methods in Social and Behavioural Research.</w:t>
      </w:r>
      <w:r w:rsidRPr="00E73498">
        <w:rPr>
          <w:rFonts w:ascii="Arial" w:hAnsi="Arial" w:cs="Arial"/>
          <w:i/>
          <w:iCs/>
          <w:color w:val="2A2A2A"/>
          <w:bdr w:val="none" w:sz="0" w:space="0" w:color="auto" w:frame="1"/>
          <w:shd w:val="clear" w:color="auto" w:fill="FFFFFF"/>
        </w:rPr>
        <w:t xml:space="preserve"> </w:t>
      </w:r>
      <w:r w:rsidRPr="00E73498">
        <w:rPr>
          <w:rFonts w:ascii="Arial" w:hAnsi="Arial" w:cs="Arial"/>
          <w:i/>
          <w:iCs/>
        </w:rPr>
        <w:t>International Journal of Epidemiology</w:t>
      </w:r>
      <w:r w:rsidRPr="00E73498">
        <w:rPr>
          <w:rFonts w:ascii="Arial" w:hAnsi="Arial" w:cs="Arial"/>
        </w:rPr>
        <w:t xml:space="preserve">, 33(6), pp 1414-1415. Available at: </w:t>
      </w:r>
      <w:hyperlink r:id="rId6" w:history="1">
        <w:r w:rsidRPr="00E73498">
          <w:rPr>
            <w:rStyle w:val="Hyperlink"/>
            <w:rFonts w:ascii="Arial" w:hAnsi="Arial" w:cs="Arial"/>
          </w:rPr>
          <w:t>https://doi.org/10.1093/ije/dyh243</w:t>
        </w:r>
      </w:hyperlink>
    </w:p>
    <w:p w14:paraId="3AAC7E7B" w14:textId="6FC45E96" w:rsidR="009A11F6" w:rsidRPr="00E73498" w:rsidRDefault="00BC3CA1" w:rsidP="008A2DB8">
      <w:pPr>
        <w:rPr>
          <w:rFonts w:ascii="Arial" w:hAnsi="Arial" w:cs="Arial"/>
        </w:rPr>
      </w:pPr>
      <w:r>
        <w:rPr>
          <w:rFonts w:ascii="Arial" w:hAnsi="Arial" w:cs="Arial"/>
        </w:rPr>
        <w:t xml:space="preserve">Braun, V., </w:t>
      </w:r>
      <w:r w:rsidR="00C7294F">
        <w:rPr>
          <w:rFonts w:ascii="Arial" w:hAnsi="Arial" w:cs="Arial"/>
        </w:rPr>
        <w:t>Clarke, V.</w:t>
      </w:r>
      <w:r w:rsidR="009A11F6" w:rsidRPr="009A11F6">
        <w:rPr>
          <w:rFonts w:ascii="Arial" w:hAnsi="Arial" w:cs="Arial"/>
        </w:rPr>
        <w:t xml:space="preserve"> (2023) “Thematic Analysis: A Practical Guide</w:t>
      </w:r>
      <w:r w:rsidR="00A05A16">
        <w:rPr>
          <w:rFonts w:ascii="Arial" w:hAnsi="Arial" w:cs="Arial"/>
        </w:rPr>
        <w:t>”.</w:t>
      </w:r>
      <w:r w:rsidR="00C7294F">
        <w:rPr>
          <w:rFonts w:ascii="Arial" w:hAnsi="Arial" w:cs="Arial"/>
        </w:rPr>
        <w:t xml:space="preserve"> </w:t>
      </w:r>
      <w:r w:rsidR="009A11F6" w:rsidRPr="009A11F6">
        <w:rPr>
          <w:rFonts w:ascii="Arial" w:hAnsi="Arial" w:cs="Arial"/>
          <w:i/>
          <w:iCs/>
        </w:rPr>
        <w:t>Canadian journal of program evaluation</w:t>
      </w:r>
      <w:r w:rsidR="009A11F6" w:rsidRPr="009A11F6">
        <w:rPr>
          <w:rFonts w:ascii="Arial" w:hAnsi="Arial" w:cs="Arial"/>
        </w:rPr>
        <w:t>, 38(1), pp. 143–145. Available at: https://doi.org/10.3138/cjpe.76737.</w:t>
      </w:r>
    </w:p>
    <w:p w14:paraId="5959A192" w14:textId="25B5E13C" w:rsidR="00E3454E" w:rsidRPr="00E73498" w:rsidRDefault="00B558D7" w:rsidP="008A2DB8">
      <w:pPr>
        <w:rPr>
          <w:rFonts w:ascii="Arial" w:hAnsi="Arial" w:cs="Arial"/>
          <w:i/>
          <w:iCs/>
        </w:rPr>
      </w:pPr>
      <w:r w:rsidRPr="00E73498">
        <w:rPr>
          <w:rFonts w:ascii="Arial" w:hAnsi="Arial" w:cs="Arial"/>
        </w:rPr>
        <w:t xml:space="preserve">Bryman, A. (2016) </w:t>
      </w:r>
      <w:r w:rsidRPr="00E73498">
        <w:rPr>
          <w:rFonts w:ascii="Arial" w:hAnsi="Arial" w:cs="Arial"/>
          <w:i/>
          <w:iCs/>
        </w:rPr>
        <w:t>Social Research Methods</w:t>
      </w:r>
      <w:r w:rsidRPr="00E73498">
        <w:rPr>
          <w:rFonts w:ascii="Arial" w:hAnsi="Arial" w:cs="Arial"/>
        </w:rPr>
        <w:t>. 5</w:t>
      </w:r>
      <w:r w:rsidR="00CE7D57" w:rsidRPr="00E73498">
        <w:rPr>
          <w:rFonts w:ascii="Arial" w:hAnsi="Arial" w:cs="Arial"/>
          <w:vertAlign w:val="superscript"/>
        </w:rPr>
        <w:t>th</w:t>
      </w:r>
      <w:r w:rsidR="00CE7D57" w:rsidRPr="00E73498">
        <w:rPr>
          <w:rFonts w:ascii="Arial" w:hAnsi="Arial" w:cs="Arial"/>
        </w:rPr>
        <w:t xml:space="preserve"> </w:t>
      </w:r>
      <w:r w:rsidRPr="00E73498">
        <w:rPr>
          <w:rFonts w:ascii="Arial" w:hAnsi="Arial" w:cs="Arial"/>
        </w:rPr>
        <w:t>ed. Oxford: Oxford University Press.</w:t>
      </w:r>
      <w:r w:rsidR="00074807" w:rsidRPr="00E73498">
        <w:rPr>
          <w:rFonts w:ascii="Arial" w:hAnsi="Arial" w:cs="Arial"/>
        </w:rPr>
        <w:t xml:space="preserve"> Available at: </w:t>
      </w:r>
      <w:hyperlink r:id="rId7" w:history="1">
        <w:r w:rsidR="00074807" w:rsidRPr="00E73498">
          <w:rPr>
            <w:rStyle w:val="Hyperlink"/>
            <w:rFonts w:ascii="Arial" w:hAnsi="Arial" w:cs="Arial"/>
          </w:rPr>
          <w:t>Alan-Bryman-Social-Research-Methods2016.pdf</w:t>
        </w:r>
      </w:hyperlink>
      <w:r w:rsidR="00074807" w:rsidRPr="00E73498">
        <w:rPr>
          <w:rFonts w:ascii="Arial" w:hAnsi="Arial" w:cs="Arial"/>
        </w:rPr>
        <w:t xml:space="preserve">. </w:t>
      </w:r>
      <w:r w:rsidR="00CE7D57" w:rsidRPr="00E73498">
        <w:rPr>
          <w:rFonts w:ascii="Arial" w:hAnsi="Arial" w:cs="Arial"/>
        </w:rPr>
        <w:t>(Accessed: 31.01.2026).</w:t>
      </w:r>
    </w:p>
    <w:p w14:paraId="21D45E07" w14:textId="07433C4D" w:rsidR="00F8681E" w:rsidRPr="00E73498" w:rsidRDefault="00F8681E" w:rsidP="008A2DB8">
      <w:pPr>
        <w:rPr>
          <w:rFonts w:ascii="Arial" w:hAnsi="Arial" w:cs="Arial"/>
        </w:rPr>
      </w:pPr>
      <w:r w:rsidRPr="00E73498">
        <w:rPr>
          <w:rFonts w:ascii="Arial" w:hAnsi="Arial" w:cs="Arial"/>
        </w:rPr>
        <w:t>Dillman, D. A., Smyth, J. D.,</w:t>
      </w:r>
      <w:r w:rsidR="00185419" w:rsidRPr="00E73498">
        <w:rPr>
          <w:rFonts w:ascii="Arial" w:hAnsi="Arial" w:cs="Arial"/>
        </w:rPr>
        <w:t xml:space="preserve"> </w:t>
      </w:r>
      <w:r w:rsidRPr="00E73498">
        <w:rPr>
          <w:rFonts w:ascii="Arial" w:hAnsi="Arial" w:cs="Arial"/>
        </w:rPr>
        <w:t>Christian, L. M. (201</w:t>
      </w:r>
      <w:r w:rsidR="00566C76" w:rsidRPr="00E73498">
        <w:rPr>
          <w:rFonts w:ascii="Arial" w:hAnsi="Arial" w:cs="Arial"/>
        </w:rPr>
        <w:t>6</w:t>
      </w:r>
      <w:r w:rsidRPr="00E73498">
        <w:rPr>
          <w:rFonts w:ascii="Arial" w:hAnsi="Arial" w:cs="Arial"/>
        </w:rPr>
        <w:t xml:space="preserve">). </w:t>
      </w:r>
      <w:r w:rsidRPr="00E73498">
        <w:rPr>
          <w:rFonts w:ascii="Arial" w:hAnsi="Arial" w:cs="Arial"/>
          <w:i/>
          <w:iCs/>
        </w:rPr>
        <w:t xml:space="preserve">Internet, </w:t>
      </w:r>
      <w:r w:rsidR="00566C76" w:rsidRPr="00E73498">
        <w:rPr>
          <w:rFonts w:ascii="Arial" w:hAnsi="Arial" w:cs="Arial"/>
          <w:i/>
          <w:iCs/>
        </w:rPr>
        <w:t>P</w:t>
      </w:r>
      <w:r w:rsidRPr="00E73498">
        <w:rPr>
          <w:rFonts w:ascii="Arial" w:hAnsi="Arial" w:cs="Arial"/>
          <w:i/>
          <w:iCs/>
        </w:rPr>
        <w:t xml:space="preserve">hone, </w:t>
      </w:r>
      <w:r w:rsidR="00566C76" w:rsidRPr="00E73498">
        <w:rPr>
          <w:rFonts w:ascii="Arial" w:hAnsi="Arial" w:cs="Arial"/>
          <w:i/>
          <w:iCs/>
        </w:rPr>
        <w:t>M</w:t>
      </w:r>
      <w:r w:rsidRPr="00E73498">
        <w:rPr>
          <w:rFonts w:ascii="Arial" w:hAnsi="Arial" w:cs="Arial"/>
          <w:i/>
          <w:iCs/>
        </w:rPr>
        <w:t xml:space="preserve">ail, and </w:t>
      </w:r>
      <w:r w:rsidR="00566C76" w:rsidRPr="00E73498">
        <w:rPr>
          <w:rFonts w:ascii="Arial" w:hAnsi="Arial" w:cs="Arial"/>
          <w:i/>
          <w:iCs/>
        </w:rPr>
        <w:t>M</w:t>
      </w:r>
      <w:r w:rsidRPr="00E73498">
        <w:rPr>
          <w:rFonts w:ascii="Arial" w:hAnsi="Arial" w:cs="Arial"/>
          <w:i/>
          <w:iCs/>
        </w:rPr>
        <w:t>ixed</w:t>
      </w:r>
      <w:r w:rsidRPr="00E73498">
        <w:rPr>
          <w:rFonts w:ascii="Arial" w:hAnsi="Arial" w:cs="Arial"/>
          <w:i/>
          <w:iCs/>
        </w:rPr>
        <w:noBreakHyphen/>
      </w:r>
      <w:r w:rsidR="00566C76" w:rsidRPr="00E73498">
        <w:rPr>
          <w:rFonts w:ascii="Arial" w:hAnsi="Arial" w:cs="Arial"/>
          <w:i/>
          <w:iCs/>
        </w:rPr>
        <w:t>M</w:t>
      </w:r>
      <w:r w:rsidRPr="00E73498">
        <w:rPr>
          <w:rFonts w:ascii="Arial" w:hAnsi="Arial" w:cs="Arial"/>
          <w:i/>
          <w:iCs/>
        </w:rPr>
        <w:t xml:space="preserve">ode </w:t>
      </w:r>
      <w:r w:rsidR="00566C76" w:rsidRPr="00E73498">
        <w:rPr>
          <w:rFonts w:ascii="Arial" w:hAnsi="Arial" w:cs="Arial"/>
          <w:i/>
          <w:iCs/>
        </w:rPr>
        <w:t>S</w:t>
      </w:r>
      <w:r w:rsidRPr="00E73498">
        <w:rPr>
          <w:rFonts w:ascii="Arial" w:hAnsi="Arial" w:cs="Arial"/>
          <w:i/>
          <w:iCs/>
        </w:rPr>
        <w:t>urveys: The tailored design method</w:t>
      </w:r>
      <w:r w:rsidR="00FA1922" w:rsidRPr="00E73498">
        <w:rPr>
          <w:rFonts w:ascii="Arial" w:hAnsi="Arial" w:cs="Arial"/>
        </w:rPr>
        <w:t xml:space="preserve">. </w:t>
      </w:r>
      <w:r w:rsidRPr="00E73498">
        <w:rPr>
          <w:rFonts w:ascii="Arial" w:hAnsi="Arial" w:cs="Arial"/>
        </w:rPr>
        <w:t>4</w:t>
      </w:r>
      <w:r w:rsidR="00EC5976" w:rsidRPr="00E73498">
        <w:rPr>
          <w:rFonts w:ascii="Arial" w:hAnsi="Arial" w:cs="Arial"/>
          <w:vertAlign w:val="superscript"/>
        </w:rPr>
        <w:t>th</w:t>
      </w:r>
      <w:r w:rsidRPr="00E73498">
        <w:rPr>
          <w:rFonts w:ascii="Arial" w:hAnsi="Arial" w:cs="Arial"/>
        </w:rPr>
        <w:t xml:space="preserve"> ed.</w:t>
      </w:r>
      <w:r w:rsidR="00FA1922" w:rsidRPr="00E73498">
        <w:rPr>
          <w:rFonts w:ascii="Arial" w:hAnsi="Arial" w:cs="Arial"/>
          <w:i/>
          <w:iCs/>
        </w:rPr>
        <w:t xml:space="preserve"> </w:t>
      </w:r>
      <w:r w:rsidR="00FA1922" w:rsidRPr="00E73498">
        <w:rPr>
          <w:rFonts w:ascii="Arial" w:hAnsi="Arial" w:cs="Arial"/>
        </w:rPr>
        <w:t xml:space="preserve">Revista </w:t>
      </w:r>
      <w:proofErr w:type="spellStart"/>
      <w:r w:rsidR="00FA1922" w:rsidRPr="00E73498">
        <w:rPr>
          <w:rFonts w:ascii="Arial" w:hAnsi="Arial" w:cs="Arial"/>
        </w:rPr>
        <w:t>española</w:t>
      </w:r>
      <w:proofErr w:type="spellEnd"/>
      <w:r w:rsidR="00FA1922" w:rsidRPr="00E73498">
        <w:rPr>
          <w:rFonts w:ascii="Arial" w:hAnsi="Arial" w:cs="Arial"/>
        </w:rPr>
        <w:t xml:space="preserve"> de </w:t>
      </w:r>
      <w:proofErr w:type="spellStart"/>
      <w:r w:rsidR="00FA1922" w:rsidRPr="00E73498">
        <w:rPr>
          <w:rFonts w:ascii="Arial" w:hAnsi="Arial" w:cs="Arial"/>
        </w:rPr>
        <w:t>investigaciones</w:t>
      </w:r>
      <w:proofErr w:type="spellEnd"/>
      <w:r w:rsidR="00FA1922" w:rsidRPr="00E73498">
        <w:rPr>
          <w:rFonts w:ascii="Arial" w:hAnsi="Arial" w:cs="Arial"/>
        </w:rPr>
        <w:t xml:space="preserve"> </w:t>
      </w:r>
      <w:proofErr w:type="spellStart"/>
      <w:r w:rsidR="00FA1922" w:rsidRPr="00E73498">
        <w:rPr>
          <w:rFonts w:ascii="Arial" w:hAnsi="Arial" w:cs="Arial"/>
        </w:rPr>
        <w:t>sociológicas</w:t>
      </w:r>
      <w:proofErr w:type="spellEnd"/>
      <w:r w:rsidR="00FA1922" w:rsidRPr="00E73498">
        <w:rPr>
          <w:rFonts w:ascii="Arial" w:hAnsi="Arial" w:cs="Arial"/>
        </w:rPr>
        <w:t>, (154), pp. 161–165.</w:t>
      </w:r>
      <w:r w:rsidR="008C1AD5" w:rsidRPr="00E73498">
        <w:rPr>
          <w:rFonts w:ascii="Arial" w:hAnsi="Arial" w:cs="Arial"/>
        </w:rPr>
        <w:t xml:space="preserve"> Available at: </w:t>
      </w:r>
      <w:hyperlink r:id="rId8" w:history="1">
        <w:r w:rsidR="008C1AD5" w:rsidRPr="00E73498">
          <w:rPr>
            <w:rStyle w:val="Hyperlink"/>
            <w:rFonts w:ascii="Arial" w:hAnsi="Arial" w:cs="Arial"/>
          </w:rPr>
          <w:t>Review: [Untitled] on JSTOR</w:t>
        </w:r>
      </w:hyperlink>
      <w:r w:rsidR="000F6A90" w:rsidRPr="00E73498">
        <w:rPr>
          <w:rFonts w:ascii="Arial" w:hAnsi="Arial" w:cs="Arial"/>
        </w:rPr>
        <w:t xml:space="preserve"> (Accessed: 30.01.26).</w:t>
      </w:r>
    </w:p>
    <w:p w14:paraId="5C5B3369" w14:textId="7B72C8B1" w:rsidR="001A2F2F" w:rsidRPr="00E73498" w:rsidRDefault="001A2F2F" w:rsidP="008A2DB8">
      <w:pPr>
        <w:rPr>
          <w:rFonts w:ascii="Arial" w:hAnsi="Arial" w:cs="Arial"/>
        </w:rPr>
      </w:pPr>
      <w:r w:rsidRPr="00E73498">
        <w:rPr>
          <w:rFonts w:ascii="Arial" w:hAnsi="Arial" w:cs="Arial"/>
        </w:rPr>
        <w:t xml:space="preserve">Government Social Research (2022) </w:t>
      </w:r>
      <w:r w:rsidRPr="00E73498">
        <w:rPr>
          <w:rFonts w:ascii="Arial" w:hAnsi="Arial" w:cs="Arial"/>
          <w:i/>
          <w:iCs/>
        </w:rPr>
        <w:t xml:space="preserve">A Guide to Inclusive Social Research Practices. </w:t>
      </w:r>
      <w:r w:rsidRPr="00E73498">
        <w:rPr>
          <w:rFonts w:ascii="Arial" w:hAnsi="Arial" w:cs="Arial"/>
        </w:rPr>
        <w:t xml:space="preserve">Available at: </w:t>
      </w:r>
      <w:hyperlink r:id="rId9" w:history="1">
        <w:r w:rsidRPr="00E73498">
          <w:rPr>
            <w:rStyle w:val="Hyperlink"/>
            <w:rFonts w:ascii="Arial" w:hAnsi="Arial" w:cs="Arial"/>
          </w:rPr>
          <w:t>A guide to inclusive social research practices - GOV.UK</w:t>
        </w:r>
      </w:hyperlink>
      <w:r w:rsidRPr="00E73498">
        <w:rPr>
          <w:rFonts w:ascii="Arial" w:hAnsi="Arial" w:cs="Arial"/>
        </w:rPr>
        <w:t xml:space="preserve"> (Accessed: 30.01.26).</w:t>
      </w:r>
    </w:p>
    <w:p w14:paraId="46597951" w14:textId="6F41CE96" w:rsidR="007A28CC" w:rsidRDefault="007A28CC" w:rsidP="008A2DB8">
      <w:pPr>
        <w:rPr>
          <w:rFonts w:ascii="Arial" w:hAnsi="Arial" w:cs="Arial"/>
        </w:rPr>
      </w:pPr>
      <w:r w:rsidRPr="00E73498">
        <w:rPr>
          <w:rFonts w:ascii="Arial" w:hAnsi="Arial" w:cs="Arial"/>
        </w:rPr>
        <w:t xml:space="preserve">Hunziker, S., Blankenagel, M. (2024). Cross-Sectional Research Design. </w:t>
      </w:r>
      <w:r w:rsidRPr="00E73498">
        <w:rPr>
          <w:rFonts w:ascii="Arial" w:hAnsi="Arial" w:cs="Arial"/>
          <w:i/>
          <w:iCs/>
        </w:rPr>
        <w:t>Research Design in Business and Management.</w:t>
      </w:r>
      <w:r w:rsidRPr="00E73498">
        <w:rPr>
          <w:rFonts w:ascii="Arial" w:hAnsi="Arial" w:cs="Arial"/>
        </w:rPr>
        <w:t xml:space="preserve"> Available at: </w:t>
      </w:r>
      <w:hyperlink r:id="rId10" w:history="1">
        <w:r w:rsidR="0033645F" w:rsidRPr="00092872">
          <w:rPr>
            <w:rStyle w:val="Hyperlink"/>
            <w:rFonts w:ascii="Arial" w:hAnsi="Arial" w:cs="Arial"/>
          </w:rPr>
          <w:t>https://doi.org/10.1007/978-3-658-42739-9_10</w:t>
        </w:r>
      </w:hyperlink>
    </w:p>
    <w:p w14:paraId="652E1C9B" w14:textId="4C11F4DF" w:rsidR="0033645F" w:rsidRDefault="0033645F" w:rsidP="008A2DB8">
      <w:pPr>
        <w:rPr>
          <w:rFonts w:ascii="Arial" w:hAnsi="Arial" w:cs="Arial"/>
        </w:rPr>
      </w:pPr>
      <w:r w:rsidRPr="0033645F">
        <w:rPr>
          <w:rFonts w:ascii="Arial" w:hAnsi="Arial" w:cs="Arial"/>
        </w:rPr>
        <w:t xml:space="preserve">Kim, J. (2025) ‘Regional inequality in attitudes toward the police: A spatial analysis’, </w:t>
      </w:r>
      <w:r w:rsidRPr="0033645F">
        <w:rPr>
          <w:rFonts w:ascii="Arial" w:hAnsi="Arial" w:cs="Arial"/>
          <w:i/>
          <w:iCs/>
        </w:rPr>
        <w:t>Policing and Society</w:t>
      </w:r>
      <w:r w:rsidRPr="0033645F">
        <w:rPr>
          <w:rFonts w:ascii="Arial" w:hAnsi="Arial" w:cs="Arial"/>
        </w:rPr>
        <w:t>, 35(1), pp. 45</w:t>
      </w:r>
      <w:r w:rsidR="00D5320A">
        <w:rPr>
          <w:rFonts w:ascii="Arial" w:hAnsi="Arial" w:cs="Arial"/>
        </w:rPr>
        <w:t>-</w:t>
      </w:r>
      <w:r w:rsidRPr="0033645F">
        <w:rPr>
          <w:rFonts w:ascii="Arial" w:hAnsi="Arial" w:cs="Arial"/>
        </w:rPr>
        <w:t>62</w:t>
      </w:r>
      <w:r>
        <w:rPr>
          <w:rFonts w:ascii="Arial" w:hAnsi="Arial" w:cs="Arial"/>
        </w:rPr>
        <w:t>. Available at:</w:t>
      </w:r>
      <w:r w:rsidR="001F0ACA" w:rsidRPr="001F0ACA">
        <w:rPr>
          <w:rFonts w:ascii="Merriweather Sans" w:hAnsi="Merriweather Sans"/>
          <w:color w:val="222222"/>
          <w:shd w:val="clear" w:color="auto" w:fill="FFFFFF"/>
        </w:rPr>
        <w:t xml:space="preserve"> </w:t>
      </w:r>
      <w:hyperlink r:id="rId11" w:history="1">
        <w:r w:rsidR="001F0ACA" w:rsidRPr="00092872">
          <w:rPr>
            <w:rStyle w:val="Hyperlink"/>
            <w:rFonts w:ascii="Arial" w:hAnsi="Arial" w:cs="Arial"/>
          </w:rPr>
          <w:t>https://doi.org/10.1057/s41284-025-00502-3</w:t>
        </w:r>
      </w:hyperlink>
    </w:p>
    <w:p w14:paraId="1E5D2115" w14:textId="047D7627" w:rsidR="00042E1E" w:rsidRDefault="00042E1E" w:rsidP="00042E1E">
      <w:pPr>
        <w:rPr>
          <w:rFonts w:ascii="Arial" w:hAnsi="Arial" w:cs="Arial"/>
        </w:rPr>
      </w:pPr>
      <w:r w:rsidRPr="00042E1E">
        <w:rPr>
          <w:rFonts w:ascii="Arial" w:hAnsi="Arial" w:cs="Arial"/>
        </w:rPr>
        <w:t xml:space="preserve">Pallant, J. (2020). SPSS Survival Manual: A </w:t>
      </w:r>
      <w:proofErr w:type="gramStart"/>
      <w:r w:rsidRPr="00042E1E">
        <w:rPr>
          <w:rFonts w:ascii="Arial" w:hAnsi="Arial" w:cs="Arial"/>
        </w:rPr>
        <w:t>step by step</w:t>
      </w:r>
      <w:proofErr w:type="gramEnd"/>
      <w:r w:rsidRPr="00042E1E">
        <w:rPr>
          <w:rFonts w:ascii="Arial" w:hAnsi="Arial" w:cs="Arial"/>
        </w:rPr>
        <w:t xml:space="preserve"> guide to data analysis using IBM SPSS</w:t>
      </w:r>
      <w:r>
        <w:rPr>
          <w:rFonts w:ascii="Arial" w:hAnsi="Arial" w:cs="Arial"/>
        </w:rPr>
        <w:t xml:space="preserve">. </w:t>
      </w:r>
      <w:r w:rsidRPr="00042E1E">
        <w:rPr>
          <w:rFonts w:ascii="Arial" w:hAnsi="Arial" w:cs="Arial"/>
        </w:rPr>
        <w:t>7</w:t>
      </w:r>
      <w:r w:rsidR="006A6037">
        <w:rPr>
          <w:rFonts w:ascii="Arial" w:hAnsi="Arial" w:cs="Arial"/>
          <w:vertAlign w:val="superscript"/>
        </w:rPr>
        <w:t>th</w:t>
      </w:r>
      <w:r w:rsidRPr="00042E1E">
        <w:rPr>
          <w:rFonts w:ascii="Arial" w:hAnsi="Arial" w:cs="Arial"/>
        </w:rPr>
        <w:t xml:space="preserve"> ed.</w:t>
      </w:r>
      <w:r>
        <w:rPr>
          <w:rFonts w:ascii="Arial" w:hAnsi="Arial" w:cs="Arial"/>
        </w:rPr>
        <w:t xml:space="preserve">: </w:t>
      </w:r>
      <w:r w:rsidRPr="00042E1E">
        <w:rPr>
          <w:rFonts w:ascii="Arial" w:hAnsi="Arial" w:cs="Arial"/>
        </w:rPr>
        <w:t xml:space="preserve">Routledge. </w:t>
      </w:r>
      <w:r>
        <w:rPr>
          <w:rFonts w:ascii="Arial" w:hAnsi="Arial" w:cs="Arial"/>
        </w:rPr>
        <w:t xml:space="preserve">Available at: </w:t>
      </w:r>
      <w:hyperlink r:id="rId12" w:history="1">
        <w:r w:rsidRPr="00092872">
          <w:rPr>
            <w:rStyle w:val="Hyperlink"/>
            <w:rFonts w:ascii="Arial" w:hAnsi="Arial" w:cs="Arial"/>
          </w:rPr>
          <w:t>https://doi.org/10.4324/9781003117452</w:t>
        </w:r>
      </w:hyperlink>
    </w:p>
    <w:p w14:paraId="35E5899E" w14:textId="7D8A2DE6" w:rsidR="008A2DB8" w:rsidRPr="00E73498" w:rsidRDefault="008A2DB8" w:rsidP="008A2DB8">
      <w:pPr>
        <w:rPr>
          <w:rFonts w:ascii="Arial" w:hAnsi="Arial" w:cs="Arial"/>
        </w:rPr>
      </w:pPr>
      <w:r w:rsidRPr="00E73498">
        <w:rPr>
          <w:rFonts w:ascii="Arial" w:hAnsi="Arial" w:cs="Arial"/>
        </w:rPr>
        <w:t>Parrish, A., Shaikh, G. (2023) </w:t>
      </w:r>
      <w:r w:rsidRPr="00E73498">
        <w:rPr>
          <w:rFonts w:ascii="Arial" w:hAnsi="Arial" w:cs="Arial"/>
          <w:i/>
          <w:iCs/>
        </w:rPr>
        <w:t>A quick guide to research methods for dissertations in education</w:t>
      </w:r>
      <w:r w:rsidRPr="00E73498">
        <w:rPr>
          <w:rFonts w:ascii="Arial" w:hAnsi="Arial" w:cs="Arial"/>
        </w:rPr>
        <w:t xml:space="preserve">. London: Bloomsbury Academic. Available at: </w:t>
      </w:r>
      <w:hyperlink r:id="rId13" w:history="1">
        <w:proofErr w:type="spellStart"/>
        <w:r w:rsidRPr="00E73498">
          <w:rPr>
            <w:rStyle w:val="Hyperlink"/>
            <w:rFonts w:ascii="Arial" w:hAnsi="Arial" w:cs="Arial"/>
          </w:rPr>
          <w:t>EpubReader</w:t>
        </w:r>
        <w:proofErr w:type="spellEnd"/>
      </w:hyperlink>
      <w:r w:rsidRPr="00E73498">
        <w:rPr>
          <w:rFonts w:ascii="Arial" w:hAnsi="Arial" w:cs="Arial"/>
        </w:rPr>
        <w:t xml:space="preserve"> (Accessed: 21.03.25).</w:t>
      </w:r>
    </w:p>
    <w:p w14:paraId="167BB6E4" w14:textId="5F352225" w:rsidR="00B064E8" w:rsidRDefault="00B064E8" w:rsidP="008A2DB8">
      <w:pPr>
        <w:rPr>
          <w:rFonts w:ascii="Arial" w:hAnsi="Arial" w:cs="Arial"/>
        </w:rPr>
      </w:pPr>
      <w:r w:rsidRPr="00E73498">
        <w:rPr>
          <w:rFonts w:ascii="Arial" w:hAnsi="Arial" w:cs="Arial"/>
        </w:rPr>
        <w:t xml:space="preserve">Maslovskaya, O., </w:t>
      </w:r>
      <w:proofErr w:type="spellStart"/>
      <w:r w:rsidRPr="00E73498">
        <w:rPr>
          <w:rFonts w:ascii="Arial" w:hAnsi="Arial" w:cs="Arial"/>
        </w:rPr>
        <w:t>Struminskaya</w:t>
      </w:r>
      <w:proofErr w:type="spellEnd"/>
      <w:r w:rsidRPr="00E73498">
        <w:rPr>
          <w:rFonts w:ascii="Arial" w:hAnsi="Arial" w:cs="Arial"/>
        </w:rPr>
        <w:t>, B. and Durrant, G. (2022) “The future of online data collection in social surveys: Challenges, developments and applications,” </w:t>
      </w:r>
      <w:r w:rsidRPr="00E73498">
        <w:rPr>
          <w:rFonts w:ascii="Arial" w:hAnsi="Arial" w:cs="Arial"/>
          <w:i/>
          <w:iCs/>
        </w:rPr>
        <w:t>Journal of the Royal Statistical Society. Series A, Statistics in society</w:t>
      </w:r>
      <w:r w:rsidRPr="00E73498">
        <w:rPr>
          <w:rFonts w:ascii="Arial" w:hAnsi="Arial" w:cs="Arial"/>
        </w:rPr>
        <w:t xml:space="preserve">, 185(3), pp. 768–772. Available at: </w:t>
      </w:r>
      <w:hyperlink r:id="rId14" w:history="1">
        <w:r w:rsidR="001B0DC1" w:rsidRPr="00E73498">
          <w:rPr>
            <w:rStyle w:val="Hyperlink"/>
            <w:rFonts w:ascii="Arial" w:hAnsi="Arial" w:cs="Arial"/>
          </w:rPr>
          <w:t>https://doi.org/10.1111/rssa.12895</w:t>
        </w:r>
      </w:hyperlink>
      <w:r w:rsidRPr="00E73498">
        <w:rPr>
          <w:rFonts w:ascii="Arial" w:hAnsi="Arial" w:cs="Arial"/>
        </w:rPr>
        <w:t>.</w:t>
      </w:r>
    </w:p>
    <w:p w14:paraId="75D8E634" w14:textId="5EEFAE2D" w:rsidR="00237BD2" w:rsidRPr="00E73498" w:rsidRDefault="00237BD2" w:rsidP="008A2DB8">
      <w:pPr>
        <w:rPr>
          <w:rFonts w:ascii="Arial" w:hAnsi="Arial" w:cs="Arial"/>
        </w:rPr>
      </w:pPr>
      <w:r w:rsidRPr="00237BD2">
        <w:rPr>
          <w:rFonts w:ascii="Arial" w:hAnsi="Arial" w:cs="Arial"/>
        </w:rPr>
        <w:t xml:space="preserve">McLeod, S. (2024) Mixed Methods Research. </w:t>
      </w:r>
      <w:r w:rsidRPr="00237BD2">
        <w:rPr>
          <w:rFonts w:ascii="Arial" w:hAnsi="Arial" w:cs="Arial"/>
          <w:i/>
          <w:iCs/>
        </w:rPr>
        <w:t>Simply Psychology.</w:t>
      </w:r>
      <w:r>
        <w:rPr>
          <w:rFonts w:ascii="Arial" w:hAnsi="Arial" w:cs="Arial"/>
        </w:rPr>
        <w:t xml:space="preserve"> </w:t>
      </w:r>
      <w:r w:rsidRPr="00237BD2">
        <w:rPr>
          <w:rFonts w:ascii="Arial" w:hAnsi="Arial" w:cs="Arial"/>
        </w:rPr>
        <w:t xml:space="preserve">Available at: </w:t>
      </w:r>
      <w:hyperlink r:id="rId15" w:history="1">
        <w:r w:rsidR="00D26D47" w:rsidRPr="00D26D47">
          <w:rPr>
            <w:rStyle w:val="Hyperlink"/>
            <w:rFonts w:ascii="Arial" w:hAnsi="Arial" w:cs="Arial"/>
          </w:rPr>
          <w:t>Mixed Methods Research</w:t>
        </w:r>
      </w:hyperlink>
      <w:r w:rsidR="00D26D47" w:rsidRPr="00D26D47">
        <w:rPr>
          <w:rFonts w:ascii="Arial" w:hAnsi="Arial" w:cs="Arial"/>
        </w:rPr>
        <w:t xml:space="preserve"> </w:t>
      </w:r>
      <w:r w:rsidRPr="00237BD2">
        <w:rPr>
          <w:rFonts w:ascii="Arial" w:hAnsi="Arial" w:cs="Arial"/>
        </w:rPr>
        <w:t xml:space="preserve">(Accessed: </w:t>
      </w:r>
      <w:r>
        <w:rPr>
          <w:rFonts w:ascii="Arial" w:hAnsi="Arial" w:cs="Arial"/>
        </w:rPr>
        <w:t>04.02.2026)</w:t>
      </w:r>
      <w:r w:rsidR="00D26D47">
        <w:rPr>
          <w:rFonts w:ascii="Arial" w:hAnsi="Arial" w:cs="Arial"/>
        </w:rPr>
        <w:t>.</w:t>
      </w:r>
    </w:p>
    <w:p w14:paraId="3277BD1B" w14:textId="04FA523E" w:rsidR="001B0DC1" w:rsidRDefault="001B0DC1" w:rsidP="008A2DB8">
      <w:pPr>
        <w:rPr>
          <w:rFonts w:ascii="Arial" w:hAnsi="Arial" w:cs="Arial"/>
        </w:rPr>
      </w:pPr>
      <w:r w:rsidRPr="00E73498">
        <w:rPr>
          <w:rFonts w:ascii="Arial" w:hAnsi="Arial" w:cs="Arial"/>
        </w:rPr>
        <w:t>Menon, V. and Muraleedharan, A. (2020) “Internet-based surveys: relevance, methodological considerations and troubleshooting strategies,” </w:t>
      </w:r>
      <w:r w:rsidRPr="00E73498">
        <w:rPr>
          <w:rFonts w:ascii="Arial" w:hAnsi="Arial" w:cs="Arial"/>
          <w:i/>
          <w:iCs/>
        </w:rPr>
        <w:t>General psychiatry</w:t>
      </w:r>
      <w:r w:rsidRPr="00E73498">
        <w:rPr>
          <w:rFonts w:ascii="Arial" w:hAnsi="Arial" w:cs="Arial"/>
        </w:rPr>
        <w:t>, 33(5)</w:t>
      </w:r>
      <w:r w:rsidR="0093455F">
        <w:rPr>
          <w:rFonts w:ascii="Arial" w:hAnsi="Arial" w:cs="Arial"/>
        </w:rPr>
        <w:t xml:space="preserve">. </w:t>
      </w:r>
      <w:r w:rsidRPr="00E73498">
        <w:rPr>
          <w:rFonts w:ascii="Arial" w:hAnsi="Arial" w:cs="Arial"/>
        </w:rPr>
        <w:t xml:space="preserve">Available at: </w:t>
      </w:r>
      <w:hyperlink r:id="rId16" w:history="1">
        <w:r w:rsidR="0093455F" w:rsidRPr="00092872">
          <w:rPr>
            <w:rStyle w:val="Hyperlink"/>
            <w:rFonts w:ascii="Arial" w:hAnsi="Arial" w:cs="Arial"/>
          </w:rPr>
          <w:t>https://doi.org/10.1136/gpsych-2020-100264</w:t>
        </w:r>
      </w:hyperlink>
      <w:r w:rsidRPr="00E73498">
        <w:rPr>
          <w:rFonts w:ascii="Arial" w:hAnsi="Arial" w:cs="Arial"/>
        </w:rPr>
        <w:t>.</w:t>
      </w:r>
    </w:p>
    <w:p w14:paraId="41DD3D54" w14:textId="36C48792" w:rsidR="008A2DB8" w:rsidRPr="00E73498" w:rsidRDefault="008A2DB8" w:rsidP="008A2DB8">
      <w:pPr>
        <w:rPr>
          <w:rFonts w:ascii="Arial" w:hAnsi="Arial" w:cs="Arial"/>
        </w:rPr>
      </w:pPr>
      <w:r w:rsidRPr="00E73498">
        <w:rPr>
          <w:rFonts w:ascii="Arial" w:hAnsi="Arial" w:cs="Arial"/>
        </w:rPr>
        <w:t>McNeill, P., Chapman, S. (2005) </w:t>
      </w:r>
      <w:r w:rsidRPr="00E73498">
        <w:rPr>
          <w:rFonts w:ascii="Arial" w:hAnsi="Arial" w:cs="Arial"/>
          <w:i/>
          <w:iCs/>
        </w:rPr>
        <w:t>Research methods</w:t>
      </w:r>
      <w:r w:rsidRPr="00E73498">
        <w:rPr>
          <w:rFonts w:ascii="Arial" w:hAnsi="Arial" w:cs="Arial"/>
        </w:rPr>
        <w:t>. 3</w:t>
      </w:r>
      <w:r w:rsidR="00E73498" w:rsidRPr="00E73498">
        <w:rPr>
          <w:rFonts w:ascii="Arial" w:hAnsi="Arial" w:cs="Arial"/>
          <w:vertAlign w:val="superscript"/>
        </w:rPr>
        <w:t>rd</w:t>
      </w:r>
      <w:r w:rsidRPr="00E73498">
        <w:rPr>
          <w:rFonts w:ascii="Arial" w:hAnsi="Arial" w:cs="Arial"/>
        </w:rPr>
        <w:t xml:space="preserve"> ed. London: Routledge. Available at: </w:t>
      </w:r>
      <w:hyperlink r:id="rId17" w:history="1">
        <w:r w:rsidRPr="00E73498">
          <w:rPr>
            <w:rStyle w:val="Hyperlink"/>
            <w:rFonts w:ascii="Arial" w:hAnsi="Arial" w:cs="Arial"/>
          </w:rPr>
          <w:t>e-Reader | Social surveys | Steve Chapman, Patrick McNeill, Patrick Mc</w:t>
        </w:r>
      </w:hyperlink>
      <w:r w:rsidRPr="00E73498">
        <w:rPr>
          <w:rFonts w:ascii="Arial" w:hAnsi="Arial" w:cs="Arial"/>
        </w:rPr>
        <w:t xml:space="preserve"> </w:t>
      </w:r>
      <w:r w:rsidR="001A2F2F" w:rsidRPr="00E73498">
        <w:rPr>
          <w:rFonts w:ascii="Arial" w:hAnsi="Arial" w:cs="Arial"/>
        </w:rPr>
        <w:t>(Accessed: 21.03.25).</w:t>
      </w:r>
    </w:p>
    <w:p w14:paraId="5F868B91" w14:textId="77777777" w:rsidR="008A2DB8" w:rsidRPr="00E73498" w:rsidRDefault="008A2DB8" w:rsidP="008A2DB8">
      <w:pPr>
        <w:rPr>
          <w:rFonts w:ascii="Arial" w:hAnsi="Arial" w:cs="Arial"/>
        </w:rPr>
      </w:pPr>
      <w:r w:rsidRPr="00E73498">
        <w:rPr>
          <w:rFonts w:ascii="Arial" w:hAnsi="Arial" w:cs="Arial"/>
        </w:rPr>
        <w:t>McKim, C. A. (2015). The Value of Mixed Methods Research: A Mixed Methods Study. </w:t>
      </w:r>
      <w:r w:rsidRPr="00E73498">
        <w:rPr>
          <w:rFonts w:ascii="Arial" w:hAnsi="Arial" w:cs="Arial"/>
          <w:i/>
          <w:iCs/>
        </w:rPr>
        <w:t>Journal of Mixed Methods Research</w:t>
      </w:r>
      <w:r w:rsidRPr="00E73498">
        <w:rPr>
          <w:rFonts w:ascii="Arial" w:hAnsi="Arial" w:cs="Arial"/>
        </w:rPr>
        <w:t>, </w:t>
      </w:r>
      <w:r w:rsidRPr="00E73498">
        <w:rPr>
          <w:rFonts w:ascii="Arial" w:hAnsi="Arial" w:cs="Arial"/>
          <w:i/>
          <w:iCs/>
        </w:rPr>
        <w:t>11</w:t>
      </w:r>
      <w:r w:rsidRPr="00E73498">
        <w:rPr>
          <w:rFonts w:ascii="Arial" w:hAnsi="Arial" w:cs="Arial"/>
        </w:rPr>
        <w:t>(2), 202-222. Available at: </w:t>
      </w:r>
      <w:hyperlink r:id="rId18" w:history="1">
        <w:r w:rsidRPr="00E73498">
          <w:rPr>
            <w:rStyle w:val="Hyperlink"/>
            <w:rFonts w:ascii="Arial" w:hAnsi="Arial" w:cs="Arial"/>
          </w:rPr>
          <w:t>https://doi-org.ezproxy.uwtsd.ac.uk/10.1177/1558689815607096</w:t>
        </w:r>
      </w:hyperlink>
      <w:r w:rsidRPr="00E73498">
        <w:rPr>
          <w:rFonts w:ascii="Arial" w:hAnsi="Arial" w:cs="Arial"/>
        </w:rPr>
        <w:t>.</w:t>
      </w:r>
    </w:p>
    <w:p w14:paraId="667CA36B" w14:textId="5BAD1B67" w:rsidR="00E63FD6" w:rsidRDefault="005C6A78" w:rsidP="008A2DB8">
      <w:pPr>
        <w:rPr>
          <w:rFonts w:ascii="Arial" w:hAnsi="Arial" w:cs="Arial"/>
        </w:rPr>
      </w:pPr>
      <w:r w:rsidRPr="005C6A78">
        <w:rPr>
          <w:rFonts w:ascii="Arial" w:hAnsi="Arial" w:cs="Arial"/>
        </w:rPr>
        <w:t>Sanchez, T.W.</w:t>
      </w:r>
      <w:r w:rsidR="00765D25">
        <w:rPr>
          <w:rFonts w:ascii="Arial" w:hAnsi="Arial" w:cs="Arial"/>
        </w:rPr>
        <w:t xml:space="preserve"> (2024) </w:t>
      </w:r>
      <w:r w:rsidR="00765D25" w:rsidRPr="00765D25">
        <w:rPr>
          <w:rFonts w:ascii="Arial" w:hAnsi="Arial" w:cs="Arial"/>
        </w:rPr>
        <w:t xml:space="preserve">Closed-Ended Question Format. </w:t>
      </w:r>
      <w:r w:rsidR="00765D25" w:rsidRPr="00F435E2">
        <w:rPr>
          <w:rFonts w:ascii="Arial" w:hAnsi="Arial" w:cs="Arial"/>
          <w:i/>
          <w:iCs/>
        </w:rPr>
        <w:t>Encyclopedia of Quality of Life and Well-Being Research.</w:t>
      </w:r>
      <w:r w:rsidR="00765D25" w:rsidRPr="00765D25">
        <w:rPr>
          <w:rFonts w:ascii="Arial" w:hAnsi="Arial" w:cs="Arial"/>
        </w:rPr>
        <w:t xml:space="preserve"> Springer</w:t>
      </w:r>
      <w:r w:rsidR="00F435E2">
        <w:rPr>
          <w:rFonts w:ascii="Arial" w:hAnsi="Arial" w:cs="Arial"/>
        </w:rPr>
        <w:t>.</w:t>
      </w:r>
      <w:r w:rsidR="0076527D" w:rsidRPr="0076527D">
        <w:rPr>
          <w:rFonts w:ascii="Arial" w:hAnsi="Arial" w:cs="Arial"/>
        </w:rPr>
        <w:t xml:space="preserve"> </w:t>
      </w:r>
      <w:r w:rsidR="0076527D" w:rsidRPr="00E73498">
        <w:rPr>
          <w:rFonts w:ascii="Arial" w:hAnsi="Arial" w:cs="Arial"/>
        </w:rPr>
        <w:t xml:space="preserve"> Available at:</w:t>
      </w:r>
      <w:r w:rsidR="00E63FD6" w:rsidRPr="00E63FD6">
        <w:rPr>
          <w:rFonts w:ascii="Merriweather Sans" w:hAnsi="Merriweather Sans"/>
          <w:color w:val="222222"/>
          <w:shd w:val="clear" w:color="auto" w:fill="FFFFFF"/>
        </w:rPr>
        <w:t xml:space="preserve"> </w:t>
      </w:r>
      <w:hyperlink r:id="rId19" w:history="1">
        <w:r w:rsidR="0093455F" w:rsidRPr="00092872">
          <w:rPr>
            <w:rStyle w:val="Hyperlink"/>
            <w:rFonts w:ascii="Arial" w:hAnsi="Arial" w:cs="Arial"/>
          </w:rPr>
          <w:t>https://doi.org/10.1007/978-3-031-17299-1_412</w:t>
        </w:r>
      </w:hyperlink>
      <w:r w:rsidR="00E63FD6">
        <w:rPr>
          <w:rFonts w:ascii="Arial" w:hAnsi="Arial" w:cs="Arial"/>
        </w:rPr>
        <w:t>.</w:t>
      </w:r>
    </w:p>
    <w:p w14:paraId="5D192F89" w14:textId="77777777" w:rsidR="0093455F" w:rsidRDefault="0093455F" w:rsidP="008A2DB8">
      <w:pPr>
        <w:rPr>
          <w:rFonts w:ascii="Arial" w:hAnsi="Arial" w:cs="Arial"/>
        </w:rPr>
      </w:pPr>
    </w:p>
    <w:p w14:paraId="0E61FB58" w14:textId="14B98DD4" w:rsidR="00124134" w:rsidRDefault="00124134" w:rsidP="008A2DB8">
      <w:pPr>
        <w:rPr>
          <w:rFonts w:ascii="Arial" w:hAnsi="Arial" w:cs="Arial"/>
        </w:rPr>
      </w:pPr>
      <w:r w:rsidRPr="00E73498">
        <w:rPr>
          <w:rFonts w:ascii="Arial" w:hAnsi="Arial" w:cs="Arial"/>
        </w:rPr>
        <w:lastRenderedPageBreak/>
        <w:t>Simkus, J. (2023) Cross</w:t>
      </w:r>
      <w:r w:rsidRPr="00E73498">
        <w:rPr>
          <w:rFonts w:ascii="Arial" w:hAnsi="Arial" w:cs="Arial"/>
        </w:rPr>
        <w:noBreakHyphen/>
        <w:t>sectional study</w:t>
      </w:r>
      <w:r w:rsidR="00462DE4" w:rsidRPr="00E73498">
        <w:rPr>
          <w:rFonts w:ascii="Arial" w:hAnsi="Arial" w:cs="Arial"/>
        </w:rPr>
        <w:t>: Definition, Designs &amp; Examples</w:t>
      </w:r>
      <w:r w:rsidR="00462DE4" w:rsidRPr="00E73498">
        <w:rPr>
          <w:rFonts w:ascii="Arial" w:hAnsi="Arial" w:cs="Arial"/>
          <w:i/>
          <w:iCs/>
        </w:rPr>
        <w:t xml:space="preserve">. </w:t>
      </w:r>
      <w:r w:rsidRPr="00E73498">
        <w:rPr>
          <w:rFonts w:ascii="Arial" w:hAnsi="Arial" w:cs="Arial"/>
          <w:i/>
          <w:iCs/>
        </w:rPr>
        <w:t>Simply Psychology.</w:t>
      </w:r>
      <w:r w:rsidRPr="00E73498">
        <w:rPr>
          <w:rFonts w:ascii="Arial" w:hAnsi="Arial" w:cs="Arial"/>
        </w:rPr>
        <w:t xml:space="preserve"> Available at: </w:t>
      </w:r>
      <w:hyperlink r:id="rId20" w:history="1">
        <w:r w:rsidR="004B1825" w:rsidRPr="00E73498">
          <w:rPr>
            <w:rStyle w:val="Hyperlink"/>
            <w:rFonts w:ascii="Arial" w:hAnsi="Arial" w:cs="Arial"/>
          </w:rPr>
          <w:t>Cross-Sectional Study: Definition, Designs &amp; Examples</w:t>
        </w:r>
      </w:hyperlink>
      <w:r w:rsidR="004B1825" w:rsidRPr="00E73498">
        <w:rPr>
          <w:rFonts w:ascii="Arial" w:hAnsi="Arial" w:cs="Arial"/>
        </w:rPr>
        <w:t xml:space="preserve"> </w:t>
      </w:r>
      <w:r w:rsidRPr="00E73498">
        <w:rPr>
          <w:rFonts w:ascii="Arial" w:hAnsi="Arial" w:cs="Arial"/>
        </w:rPr>
        <w:t>(Accessed:</w:t>
      </w:r>
      <w:r w:rsidR="004B1825" w:rsidRPr="00E73498">
        <w:rPr>
          <w:rFonts w:ascii="Arial" w:hAnsi="Arial" w:cs="Arial"/>
        </w:rPr>
        <w:t xml:space="preserve"> 31.01.202</w:t>
      </w:r>
      <w:r w:rsidR="00CE7D57" w:rsidRPr="00E73498">
        <w:rPr>
          <w:rFonts w:ascii="Arial" w:hAnsi="Arial" w:cs="Arial"/>
        </w:rPr>
        <w:t>6</w:t>
      </w:r>
      <w:r w:rsidR="004B1825" w:rsidRPr="00E73498">
        <w:rPr>
          <w:rFonts w:ascii="Arial" w:hAnsi="Arial" w:cs="Arial"/>
        </w:rPr>
        <w:t>).</w:t>
      </w:r>
    </w:p>
    <w:p w14:paraId="280395F2" w14:textId="6BA8B6F0" w:rsidR="00580C6B" w:rsidRPr="00C44693" w:rsidRDefault="00580C6B" w:rsidP="008A2DB8">
      <w:pPr>
        <w:rPr>
          <w:rFonts w:ascii="Arial" w:hAnsi="Arial" w:cs="Arial"/>
        </w:rPr>
      </w:pPr>
      <w:r w:rsidRPr="00580C6B">
        <w:rPr>
          <w:rFonts w:ascii="Arial" w:hAnsi="Arial" w:cs="Arial"/>
        </w:rPr>
        <w:t>Webster, G. and Geisen, T. (2024) Mixed Methods Research</w:t>
      </w:r>
      <w:r w:rsidRPr="00580C6B">
        <w:rPr>
          <w:rFonts w:ascii="Arial" w:hAnsi="Arial" w:cs="Arial"/>
          <w:b/>
          <w:bCs/>
          <w:i/>
          <w:iCs/>
        </w:rPr>
        <w:t xml:space="preserve">. </w:t>
      </w:r>
      <w:r w:rsidRPr="00580C6B">
        <w:rPr>
          <w:rFonts w:ascii="Arial" w:hAnsi="Arial" w:cs="Arial"/>
          <w:i/>
          <w:iCs/>
        </w:rPr>
        <w:t>Simply Psychology.</w:t>
      </w:r>
      <w:r w:rsidRPr="00580C6B">
        <w:rPr>
          <w:rFonts w:ascii="Arial" w:hAnsi="Arial" w:cs="Arial"/>
          <w:i/>
          <w:iCs/>
        </w:rPr>
        <w:br/>
      </w:r>
      <w:r w:rsidRPr="00580C6B">
        <w:rPr>
          <w:rFonts w:ascii="Arial" w:hAnsi="Arial" w:cs="Arial"/>
        </w:rPr>
        <w:t xml:space="preserve">Available at: </w:t>
      </w:r>
      <w:hyperlink r:id="rId21" w:history="1">
        <w:r w:rsidR="00C44693" w:rsidRPr="00C44693">
          <w:rPr>
            <w:rStyle w:val="Hyperlink"/>
            <w:rFonts w:ascii="Arial" w:hAnsi="Arial" w:cs="Arial"/>
          </w:rPr>
          <w:t>Mixed Methods Research: Using Qualitative and Quantitative Data</w:t>
        </w:r>
      </w:hyperlink>
      <w:r w:rsidR="00C44693">
        <w:rPr>
          <w:rFonts w:ascii="Arial" w:hAnsi="Arial" w:cs="Arial"/>
        </w:rPr>
        <w:t xml:space="preserve"> </w:t>
      </w:r>
      <w:r w:rsidRPr="00580C6B">
        <w:rPr>
          <w:rFonts w:ascii="Arial" w:hAnsi="Arial" w:cs="Arial"/>
        </w:rPr>
        <w:t>(Accessed:</w:t>
      </w:r>
      <w:r>
        <w:rPr>
          <w:rFonts w:ascii="Arial" w:hAnsi="Arial" w:cs="Arial"/>
        </w:rPr>
        <w:t>04.02</w:t>
      </w:r>
      <w:r w:rsidR="0014123E">
        <w:rPr>
          <w:rFonts w:ascii="Arial" w:hAnsi="Arial" w:cs="Arial"/>
        </w:rPr>
        <w:t>.26</w:t>
      </w:r>
      <w:r w:rsidRPr="00580C6B">
        <w:rPr>
          <w:rFonts w:ascii="Arial" w:hAnsi="Arial" w:cs="Arial"/>
        </w:rPr>
        <w:t>).</w:t>
      </w:r>
    </w:p>
    <w:p w14:paraId="047ECE21" w14:textId="4C511842" w:rsidR="007F0D37" w:rsidRPr="00E73498" w:rsidRDefault="007F0D37" w:rsidP="007F0D37">
      <w:pPr>
        <w:rPr>
          <w:rFonts w:ascii="Arial" w:hAnsi="Arial" w:cs="Arial"/>
        </w:rPr>
      </w:pPr>
      <w:r w:rsidRPr="00E73498">
        <w:rPr>
          <w:rFonts w:ascii="Arial" w:hAnsi="Arial" w:cs="Arial"/>
        </w:rPr>
        <w:t>Wright, K. B. (2019). Web</w:t>
      </w:r>
      <w:r w:rsidRPr="00E73498">
        <w:rPr>
          <w:rFonts w:ascii="Arial" w:hAnsi="Arial" w:cs="Arial"/>
        </w:rPr>
        <w:noBreakHyphen/>
        <w:t xml:space="preserve">based survey methodology. </w:t>
      </w:r>
      <w:r w:rsidRPr="00E73498">
        <w:rPr>
          <w:rFonts w:ascii="Arial" w:hAnsi="Arial" w:cs="Arial"/>
          <w:i/>
          <w:iCs/>
        </w:rPr>
        <w:t>Handbook of Research Methods in Health Social Sciences</w:t>
      </w:r>
      <w:r w:rsidRPr="00E73498">
        <w:rPr>
          <w:rFonts w:ascii="Arial" w:hAnsi="Arial" w:cs="Arial"/>
        </w:rPr>
        <w:t xml:space="preserve"> (pp. 1339–1352). Springer.</w:t>
      </w:r>
      <w:r w:rsidR="00322757" w:rsidRPr="00E73498">
        <w:rPr>
          <w:rFonts w:ascii="Arial" w:hAnsi="Arial" w:cs="Arial"/>
          <w:color w:val="222222"/>
          <w:shd w:val="clear" w:color="auto" w:fill="FFFFFF"/>
        </w:rPr>
        <w:t xml:space="preserve"> </w:t>
      </w:r>
      <w:r w:rsidR="00322757" w:rsidRPr="00E73498">
        <w:rPr>
          <w:rFonts w:ascii="Arial" w:hAnsi="Arial" w:cs="Arial"/>
        </w:rPr>
        <w:t>Available at: https://doi.org/10.1007/978-981-10-5251-4_18.</w:t>
      </w:r>
    </w:p>
    <w:p w14:paraId="47A52187" w14:textId="77777777" w:rsidR="008A2DB8" w:rsidRPr="00E73498" w:rsidRDefault="008A2DB8" w:rsidP="008A2DB8">
      <w:pPr>
        <w:rPr>
          <w:rFonts w:ascii="Arial" w:hAnsi="Arial" w:cs="Arial"/>
        </w:rPr>
      </w:pPr>
    </w:p>
    <w:p w14:paraId="1F1D7D19" w14:textId="77777777" w:rsidR="004B1825" w:rsidRPr="00E73498" w:rsidRDefault="004B1825" w:rsidP="008A2DB8">
      <w:pPr>
        <w:rPr>
          <w:rFonts w:ascii="Arial" w:hAnsi="Arial" w:cs="Arial"/>
        </w:rPr>
      </w:pPr>
    </w:p>
    <w:p w14:paraId="594C54F6" w14:textId="77777777" w:rsidR="008A2DB8" w:rsidRDefault="008A2DB8"/>
    <w:p w14:paraId="0747B25D" w14:textId="77777777" w:rsidR="0005554C" w:rsidRDefault="0005554C" w:rsidP="00FC5AA3">
      <w:pPr>
        <w:rPr>
          <w:rFonts w:cstheme="minorHAnsi"/>
          <w:b/>
          <w:bCs/>
          <w:sz w:val="24"/>
          <w:szCs w:val="24"/>
        </w:rPr>
      </w:pPr>
    </w:p>
    <w:p w14:paraId="59C7EABD" w14:textId="77777777" w:rsidR="0005554C" w:rsidRDefault="0005554C" w:rsidP="00FC5AA3">
      <w:pPr>
        <w:rPr>
          <w:rFonts w:cstheme="minorHAnsi"/>
          <w:b/>
          <w:bCs/>
          <w:sz w:val="24"/>
          <w:szCs w:val="24"/>
        </w:rPr>
      </w:pPr>
    </w:p>
    <w:p w14:paraId="418973D8" w14:textId="77777777" w:rsidR="0005554C" w:rsidRDefault="0005554C" w:rsidP="00FC5AA3">
      <w:pPr>
        <w:rPr>
          <w:rFonts w:cstheme="minorHAnsi"/>
          <w:b/>
          <w:bCs/>
          <w:sz w:val="24"/>
          <w:szCs w:val="24"/>
        </w:rPr>
      </w:pPr>
    </w:p>
    <w:p w14:paraId="06C5AE27" w14:textId="77777777" w:rsidR="00436B4E" w:rsidRDefault="00436B4E"/>
    <w:sectPr w:rsidR="00436B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Sans">
    <w:charset w:val="00"/>
    <w:family w:val="auto"/>
    <w:pitch w:val="variable"/>
    <w:sig w:usb0="A00004FF" w:usb1="4000207B"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B13D01"/>
    <w:multiLevelType w:val="hybridMultilevel"/>
    <w:tmpl w:val="AE020152"/>
    <w:lvl w:ilvl="0" w:tplc="180E1A42">
      <w:start w:val="1"/>
      <w:numFmt w:val="bullet"/>
      <w:lvlText w:val="-"/>
      <w:lvlJc w:val="left"/>
      <w:pPr>
        <w:ind w:left="1080" w:hanging="360"/>
      </w:pPr>
      <w:rPr>
        <w:rFonts w:ascii="Calibri" w:eastAsiaTheme="minorEastAsia" w:hAnsi="Calibri" w:cs="Calibri"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5E2A2A41"/>
    <w:multiLevelType w:val="hybridMultilevel"/>
    <w:tmpl w:val="57164352"/>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6D314464"/>
    <w:multiLevelType w:val="hybridMultilevel"/>
    <w:tmpl w:val="7044521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7E5E2B4B"/>
    <w:multiLevelType w:val="hybridMultilevel"/>
    <w:tmpl w:val="D02E07A0"/>
    <w:lvl w:ilvl="0" w:tplc="097A0504">
      <w:start w:val="1"/>
      <w:numFmt w:val="bullet"/>
      <w:lvlText w:val="-"/>
      <w:lvlJc w:val="left"/>
      <w:pPr>
        <w:ind w:left="1080" w:hanging="360"/>
      </w:pPr>
      <w:rPr>
        <w:rFonts w:ascii="Calibri" w:eastAsiaTheme="minorEastAsia" w:hAnsi="Calibri" w:cs="Calibri"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4" w15:restartNumberingAfterBreak="0">
    <w:nsid w:val="7EB37764"/>
    <w:multiLevelType w:val="hybridMultilevel"/>
    <w:tmpl w:val="704452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1807630">
    <w:abstractNumId w:val="4"/>
  </w:num>
  <w:num w:numId="2" w16cid:durableId="1543207161">
    <w:abstractNumId w:val="0"/>
  </w:num>
  <w:num w:numId="3" w16cid:durableId="814028623">
    <w:abstractNumId w:val="3"/>
  </w:num>
  <w:num w:numId="4" w16cid:durableId="2146582192">
    <w:abstractNumId w:val="1"/>
  </w:num>
  <w:num w:numId="5" w16cid:durableId="18597325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EF6"/>
    <w:rsid w:val="00004541"/>
    <w:rsid w:val="00011A72"/>
    <w:rsid w:val="00022C04"/>
    <w:rsid w:val="00042E1E"/>
    <w:rsid w:val="0005554C"/>
    <w:rsid w:val="00064EB8"/>
    <w:rsid w:val="00074030"/>
    <w:rsid w:val="00074807"/>
    <w:rsid w:val="00091A6D"/>
    <w:rsid w:val="00092DEF"/>
    <w:rsid w:val="00092DF2"/>
    <w:rsid w:val="000A3496"/>
    <w:rsid w:val="000B0F78"/>
    <w:rsid w:val="000E15F9"/>
    <w:rsid w:val="000F2896"/>
    <w:rsid w:val="000F6A90"/>
    <w:rsid w:val="000F6D1B"/>
    <w:rsid w:val="00116EDD"/>
    <w:rsid w:val="0012333D"/>
    <w:rsid w:val="00124134"/>
    <w:rsid w:val="00127C70"/>
    <w:rsid w:val="001316BB"/>
    <w:rsid w:val="0014123E"/>
    <w:rsid w:val="001515A9"/>
    <w:rsid w:val="00164AEB"/>
    <w:rsid w:val="00177EFB"/>
    <w:rsid w:val="00185419"/>
    <w:rsid w:val="001875B6"/>
    <w:rsid w:val="00197B33"/>
    <w:rsid w:val="001A02BC"/>
    <w:rsid w:val="001A2F2F"/>
    <w:rsid w:val="001B0DC1"/>
    <w:rsid w:val="001C0595"/>
    <w:rsid w:val="001C317E"/>
    <w:rsid w:val="001D24C4"/>
    <w:rsid w:val="001F0ACA"/>
    <w:rsid w:val="00201116"/>
    <w:rsid w:val="002276CB"/>
    <w:rsid w:val="00231EA6"/>
    <w:rsid w:val="00236797"/>
    <w:rsid w:val="00237BD2"/>
    <w:rsid w:val="00263E72"/>
    <w:rsid w:val="002847EA"/>
    <w:rsid w:val="0028666B"/>
    <w:rsid w:val="002D27A8"/>
    <w:rsid w:val="002E79D3"/>
    <w:rsid w:val="00301172"/>
    <w:rsid w:val="00303597"/>
    <w:rsid w:val="00304DF2"/>
    <w:rsid w:val="00321132"/>
    <w:rsid w:val="00322757"/>
    <w:rsid w:val="0033645F"/>
    <w:rsid w:val="003566E3"/>
    <w:rsid w:val="003633B8"/>
    <w:rsid w:val="00365014"/>
    <w:rsid w:val="00384478"/>
    <w:rsid w:val="00393318"/>
    <w:rsid w:val="003948B2"/>
    <w:rsid w:val="003B70E9"/>
    <w:rsid w:val="003C11B5"/>
    <w:rsid w:val="003C1E65"/>
    <w:rsid w:val="003C4649"/>
    <w:rsid w:val="003D5337"/>
    <w:rsid w:val="003F2BB8"/>
    <w:rsid w:val="00406586"/>
    <w:rsid w:val="00412D23"/>
    <w:rsid w:val="00427AE3"/>
    <w:rsid w:val="00432FAF"/>
    <w:rsid w:val="00436B4E"/>
    <w:rsid w:val="004562B8"/>
    <w:rsid w:val="00462DE4"/>
    <w:rsid w:val="004701A3"/>
    <w:rsid w:val="0047492F"/>
    <w:rsid w:val="0049716A"/>
    <w:rsid w:val="004A580D"/>
    <w:rsid w:val="004B1825"/>
    <w:rsid w:val="004C1456"/>
    <w:rsid w:val="004C218F"/>
    <w:rsid w:val="004C30D6"/>
    <w:rsid w:val="004C7FF5"/>
    <w:rsid w:val="004D00C8"/>
    <w:rsid w:val="004D5FA3"/>
    <w:rsid w:val="004D613D"/>
    <w:rsid w:val="004E0B80"/>
    <w:rsid w:val="004F4E38"/>
    <w:rsid w:val="005240A3"/>
    <w:rsid w:val="00524AB5"/>
    <w:rsid w:val="0053595F"/>
    <w:rsid w:val="00543852"/>
    <w:rsid w:val="00543D6F"/>
    <w:rsid w:val="00544EF9"/>
    <w:rsid w:val="0054774C"/>
    <w:rsid w:val="00550A7C"/>
    <w:rsid w:val="005642DA"/>
    <w:rsid w:val="00566C76"/>
    <w:rsid w:val="00580C6B"/>
    <w:rsid w:val="00582F9D"/>
    <w:rsid w:val="005833FA"/>
    <w:rsid w:val="00592DC5"/>
    <w:rsid w:val="005A72C9"/>
    <w:rsid w:val="005B5711"/>
    <w:rsid w:val="005C0931"/>
    <w:rsid w:val="005C5B7D"/>
    <w:rsid w:val="005C6A78"/>
    <w:rsid w:val="00604C0A"/>
    <w:rsid w:val="00607E2A"/>
    <w:rsid w:val="0061452E"/>
    <w:rsid w:val="00616B06"/>
    <w:rsid w:val="00623E86"/>
    <w:rsid w:val="006345EC"/>
    <w:rsid w:val="00647C8F"/>
    <w:rsid w:val="00650449"/>
    <w:rsid w:val="00656230"/>
    <w:rsid w:val="006602E8"/>
    <w:rsid w:val="00662325"/>
    <w:rsid w:val="00680F9B"/>
    <w:rsid w:val="0068773F"/>
    <w:rsid w:val="006924E9"/>
    <w:rsid w:val="006A0E43"/>
    <w:rsid w:val="006A1511"/>
    <w:rsid w:val="006A6037"/>
    <w:rsid w:val="006B3D48"/>
    <w:rsid w:val="006B45F8"/>
    <w:rsid w:val="006C4EBD"/>
    <w:rsid w:val="006D302C"/>
    <w:rsid w:val="006D7624"/>
    <w:rsid w:val="006E40B8"/>
    <w:rsid w:val="006F1D86"/>
    <w:rsid w:val="007015E6"/>
    <w:rsid w:val="00702DB0"/>
    <w:rsid w:val="00722DA1"/>
    <w:rsid w:val="00724711"/>
    <w:rsid w:val="007546A6"/>
    <w:rsid w:val="0076527D"/>
    <w:rsid w:val="00765D25"/>
    <w:rsid w:val="007763FF"/>
    <w:rsid w:val="00777190"/>
    <w:rsid w:val="007A28CC"/>
    <w:rsid w:val="007C2C24"/>
    <w:rsid w:val="007C7169"/>
    <w:rsid w:val="007D1585"/>
    <w:rsid w:val="007D5956"/>
    <w:rsid w:val="007E79AD"/>
    <w:rsid w:val="007F0D37"/>
    <w:rsid w:val="00800A70"/>
    <w:rsid w:val="00805B21"/>
    <w:rsid w:val="008117E6"/>
    <w:rsid w:val="00815C9F"/>
    <w:rsid w:val="00815FE1"/>
    <w:rsid w:val="0082153B"/>
    <w:rsid w:val="00823986"/>
    <w:rsid w:val="0083267F"/>
    <w:rsid w:val="008473A3"/>
    <w:rsid w:val="00850F03"/>
    <w:rsid w:val="00862933"/>
    <w:rsid w:val="00862F92"/>
    <w:rsid w:val="008718D7"/>
    <w:rsid w:val="00875740"/>
    <w:rsid w:val="00887AF1"/>
    <w:rsid w:val="00897D24"/>
    <w:rsid w:val="008A24F2"/>
    <w:rsid w:val="008A2AB4"/>
    <w:rsid w:val="008A2DB8"/>
    <w:rsid w:val="008B1907"/>
    <w:rsid w:val="008B3E51"/>
    <w:rsid w:val="008B6F96"/>
    <w:rsid w:val="008C1AD5"/>
    <w:rsid w:val="008C38B2"/>
    <w:rsid w:val="008E5DF1"/>
    <w:rsid w:val="008E7AC7"/>
    <w:rsid w:val="008F407A"/>
    <w:rsid w:val="008F438C"/>
    <w:rsid w:val="008F610F"/>
    <w:rsid w:val="008F7FE3"/>
    <w:rsid w:val="00912BF9"/>
    <w:rsid w:val="00927F1E"/>
    <w:rsid w:val="009313D9"/>
    <w:rsid w:val="0093455F"/>
    <w:rsid w:val="00964983"/>
    <w:rsid w:val="00966E0E"/>
    <w:rsid w:val="0097108B"/>
    <w:rsid w:val="00972FAF"/>
    <w:rsid w:val="0098005C"/>
    <w:rsid w:val="00986A2C"/>
    <w:rsid w:val="009A11F6"/>
    <w:rsid w:val="009A2210"/>
    <w:rsid w:val="009A637E"/>
    <w:rsid w:val="009B0434"/>
    <w:rsid w:val="009B4864"/>
    <w:rsid w:val="009C7EF6"/>
    <w:rsid w:val="009D56F4"/>
    <w:rsid w:val="009E25BE"/>
    <w:rsid w:val="009F21E7"/>
    <w:rsid w:val="009F357F"/>
    <w:rsid w:val="00A05A16"/>
    <w:rsid w:val="00A10FD3"/>
    <w:rsid w:val="00A224CE"/>
    <w:rsid w:val="00A44444"/>
    <w:rsid w:val="00A5586A"/>
    <w:rsid w:val="00A56F6A"/>
    <w:rsid w:val="00A67688"/>
    <w:rsid w:val="00A7499C"/>
    <w:rsid w:val="00A74C24"/>
    <w:rsid w:val="00A75172"/>
    <w:rsid w:val="00A816BF"/>
    <w:rsid w:val="00A82930"/>
    <w:rsid w:val="00A86668"/>
    <w:rsid w:val="00AA37E6"/>
    <w:rsid w:val="00AB3362"/>
    <w:rsid w:val="00AB37C1"/>
    <w:rsid w:val="00AB77D9"/>
    <w:rsid w:val="00AD639A"/>
    <w:rsid w:val="00AE26CF"/>
    <w:rsid w:val="00AE6368"/>
    <w:rsid w:val="00B064E8"/>
    <w:rsid w:val="00B070BE"/>
    <w:rsid w:val="00B421CB"/>
    <w:rsid w:val="00B51AE6"/>
    <w:rsid w:val="00B558D7"/>
    <w:rsid w:val="00B56238"/>
    <w:rsid w:val="00B56FB4"/>
    <w:rsid w:val="00B605C9"/>
    <w:rsid w:val="00B662D7"/>
    <w:rsid w:val="00B778CA"/>
    <w:rsid w:val="00B82A10"/>
    <w:rsid w:val="00B91F47"/>
    <w:rsid w:val="00B95FAC"/>
    <w:rsid w:val="00BA1FE0"/>
    <w:rsid w:val="00BA79CB"/>
    <w:rsid w:val="00BB7142"/>
    <w:rsid w:val="00BC25B0"/>
    <w:rsid w:val="00BC3CA1"/>
    <w:rsid w:val="00BC4970"/>
    <w:rsid w:val="00BC6306"/>
    <w:rsid w:val="00BD2428"/>
    <w:rsid w:val="00BE1C37"/>
    <w:rsid w:val="00BE24E1"/>
    <w:rsid w:val="00BF508D"/>
    <w:rsid w:val="00C170A2"/>
    <w:rsid w:val="00C17473"/>
    <w:rsid w:val="00C3043D"/>
    <w:rsid w:val="00C334C0"/>
    <w:rsid w:val="00C44693"/>
    <w:rsid w:val="00C47C2C"/>
    <w:rsid w:val="00C526D0"/>
    <w:rsid w:val="00C62866"/>
    <w:rsid w:val="00C62F04"/>
    <w:rsid w:val="00C64A42"/>
    <w:rsid w:val="00C7294F"/>
    <w:rsid w:val="00C817E2"/>
    <w:rsid w:val="00C8551B"/>
    <w:rsid w:val="00CB7743"/>
    <w:rsid w:val="00CC403C"/>
    <w:rsid w:val="00CC413C"/>
    <w:rsid w:val="00CD4B38"/>
    <w:rsid w:val="00CE7D57"/>
    <w:rsid w:val="00CF63B1"/>
    <w:rsid w:val="00D047FE"/>
    <w:rsid w:val="00D07E78"/>
    <w:rsid w:val="00D26D47"/>
    <w:rsid w:val="00D41760"/>
    <w:rsid w:val="00D431FF"/>
    <w:rsid w:val="00D46E21"/>
    <w:rsid w:val="00D5320A"/>
    <w:rsid w:val="00D66AD6"/>
    <w:rsid w:val="00D91C27"/>
    <w:rsid w:val="00DB2B8C"/>
    <w:rsid w:val="00DB73F5"/>
    <w:rsid w:val="00DC2621"/>
    <w:rsid w:val="00DC4D6F"/>
    <w:rsid w:val="00DF2C23"/>
    <w:rsid w:val="00DF34B1"/>
    <w:rsid w:val="00E008D9"/>
    <w:rsid w:val="00E027D7"/>
    <w:rsid w:val="00E10E0B"/>
    <w:rsid w:val="00E3454E"/>
    <w:rsid w:val="00E452B9"/>
    <w:rsid w:val="00E51925"/>
    <w:rsid w:val="00E63FD6"/>
    <w:rsid w:val="00E73498"/>
    <w:rsid w:val="00E7396E"/>
    <w:rsid w:val="00E801C6"/>
    <w:rsid w:val="00E908CD"/>
    <w:rsid w:val="00EA0BE9"/>
    <w:rsid w:val="00EA3675"/>
    <w:rsid w:val="00EC4481"/>
    <w:rsid w:val="00EC5976"/>
    <w:rsid w:val="00ED25A0"/>
    <w:rsid w:val="00EE53F8"/>
    <w:rsid w:val="00EF4EDE"/>
    <w:rsid w:val="00F02371"/>
    <w:rsid w:val="00F026EE"/>
    <w:rsid w:val="00F0406A"/>
    <w:rsid w:val="00F13D13"/>
    <w:rsid w:val="00F165E8"/>
    <w:rsid w:val="00F26AA7"/>
    <w:rsid w:val="00F3237D"/>
    <w:rsid w:val="00F34E64"/>
    <w:rsid w:val="00F435E2"/>
    <w:rsid w:val="00F564B1"/>
    <w:rsid w:val="00F610CC"/>
    <w:rsid w:val="00F623D4"/>
    <w:rsid w:val="00F63C4B"/>
    <w:rsid w:val="00F8681E"/>
    <w:rsid w:val="00F8711B"/>
    <w:rsid w:val="00F87E1E"/>
    <w:rsid w:val="00F931AA"/>
    <w:rsid w:val="00FA1922"/>
    <w:rsid w:val="00FA7744"/>
    <w:rsid w:val="00FB11A0"/>
    <w:rsid w:val="00FB6777"/>
    <w:rsid w:val="00FC4852"/>
    <w:rsid w:val="00FC5AA3"/>
    <w:rsid w:val="00FC5D4A"/>
    <w:rsid w:val="00FE3C8B"/>
    <w:rsid w:val="00FF08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B5EEE"/>
  <w15:chartTrackingRefBased/>
  <w15:docId w15:val="{EBDAEBB5-E1BC-49EC-880E-BD6B18C18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7EF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C7EF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C7EF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C7EF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C7EF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C7E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7E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7E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7E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7EF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C7EF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C7EF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C7EF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C7EF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C7E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7E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7E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7EF6"/>
    <w:rPr>
      <w:rFonts w:eastAsiaTheme="majorEastAsia" w:cstheme="majorBidi"/>
      <w:color w:val="272727" w:themeColor="text1" w:themeTint="D8"/>
    </w:rPr>
  </w:style>
  <w:style w:type="paragraph" w:styleId="Title">
    <w:name w:val="Title"/>
    <w:basedOn w:val="Normal"/>
    <w:next w:val="Normal"/>
    <w:link w:val="TitleChar"/>
    <w:uiPriority w:val="10"/>
    <w:qFormat/>
    <w:rsid w:val="009C7E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7E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7E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7E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7EF6"/>
    <w:pPr>
      <w:spacing w:before="160"/>
      <w:jc w:val="center"/>
    </w:pPr>
    <w:rPr>
      <w:i/>
      <w:iCs/>
      <w:color w:val="404040" w:themeColor="text1" w:themeTint="BF"/>
    </w:rPr>
  </w:style>
  <w:style w:type="character" w:customStyle="1" w:styleId="QuoteChar">
    <w:name w:val="Quote Char"/>
    <w:basedOn w:val="DefaultParagraphFont"/>
    <w:link w:val="Quote"/>
    <w:uiPriority w:val="29"/>
    <w:rsid w:val="009C7EF6"/>
    <w:rPr>
      <w:i/>
      <w:iCs/>
      <w:color w:val="404040" w:themeColor="text1" w:themeTint="BF"/>
    </w:rPr>
  </w:style>
  <w:style w:type="paragraph" w:styleId="ListParagraph">
    <w:name w:val="List Paragraph"/>
    <w:basedOn w:val="Normal"/>
    <w:uiPriority w:val="34"/>
    <w:qFormat/>
    <w:rsid w:val="009C7EF6"/>
    <w:pPr>
      <w:ind w:left="720"/>
      <w:contextualSpacing/>
    </w:pPr>
  </w:style>
  <w:style w:type="character" w:styleId="IntenseEmphasis">
    <w:name w:val="Intense Emphasis"/>
    <w:basedOn w:val="DefaultParagraphFont"/>
    <w:uiPriority w:val="21"/>
    <w:qFormat/>
    <w:rsid w:val="009C7EF6"/>
    <w:rPr>
      <w:i/>
      <w:iCs/>
      <w:color w:val="2F5496" w:themeColor="accent1" w:themeShade="BF"/>
    </w:rPr>
  </w:style>
  <w:style w:type="paragraph" w:styleId="IntenseQuote">
    <w:name w:val="Intense Quote"/>
    <w:basedOn w:val="Normal"/>
    <w:next w:val="Normal"/>
    <w:link w:val="IntenseQuoteChar"/>
    <w:uiPriority w:val="30"/>
    <w:qFormat/>
    <w:rsid w:val="009C7EF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7EF6"/>
    <w:rPr>
      <w:i/>
      <w:iCs/>
      <w:color w:val="2F5496" w:themeColor="accent1" w:themeShade="BF"/>
    </w:rPr>
  </w:style>
  <w:style w:type="character" w:styleId="IntenseReference">
    <w:name w:val="Intense Reference"/>
    <w:basedOn w:val="DefaultParagraphFont"/>
    <w:uiPriority w:val="32"/>
    <w:qFormat/>
    <w:rsid w:val="009C7EF6"/>
    <w:rPr>
      <w:b/>
      <w:bCs/>
      <w:smallCaps/>
      <w:color w:val="2F5496" w:themeColor="accent1" w:themeShade="BF"/>
      <w:spacing w:val="5"/>
    </w:rPr>
  </w:style>
  <w:style w:type="character" w:styleId="Hyperlink">
    <w:name w:val="Hyperlink"/>
    <w:basedOn w:val="DefaultParagraphFont"/>
    <w:uiPriority w:val="99"/>
    <w:unhideWhenUsed/>
    <w:rsid w:val="006D302C"/>
    <w:rPr>
      <w:color w:val="0563C1" w:themeColor="hyperlink"/>
      <w:u w:val="single"/>
    </w:rPr>
  </w:style>
  <w:style w:type="paragraph" w:styleId="NormalWeb">
    <w:name w:val="Normal (Web)"/>
    <w:basedOn w:val="Normal"/>
    <w:uiPriority w:val="99"/>
    <w:semiHidden/>
    <w:unhideWhenUsed/>
    <w:rsid w:val="00F34E64"/>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1A2F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uwtsd.idm.oclc.org/stable/24721347?seq=1" TargetMode="External"/><Relationship Id="rId13" Type="http://schemas.openxmlformats.org/officeDocument/2006/relationships/hyperlink" Target="https://r1.vlereader.com/EpubReader?ean=1781350260399" TargetMode="External"/><Relationship Id="rId18" Type="http://schemas.openxmlformats.org/officeDocument/2006/relationships/hyperlink" Target="https://doi-org.ezproxy.uwtsd.ac.uk/10.1177/1558689815607096" TargetMode="External"/><Relationship Id="rId3" Type="http://schemas.openxmlformats.org/officeDocument/2006/relationships/styles" Target="styles.xml"/><Relationship Id="rId21" Type="http://schemas.openxmlformats.org/officeDocument/2006/relationships/hyperlink" Target="https://www.qualtrics.com/en-gb/articles/strategy-research/mixed-methods-research/" TargetMode="External"/><Relationship Id="rId7" Type="http://schemas.openxmlformats.org/officeDocument/2006/relationships/hyperlink" Target="https://lib.mdpu.org.ua/wp-content/uploads/2024/03/Alan-Bryman-Social-Research-Methods2016.pdf" TargetMode="External"/><Relationship Id="rId12" Type="http://schemas.openxmlformats.org/officeDocument/2006/relationships/hyperlink" Target="https://doi.org/10.4324/9781003117452" TargetMode="External"/><Relationship Id="rId17" Type="http://schemas.openxmlformats.org/officeDocument/2006/relationships/hyperlink" Target="https://www.taylorfrancis.com/reader/read-online/db353bb8-f60c-4e5e-98c0-84dc9fd826e8/chapter/pdf?context=ubx" TargetMode="External"/><Relationship Id="rId2" Type="http://schemas.openxmlformats.org/officeDocument/2006/relationships/numbering" Target="numbering.xml"/><Relationship Id="rId16" Type="http://schemas.openxmlformats.org/officeDocument/2006/relationships/hyperlink" Target="https://doi.org/10.1136/gpsych-2020-100264" TargetMode="External"/><Relationship Id="rId20" Type="http://schemas.openxmlformats.org/officeDocument/2006/relationships/hyperlink" Target="https://www.simplypsychology.org/what-is-a-cross-sectional-study.html" TargetMode="External"/><Relationship Id="rId1" Type="http://schemas.openxmlformats.org/officeDocument/2006/relationships/customXml" Target="../customXml/item1.xml"/><Relationship Id="rId6" Type="http://schemas.openxmlformats.org/officeDocument/2006/relationships/hyperlink" Target="https://doi.org/10.1093/ije/dyh243" TargetMode="External"/><Relationship Id="rId11" Type="http://schemas.openxmlformats.org/officeDocument/2006/relationships/hyperlink" Target="https://doi.org/10.1057/s41284-025-00502-3" TargetMode="External"/><Relationship Id="rId5" Type="http://schemas.openxmlformats.org/officeDocument/2006/relationships/webSettings" Target="webSettings.xml"/><Relationship Id="rId15" Type="http://schemas.openxmlformats.org/officeDocument/2006/relationships/hyperlink" Target="https://www.simplypsychology.org/mixed-methods-research.html" TargetMode="External"/><Relationship Id="rId23" Type="http://schemas.openxmlformats.org/officeDocument/2006/relationships/theme" Target="theme/theme1.xml"/><Relationship Id="rId10" Type="http://schemas.openxmlformats.org/officeDocument/2006/relationships/hyperlink" Target="https://doi.org/10.1007/978-3-658-42739-9_10" TargetMode="External"/><Relationship Id="rId19" Type="http://schemas.openxmlformats.org/officeDocument/2006/relationships/hyperlink" Target="https://doi.org/10.1007/978-3-031-17299-1_412" TargetMode="External"/><Relationship Id="rId4" Type="http://schemas.openxmlformats.org/officeDocument/2006/relationships/settings" Target="settings.xml"/><Relationship Id="rId9" Type="http://schemas.openxmlformats.org/officeDocument/2006/relationships/hyperlink" Target="https://www.gov.uk/government/publications/a-guide-to-inclusive-social-research-practices/a-guide-to-inclusive-social-research-practices" TargetMode="External"/><Relationship Id="rId14" Type="http://schemas.openxmlformats.org/officeDocument/2006/relationships/hyperlink" Target="https://doi.org/10.1111/rssa.1289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4DB771-5C87-4C24-8D71-6DDCD1DFD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7597</TotalTime>
  <Pages>6</Pages>
  <Words>2636</Words>
  <Characters>16296</Characters>
  <Application>Microsoft Office Word</Application>
  <DocSecurity>0</DocSecurity>
  <Lines>280</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BUNICA</dc:creator>
  <cp:keywords/>
  <dc:description/>
  <cp:lastModifiedBy>ELEONORA BUNICA</cp:lastModifiedBy>
  <cp:revision>318</cp:revision>
  <dcterms:created xsi:type="dcterms:W3CDTF">2026-01-28T13:50:00Z</dcterms:created>
  <dcterms:modified xsi:type="dcterms:W3CDTF">2026-02-04T11:43:00Z</dcterms:modified>
</cp:coreProperties>
</file>