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2297" w:rsidRDefault="00392297" w:rsidP="00392297">
      <w:pPr>
        <w:spacing w:line="360" w:lineRule="auto"/>
        <w:ind w:left="4320" w:hanging="2880"/>
        <w:rPr>
          <w:rFonts w:ascii="Arial" w:hAnsi="Arial" w:cs="Arial"/>
          <w:b/>
          <w:bCs/>
          <w:color w:val="000000" w:themeColor="text1"/>
        </w:rPr>
      </w:pPr>
      <w:r>
        <w:rPr>
          <w:rFonts w:ascii="Arial" w:hAnsi="Arial" w:cs="Arial"/>
          <w:b/>
          <w:noProof/>
          <w:color w:val="000000" w:themeColor="text1"/>
          <w:lang w:val="en-GB" w:eastAsia="en-GB"/>
        </w:rPr>
        <w:drawing>
          <wp:inline distT="0" distB="0" distL="0" distR="0">
            <wp:extent cx="4143375" cy="1933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392297" w:rsidRDefault="00392297" w:rsidP="00392297">
      <w:pPr>
        <w:spacing w:line="360" w:lineRule="auto"/>
        <w:ind w:left="4320" w:hanging="2880"/>
        <w:rPr>
          <w:rFonts w:ascii="Arial" w:hAnsi="Arial" w:cs="Arial"/>
          <w:b/>
          <w:bCs/>
          <w:color w:val="000000" w:themeColor="text1"/>
        </w:rPr>
      </w:pPr>
    </w:p>
    <w:p w:rsidR="00392297" w:rsidRDefault="00392297" w:rsidP="00392297">
      <w:pPr>
        <w:spacing w:line="360" w:lineRule="auto"/>
        <w:ind w:left="4320" w:hanging="2880"/>
        <w:rPr>
          <w:rFonts w:ascii="Arial" w:hAnsi="Arial" w:cs="Arial"/>
          <w:b/>
          <w:bCs/>
          <w:color w:val="000000" w:themeColor="text1"/>
        </w:rPr>
      </w:pPr>
      <w:r>
        <w:rPr>
          <w:rFonts w:ascii="Arial" w:hAnsi="Arial" w:cs="Arial"/>
          <w:b/>
          <w:bCs/>
          <w:color w:val="000000" w:themeColor="text1"/>
        </w:rPr>
        <w:t xml:space="preserve">Assignment Title: </w:t>
      </w:r>
      <w:r>
        <w:rPr>
          <w:rFonts w:ascii="Arial" w:hAnsi="Arial" w:cs="Arial"/>
          <w:b/>
          <w:bCs/>
          <w:color w:val="000000" w:themeColor="text1"/>
        </w:rPr>
        <w:tab/>
      </w:r>
      <w:r w:rsidRPr="00392297">
        <w:rPr>
          <w:rFonts w:ascii="Arial" w:hAnsi="Arial" w:cs="Arial"/>
          <w:b/>
          <w:bCs/>
          <w:color w:val="000000" w:themeColor="text1"/>
        </w:rPr>
        <w:t>Reform of Homicide</w:t>
      </w:r>
    </w:p>
    <w:p w:rsidR="00392297" w:rsidRDefault="00392297" w:rsidP="00392297">
      <w:pPr>
        <w:spacing w:line="360" w:lineRule="auto"/>
        <w:ind w:left="4320" w:hanging="2880"/>
        <w:rPr>
          <w:rFonts w:ascii="Arial" w:hAnsi="Arial" w:cs="Arial"/>
          <w:color w:val="000000" w:themeColor="text1"/>
        </w:rPr>
      </w:pPr>
      <w:r>
        <w:rPr>
          <w:rFonts w:ascii="Arial" w:hAnsi="Arial" w:cs="Arial"/>
          <w:b/>
          <w:bCs/>
          <w:color w:val="000000" w:themeColor="text1"/>
        </w:rPr>
        <w:t xml:space="preserve">Module Name: </w:t>
      </w:r>
      <w:r>
        <w:rPr>
          <w:rFonts w:ascii="Arial" w:hAnsi="Arial" w:cs="Arial"/>
          <w:b/>
          <w:bCs/>
          <w:color w:val="000000" w:themeColor="text1"/>
        </w:rPr>
        <w:tab/>
        <w:t>Criminal Law</w:t>
      </w:r>
    </w:p>
    <w:p w:rsidR="00392297" w:rsidRDefault="00392297" w:rsidP="00392297">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Pr>
          <w:rFonts w:ascii="Arial" w:eastAsia="Arial" w:hAnsi="Arial" w:cs="Arial"/>
          <w:b/>
          <w:sz w:val="22"/>
        </w:rPr>
        <w:t>BMPL4009</w:t>
      </w:r>
    </w:p>
    <w:p w:rsidR="00392297" w:rsidRDefault="00392297" w:rsidP="00392297">
      <w:pPr>
        <w:spacing w:line="360" w:lineRule="auto"/>
        <w:ind w:left="4320" w:hanging="2880"/>
        <w:rPr>
          <w:rFonts w:ascii="Arial" w:hAnsi="Arial" w:cs="Arial"/>
          <w:color w:val="000000" w:themeColor="text1"/>
        </w:rPr>
      </w:pPr>
      <w:r>
        <w:rPr>
          <w:rFonts w:ascii="Arial" w:hAnsi="Arial" w:cs="Arial"/>
          <w:b/>
          <w:bCs/>
          <w:color w:val="000000" w:themeColor="text1"/>
        </w:rPr>
        <w:t>Program of Study:</w:t>
      </w:r>
      <w:r>
        <w:rPr>
          <w:rFonts w:ascii="Arial" w:hAnsi="Arial" w:cs="Arial"/>
          <w:b/>
          <w:bCs/>
          <w:color w:val="000000" w:themeColor="text1"/>
        </w:rPr>
        <w:tab/>
        <w:t xml:space="preserve">Law Portfolio  </w:t>
      </w:r>
    </w:p>
    <w:p w:rsidR="00392297" w:rsidRDefault="00392297" w:rsidP="00392297">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Ali Fayyaz</w:t>
      </w:r>
    </w:p>
    <w:p w:rsidR="00392297" w:rsidRDefault="00392297" w:rsidP="00392297">
      <w:pPr>
        <w:spacing w:line="360" w:lineRule="auto"/>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sidR="00867D1C">
        <w:rPr>
          <w:rFonts w:ascii="Arial" w:hAnsi="Arial" w:cs="Arial"/>
          <w:b/>
          <w:bCs/>
          <w:color w:val="000000" w:themeColor="text1"/>
        </w:rPr>
        <w:t xml:space="preserve">     2243570</w:t>
      </w:r>
      <w:r>
        <w:rPr>
          <w:rFonts w:ascii="Arial" w:hAnsi="Arial" w:cs="Arial"/>
          <w:b/>
          <w:bCs/>
          <w:color w:val="000000" w:themeColor="text1"/>
        </w:rPr>
        <w:tab/>
      </w:r>
    </w:p>
    <w:p w:rsidR="00392297" w:rsidRDefault="00392297" w:rsidP="00392297">
      <w:pPr>
        <w:ind w:left="720" w:firstLine="720"/>
        <w:rPr>
          <w:rFonts w:ascii="Arial" w:hAnsi="Arial" w:cs="Arial"/>
          <w:b/>
          <w:bCs/>
          <w:color w:val="000000" w:themeColor="text1"/>
        </w:rPr>
      </w:pPr>
      <w:r>
        <w:rPr>
          <w:rFonts w:ascii="Arial" w:hAnsi="Arial" w:cs="Arial"/>
          <w:b/>
          <w:bCs/>
          <w:color w:val="000000" w:themeColor="text1"/>
        </w:rPr>
        <w:t xml:space="preserve">Lecturer Name: </w:t>
      </w:r>
      <w:r>
        <w:rPr>
          <w:rFonts w:ascii="Arial" w:hAnsi="Arial" w:cs="Arial"/>
          <w:b/>
          <w:bCs/>
          <w:color w:val="000000" w:themeColor="text1"/>
        </w:rPr>
        <w:tab/>
      </w:r>
      <w:r>
        <w:rPr>
          <w:rFonts w:ascii="Arial" w:hAnsi="Arial" w:cs="Arial"/>
          <w:b/>
          <w:bCs/>
          <w:color w:val="000000" w:themeColor="text1"/>
        </w:rPr>
        <w:tab/>
        <w:t>Ms. Zita Draper</w:t>
      </w:r>
    </w:p>
    <w:p w:rsidR="00392297" w:rsidRDefault="00392297">
      <w:pPr>
        <w:pStyle w:val="TOCHeading"/>
        <w:rPr>
          <w:rFonts w:asciiTheme="minorHAnsi" w:eastAsiaTheme="minorHAnsi" w:hAnsiTheme="minorHAnsi" w:cstheme="minorBidi"/>
          <w:color w:val="auto"/>
          <w:kern w:val="2"/>
          <w:sz w:val="24"/>
          <w:szCs w:val="22"/>
          <w14:ligatures w14:val="standardContextual"/>
        </w:rPr>
      </w:pPr>
    </w:p>
    <w:p w:rsidR="00392297" w:rsidRDefault="00392297">
      <w:pPr>
        <w:pStyle w:val="TOCHeading"/>
        <w:rPr>
          <w:rFonts w:asciiTheme="minorHAnsi" w:eastAsiaTheme="minorHAnsi" w:hAnsiTheme="minorHAnsi" w:cstheme="minorBidi"/>
          <w:color w:val="auto"/>
          <w:kern w:val="2"/>
          <w:sz w:val="24"/>
          <w:szCs w:val="22"/>
          <w14:ligatures w14:val="standardContextual"/>
        </w:rPr>
      </w:pPr>
    </w:p>
    <w:p w:rsidR="00392297" w:rsidRDefault="00392297" w:rsidP="00392297"/>
    <w:p w:rsidR="00392297" w:rsidRDefault="00392297" w:rsidP="00392297"/>
    <w:p w:rsidR="00392297" w:rsidRDefault="00392297" w:rsidP="00392297"/>
    <w:p w:rsidR="00392297" w:rsidRDefault="00392297" w:rsidP="00392297"/>
    <w:p w:rsidR="00392297" w:rsidRDefault="00392297" w:rsidP="00392297"/>
    <w:p w:rsidR="00392297" w:rsidRDefault="00392297" w:rsidP="00392297"/>
    <w:p w:rsidR="00392297" w:rsidRDefault="00392297" w:rsidP="00392297"/>
    <w:p w:rsidR="00392297" w:rsidRPr="00392297" w:rsidRDefault="00392297" w:rsidP="00392297"/>
    <w:sdt>
      <w:sdtPr>
        <w:rPr>
          <w:rFonts w:asciiTheme="minorHAnsi" w:eastAsiaTheme="minorHAnsi" w:hAnsiTheme="minorHAnsi" w:cstheme="minorBidi"/>
          <w:color w:val="auto"/>
          <w:kern w:val="2"/>
          <w:sz w:val="24"/>
          <w:szCs w:val="22"/>
          <w14:ligatures w14:val="standardContextual"/>
        </w:rPr>
        <w:id w:val="-1185737386"/>
        <w:docPartObj>
          <w:docPartGallery w:val="Table of Contents"/>
          <w:docPartUnique/>
        </w:docPartObj>
      </w:sdtPr>
      <w:sdtEndPr>
        <w:rPr>
          <w:b/>
          <w:bCs/>
          <w:noProof/>
        </w:rPr>
      </w:sdtEndPr>
      <w:sdtContent>
        <w:p w:rsidR="00493673" w:rsidRDefault="00493673">
          <w:pPr>
            <w:pStyle w:val="TOCHeading"/>
          </w:pPr>
          <w:r>
            <w:t>Table of Contents</w:t>
          </w:r>
        </w:p>
        <w:p w:rsidR="00493673" w:rsidRDefault="00493673">
          <w:pPr>
            <w:pStyle w:val="TOC2"/>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38880763" w:history="1">
            <w:r w:rsidRPr="00E666F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_Toc138880763 \h </w:instrText>
            </w:r>
            <w:r>
              <w:rPr>
                <w:noProof/>
                <w:webHidden/>
              </w:rPr>
            </w:r>
            <w:r>
              <w:rPr>
                <w:noProof/>
                <w:webHidden/>
              </w:rPr>
              <w:fldChar w:fldCharType="separate"/>
            </w:r>
            <w:r>
              <w:rPr>
                <w:noProof/>
                <w:webHidden/>
              </w:rPr>
              <w:t>3</w:t>
            </w:r>
            <w:r>
              <w:rPr>
                <w:noProof/>
                <w:webHidden/>
              </w:rPr>
              <w:fldChar w:fldCharType="end"/>
            </w:r>
          </w:hyperlink>
        </w:p>
        <w:p w:rsidR="00493673" w:rsidRDefault="0055781C">
          <w:pPr>
            <w:pStyle w:val="TOC2"/>
            <w:tabs>
              <w:tab w:val="right" w:leader="dot" w:pos="9350"/>
            </w:tabs>
            <w:rPr>
              <w:rFonts w:eastAsiaTheme="minorEastAsia"/>
              <w:noProof/>
              <w:kern w:val="0"/>
              <w:sz w:val="22"/>
              <w:lang w:val="en-GB" w:eastAsia="en-GB"/>
              <w14:ligatures w14:val="none"/>
            </w:rPr>
          </w:pPr>
          <w:hyperlink w:anchor="_Toc138880764" w:history="1">
            <w:r w:rsidR="00493673" w:rsidRPr="00E666F8">
              <w:rPr>
                <w:rStyle w:val="Hyperlink"/>
                <w:rFonts w:ascii="Arial" w:hAnsi="Arial" w:cs="Arial"/>
                <w:noProof/>
              </w:rPr>
              <w:t>Current Law Governing Homicide in England and Wales</w:t>
            </w:r>
            <w:r w:rsidR="00493673">
              <w:rPr>
                <w:noProof/>
                <w:webHidden/>
              </w:rPr>
              <w:tab/>
            </w:r>
            <w:r w:rsidR="00493673">
              <w:rPr>
                <w:noProof/>
                <w:webHidden/>
              </w:rPr>
              <w:fldChar w:fldCharType="begin"/>
            </w:r>
            <w:r w:rsidR="00493673">
              <w:rPr>
                <w:noProof/>
                <w:webHidden/>
              </w:rPr>
              <w:instrText xml:space="preserve"> PAGEREF _Toc138880764 \h </w:instrText>
            </w:r>
            <w:r w:rsidR="00493673">
              <w:rPr>
                <w:noProof/>
                <w:webHidden/>
              </w:rPr>
            </w:r>
            <w:r w:rsidR="00493673">
              <w:rPr>
                <w:noProof/>
                <w:webHidden/>
              </w:rPr>
              <w:fldChar w:fldCharType="separate"/>
            </w:r>
            <w:r w:rsidR="00493673">
              <w:rPr>
                <w:noProof/>
                <w:webHidden/>
              </w:rPr>
              <w:t>3</w:t>
            </w:r>
            <w:r w:rsidR="00493673">
              <w:rPr>
                <w:noProof/>
                <w:webHidden/>
              </w:rPr>
              <w:fldChar w:fldCharType="end"/>
            </w:r>
          </w:hyperlink>
        </w:p>
        <w:p w:rsidR="00493673" w:rsidRDefault="0055781C">
          <w:pPr>
            <w:pStyle w:val="TOC2"/>
            <w:tabs>
              <w:tab w:val="right" w:leader="dot" w:pos="9350"/>
            </w:tabs>
            <w:rPr>
              <w:rFonts w:eastAsiaTheme="minorEastAsia"/>
              <w:noProof/>
              <w:kern w:val="0"/>
              <w:sz w:val="22"/>
              <w:lang w:val="en-GB" w:eastAsia="en-GB"/>
              <w14:ligatures w14:val="none"/>
            </w:rPr>
          </w:pPr>
          <w:hyperlink w:anchor="_Toc138880765" w:history="1">
            <w:r w:rsidR="00493673" w:rsidRPr="00E666F8">
              <w:rPr>
                <w:rStyle w:val="Hyperlink"/>
                <w:rFonts w:ascii="Arial" w:hAnsi="Arial" w:cs="Arial"/>
                <w:noProof/>
              </w:rPr>
              <w:t>Key Issues in the Law Governing Homicide</w:t>
            </w:r>
            <w:r w:rsidR="00493673">
              <w:rPr>
                <w:noProof/>
                <w:webHidden/>
              </w:rPr>
              <w:tab/>
            </w:r>
            <w:r w:rsidR="00493673">
              <w:rPr>
                <w:noProof/>
                <w:webHidden/>
              </w:rPr>
              <w:fldChar w:fldCharType="begin"/>
            </w:r>
            <w:r w:rsidR="00493673">
              <w:rPr>
                <w:noProof/>
                <w:webHidden/>
              </w:rPr>
              <w:instrText xml:space="preserve"> PAGEREF _Toc138880765 \h </w:instrText>
            </w:r>
            <w:r w:rsidR="00493673">
              <w:rPr>
                <w:noProof/>
                <w:webHidden/>
              </w:rPr>
            </w:r>
            <w:r w:rsidR="00493673">
              <w:rPr>
                <w:noProof/>
                <w:webHidden/>
              </w:rPr>
              <w:fldChar w:fldCharType="separate"/>
            </w:r>
            <w:r w:rsidR="00493673">
              <w:rPr>
                <w:noProof/>
                <w:webHidden/>
              </w:rPr>
              <w:t>4</w:t>
            </w:r>
            <w:r w:rsidR="00493673">
              <w:rPr>
                <w:noProof/>
                <w:webHidden/>
              </w:rPr>
              <w:fldChar w:fldCharType="end"/>
            </w:r>
          </w:hyperlink>
        </w:p>
        <w:p w:rsidR="00493673" w:rsidRDefault="0055781C">
          <w:pPr>
            <w:pStyle w:val="TOC2"/>
            <w:tabs>
              <w:tab w:val="right" w:leader="dot" w:pos="9350"/>
            </w:tabs>
            <w:rPr>
              <w:rFonts w:eastAsiaTheme="minorEastAsia"/>
              <w:noProof/>
              <w:kern w:val="0"/>
              <w:sz w:val="22"/>
              <w:lang w:val="en-GB" w:eastAsia="en-GB"/>
              <w14:ligatures w14:val="none"/>
            </w:rPr>
          </w:pPr>
          <w:hyperlink w:anchor="_Toc138880766" w:history="1">
            <w:r w:rsidR="00493673" w:rsidRPr="00E666F8">
              <w:rPr>
                <w:rStyle w:val="Hyperlink"/>
                <w:rFonts w:ascii="Arial" w:hAnsi="Arial" w:cs="Arial"/>
                <w:noProof/>
              </w:rPr>
              <w:t>Proposals for Reform</w:t>
            </w:r>
            <w:r w:rsidR="00493673">
              <w:rPr>
                <w:noProof/>
                <w:webHidden/>
              </w:rPr>
              <w:tab/>
            </w:r>
            <w:r w:rsidR="00493673">
              <w:rPr>
                <w:noProof/>
                <w:webHidden/>
              </w:rPr>
              <w:fldChar w:fldCharType="begin"/>
            </w:r>
            <w:r w:rsidR="00493673">
              <w:rPr>
                <w:noProof/>
                <w:webHidden/>
              </w:rPr>
              <w:instrText xml:space="preserve"> PAGEREF _Toc138880766 \h </w:instrText>
            </w:r>
            <w:r w:rsidR="00493673">
              <w:rPr>
                <w:noProof/>
                <w:webHidden/>
              </w:rPr>
            </w:r>
            <w:r w:rsidR="00493673">
              <w:rPr>
                <w:noProof/>
                <w:webHidden/>
              </w:rPr>
              <w:fldChar w:fldCharType="separate"/>
            </w:r>
            <w:r w:rsidR="00493673">
              <w:rPr>
                <w:noProof/>
                <w:webHidden/>
              </w:rPr>
              <w:t>5</w:t>
            </w:r>
            <w:r w:rsidR="00493673">
              <w:rPr>
                <w:noProof/>
                <w:webHidden/>
              </w:rPr>
              <w:fldChar w:fldCharType="end"/>
            </w:r>
          </w:hyperlink>
        </w:p>
        <w:p w:rsidR="00493673" w:rsidRDefault="0055781C">
          <w:pPr>
            <w:pStyle w:val="TOC2"/>
            <w:tabs>
              <w:tab w:val="right" w:leader="dot" w:pos="9350"/>
            </w:tabs>
            <w:rPr>
              <w:rFonts w:eastAsiaTheme="minorEastAsia"/>
              <w:noProof/>
              <w:kern w:val="0"/>
              <w:sz w:val="22"/>
              <w:lang w:val="en-GB" w:eastAsia="en-GB"/>
              <w14:ligatures w14:val="none"/>
            </w:rPr>
          </w:pPr>
          <w:hyperlink w:anchor="_Toc138880767" w:history="1">
            <w:r w:rsidR="00493673" w:rsidRPr="00E666F8">
              <w:rPr>
                <w:rStyle w:val="Hyperlink"/>
                <w:rFonts w:ascii="Arial" w:hAnsi="Arial" w:cs="Arial"/>
                <w:noProof/>
              </w:rPr>
              <w:t>Arguments against Reform</w:t>
            </w:r>
            <w:r w:rsidR="00493673">
              <w:rPr>
                <w:noProof/>
                <w:webHidden/>
              </w:rPr>
              <w:tab/>
            </w:r>
            <w:r w:rsidR="00493673">
              <w:rPr>
                <w:noProof/>
                <w:webHidden/>
              </w:rPr>
              <w:fldChar w:fldCharType="begin"/>
            </w:r>
            <w:r w:rsidR="00493673">
              <w:rPr>
                <w:noProof/>
                <w:webHidden/>
              </w:rPr>
              <w:instrText xml:space="preserve"> PAGEREF _Toc138880767 \h </w:instrText>
            </w:r>
            <w:r w:rsidR="00493673">
              <w:rPr>
                <w:noProof/>
                <w:webHidden/>
              </w:rPr>
            </w:r>
            <w:r w:rsidR="00493673">
              <w:rPr>
                <w:noProof/>
                <w:webHidden/>
              </w:rPr>
              <w:fldChar w:fldCharType="separate"/>
            </w:r>
            <w:r w:rsidR="00493673">
              <w:rPr>
                <w:noProof/>
                <w:webHidden/>
              </w:rPr>
              <w:t>5</w:t>
            </w:r>
            <w:r w:rsidR="00493673">
              <w:rPr>
                <w:noProof/>
                <w:webHidden/>
              </w:rPr>
              <w:fldChar w:fldCharType="end"/>
            </w:r>
          </w:hyperlink>
        </w:p>
        <w:p w:rsidR="00493673" w:rsidRDefault="0055781C">
          <w:pPr>
            <w:pStyle w:val="TOC3"/>
            <w:tabs>
              <w:tab w:val="right" w:leader="dot" w:pos="9350"/>
            </w:tabs>
            <w:rPr>
              <w:rFonts w:eastAsiaTheme="minorEastAsia"/>
              <w:noProof/>
              <w:kern w:val="0"/>
              <w:sz w:val="22"/>
              <w:lang w:val="en-GB" w:eastAsia="en-GB"/>
              <w14:ligatures w14:val="none"/>
            </w:rPr>
          </w:pPr>
          <w:hyperlink w:anchor="_Toc138880768" w:history="1">
            <w:r w:rsidR="00493673" w:rsidRPr="00E666F8">
              <w:rPr>
                <w:rStyle w:val="Hyperlink"/>
                <w:rFonts w:ascii="Arial" w:hAnsi="Arial" w:cs="Arial"/>
                <w:noProof/>
              </w:rPr>
              <w:t>Preservation of Distinctions:</w:t>
            </w:r>
            <w:r w:rsidR="00493673">
              <w:rPr>
                <w:noProof/>
                <w:webHidden/>
              </w:rPr>
              <w:tab/>
            </w:r>
            <w:r w:rsidR="00493673">
              <w:rPr>
                <w:noProof/>
                <w:webHidden/>
              </w:rPr>
              <w:fldChar w:fldCharType="begin"/>
            </w:r>
            <w:r w:rsidR="00493673">
              <w:rPr>
                <w:noProof/>
                <w:webHidden/>
              </w:rPr>
              <w:instrText xml:space="preserve"> PAGEREF _Toc138880768 \h </w:instrText>
            </w:r>
            <w:r w:rsidR="00493673">
              <w:rPr>
                <w:noProof/>
                <w:webHidden/>
              </w:rPr>
            </w:r>
            <w:r w:rsidR="00493673">
              <w:rPr>
                <w:noProof/>
                <w:webHidden/>
              </w:rPr>
              <w:fldChar w:fldCharType="separate"/>
            </w:r>
            <w:r w:rsidR="00493673">
              <w:rPr>
                <w:noProof/>
                <w:webHidden/>
              </w:rPr>
              <w:t>5</w:t>
            </w:r>
            <w:r w:rsidR="00493673">
              <w:rPr>
                <w:noProof/>
                <w:webHidden/>
              </w:rPr>
              <w:fldChar w:fldCharType="end"/>
            </w:r>
          </w:hyperlink>
        </w:p>
        <w:p w:rsidR="00493673" w:rsidRDefault="0055781C">
          <w:pPr>
            <w:pStyle w:val="TOC3"/>
            <w:tabs>
              <w:tab w:val="right" w:leader="dot" w:pos="9350"/>
            </w:tabs>
            <w:rPr>
              <w:rFonts w:eastAsiaTheme="minorEastAsia"/>
              <w:noProof/>
              <w:kern w:val="0"/>
              <w:sz w:val="22"/>
              <w:lang w:val="en-GB" w:eastAsia="en-GB"/>
              <w14:ligatures w14:val="none"/>
            </w:rPr>
          </w:pPr>
          <w:hyperlink w:anchor="_Toc138880769" w:history="1">
            <w:r w:rsidR="00493673" w:rsidRPr="00E666F8">
              <w:rPr>
                <w:rStyle w:val="Hyperlink"/>
                <w:rFonts w:ascii="Arial" w:hAnsi="Arial" w:cs="Arial"/>
                <w:noProof/>
              </w:rPr>
              <w:t>Subjectivity and Inconsistency:</w:t>
            </w:r>
            <w:r w:rsidR="00493673">
              <w:rPr>
                <w:noProof/>
                <w:webHidden/>
              </w:rPr>
              <w:tab/>
            </w:r>
            <w:r w:rsidR="00493673">
              <w:rPr>
                <w:noProof/>
                <w:webHidden/>
              </w:rPr>
              <w:fldChar w:fldCharType="begin"/>
            </w:r>
            <w:r w:rsidR="00493673">
              <w:rPr>
                <w:noProof/>
                <w:webHidden/>
              </w:rPr>
              <w:instrText xml:space="preserve"> PAGEREF _Toc138880769 \h </w:instrText>
            </w:r>
            <w:r w:rsidR="00493673">
              <w:rPr>
                <w:noProof/>
                <w:webHidden/>
              </w:rPr>
            </w:r>
            <w:r w:rsidR="00493673">
              <w:rPr>
                <w:noProof/>
                <w:webHidden/>
              </w:rPr>
              <w:fldChar w:fldCharType="separate"/>
            </w:r>
            <w:r w:rsidR="00493673">
              <w:rPr>
                <w:noProof/>
                <w:webHidden/>
              </w:rPr>
              <w:t>6</w:t>
            </w:r>
            <w:r w:rsidR="00493673">
              <w:rPr>
                <w:noProof/>
                <w:webHidden/>
              </w:rPr>
              <w:fldChar w:fldCharType="end"/>
            </w:r>
          </w:hyperlink>
        </w:p>
        <w:p w:rsidR="00493673" w:rsidRDefault="0055781C">
          <w:pPr>
            <w:pStyle w:val="TOC3"/>
            <w:tabs>
              <w:tab w:val="right" w:leader="dot" w:pos="9350"/>
            </w:tabs>
            <w:rPr>
              <w:rFonts w:eastAsiaTheme="minorEastAsia"/>
              <w:noProof/>
              <w:kern w:val="0"/>
              <w:sz w:val="22"/>
              <w:lang w:val="en-GB" w:eastAsia="en-GB"/>
              <w14:ligatures w14:val="none"/>
            </w:rPr>
          </w:pPr>
          <w:hyperlink w:anchor="_Toc138880770" w:history="1">
            <w:r w:rsidR="00493673" w:rsidRPr="00E666F8">
              <w:rPr>
                <w:rStyle w:val="Hyperlink"/>
                <w:rFonts w:ascii="Arial" w:hAnsi="Arial" w:cs="Arial"/>
                <w:noProof/>
              </w:rPr>
              <w:t>Undermining Legal Certainty:</w:t>
            </w:r>
            <w:r w:rsidR="00493673">
              <w:rPr>
                <w:noProof/>
                <w:webHidden/>
              </w:rPr>
              <w:tab/>
            </w:r>
            <w:r w:rsidR="00493673">
              <w:rPr>
                <w:noProof/>
                <w:webHidden/>
              </w:rPr>
              <w:fldChar w:fldCharType="begin"/>
            </w:r>
            <w:r w:rsidR="00493673">
              <w:rPr>
                <w:noProof/>
                <w:webHidden/>
              </w:rPr>
              <w:instrText xml:space="preserve"> PAGEREF _Toc138880770 \h </w:instrText>
            </w:r>
            <w:r w:rsidR="00493673">
              <w:rPr>
                <w:noProof/>
                <w:webHidden/>
              </w:rPr>
            </w:r>
            <w:r w:rsidR="00493673">
              <w:rPr>
                <w:noProof/>
                <w:webHidden/>
              </w:rPr>
              <w:fldChar w:fldCharType="separate"/>
            </w:r>
            <w:r w:rsidR="00493673">
              <w:rPr>
                <w:noProof/>
                <w:webHidden/>
              </w:rPr>
              <w:t>6</w:t>
            </w:r>
            <w:r w:rsidR="00493673">
              <w:rPr>
                <w:noProof/>
                <w:webHidden/>
              </w:rPr>
              <w:fldChar w:fldCharType="end"/>
            </w:r>
          </w:hyperlink>
        </w:p>
        <w:p w:rsidR="00493673" w:rsidRDefault="0055781C">
          <w:pPr>
            <w:pStyle w:val="TOC3"/>
            <w:tabs>
              <w:tab w:val="right" w:leader="dot" w:pos="9350"/>
            </w:tabs>
            <w:rPr>
              <w:rFonts w:eastAsiaTheme="minorEastAsia"/>
              <w:noProof/>
              <w:kern w:val="0"/>
              <w:sz w:val="22"/>
              <w:lang w:val="en-GB" w:eastAsia="en-GB"/>
              <w14:ligatures w14:val="none"/>
            </w:rPr>
          </w:pPr>
          <w:hyperlink w:anchor="_Toc138880771" w:history="1">
            <w:r w:rsidR="00493673" w:rsidRPr="00E666F8">
              <w:rPr>
                <w:rStyle w:val="Hyperlink"/>
                <w:rFonts w:ascii="Arial" w:hAnsi="Arial" w:cs="Arial"/>
                <w:noProof/>
              </w:rPr>
              <w:t>Potential Expansive Interpretation:</w:t>
            </w:r>
            <w:r w:rsidR="00493673">
              <w:rPr>
                <w:noProof/>
                <w:webHidden/>
              </w:rPr>
              <w:tab/>
            </w:r>
            <w:r w:rsidR="00493673">
              <w:rPr>
                <w:noProof/>
                <w:webHidden/>
              </w:rPr>
              <w:fldChar w:fldCharType="begin"/>
            </w:r>
            <w:r w:rsidR="00493673">
              <w:rPr>
                <w:noProof/>
                <w:webHidden/>
              </w:rPr>
              <w:instrText xml:space="preserve"> PAGEREF _Toc138880771 \h </w:instrText>
            </w:r>
            <w:r w:rsidR="00493673">
              <w:rPr>
                <w:noProof/>
                <w:webHidden/>
              </w:rPr>
            </w:r>
            <w:r w:rsidR="00493673">
              <w:rPr>
                <w:noProof/>
                <w:webHidden/>
              </w:rPr>
              <w:fldChar w:fldCharType="separate"/>
            </w:r>
            <w:r w:rsidR="00493673">
              <w:rPr>
                <w:noProof/>
                <w:webHidden/>
              </w:rPr>
              <w:t>6</w:t>
            </w:r>
            <w:r w:rsidR="00493673">
              <w:rPr>
                <w:noProof/>
                <w:webHidden/>
              </w:rPr>
              <w:fldChar w:fldCharType="end"/>
            </w:r>
          </w:hyperlink>
        </w:p>
        <w:p w:rsidR="00493673" w:rsidRDefault="0055781C">
          <w:pPr>
            <w:pStyle w:val="TOC3"/>
            <w:tabs>
              <w:tab w:val="right" w:leader="dot" w:pos="9350"/>
            </w:tabs>
            <w:rPr>
              <w:rFonts w:eastAsiaTheme="minorEastAsia"/>
              <w:noProof/>
              <w:kern w:val="0"/>
              <w:sz w:val="22"/>
              <w:lang w:val="en-GB" w:eastAsia="en-GB"/>
              <w14:ligatures w14:val="none"/>
            </w:rPr>
          </w:pPr>
          <w:hyperlink w:anchor="_Toc138880772" w:history="1">
            <w:r w:rsidR="00493673" w:rsidRPr="00E666F8">
              <w:rPr>
                <w:rStyle w:val="Hyperlink"/>
                <w:rFonts w:ascii="Arial" w:hAnsi="Arial" w:cs="Arial"/>
                <w:noProof/>
              </w:rPr>
              <w:t>Reflecting Public Sentiments</w:t>
            </w:r>
            <w:r w:rsidR="00493673">
              <w:rPr>
                <w:noProof/>
                <w:webHidden/>
              </w:rPr>
              <w:tab/>
            </w:r>
            <w:r w:rsidR="00493673">
              <w:rPr>
                <w:noProof/>
                <w:webHidden/>
              </w:rPr>
              <w:fldChar w:fldCharType="begin"/>
            </w:r>
            <w:r w:rsidR="00493673">
              <w:rPr>
                <w:noProof/>
                <w:webHidden/>
              </w:rPr>
              <w:instrText xml:space="preserve"> PAGEREF _Toc138880772 \h </w:instrText>
            </w:r>
            <w:r w:rsidR="00493673">
              <w:rPr>
                <w:noProof/>
                <w:webHidden/>
              </w:rPr>
            </w:r>
            <w:r w:rsidR="00493673">
              <w:rPr>
                <w:noProof/>
                <w:webHidden/>
              </w:rPr>
              <w:fldChar w:fldCharType="separate"/>
            </w:r>
            <w:r w:rsidR="00493673">
              <w:rPr>
                <w:noProof/>
                <w:webHidden/>
              </w:rPr>
              <w:t>6</w:t>
            </w:r>
            <w:r w:rsidR="00493673">
              <w:rPr>
                <w:noProof/>
                <w:webHidden/>
              </w:rPr>
              <w:fldChar w:fldCharType="end"/>
            </w:r>
          </w:hyperlink>
        </w:p>
        <w:p w:rsidR="00493673" w:rsidRDefault="0055781C">
          <w:pPr>
            <w:pStyle w:val="TOC2"/>
            <w:tabs>
              <w:tab w:val="right" w:leader="dot" w:pos="9350"/>
            </w:tabs>
            <w:rPr>
              <w:rFonts w:eastAsiaTheme="minorEastAsia"/>
              <w:noProof/>
              <w:kern w:val="0"/>
              <w:sz w:val="22"/>
              <w:lang w:val="en-GB" w:eastAsia="en-GB"/>
              <w14:ligatures w14:val="none"/>
            </w:rPr>
          </w:pPr>
          <w:hyperlink w:anchor="_Toc138880773" w:history="1">
            <w:r w:rsidR="00493673" w:rsidRPr="00E666F8">
              <w:rPr>
                <w:rStyle w:val="Hyperlink"/>
                <w:rFonts w:ascii="Arial" w:hAnsi="Arial" w:cs="Arial"/>
                <w:noProof/>
              </w:rPr>
              <w:t>Conclusion</w:t>
            </w:r>
            <w:r w:rsidR="00493673">
              <w:rPr>
                <w:noProof/>
                <w:webHidden/>
              </w:rPr>
              <w:tab/>
            </w:r>
            <w:r w:rsidR="00493673">
              <w:rPr>
                <w:noProof/>
                <w:webHidden/>
              </w:rPr>
              <w:fldChar w:fldCharType="begin"/>
            </w:r>
            <w:r w:rsidR="00493673">
              <w:rPr>
                <w:noProof/>
                <w:webHidden/>
              </w:rPr>
              <w:instrText xml:space="preserve"> PAGEREF _Toc138880773 \h </w:instrText>
            </w:r>
            <w:r w:rsidR="00493673">
              <w:rPr>
                <w:noProof/>
                <w:webHidden/>
              </w:rPr>
            </w:r>
            <w:r w:rsidR="00493673">
              <w:rPr>
                <w:noProof/>
                <w:webHidden/>
              </w:rPr>
              <w:fldChar w:fldCharType="separate"/>
            </w:r>
            <w:r w:rsidR="00493673">
              <w:rPr>
                <w:noProof/>
                <w:webHidden/>
              </w:rPr>
              <w:t>7</w:t>
            </w:r>
            <w:r w:rsidR="00493673">
              <w:rPr>
                <w:noProof/>
                <w:webHidden/>
              </w:rPr>
              <w:fldChar w:fldCharType="end"/>
            </w:r>
          </w:hyperlink>
        </w:p>
        <w:p w:rsidR="00493673" w:rsidRDefault="0055781C">
          <w:pPr>
            <w:pStyle w:val="TOC1"/>
            <w:tabs>
              <w:tab w:val="right" w:leader="dot" w:pos="9350"/>
            </w:tabs>
            <w:rPr>
              <w:rFonts w:eastAsiaTheme="minorEastAsia"/>
              <w:noProof/>
              <w:kern w:val="0"/>
              <w:sz w:val="22"/>
              <w:lang w:val="en-GB" w:eastAsia="en-GB"/>
              <w14:ligatures w14:val="none"/>
            </w:rPr>
          </w:pPr>
          <w:hyperlink w:anchor="_Toc138880774" w:history="1">
            <w:r w:rsidR="00493673" w:rsidRPr="00E666F8">
              <w:rPr>
                <w:rStyle w:val="Hyperlink"/>
                <w:noProof/>
              </w:rPr>
              <w:t>References</w:t>
            </w:r>
            <w:r w:rsidR="00493673">
              <w:rPr>
                <w:noProof/>
                <w:webHidden/>
              </w:rPr>
              <w:tab/>
            </w:r>
            <w:r w:rsidR="00493673">
              <w:rPr>
                <w:noProof/>
                <w:webHidden/>
              </w:rPr>
              <w:fldChar w:fldCharType="begin"/>
            </w:r>
            <w:r w:rsidR="00493673">
              <w:rPr>
                <w:noProof/>
                <w:webHidden/>
              </w:rPr>
              <w:instrText xml:space="preserve"> PAGEREF _Toc138880774 \h </w:instrText>
            </w:r>
            <w:r w:rsidR="00493673">
              <w:rPr>
                <w:noProof/>
                <w:webHidden/>
              </w:rPr>
            </w:r>
            <w:r w:rsidR="00493673">
              <w:rPr>
                <w:noProof/>
                <w:webHidden/>
              </w:rPr>
              <w:fldChar w:fldCharType="separate"/>
            </w:r>
            <w:r w:rsidR="00493673">
              <w:rPr>
                <w:noProof/>
                <w:webHidden/>
              </w:rPr>
              <w:t>8</w:t>
            </w:r>
            <w:r w:rsidR="00493673">
              <w:rPr>
                <w:noProof/>
                <w:webHidden/>
              </w:rPr>
              <w:fldChar w:fldCharType="end"/>
            </w:r>
          </w:hyperlink>
        </w:p>
        <w:p w:rsidR="00493673" w:rsidRDefault="00493673">
          <w:r>
            <w:rPr>
              <w:b/>
              <w:bCs/>
              <w:noProof/>
            </w:rPr>
            <w:fldChar w:fldCharType="end"/>
          </w:r>
        </w:p>
      </w:sdtContent>
    </w:sdt>
    <w:p w:rsidR="00224058" w:rsidRDefault="00224058">
      <w:pPr>
        <w:rPr>
          <w:rFonts w:asciiTheme="majorHAnsi" w:eastAsiaTheme="majorEastAsia" w:hAnsiTheme="majorHAnsi" w:cstheme="majorBidi"/>
          <w:spacing w:val="-10"/>
          <w:kern w:val="28"/>
          <w:sz w:val="56"/>
          <w:szCs w:val="56"/>
        </w:rPr>
      </w:pPr>
      <w:r>
        <w:br w:type="page"/>
      </w:r>
    </w:p>
    <w:p w:rsidR="00224058" w:rsidRPr="00392297" w:rsidRDefault="00224058" w:rsidP="00392297">
      <w:pPr>
        <w:pStyle w:val="Title"/>
        <w:spacing w:line="360" w:lineRule="auto"/>
        <w:jc w:val="both"/>
        <w:rPr>
          <w:rFonts w:ascii="Arial" w:hAnsi="Arial" w:cs="Arial"/>
          <w:sz w:val="24"/>
          <w:szCs w:val="24"/>
        </w:rPr>
      </w:pPr>
      <w:r w:rsidRPr="00392297">
        <w:rPr>
          <w:rFonts w:ascii="Arial" w:hAnsi="Arial" w:cs="Arial"/>
          <w:sz w:val="24"/>
          <w:szCs w:val="24"/>
        </w:rPr>
        <w:t xml:space="preserve">Title: </w:t>
      </w:r>
    </w:p>
    <w:p w:rsidR="00592DB9" w:rsidRPr="00392297" w:rsidRDefault="00224058" w:rsidP="00392297">
      <w:pPr>
        <w:pStyle w:val="Title"/>
        <w:spacing w:line="360" w:lineRule="auto"/>
        <w:ind w:firstLine="720"/>
        <w:jc w:val="both"/>
        <w:rPr>
          <w:rFonts w:ascii="Arial" w:hAnsi="Arial" w:cs="Arial"/>
          <w:sz w:val="24"/>
          <w:szCs w:val="24"/>
        </w:rPr>
      </w:pPr>
      <w:r w:rsidRPr="00392297">
        <w:rPr>
          <w:rFonts w:ascii="Arial" w:hAnsi="Arial" w:cs="Arial"/>
          <w:sz w:val="24"/>
          <w:szCs w:val="24"/>
        </w:rPr>
        <w:t xml:space="preserve">The Need for Reform </w:t>
      </w:r>
      <w:r w:rsidR="00493673">
        <w:rPr>
          <w:rFonts w:ascii="Arial" w:hAnsi="Arial" w:cs="Arial"/>
          <w:sz w:val="24"/>
          <w:szCs w:val="24"/>
        </w:rPr>
        <w:t>of</w:t>
      </w:r>
      <w:r w:rsidRPr="00392297">
        <w:rPr>
          <w:rFonts w:ascii="Arial" w:hAnsi="Arial" w:cs="Arial"/>
          <w:sz w:val="24"/>
          <w:szCs w:val="24"/>
        </w:rPr>
        <w:t xml:space="preserve"> the Law Governing Homicide in England and Wales</w:t>
      </w:r>
    </w:p>
    <w:p w:rsidR="00224058" w:rsidRPr="00392297" w:rsidRDefault="00224058" w:rsidP="00392297">
      <w:pPr>
        <w:pStyle w:val="Heading2"/>
        <w:spacing w:line="360" w:lineRule="auto"/>
        <w:jc w:val="both"/>
        <w:rPr>
          <w:rFonts w:ascii="Arial" w:hAnsi="Arial" w:cs="Arial"/>
          <w:sz w:val="24"/>
          <w:szCs w:val="24"/>
        </w:rPr>
      </w:pPr>
      <w:bookmarkStart w:id="0" w:name="_Toc138893388"/>
      <w:bookmarkStart w:id="1" w:name="_Toc138880763"/>
      <w:r w:rsidRPr="00392297">
        <w:rPr>
          <w:rFonts w:ascii="Arial" w:hAnsi="Arial" w:cs="Arial"/>
          <w:sz w:val="24"/>
          <w:szCs w:val="24"/>
        </w:rPr>
        <w:t>Introduction</w:t>
      </w:r>
      <w:bookmarkEnd w:id="0"/>
      <w:bookmarkEnd w:id="1"/>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 xml:space="preserve">Homicide legislation in England and Wales has been the focus of discussion and criticism, with calls for revision reverberating for many years. There have been several suggestions and bills put forward calling for reform in the law of homicide and other related acts. But due to several unfortunate reasons, there’s still void and many loopholes in the current law that couldn’t be revised or reformed despite all the efforts. </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This essay examines the current status of the law and notes significant problems with partial defenses to murder, disagreements over what constitutes murder, and the scope of manslaughter. It also looks at reform ideas put forth by the Law Commission and other organizations. The essay also examines whether the government approved or rejected these suggestions, challenging the propriety of their choices. In order to give a fair evaluation of the necessity for reform, the reasons opposing it will then be taken into account.</w:t>
      </w:r>
    </w:p>
    <w:p w:rsidR="00224058" w:rsidRPr="00392297" w:rsidRDefault="00224058" w:rsidP="00392297">
      <w:pPr>
        <w:pStyle w:val="Heading2"/>
        <w:spacing w:line="360" w:lineRule="auto"/>
        <w:jc w:val="both"/>
        <w:rPr>
          <w:rFonts w:ascii="Arial" w:hAnsi="Arial" w:cs="Arial"/>
          <w:sz w:val="24"/>
          <w:szCs w:val="24"/>
        </w:rPr>
      </w:pPr>
      <w:bookmarkStart w:id="2" w:name="_Toc138893389"/>
      <w:bookmarkStart w:id="3" w:name="_Toc138880764"/>
      <w:r w:rsidRPr="00392297">
        <w:rPr>
          <w:rFonts w:ascii="Arial" w:hAnsi="Arial" w:cs="Arial"/>
          <w:sz w:val="24"/>
          <w:szCs w:val="24"/>
        </w:rPr>
        <w:t>Current Law Governing Homicide in England and Wales</w:t>
      </w:r>
      <w:bookmarkEnd w:id="2"/>
      <w:bookmarkEnd w:id="3"/>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 xml:space="preserve">The law governing homicide in England and Wales is primarily governed by the common law and the Homicide Act 1957 </w:t>
      </w:r>
      <w:sdt>
        <w:sdtPr>
          <w:rPr>
            <w:rFonts w:ascii="Arial" w:hAnsi="Arial" w:cs="Arial"/>
            <w:szCs w:val="24"/>
          </w:rPr>
          <w:id w:val="1222789917"/>
          <w:citation/>
        </w:sdtPr>
        <w:sdtEndPr/>
        <w:sdtContent>
          <w:r w:rsidRPr="00392297">
            <w:rPr>
              <w:rFonts w:ascii="Arial" w:hAnsi="Arial" w:cs="Arial"/>
              <w:szCs w:val="24"/>
            </w:rPr>
            <w:fldChar w:fldCharType="begin"/>
          </w:r>
          <w:r w:rsidRPr="00392297">
            <w:rPr>
              <w:rFonts w:ascii="Arial" w:hAnsi="Arial" w:cs="Arial"/>
              <w:szCs w:val="24"/>
            </w:rPr>
            <w:instrText xml:space="preserve"> CITATION Leg57 \l 1033 </w:instrText>
          </w:r>
          <w:r w:rsidRPr="00392297">
            <w:rPr>
              <w:rFonts w:ascii="Arial" w:hAnsi="Arial" w:cs="Arial"/>
              <w:szCs w:val="24"/>
            </w:rPr>
            <w:fldChar w:fldCharType="separate"/>
          </w:r>
          <w:r w:rsidRPr="00392297">
            <w:rPr>
              <w:rFonts w:ascii="Arial" w:hAnsi="Arial" w:cs="Arial"/>
              <w:noProof/>
              <w:szCs w:val="24"/>
            </w:rPr>
            <w:t>(Legislation.gov.uk, 1957)</w:t>
          </w:r>
          <w:r w:rsidRPr="00392297">
            <w:rPr>
              <w:rFonts w:ascii="Arial" w:hAnsi="Arial" w:cs="Arial"/>
              <w:szCs w:val="24"/>
            </w:rPr>
            <w:fldChar w:fldCharType="end"/>
          </w:r>
        </w:sdtContent>
      </w:sdt>
      <w:r w:rsidRPr="00392297">
        <w:rPr>
          <w:rFonts w:ascii="Arial" w:hAnsi="Arial" w:cs="Arial"/>
          <w:szCs w:val="24"/>
        </w:rPr>
        <w:t>. Murder, the most serious form of homicide, is defined as the unlawful killing of a person with the intention to cause death or serious harm. Manslaughter, on the other hand, encompasses unlawful killings without the intention to cause death or serious harm, which are further classified into voluntary and involuntary manslaughter.</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Homicide, which is defined as the act of intentionally causing the death of another person, can be divided into two basic categories: manslaughter and murder.</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 xml:space="preserve">The most serious type of homicide, known as murder, is when someone is intentionally killed with the aim to kill them or </w:t>
      </w:r>
      <w:r w:rsidR="00493673">
        <w:rPr>
          <w:rFonts w:ascii="Arial" w:hAnsi="Arial" w:cs="Arial"/>
          <w:szCs w:val="24"/>
        </w:rPr>
        <w:t>do serious injury to them. The Actus R</w:t>
      </w:r>
      <w:r w:rsidRPr="00392297">
        <w:rPr>
          <w:rFonts w:ascii="Arial" w:hAnsi="Arial" w:cs="Arial"/>
          <w:szCs w:val="24"/>
        </w:rPr>
        <w:t>eus (the criminal act of killing) and mens rea (the intention to cause death or great bodily harm) are the essential components of murder.</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Manslaughter, on the other hand, encompasses unlawful killings without the intention to cause death or serious harm. It is further divided into voluntary and involuntary manslaughter.</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Voluntary manslaughter occurs when the defendant unlawfully kills another person, but there are mitigating circumstances that reduce the charge from murder to manslaughter.</w:t>
      </w:r>
    </w:p>
    <w:p w:rsidR="00224058" w:rsidRPr="00392297" w:rsidRDefault="00224058" w:rsidP="00392297">
      <w:pPr>
        <w:pStyle w:val="Heading2"/>
        <w:spacing w:line="360" w:lineRule="auto"/>
        <w:jc w:val="both"/>
        <w:rPr>
          <w:rFonts w:ascii="Arial" w:hAnsi="Arial" w:cs="Arial"/>
          <w:sz w:val="24"/>
          <w:szCs w:val="24"/>
        </w:rPr>
      </w:pPr>
      <w:bookmarkStart w:id="4" w:name="_Toc138893390"/>
      <w:bookmarkStart w:id="5" w:name="_Toc138880765"/>
      <w:r w:rsidRPr="00392297">
        <w:rPr>
          <w:rFonts w:ascii="Arial" w:hAnsi="Arial" w:cs="Arial"/>
          <w:sz w:val="24"/>
          <w:szCs w:val="24"/>
        </w:rPr>
        <w:t>Key Issues in the Law Governing Homicide</w:t>
      </w:r>
      <w:bookmarkEnd w:id="4"/>
      <w:bookmarkEnd w:id="5"/>
    </w:p>
    <w:p w:rsidR="00E47E59" w:rsidRPr="00392297" w:rsidRDefault="00224058" w:rsidP="00392297">
      <w:pPr>
        <w:spacing w:line="360" w:lineRule="auto"/>
        <w:jc w:val="both"/>
        <w:rPr>
          <w:rFonts w:ascii="Arial" w:hAnsi="Arial" w:cs="Arial"/>
          <w:szCs w:val="24"/>
        </w:rPr>
      </w:pPr>
      <w:r w:rsidRPr="00392297">
        <w:rPr>
          <w:rFonts w:ascii="Arial" w:hAnsi="Arial" w:cs="Arial"/>
          <w:szCs w:val="24"/>
        </w:rPr>
        <w:t xml:space="preserve">The existence of partial defenses to murder is one of the major concerns in the law governing homicide. Currently, provocation reduced accountability, and loss of control are three partial defenses. By turning murder manslaughter, these defenses result in a lighter conviction and a lighter sentence. </w:t>
      </w:r>
      <w:r w:rsidR="00E47E59" w:rsidRPr="00392297">
        <w:rPr>
          <w:rFonts w:ascii="Arial" w:hAnsi="Arial" w:cs="Arial"/>
          <w:szCs w:val="24"/>
        </w:rPr>
        <w:t>This is a major drawback of the current laws governing homicide in UK law. In almost every case, the defendant’s utmost effort is focused on diverting the conviction toward manslaughter, where they find lighter convictions and a lot of other loopholes to exploit. The three recognized partial defenses to murder that can lead to a charge of voluntary manslaughter are:</w:t>
      </w:r>
    </w:p>
    <w:p w:rsidR="00E47E59" w:rsidRPr="00392297" w:rsidRDefault="00E47E59" w:rsidP="00392297">
      <w:pPr>
        <w:spacing w:line="360" w:lineRule="auto"/>
        <w:jc w:val="both"/>
        <w:rPr>
          <w:rFonts w:ascii="Arial" w:hAnsi="Arial" w:cs="Arial"/>
          <w:szCs w:val="24"/>
        </w:rPr>
      </w:pPr>
      <w:r w:rsidRPr="00392297">
        <w:rPr>
          <w:rFonts w:ascii="Arial" w:hAnsi="Arial" w:cs="Arial"/>
          <w:b/>
          <w:bCs/>
          <w:szCs w:val="24"/>
        </w:rPr>
        <w:t>Provocation:</w:t>
      </w:r>
      <w:r w:rsidRPr="00392297">
        <w:rPr>
          <w:rFonts w:ascii="Arial" w:hAnsi="Arial" w:cs="Arial"/>
          <w:szCs w:val="24"/>
        </w:rPr>
        <w:t xml:space="preserve"> This defense applies when the defendant's actions are a result of a loss of self-control due to a sudden and temporary provocation.</w:t>
      </w:r>
    </w:p>
    <w:p w:rsidR="00E47E59" w:rsidRPr="00392297" w:rsidRDefault="00E47E59" w:rsidP="00392297">
      <w:pPr>
        <w:spacing w:line="360" w:lineRule="auto"/>
        <w:jc w:val="both"/>
        <w:rPr>
          <w:rFonts w:ascii="Arial" w:hAnsi="Arial" w:cs="Arial"/>
          <w:szCs w:val="24"/>
        </w:rPr>
      </w:pPr>
      <w:r w:rsidRPr="00392297">
        <w:rPr>
          <w:rFonts w:ascii="Arial" w:hAnsi="Arial" w:cs="Arial"/>
          <w:b/>
          <w:bCs/>
          <w:szCs w:val="24"/>
        </w:rPr>
        <w:t>Loss of Control:</w:t>
      </w:r>
      <w:r w:rsidRPr="00392297">
        <w:rPr>
          <w:rFonts w:ascii="Arial" w:hAnsi="Arial" w:cs="Arial"/>
          <w:szCs w:val="24"/>
        </w:rPr>
        <w:t xml:space="preserve"> Introduced by the Coroners and Justice Act 2009 </w:t>
      </w:r>
      <w:sdt>
        <w:sdtPr>
          <w:rPr>
            <w:rFonts w:ascii="Arial" w:hAnsi="Arial" w:cs="Arial"/>
            <w:szCs w:val="24"/>
          </w:rPr>
          <w:id w:val="456923992"/>
          <w:citation/>
        </w:sdtPr>
        <w:sdtEndPr/>
        <w:sdtContent>
          <w:r w:rsidRPr="00392297">
            <w:rPr>
              <w:rFonts w:ascii="Arial" w:hAnsi="Arial" w:cs="Arial"/>
              <w:szCs w:val="24"/>
            </w:rPr>
            <w:fldChar w:fldCharType="begin"/>
          </w:r>
          <w:r w:rsidRPr="00392297">
            <w:rPr>
              <w:rFonts w:ascii="Arial" w:hAnsi="Arial" w:cs="Arial"/>
              <w:szCs w:val="24"/>
            </w:rPr>
            <w:instrText xml:space="preserve"> CITATION Leg09 \l 1033 </w:instrText>
          </w:r>
          <w:r w:rsidRPr="00392297">
            <w:rPr>
              <w:rFonts w:ascii="Arial" w:hAnsi="Arial" w:cs="Arial"/>
              <w:szCs w:val="24"/>
            </w:rPr>
            <w:fldChar w:fldCharType="separate"/>
          </w:r>
          <w:r w:rsidRPr="00392297">
            <w:rPr>
              <w:rFonts w:ascii="Arial" w:hAnsi="Arial" w:cs="Arial"/>
              <w:noProof/>
              <w:szCs w:val="24"/>
            </w:rPr>
            <w:t>(Legislation.gov.uk, 2009)</w:t>
          </w:r>
          <w:r w:rsidRPr="00392297">
            <w:rPr>
              <w:rFonts w:ascii="Arial" w:hAnsi="Arial" w:cs="Arial"/>
              <w:szCs w:val="24"/>
            </w:rPr>
            <w:fldChar w:fldCharType="end"/>
          </w:r>
        </w:sdtContent>
      </w:sdt>
      <w:r w:rsidRPr="00392297">
        <w:rPr>
          <w:rFonts w:ascii="Arial" w:hAnsi="Arial" w:cs="Arial"/>
          <w:szCs w:val="24"/>
        </w:rPr>
        <w:t>, this defense aims to address some of the shortcomings of the provocation defense.</w:t>
      </w:r>
    </w:p>
    <w:p w:rsidR="00E47E59" w:rsidRPr="00392297" w:rsidRDefault="00E47E59" w:rsidP="00392297">
      <w:pPr>
        <w:spacing w:line="360" w:lineRule="auto"/>
        <w:jc w:val="both"/>
        <w:rPr>
          <w:rFonts w:ascii="Arial" w:hAnsi="Arial" w:cs="Arial"/>
          <w:szCs w:val="24"/>
        </w:rPr>
      </w:pPr>
      <w:r w:rsidRPr="00392297">
        <w:rPr>
          <w:rFonts w:ascii="Arial" w:hAnsi="Arial" w:cs="Arial"/>
          <w:b/>
          <w:bCs/>
          <w:szCs w:val="24"/>
        </w:rPr>
        <w:t>Diminished Responsibility:</w:t>
      </w:r>
      <w:r w:rsidRPr="00392297">
        <w:rPr>
          <w:rFonts w:ascii="Arial" w:hAnsi="Arial" w:cs="Arial"/>
          <w:szCs w:val="24"/>
        </w:rPr>
        <w:t xml:space="preserve"> This defense recognizes that the defendant's mental capacity was impaired at the time of the killing.</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However, issues with the subjective and gendered character of provocation, the constrained application of decreased culpability, and the nuanced nature of the loss of control defense have been brought up.</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 xml:space="preserve">The prerequisite for murder is another hotly debated topic. For its rigidity and lack of adaptability, the idea of transferred malice, which attributes the intention to kill or cause great physical injury to one victim </w:t>
      </w:r>
      <w:r w:rsidR="00493673">
        <w:rPr>
          <w:rFonts w:ascii="Arial" w:hAnsi="Arial" w:cs="Arial"/>
          <w:szCs w:val="24"/>
        </w:rPr>
        <w:t>of</w:t>
      </w:r>
      <w:r w:rsidRPr="00392297">
        <w:rPr>
          <w:rFonts w:ascii="Arial" w:hAnsi="Arial" w:cs="Arial"/>
          <w:szCs w:val="24"/>
        </w:rPr>
        <w:t xml:space="preserve"> another, has drawn criticism. The "year and a day" rule, according to which a person cannot be found guilty of murder if the victim passes away more than a year and a day after the crime, is also regarded as being arbitrary and out of date.</w:t>
      </w:r>
    </w:p>
    <w:p w:rsidR="00224058" w:rsidRPr="00392297" w:rsidRDefault="00224058" w:rsidP="00392297">
      <w:pPr>
        <w:spacing w:line="360" w:lineRule="auto"/>
        <w:jc w:val="both"/>
        <w:rPr>
          <w:rFonts w:ascii="Arial" w:hAnsi="Arial" w:cs="Arial"/>
          <w:szCs w:val="24"/>
        </w:rPr>
      </w:pPr>
      <w:r w:rsidRPr="00392297">
        <w:rPr>
          <w:rFonts w:ascii="Arial" w:hAnsi="Arial" w:cs="Arial"/>
          <w:szCs w:val="24"/>
        </w:rPr>
        <w:t>Manslaughter is also criticized for its expansive definition, which covers a variety of situations with differing degrees of guilt. Putting all unlawful deaths under one general heading makes it difficult to distinguish between situations where the defendant's acts were seriously negligent and those where they were less morally culpable.</w:t>
      </w:r>
      <w:r w:rsidR="00E47E59" w:rsidRPr="00392297">
        <w:rPr>
          <w:rFonts w:ascii="Arial" w:hAnsi="Arial" w:cs="Arial"/>
          <w:szCs w:val="24"/>
        </w:rPr>
        <w:t xml:space="preserve"> </w:t>
      </w:r>
    </w:p>
    <w:p w:rsidR="00E47E59" w:rsidRPr="00392297" w:rsidRDefault="00E47E59" w:rsidP="00392297">
      <w:pPr>
        <w:pStyle w:val="Heading2"/>
        <w:spacing w:line="360" w:lineRule="auto"/>
        <w:jc w:val="both"/>
        <w:rPr>
          <w:rFonts w:ascii="Arial" w:hAnsi="Arial" w:cs="Arial"/>
          <w:sz w:val="24"/>
          <w:szCs w:val="24"/>
        </w:rPr>
      </w:pPr>
      <w:bookmarkStart w:id="6" w:name="_Toc138893391"/>
      <w:bookmarkStart w:id="7" w:name="_Toc138880766"/>
      <w:r w:rsidRPr="00392297">
        <w:rPr>
          <w:rFonts w:ascii="Arial" w:hAnsi="Arial" w:cs="Arial"/>
          <w:sz w:val="24"/>
          <w:szCs w:val="24"/>
        </w:rPr>
        <w:t>Proposals for Reform</w:t>
      </w:r>
      <w:bookmarkEnd w:id="6"/>
      <w:bookmarkEnd w:id="7"/>
    </w:p>
    <w:p w:rsidR="00E47E59" w:rsidRPr="00392297" w:rsidRDefault="00E47E59" w:rsidP="00392297">
      <w:pPr>
        <w:spacing w:line="360" w:lineRule="auto"/>
        <w:jc w:val="both"/>
        <w:rPr>
          <w:rFonts w:ascii="Arial" w:hAnsi="Arial" w:cs="Arial"/>
          <w:szCs w:val="24"/>
        </w:rPr>
      </w:pPr>
      <w:r w:rsidRPr="00392297">
        <w:rPr>
          <w:rFonts w:ascii="Arial" w:hAnsi="Arial" w:cs="Arial"/>
          <w:szCs w:val="24"/>
        </w:rPr>
        <w:t xml:space="preserve">The Law Commission, in its 2005 </w:t>
      </w:r>
      <w:sdt>
        <w:sdtPr>
          <w:rPr>
            <w:rFonts w:ascii="Arial" w:hAnsi="Arial" w:cs="Arial"/>
            <w:szCs w:val="24"/>
          </w:rPr>
          <w:id w:val="-859422292"/>
          <w:citation/>
        </w:sdtPr>
        <w:sdtEndPr/>
        <w:sdtContent>
          <w:r w:rsidRPr="00392297">
            <w:rPr>
              <w:rFonts w:ascii="Arial" w:hAnsi="Arial" w:cs="Arial"/>
              <w:szCs w:val="24"/>
            </w:rPr>
            <w:fldChar w:fldCharType="begin"/>
          </w:r>
          <w:r w:rsidRPr="00392297">
            <w:rPr>
              <w:rFonts w:ascii="Arial" w:hAnsi="Arial" w:cs="Arial"/>
              <w:szCs w:val="24"/>
            </w:rPr>
            <w:instrText xml:space="preserve"> CITATION Law13 \l 1033 </w:instrText>
          </w:r>
          <w:r w:rsidRPr="00392297">
            <w:rPr>
              <w:rFonts w:ascii="Arial" w:hAnsi="Arial" w:cs="Arial"/>
              <w:szCs w:val="24"/>
            </w:rPr>
            <w:fldChar w:fldCharType="separate"/>
          </w:r>
          <w:r w:rsidRPr="00392297">
            <w:rPr>
              <w:rFonts w:ascii="Arial" w:hAnsi="Arial" w:cs="Arial"/>
              <w:noProof/>
              <w:szCs w:val="24"/>
            </w:rPr>
            <w:t>(Law Commission UK, 2013)</w:t>
          </w:r>
          <w:r w:rsidRPr="00392297">
            <w:rPr>
              <w:rFonts w:ascii="Arial" w:hAnsi="Arial" w:cs="Arial"/>
              <w:szCs w:val="24"/>
            </w:rPr>
            <w:fldChar w:fldCharType="end"/>
          </w:r>
        </w:sdtContent>
      </w:sdt>
      <w:r w:rsidRPr="00392297">
        <w:rPr>
          <w:rFonts w:ascii="Arial" w:hAnsi="Arial" w:cs="Arial"/>
          <w:szCs w:val="24"/>
        </w:rPr>
        <w:t xml:space="preserve"> report, made several proposals for reforming the law governing homicide. These included replacing the partial </w:t>
      </w:r>
      <w:r w:rsidR="00D07544" w:rsidRPr="00392297">
        <w:rPr>
          <w:rFonts w:ascii="Arial" w:hAnsi="Arial" w:cs="Arial"/>
          <w:szCs w:val="24"/>
        </w:rPr>
        <w:t>defenses</w:t>
      </w:r>
      <w:r w:rsidRPr="00392297">
        <w:rPr>
          <w:rFonts w:ascii="Arial" w:hAnsi="Arial" w:cs="Arial"/>
          <w:szCs w:val="24"/>
        </w:rPr>
        <w:t xml:space="preserve"> of provocation and diminished responsibility with a single </w:t>
      </w:r>
      <w:r w:rsidR="00D07544" w:rsidRPr="00392297">
        <w:rPr>
          <w:rFonts w:ascii="Arial" w:hAnsi="Arial" w:cs="Arial"/>
          <w:szCs w:val="24"/>
        </w:rPr>
        <w:t>defense</w:t>
      </w:r>
      <w:r w:rsidRPr="00392297">
        <w:rPr>
          <w:rFonts w:ascii="Arial" w:hAnsi="Arial" w:cs="Arial"/>
          <w:szCs w:val="24"/>
        </w:rPr>
        <w:t xml:space="preserve"> of loss of control, removing the "year and a day" rule, and creating a new </w:t>
      </w:r>
      <w:r w:rsidR="00D07544" w:rsidRPr="00392297">
        <w:rPr>
          <w:rFonts w:ascii="Arial" w:hAnsi="Arial" w:cs="Arial"/>
          <w:szCs w:val="24"/>
        </w:rPr>
        <w:t>offense</w:t>
      </w:r>
      <w:r w:rsidRPr="00392297">
        <w:rPr>
          <w:rFonts w:ascii="Arial" w:hAnsi="Arial" w:cs="Arial"/>
          <w:szCs w:val="24"/>
        </w:rPr>
        <w:t xml:space="preserve"> of reckless killing. The report aimed to streamline and modernize the law to better reflect societal values and principles of justice.</w:t>
      </w:r>
    </w:p>
    <w:p w:rsidR="00E47E59" w:rsidRPr="00392297" w:rsidRDefault="00E47E59" w:rsidP="00392297">
      <w:pPr>
        <w:spacing w:line="360" w:lineRule="auto"/>
        <w:jc w:val="both"/>
        <w:rPr>
          <w:rFonts w:ascii="Arial" w:hAnsi="Arial" w:cs="Arial"/>
          <w:szCs w:val="24"/>
        </w:rPr>
      </w:pPr>
      <w:r w:rsidRPr="00392297">
        <w:rPr>
          <w:rFonts w:ascii="Arial" w:hAnsi="Arial" w:cs="Arial"/>
          <w:szCs w:val="24"/>
        </w:rPr>
        <w:t xml:space="preserve">The government has accepted some proposals for reform, such as abolishing the "year and a day" rule and implementing a new offense of causing death by reckless driving. However, other proposals, including the replacement of provocation and diminished responsibility with the loss of control </w:t>
      </w:r>
      <w:r w:rsidR="00D07544" w:rsidRPr="00392297">
        <w:rPr>
          <w:rFonts w:ascii="Arial" w:hAnsi="Arial" w:cs="Arial"/>
          <w:szCs w:val="24"/>
        </w:rPr>
        <w:t>defense</w:t>
      </w:r>
      <w:r w:rsidRPr="00392297">
        <w:rPr>
          <w:rFonts w:ascii="Arial" w:hAnsi="Arial" w:cs="Arial"/>
          <w:szCs w:val="24"/>
        </w:rPr>
        <w:t>, have been rejected. The government's decision-making process is influenced by various factors, such as public opinion, political considerations, and concerns regarding potential unintended consequences.</w:t>
      </w:r>
    </w:p>
    <w:p w:rsidR="00E47E59" w:rsidRPr="00392297" w:rsidRDefault="00D07544" w:rsidP="00392297">
      <w:pPr>
        <w:pStyle w:val="Heading2"/>
        <w:spacing w:line="360" w:lineRule="auto"/>
        <w:jc w:val="both"/>
        <w:rPr>
          <w:rFonts w:ascii="Arial" w:hAnsi="Arial" w:cs="Arial"/>
          <w:sz w:val="24"/>
          <w:szCs w:val="24"/>
        </w:rPr>
      </w:pPr>
      <w:bookmarkStart w:id="8" w:name="_Toc138893392"/>
      <w:bookmarkStart w:id="9" w:name="_Toc138880767"/>
      <w:r w:rsidRPr="00392297">
        <w:rPr>
          <w:rFonts w:ascii="Arial" w:hAnsi="Arial" w:cs="Arial"/>
          <w:sz w:val="24"/>
          <w:szCs w:val="24"/>
        </w:rPr>
        <w:t xml:space="preserve">Arguments </w:t>
      </w:r>
      <w:r w:rsidR="00392297" w:rsidRPr="00392297">
        <w:rPr>
          <w:rFonts w:ascii="Arial" w:hAnsi="Arial" w:cs="Arial"/>
          <w:sz w:val="24"/>
          <w:szCs w:val="24"/>
        </w:rPr>
        <w:t>against</w:t>
      </w:r>
      <w:r w:rsidRPr="00392297">
        <w:rPr>
          <w:rFonts w:ascii="Arial" w:hAnsi="Arial" w:cs="Arial"/>
          <w:sz w:val="24"/>
          <w:szCs w:val="24"/>
        </w:rPr>
        <w:t xml:space="preserve"> Reform</w:t>
      </w:r>
      <w:bookmarkEnd w:id="8"/>
      <w:bookmarkEnd w:id="9"/>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Arguments against reforms to the law governing homicide in England and Wales present alternative perspectives and raise concerns about potential drawbacks or unintended consequences. While recognizing the need for continuous improvement, opponents of reform offer the following arguments:</w:t>
      </w:r>
    </w:p>
    <w:p w:rsidR="00D07544" w:rsidRPr="00392297" w:rsidRDefault="00D07544" w:rsidP="00392297">
      <w:pPr>
        <w:spacing w:line="360" w:lineRule="auto"/>
        <w:jc w:val="both"/>
        <w:rPr>
          <w:rStyle w:val="Heading3Char"/>
          <w:rFonts w:ascii="Arial" w:hAnsi="Arial" w:cs="Arial"/>
        </w:rPr>
      </w:pPr>
      <w:bookmarkStart w:id="10" w:name="_Toc138893393"/>
      <w:bookmarkStart w:id="11" w:name="_Toc138880768"/>
      <w:r w:rsidRPr="00392297">
        <w:rPr>
          <w:rStyle w:val="Heading3Char"/>
          <w:rFonts w:ascii="Arial" w:hAnsi="Arial" w:cs="Arial"/>
        </w:rPr>
        <w:t>Preservation of Distinctions:</w:t>
      </w:r>
      <w:bookmarkEnd w:id="10"/>
      <w:bookmarkEnd w:id="11"/>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According to critics, the current legal system's distinct distinction between murder and manslaughter plays a crucial role in reflecting the various moral levels of guilt. They argue that murder should have a higher bar of intent since it is the most serious crime, highlighting how strongly society condemns knowingly causing death or serious harm.</w:t>
      </w:r>
    </w:p>
    <w:p w:rsidR="00D07544" w:rsidRPr="00392297" w:rsidRDefault="00D07544" w:rsidP="00392297">
      <w:pPr>
        <w:spacing w:line="360" w:lineRule="auto"/>
        <w:jc w:val="both"/>
        <w:rPr>
          <w:rFonts w:ascii="Arial" w:hAnsi="Arial" w:cs="Arial"/>
          <w:szCs w:val="24"/>
        </w:rPr>
      </w:pPr>
      <w:bookmarkStart w:id="12" w:name="_Toc138893394"/>
      <w:bookmarkStart w:id="13" w:name="_Toc138880769"/>
      <w:r w:rsidRPr="00392297">
        <w:rPr>
          <w:rStyle w:val="Heading3Char"/>
          <w:rFonts w:ascii="Arial" w:hAnsi="Arial" w:cs="Arial"/>
        </w:rPr>
        <w:t>Subjectivity and Inconsistency:</w:t>
      </w:r>
      <w:bookmarkEnd w:id="12"/>
      <w:bookmarkEnd w:id="13"/>
      <w:r w:rsidRPr="00392297">
        <w:rPr>
          <w:rFonts w:ascii="Arial" w:hAnsi="Arial" w:cs="Arial"/>
          <w:szCs w:val="24"/>
        </w:rPr>
        <w:t xml:space="preserve"> </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Proposed reforms such as substituting the loss of control defense for provocation and decreased responsibility inject subjective factors into the evaluation of a defendant's culpability. Those who disagree claim that using subjective standards can result in unpredictable results and make it impossible to establish definite legal rules.</w:t>
      </w:r>
    </w:p>
    <w:p w:rsidR="00D07544" w:rsidRPr="00392297" w:rsidRDefault="00D07544" w:rsidP="00392297">
      <w:pPr>
        <w:spacing w:line="360" w:lineRule="auto"/>
        <w:jc w:val="both"/>
        <w:rPr>
          <w:rFonts w:ascii="Arial" w:hAnsi="Arial" w:cs="Arial"/>
          <w:szCs w:val="24"/>
        </w:rPr>
      </w:pPr>
      <w:bookmarkStart w:id="14" w:name="_Toc138893395"/>
      <w:bookmarkStart w:id="15" w:name="_Toc138880770"/>
      <w:r w:rsidRPr="00392297">
        <w:rPr>
          <w:rStyle w:val="Heading3Char"/>
          <w:rFonts w:ascii="Arial" w:hAnsi="Arial" w:cs="Arial"/>
        </w:rPr>
        <w:t>Undermining Legal Certainty:</w:t>
      </w:r>
      <w:bookmarkEnd w:id="14"/>
      <w:bookmarkEnd w:id="15"/>
      <w:r w:rsidRPr="00392297">
        <w:rPr>
          <w:rFonts w:ascii="Arial" w:hAnsi="Arial" w:cs="Arial"/>
          <w:szCs w:val="24"/>
        </w:rPr>
        <w:t xml:space="preserve"> </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According to critics, significant changes to the homicide statute could result in a loss of legal certainty. They claim that the successful operation of the criminal justice system and the preservation of individual rights depend on a stable and predictable legal system. Laws that are frequently changed could be confusing, affect defendants' rights, and make it difficult for lawyers to give reliable counsel.</w:t>
      </w:r>
    </w:p>
    <w:p w:rsidR="00D07544" w:rsidRPr="00392297" w:rsidRDefault="00D07544" w:rsidP="00392297">
      <w:pPr>
        <w:pStyle w:val="Heading3"/>
        <w:spacing w:line="360" w:lineRule="auto"/>
        <w:jc w:val="both"/>
        <w:rPr>
          <w:rFonts w:ascii="Arial" w:hAnsi="Arial" w:cs="Arial"/>
        </w:rPr>
      </w:pPr>
      <w:bookmarkStart w:id="16" w:name="_Toc138893396"/>
      <w:bookmarkStart w:id="17" w:name="_Toc138880771"/>
      <w:r w:rsidRPr="00392297">
        <w:rPr>
          <w:rFonts w:ascii="Arial" w:hAnsi="Arial" w:cs="Arial"/>
        </w:rPr>
        <w:t>Potential Expansive Interpretation:</w:t>
      </w:r>
      <w:bookmarkEnd w:id="16"/>
      <w:bookmarkEnd w:id="17"/>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Concerns are expressed about the possibility that amendments may result in a wide interpretation of the law, thereby broadening the range of defenses and reducing the standard of proof for conviction. Critics worry that extending the defenses can have unexpected implications, letting people escape with a lesser charge of manslaughter even though they should have been found guilty of murder.</w:t>
      </w:r>
    </w:p>
    <w:p w:rsidR="00D07544" w:rsidRPr="00392297" w:rsidRDefault="00D07544" w:rsidP="00392297">
      <w:pPr>
        <w:pStyle w:val="Heading3"/>
        <w:spacing w:line="360" w:lineRule="auto"/>
        <w:jc w:val="both"/>
        <w:rPr>
          <w:rFonts w:ascii="Arial" w:hAnsi="Arial" w:cs="Arial"/>
        </w:rPr>
      </w:pPr>
      <w:bookmarkStart w:id="18" w:name="_Toc138893397"/>
      <w:bookmarkStart w:id="19" w:name="_Toc138880772"/>
      <w:r w:rsidRPr="00392297">
        <w:rPr>
          <w:rFonts w:ascii="Arial" w:hAnsi="Arial" w:cs="Arial"/>
        </w:rPr>
        <w:t>Reflecting Public Sentiments</w:t>
      </w:r>
      <w:bookmarkEnd w:id="18"/>
      <w:bookmarkEnd w:id="19"/>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 xml:space="preserve">Opponents contend that the current homicide statute accurately represents the public's perception of justice and the value of life. They argue that significant reforms should take into account the views and beliefs of the larger public rather than just being guided by legal experts or academic arguments. The continued application of </w:t>
      </w:r>
      <w:r w:rsidR="00493673">
        <w:rPr>
          <w:rFonts w:ascii="Arial" w:hAnsi="Arial" w:cs="Arial"/>
          <w:szCs w:val="24"/>
        </w:rPr>
        <w:t>any</w:t>
      </w:r>
      <w:r w:rsidRPr="00392297">
        <w:rPr>
          <w:rFonts w:ascii="Arial" w:hAnsi="Arial" w:cs="Arial"/>
          <w:szCs w:val="24"/>
        </w:rPr>
        <w:t xml:space="preserve"> rules, such as provocation, reflects cultural perceptions of human nature and the wide range of feelings and situations that might influence a person's behavior.</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 xml:space="preserve">Reformers' detractors contend that the current legal framework finds a suitable compromise between preserving the sanctity of life and taking into account unique circumstances. They assert that partial defenses offer the courts </w:t>
      </w:r>
      <w:r w:rsidR="00493673">
        <w:rPr>
          <w:rFonts w:ascii="Arial" w:hAnsi="Arial" w:cs="Arial"/>
          <w:szCs w:val="24"/>
        </w:rPr>
        <w:t xml:space="preserve">the </w:t>
      </w:r>
      <w:r w:rsidRPr="00392297">
        <w:rPr>
          <w:rFonts w:ascii="Arial" w:hAnsi="Arial" w:cs="Arial"/>
          <w:szCs w:val="24"/>
        </w:rPr>
        <w:t>essential flexibility so they can take into account the particulars of each case. Additionally, it is believed that keeping provocation and diminished responsibility as separate defenses is crucial for providing a fair and complex evaluation of the defendant's level of guilt.</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The proposed revisions may incorporate subjective factors and broaden the scope of defenses, which critics worry may result in inconsistent and unpredictable results. They contend that it is essential to sustain the moral and legal significance of willfully causing death or significant harm to establish a distinct line between murder and manslaughter.</w:t>
      </w:r>
    </w:p>
    <w:p w:rsidR="00D07544" w:rsidRPr="00392297" w:rsidRDefault="00D07544" w:rsidP="00392297">
      <w:pPr>
        <w:pStyle w:val="Heading2"/>
        <w:spacing w:line="360" w:lineRule="auto"/>
        <w:jc w:val="both"/>
        <w:rPr>
          <w:rFonts w:ascii="Arial" w:hAnsi="Arial" w:cs="Arial"/>
          <w:sz w:val="24"/>
          <w:szCs w:val="24"/>
        </w:rPr>
      </w:pPr>
      <w:bookmarkStart w:id="20" w:name="_Toc138893398"/>
      <w:bookmarkStart w:id="21" w:name="_Toc138880773"/>
      <w:r w:rsidRPr="00392297">
        <w:rPr>
          <w:rFonts w:ascii="Arial" w:hAnsi="Arial" w:cs="Arial"/>
          <w:sz w:val="24"/>
          <w:szCs w:val="24"/>
        </w:rPr>
        <w:t>Conclusion</w:t>
      </w:r>
      <w:bookmarkEnd w:id="20"/>
      <w:bookmarkEnd w:id="21"/>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It is undeniable that England and Wales' homicide laws require change. The current system, which is based on antiquated principles, falls short in addressing important issues including partial defenses, the level of intent required for murder, and the scope of manslaughter. The Law Commission's recommendations provide a thorough and logical strategy for modernizing the law and bringing it in line with society’s values and justice-related principles.</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Although the administration has accepted certain reform ideas, others have been rejected, which raises questions about the consistency and coherence of the legal system. The government must make sure that any reform achieves the correct balance between preserving the value of human life, taking into account unique situations, and maintaining the clarity and predictability of how the legislation will be applied.</w:t>
      </w:r>
    </w:p>
    <w:p w:rsidR="00D07544" w:rsidRPr="00392297" w:rsidRDefault="00D07544" w:rsidP="00392297">
      <w:pPr>
        <w:spacing w:line="360" w:lineRule="auto"/>
        <w:jc w:val="both"/>
        <w:rPr>
          <w:rFonts w:ascii="Arial" w:hAnsi="Arial" w:cs="Arial"/>
          <w:szCs w:val="24"/>
        </w:rPr>
      </w:pPr>
      <w:r w:rsidRPr="00392297">
        <w:rPr>
          <w:rFonts w:ascii="Arial" w:hAnsi="Arial" w:cs="Arial"/>
          <w:szCs w:val="24"/>
        </w:rPr>
        <w:t xml:space="preserve">The law governing homicide in England and Wales needs to be significantly revised </w:t>
      </w:r>
      <w:r w:rsidR="00396187" w:rsidRPr="00392297">
        <w:rPr>
          <w:rFonts w:ascii="Arial" w:hAnsi="Arial" w:cs="Arial"/>
          <w:szCs w:val="24"/>
        </w:rPr>
        <w:t>to</w:t>
      </w:r>
      <w:r w:rsidRPr="00392297">
        <w:rPr>
          <w:rFonts w:ascii="Arial" w:hAnsi="Arial" w:cs="Arial"/>
          <w:szCs w:val="24"/>
        </w:rPr>
        <w:t xml:space="preserve"> overcome its flaws and bring it into line with modern values and societal expectations. The legal system can better serve justice, boost public confidence, and respond </w:t>
      </w:r>
      <w:r w:rsidR="00396187" w:rsidRPr="00392297">
        <w:rPr>
          <w:rFonts w:ascii="Arial" w:hAnsi="Arial" w:cs="Arial"/>
          <w:szCs w:val="24"/>
        </w:rPr>
        <w:t>fairly and appropriately</w:t>
      </w:r>
      <w:r w:rsidRPr="00392297">
        <w:rPr>
          <w:rFonts w:ascii="Arial" w:hAnsi="Arial" w:cs="Arial"/>
          <w:szCs w:val="24"/>
        </w:rPr>
        <w:t xml:space="preserve"> to the seriousness of various forms of homicide by enacting comprehensive reform.</w:t>
      </w:r>
    </w:p>
    <w:p w:rsidR="00D07544" w:rsidRDefault="00D07544" w:rsidP="00D07544">
      <w:pPr>
        <w:ind w:firstLine="720"/>
      </w:pPr>
    </w:p>
    <w:p w:rsidR="00D07544" w:rsidRDefault="00D07544" w:rsidP="00D07544"/>
    <w:p w:rsidR="00D07544" w:rsidRDefault="00D07544">
      <w:r>
        <w:br w:type="page"/>
      </w:r>
    </w:p>
    <w:bookmarkStart w:id="22" w:name="_Toc138893399" w:displacedByCustomXml="next"/>
    <w:bookmarkStart w:id="23" w:name="_Toc138880774" w:displacedByCustomXml="next"/>
    <w:sdt>
      <w:sdtPr>
        <w:rPr>
          <w:rFonts w:asciiTheme="minorHAnsi" w:eastAsiaTheme="minorHAnsi" w:hAnsiTheme="minorHAnsi" w:cstheme="minorBidi"/>
          <w:color w:val="auto"/>
          <w:sz w:val="24"/>
          <w:szCs w:val="22"/>
        </w:rPr>
        <w:id w:val="1094910659"/>
        <w:docPartObj>
          <w:docPartGallery w:val="Bibliographies"/>
          <w:docPartUnique/>
        </w:docPartObj>
      </w:sdtPr>
      <w:sdtEndPr/>
      <w:sdtContent>
        <w:p w:rsidR="00D07544" w:rsidRDefault="00D07544">
          <w:pPr>
            <w:pStyle w:val="Heading1"/>
          </w:pPr>
          <w:r>
            <w:t>References</w:t>
          </w:r>
          <w:bookmarkEnd w:id="23"/>
          <w:bookmarkEnd w:id="22"/>
        </w:p>
        <w:p w:rsidR="00D07544" w:rsidRDefault="00D07544" w:rsidP="00D07544">
          <w:pPr>
            <w:pStyle w:val="Bibliography"/>
            <w:rPr>
              <w:noProof/>
              <w:kern w:val="0"/>
              <w:szCs w:val="24"/>
              <w14:ligatures w14:val="none"/>
            </w:rPr>
          </w:pPr>
          <w:r>
            <w:rPr>
              <w:noProof/>
            </w:rPr>
            <w:t xml:space="preserve">Law Commission UK, </w:t>
          </w:r>
          <w:r w:rsidR="00493673">
            <w:rPr>
              <w:noProof/>
            </w:rPr>
            <w:t>(</w:t>
          </w:r>
          <w:r>
            <w:rPr>
              <w:noProof/>
            </w:rPr>
            <w:t>2013</w:t>
          </w:r>
          <w:r w:rsidR="00493673">
            <w:rPr>
              <w:noProof/>
            </w:rPr>
            <w:t>)</w:t>
          </w:r>
          <w:r>
            <w:rPr>
              <w:noProof/>
            </w:rPr>
            <w:t xml:space="preserve">. </w:t>
          </w:r>
          <w:r>
            <w:rPr>
              <w:i/>
              <w:iCs/>
              <w:noProof/>
            </w:rPr>
            <w:t xml:space="preserve">Unfair Terms in Contracts. </w:t>
          </w:r>
          <w:r>
            <w:rPr>
              <w:noProof/>
            </w:rPr>
            <w:t xml:space="preserve">Available at: </w:t>
          </w:r>
          <w:hyperlink r:id="rId6" w:anchor=":~:text=The%202005%20Report&amp;text=The%20two%20Law%20Commissions%20recommended,employing%209%20or%20fewer%20staff" w:history="1">
            <w:r w:rsidR="00493673" w:rsidRPr="00100F3A">
              <w:rPr>
                <w:rStyle w:val="Hyperlink"/>
                <w:noProof/>
              </w:rPr>
              <w:t>https://www.lawcom.gov.uk/project/unfair-terms-in-contracts/#:~:text=The%202005%20Report&amp;text=The%20two%20Law%20Commissions%20recommended,employing%209%20or%20fewer%20staff</w:t>
            </w:r>
          </w:hyperlink>
          <w:r w:rsidR="00493673">
            <w:rPr>
              <w:noProof/>
              <w:u w:val="single"/>
            </w:rPr>
            <w:t>) (Accessed: 27-Jun-2023)</w:t>
          </w:r>
        </w:p>
        <w:p w:rsidR="00D07544" w:rsidRDefault="00D07544" w:rsidP="00D07544">
          <w:pPr>
            <w:pStyle w:val="Bibliography"/>
            <w:rPr>
              <w:noProof/>
            </w:rPr>
          </w:pPr>
          <w:r>
            <w:rPr>
              <w:noProof/>
            </w:rPr>
            <w:t xml:space="preserve">Legislation.gov.uk, 1957. </w:t>
          </w:r>
          <w:r w:rsidR="00493673">
            <w:rPr>
              <w:i/>
              <w:iCs/>
              <w:noProof/>
            </w:rPr>
            <w:t xml:space="preserve">Homicide Act 1957. </w:t>
          </w:r>
          <w:r>
            <w:rPr>
              <w:noProof/>
            </w:rPr>
            <w:t xml:space="preserve">Available at: </w:t>
          </w:r>
          <w:hyperlink r:id="rId7" w:history="1">
            <w:r w:rsidR="00493673" w:rsidRPr="00100F3A">
              <w:rPr>
                <w:rStyle w:val="Hyperlink"/>
                <w:noProof/>
              </w:rPr>
              <w:t>https://www.legislation.gov.uk/ukpga/Eliz2/5-6/11/contents</w:t>
            </w:r>
          </w:hyperlink>
          <w:r w:rsidR="00493673">
            <w:rPr>
              <w:noProof/>
              <w:u w:val="single"/>
            </w:rPr>
            <w:t xml:space="preserve"> (Accessed: 27-Jun-2023)</w:t>
          </w:r>
        </w:p>
        <w:p w:rsidR="00D07544" w:rsidRPr="00493673" w:rsidRDefault="00D07544" w:rsidP="00D07544">
          <w:pPr>
            <w:pStyle w:val="Bibliography"/>
            <w:rPr>
              <w:b/>
              <w:noProof/>
            </w:rPr>
          </w:pPr>
          <w:r>
            <w:rPr>
              <w:noProof/>
            </w:rPr>
            <w:t xml:space="preserve">Legislation.gov.uk, 2009. </w:t>
          </w:r>
          <w:r>
            <w:rPr>
              <w:i/>
              <w:iCs/>
              <w:noProof/>
            </w:rPr>
            <w:t xml:space="preserve">Coroners and Justice Act 2009. </w:t>
          </w:r>
          <w:r>
            <w:rPr>
              <w:noProof/>
            </w:rPr>
            <w:t xml:space="preserve">Available at: </w:t>
          </w:r>
          <w:hyperlink r:id="rId8" w:history="1">
            <w:r w:rsidR="00493673" w:rsidRPr="00100F3A">
              <w:rPr>
                <w:rStyle w:val="Hyperlink"/>
                <w:noProof/>
              </w:rPr>
              <w:t>https://www.legislation.gov.uk/ukpga/2009/25/contents</w:t>
            </w:r>
          </w:hyperlink>
          <w:r w:rsidR="00493673">
            <w:rPr>
              <w:noProof/>
              <w:u w:val="single"/>
            </w:rPr>
            <w:t xml:space="preserve"> (Accessed: 26-Jun-2023)</w:t>
          </w:r>
        </w:p>
        <w:p w:rsidR="00D07544" w:rsidRDefault="0055781C" w:rsidP="00D07544"/>
      </w:sdtContent>
    </w:sdt>
    <w:p w:rsidR="00D07544" w:rsidRPr="00D07544" w:rsidRDefault="00D07544" w:rsidP="00D07544"/>
    <w:sectPr w:rsidR="00D07544" w:rsidRPr="00D07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3"/>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058"/>
    <w:rsid w:val="001950F7"/>
    <w:rsid w:val="00224058"/>
    <w:rsid w:val="00392297"/>
    <w:rsid w:val="00396187"/>
    <w:rsid w:val="00493673"/>
    <w:rsid w:val="00592DB9"/>
    <w:rsid w:val="00867D1C"/>
    <w:rsid w:val="00B26D6E"/>
    <w:rsid w:val="00B61E33"/>
    <w:rsid w:val="00D07544"/>
    <w:rsid w:val="00E4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D9EC"/>
  <w15:chartTrackingRefBased/>
  <w15:docId w15:val="{EC3DAA30-C383-463D-A421-3DEE89B1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0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754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0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05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240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40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07544"/>
    <w:rPr>
      <w:rFonts w:asciiTheme="majorHAnsi" w:eastAsiaTheme="majorEastAsia" w:hAnsiTheme="majorHAnsi" w:cstheme="majorBidi"/>
      <w:color w:val="1F3763" w:themeColor="accent1" w:themeShade="7F"/>
      <w:szCs w:val="24"/>
    </w:rPr>
  </w:style>
  <w:style w:type="paragraph" w:styleId="Bibliography">
    <w:name w:val="Bibliography"/>
    <w:basedOn w:val="Normal"/>
    <w:next w:val="Normal"/>
    <w:uiPriority w:val="37"/>
    <w:unhideWhenUsed/>
    <w:rsid w:val="00D07544"/>
  </w:style>
  <w:style w:type="paragraph" w:styleId="TOCHeading">
    <w:name w:val="TOC Heading"/>
    <w:basedOn w:val="Heading1"/>
    <w:next w:val="Normal"/>
    <w:uiPriority w:val="39"/>
    <w:unhideWhenUsed/>
    <w:qFormat/>
    <w:rsid w:val="00D07544"/>
    <w:pPr>
      <w:outlineLvl w:val="9"/>
    </w:pPr>
    <w:rPr>
      <w:kern w:val="0"/>
      <w14:ligatures w14:val="none"/>
    </w:rPr>
  </w:style>
  <w:style w:type="paragraph" w:styleId="TOC2">
    <w:name w:val="toc 2"/>
    <w:basedOn w:val="Normal"/>
    <w:next w:val="Normal"/>
    <w:autoRedefine/>
    <w:uiPriority w:val="39"/>
    <w:unhideWhenUsed/>
    <w:rsid w:val="00D07544"/>
    <w:pPr>
      <w:spacing w:after="100"/>
      <w:ind w:left="240"/>
    </w:pPr>
  </w:style>
  <w:style w:type="paragraph" w:styleId="TOC3">
    <w:name w:val="toc 3"/>
    <w:basedOn w:val="Normal"/>
    <w:next w:val="Normal"/>
    <w:autoRedefine/>
    <w:uiPriority w:val="39"/>
    <w:unhideWhenUsed/>
    <w:rsid w:val="00D07544"/>
    <w:pPr>
      <w:spacing w:after="100"/>
      <w:ind w:left="480"/>
    </w:pPr>
  </w:style>
  <w:style w:type="paragraph" w:styleId="TOC1">
    <w:name w:val="toc 1"/>
    <w:basedOn w:val="Normal"/>
    <w:next w:val="Normal"/>
    <w:autoRedefine/>
    <w:uiPriority w:val="39"/>
    <w:unhideWhenUsed/>
    <w:rsid w:val="00D07544"/>
    <w:pPr>
      <w:spacing w:after="100"/>
    </w:pPr>
  </w:style>
  <w:style w:type="character" w:styleId="Hyperlink">
    <w:name w:val="Hyperlink"/>
    <w:basedOn w:val="DefaultParagraphFont"/>
    <w:uiPriority w:val="99"/>
    <w:unhideWhenUsed/>
    <w:rsid w:val="00D075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12073">
      <w:bodyDiv w:val="1"/>
      <w:marLeft w:val="0"/>
      <w:marRight w:val="0"/>
      <w:marTop w:val="0"/>
      <w:marBottom w:val="0"/>
      <w:divBdr>
        <w:top w:val="none" w:sz="0" w:space="0" w:color="auto"/>
        <w:left w:val="none" w:sz="0" w:space="0" w:color="auto"/>
        <w:bottom w:val="none" w:sz="0" w:space="0" w:color="auto"/>
        <w:right w:val="none" w:sz="0" w:space="0" w:color="auto"/>
      </w:divBdr>
    </w:div>
    <w:div w:id="628316758">
      <w:bodyDiv w:val="1"/>
      <w:marLeft w:val="0"/>
      <w:marRight w:val="0"/>
      <w:marTop w:val="0"/>
      <w:marBottom w:val="0"/>
      <w:divBdr>
        <w:top w:val="none" w:sz="0" w:space="0" w:color="auto"/>
        <w:left w:val="none" w:sz="0" w:space="0" w:color="auto"/>
        <w:bottom w:val="none" w:sz="0" w:space="0" w:color="auto"/>
        <w:right w:val="none" w:sz="0" w:space="0" w:color="auto"/>
      </w:divBdr>
    </w:div>
    <w:div w:id="1393889328">
      <w:bodyDiv w:val="1"/>
      <w:marLeft w:val="0"/>
      <w:marRight w:val="0"/>
      <w:marTop w:val="0"/>
      <w:marBottom w:val="0"/>
      <w:divBdr>
        <w:top w:val="none" w:sz="0" w:space="0" w:color="auto"/>
        <w:left w:val="none" w:sz="0" w:space="0" w:color="auto"/>
        <w:bottom w:val="none" w:sz="0" w:space="0" w:color="auto"/>
        <w:right w:val="none" w:sz="0" w:space="0" w:color="auto"/>
      </w:divBdr>
    </w:div>
    <w:div w:id="1607419971">
      <w:bodyDiv w:val="1"/>
      <w:marLeft w:val="0"/>
      <w:marRight w:val="0"/>
      <w:marTop w:val="0"/>
      <w:marBottom w:val="0"/>
      <w:divBdr>
        <w:top w:val="none" w:sz="0" w:space="0" w:color="auto"/>
        <w:left w:val="none" w:sz="0" w:space="0" w:color="auto"/>
        <w:bottom w:val="none" w:sz="0" w:space="0" w:color="auto"/>
        <w:right w:val="none" w:sz="0" w:space="0" w:color="auto"/>
      </w:divBdr>
    </w:div>
    <w:div w:id="1787234949">
      <w:bodyDiv w:val="1"/>
      <w:marLeft w:val="0"/>
      <w:marRight w:val="0"/>
      <w:marTop w:val="0"/>
      <w:marBottom w:val="0"/>
      <w:divBdr>
        <w:top w:val="none" w:sz="0" w:space="0" w:color="auto"/>
        <w:left w:val="none" w:sz="0" w:space="0" w:color="auto"/>
        <w:bottom w:val="none" w:sz="0" w:space="0" w:color="auto"/>
        <w:right w:val="none" w:sz="0" w:space="0" w:color="auto"/>
      </w:divBdr>
    </w:div>
    <w:div w:id="1823808678">
      <w:bodyDiv w:val="1"/>
      <w:marLeft w:val="0"/>
      <w:marRight w:val="0"/>
      <w:marTop w:val="0"/>
      <w:marBottom w:val="0"/>
      <w:divBdr>
        <w:top w:val="none" w:sz="0" w:space="0" w:color="auto"/>
        <w:left w:val="none" w:sz="0" w:space="0" w:color="auto"/>
        <w:bottom w:val="none" w:sz="0" w:space="0" w:color="auto"/>
        <w:right w:val="none" w:sz="0" w:space="0" w:color="auto"/>
      </w:divBdr>
    </w:div>
    <w:div w:id="1868563153">
      <w:bodyDiv w:val="1"/>
      <w:marLeft w:val="0"/>
      <w:marRight w:val="0"/>
      <w:marTop w:val="0"/>
      <w:marBottom w:val="0"/>
      <w:divBdr>
        <w:top w:val="none" w:sz="0" w:space="0" w:color="auto"/>
        <w:left w:val="none" w:sz="0" w:space="0" w:color="auto"/>
        <w:bottom w:val="none" w:sz="0" w:space="0" w:color="auto"/>
        <w:right w:val="none" w:sz="0" w:space="0" w:color="auto"/>
      </w:divBdr>
    </w:div>
    <w:div w:id="194591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9/25/contents" TargetMode="External" /><Relationship Id="rId3" Type="http://schemas.openxmlformats.org/officeDocument/2006/relationships/settings" Target="settings.xml" /><Relationship Id="rId7" Type="http://schemas.openxmlformats.org/officeDocument/2006/relationships/hyperlink" Target="https://www.legislation.gov.uk/ukpga/Eliz2/5-6/11/contents"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www.lawcom.gov.uk/project/unfair-terms-in-contracts/" TargetMode="External" /><Relationship Id="rId5" Type="http://schemas.openxmlformats.org/officeDocument/2006/relationships/image" Target="media/image1.pn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Leg57</b:Tag>
    <b:SourceType>InternetSite</b:SourceType>
    <b:Guid>{00164A54-F8B9-458A-AC31-D83A23D781E7}</b:Guid>
    <b:Author>
      <b:Author>
        <b:Corporate>Legislation.gov.uk</b:Corporate>
      </b:Author>
    </b:Author>
    <b:Title>Homicide Act 1957</b:Title>
    <b:Year>1957</b:Year>
    <b:URL>https://www.legislation.gov.uk/ukpga/Eliz2/5-6/11/contents</b:URL>
    <b:RefOrder>1</b:RefOrder>
  </b:Source>
  <b:Source>
    <b:Tag>Leg09</b:Tag>
    <b:SourceType>InternetSite</b:SourceType>
    <b:Guid>{4B0087B5-A204-4AAB-9D0B-82D7C78E69A3}</b:Guid>
    <b:Author>
      <b:Author>
        <b:Corporate>Legislation.gov.uk</b:Corporate>
      </b:Author>
    </b:Author>
    <b:Title>Coroners and Justice Act 2009</b:Title>
    <b:Year>2009</b:Year>
    <b:URL>https://www.legislation.gov.uk/ukpga/2009/25/contents</b:URL>
    <b:RefOrder>2</b:RefOrder>
  </b:Source>
  <b:Source>
    <b:Tag>Law13</b:Tag>
    <b:SourceType>InternetSite</b:SourceType>
    <b:Guid>{404E155A-CF51-4C44-ABEA-48EC3B9FB569}</b:Guid>
    <b:Author>
      <b:Author>
        <b:Corporate>Law Commission UK</b:Corporate>
      </b:Author>
    </b:Author>
    <b:Title>Unfair Terms in Contracts</b:Title>
    <b:Year>2013</b:Year>
    <b:URL>https://www.lawcom.gov.uk/project/unfair-terms-in-contracts/#:~:text=The%202005%20Report&amp;text=The%20two%20Law%20Commissions%20recommended,employing%209%20or%20fewer%20staff).</b:URL>
    <b:RefOrder>3</b:RefOrder>
  </b:Source>
</b:Sources>
</file>

<file path=customXml/itemProps1.xml><?xml version="1.0" encoding="utf-8"?>
<ds:datastoreItem xmlns:ds="http://schemas.openxmlformats.org/officeDocument/2006/customXml" ds:itemID="{BDC382F5-A0C6-45B0-BE62-030DAD47FD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 Fayyaz</cp:lastModifiedBy>
  <cp:revision>2</cp:revision>
  <dcterms:created xsi:type="dcterms:W3CDTF">2023-07-02T14:26:00Z</dcterms:created>
  <dcterms:modified xsi:type="dcterms:W3CDTF">2023-07-02T14:26:00Z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71cd6ffb-9fdc-4f4c-b46a-a192304e3faa</vt:lpwstr>
  </property>
</Properties>
</file>