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i w:val="0"/>
          <w:smallCaps w:val="0"/>
          <w:strike w:val="0"/>
          <w:color w:val="000000"/>
          <w:sz w:val="21"/>
          <w:szCs w:val="21"/>
          <w:u w:val="none"/>
          <w:shd w:fill="auto" w:val="clear"/>
          <w:vertAlign w:val="baseline"/>
        </w:rPr>
      </w:pPr>
      <w:r w:rsidDel="00000000" w:rsidR="00000000" w:rsidRPr="00000000">
        <w:rPr>
          <w:rFonts w:ascii="Georgia" w:cs="Georgia" w:eastAsia="Georgia" w:hAnsi="Georgia"/>
          <w:b w:val="0"/>
          <w:i w:val="0"/>
          <w:smallCaps w:val="0"/>
          <w:strike w:val="0"/>
          <w:color w:val="000000"/>
          <w:sz w:val="21"/>
          <w:szCs w:val="21"/>
          <w:u w:val="none"/>
          <w:shd w:fill="auto" w:val="clear"/>
          <w:vertAlign w:val="baseline"/>
        </w:rPr>
        <w:drawing>
          <wp:inline distB="0" distT="0" distL="114300" distR="114300">
            <wp:extent cx="1908175" cy="635635"/>
            <wp:effectExtent b="0" l="0" r="0" t="0"/>
            <wp:docPr id="102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908175" cy="6356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center"/>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Postgraduate/Distance Learning </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center"/>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Assignment coversheet &amp; feedback form</w:t>
      </w:r>
      <w:r w:rsidDel="00000000" w:rsidR="00000000" w:rsidRPr="00000000">
        <w:rPr>
          <w:rtl w:val="0"/>
        </w:rPr>
      </w:r>
    </w:p>
    <w:p w:rsidR="00000000" w:rsidDel="00000000" w:rsidP="00000000" w:rsidRDefault="00000000" w:rsidRPr="00000000" w14:paraId="00000006">
      <w:pPr>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07">
      <w:pPr>
        <w:pStyle w:val="Heading3"/>
        <w:ind w:firstLine="720"/>
        <w:jc w:val="center"/>
        <w:rPr>
          <w:vertAlign w:val="baseline"/>
        </w:rPr>
      </w:pPr>
      <w:r w:rsidDel="00000000" w:rsidR="00000000" w:rsidRPr="00000000">
        <w:rPr>
          <w:b w:val="1"/>
          <w:vertAlign w:val="baseline"/>
          <w:rtl w:val="0"/>
        </w:rPr>
        <w:t xml:space="preserve">THIS SHEET MUST BE THE FIRST PAGE OF THE ASSIGNMENT YOU ARE SUBMITTING  (DO NOT SEND AS A SEPARATE FILE)</w:t>
      </w:r>
      <w:r w:rsidDel="00000000" w:rsidR="00000000" w:rsidRPr="00000000">
        <w:rPr>
          <w:rtl w:val="0"/>
        </w:rPr>
      </w:r>
    </w:p>
    <w:p w:rsidR="00000000" w:rsidDel="00000000" w:rsidP="00000000" w:rsidRDefault="00000000" w:rsidRPr="00000000" w14:paraId="00000008">
      <w:pPr>
        <w:pStyle w:val="Heading3"/>
        <w:ind w:firstLine="720"/>
        <w:jc w:val="center"/>
        <w:rPr>
          <w:rFonts w:ascii="Trebuchet MS" w:cs="Trebuchet MS" w:eastAsia="Trebuchet MS" w:hAnsi="Trebuchet MS"/>
          <w:vertAlign w:val="baseline"/>
        </w:rPr>
      </w:pPr>
      <w:r w:rsidDel="00000000" w:rsidR="00000000" w:rsidRPr="00000000">
        <w:rPr>
          <w:rtl w:val="0"/>
        </w:rPr>
      </w:r>
    </w:p>
    <w:tbl>
      <w:tblPr>
        <w:tblStyle w:val="Table1"/>
        <w:tblW w:w="88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88"/>
        <w:gridCol w:w="423"/>
        <w:gridCol w:w="1557"/>
        <w:gridCol w:w="286"/>
        <w:gridCol w:w="1802"/>
        <w:tblGridChange w:id="0">
          <w:tblGrid>
            <w:gridCol w:w="4788"/>
            <w:gridCol w:w="423"/>
            <w:gridCol w:w="1557"/>
            <w:gridCol w:w="286"/>
            <w:gridCol w:w="1802"/>
          </w:tblGrid>
        </w:tblGridChange>
      </w:tblGrid>
      <w:tr>
        <w:trPr>
          <w:cantSplit w:val="0"/>
          <w:trHeight w:val="614" w:hRule="atLeast"/>
          <w:tblHeader w:val="0"/>
        </w:trPr>
        <w:tc>
          <w:tcPr>
            <w:gridSpan w:val="5"/>
            <w:vAlign w:val="top"/>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For completion by the student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tc>
      </w:tr>
      <w:tr>
        <w:trPr>
          <w:cantSplit w:val="0"/>
          <w:trHeight w:val="718" w:hRule="atLeast"/>
          <w:tblHeader w:val="0"/>
        </w:trPr>
        <w:tc>
          <w:tcPr>
            <w:gridSpan w:val="5"/>
            <w:vAlign w:val="top"/>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Student Name: Aggeliki Papaconstantinou</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Student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University</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Email: 2411198@student.uwtsd.ac.uk</w:t>
            </w:r>
          </w:p>
        </w:tc>
      </w:tr>
      <w:tr>
        <w:trPr>
          <w:cantSplit w:val="0"/>
          <w:trHeight w:val="849" w:hRule="atLeast"/>
          <w:tblHeader w:val="0"/>
        </w:trPr>
        <w:tc>
          <w:tcPr>
            <w:vAlign w:val="top"/>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Module code: HPCA</w:t>
            </w:r>
            <w:r w:rsidDel="00000000" w:rsidR="00000000" w:rsidRPr="00000000">
              <w:rPr>
                <w:rFonts w:ascii="Arial" w:cs="Arial" w:eastAsia="Arial" w:hAnsi="Arial"/>
                <w:sz w:val="22"/>
                <w:szCs w:val="22"/>
                <w:rtl w:val="0"/>
              </w:rPr>
              <w:t xml:space="preserve">7028</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Module title: Sacred Skies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vAlign w:val="top"/>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Student ID number:</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C">
            <w:pPr>
              <w:ind w:right="34"/>
              <w:rPr>
                <w:rFonts w:ascii="Arial" w:cs="Arial" w:eastAsia="Arial" w:hAnsi="Arial"/>
                <w:sz w:val="22"/>
                <w:szCs w:val="22"/>
              </w:rPr>
            </w:pPr>
            <w:r w:rsidDel="00000000" w:rsidR="00000000" w:rsidRPr="00000000">
              <w:rPr>
                <w:rFonts w:ascii="Arial" w:cs="Arial" w:eastAsia="Arial" w:hAnsi="Arial"/>
                <w:sz w:val="22"/>
                <w:szCs w:val="22"/>
                <w:rtl w:val="0"/>
              </w:rPr>
              <w:t xml:space="preserve">2411198</w:t>
            </w:r>
          </w:p>
        </w:tc>
        <w:tc>
          <w:tcPr>
            <w:vAlign w:val="top"/>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Educational support needs:</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Yes/No</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r>
      <w:tr>
        <w:trPr>
          <w:cantSplit w:val="0"/>
          <w:trHeight w:val="1139" w:hRule="atLeast"/>
          <w:tblHeader w:val="0"/>
        </w:trPr>
        <w:tc>
          <w:tcPr>
            <w:gridSpan w:val="5"/>
            <w:vAlign w:val="top"/>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Assignment title:</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 Explore the Cultural Significance of the Descent of Ishtar.</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Assignment due date: April 3, 2025</w:t>
            </w:r>
          </w:p>
        </w:tc>
      </w:tr>
      <w:tr>
        <w:trPr>
          <w:cantSplit w:val="0"/>
          <w:trHeight w:val="978" w:hRule="atLeast"/>
          <w:tblHeader w:val="0"/>
        </w:trPr>
        <w:tc>
          <w:tcPr>
            <w:gridSpan w:val="5"/>
            <w:tcBorders>
              <w:bottom w:color="000000" w:space="0" w:sz="4" w:val="single"/>
            </w:tcBorders>
            <w:vAlign w:val="top"/>
          </w:tcPr>
          <w:p w:rsidR="00000000" w:rsidDel="00000000" w:rsidP="00000000" w:rsidRDefault="00000000" w:rsidRPr="00000000" w14:paraId="0000002A">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This assignment is for the       1</w:t>
            </w:r>
            <w:r w:rsidDel="00000000" w:rsidR="00000000" w:rsidRPr="00000000">
              <w:rPr>
                <w:rFonts w:ascii="Arial" w:cs="Arial" w:eastAsia="Arial" w:hAnsi="Arial"/>
                <w:sz w:val="22"/>
                <w:szCs w:val="22"/>
                <w:vertAlign w:val="superscript"/>
                <w:rtl w:val="0"/>
              </w:rPr>
              <w:t xml:space="preserve">st </w:t>
            </w:r>
            <w:bookmarkStart w:colFirst="0" w:colLast="0" w:name="bookmark=id.fspib4dhp9q2" w:id="0"/>
            <w:bookmarkEnd w:id="0"/>
            <w:r w:rsidDel="00000000" w:rsidR="00000000" w:rsidRPr="00000000">
              <w:rPr>
                <w:rFonts w:ascii="Arial" w:cs="Arial" w:eastAsia="Arial" w:hAnsi="Arial"/>
                <w:sz w:val="22"/>
                <w:szCs w:val="22"/>
                <w:vertAlign w:val="baseline"/>
                <w:rtl w:val="0"/>
              </w:rPr>
              <w:t xml:space="preserve">☐    2</w:t>
            </w:r>
            <w:r w:rsidDel="00000000" w:rsidR="00000000" w:rsidRPr="00000000">
              <w:rPr>
                <w:rFonts w:ascii="Arial" w:cs="Arial" w:eastAsia="Arial" w:hAnsi="Arial"/>
                <w:sz w:val="22"/>
                <w:szCs w:val="22"/>
                <w:vertAlign w:val="superscript"/>
                <w:rtl w:val="0"/>
              </w:rPr>
              <w:t xml:space="preserve">nd</w:t>
            </w:r>
            <w:r w:rsidDel="00000000" w:rsidR="00000000" w:rsidRPr="00000000">
              <w:rPr>
                <w:rFonts w:ascii="Arial" w:cs="Arial" w:eastAsia="Arial" w:hAnsi="Arial"/>
                <w:sz w:val="22"/>
                <w:szCs w:val="22"/>
                <w:vertAlign w:val="baseline"/>
                <w:rtl w:val="0"/>
              </w:rPr>
              <w:t xml:space="preserve">  </w:t>
            </w:r>
            <w:bookmarkStart w:colFirst="0" w:colLast="0" w:name="bookmark=id.lzhe5ok1gz8d" w:id="1"/>
            <w:bookmarkEnd w:id="1"/>
            <w:r w:rsidDel="00000000" w:rsidR="00000000" w:rsidRPr="00000000">
              <w:rPr>
                <w:rFonts w:ascii="Arial" w:cs="Arial" w:eastAsia="Arial" w:hAnsi="Arial"/>
                <w:sz w:val="22"/>
                <w:szCs w:val="22"/>
                <w:vertAlign w:val="baseline"/>
                <w:rtl w:val="0"/>
              </w:rPr>
              <w:t xml:space="preserve">☐     3</w:t>
            </w:r>
            <w:r w:rsidDel="00000000" w:rsidR="00000000" w:rsidRPr="00000000">
              <w:rPr>
                <w:rFonts w:ascii="Arial" w:cs="Arial" w:eastAsia="Arial" w:hAnsi="Arial"/>
                <w:sz w:val="22"/>
                <w:szCs w:val="22"/>
                <w:vertAlign w:val="superscript"/>
                <w:rtl w:val="0"/>
              </w:rPr>
              <w:t xml:space="preserve">rd</w:t>
            </w:r>
            <w:r w:rsidDel="00000000" w:rsidR="00000000" w:rsidRPr="00000000">
              <w:rPr>
                <w:rFonts w:ascii="Arial" w:cs="Arial" w:eastAsia="Arial" w:hAnsi="Arial"/>
                <w:sz w:val="22"/>
                <w:szCs w:val="22"/>
                <w:vertAlign w:val="baseline"/>
                <w:rtl w:val="0"/>
              </w:rPr>
              <w:t xml:space="preserve">  </w:t>
            </w:r>
            <w:bookmarkStart w:colFirst="0" w:colLast="0" w:name="bookmark=id.67lwyy2503ip" w:id="2"/>
            <w:bookmarkEnd w:id="2"/>
            <w:r w:rsidDel="00000000" w:rsidR="00000000" w:rsidRPr="00000000">
              <w:rPr>
                <w:rFonts w:ascii="Arial" w:cs="Arial" w:eastAsia="Arial" w:hAnsi="Arial"/>
                <w:sz w:val="22"/>
                <w:szCs w:val="22"/>
                <w:vertAlign w:val="baseline"/>
                <w:rtl w:val="0"/>
              </w:rPr>
              <w:t xml:space="preserve">☐      4</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vertAlign w:val="baseline"/>
                <w:rtl w:val="0"/>
              </w:rPr>
              <w:t xml:space="preserve"> </w:t>
            </w:r>
            <w:bookmarkStart w:colFirst="0" w:colLast="0" w:name="bookmark=id.fj66hf3op8bq" w:id="3"/>
            <w:bookmarkEnd w:id="3"/>
            <w:r w:rsidDel="00000000" w:rsidR="00000000" w:rsidRPr="00000000">
              <w:rPr>
                <w:rFonts w:ascii="Arial" w:cs="Arial" w:eastAsia="Arial" w:hAnsi="Arial"/>
                <w:sz w:val="22"/>
                <w:szCs w:val="22"/>
                <w:vertAlign w:val="baseline"/>
                <w:rtl w:val="0"/>
              </w:rPr>
              <w:t xml:space="preserve">☐      5</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vertAlign w:val="baseline"/>
                <w:rtl w:val="0"/>
              </w:rPr>
              <w:t xml:space="preserve"> </w:t>
            </w:r>
            <w:bookmarkStart w:colFirst="0" w:colLast="0" w:name="bookmark=id.hqhw2z412wl5" w:id="4"/>
            <w:bookmarkEnd w:id="4"/>
            <w:r w:rsidDel="00000000" w:rsidR="00000000" w:rsidRPr="00000000">
              <w:rPr>
                <w:rFonts w:ascii="Arial" w:cs="Arial" w:eastAsia="Arial" w:hAnsi="Arial"/>
                <w:sz w:val="22"/>
                <w:szCs w:val="22"/>
                <w:vertAlign w:val="baseline"/>
                <w:rtl w:val="0"/>
              </w:rPr>
              <w:t xml:space="preserve">☐      6</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vertAlign w:val="baseline"/>
                <w:rtl w:val="0"/>
              </w:rPr>
              <w:t xml:space="preserve"> </w:t>
            </w:r>
            <w:bookmarkStart w:colFirst="0" w:colLast="0" w:name="bookmark=id.g716spgnvc78" w:id="5"/>
            <w:bookmarkEnd w:id="5"/>
            <w:r w:rsidDel="00000000" w:rsidR="00000000" w:rsidRPr="00000000">
              <w:rPr>
                <w:rFonts w:ascii="Arial" w:cs="Arial" w:eastAsia="Arial" w:hAnsi="Arial"/>
                <w:sz w:val="22"/>
                <w:szCs w:val="22"/>
                <w:vertAlign w:val="baseline"/>
                <w:rtl w:val="0"/>
              </w:rPr>
              <w:t xml:space="preserve">☐</w:t>
            </w:r>
            <w:r w:rsidDel="00000000" w:rsidR="00000000" w:rsidRPr="00000000">
              <w:rPr>
                <w:rFonts w:ascii="Arial" w:cs="Arial" w:eastAsia="Arial" w:hAnsi="Arial"/>
                <w:b w:val="1"/>
                <w:sz w:val="22"/>
                <w:szCs w:val="22"/>
                <w:vertAlign w:val="baseline"/>
                <w:rtl w:val="0"/>
              </w:rPr>
              <w:t xml:space="preserve">   </w:t>
            </w:r>
            <w:r w:rsidDel="00000000" w:rsidR="00000000" w:rsidRPr="00000000">
              <w:rPr>
                <w:rFonts w:ascii="Arial" w:cs="Arial" w:eastAsia="Arial" w:hAnsi="Arial"/>
                <w:sz w:val="22"/>
                <w:szCs w:val="22"/>
                <w:vertAlign w:val="baseline"/>
                <w:rtl w:val="0"/>
              </w:rPr>
              <w:t xml:space="preserve">module of the degree</w:t>
            </w:r>
          </w:p>
        </w:tc>
      </w:tr>
      <w:tr>
        <w:trPr>
          <w:cantSplit w:val="0"/>
          <w:trHeight w:val="978" w:hRule="atLeast"/>
          <w:tblHeader w:val="0"/>
        </w:trPr>
        <w:tc>
          <w:tcPr>
            <w:gridSpan w:val="5"/>
            <w:shd w:fill="d9d9d9" w:val="clear"/>
            <w:vAlign w:val="top"/>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confirm that this is my original work and that I have adhered to the University policy on plagiarism.</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Signed </w:t>
            </w:r>
            <w:r w:rsidDel="00000000" w:rsidR="00000000" w:rsidRPr="00000000">
              <w:rPr>
                <w:rFonts w:ascii="Arial" w:cs="Arial" w:eastAsia="Arial" w:hAnsi="Arial"/>
                <w:sz w:val="22"/>
                <w:szCs w:val="22"/>
                <w:rtl w:val="0"/>
              </w:rPr>
              <w:t xml:space="preserve"> </w:t>
            </w:r>
            <w:r w:rsidDel="00000000" w:rsidR="00000000" w:rsidRPr="00000000">
              <w:rPr>
                <w:rFonts w:ascii="Lobster" w:cs="Lobster" w:eastAsia="Lobster" w:hAnsi="Lobster"/>
                <w:i w:val="0"/>
                <w:smallCaps w:val="0"/>
                <w:strike w:val="0"/>
                <w:color w:val="000000"/>
                <w:sz w:val="22"/>
                <w:szCs w:val="22"/>
                <w:u w:val="none"/>
                <w:shd w:fill="auto" w:val="clear"/>
                <w:vertAlign w:val="baseline"/>
                <w:rtl w:val="0"/>
              </w:rPr>
              <w:t xml:space="preserve">Aggeliki Papaconstantinou</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Calibri" w:cs="Calibri" w:eastAsia="Calibri" w:hAnsi="Calibri"/>
                <w:b w:val="0"/>
                <w:i w:val="0"/>
                <w:smallCaps w:val="0"/>
                <w:strike w:val="0"/>
                <w:color w:val="000000"/>
                <w:sz w:val="44"/>
                <w:szCs w:val="4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Email submission:if you are submitting this form via email, please tick this box </w:t>
            </w:r>
            <w:r w:rsidDel="00000000" w:rsidR="00000000" w:rsidRPr="00000000">
              <w:rPr>
                <w:rFonts w:ascii="Calibri" w:cs="Calibri" w:eastAsia="Calibri" w:hAnsi="Calibri"/>
                <w:b w:val="1"/>
                <w:i w:val="0"/>
                <w:smallCaps w:val="0"/>
                <w:strike w:val="0"/>
                <w:color w:val="000000"/>
                <w:sz w:val="44"/>
                <w:szCs w:val="4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(as a substitute for your signature) to confirm that you agree to the above declaration.</w:t>
            </w:r>
            <w:r w:rsidDel="00000000" w:rsidR="00000000" w:rsidRPr="00000000">
              <w:rPr>
                <w:rtl w:val="0"/>
              </w:rPr>
            </w:r>
          </w:p>
        </w:tc>
      </w:tr>
      <w:tr>
        <w:trPr>
          <w:cantSplit w:val="0"/>
          <w:trHeight w:val="3972" w:hRule="atLeast"/>
          <w:tblHeader w:val="0"/>
        </w:trPr>
        <w:tc>
          <w:tcPr>
            <w:gridSpan w:val="5"/>
            <w:vAlign w:val="top"/>
          </w:tcPr>
          <w:p w:rsidR="00000000" w:rsidDel="00000000" w:rsidP="00000000" w:rsidRDefault="00000000" w:rsidRPr="00000000" w14:paraId="00000037">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38">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rPr>
                <w:cantSplit w:val="0"/>
                <w:tblHeader w:val="0"/>
              </w:trPr>
              <w:tc>
                <w:tcPr>
                  <w:vAlign w:val="top"/>
                </w:tcPr>
                <w:p w:rsidR="00000000" w:rsidDel="00000000" w:rsidP="00000000" w:rsidRDefault="00000000" w:rsidRPr="00000000" w14:paraId="00000039">
                  <w:pP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3A">
                  <w:pP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1</w:t>
                  </w:r>
                  <w:r w:rsidDel="00000000" w:rsidR="00000000" w:rsidRPr="00000000">
                    <w:rPr>
                      <w:rFonts w:ascii="Arial" w:cs="Arial" w:eastAsia="Arial" w:hAnsi="Arial"/>
                      <w:sz w:val="20"/>
                      <w:szCs w:val="20"/>
                      <w:vertAlign w:val="superscript"/>
                      <w:rtl w:val="0"/>
                    </w:rPr>
                    <w:t xml:space="preserve">st</w:t>
                  </w:r>
                  <w:r w:rsidDel="00000000" w:rsidR="00000000" w:rsidRPr="00000000">
                    <w:rPr>
                      <w:rFonts w:ascii="Arial" w:cs="Arial" w:eastAsia="Arial" w:hAnsi="Arial"/>
                      <w:sz w:val="20"/>
                      <w:szCs w:val="20"/>
                      <w:vertAlign w:val="baseline"/>
                      <w:rtl w:val="0"/>
                    </w:rPr>
                    <w:t xml:space="preserve"> Marker’s Provisional mark</w:t>
                  </w:r>
                </w:p>
              </w:tc>
              <w:tc>
                <w:tcPr>
                  <w:vAlign w:val="top"/>
                </w:tcPr>
                <w:p w:rsidR="00000000" w:rsidDel="00000000" w:rsidP="00000000" w:rsidRDefault="00000000" w:rsidRPr="00000000" w14:paraId="0000003B">
                  <w:pPr>
                    <w:rPr>
                      <w:rFonts w:ascii="Arial" w:cs="Arial" w:eastAsia="Arial" w:hAnsi="Arial"/>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C">
                  <w:pP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3D">
                  <w:pP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2</w:t>
                  </w:r>
                  <w:r w:rsidDel="00000000" w:rsidR="00000000" w:rsidRPr="00000000">
                    <w:rPr>
                      <w:rFonts w:ascii="Arial" w:cs="Arial" w:eastAsia="Arial" w:hAnsi="Arial"/>
                      <w:sz w:val="20"/>
                      <w:szCs w:val="20"/>
                      <w:vertAlign w:val="superscript"/>
                      <w:rtl w:val="0"/>
                    </w:rPr>
                    <w:t xml:space="preserve">nd</w:t>
                  </w:r>
                  <w:r w:rsidDel="00000000" w:rsidR="00000000" w:rsidRPr="00000000">
                    <w:rPr>
                      <w:rFonts w:ascii="Arial" w:cs="Arial" w:eastAsia="Arial" w:hAnsi="Arial"/>
                      <w:sz w:val="20"/>
                      <w:szCs w:val="20"/>
                      <w:vertAlign w:val="baseline"/>
                      <w:rtl w:val="0"/>
                    </w:rPr>
                    <w:t xml:space="preserve"> Marker’s/Moderator’s provisional mark</w:t>
                  </w:r>
                </w:p>
              </w:tc>
              <w:tc>
                <w:tcPr>
                  <w:vAlign w:val="top"/>
                </w:tcPr>
                <w:p w:rsidR="00000000" w:rsidDel="00000000" w:rsidP="00000000" w:rsidRDefault="00000000" w:rsidRPr="00000000" w14:paraId="0000003E">
                  <w:pPr>
                    <w:rPr>
                      <w:rFonts w:ascii="Arial" w:cs="Arial" w:eastAsia="Arial" w:hAnsi="Arial"/>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F">
                  <w:pP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40">
                  <w:pPr>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External Examiner’s mark (if relevant)</w:t>
                  </w:r>
                </w:p>
              </w:tc>
              <w:tc>
                <w:tcPr>
                  <w:vAlign w:val="top"/>
                </w:tcPr>
                <w:p w:rsidR="00000000" w:rsidDel="00000000" w:rsidP="00000000" w:rsidRDefault="00000000" w:rsidRPr="00000000" w14:paraId="00000041">
                  <w:pPr>
                    <w:rPr>
                      <w:rFonts w:ascii="Arial" w:cs="Arial" w:eastAsia="Arial" w:hAnsi="Arial"/>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2">
                  <w:pPr>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43">
                  <w:pPr>
                    <w:rPr>
                      <w:rFonts w:ascii="Arial" w:cs="Arial" w:eastAsia="Arial" w:hAnsi="Arial"/>
                      <w:b w:val="0"/>
                      <w:sz w:val="20"/>
                      <w:szCs w:val="20"/>
                      <w:vertAlign w:val="baseline"/>
                    </w:rPr>
                  </w:pPr>
                  <w:r w:rsidDel="00000000" w:rsidR="00000000" w:rsidRPr="00000000">
                    <w:rPr>
                      <w:rFonts w:ascii="Arial" w:cs="Arial" w:eastAsia="Arial" w:hAnsi="Arial"/>
                      <w:b w:val="1"/>
                      <w:sz w:val="20"/>
                      <w:szCs w:val="20"/>
                      <w:vertAlign w:val="baseline"/>
                      <w:rtl w:val="0"/>
                    </w:rPr>
                    <w:t xml:space="preserve">Final Mark</w:t>
                  </w:r>
                  <w:r w:rsidDel="00000000" w:rsidR="00000000" w:rsidRPr="00000000">
                    <w:rPr>
                      <w:rtl w:val="0"/>
                    </w:rPr>
                  </w:r>
                </w:p>
                <w:p w:rsidR="00000000" w:rsidDel="00000000" w:rsidP="00000000" w:rsidRDefault="00000000" w:rsidRPr="00000000" w14:paraId="00000044">
                  <w:pPr>
                    <w:rPr>
                      <w:rFonts w:ascii="Arial" w:cs="Arial" w:eastAsia="Arial" w:hAnsi="Arial"/>
                      <w:sz w:val="20"/>
                      <w:szCs w:val="20"/>
                      <w:vertAlign w:val="baseline"/>
                    </w:rPr>
                  </w:pPr>
                  <w:r w:rsidDel="00000000" w:rsidR="00000000" w:rsidRPr="00000000">
                    <w:rPr>
                      <w:rtl w:val="0"/>
                    </w:rPr>
                  </w:r>
                </w:p>
              </w:tc>
              <w:tc>
                <w:tcPr>
                  <w:vAlign w:val="top"/>
                </w:tcPr>
                <w:p w:rsidR="00000000" w:rsidDel="00000000" w:rsidP="00000000" w:rsidRDefault="00000000" w:rsidRPr="00000000" w14:paraId="00000045">
                  <w:pPr>
                    <w:rPr>
                      <w:rFonts w:ascii="Arial" w:cs="Arial" w:eastAsia="Arial" w:hAnsi="Arial"/>
                      <w:sz w:val="20"/>
                      <w:szCs w:val="20"/>
                      <w:vertAlign w:val="baseline"/>
                    </w:rPr>
                  </w:pPr>
                  <w:r w:rsidDel="00000000" w:rsidR="00000000" w:rsidRPr="00000000">
                    <w:rPr>
                      <w:rtl w:val="0"/>
                    </w:rPr>
                  </w:r>
                </w:p>
              </w:tc>
            </w:tr>
          </w:tbl>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NB.</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All marks are provisional until confirmed by the Final Examination Board.</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For completion by Marker 1 :</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Comments:</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92" w:hRule="atLeast"/>
          <w:tblHeader w:val="0"/>
        </w:trPr>
        <w:tc>
          <w:tcPr>
            <w:gridSpan w:val="3"/>
            <w:vAlign w:val="top"/>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Marker’s signature:</w:t>
            </w:r>
          </w:p>
        </w:tc>
        <w:tc>
          <w:tcPr>
            <w:gridSpan w:val="2"/>
            <w:vAlign w:val="top"/>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Date:</w:t>
            </w:r>
          </w:p>
        </w:tc>
      </w:tr>
      <w:tr>
        <w:trPr>
          <w:cantSplit w:val="0"/>
          <w:tblHeader w:val="0"/>
        </w:trPr>
        <w:tc>
          <w:tcPr>
            <w:gridSpan w:val="5"/>
            <w:vAlign w:val="top"/>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For completion by Marker 2/Moderator:</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Comments:</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Marker’s Signature:</w:t>
            </w:r>
          </w:p>
        </w:tc>
        <w:tc>
          <w:tcPr>
            <w:gridSpan w:val="3"/>
            <w:vAlign w:val="top"/>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Date:</w:t>
            </w:r>
          </w:p>
        </w:tc>
      </w:tr>
      <w:tr>
        <w:trPr>
          <w:cantSplit w:val="0"/>
          <w:trHeight w:val="720" w:hRule="atLeast"/>
          <w:tblHeader w:val="0"/>
        </w:trPr>
        <w:tc>
          <w:tcPr>
            <w:gridSpan w:val="5"/>
            <w:vAlign w:val="top"/>
          </w:tcPr>
          <w:p w:rsidR="00000000" w:rsidDel="00000000" w:rsidP="00000000" w:rsidRDefault="00000000" w:rsidRPr="00000000" w14:paraId="00000072">
            <w:pPr>
              <w:rPr>
                <w:rFonts w:ascii="Arial" w:cs="Arial" w:eastAsia="Arial" w:hAnsi="Arial"/>
                <w:b w:val="0"/>
                <w:sz w:val="22"/>
                <w:szCs w:val="22"/>
                <w:vertAlign w:val="baseline"/>
              </w:rPr>
            </w:pPr>
            <w:r w:rsidDel="00000000" w:rsidR="00000000" w:rsidRPr="00000000">
              <w:rPr>
                <w:rFonts w:ascii="Arial" w:cs="Arial" w:eastAsia="Arial" w:hAnsi="Arial"/>
                <w:b w:val="1"/>
                <w:sz w:val="22"/>
                <w:szCs w:val="22"/>
                <w:vertAlign w:val="baseline"/>
                <w:rtl w:val="0"/>
              </w:rPr>
              <w:t xml:space="preserve">External Examiner’s comments (if relevant)</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82">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External Examiner’s Signature:</w:t>
            </w:r>
          </w:p>
        </w:tc>
        <w:tc>
          <w:tcPr>
            <w:gridSpan w:val="3"/>
            <w:vAlign w:val="top"/>
          </w:tcPr>
          <w:p w:rsidR="00000000" w:rsidDel="00000000" w:rsidP="00000000" w:rsidRDefault="00000000" w:rsidRPr="00000000" w14:paraId="00000084">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Date:</w:t>
            </w:r>
          </w:p>
        </w:tc>
      </w:tr>
    </w:tbl>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8">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9">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A">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B">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C">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D">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E">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F">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0">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1">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2">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3">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4">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5">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6">
      <w:pPr>
        <w:spacing w:after="360" w:line="276" w:lineRule="auto"/>
        <w:jc w:val="center"/>
        <w:rPr>
          <w:rFonts w:ascii="Arial" w:cs="Arial" w:eastAsia="Arial" w:hAnsi="Arial"/>
          <w:color w:val="404040"/>
        </w:rPr>
      </w:pPr>
      <w:r w:rsidDel="00000000" w:rsidR="00000000" w:rsidRPr="00000000">
        <w:rPr>
          <w:rFonts w:ascii="Arial" w:cs="Arial" w:eastAsia="Arial" w:hAnsi="Arial"/>
          <w:color w:val="404040"/>
          <w:rtl w:val="0"/>
        </w:rPr>
        <w:t xml:space="preserve">“To thee I cry, O lady of the gods,</w:t>
        <w:br w:type="textWrapping"/>
        <w:t xml:space="preserve">Lady of ladies, goddess without peer,</w:t>
        <w:br w:type="textWrapping"/>
        <w:t xml:space="preserve">Ishtar who shapes the lives of all mankind,</w:t>
        <w:br w:type="textWrapping"/>
        <w:t xml:space="preserve">Thou stately world queen, sovereign of the sky,</w:t>
        <w:br w:type="textWrapping"/>
        <w:t xml:space="preserve">And lady ruler of the host of heaven–</w:t>
        <w:br w:type="textWrapping"/>
        <w:t xml:space="preserve">Illustrious is thy name . . . O light divine,</w:t>
        <w:br w:type="textWrapping"/>
        <w:t xml:space="preserve">Gleaming in lofty splendor over the earth–</w:t>
        <w:br w:type="textWrapping"/>
        <w:t xml:space="preserve">Heroic daughter of the moon, oh! hear;</w:t>
        <w:br w:type="textWrapping"/>
        <w:t xml:space="preserve">... O Lady Judge,</w:t>
        <w:br w:type="textWrapping"/>
        <w:t xml:space="preserve">Thy ways are just and holy; thou dost gaze</w:t>
        <w:br w:type="textWrapping"/>
        <w:t xml:space="preserve">On sinners with compassion, and each morn</w:t>
        <w:br w:type="textWrapping"/>
        <w:t xml:space="preserve">Leadest the wayward to the rightful path.”</w:t>
      </w:r>
    </w:p>
    <w:p w:rsidR="00000000" w:rsidDel="00000000" w:rsidP="00000000" w:rsidRDefault="00000000" w:rsidRPr="00000000" w14:paraId="00000097">
      <w:pPr>
        <w:spacing w:after="360" w:line="276" w:lineRule="auto"/>
        <w:jc w:val="right"/>
        <w:rPr>
          <w:rFonts w:ascii="Arial" w:cs="Arial" w:eastAsia="Arial" w:hAnsi="Arial"/>
          <w:sz w:val="22"/>
          <w:szCs w:val="22"/>
        </w:rPr>
      </w:pPr>
      <w:r w:rsidDel="00000000" w:rsidR="00000000" w:rsidRPr="00000000">
        <w:rPr>
          <w:rFonts w:ascii="Arial" w:cs="Arial" w:eastAsia="Arial" w:hAnsi="Arial"/>
          <w:color w:val="404040"/>
          <w:rtl w:val="0"/>
        </w:rPr>
        <w:t xml:space="preserve">-Hymn to Ishtar</w:t>
      </w:r>
      <w:r w:rsidDel="00000000" w:rsidR="00000000" w:rsidRPr="00000000">
        <w:rPr>
          <w:rFonts w:ascii="Arial" w:cs="Arial" w:eastAsia="Arial" w:hAnsi="Arial"/>
          <w:color w:val="404040"/>
          <w:vertAlign w:val="superscript"/>
        </w:rPr>
        <w:footnoteReference w:customMarkFollows="0" w:id="0"/>
      </w:r>
      <w:r w:rsidDel="00000000" w:rsidR="00000000" w:rsidRPr="00000000">
        <w:rPr>
          <w:rtl w:val="0"/>
        </w:rPr>
      </w:r>
    </w:p>
    <w:p w:rsidR="00000000" w:rsidDel="00000000" w:rsidP="00000000" w:rsidRDefault="00000000" w:rsidRPr="00000000" w14:paraId="00000098">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9">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A">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essay examines the cultural significance of the Akkadian myth, “Descent of Ishtar to the Nether World,”</w:t>
      </w:r>
      <w:r w:rsidDel="00000000" w:rsidR="00000000" w:rsidRPr="00000000">
        <w:rPr>
          <w:rFonts w:ascii="Arial" w:cs="Arial" w:eastAsia="Arial" w:hAnsi="Arial"/>
          <w:sz w:val="22"/>
          <w:szCs w:val="22"/>
          <w:vertAlign w:val="superscript"/>
        </w:rPr>
        <w:footnoteReference w:customMarkFollows="0" w:id="1"/>
      </w:r>
      <w:r w:rsidDel="00000000" w:rsidR="00000000" w:rsidRPr="00000000">
        <w:rPr>
          <w:rFonts w:ascii="Arial" w:cs="Arial" w:eastAsia="Arial" w:hAnsi="Arial"/>
          <w:sz w:val="22"/>
          <w:szCs w:val="22"/>
          <w:rtl w:val="0"/>
        </w:rPr>
        <w:t xml:space="preserve"> in contemporary 21st century society, drawing parallels with Walt Disney’s 2016 animated film, Moana</w:t>
      </w:r>
      <w:r w:rsidDel="00000000" w:rsidR="00000000" w:rsidRPr="00000000">
        <w:rPr>
          <w:rFonts w:ascii="Arial" w:cs="Arial" w:eastAsia="Arial" w:hAnsi="Arial"/>
          <w:sz w:val="22"/>
          <w:szCs w:val="22"/>
          <w:vertAlign w:val="superscript"/>
        </w:rPr>
        <w:footnoteReference w:customMarkFollows="0" w:id="2"/>
      </w:r>
      <w:r w:rsidDel="00000000" w:rsidR="00000000" w:rsidRPr="00000000">
        <w:rPr>
          <w:rFonts w:ascii="Arial" w:cs="Arial" w:eastAsia="Arial" w:hAnsi="Arial"/>
          <w:sz w:val="22"/>
          <w:szCs w:val="22"/>
          <w:rtl w:val="0"/>
        </w:rPr>
        <w:t xml:space="preserve"> to examine the relationship of resonances between the two. Ishtar’s tale tells the story of a sky goddess’s descent to the land of the dead, her trials through its gates, and eventual return to the land of the living. If one considers myth as psychology’s predecessor and psychology as modern man’s myth, it would follow that stories of antiquity would be very much relevant to modern man’s experience.</w:t>
      </w:r>
      <w:r w:rsidDel="00000000" w:rsidR="00000000" w:rsidRPr="00000000">
        <w:rPr>
          <w:rFonts w:ascii="Arial" w:cs="Arial" w:eastAsia="Arial" w:hAnsi="Arial"/>
          <w:sz w:val="22"/>
          <w:szCs w:val="22"/>
          <w:vertAlign w:val="superscript"/>
        </w:rPr>
        <w:footnoteReference w:customMarkFollows="0" w:id="3"/>
      </w:r>
      <w:r w:rsidDel="00000000" w:rsidR="00000000" w:rsidRPr="00000000">
        <w:rPr>
          <w:rFonts w:ascii="Arial" w:cs="Arial" w:eastAsia="Arial" w:hAnsi="Arial"/>
          <w:sz w:val="22"/>
          <w:szCs w:val="22"/>
          <w:rtl w:val="0"/>
        </w:rPr>
        <w:t xml:space="preserve"> Mythologist Joseph Campbell goes so far as to say that man “ …cannot maintain himself in the universe without belief in some arrangement of the general inheritance of myth.”</w:t>
      </w:r>
      <w:r w:rsidDel="00000000" w:rsidR="00000000" w:rsidRPr="00000000">
        <w:rPr>
          <w:rFonts w:ascii="Arial" w:cs="Arial" w:eastAsia="Arial" w:hAnsi="Arial"/>
          <w:sz w:val="22"/>
          <w:szCs w:val="22"/>
          <w:vertAlign w:val="superscript"/>
        </w:rPr>
        <w:footnoteReference w:customMarkFollows="0" w:id="4"/>
      </w:r>
      <w:r w:rsidDel="00000000" w:rsidR="00000000" w:rsidRPr="00000000">
        <w:rPr>
          <w:rFonts w:ascii="Arial" w:cs="Arial" w:eastAsia="Arial" w:hAnsi="Arial"/>
          <w:sz w:val="22"/>
          <w:szCs w:val="22"/>
          <w:rtl w:val="0"/>
        </w:rPr>
        <w:t xml:space="preserve"> Ishtar would thus represent an archetype as Campbell suggests where she is not a result of lived human experience but of a structuring principle that supersedes history as in the human psyche.</w:t>
      </w:r>
      <w:r w:rsidDel="00000000" w:rsidR="00000000" w:rsidRPr="00000000">
        <w:rPr>
          <w:rFonts w:ascii="Arial" w:cs="Arial" w:eastAsia="Arial" w:hAnsi="Arial"/>
          <w:sz w:val="22"/>
          <w:szCs w:val="22"/>
          <w:vertAlign w:val="superscript"/>
        </w:rPr>
        <w:footnoteReference w:customMarkFollows="0" w:id="5"/>
      </w:r>
      <w:r w:rsidDel="00000000" w:rsidR="00000000" w:rsidRPr="00000000">
        <w:rPr>
          <w:rFonts w:ascii="Arial" w:cs="Arial" w:eastAsia="Arial" w:hAnsi="Arial"/>
          <w:sz w:val="22"/>
          <w:szCs w:val="22"/>
          <w:rtl w:val="0"/>
        </w:rPr>
        <w:t xml:space="preserve"> In comparatively studying world mythologies, Campbell was compelled to view the cultural history of humanity as a collective unit acknowledging that identical themes had worldwide distribution.</w:t>
      </w:r>
      <w:r w:rsidDel="00000000" w:rsidR="00000000" w:rsidRPr="00000000">
        <w:rPr>
          <w:rFonts w:ascii="Arial" w:cs="Arial" w:eastAsia="Arial" w:hAnsi="Arial"/>
          <w:sz w:val="22"/>
          <w:szCs w:val="22"/>
          <w:vertAlign w:val="superscript"/>
        </w:rPr>
        <w:footnoteReference w:customMarkFollows="0" w:id="6"/>
      </w:r>
      <w:r w:rsidDel="00000000" w:rsidR="00000000" w:rsidRPr="00000000">
        <w:rPr>
          <w:rFonts w:ascii="Arial" w:cs="Arial" w:eastAsia="Arial" w:hAnsi="Arial"/>
          <w:sz w:val="22"/>
          <w:szCs w:val="22"/>
          <w:rtl w:val="0"/>
        </w:rPr>
        <w:t xml:space="preserve"> Psychotherapist and Jungian analyst, Sylvia Brinton Perera, speaks also to the widespread theme of “the descent” as executed by a female goddess which can be found in myth as Greek Persephone, Japanese Izanami, Roman Psyche as well as in tales of heroines traveling to Mother Hulda, Baba Yaga or the gingerbread house witch.</w:t>
      </w:r>
      <w:r w:rsidDel="00000000" w:rsidR="00000000" w:rsidRPr="00000000">
        <w:rPr>
          <w:rFonts w:ascii="Arial" w:cs="Arial" w:eastAsia="Arial" w:hAnsi="Arial"/>
          <w:sz w:val="22"/>
          <w:szCs w:val="22"/>
          <w:vertAlign w:val="superscript"/>
        </w:rPr>
        <w:footnoteReference w:customMarkFollows="0" w:id="7"/>
      </w:r>
      <w:r w:rsidDel="00000000" w:rsidR="00000000" w:rsidRPr="00000000">
        <w:rPr>
          <w:rFonts w:ascii="Arial" w:cs="Arial" w:eastAsia="Arial" w:hAnsi="Arial"/>
          <w:sz w:val="22"/>
          <w:szCs w:val="22"/>
          <w:rtl w:val="0"/>
        </w:rPr>
        <w:t xml:space="preserve"> Campbell creates a dynamic visual likening mythological themes to the few elements of a kaleidoscope which lend themselves to endless possibilities by way of combination.</w:t>
      </w:r>
      <w:r w:rsidDel="00000000" w:rsidR="00000000" w:rsidRPr="00000000">
        <w:rPr>
          <w:rFonts w:ascii="Arial" w:cs="Arial" w:eastAsia="Arial" w:hAnsi="Arial"/>
          <w:sz w:val="22"/>
          <w:szCs w:val="22"/>
          <w:vertAlign w:val="superscript"/>
        </w:rPr>
        <w:footnoteReference w:customMarkFollows="0" w:id="8"/>
      </w:r>
      <w:r w:rsidDel="00000000" w:rsidR="00000000" w:rsidRPr="00000000">
        <w:rPr>
          <w:rFonts w:ascii="Arial" w:cs="Arial" w:eastAsia="Arial" w:hAnsi="Arial"/>
          <w:sz w:val="22"/>
          <w:szCs w:val="22"/>
          <w:rtl w:val="0"/>
        </w:rPr>
        <w:t xml:space="preserve"> This essay will focus on the “land of the dead” and "resurrected hero” as two of these kaleidoscope pieces which give the myth of Ishtar its universal appeal and take on new shape and form to produce Moana in present day society.  </w:t>
      </w:r>
    </w:p>
    <w:p w:rsidR="00000000" w:rsidDel="00000000" w:rsidP="00000000" w:rsidRDefault="00000000" w:rsidRPr="00000000" w14:paraId="0000009B">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C">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Archaeological evidence has found clay tablets dating back to the third millennium B.C inscribed with the myth of Sumerian queen of heaven and earth, Inanna, though the story is quite possibly much older through oral tradition.</w:t>
      </w:r>
      <w:r w:rsidDel="00000000" w:rsidR="00000000" w:rsidRPr="00000000">
        <w:rPr>
          <w:rFonts w:ascii="Arial" w:cs="Arial" w:eastAsia="Arial" w:hAnsi="Arial"/>
          <w:sz w:val="22"/>
          <w:szCs w:val="22"/>
          <w:vertAlign w:val="superscript"/>
        </w:rPr>
        <w:footnoteReference w:customMarkFollows="0" w:id="9"/>
      </w:r>
      <w:r w:rsidDel="00000000" w:rsidR="00000000" w:rsidRPr="00000000">
        <w:rPr>
          <w:rFonts w:ascii="Arial" w:cs="Arial" w:eastAsia="Arial" w:hAnsi="Arial"/>
          <w:sz w:val="22"/>
          <w:szCs w:val="22"/>
          <w:rtl w:val="0"/>
        </w:rPr>
        <w:t xml:space="preserve"> The Sumerian version predecesses the Akkadian and is derived through two versions: one from Ashur (dating to the end of the second millennium B.C) and the other from Nineveh.</w:t>
      </w:r>
      <w:r w:rsidDel="00000000" w:rsidR="00000000" w:rsidRPr="00000000">
        <w:rPr>
          <w:rFonts w:ascii="Arial" w:cs="Arial" w:eastAsia="Arial" w:hAnsi="Arial"/>
          <w:sz w:val="22"/>
          <w:szCs w:val="22"/>
          <w:vertAlign w:val="superscript"/>
        </w:rPr>
        <w:footnoteReference w:customMarkFollows="0" w:id="10"/>
      </w:r>
      <w:r w:rsidDel="00000000" w:rsidR="00000000" w:rsidRPr="00000000">
        <w:rPr>
          <w:rFonts w:ascii="Arial" w:cs="Arial" w:eastAsia="Arial" w:hAnsi="Arial"/>
          <w:sz w:val="22"/>
          <w:szCs w:val="22"/>
          <w:rtl w:val="0"/>
        </w:rPr>
        <w:t xml:space="preserve"> Given the uncontested relationship between the two deities of Sumerian Innana and Semitic Ishtar, the goddess names will be used interchangeably based on the nature of the supporting literature. </w:t>
      </w:r>
    </w:p>
    <w:p w:rsidR="00000000" w:rsidDel="00000000" w:rsidP="00000000" w:rsidRDefault="00000000" w:rsidRPr="00000000" w14:paraId="0000009D">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E">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Moana tells the fictional story of the sixteen year old daughter of the island chief of the paradisical island of Motunui.</w:t>
      </w:r>
      <w:r w:rsidDel="00000000" w:rsidR="00000000" w:rsidRPr="00000000">
        <w:rPr>
          <w:rFonts w:ascii="Arial" w:cs="Arial" w:eastAsia="Arial" w:hAnsi="Arial"/>
          <w:sz w:val="22"/>
          <w:szCs w:val="22"/>
          <w:vertAlign w:val="superscript"/>
        </w:rPr>
        <w:footnoteReference w:customMarkFollows="0" w:id="11"/>
      </w:r>
      <w:r w:rsidDel="00000000" w:rsidR="00000000" w:rsidRPr="00000000">
        <w:rPr>
          <w:rFonts w:ascii="Arial" w:cs="Arial" w:eastAsia="Arial" w:hAnsi="Arial"/>
          <w:sz w:val="22"/>
          <w:szCs w:val="22"/>
          <w:rtl w:val="0"/>
        </w:rPr>
        <w:t xml:space="preserve"> Disney’s big screen adaptation references Polynesian culture and tradition using images, words and music to track Moana’s rite-of-passage from daughter of chief to becoming a chief herself. The majority of the film takes place on or in the water which is a particularly significant element in Polynesian culture as sacred to life and revered are those with the power to direct water.</w:t>
      </w:r>
      <w:r w:rsidDel="00000000" w:rsidR="00000000" w:rsidRPr="00000000">
        <w:rPr>
          <w:rFonts w:ascii="Arial" w:cs="Arial" w:eastAsia="Arial" w:hAnsi="Arial"/>
          <w:sz w:val="22"/>
          <w:szCs w:val="22"/>
          <w:vertAlign w:val="superscript"/>
        </w:rPr>
        <w:footnoteReference w:customMarkFollows="0" w:id="12"/>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9F">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0">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Ishtar’s descent, as like myth in general, may be interpreted on a multitude of levels; for the purposes of this essay and while acknowledging the limitations herewith in breadth and scope, Sylvia Brinton Perera’s four vantage points will be used for further dissemination. This is not meant to be exhaustive or definitive but helps to articulate the varying forms of resonance between Ishtar’s descent and cultural application</w:t>
      </w:r>
      <w:r w:rsidDel="00000000" w:rsidR="00000000" w:rsidRPr="00000000">
        <w:rPr>
          <w:rFonts w:ascii="Arial" w:cs="Arial" w:eastAsia="Arial" w:hAnsi="Arial"/>
          <w:sz w:val="22"/>
          <w:szCs w:val="22"/>
          <w:vertAlign w:val="superscript"/>
        </w:rPr>
        <w:footnoteReference w:customMarkFollows="0" w:id="13"/>
      </w:r>
      <w:r w:rsidDel="00000000" w:rsidR="00000000" w:rsidRPr="00000000">
        <w:rPr>
          <w:rFonts w:ascii="Arial" w:cs="Arial" w:eastAsia="Arial" w:hAnsi="Arial"/>
          <w:sz w:val="22"/>
          <w:szCs w:val="22"/>
          <w:rtl w:val="0"/>
        </w:rPr>
        <w:t xml:space="preserve"> in order to critically examine commonality within Moana as a product of today’s zeitgeist. Perera suggests that Ishtar’s descent may be interpreted to explain the following four points:</w:t>
      </w:r>
      <w:r w:rsidDel="00000000" w:rsidR="00000000" w:rsidRPr="00000000">
        <w:rPr>
          <w:rFonts w:ascii="Arial" w:cs="Arial" w:eastAsia="Arial" w:hAnsi="Arial"/>
          <w:sz w:val="22"/>
          <w:szCs w:val="22"/>
          <w:vertAlign w:val="superscript"/>
        </w:rPr>
        <w:footnoteReference w:customMarkFollows="0" w:id="14"/>
      </w:r>
      <w:r w:rsidDel="00000000" w:rsidR="00000000" w:rsidRPr="00000000">
        <w:rPr>
          <w:rtl w:val="0"/>
        </w:rPr>
      </w:r>
    </w:p>
    <w:p w:rsidR="00000000" w:rsidDel="00000000" w:rsidP="00000000" w:rsidRDefault="00000000" w:rsidRPr="00000000" w14:paraId="000000A1">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2">
      <w:pPr>
        <w:numPr>
          <w:ilvl w:val="0"/>
          <w:numId w:val="1"/>
        </w:numPr>
        <w:spacing w:line="276" w:lineRule="auto"/>
        <w:ind w:left="144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Nature: rhythmic movement through seasons, movement of astronomical bodies and tracking agricultural curing processes.</w:t>
      </w:r>
    </w:p>
    <w:p w:rsidR="00000000" w:rsidDel="00000000" w:rsidP="00000000" w:rsidRDefault="00000000" w:rsidRPr="00000000" w14:paraId="000000A3">
      <w:pPr>
        <w:numPr>
          <w:ilvl w:val="0"/>
          <w:numId w:val="1"/>
        </w:numPr>
        <w:spacing w:line="276" w:lineRule="auto"/>
        <w:ind w:left="144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Initiation: Ishtar’s descent traced through passage of gates as rites of initiation to attaining wisdom and personal transformation.</w:t>
      </w:r>
    </w:p>
    <w:p w:rsidR="00000000" w:rsidDel="00000000" w:rsidP="00000000" w:rsidRDefault="00000000" w:rsidRPr="00000000" w14:paraId="000000A4">
      <w:pPr>
        <w:numPr>
          <w:ilvl w:val="0"/>
          <w:numId w:val="1"/>
        </w:numPr>
        <w:spacing w:line="276" w:lineRule="auto"/>
        <w:ind w:left="144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Psychology: a reclaiming of our lost or repressed parts such as the darker forces of life on earth and the unconscious. </w:t>
      </w:r>
    </w:p>
    <w:p w:rsidR="00000000" w:rsidDel="00000000" w:rsidP="00000000" w:rsidRDefault="00000000" w:rsidRPr="00000000" w14:paraId="000000A5">
      <w:pPr>
        <w:numPr>
          <w:ilvl w:val="0"/>
          <w:numId w:val="1"/>
        </w:numPr>
        <w:spacing w:line="276" w:lineRule="auto"/>
        <w:ind w:left="144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Sovereignty: a call to restore the balance within predominantly patriarchal and Western societies.</w:t>
      </w:r>
      <w:r w:rsidDel="00000000" w:rsidR="00000000" w:rsidRPr="00000000">
        <w:rPr>
          <w:rFonts w:ascii="Arial" w:cs="Arial" w:eastAsia="Arial" w:hAnsi="Arial"/>
          <w:sz w:val="22"/>
          <w:szCs w:val="22"/>
          <w:vertAlign w:val="superscript"/>
        </w:rPr>
        <w:footnoteReference w:customMarkFollows="0" w:id="15"/>
      </w:r>
      <w:r w:rsidDel="00000000" w:rsidR="00000000" w:rsidRPr="00000000">
        <w:rPr>
          <w:rtl w:val="0"/>
        </w:rPr>
      </w:r>
    </w:p>
    <w:p w:rsidR="00000000" w:rsidDel="00000000" w:rsidP="00000000" w:rsidRDefault="00000000" w:rsidRPr="00000000" w14:paraId="000000A6">
      <w:pPr>
        <w:spacing w:line="276" w:lineRule="auto"/>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Nature</w:t>
      </w:r>
    </w:p>
    <w:p w:rsidR="00000000" w:rsidDel="00000000" w:rsidP="00000000" w:rsidRDefault="00000000" w:rsidRPr="00000000" w14:paraId="000000A7">
      <w:pPr>
        <w:spacing w:line="276" w:lineRule="auto"/>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A8">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While Ishtar is associated with several celestial objects including Venus</w:t>
      </w:r>
      <w:r w:rsidDel="00000000" w:rsidR="00000000" w:rsidRPr="00000000">
        <w:rPr>
          <w:rFonts w:ascii="Arial" w:cs="Arial" w:eastAsia="Arial" w:hAnsi="Arial"/>
          <w:sz w:val="22"/>
          <w:szCs w:val="22"/>
          <w:vertAlign w:val="superscript"/>
        </w:rPr>
        <w:footnoteReference w:customMarkFollows="0" w:id="16"/>
      </w:r>
      <w:r w:rsidDel="00000000" w:rsidR="00000000" w:rsidRPr="00000000">
        <w:rPr>
          <w:rFonts w:ascii="Arial" w:cs="Arial" w:eastAsia="Arial" w:hAnsi="Arial"/>
          <w:sz w:val="22"/>
          <w:szCs w:val="22"/>
          <w:rtl w:val="0"/>
        </w:rPr>
        <w:t xml:space="preserve"> and Sirius star</w:t>
      </w:r>
      <w:r w:rsidDel="00000000" w:rsidR="00000000" w:rsidRPr="00000000">
        <w:rPr>
          <w:rFonts w:ascii="Arial" w:cs="Arial" w:eastAsia="Arial" w:hAnsi="Arial"/>
          <w:sz w:val="22"/>
          <w:szCs w:val="22"/>
          <w:vertAlign w:val="superscript"/>
        </w:rPr>
        <w:footnoteReference w:customMarkFollows="0" w:id="17"/>
      </w:r>
      <w:r w:rsidDel="00000000" w:rsidR="00000000" w:rsidRPr="00000000">
        <w:rPr>
          <w:rFonts w:ascii="Arial" w:cs="Arial" w:eastAsia="Arial" w:hAnsi="Arial"/>
          <w:sz w:val="22"/>
          <w:szCs w:val="22"/>
          <w:rtl w:val="0"/>
        </w:rPr>
        <w:t xml:space="preserve"> Barring and Cashford believe that she is “...above all, a lunar goddess who gives life as the waxing moon and then withdraws it as the waning moon.”</w:t>
      </w:r>
      <w:r w:rsidDel="00000000" w:rsidR="00000000" w:rsidRPr="00000000">
        <w:rPr>
          <w:rFonts w:ascii="Arial" w:cs="Arial" w:eastAsia="Arial" w:hAnsi="Arial"/>
          <w:sz w:val="22"/>
          <w:szCs w:val="22"/>
          <w:vertAlign w:val="superscript"/>
        </w:rPr>
        <w:footnoteReference w:customMarkFollows="0" w:id="18"/>
      </w:r>
      <w:r w:rsidDel="00000000" w:rsidR="00000000" w:rsidRPr="00000000">
        <w:rPr>
          <w:rFonts w:ascii="Arial" w:cs="Arial" w:eastAsia="Arial" w:hAnsi="Arial"/>
          <w:sz w:val="22"/>
          <w:szCs w:val="22"/>
          <w:rtl w:val="0"/>
        </w:rPr>
        <w:t xml:space="preserve"> This conception is drawn from artifact imagery (the goddess is depicted as wearing crescent horned head-dress and holding a serpent staff),</w:t>
      </w:r>
      <w:r w:rsidDel="00000000" w:rsidR="00000000" w:rsidRPr="00000000">
        <w:rPr>
          <w:rFonts w:ascii="Arial" w:cs="Arial" w:eastAsia="Arial" w:hAnsi="Arial"/>
          <w:sz w:val="22"/>
          <w:szCs w:val="22"/>
          <w:vertAlign w:val="superscript"/>
        </w:rPr>
        <w:footnoteReference w:customMarkFollows="0" w:id="19"/>
      </w:r>
      <w:r w:rsidDel="00000000" w:rsidR="00000000" w:rsidRPr="00000000">
        <w:rPr>
          <w:rFonts w:ascii="Arial" w:cs="Arial" w:eastAsia="Arial" w:hAnsi="Arial"/>
          <w:sz w:val="22"/>
          <w:szCs w:val="22"/>
          <w:rtl w:val="0"/>
        </w:rPr>
        <w:t xml:space="preserve"> mythological correspondences such as the light and dark dimensions of her power and her death and return upon the trade of her lover which illustrate the dual nature of the moon’s balance as life bringer and taker.</w:t>
      </w:r>
      <w:r w:rsidDel="00000000" w:rsidR="00000000" w:rsidRPr="00000000">
        <w:rPr>
          <w:rFonts w:ascii="Arial" w:cs="Arial" w:eastAsia="Arial" w:hAnsi="Arial"/>
          <w:sz w:val="22"/>
          <w:szCs w:val="22"/>
          <w:vertAlign w:val="superscript"/>
        </w:rPr>
        <w:footnoteReference w:customMarkFollows="0" w:id="20"/>
      </w:r>
      <w:r w:rsidDel="00000000" w:rsidR="00000000" w:rsidRPr="00000000">
        <w:rPr>
          <w:rFonts w:ascii="Arial" w:cs="Arial" w:eastAsia="Arial" w:hAnsi="Arial"/>
          <w:sz w:val="22"/>
          <w:szCs w:val="22"/>
          <w:rtl w:val="0"/>
        </w:rPr>
        <w:t xml:space="preserve"> Ishtar may also represent the earth’s rhythmic nature as it moves from fertility to barrenness,</w:t>
      </w:r>
      <w:r w:rsidDel="00000000" w:rsidR="00000000" w:rsidRPr="00000000">
        <w:rPr>
          <w:rFonts w:ascii="Arial" w:cs="Arial" w:eastAsia="Arial" w:hAnsi="Arial"/>
          <w:sz w:val="22"/>
          <w:szCs w:val="22"/>
          <w:vertAlign w:val="superscript"/>
        </w:rPr>
        <w:footnoteReference w:customMarkFollows="0" w:id="21"/>
      </w:r>
      <w:r w:rsidDel="00000000" w:rsidR="00000000" w:rsidRPr="00000000">
        <w:rPr>
          <w:rFonts w:ascii="Arial" w:cs="Arial" w:eastAsia="Arial" w:hAnsi="Arial"/>
          <w:sz w:val="22"/>
          <w:szCs w:val="22"/>
          <w:rtl w:val="0"/>
        </w:rPr>
        <w:t xml:space="preserve"> the abundance and waning of storehouses and the transformation of grain/grape through fermentation processes.</w:t>
      </w:r>
      <w:r w:rsidDel="00000000" w:rsidR="00000000" w:rsidRPr="00000000">
        <w:rPr>
          <w:rFonts w:ascii="Arial" w:cs="Arial" w:eastAsia="Arial" w:hAnsi="Arial"/>
          <w:sz w:val="22"/>
          <w:szCs w:val="22"/>
          <w:vertAlign w:val="superscript"/>
        </w:rPr>
        <w:footnoteReference w:customMarkFollows="0" w:id="22"/>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A9">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A">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Campbell’s studies on Eastern culture indicate how a basic tenet of Eastern myth describes the eternal cycles of being such as the natural rhythms of birth, death and new birth.</w:t>
      </w:r>
      <w:r w:rsidDel="00000000" w:rsidR="00000000" w:rsidRPr="00000000">
        <w:rPr>
          <w:rFonts w:ascii="Arial" w:cs="Arial" w:eastAsia="Arial" w:hAnsi="Arial"/>
          <w:sz w:val="22"/>
          <w:szCs w:val="22"/>
          <w:vertAlign w:val="superscript"/>
        </w:rPr>
        <w:footnoteReference w:customMarkFollows="0" w:id="23"/>
      </w:r>
      <w:r w:rsidDel="00000000" w:rsidR="00000000" w:rsidRPr="00000000">
        <w:rPr>
          <w:rFonts w:ascii="Arial" w:cs="Arial" w:eastAsia="Arial" w:hAnsi="Arial"/>
          <w:sz w:val="22"/>
          <w:szCs w:val="22"/>
          <w:rtl w:val="0"/>
        </w:rPr>
        <w:t xml:space="preserve"> The functions of the daily rising and setting of the sun and the moon’s cyclic waxing and waning have always been and will always be and this represents a “...principle of continuous creation that is fundamental to the nature of the universe.”</w:t>
      </w:r>
      <w:r w:rsidDel="00000000" w:rsidR="00000000" w:rsidRPr="00000000">
        <w:rPr>
          <w:rFonts w:ascii="Arial" w:cs="Arial" w:eastAsia="Arial" w:hAnsi="Arial"/>
          <w:sz w:val="22"/>
          <w:szCs w:val="22"/>
          <w:vertAlign w:val="superscript"/>
        </w:rPr>
        <w:footnoteReference w:customMarkFollows="0" w:id="24"/>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AB">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C">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When discussing nature in this section, we speak of cycles of being where the death of the organic body speaks to a stage in cyclical ways. The literal death of Moana’s grandmother may signal an acknowledgement of impermanence and movement. Moana’s overarching theme is her crossing of the forbidden reef (discussed in greater length as “initiation”). When Moana begins to understand the nature of her call to explore uncharted territory, the viewer is drawn to her dying grandmother Tala in her hut signalled by dimming light and wind passing through the trees following a path to the water.</w:t>
      </w:r>
      <w:r w:rsidDel="00000000" w:rsidR="00000000" w:rsidRPr="00000000">
        <w:rPr>
          <w:rFonts w:ascii="Arial" w:cs="Arial" w:eastAsia="Arial" w:hAnsi="Arial"/>
          <w:sz w:val="22"/>
          <w:szCs w:val="22"/>
          <w:vertAlign w:val="superscript"/>
        </w:rPr>
        <w:footnoteReference w:customMarkFollows="0" w:id="25"/>
      </w:r>
      <w:r w:rsidDel="00000000" w:rsidR="00000000" w:rsidRPr="00000000">
        <w:rPr>
          <w:rFonts w:ascii="Arial" w:cs="Arial" w:eastAsia="Arial" w:hAnsi="Arial"/>
          <w:sz w:val="22"/>
          <w:szCs w:val="22"/>
          <w:rtl w:val="0"/>
        </w:rPr>
        <w:t xml:space="preserve"> Grandmother Tala is the leading voice of encouragement and support of Moana’s journey and is the one who helps Moana articulate and synthesize the proposed mission. At the time of her death, Moana is given her iconized amulet which she will wear around her neck for the duration of the film. Tala’s death is immediately followed by a determined Moana setting sail for the first time in her life and with the support of a glowing manta ray insinuated to be the spirit of Tala. We witness an essence of reciprocal balance of death and renewal; something dies to fuel a budding new life force both as Tala’s incarnated spirit and in Moana’s grief to renewed spirit.</w:t>
      </w:r>
    </w:p>
    <w:p w:rsidR="00000000" w:rsidDel="00000000" w:rsidP="00000000" w:rsidRDefault="00000000" w:rsidRPr="00000000" w14:paraId="000000AD">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E">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Ecological examples of human kinship with nature are seen throughout Moana as series of interactions with the ocean</w:t>
      </w:r>
      <w:r w:rsidDel="00000000" w:rsidR="00000000" w:rsidRPr="00000000">
        <w:rPr>
          <w:rFonts w:ascii="Arial" w:cs="Arial" w:eastAsia="Arial" w:hAnsi="Arial"/>
          <w:sz w:val="22"/>
          <w:szCs w:val="22"/>
          <w:vertAlign w:val="superscript"/>
        </w:rPr>
        <w:footnoteReference w:customMarkFollows="0" w:id="26"/>
      </w:r>
      <w:r w:rsidDel="00000000" w:rsidR="00000000" w:rsidRPr="00000000">
        <w:rPr>
          <w:rFonts w:ascii="Arial" w:cs="Arial" w:eastAsia="Arial" w:hAnsi="Arial"/>
          <w:sz w:val="22"/>
          <w:szCs w:val="22"/>
          <w:rtl w:val="0"/>
        </w:rPr>
        <w:t xml:space="preserve"> as well as a scene of antagonism as Moana insults the ocean in indignation to the capsizing and beaching of her canoe.</w:t>
      </w:r>
      <w:r w:rsidDel="00000000" w:rsidR="00000000" w:rsidRPr="00000000">
        <w:rPr>
          <w:rFonts w:ascii="Arial" w:cs="Arial" w:eastAsia="Arial" w:hAnsi="Arial"/>
          <w:sz w:val="22"/>
          <w:szCs w:val="22"/>
          <w:vertAlign w:val="superscript"/>
        </w:rPr>
        <w:footnoteReference w:customMarkFollows="0" w:id="27"/>
      </w:r>
      <w:r w:rsidDel="00000000" w:rsidR="00000000" w:rsidRPr="00000000">
        <w:rPr>
          <w:rFonts w:ascii="Arial" w:cs="Arial" w:eastAsia="Arial" w:hAnsi="Arial"/>
          <w:sz w:val="22"/>
          <w:szCs w:val="22"/>
          <w:rtl w:val="0"/>
        </w:rPr>
        <w:t xml:space="preserve"> While valuable to also consider the literal ecological values or impacts of the film as exotic imagery of capitalistic interest set on Oceana,</w:t>
      </w:r>
      <w:r w:rsidDel="00000000" w:rsidR="00000000" w:rsidRPr="00000000">
        <w:rPr>
          <w:rFonts w:ascii="Arial" w:cs="Arial" w:eastAsia="Arial" w:hAnsi="Arial"/>
          <w:sz w:val="22"/>
          <w:szCs w:val="22"/>
          <w:vertAlign w:val="superscript"/>
        </w:rPr>
        <w:footnoteReference w:customMarkFollows="0" w:id="28"/>
      </w:r>
      <w:r w:rsidDel="00000000" w:rsidR="00000000" w:rsidRPr="00000000">
        <w:rPr>
          <w:rFonts w:ascii="Arial" w:cs="Arial" w:eastAsia="Arial" w:hAnsi="Arial"/>
          <w:sz w:val="22"/>
          <w:szCs w:val="22"/>
          <w:rtl w:val="0"/>
        </w:rPr>
        <w:t xml:space="preserve"> a Western obsession with ever-expanding frontiers and exploitive resource acquisition</w:t>
      </w:r>
      <w:r w:rsidDel="00000000" w:rsidR="00000000" w:rsidRPr="00000000">
        <w:rPr>
          <w:rFonts w:ascii="Arial" w:cs="Arial" w:eastAsia="Arial" w:hAnsi="Arial"/>
          <w:sz w:val="22"/>
          <w:szCs w:val="22"/>
          <w:vertAlign w:val="superscript"/>
        </w:rPr>
        <w:footnoteReference w:customMarkFollows="0" w:id="29"/>
      </w:r>
      <w:r w:rsidDel="00000000" w:rsidR="00000000" w:rsidRPr="00000000">
        <w:rPr>
          <w:rFonts w:ascii="Arial" w:cs="Arial" w:eastAsia="Arial" w:hAnsi="Arial"/>
          <w:sz w:val="22"/>
          <w:szCs w:val="22"/>
          <w:rtl w:val="0"/>
        </w:rPr>
        <w:t xml:space="preserve"> or the impact of Disney’s carbon-intensive global tourism and mass market licensed merchandise,</w:t>
      </w:r>
      <w:r w:rsidDel="00000000" w:rsidR="00000000" w:rsidRPr="00000000">
        <w:rPr>
          <w:rFonts w:ascii="Arial" w:cs="Arial" w:eastAsia="Arial" w:hAnsi="Arial"/>
          <w:sz w:val="22"/>
          <w:szCs w:val="22"/>
          <w:vertAlign w:val="superscript"/>
        </w:rPr>
        <w:footnoteReference w:customMarkFollows="0" w:id="30"/>
      </w:r>
      <w:r w:rsidDel="00000000" w:rsidR="00000000" w:rsidRPr="00000000">
        <w:rPr>
          <w:rFonts w:ascii="Arial" w:cs="Arial" w:eastAsia="Arial" w:hAnsi="Arial"/>
          <w:sz w:val="22"/>
          <w:szCs w:val="22"/>
          <w:rtl w:val="0"/>
        </w:rPr>
        <w:t xml:space="preserve"> these themes lie outside the scope of this study as we look to resonances of nature’s rhythmic cyclic nature as in Ishtar’s descent. </w:t>
      </w:r>
    </w:p>
    <w:p w:rsidR="00000000" w:rsidDel="00000000" w:rsidP="00000000" w:rsidRDefault="00000000" w:rsidRPr="00000000" w14:paraId="000000AF">
      <w:pPr>
        <w:spacing w:line="276" w:lineRule="auto"/>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B0">
      <w:pPr>
        <w:spacing w:line="276" w:lineRule="auto"/>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Initiation</w:t>
      </w:r>
    </w:p>
    <w:p w:rsidR="00000000" w:rsidDel="00000000" w:rsidP="00000000" w:rsidRDefault="00000000" w:rsidRPr="00000000" w14:paraId="000000B1">
      <w:pPr>
        <w:spacing w:line="276" w:lineRule="auto"/>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B2">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Ishtar’s passage through seven gates where something is left behind at each, may represent an initiation to the mysteries where descent culminates to enhancement of life through submission and death.</w:t>
      </w:r>
      <w:r w:rsidDel="00000000" w:rsidR="00000000" w:rsidRPr="00000000">
        <w:rPr>
          <w:rFonts w:ascii="Arial" w:cs="Arial" w:eastAsia="Arial" w:hAnsi="Arial"/>
          <w:sz w:val="22"/>
          <w:szCs w:val="22"/>
          <w:vertAlign w:val="superscript"/>
        </w:rPr>
        <w:footnoteReference w:customMarkFollows="0" w:id="31"/>
      </w:r>
      <w:r w:rsidDel="00000000" w:rsidR="00000000" w:rsidRPr="00000000">
        <w:rPr>
          <w:rFonts w:ascii="Arial" w:cs="Arial" w:eastAsia="Arial" w:hAnsi="Arial"/>
          <w:sz w:val="22"/>
          <w:szCs w:val="22"/>
          <w:rtl w:val="0"/>
        </w:rPr>
        <w:t xml:space="preserve"> Initiation is the motif which most straightforwardly links Moana to Ishtar; perhaps due to contemporary hero culture and the propensity to look for and create models steeped in goal recognition and achievement. Moana’s fundamental plot can be viewed as an obvious commissioning of Joseph Campbell’s hero’s journey as in “The Hero with a Thousand Faces”</w:t>
      </w:r>
      <w:r w:rsidDel="00000000" w:rsidR="00000000" w:rsidRPr="00000000">
        <w:rPr>
          <w:rFonts w:ascii="Arial" w:cs="Arial" w:eastAsia="Arial" w:hAnsi="Arial"/>
          <w:sz w:val="22"/>
          <w:szCs w:val="22"/>
          <w:vertAlign w:val="superscript"/>
        </w:rPr>
        <w:footnoteReference w:customMarkFollows="0" w:id="32"/>
      </w:r>
      <w:r w:rsidDel="00000000" w:rsidR="00000000" w:rsidRPr="00000000">
        <w:rPr>
          <w:rFonts w:ascii="Arial" w:cs="Arial" w:eastAsia="Arial" w:hAnsi="Arial"/>
          <w:sz w:val="22"/>
          <w:szCs w:val="22"/>
          <w:rtl w:val="0"/>
        </w:rPr>
        <w:t xml:space="preserve"> where one voyages away from home to confront their shortcomings through a series of trials before returning home as a forever altered and self-realized individual. The cosmic journey prevalent in the Eastern Mediterranean region of the Iron Age was thought to model the Egyptian tracking of the sun god traveling twelve hours in the darkness of the underworld following twelve hours in the sky.</w:t>
      </w:r>
      <w:r w:rsidDel="00000000" w:rsidR="00000000" w:rsidRPr="00000000">
        <w:rPr>
          <w:rFonts w:ascii="Arial" w:cs="Arial" w:eastAsia="Arial" w:hAnsi="Arial"/>
          <w:sz w:val="22"/>
          <w:szCs w:val="22"/>
          <w:vertAlign w:val="superscript"/>
        </w:rPr>
        <w:footnoteReference w:customMarkFollows="0" w:id="33"/>
      </w:r>
      <w:r w:rsidDel="00000000" w:rsidR="00000000" w:rsidRPr="00000000">
        <w:rPr>
          <w:rFonts w:ascii="Arial" w:cs="Arial" w:eastAsia="Arial" w:hAnsi="Arial"/>
          <w:sz w:val="22"/>
          <w:szCs w:val="22"/>
          <w:rtl w:val="0"/>
        </w:rPr>
        <w:t xml:space="preserve"> Campbell’s concept of ‘monomyth', the archetypal hero’s journey assumed to lie at the root of many of the world’s stories, has been criticized for its universalist, anthropology-based approach though it is without question that heroes and heroism have migrated to a global scale.</w:t>
      </w:r>
      <w:r w:rsidDel="00000000" w:rsidR="00000000" w:rsidRPr="00000000">
        <w:rPr>
          <w:rFonts w:ascii="Arial" w:cs="Arial" w:eastAsia="Arial" w:hAnsi="Arial"/>
          <w:sz w:val="22"/>
          <w:szCs w:val="22"/>
          <w:vertAlign w:val="superscript"/>
        </w:rPr>
        <w:footnoteReference w:customMarkFollows="0" w:id="34"/>
      </w:r>
      <w:r w:rsidDel="00000000" w:rsidR="00000000" w:rsidRPr="00000000">
        <w:rPr>
          <w:rFonts w:ascii="Arial" w:cs="Arial" w:eastAsia="Arial" w:hAnsi="Arial"/>
          <w:sz w:val="22"/>
          <w:szCs w:val="22"/>
          <w:rtl w:val="0"/>
        </w:rPr>
        <w:t xml:space="preserve"> Consequently, Perera notes that initiation in the West involves opening to different levels of consciousness allowing a union within nature/cosmos lost through goal-directed development.</w:t>
      </w:r>
      <w:r w:rsidDel="00000000" w:rsidR="00000000" w:rsidRPr="00000000">
        <w:rPr>
          <w:rFonts w:ascii="Arial" w:cs="Arial" w:eastAsia="Arial" w:hAnsi="Arial"/>
          <w:sz w:val="22"/>
          <w:szCs w:val="22"/>
          <w:vertAlign w:val="superscript"/>
        </w:rPr>
        <w:footnoteReference w:customMarkFollows="0" w:id="35"/>
      </w:r>
      <w:r w:rsidDel="00000000" w:rsidR="00000000" w:rsidRPr="00000000">
        <w:rPr>
          <w:rFonts w:ascii="Arial" w:cs="Arial" w:eastAsia="Arial" w:hAnsi="Arial"/>
          <w:sz w:val="22"/>
          <w:szCs w:val="22"/>
          <w:rtl w:val="0"/>
        </w:rPr>
        <w:t xml:space="preserve"> To sacrifice “upper world” aspects of the undifferentiated ground of existence with hope of being reborn with deeper resonant awareness.</w:t>
      </w:r>
      <w:r w:rsidDel="00000000" w:rsidR="00000000" w:rsidRPr="00000000">
        <w:rPr>
          <w:rFonts w:ascii="Arial" w:cs="Arial" w:eastAsia="Arial" w:hAnsi="Arial"/>
          <w:sz w:val="22"/>
          <w:szCs w:val="22"/>
          <w:vertAlign w:val="superscript"/>
        </w:rPr>
        <w:footnoteReference w:customMarkFollows="0" w:id="36"/>
      </w:r>
      <w:r w:rsidDel="00000000" w:rsidR="00000000" w:rsidRPr="00000000">
        <w:rPr>
          <w:rFonts w:ascii="Arial" w:cs="Arial" w:eastAsia="Arial" w:hAnsi="Arial"/>
          <w:sz w:val="22"/>
          <w:szCs w:val="22"/>
          <w:rtl w:val="0"/>
        </w:rPr>
        <w:t xml:space="preserve"> Moana defies her infuriated, overprotective father in the spirit of selflessness and willingness to face great unknown danger in favor of her homeland speaking to the heroic nature of the project.</w:t>
      </w:r>
      <w:r w:rsidDel="00000000" w:rsidR="00000000" w:rsidRPr="00000000">
        <w:rPr>
          <w:rFonts w:ascii="Arial" w:cs="Arial" w:eastAsia="Arial" w:hAnsi="Arial"/>
          <w:sz w:val="22"/>
          <w:szCs w:val="22"/>
          <w:vertAlign w:val="superscript"/>
        </w:rPr>
        <w:footnoteReference w:customMarkFollows="0" w:id="37"/>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B3">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4">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Moana is a chiefess due to her biological fate as Ishtar is Queen of the Heavens by birthright. Campbell draws from Sri Ramakrishna to note how some can climb up to the seventh floor and cannot get down while others visit the lower floors at-will.</w:t>
      </w:r>
      <w:r w:rsidDel="00000000" w:rsidR="00000000" w:rsidRPr="00000000">
        <w:rPr>
          <w:rFonts w:ascii="Arial" w:cs="Arial" w:eastAsia="Arial" w:hAnsi="Arial"/>
          <w:sz w:val="22"/>
          <w:szCs w:val="22"/>
          <w:vertAlign w:val="superscript"/>
        </w:rPr>
        <w:footnoteReference w:customMarkFollows="0" w:id="38"/>
      </w:r>
      <w:r w:rsidDel="00000000" w:rsidR="00000000" w:rsidRPr="00000000">
        <w:rPr>
          <w:rFonts w:ascii="Arial" w:cs="Arial" w:eastAsia="Arial" w:hAnsi="Arial"/>
          <w:sz w:val="22"/>
          <w:szCs w:val="22"/>
          <w:rtl w:val="0"/>
        </w:rPr>
        <w:t xml:space="preserve"> As a rite of passage “the descent” contrasts “the fall” as the former suggests a participatory attitude. Campbell calls to mind the Sanskrit concept of “lila” or voluntary participation in the divine play of paradox.</w:t>
      </w:r>
      <w:r w:rsidDel="00000000" w:rsidR="00000000" w:rsidRPr="00000000">
        <w:rPr>
          <w:rFonts w:ascii="Arial" w:cs="Arial" w:eastAsia="Arial" w:hAnsi="Arial"/>
          <w:sz w:val="22"/>
          <w:szCs w:val="22"/>
          <w:vertAlign w:val="superscript"/>
        </w:rPr>
        <w:footnoteReference w:customMarkFollows="0" w:id="39"/>
      </w:r>
      <w:r w:rsidDel="00000000" w:rsidR="00000000" w:rsidRPr="00000000">
        <w:rPr>
          <w:rFonts w:ascii="Arial" w:cs="Arial" w:eastAsia="Arial" w:hAnsi="Arial"/>
          <w:sz w:val="22"/>
          <w:szCs w:val="22"/>
          <w:rtl w:val="0"/>
        </w:rPr>
        <w:t xml:space="preserve"> “Nobility of spirit is the grace-or ability-to play, whether in heaven or on earth.”</w:t>
      </w:r>
      <w:r w:rsidDel="00000000" w:rsidR="00000000" w:rsidRPr="00000000">
        <w:rPr>
          <w:rFonts w:ascii="Arial" w:cs="Arial" w:eastAsia="Arial" w:hAnsi="Arial"/>
          <w:sz w:val="22"/>
          <w:szCs w:val="22"/>
          <w:vertAlign w:val="superscript"/>
        </w:rPr>
        <w:footnoteReference w:customMarkFollows="0" w:id="40"/>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B5">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6">
      <w:pPr>
        <w:spacing w:line="276" w:lineRule="auto"/>
        <w:rPr>
          <w:rFonts w:ascii="Arial" w:cs="Arial" w:eastAsia="Arial" w:hAnsi="Arial"/>
          <w:sz w:val="22"/>
          <w:szCs w:val="22"/>
          <w:u w:val="single"/>
        </w:rPr>
      </w:pPr>
      <w:r w:rsidDel="00000000" w:rsidR="00000000" w:rsidRPr="00000000">
        <w:rPr>
          <w:rFonts w:ascii="Arial" w:cs="Arial" w:eastAsia="Arial" w:hAnsi="Arial"/>
          <w:sz w:val="22"/>
          <w:szCs w:val="22"/>
          <w:rtl w:val="0"/>
        </w:rPr>
        <w:t xml:space="preserve">Moana presents a profound metaphor for personal transformation. She sets sail at night under a dark sky where she encounters a stormy sea. The audience witnesses an inexperienced, nervous Moana with underdeveloped sailing and navigational skills. Prior to her descent, Moana offers simplistic, unproductive solutions in response to her island’s agricultural and fishing blight. Her awkward “...evasive dismissal of her pet pig Pua’s hurt expression … when she snacks on some pork”</w:t>
      </w:r>
      <w:r w:rsidDel="00000000" w:rsidR="00000000" w:rsidRPr="00000000">
        <w:rPr>
          <w:rFonts w:ascii="Arial" w:cs="Arial" w:eastAsia="Arial" w:hAnsi="Arial"/>
          <w:sz w:val="22"/>
          <w:szCs w:val="22"/>
          <w:vertAlign w:val="superscript"/>
        </w:rPr>
        <w:footnoteReference w:customMarkFollows="0" w:id="41"/>
      </w:r>
      <w:r w:rsidDel="00000000" w:rsidR="00000000" w:rsidRPr="00000000">
        <w:rPr>
          <w:rFonts w:ascii="Arial" w:cs="Arial" w:eastAsia="Arial" w:hAnsi="Arial"/>
          <w:sz w:val="22"/>
          <w:szCs w:val="22"/>
          <w:rtl w:val="0"/>
        </w:rPr>
        <w:t xml:space="preserve"> and the fact that her accompanying sidekick is her “...eminently stupid chicken”</w:t>
      </w:r>
      <w:r w:rsidDel="00000000" w:rsidR="00000000" w:rsidRPr="00000000">
        <w:rPr>
          <w:rFonts w:ascii="Arial" w:cs="Arial" w:eastAsia="Arial" w:hAnsi="Arial"/>
          <w:sz w:val="22"/>
          <w:szCs w:val="22"/>
          <w:vertAlign w:val="superscript"/>
        </w:rPr>
        <w:footnoteReference w:customMarkFollows="0" w:id="42"/>
      </w:r>
      <w:r w:rsidDel="00000000" w:rsidR="00000000" w:rsidRPr="00000000">
        <w:rPr>
          <w:rFonts w:ascii="Arial" w:cs="Arial" w:eastAsia="Arial" w:hAnsi="Arial"/>
          <w:sz w:val="22"/>
          <w:szCs w:val="22"/>
          <w:rtl w:val="0"/>
        </w:rPr>
        <w:t xml:space="preserve"> all speak to a timid unpreparedness and examples of failings that will be addressed through her proverbial descent. </w:t>
      </w:r>
      <w:r w:rsidDel="00000000" w:rsidR="00000000" w:rsidRPr="00000000">
        <w:rPr>
          <w:rtl w:val="0"/>
        </w:rPr>
      </w:r>
    </w:p>
    <w:p w:rsidR="00000000" w:rsidDel="00000000" w:rsidP="00000000" w:rsidRDefault="00000000" w:rsidRPr="00000000" w14:paraId="000000B7">
      <w:pPr>
        <w:spacing w:line="276" w:lineRule="auto"/>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B8">
      <w:pPr>
        <w:spacing w:line="276" w:lineRule="auto"/>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Psychology - Reclaiming the Lost </w:t>
      </w:r>
    </w:p>
    <w:p w:rsidR="00000000" w:rsidDel="00000000" w:rsidP="00000000" w:rsidRDefault="00000000" w:rsidRPr="00000000" w14:paraId="000000B9">
      <w:pPr>
        <w:spacing w:line="276" w:lineRule="auto"/>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0BA">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Ishtar is a liminal figure operating between the thresholds of light and dark and life and death. Akkadians did not believe in reincarnation and Perera points to Ishtar’s rebirth as a metaphor for the re-illumined consciousness.</w:t>
      </w:r>
      <w:r w:rsidDel="00000000" w:rsidR="00000000" w:rsidRPr="00000000">
        <w:rPr>
          <w:rFonts w:ascii="Arial" w:cs="Arial" w:eastAsia="Arial" w:hAnsi="Arial"/>
          <w:sz w:val="22"/>
          <w:szCs w:val="22"/>
          <w:vertAlign w:val="superscript"/>
        </w:rPr>
        <w:footnoteReference w:customMarkFollows="0" w:id="43"/>
      </w:r>
      <w:r w:rsidDel="00000000" w:rsidR="00000000" w:rsidRPr="00000000">
        <w:rPr>
          <w:rFonts w:ascii="Arial" w:cs="Arial" w:eastAsia="Arial" w:hAnsi="Arial"/>
          <w:sz w:val="22"/>
          <w:szCs w:val="22"/>
          <w:rtl w:val="0"/>
        </w:rPr>
        <w:t xml:space="preserve"> The underworld in Sumerian and Babylonian mythology personified everything that terrified human consciousness as it moved further away from wholeness.</w:t>
      </w:r>
      <w:r w:rsidDel="00000000" w:rsidR="00000000" w:rsidRPr="00000000">
        <w:rPr>
          <w:rFonts w:ascii="Arial" w:cs="Arial" w:eastAsia="Arial" w:hAnsi="Arial"/>
          <w:sz w:val="22"/>
          <w:szCs w:val="22"/>
          <w:vertAlign w:val="superscript"/>
        </w:rPr>
        <w:footnoteReference w:customMarkFollows="0" w:id="44"/>
      </w:r>
      <w:r w:rsidDel="00000000" w:rsidR="00000000" w:rsidRPr="00000000">
        <w:rPr>
          <w:rFonts w:ascii="Arial" w:cs="Arial" w:eastAsia="Arial" w:hAnsi="Arial"/>
          <w:sz w:val="22"/>
          <w:szCs w:val="22"/>
          <w:rtl w:val="0"/>
        </w:rPr>
        <w:t xml:space="preserve"> Unseen dimensions of existence cannot be perceived through the senses and take on demonic projections fueled by fearful human attitude.</w:t>
      </w:r>
      <w:r w:rsidDel="00000000" w:rsidR="00000000" w:rsidRPr="00000000">
        <w:rPr>
          <w:rFonts w:ascii="Arial" w:cs="Arial" w:eastAsia="Arial" w:hAnsi="Arial"/>
          <w:sz w:val="22"/>
          <w:szCs w:val="22"/>
          <w:vertAlign w:val="superscript"/>
        </w:rPr>
        <w:footnoteReference w:customMarkFollows="0" w:id="45"/>
      </w:r>
      <w:r w:rsidDel="00000000" w:rsidR="00000000" w:rsidRPr="00000000">
        <w:rPr>
          <w:rFonts w:ascii="Arial" w:cs="Arial" w:eastAsia="Arial" w:hAnsi="Arial"/>
          <w:sz w:val="22"/>
          <w:szCs w:val="22"/>
          <w:rtl w:val="0"/>
        </w:rPr>
        <w:t xml:space="preserve"> Sotirios Mouzakis postulates how the ocean may be understood as Moana’s subconscious prodding her toward becoming a heroic individual.</w:t>
      </w:r>
      <w:r w:rsidDel="00000000" w:rsidR="00000000" w:rsidRPr="00000000">
        <w:rPr>
          <w:rFonts w:ascii="Arial" w:cs="Arial" w:eastAsia="Arial" w:hAnsi="Arial"/>
          <w:sz w:val="22"/>
          <w:szCs w:val="22"/>
          <w:vertAlign w:val="superscript"/>
        </w:rPr>
        <w:footnoteReference w:customMarkFollows="0" w:id="46"/>
      </w:r>
      <w:r w:rsidDel="00000000" w:rsidR="00000000" w:rsidRPr="00000000">
        <w:rPr>
          <w:rFonts w:ascii="Arial" w:cs="Arial" w:eastAsia="Arial" w:hAnsi="Arial"/>
          <w:sz w:val="22"/>
          <w:szCs w:val="22"/>
          <w:rtl w:val="0"/>
        </w:rPr>
        <w:t xml:space="preserve"> A symbol used in commonplace psychological illustration is the proverbial ice glacier tip as the portion of consciousness which a human is generally in touch with resting on a vast substratum of sea representative of a mysterious realm inaccessible via logic - Carl Jung named this layer: the collective unconscious.</w:t>
      </w:r>
      <w:r w:rsidDel="00000000" w:rsidR="00000000" w:rsidRPr="00000000">
        <w:rPr>
          <w:rFonts w:ascii="Arial" w:cs="Arial" w:eastAsia="Arial" w:hAnsi="Arial"/>
          <w:sz w:val="22"/>
          <w:szCs w:val="22"/>
          <w:vertAlign w:val="superscript"/>
        </w:rPr>
        <w:footnoteReference w:customMarkFollows="0" w:id="47"/>
      </w:r>
      <w:r w:rsidDel="00000000" w:rsidR="00000000" w:rsidRPr="00000000">
        <w:rPr>
          <w:rFonts w:ascii="Arial" w:cs="Arial" w:eastAsia="Arial" w:hAnsi="Arial"/>
          <w:sz w:val="22"/>
          <w:szCs w:val="22"/>
          <w:rtl w:val="0"/>
        </w:rPr>
        <w:t xml:space="preserve"> Hidden in depth and often pictured as the watery depth beyond the surface of “every-day” personality is the seed of individuality as it exists unadulterated by biological or social conditioning.</w:t>
      </w:r>
      <w:r w:rsidDel="00000000" w:rsidR="00000000" w:rsidRPr="00000000">
        <w:rPr>
          <w:rFonts w:ascii="Arial" w:cs="Arial" w:eastAsia="Arial" w:hAnsi="Arial"/>
          <w:sz w:val="22"/>
          <w:szCs w:val="22"/>
          <w:vertAlign w:val="superscript"/>
        </w:rPr>
        <w:footnoteReference w:customMarkFollows="0" w:id="48"/>
      </w:r>
      <w:r w:rsidDel="00000000" w:rsidR="00000000" w:rsidRPr="00000000">
        <w:rPr>
          <w:rFonts w:ascii="Arial" w:cs="Arial" w:eastAsia="Arial" w:hAnsi="Arial"/>
          <w:sz w:val="22"/>
          <w:szCs w:val="22"/>
          <w:rtl w:val="0"/>
        </w:rPr>
        <w:t xml:space="preserve"> Moana’s paradisiacal Motunui ceases to exist as a complete system and the illusion of perceived wholeness is shattered when the island experiences threat to their coconut harvest and fishing processes. The key to restoration does not exist in isolation and a spectral fleet inspires Moana to revive her forgotten ancestral voyaging tradition</w:t>
      </w:r>
      <w:r w:rsidDel="00000000" w:rsidR="00000000" w:rsidRPr="00000000">
        <w:rPr>
          <w:rFonts w:ascii="Arial" w:cs="Arial" w:eastAsia="Arial" w:hAnsi="Arial"/>
          <w:sz w:val="22"/>
          <w:szCs w:val="22"/>
          <w:vertAlign w:val="superscript"/>
        </w:rPr>
        <w:footnoteReference w:customMarkFollows="0" w:id="49"/>
      </w:r>
      <w:r w:rsidDel="00000000" w:rsidR="00000000" w:rsidRPr="00000000">
        <w:rPr>
          <w:rFonts w:ascii="Arial" w:cs="Arial" w:eastAsia="Arial" w:hAnsi="Arial"/>
          <w:sz w:val="22"/>
          <w:szCs w:val="22"/>
          <w:rtl w:val="0"/>
        </w:rPr>
        <w:t xml:space="preserve"> before her community became immotile and locked on a literal island. The chief’s persistence that the only way to remain safe is to never leave the island is no longer an option with the looming threat of scarcity and death. Unlike Moana’s Disney princess character predecessors reliant on male support, Moana’s ascent to power relies on her rapport with the sea.</w:t>
      </w:r>
      <w:r w:rsidDel="00000000" w:rsidR="00000000" w:rsidRPr="00000000">
        <w:rPr>
          <w:rFonts w:ascii="Arial" w:cs="Arial" w:eastAsia="Arial" w:hAnsi="Arial"/>
          <w:sz w:val="22"/>
          <w:szCs w:val="22"/>
          <w:vertAlign w:val="superscript"/>
        </w:rPr>
        <w:footnoteReference w:customMarkFollows="0" w:id="50"/>
      </w:r>
      <w:r w:rsidDel="00000000" w:rsidR="00000000" w:rsidRPr="00000000">
        <w:rPr>
          <w:rFonts w:ascii="Arial" w:cs="Arial" w:eastAsia="Arial" w:hAnsi="Arial"/>
          <w:sz w:val="22"/>
          <w:szCs w:val="22"/>
          <w:rtl w:val="0"/>
        </w:rPr>
        <w:t xml:space="preserve"> Considering Moana’s new relationship to the sea and her “remembrance” of ancestral patterns as a metaphor for establishing a connection to subconscious elements, we notice a striking resemblance to Perera’s assessment that Ishtar descends to find lost and repressed material in an effort to restore wholeness.</w:t>
      </w:r>
      <w:r w:rsidDel="00000000" w:rsidR="00000000" w:rsidRPr="00000000">
        <w:rPr>
          <w:rFonts w:ascii="Arial" w:cs="Arial" w:eastAsia="Arial" w:hAnsi="Arial"/>
          <w:sz w:val="22"/>
          <w:szCs w:val="22"/>
          <w:vertAlign w:val="superscript"/>
        </w:rPr>
        <w:footnoteReference w:customMarkFollows="0" w:id="51"/>
      </w:r>
      <w:r w:rsidDel="00000000" w:rsidR="00000000" w:rsidRPr="00000000">
        <w:rPr>
          <w:rtl w:val="0"/>
        </w:rPr>
      </w:r>
    </w:p>
    <w:p w:rsidR="00000000" w:rsidDel="00000000" w:rsidP="00000000" w:rsidRDefault="00000000" w:rsidRPr="00000000" w14:paraId="000000BB">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C">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By way of negation, the antagonist crab Tamatoa, is fully remiss of the ways of mystery and wisdom critical to transformation. Tamatoa resides in the realm of monsters or the furthest descent point which Moana must visit before encountering the fire goddess, Te Ka (figure 1). Tamatoa claims to have literally eaten his grandmother and that “it took a week ‘cause she was absolutely humongous.” As we know from prior discussion, grandmother Tala represents a deep source of wisdom for Moana and is the greatest advocate for her journey beyond the threshold. Tamatoa continues in song form: “Did your granny say ‘listen to your heart? Be who you are on the inside?’ Your granny lied. I’d rather be shiny … like treasure from a sunken pirate wreck … sparkle like a wealthy woman’s neck…” singing as he greedily consumes large amounts of fish that have been lured to him by his bedazzled crab shell. Fish commonly appear in world myth to signal transformation as in Irish tradition when salmon travel thousands of miles from home to acquire wisdom before returning.</w:t>
      </w:r>
      <w:r w:rsidDel="00000000" w:rsidR="00000000" w:rsidRPr="00000000">
        <w:rPr>
          <w:rFonts w:ascii="Arial" w:cs="Arial" w:eastAsia="Arial" w:hAnsi="Arial"/>
          <w:sz w:val="22"/>
          <w:szCs w:val="22"/>
          <w:vertAlign w:val="superscript"/>
        </w:rPr>
        <w:footnoteReference w:customMarkFollows="0" w:id="52"/>
      </w:r>
      <w:r w:rsidDel="00000000" w:rsidR="00000000" w:rsidRPr="00000000">
        <w:rPr>
          <w:rFonts w:ascii="Arial" w:cs="Arial" w:eastAsia="Arial" w:hAnsi="Arial"/>
          <w:sz w:val="22"/>
          <w:szCs w:val="22"/>
          <w:rtl w:val="0"/>
        </w:rPr>
        <w:t xml:space="preserve"> Tamatoa’s devouring of both grandmother and fish is a cautionary tale used to illustrate the “cutting off” from wisdom and mystery in extreme one-sided favor of material/sensate worth.</w:t>
      </w:r>
    </w:p>
    <w:p w:rsidR="00000000" w:rsidDel="00000000" w:rsidP="00000000" w:rsidRDefault="00000000" w:rsidRPr="00000000" w14:paraId="000000BD">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E">
      <w:pPr>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2962275" cy="1543050"/>
            <wp:effectExtent b="0" l="0" r="0" t="0"/>
            <wp:docPr id="1026"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962275" cy="1543050"/>
                    </a:xfrm>
                    <a:prstGeom prst="rect"/>
                    <a:ln/>
                  </pic:spPr>
                </pic:pic>
              </a:graphicData>
            </a:graphic>
          </wp:inline>
        </w:drawing>
      </w:r>
      <w:r w:rsidDel="00000000" w:rsidR="00000000" w:rsidRPr="00000000">
        <w:rPr>
          <w:rtl w:val="0"/>
        </w:rPr>
      </w:r>
    </w:p>
    <w:p w:rsidR="00000000" w:rsidDel="00000000" w:rsidP="00000000" w:rsidRDefault="00000000" w:rsidRPr="00000000" w14:paraId="000000BF">
      <w:pPr>
        <w:spacing w:line="276" w:lineRule="auto"/>
        <w:jc w:val="center"/>
        <w:rPr>
          <w:rFonts w:ascii="Arial" w:cs="Arial" w:eastAsia="Arial" w:hAnsi="Arial"/>
          <w:sz w:val="22"/>
          <w:szCs w:val="22"/>
          <w:u w:val="single"/>
        </w:rPr>
      </w:pPr>
      <w:r w:rsidDel="00000000" w:rsidR="00000000" w:rsidRPr="00000000">
        <w:rPr>
          <w:rFonts w:ascii="Arial" w:cs="Arial" w:eastAsia="Arial" w:hAnsi="Arial"/>
          <w:i w:val="1"/>
          <w:sz w:val="18"/>
          <w:szCs w:val="18"/>
          <w:rtl w:val="0"/>
        </w:rPr>
        <w:t xml:space="preserve">Figure 1. Image of Te Ka in Moana (Clements &amp; Musker, 2016)</w:t>
      </w:r>
      <w:r w:rsidDel="00000000" w:rsidR="00000000" w:rsidRPr="00000000">
        <w:rPr>
          <w:rtl w:val="0"/>
        </w:rPr>
      </w:r>
    </w:p>
    <w:p w:rsidR="00000000" w:rsidDel="00000000" w:rsidP="00000000" w:rsidRDefault="00000000" w:rsidRPr="00000000" w14:paraId="000000C0">
      <w:pPr>
        <w:spacing w:line="276" w:lineRule="auto"/>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Sovereignty</w:t>
      </w:r>
    </w:p>
    <w:p w:rsidR="00000000" w:rsidDel="00000000" w:rsidP="00000000" w:rsidRDefault="00000000" w:rsidRPr="00000000" w14:paraId="000000C1">
      <w:pPr>
        <w:spacing w:after="240" w:before="240" w:line="276" w:lineRule="auto"/>
        <w:rPr>
          <w:rFonts w:ascii="Arial" w:cs="Arial" w:eastAsia="Arial" w:hAnsi="Arial"/>
          <w:sz w:val="22"/>
          <w:szCs w:val="22"/>
          <w:u w:val="single"/>
        </w:rPr>
      </w:pPr>
      <w:r w:rsidDel="00000000" w:rsidR="00000000" w:rsidRPr="00000000">
        <w:rPr>
          <w:rFonts w:ascii="Arial" w:cs="Arial" w:eastAsia="Arial" w:hAnsi="Arial"/>
          <w:sz w:val="22"/>
          <w:szCs w:val="22"/>
          <w:rtl w:val="0"/>
        </w:rPr>
        <w:t xml:space="preserve">As Ishtar descends to the netherworld, devastation wreaks havoc on earthly life which becomes barren and infertile due to her absence.</w:t>
      </w:r>
      <w:r w:rsidDel="00000000" w:rsidR="00000000" w:rsidRPr="00000000">
        <w:rPr>
          <w:rFonts w:ascii="Arial" w:cs="Arial" w:eastAsia="Arial" w:hAnsi="Arial"/>
          <w:sz w:val="22"/>
          <w:szCs w:val="22"/>
          <w:vertAlign w:val="superscript"/>
        </w:rPr>
        <w:footnoteReference w:customMarkFollows="0" w:id="53"/>
      </w:r>
      <w:r w:rsidDel="00000000" w:rsidR="00000000" w:rsidRPr="00000000">
        <w:rPr>
          <w:rFonts w:ascii="Arial" w:cs="Arial" w:eastAsia="Arial" w:hAnsi="Arial"/>
          <w:sz w:val="22"/>
          <w:szCs w:val="22"/>
          <w:rtl w:val="0"/>
        </w:rPr>
        <w:t xml:space="preserve"> Perera points to a possible orientation between Ishtar and our own “...perilous age as the powers of the goddess return to Western culture.”</w:t>
      </w:r>
      <w:r w:rsidDel="00000000" w:rsidR="00000000" w:rsidRPr="00000000">
        <w:rPr>
          <w:rFonts w:ascii="Arial" w:cs="Arial" w:eastAsia="Arial" w:hAnsi="Arial"/>
          <w:sz w:val="22"/>
          <w:szCs w:val="22"/>
          <w:vertAlign w:val="superscript"/>
        </w:rPr>
        <w:footnoteReference w:customMarkFollows="0" w:id="54"/>
      </w:r>
      <w:r w:rsidDel="00000000" w:rsidR="00000000" w:rsidRPr="00000000">
        <w:rPr>
          <w:rFonts w:ascii="Arial" w:cs="Arial" w:eastAsia="Arial" w:hAnsi="Arial"/>
          <w:sz w:val="22"/>
          <w:szCs w:val="22"/>
          <w:rtl w:val="0"/>
        </w:rPr>
        <w:t xml:space="preserve"> This is expressed through Ishtar’s initial image upon return as a chthonic presence (Belili) after retrieval of lost cultural powers as symbolized within Ereshkigal.</w:t>
      </w:r>
      <w:r w:rsidDel="00000000" w:rsidR="00000000" w:rsidRPr="00000000">
        <w:rPr>
          <w:rFonts w:ascii="Arial" w:cs="Arial" w:eastAsia="Arial" w:hAnsi="Arial"/>
          <w:sz w:val="22"/>
          <w:szCs w:val="22"/>
          <w:vertAlign w:val="superscript"/>
        </w:rPr>
        <w:footnoteReference w:customMarkFollows="0" w:id="55"/>
      </w:r>
      <w:r w:rsidDel="00000000" w:rsidR="00000000" w:rsidRPr="00000000">
        <w:rPr>
          <w:rFonts w:ascii="Arial" w:cs="Arial" w:eastAsia="Arial" w:hAnsi="Arial"/>
          <w:sz w:val="22"/>
          <w:szCs w:val="22"/>
          <w:rtl w:val="0"/>
        </w:rPr>
        <w:t xml:space="preserve"> Ishtar is “sprinkled with the water of life”</w:t>
      </w:r>
      <w:r w:rsidDel="00000000" w:rsidR="00000000" w:rsidRPr="00000000">
        <w:rPr>
          <w:rFonts w:ascii="Arial" w:cs="Arial" w:eastAsia="Arial" w:hAnsi="Arial"/>
          <w:sz w:val="22"/>
          <w:szCs w:val="22"/>
          <w:vertAlign w:val="superscript"/>
        </w:rPr>
        <w:footnoteReference w:customMarkFollows="0" w:id="56"/>
      </w:r>
      <w:r w:rsidDel="00000000" w:rsidR="00000000" w:rsidRPr="00000000">
        <w:rPr>
          <w:rFonts w:ascii="Arial" w:cs="Arial" w:eastAsia="Arial" w:hAnsi="Arial"/>
          <w:sz w:val="22"/>
          <w:szCs w:val="22"/>
          <w:rtl w:val="0"/>
        </w:rPr>
        <w:t xml:space="preserve"> a gesture akin to infant feeding or the gradual assimilation delicate new life requires.</w:t>
      </w:r>
      <w:r w:rsidDel="00000000" w:rsidR="00000000" w:rsidRPr="00000000">
        <w:rPr>
          <w:rFonts w:ascii="Arial" w:cs="Arial" w:eastAsia="Arial" w:hAnsi="Arial"/>
          <w:sz w:val="22"/>
          <w:szCs w:val="22"/>
          <w:vertAlign w:val="superscript"/>
        </w:rPr>
        <w:footnoteReference w:customMarkFollows="0" w:id="57"/>
      </w:r>
      <w:r w:rsidDel="00000000" w:rsidR="00000000" w:rsidRPr="00000000">
        <w:rPr>
          <w:rFonts w:ascii="Arial" w:cs="Arial" w:eastAsia="Arial" w:hAnsi="Arial"/>
          <w:sz w:val="22"/>
          <w:szCs w:val="22"/>
          <w:rtl w:val="0"/>
        </w:rPr>
        <w:t xml:space="preserve"> Speaking to Ishtar’s loathsome image immediately following her claimed right to survival, Perera points to the fury of the early women’s liberation movement.</w:t>
      </w:r>
      <w:r w:rsidDel="00000000" w:rsidR="00000000" w:rsidRPr="00000000">
        <w:rPr>
          <w:rFonts w:ascii="Arial" w:cs="Arial" w:eastAsia="Arial" w:hAnsi="Arial"/>
          <w:sz w:val="22"/>
          <w:szCs w:val="22"/>
          <w:vertAlign w:val="superscript"/>
        </w:rPr>
        <w:footnoteReference w:customMarkFollows="0" w:id="58"/>
      </w:r>
      <w:r w:rsidDel="00000000" w:rsidR="00000000" w:rsidRPr="00000000">
        <w:rPr>
          <w:rFonts w:ascii="Arial" w:cs="Arial" w:eastAsia="Arial" w:hAnsi="Arial"/>
          <w:sz w:val="22"/>
          <w:szCs w:val="22"/>
          <w:rtl w:val="0"/>
        </w:rPr>
        <w:t xml:space="preserve"> The laws that governed Ishtar’s release dictate a ransom price or a replacement to fill her place in the underworld and we see Ereshkigal’s commitment to adherence to law within the judgement hall (Egalgina) and the holy jury (Anunnaki).</w:t>
      </w:r>
      <w:r w:rsidDel="00000000" w:rsidR="00000000" w:rsidRPr="00000000">
        <w:rPr>
          <w:rFonts w:ascii="Arial" w:cs="Arial" w:eastAsia="Arial" w:hAnsi="Arial"/>
          <w:sz w:val="22"/>
          <w:szCs w:val="22"/>
          <w:vertAlign w:val="superscript"/>
        </w:rPr>
        <w:footnoteReference w:customMarkFollows="0" w:id="59"/>
      </w:r>
      <w:r w:rsidDel="00000000" w:rsidR="00000000" w:rsidRPr="00000000">
        <w:rPr>
          <w:rFonts w:ascii="Arial" w:cs="Arial" w:eastAsia="Arial" w:hAnsi="Arial"/>
          <w:sz w:val="22"/>
          <w:szCs w:val="22"/>
          <w:rtl w:val="0"/>
        </w:rPr>
        <w:t xml:space="preserve"> As dictated by the indelible laws of the underworld, in order for Ishtar to live and the earth to flourish, her lover Tammuz must die.</w:t>
      </w:r>
      <w:r w:rsidDel="00000000" w:rsidR="00000000" w:rsidRPr="00000000">
        <w:rPr>
          <w:rFonts w:ascii="Arial" w:cs="Arial" w:eastAsia="Arial" w:hAnsi="Arial"/>
          <w:sz w:val="22"/>
          <w:szCs w:val="22"/>
          <w:vertAlign w:val="superscript"/>
        </w:rPr>
        <w:footnoteReference w:customMarkFollows="0" w:id="60"/>
      </w:r>
      <w:r w:rsidDel="00000000" w:rsidR="00000000" w:rsidRPr="00000000">
        <w:rPr>
          <w:rFonts w:ascii="Arial" w:cs="Arial" w:eastAsia="Arial" w:hAnsi="Arial"/>
          <w:sz w:val="22"/>
          <w:szCs w:val="22"/>
          <w:rtl w:val="0"/>
        </w:rPr>
        <w:t xml:space="preserve"> Tammuz, the kingly counterpart to sky queen, is summoned to surrender, sending the message that a masculine principal must be sacrificed for the feminine principal to return in a re-invisioned form.</w:t>
      </w:r>
      <w:r w:rsidDel="00000000" w:rsidR="00000000" w:rsidRPr="00000000">
        <w:rPr>
          <w:rtl w:val="0"/>
        </w:rPr>
      </w:r>
    </w:p>
    <w:p w:rsidR="00000000" w:rsidDel="00000000" w:rsidP="00000000" w:rsidRDefault="00000000" w:rsidRPr="00000000" w14:paraId="000000C2">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level of resonance speaks to a cosmic disturbance when balance has been compromised and the themes of the law dictating reinstation. Moana pursues her journey toward the goal of restoration in direct opposition to warrior Maui’s hubris and her father’s isolationism creating a strongly gendered dynamic.</w:t>
      </w:r>
      <w:r w:rsidDel="00000000" w:rsidR="00000000" w:rsidRPr="00000000">
        <w:rPr>
          <w:rFonts w:ascii="Arial" w:cs="Arial" w:eastAsia="Arial" w:hAnsi="Arial"/>
          <w:sz w:val="22"/>
          <w:szCs w:val="22"/>
          <w:vertAlign w:val="superscript"/>
        </w:rPr>
        <w:footnoteReference w:customMarkFollows="0" w:id="61"/>
      </w:r>
      <w:r w:rsidDel="00000000" w:rsidR="00000000" w:rsidRPr="00000000">
        <w:rPr>
          <w:rFonts w:ascii="Arial" w:cs="Arial" w:eastAsia="Arial" w:hAnsi="Arial"/>
          <w:sz w:val="22"/>
          <w:szCs w:val="22"/>
          <w:rtl w:val="0"/>
        </w:rPr>
        <w:t xml:space="preserve"> The theft of Te Fiti’s heart is the overarching motive behind Moana's call to action. In what sounds like the beginning of a classic creation myth, it is explained that at first there was only the ocean and from there Mother Island, Te Fiti (see Figure 2), emerged.</w:t>
      </w:r>
      <w:r w:rsidDel="00000000" w:rsidR="00000000" w:rsidRPr="00000000">
        <w:rPr>
          <w:rFonts w:ascii="Arial" w:cs="Arial" w:eastAsia="Arial" w:hAnsi="Arial"/>
          <w:sz w:val="22"/>
          <w:szCs w:val="22"/>
          <w:vertAlign w:val="superscript"/>
        </w:rPr>
        <w:footnoteReference w:customMarkFollows="0" w:id="62"/>
      </w:r>
      <w:r w:rsidDel="00000000" w:rsidR="00000000" w:rsidRPr="00000000">
        <w:rPr>
          <w:rFonts w:ascii="Arial" w:cs="Arial" w:eastAsia="Arial" w:hAnsi="Arial"/>
          <w:sz w:val="22"/>
          <w:szCs w:val="22"/>
          <w:rtl w:val="0"/>
        </w:rPr>
        <w:t xml:space="preserve"> Te Fiti’s heart contained within it, the power of creation and ability to share it with the world, something that would become coveted in vain attempt to possess its vast power.</w:t>
      </w:r>
      <w:r w:rsidDel="00000000" w:rsidR="00000000" w:rsidRPr="00000000">
        <w:rPr>
          <w:rFonts w:ascii="Arial" w:cs="Arial" w:eastAsia="Arial" w:hAnsi="Arial"/>
          <w:sz w:val="22"/>
          <w:szCs w:val="22"/>
          <w:vertAlign w:val="superscript"/>
        </w:rPr>
        <w:footnoteReference w:customMarkFollows="0" w:id="63"/>
      </w:r>
      <w:r w:rsidDel="00000000" w:rsidR="00000000" w:rsidRPr="00000000">
        <w:rPr>
          <w:rFonts w:ascii="Arial" w:cs="Arial" w:eastAsia="Arial" w:hAnsi="Arial"/>
          <w:sz w:val="22"/>
          <w:szCs w:val="22"/>
          <w:rtl w:val="0"/>
        </w:rPr>
        <w:t xml:space="preserve"> It’s impossible to ignore the parallels within the present day ecological crisis. Maui’s goal of usurping Te Fiti as the all-powerful, in a way replacing a mother goddess with a father god, can be linked to the rise of patriarchy, male dominance, and the devaluation of nature.</w:t>
      </w:r>
      <w:r w:rsidDel="00000000" w:rsidR="00000000" w:rsidRPr="00000000">
        <w:rPr>
          <w:rFonts w:ascii="Arial" w:cs="Arial" w:eastAsia="Arial" w:hAnsi="Arial"/>
          <w:sz w:val="22"/>
          <w:szCs w:val="22"/>
          <w:vertAlign w:val="superscript"/>
        </w:rPr>
        <w:footnoteReference w:customMarkFollows="0" w:id="64"/>
      </w:r>
      <w:r w:rsidDel="00000000" w:rsidR="00000000" w:rsidRPr="00000000">
        <w:rPr>
          <w:rFonts w:ascii="Arial" w:cs="Arial" w:eastAsia="Arial" w:hAnsi="Arial"/>
          <w:sz w:val="22"/>
          <w:szCs w:val="22"/>
          <w:rtl w:val="0"/>
        </w:rPr>
        <w:t xml:space="preserve"> Darkness is born which looms for one thousand years until present day Moana is assigned the task of sojourning uncharted territory to restore the heart and save a dying planet and humanity.</w:t>
      </w:r>
      <w:r w:rsidDel="00000000" w:rsidR="00000000" w:rsidRPr="00000000">
        <w:rPr>
          <w:rFonts w:ascii="Arial" w:cs="Arial" w:eastAsia="Arial" w:hAnsi="Arial"/>
          <w:sz w:val="22"/>
          <w:szCs w:val="22"/>
          <w:vertAlign w:val="superscript"/>
        </w:rPr>
        <w:footnoteReference w:customMarkFollows="0" w:id="65"/>
      </w:r>
      <w:r w:rsidDel="00000000" w:rsidR="00000000" w:rsidRPr="00000000">
        <w:rPr>
          <w:rFonts w:ascii="Arial" w:cs="Arial" w:eastAsia="Arial" w:hAnsi="Arial"/>
          <w:sz w:val="22"/>
          <w:szCs w:val="22"/>
          <w:rtl w:val="0"/>
        </w:rPr>
        <w:t xml:space="preserve"> The trajectory for the collective in response to Maui’s hubris, is a persisting darkness which will continue to drain life from all islands until all succumb to death.</w:t>
      </w:r>
      <w:r w:rsidDel="00000000" w:rsidR="00000000" w:rsidRPr="00000000">
        <w:rPr>
          <w:rFonts w:ascii="Arial" w:cs="Arial" w:eastAsia="Arial" w:hAnsi="Arial"/>
          <w:sz w:val="22"/>
          <w:szCs w:val="22"/>
          <w:vertAlign w:val="superscript"/>
        </w:rPr>
        <w:footnoteReference w:customMarkFollows="0" w:id="66"/>
      </w:r>
      <w:r w:rsidDel="00000000" w:rsidR="00000000" w:rsidRPr="00000000">
        <w:rPr>
          <w:rFonts w:ascii="Arial" w:cs="Arial" w:eastAsia="Arial" w:hAnsi="Arial"/>
          <w:sz w:val="22"/>
          <w:szCs w:val="22"/>
          <w:rtl w:val="0"/>
        </w:rPr>
        <w:t xml:space="preserve"> The</w:t>
      </w:r>
      <w:r w:rsidDel="00000000" w:rsidR="00000000" w:rsidRPr="00000000">
        <w:rPr>
          <w:rFonts w:ascii="Arial" w:cs="Arial" w:eastAsia="Arial" w:hAnsi="Arial"/>
          <w:rtl w:val="0"/>
        </w:rPr>
        <w:t xml:space="preserve"> offense against Te Fiti is the most stark example of how masculine pride violates the balance and causes catastrophic calamities for the environment.”</w:t>
      </w:r>
      <w:r w:rsidDel="00000000" w:rsidR="00000000" w:rsidRPr="00000000">
        <w:rPr>
          <w:rFonts w:ascii="Arial" w:cs="Arial" w:eastAsia="Arial" w:hAnsi="Arial"/>
          <w:vertAlign w:val="superscript"/>
        </w:rPr>
        <w:footnoteReference w:customMarkFollows="0" w:id="67"/>
      </w:r>
      <w:r w:rsidDel="00000000" w:rsidR="00000000" w:rsidRPr="00000000">
        <w:rPr>
          <w:rtl w:val="0"/>
        </w:rPr>
      </w:r>
    </w:p>
    <w:p w:rsidR="00000000" w:rsidDel="00000000" w:rsidP="00000000" w:rsidRDefault="00000000" w:rsidRPr="00000000" w14:paraId="000000C3">
      <w:pPr>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4375497" cy="2139311"/>
            <wp:effectExtent b="0" l="0" r="0" t="0"/>
            <wp:docPr id="1027"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4375497" cy="2139311"/>
                    </a:xfrm>
                    <a:prstGeom prst="rect"/>
                    <a:ln/>
                  </pic:spPr>
                </pic:pic>
              </a:graphicData>
            </a:graphic>
          </wp:inline>
        </w:drawing>
      </w:r>
      <w:r w:rsidDel="00000000" w:rsidR="00000000" w:rsidRPr="00000000">
        <w:rPr>
          <w:rtl w:val="0"/>
        </w:rPr>
      </w:r>
    </w:p>
    <w:p w:rsidR="00000000" w:rsidDel="00000000" w:rsidP="00000000" w:rsidRDefault="00000000" w:rsidRPr="00000000" w14:paraId="000000C4">
      <w:pPr>
        <w:spacing w:line="276" w:lineRule="auto"/>
        <w:jc w:val="cente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Figure 2. Image of Te Fiti in Moana (Clements &amp; Musker, 2016)</w:t>
      </w:r>
    </w:p>
    <w:p w:rsidR="00000000" w:rsidDel="00000000" w:rsidP="00000000" w:rsidRDefault="00000000" w:rsidRPr="00000000" w14:paraId="000000C5">
      <w:pPr>
        <w:spacing w:line="276" w:lineRule="auto"/>
        <w:jc w:val="center"/>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C6">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film concludes with the long displaced heart nesting into its spiral shaped home within fiery goddess Te Ka’s chest, transforming the rageful, suffering being into a verdant </w:t>
      </w:r>
      <w:hyperlink r:id="rId11">
        <w:r w:rsidDel="00000000" w:rsidR="00000000" w:rsidRPr="00000000">
          <w:rPr>
            <w:rFonts w:ascii="Arial" w:cs="Arial" w:eastAsia="Arial" w:hAnsi="Arial"/>
            <w:sz w:val="22"/>
            <w:szCs w:val="22"/>
            <w:rtl w:val="0"/>
          </w:rPr>
          <w:t xml:space="preserve">anthropomorphized</w:t>
        </w:r>
      </w:hyperlink>
      <w:r w:rsidDel="00000000" w:rsidR="00000000" w:rsidRPr="00000000">
        <w:rPr>
          <w:rFonts w:ascii="Arial" w:cs="Arial" w:eastAsia="Arial" w:hAnsi="Arial"/>
          <w:sz w:val="22"/>
          <w:szCs w:val="22"/>
          <w:rtl w:val="0"/>
        </w:rPr>
        <w:t xml:space="preserve"> earth goddess as a result of Moana’s self-sacrificing journey. Maui’s egocentricity is humbled and he engages in an act of reverence and apology to Te Fiti for his Promethean blunder</w:t>
      </w:r>
      <w:r w:rsidDel="00000000" w:rsidR="00000000" w:rsidRPr="00000000">
        <w:rPr>
          <w:rFonts w:ascii="Arial" w:cs="Arial" w:eastAsia="Arial" w:hAnsi="Arial"/>
          <w:sz w:val="22"/>
          <w:szCs w:val="22"/>
          <w:vertAlign w:val="superscript"/>
        </w:rPr>
        <w:footnoteReference w:customMarkFollows="0" w:id="68"/>
      </w:r>
      <w:r w:rsidDel="00000000" w:rsidR="00000000" w:rsidRPr="00000000">
        <w:rPr>
          <w:rFonts w:ascii="Arial" w:cs="Arial" w:eastAsia="Arial" w:hAnsi="Arial"/>
          <w:sz w:val="22"/>
          <w:szCs w:val="22"/>
          <w:rtl w:val="0"/>
        </w:rPr>
        <w:t xml:space="preserve"> before being rewarded with restored magical powers.</w:t>
      </w:r>
    </w:p>
    <w:p w:rsidR="00000000" w:rsidDel="00000000" w:rsidP="00000000" w:rsidRDefault="00000000" w:rsidRPr="00000000" w14:paraId="000000C7">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8">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conclusion both Ishtar and Moana embody heroines who undergo transformation through self-sacrifice. They have each traversed bounded territory and found their way back “home” forever changed. The subject of “nature”, both as earth and the cosmos as well as one’s true inner nature, have been touched upon to illustrate the necessity of engagement and participation of the individual within a larger play of dynamic elements both outer and inner. Both heroines, as privileged by birth, emphasize voluntary descent suggesting that the perceived safety of the upper worlds must be questioned or challenged. After their life-threatening journey and trials, Ishtar and Moana return more humbled, empowered and whole than they were before, in their pre-journey state. A summary of such themes has been outlined here to support the ideas that myths are far from dead and as a product of primordial intelligence, they continue to live on through humanity. Campbell reminds us that “whenever a myth is taken literally, it is corrupted and reciprocally when it is dismissed as inferior intelligence .. the truth has slipped out the other door.”</w:t>
      </w:r>
      <w:r w:rsidDel="00000000" w:rsidR="00000000" w:rsidRPr="00000000">
        <w:rPr>
          <w:rFonts w:ascii="Arial" w:cs="Arial" w:eastAsia="Arial" w:hAnsi="Arial"/>
          <w:sz w:val="22"/>
          <w:szCs w:val="22"/>
          <w:vertAlign w:val="superscript"/>
        </w:rPr>
        <w:footnoteReference w:customMarkFollows="0" w:id="69"/>
      </w:r>
      <w:r w:rsidDel="00000000" w:rsidR="00000000" w:rsidRPr="00000000">
        <w:rPr>
          <w:rFonts w:ascii="Arial" w:cs="Arial" w:eastAsia="Arial" w:hAnsi="Arial"/>
          <w:sz w:val="22"/>
          <w:szCs w:val="22"/>
          <w:rtl w:val="0"/>
        </w:rPr>
        <w:t xml:space="preserve"> Toeing the balance in interpretation and explanation is nuanced and further dissemination is necessary to cover the full breadth of parallelism of Ishtar’s descent in modern times and within Moana as a product of 21st century popular culture.  </w:t>
      </w:r>
    </w:p>
    <w:p w:rsidR="00000000" w:rsidDel="00000000" w:rsidP="00000000" w:rsidRDefault="00000000" w:rsidRPr="00000000" w14:paraId="000000C9">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A">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B">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C">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D">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E">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F">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0">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1">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2">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3">
      <w:pPr>
        <w:shd w:fill="ffffff" w:val="clear"/>
        <w:spacing w:after="240" w:before="240" w:line="276" w:lineRule="auto"/>
        <w:rPr>
          <w:rFonts w:ascii="Arial" w:cs="Arial" w:eastAsia="Arial" w:hAnsi="Arial"/>
          <w:u w:val="single"/>
        </w:rPr>
      </w:pPr>
      <w:r w:rsidDel="00000000" w:rsidR="00000000" w:rsidRPr="00000000">
        <w:rPr>
          <w:rFonts w:ascii="Arial" w:cs="Arial" w:eastAsia="Arial" w:hAnsi="Arial"/>
          <w:u w:val="single"/>
          <w:rtl w:val="0"/>
        </w:rPr>
        <w:t xml:space="preserve">Primary Sources</w:t>
      </w:r>
    </w:p>
    <w:p w:rsidR="00000000" w:rsidDel="00000000" w:rsidP="00000000" w:rsidRDefault="00000000" w:rsidRPr="00000000" w14:paraId="000000D4">
      <w:pPr>
        <w:spacing w:after="240" w:before="24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Speiser, E.A. (trans). 'Descent of Ishtar to the Nether World.' In Ancient near Eastern Texts Relating to the</w:t>
      </w:r>
    </w:p>
    <w:p w:rsidR="00000000" w:rsidDel="00000000" w:rsidP="00000000" w:rsidRDefault="00000000" w:rsidRPr="00000000" w14:paraId="000000D5">
      <w:pPr>
        <w:spacing w:after="240" w:before="240" w:line="276" w:lineRule="auto"/>
        <w:ind w:firstLine="720"/>
        <w:rPr>
          <w:rFonts w:ascii="Arial" w:cs="Arial" w:eastAsia="Arial" w:hAnsi="Arial"/>
          <w:sz w:val="20"/>
          <w:szCs w:val="20"/>
        </w:rPr>
      </w:pPr>
      <w:r w:rsidDel="00000000" w:rsidR="00000000" w:rsidRPr="00000000">
        <w:rPr>
          <w:rFonts w:ascii="Arial" w:cs="Arial" w:eastAsia="Arial" w:hAnsi="Arial"/>
          <w:sz w:val="20"/>
          <w:szCs w:val="20"/>
          <w:rtl w:val="0"/>
        </w:rPr>
        <w:t xml:space="preserve">Old Testament, edited by James B. Pritchard, 106-109. Princeton: Princeton University Press, 1969.</w:t>
      </w:r>
    </w:p>
    <w:p w:rsidR="00000000" w:rsidDel="00000000" w:rsidP="00000000" w:rsidRDefault="00000000" w:rsidRPr="00000000" w14:paraId="000000D6">
      <w:pPr>
        <w:rPr>
          <w:rFonts w:ascii="Arial" w:cs="Arial" w:eastAsia="Arial" w:hAnsi="Arial"/>
        </w:rPr>
      </w:pPr>
      <w:r w:rsidDel="00000000" w:rsidR="00000000" w:rsidRPr="00000000">
        <w:rPr>
          <w:rFonts w:ascii="Arial" w:cs="Arial" w:eastAsia="Arial" w:hAnsi="Arial"/>
          <w:sz w:val="20"/>
          <w:szCs w:val="20"/>
          <w:rtl w:val="0"/>
        </w:rPr>
        <w:t xml:space="preserve">Moana, a Walt Disney film, Ron Clements and John Musker (directors), 2016.</w:t>
      </w:r>
      <w:r w:rsidDel="00000000" w:rsidR="00000000" w:rsidRPr="00000000">
        <w:rPr>
          <w:rtl w:val="0"/>
        </w:rPr>
      </w:r>
    </w:p>
    <w:p w:rsidR="00000000" w:rsidDel="00000000" w:rsidP="00000000" w:rsidRDefault="00000000" w:rsidRPr="00000000" w14:paraId="000000D7">
      <w:pPr>
        <w:spacing w:after="240" w:before="240" w:line="276" w:lineRule="auto"/>
        <w:rPr>
          <w:rFonts w:ascii="Arial" w:cs="Arial" w:eastAsia="Arial" w:hAnsi="Arial"/>
        </w:rPr>
      </w:pPr>
      <w:r w:rsidDel="00000000" w:rsidR="00000000" w:rsidRPr="00000000">
        <w:rPr>
          <w:rtl w:val="0"/>
        </w:rPr>
      </w:r>
    </w:p>
    <w:p w:rsidR="00000000" w:rsidDel="00000000" w:rsidP="00000000" w:rsidRDefault="00000000" w:rsidRPr="00000000" w14:paraId="000000D8">
      <w:pPr>
        <w:shd w:fill="ffffff" w:val="clear"/>
        <w:spacing w:after="240" w:before="240" w:line="276" w:lineRule="auto"/>
        <w:rPr>
          <w:rFonts w:ascii="Arial" w:cs="Arial" w:eastAsia="Arial" w:hAnsi="Arial"/>
          <w:u w:val="single"/>
        </w:rPr>
      </w:pPr>
      <w:r w:rsidDel="00000000" w:rsidR="00000000" w:rsidRPr="00000000">
        <w:rPr>
          <w:rFonts w:ascii="Arial" w:cs="Arial" w:eastAsia="Arial" w:hAnsi="Arial"/>
          <w:u w:val="single"/>
          <w:rtl w:val="0"/>
        </w:rPr>
        <w:t xml:space="preserve">Secondary Literature</w:t>
      </w:r>
    </w:p>
    <w:p w:rsidR="00000000" w:rsidDel="00000000" w:rsidP="00000000" w:rsidRDefault="00000000" w:rsidRPr="00000000" w14:paraId="000000D9">
      <w:pPr>
        <w:spacing w:after="240" w:before="240" w:line="276" w:lineRule="auto"/>
        <w:ind w:left="576"/>
        <w:rPr>
          <w:rFonts w:ascii="Arial" w:cs="Arial" w:eastAsia="Arial" w:hAnsi="Arial"/>
          <w:sz w:val="20"/>
          <w:szCs w:val="20"/>
        </w:rPr>
      </w:pPr>
      <w:r w:rsidDel="00000000" w:rsidR="00000000" w:rsidRPr="00000000">
        <w:rPr>
          <w:rFonts w:ascii="Arial" w:cs="Arial" w:eastAsia="Arial" w:hAnsi="Arial"/>
          <w:sz w:val="20"/>
          <w:szCs w:val="20"/>
          <w:rtl w:val="0"/>
        </w:rPr>
        <w:t xml:space="preserve">Ammendola, Emanuela. “Translating the Pacific for Children Moana: Polynesian Identity and Multilingualism through Disney Lens.” Semiotic eye on media, ISSN 1724-7810, 24, no. 27 (February 27, 2023): 1–18. https://doi.org/10.57576/ocula2023-1. </w:t>
      </w:r>
    </w:p>
    <w:p w:rsidR="00000000" w:rsidDel="00000000" w:rsidP="00000000" w:rsidRDefault="00000000" w:rsidRPr="00000000" w14:paraId="000000DA">
      <w:pPr>
        <w:shd w:fill="ffffff" w:val="clear"/>
        <w:spacing w:line="276" w:lineRule="auto"/>
        <w:ind w:left="576"/>
        <w:rPr>
          <w:rFonts w:ascii="Arial" w:cs="Arial" w:eastAsia="Arial" w:hAnsi="Arial"/>
          <w:sz w:val="20"/>
          <w:szCs w:val="20"/>
        </w:rPr>
      </w:pPr>
      <w:r w:rsidDel="00000000" w:rsidR="00000000" w:rsidRPr="00000000">
        <w:rPr>
          <w:rFonts w:ascii="Arial" w:cs="Arial" w:eastAsia="Arial" w:hAnsi="Arial"/>
          <w:sz w:val="20"/>
          <w:szCs w:val="20"/>
          <w:rtl w:val="0"/>
        </w:rPr>
        <w:t xml:space="preserve">Baring, Anne, and Jules Cashford. The myth of the goddess: Evolution of an image. London: Penguin Books, 1993. </w:t>
      </w:r>
    </w:p>
    <w:p w:rsidR="00000000" w:rsidDel="00000000" w:rsidP="00000000" w:rsidRDefault="00000000" w:rsidRPr="00000000" w14:paraId="000000DB">
      <w:pPr>
        <w:shd w:fill="ffffff" w:val="clear"/>
        <w:spacing w:line="276" w:lineRule="auto"/>
        <w:ind w:left="576"/>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C">
      <w:pPr>
        <w:shd w:fill="ffffff" w:val="clear"/>
        <w:spacing w:line="276" w:lineRule="auto"/>
        <w:ind w:left="576"/>
        <w:rPr>
          <w:rFonts w:ascii="Arial" w:cs="Arial" w:eastAsia="Arial" w:hAnsi="Arial"/>
          <w:sz w:val="20"/>
          <w:szCs w:val="20"/>
        </w:rPr>
      </w:pPr>
      <w:r w:rsidDel="00000000" w:rsidR="00000000" w:rsidRPr="00000000">
        <w:rPr>
          <w:rFonts w:ascii="Arial" w:cs="Arial" w:eastAsia="Arial" w:hAnsi="Arial"/>
          <w:sz w:val="20"/>
          <w:szCs w:val="20"/>
          <w:rtl w:val="0"/>
        </w:rPr>
        <w:t xml:space="preserve">Campbell, Joseph, and Joseph Campbell. The hero with a thousand faces. Princeton: Princeton University Press, 1971. </w:t>
      </w:r>
    </w:p>
    <w:p w:rsidR="00000000" w:rsidDel="00000000" w:rsidP="00000000" w:rsidRDefault="00000000" w:rsidRPr="00000000" w14:paraId="000000DD">
      <w:pPr>
        <w:shd w:fill="ffffff" w:val="clear"/>
        <w:spacing w:line="276" w:lineRule="auto"/>
        <w:ind w:left="576"/>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E">
      <w:pPr>
        <w:shd w:fill="ffffff" w:val="clear"/>
        <w:spacing w:line="276" w:lineRule="auto"/>
        <w:ind w:left="576"/>
        <w:rPr>
          <w:rFonts w:ascii="Arial" w:cs="Arial" w:eastAsia="Arial" w:hAnsi="Arial"/>
          <w:sz w:val="20"/>
          <w:szCs w:val="20"/>
        </w:rPr>
      </w:pPr>
      <w:r w:rsidDel="00000000" w:rsidR="00000000" w:rsidRPr="00000000">
        <w:rPr>
          <w:rFonts w:ascii="Arial" w:cs="Arial" w:eastAsia="Arial" w:hAnsi="Arial"/>
          <w:sz w:val="20"/>
          <w:szCs w:val="20"/>
          <w:rtl w:val="0"/>
        </w:rPr>
        <w:t xml:space="preserve">Campbell, Joseph. “The Historical Development of Mythology.” Daedalus, Myth and Mythmaking (Spring), 88, no. 2 (1959): 232–54. </w:t>
      </w:r>
    </w:p>
    <w:p w:rsidR="00000000" w:rsidDel="00000000" w:rsidP="00000000" w:rsidRDefault="00000000" w:rsidRPr="00000000" w14:paraId="000000DF">
      <w:pPr>
        <w:shd w:fill="ffffff" w:val="clear"/>
        <w:spacing w:line="276" w:lineRule="auto"/>
        <w:ind w:left="576"/>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0">
      <w:pPr>
        <w:shd w:fill="ffffff" w:val="clear"/>
        <w:spacing w:line="276" w:lineRule="auto"/>
        <w:ind w:left="576"/>
        <w:rPr>
          <w:rFonts w:ascii="Arial" w:cs="Arial" w:eastAsia="Arial" w:hAnsi="Arial"/>
          <w:sz w:val="20"/>
          <w:szCs w:val="20"/>
        </w:rPr>
      </w:pPr>
      <w:r w:rsidDel="00000000" w:rsidR="00000000" w:rsidRPr="00000000">
        <w:rPr>
          <w:rFonts w:ascii="Arial" w:cs="Arial" w:eastAsia="Arial" w:hAnsi="Arial"/>
          <w:sz w:val="20"/>
          <w:szCs w:val="20"/>
          <w:rtl w:val="0"/>
        </w:rPr>
        <w:t xml:space="preserve">Chew, Kevin. “‘Humanity Rising from the Depths of Brine’: An Oceanic Politics in Disney’s Moana.” New Review of Film and Television Studies 20, no. 4 (September 11, 2022): 546–68. https://doi.org/10.1080/17400309.2022.2117494. </w:t>
      </w:r>
    </w:p>
    <w:p w:rsidR="00000000" w:rsidDel="00000000" w:rsidP="00000000" w:rsidRDefault="00000000" w:rsidRPr="00000000" w14:paraId="000000E1">
      <w:pPr>
        <w:shd w:fill="ffffff" w:val="clear"/>
        <w:spacing w:line="276" w:lineRule="auto"/>
        <w:ind w:left="576"/>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2">
      <w:pPr>
        <w:shd w:fill="ffffff" w:val="clear"/>
        <w:spacing w:line="276" w:lineRule="auto"/>
        <w:ind w:left="576"/>
        <w:rPr>
          <w:rFonts w:ascii="Arial" w:cs="Arial" w:eastAsia="Arial" w:hAnsi="Arial"/>
          <w:sz w:val="20"/>
          <w:szCs w:val="20"/>
        </w:rPr>
      </w:pPr>
      <w:r w:rsidDel="00000000" w:rsidR="00000000" w:rsidRPr="00000000">
        <w:rPr>
          <w:rFonts w:ascii="Arial" w:cs="Arial" w:eastAsia="Arial" w:hAnsi="Arial"/>
          <w:sz w:val="20"/>
          <w:szCs w:val="20"/>
          <w:rtl w:val="0"/>
        </w:rPr>
        <w:t xml:space="preserve">Crowley, Vivianne. “The Mystery of Waters.” Deep Blue, December 5, 2014, 177–93. https://doi.org/10.4324/9781315710181-22. </w:t>
      </w:r>
    </w:p>
    <w:p w:rsidR="00000000" w:rsidDel="00000000" w:rsidP="00000000" w:rsidRDefault="00000000" w:rsidRPr="00000000" w14:paraId="000000E3">
      <w:pPr>
        <w:shd w:fill="ffffff" w:val="clear"/>
        <w:spacing w:line="276" w:lineRule="auto"/>
        <w:ind w:left="576"/>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4">
      <w:pPr>
        <w:shd w:fill="ffffff" w:val="clear"/>
        <w:spacing w:line="276" w:lineRule="auto"/>
        <w:ind w:left="576"/>
        <w:rPr>
          <w:rFonts w:ascii="Arial" w:cs="Arial" w:eastAsia="Arial" w:hAnsi="Arial"/>
          <w:sz w:val="20"/>
          <w:szCs w:val="20"/>
        </w:rPr>
      </w:pPr>
      <w:r w:rsidDel="00000000" w:rsidR="00000000" w:rsidRPr="00000000">
        <w:rPr>
          <w:rFonts w:ascii="Arial" w:cs="Arial" w:eastAsia="Arial" w:hAnsi="Arial"/>
          <w:sz w:val="20"/>
          <w:szCs w:val="20"/>
          <w:rtl w:val="0"/>
        </w:rPr>
        <w:t xml:space="preserve">Hernawati, Mala. “How Far the Ecowarrior Will Go: An Ecofeminist Reading of Disney’s Moana.” 3L The Southeast Asian Journal of English Language Studies 27, no. 4 (December 13, 2021): 257–68. https://doi.org/10.17576/3l-2021-2704-18. </w:t>
      </w:r>
    </w:p>
    <w:p w:rsidR="00000000" w:rsidDel="00000000" w:rsidP="00000000" w:rsidRDefault="00000000" w:rsidRPr="00000000" w14:paraId="000000E5">
      <w:pPr>
        <w:shd w:fill="ffffff" w:val="clear"/>
        <w:spacing w:line="276" w:lineRule="auto"/>
        <w:ind w:left="576"/>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6">
      <w:pPr>
        <w:shd w:fill="ffffff" w:val="clear"/>
        <w:spacing w:line="276" w:lineRule="auto"/>
        <w:ind w:left="576"/>
        <w:rPr>
          <w:rFonts w:ascii="Arial" w:cs="Arial" w:eastAsia="Arial" w:hAnsi="Arial"/>
          <w:sz w:val="20"/>
          <w:szCs w:val="20"/>
        </w:rPr>
      </w:pPr>
      <w:r w:rsidDel="00000000" w:rsidR="00000000" w:rsidRPr="00000000">
        <w:rPr>
          <w:rFonts w:ascii="Arial" w:cs="Arial" w:eastAsia="Arial" w:hAnsi="Arial"/>
          <w:sz w:val="20"/>
          <w:szCs w:val="20"/>
          <w:rtl w:val="0"/>
        </w:rPr>
        <w:t xml:space="preserve">Korte, Barbara and Simon Wendt, and Nicole Falkenhayner (eds). “Heroism as a global phenomenon in contemporary culture.” Erscheinungsort nicht ermittelbar: Taylor &amp; Francis, 2019. </w:t>
      </w:r>
    </w:p>
    <w:p w:rsidR="00000000" w:rsidDel="00000000" w:rsidP="00000000" w:rsidRDefault="00000000" w:rsidRPr="00000000" w14:paraId="000000E7">
      <w:pPr>
        <w:shd w:fill="ffffff" w:val="clear"/>
        <w:spacing w:line="276" w:lineRule="auto"/>
        <w:ind w:left="576"/>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8">
      <w:pPr>
        <w:shd w:fill="ffffff" w:val="clear"/>
        <w:spacing w:line="276" w:lineRule="auto"/>
        <w:ind w:left="576"/>
        <w:rPr>
          <w:rFonts w:ascii="Arial" w:cs="Arial" w:eastAsia="Arial" w:hAnsi="Arial"/>
          <w:sz w:val="20"/>
          <w:szCs w:val="20"/>
        </w:rPr>
      </w:pPr>
      <w:r w:rsidDel="00000000" w:rsidR="00000000" w:rsidRPr="00000000">
        <w:rPr>
          <w:rFonts w:ascii="Arial" w:cs="Arial" w:eastAsia="Arial" w:hAnsi="Arial"/>
          <w:sz w:val="20"/>
          <w:szCs w:val="20"/>
          <w:rtl w:val="0"/>
        </w:rPr>
        <w:t xml:space="preserve">Mouzakis, Sotirios. “Princess of a Different Kingdom: Cultural Imperialism, Female Heroism, and the Global Performance of Walt Disney's Mulan and Moana” in Heroism as a global phenomenon in contemporary culture by Korte, Barbara, Simon Wendt, and Nicole Falkenhayner. Erscheinungsort nicht ermittelbar: Taylor &amp; Francis, 2019. </w:t>
      </w:r>
    </w:p>
    <w:p w:rsidR="00000000" w:rsidDel="00000000" w:rsidP="00000000" w:rsidRDefault="00000000" w:rsidRPr="00000000" w14:paraId="000000E9">
      <w:pPr>
        <w:shd w:fill="ffffff" w:val="clear"/>
        <w:spacing w:line="276" w:lineRule="auto"/>
        <w:ind w:left="576"/>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A">
      <w:pPr>
        <w:shd w:fill="ffffff" w:val="clear"/>
        <w:spacing w:line="276" w:lineRule="auto"/>
        <w:ind w:left="576"/>
        <w:rPr>
          <w:rFonts w:ascii="Arial" w:cs="Arial" w:eastAsia="Arial" w:hAnsi="Arial"/>
          <w:sz w:val="20"/>
          <w:szCs w:val="20"/>
        </w:rPr>
      </w:pPr>
      <w:r w:rsidDel="00000000" w:rsidR="00000000" w:rsidRPr="00000000">
        <w:rPr>
          <w:rFonts w:ascii="Arial" w:cs="Arial" w:eastAsia="Arial" w:hAnsi="Arial"/>
          <w:sz w:val="20"/>
          <w:szCs w:val="20"/>
          <w:rtl w:val="0"/>
        </w:rPr>
        <w:t xml:space="preserve">Marinatos, Nanno. “The Cosmic Journey of Odysseus.” Numen 48, no. 4 (2001): 381–416. https://doi.org/10.1163/156852701317092878. </w:t>
      </w:r>
    </w:p>
    <w:p w:rsidR="00000000" w:rsidDel="00000000" w:rsidP="00000000" w:rsidRDefault="00000000" w:rsidRPr="00000000" w14:paraId="000000EB">
      <w:pPr>
        <w:shd w:fill="ffffff" w:val="clear"/>
        <w:spacing w:line="276" w:lineRule="auto"/>
        <w:ind w:left="576"/>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C">
      <w:pPr>
        <w:shd w:fill="ffffff" w:val="clear"/>
        <w:spacing w:line="276" w:lineRule="auto"/>
        <w:ind w:left="576"/>
        <w:rPr>
          <w:rFonts w:ascii="Arial" w:cs="Arial" w:eastAsia="Arial" w:hAnsi="Arial"/>
          <w:sz w:val="20"/>
          <w:szCs w:val="20"/>
        </w:rPr>
      </w:pPr>
      <w:r w:rsidDel="00000000" w:rsidR="00000000" w:rsidRPr="00000000">
        <w:rPr>
          <w:rFonts w:ascii="Arial" w:cs="Arial" w:eastAsia="Arial" w:hAnsi="Arial"/>
          <w:sz w:val="20"/>
          <w:szCs w:val="20"/>
          <w:rtl w:val="0"/>
        </w:rPr>
        <w:t xml:space="preserve">Miller, Catriona. “Inanna's descent to the netherworld and analytical psychology: what has the mistress of all the lands done?”, September 30, 2022, 1–13. https://doi.org/10.4324/9781003054139-9. </w:t>
      </w:r>
    </w:p>
    <w:p w:rsidR="00000000" w:rsidDel="00000000" w:rsidP="00000000" w:rsidRDefault="00000000" w:rsidRPr="00000000" w14:paraId="000000ED">
      <w:pPr>
        <w:shd w:fill="ffffff" w:val="clear"/>
        <w:spacing w:line="276" w:lineRule="auto"/>
        <w:ind w:left="576"/>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E">
      <w:pPr>
        <w:shd w:fill="ffffff" w:val="clear"/>
        <w:spacing w:line="276" w:lineRule="auto"/>
        <w:ind w:left="576"/>
        <w:rPr>
          <w:rFonts w:ascii="Arial" w:cs="Arial" w:eastAsia="Arial" w:hAnsi="Arial"/>
          <w:sz w:val="20"/>
          <w:szCs w:val="20"/>
        </w:rPr>
      </w:pPr>
      <w:r w:rsidDel="00000000" w:rsidR="00000000" w:rsidRPr="00000000">
        <w:rPr>
          <w:rFonts w:ascii="Arial" w:cs="Arial" w:eastAsia="Arial" w:hAnsi="Arial"/>
          <w:sz w:val="20"/>
          <w:szCs w:val="20"/>
          <w:rtl w:val="0"/>
        </w:rPr>
        <w:t xml:space="preserve">Perera, Sylvia Brinton. Descent to the goddess: A way of initiation for women. Toronto: Inner City Books, 1991. </w:t>
      </w:r>
    </w:p>
    <w:p w:rsidR="00000000" w:rsidDel="00000000" w:rsidP="00000000" w:rsidRDefault="00000000" w:rsidRPr="00000000" w14:paraId="000000EF">
      <w:pPr>
        <w:shd w:fill="ffffff" w:val="clear"/>
        <w:spacing w:line="276" w:lineRule="auto"/>
        <w:ind w:left="576"/>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0">
      <w:pPr>
        <w:shd w:fill="ffffff" w:val="clear"/>
        <w:spacing w:line="276" w:lineRule="auto"/>
        <w:ind w:left="576"/>
        <w:rPr>
          <w:rFonts w:ascii="Arial" w:cs="Arial" w:eastAsia="Arial" w:hAnsi="Arial"/>
          <w:sz w:val="20"/>
          <w:szCs w:val="20"/>
        </w:rPr>
      </w:pPr>
      <w:r w:rsidDel="00000000" w:rsidR="00000000" w:rsidRPr="00000000">
        <w:rPr>
          <w:rFonts w:ascii="Arial" w:cs="Arial" w:eastAsia="Arial" w:hAnsi="Arial"/>
          <w:sz w:val="20"/>
          <w:szCs w:val="20"/>
          <w:rtl w:val="0"/>
        </w:rPr>
        <w:t xml:space="preserve">Shaw, Sylvie, and Andrew Francis. Deep Blue, 2008. https://doi.org/10.4324/9781315710181. </w:t>
      </w:r>
    </w:p>
    <w:p w:rsidR="00000000" w:rsidDel="00000000" w:rsidP="00000000" w:rsidRDefault="00000000" w:rsidRPr="00000000" w14:paraId="000000F1">
      <w:pPr>
        <w:shd w:fill="ffffff" w:val="clear"/>
        <w:spacing w:line="276" w:lineRule="auto"/>
        <w:ind w:left="576"/>
        <w:rPr>
          <w:rFonts w:ascii="Trebuchet MS" w:cs="Trebuchet MS" w:eastAsia="Trebuchet MS" w:hAnsi="Trebuchet MS"/>
        </w:rPr>
      </w:pPr>
      <w:r w:rsidDel="00000000" w:rsidR="00000000" w:rsidRPr="00000000">
        <w:rPr>
          <w:rFonts w:ascii="Arial" w:cs="Arial" w:eastAsia="Arial" w:hAnsi="Arial"/>
          <w:sz w:val="20"/>
          <w:szCs w:val="20"/>
          <w:rtl w:val="0"/>
        </w:rPr>
        <w:t xml:space="preserve">Tamaira, A Mārata, and Dionne Fonoti. “Beyond Paradise? Retelling Pacific Stories in Disney’s Moana.” The Contemporary Pacific 30, no. 2 (2018): 297–327. https://doi.org/10.1353/cp.2018.0029. </w:t>
      </w:r>
      <w:r w:rsidDel="00000000" w:rsidR="00000000" w:rsidRPr="00000000">
        <w:rPr>
          <w:rtl w:val="0"/>
        </w:rPr>
      </w:r>
    </w:p>
    <w:sectPr>
      <w:footerReference r:id="rId12" w:type="default"/>
      <w:pgSz w:h="15840" w:w="12240" w:orient="portrait"/>
      <w:pgMar w:bottom="567" w:top="567" w:left="1797" w:right="1797" w:header="567"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Calibri"/>
  <w:font w:name="Lobster">
    <w:embedRegular w:fontKey="{00000000-0000-0000-0000-000000000000}" r:id="rId1" w:subsetted="0"/>
  </w:font>
  <w:font w:name="Tahoma">
    <w:embedRegular w:fontKey="{00000000-0000-0000-0000-000000000000}" r:id="rId2" w:subsetted="0"/>
    <w:embedBold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rebuchet MS" w:cs="Trebuchet MS" w:eastAsia="Trebuchet MS" w:hAnsi="Trebuchet MS"/>
        <w:b w:val="0"/>
        <w:i w:val="0"/>
        <w:smallCaps w:val="0"/>
        <w:strike w:val="0"/>
        <w:color w:val="000000"/>
        <w:sz w:val="18"/>
        <w:szCs w:val="18"/>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18"/>
        <w:szCs w:val="18"/>
        <w:u w:val="none"/>
        <w:shd w:fill="auto" w:val="clear"/>
        <w:vertAlign w:val="baseline"/>
        <w:rtl w:val="0"/>
      </w:rPr>
      <w:t xml:space="preserve"> </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F3">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Donald Mackenzie, Myths of Babylonia and Assyria (1915) 54.</w:t>
      </w:r>
    </w:p>
  </w:footnote>
  <w:footnote w:id="1">
    <w:p w:rsidR="00000000" w:rsidDel="00000000" w:rsidP="00000000" w:rsidRDefault="00000000" w:rsidRPr="00000000" w14:paraId="000000F4">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E.A Speiser Descent of Ishtar to the Netherworld, in Ancient Near Eastern Texts Relating to the Old Testament (Princeton: Princeton University Press, 1969) 106-109. </w:t>
      </w:r>
    </w:p>
  </w:footnote>
  <w:footnote w:id="2">
    <w:p w:rsidR="00000000" w:rsidDel="00000000" w:rsidP="00000000" w:rsidRDefault="00000000" w:rsidRPr="00000000" w14:paraId="000000F5">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Moana, Walt Disney, Ron Clements and John Musker, 2016</w:t>
      </w:r>
    </w:p>
  </w:footnote>
  <w:footnote w:id="3">
    <w:p w:rsidR="00000000" w:rsidDel="00000000" w:rsidP="00000000" w:rsidRDefault="00000000" w:rsidRPr="00000000" w14:paraId="000000F6">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Catriona Miller, “Inanna's descent to the netherworld and analytical psychology: what has the mistress of all the lands done?” (Abingdon: Routledge, 2022), 1. </w:t>
      </w:r>
    </w:p>
  </w:footnote>
  <w:footnote w:id="4">
    <w:p w:rsidR="00000000" w:rsidDel="00000000" w:rsidP="00000000" w:rsidRDefault="00000000" w:rsidRPr="00000000" w14:paraId="000000F7">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Joseph Campbell, “The Historical Development of Mythology.” Daedalus, Myth and Mythmaking 88, no. 2 (1959): 233.</w:t>
      </w:r>
    </w:p>
  </w:footnote>
  <w:footnote w:id="5">
    <w:p w:rsidR="00000000" w:rsidDel="00000000" w:rsidP="00000000" w:rsidRDefault="00000000" w:rsidRPr="00000000" w14:paraId="000000F8">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235.</w:t>
      </w:r>
    </w:p>
  </w:footnote>
  <w:footnote w:id="6">
    <w:p w:rsidR="00000000" w:rsidDel="00000000" w:rsidP="00000000" w:rsidRDefault="00000000" w:rsidRPr="00000000" w14:paraId="000000F9">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232.</w:t>
      </w:r>
    </w:p>
  </w:footnote>
  <w:footnote w:id="7">
    <w:p w:rsidR="00000000" w:rsidDel="00000000" w:rsidP="00000000" w:rsidRDefault="00000000" w:rsidRPr="00000000" w14:paraId="000000FA">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Sylvia Brinton Perera Descent to the goddess: A way of initiation for women (Toronto: Inner City Books, 1991), 9.</w:t>
      </w:r>
    </w:p>
  </w:footnote>
  <w:footnote w:id="8">
    <w:p w:rsidR="00000000" w:rsidDel="00000000" w:rsidP="00000000" w:rsidRDefault="00000000" w:rsidRPr="00000000" w14:paraId="000000FB">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Joseph Campbell, The Historical Development of Mythology, 232.</w:t>
        <w:tab/>
      </w:r>
    </w:p>
  </w:footnote>
  <w:footnote w:id="9">
    <w:p w:rsidR="00000000" w:rsidDel="00000000" w:rsidP="00000000" w:rsidRDefault="00000000" w:rsidRPr="00000000" w14:paraId="000000FC">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Sylvia Perera Descent to the goddess, 9.</w:t>
      </w:r>
    </w:p>
  </w:footnote>
  <w:footnote w:id="10">
    <w:p w:rsidR="00000000" w:rsidDel="00000000" w:rsidP="00000000" w:rsidRDefault="00000000" w:rsidRPr="00000000" w14:paraId="000000FD">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E.A Speiser Descent of Ishtar to the Netherworld, 107. </w:t>
      </w:r>
    </w:p>
  </w:footnote>
  <w:footnote w:id="11">
    <w:p w:rsidR="00000000" w:rsidDel="00000000" w:rsidP="00000000" w:rsidRDefault="00000000" w:rsidRPr="00000000" w14:paraId="000000FE">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Emanuela Ammendola, “Translating the Pacific for Children Moana: Polynesian Identity and Multilingualism through Disney Lens.” </w:t>
      </w:r>
      <w:r w:rsidDel="00000000" w:rsidR="00000000" w:rsidRPr="00000000">
        <w:rPr>
          <w:rFonts w:ascii="Arial" w:cs="Arial" w:eastAsia="Arial" w:hAnsi="Arial"/>
          <w:i w:val="1"/>
          <w:sz w:val="20"/>
          <w:szCs w:val="20"/>
          <w:rtl w:val="0"/>
        </w:rPr>
        <w:t xml:space="preserve">Semiotic eye on media</w:t>
      </w:r>
      <w:r w:rsidDel="00000000" w:rsidR="00000000" w:rsidRPr="00000000">
        <w:rPr>
          <w:rFonts w:ascii="Arial" w:cs="Arial" w:eastAsia="Arial" w:hAnsi="Arial"/>
          <w:sz w:val="20"/>
          <w:szCs w:val="20"/>
          <w:rtl w:val="0"/>
        </w:rPr>
        <w:t xml:space="preserve"> 24, no. 27 (2023): 5.</w:t>
      </w:r>
    </w:p>
  </w:footnote>
  <w:footnote w:id="12">
    <w:p w:rsidR="00000000" w:rsidDel="00000000" w:rsidP="00000000" w:rsidRDefault="00000000" w:rsidRPr="00000000" w14:paraId="000000FF">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w:t>
      </w:r>
    </w:p>
  </w:footnote>
  <w:footnote w:id="13">
    <w:p w:rsidR="00000000" w:rsidDel="00000000" w:rsidP="00000000" w:rsidRDefault="00000000" w:rsidRPr="00000000" w14:paraId="00000100">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Sylvia Perera Descent to the goddess, 13.</w:t>
      </w:r>
    </w:p>
  </w:footnote>
  <w:footnote w:id="14">
    <w:p w:rsidR="00000000" w:rsidDel="00000000" w:rsidP="00000000" w:rsidRDefault="00000000" w:rsidRPr="00000000" w14:paraId="00000101">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w:t>
      </w:r>
    </w:p>
  </w:footnote>
  <w:footnote w:id="15">
    <w:p w:rsidR="00000000" w:rsidDel="00000000" w:rsidP="00000000" w:rsidRDefault="00000000" w:rsidRPr="00000000" w14:paraId="00000102">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Sylvia Perera Descent to the goddess, 13</w:t>
      </w:r>
    </w:p>
  </w:footnote>
  <w:footnote w:id="16">
    <w:p w:rsidR="00000000" w:rsidDel="00000000" w:rsidP="00000000" w:rsidRDefault="00000000" w:rsidRPr="00000000" w14:paraId="00000103">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Anne Barring and Jules Cashford The myth of the goddess: Evolution of an image (London: Penguin Books, 1993) 191 as well as in Sylvia Perera Descent to the goddess, 13. </w:t>
      </w:r>
    </w:p>
  </w:footnote>
  <w:footnote w:id="17">
    <w:p w:rsidR="00000000" w:rsidDel="00000000" w:rsidP="00000000" w:rsidRDefault="00000000" w:rsidRPr="00000000" w14:paraId="00000104">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Anne Barring and Jules Cashford The myth of the goddess, 191.</w:t>
      </w:r>
    </w:p>
  </w:footnote>
  <w:footnote w:id="18">
    <w:p w:rsidR="00000000" w:rsidDel="00000000" w:rsidP="00000000" w:rsidRDefault="00000000" w:rsidRPr="00000000" w14:paraId="00000105">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w:t>
        <w:tab/>
      </w:r>
    </w:p>
  </w:footnote>
  <w:footnote w:id="19">
    <w:p w:rsidR="00000000" w:rsidDel="00000000" w:rsidP="00000000" w:rsidRDefault="00000000" w:rsidRPr="00000000" w14:paraId="00000106">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193.</w:t>
      </w:r>
    </w:p>
  </w:footnote>
  <w:footnote w:id="20">
    <w:p w:rsidR="00000000" w:rsidDel="00000000" w:rsidP="00000000" w:rsidRDefault="00000000" w:rsidRPr="00000000" w14:paraId="00000107">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191.</w:t>
        <w:tab/>
      </w:r>
    </w:p>
  </w:footnote>
  <w:footnote w:id="21">
    <w:p w:rsidR="00000000" w:rsidDel="00000000" w:rsidP="00000000" w:rsidRDefault="00000000" w:rsidRPr="00000000" w14:paraId="00000108">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192.</w:t>
        <w:tab/>
      </w:r>
    </w:p>
  </w:footnote>
  <w:footnote w:id="22">
    <w:p w:rsidR="00000000" w:rsidDel="00000000" w:rsidP="00000000" w:rsidRDefault="00000000" w:rsidRPr="00000000" w14:paraId="00000109">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Sylvia Perera Descent to the goddess, 13.</w:t>
      </w:r>
    </w:p>
  </w:footnote>
  <w:footnote w:id="23">
    <w:p w:rsidR="00000000" w:rsidDel="00000000" w:rsidP="00000000" w:rsidRDefault="00000000" w:rsidRPr="00000000" w14:paraId="0000010A">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Joseph Campbell, The Historical Development of Mythology, 236.</w:t>
      </w:r>
    </w:p>
  </w:footnote>
  <w:footnote w:id="24">
    <w:p w:rsidR="00000000" w:rsidDel="00000000" w:rsidP="00000000" w:rsidRDefault="00000000" w:rsidRPr="00000000" w14:paraId="0000010B">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w:t>
      </w:r>
    </w:p>
  </w:footnote>
  <w:footnote w:id="25">
    <w:p w:rsidR="00000000" w:rsidDel="00000000" w:rsidP="00000000" w:rsidRDefault="00000000" w:rsidRPr="00000000" w14:paraId="0000010C">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Kevin Chew “‘Humanity Rising from the Depths of Brine’: An Oceanic Politics in Disney’s Moana.” </w:t>
      </w:r>
      <w:r w:rsidDel="00000000" w:rsidR="00000000" w:rsidRPr="00000000">
        <w:rPr>
          <w:rFonts w:ascii="Arial" w:cs="Arial" w:eastAsia="Arial" w:hAnsi="Arial"/>
          <w:i w:val="1"/>
          <w:sz w:val="20"/>
          <w:szCs w:val="20"/>
          <w:rtl w:val="0"/>
        </w:rPr>
        <w:t xml:space="preserve">New Review of Film and Television Studies</w:t>
      </w:r>
      <w:r w:rsidDel="00000000" w:rsidR="00000000" w:rsidRPr="00000000">
        <w:rPr>
          <w:rFonts w:ascii="Arial" w:cs="Arial" w:eastAsia="Arial" w:hAnsi="Arial"/>
          <w:sz w:val="20"/>
          <w:szCs w:val="20"/>
          <w:rtl w:val="0"/>
        </w:rPr>
        <w:t xml:space="preserve"> 20, no. 4 (2022): 558.</w:t>
      </w:r>
    </w:p>
  </w:footnote>
  <w:footnote w:id="26">
    <w:p w:rsidR="00000000" w:rsidDel="00000000" w:rsidP="00000000" w:rsidRDefault="00000000" w:rsidRPr="00000000" w14:paraId="0000010D">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Kevin Chew Humanity Rising from the Depths of Brine, 558.</w:t>
      </w:r>
    </w:p>
  </w:footnote>
  <w:footnote w:id="27">
    <w:p w:rsidR="00000000" w:rsidDel="00000000" w:rsidP="00000000" w:rsidRDefault="00000000" w:rsidRPr="00000000" w14:paraId="0000010E">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559.</w:t>
      </w:r>
    </w:p>
  </w:footnote>
  <w:footnote w:id="28">
    <w:p w:rsidR="00000000" w:rsidDel="00000000" w:rsidP="00000000" w:rsidRDefault="00000000" w:rsidRPr="00000000" w14:paraId="0000010F">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548.</w:t>
      </w:r>
    </w:p>
  </w:footnote>
  <w:footnote w:id="29">
    <w:p w:rsidR="00000000" w:rsidDel="00000000" w:rsidP="00000000" w:rsidRDefault="00000000" w:rsidRPr="00000000" w14:paraId="00000110">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550.</w:t>
      </w:r>
    </w:p>
  </w:footnote>
  <w:footnote w:id="30">
    <w:p w:rsidR="00000000" w:rsidDel="00000000" w:rsidP="00000000" w:rsidRDefault="00000000" w:rsidRPr="00000000" w14:paraId="00000111">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w:t>
      </w:r>
    </w:p>
  </w:footnote>
  <w:footnote w:id="31">
    <w:p w:rsidR="00000000" w:rsidDel="00000000" w:rsidP="00000000" w:rsidRDefault="00000000" w:rsidRPr="00000000" w14:paraId="00000112">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Sylvia Perera Descent to the goddess, 13.</w:t>
      </w:r>
    </w:p>
  </w:footnote>
  <w:footnote w:id="32">
    <w:p w:rsidR="00000000" w:rsidDel="00000000" w:rsidP="00000000" w:rsidRDefault="00000000" w:rsidRPr="00000000" w14:paraId="00000113">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Joseph Campbell The hero with a thousand faces (Princeton: Princeton University Press, 1971).</w:t>
      </w:r>
    </w:p>
  </w:footnote>
  <w:footnote w:id="33">
    <w:p w:rsidR="00000000" w:rsidDel="00000000" w:rsidP="00000000" w:rsidRDefault="00000000" w:rsidRPr="00000000" w14:paraId="00000114">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Nanno Marinatos “The Cosmic Journey of Odysseus.” Numen 48, no. 4 (2001), 381. </w:t>
      </w:r>
    </w:p>
  </w:footnote>
  <w:footnote w:id="34">
    <w:p w:rsidR="00000000" w:rsidDel="00000000" w:rsidP="00000000" w:rsidRDefault="00000000" w:rsidRPr="00000000" w14:paraId="00000115">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Barbara Korte et al. Heroism as a global phenomenon in contemporary culture (Erscheinungsort nicht ermittelbar: Taylor &amp; Francis, 2019) 3. </w:t>
      </w:r>
    </w:p>
  </w:footnote>
  <w:footnote w:id="35">
    <w:p w:rsidR="00000000" w:rsidDel="00000000" w:rsidP="00000000" w:rsidRDefault="00000000" w:rsidRPr="00000000" w14:paraId="00000116">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Sylvia Perera Descent to the goddess, 13-14.</w:t>
      </w:r>
    </w:p>
  </w:footnote>
  <w:footnote w:id="36">
    <w:p w:rsidR="00000000" w:rsidDel="00000000" w:rsidP="00000000" w:rsidRDefault="00000000" w:rsidRPr="00000000" w14:paraId="00000117">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14.</w:t>
      </w:r>
    </w:p>
  </w:footnote>
  <w:footnote w:id="37">
    <w:p w:rsidR="00000000" w:rsidDel="00000000" w:rsidP="00000000" w:rsidRDefault="00000000" w:rsidRPr="00000000" w14:paraId="00000118">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Sotirios Mouzakis “Princess of a Different Kingdom: Cultural Imperialism, Female Heroism, and the Global Performance of Walt Disney's Mulan and Moana” in Heroism as a global phenomenon in contemporary culture by Barbara Korte et al. (Erscheinungsort nicht ermittelbar: Taylor &amp; Francis, 2019) 71. </w:t>
      </w:r>
    </w:p>
  </w:footnote>
  <w:footnote w:id="38">
    <w:p w:rsidR="00000000" w:rsidDel="00000000" w:rsidP="00000000" w:rsidRDefault="00000000" w:rsidRPr="00000000" w14:paraId="00000119">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Joseph Campbell, The Historical Development of Mythology, 251.</w:t>
      </w:r>
    </w:p>
  </w:footnote>
  <w:footnote w:id="39">
    <w:p w:rsidR="00000000" w:rsidDel="00000000" w:rsidP="00000000" w:rsidRDefault="00000000" w:rsidRPr="00000000" w14:paraId="0000011A">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w:t>
      </w:r>
    </w:p>
  </w:footnote>
  <w:footnote w:id="40">
    <w:p w:rsidR="00000000" w:rsidDel="00000000" w:rsidP="00000000" w:rsidRDefault="00000000" w:rsidRPr="00000000" w14:paraId="0000011B">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252.</w:t>
      </w:r>
    </w:p>
  </w:footnote>
  <w:footnote w:id="41">
    <w:p w:rsidR="00000000" w:rsidDel="00000000" w:rsidP="00000000" w:rsidRDefault="00000000" w:rsidRPr="00000000" w14:paraId="0000011C">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Kevin Chew Humanity Rising from the Depths of Brine, 558.</w:t>
      </w:r>
    </w:p>
  </w:footnote>
  <w:footnote w:id="42">
    <w:p w:rsidR="00000000" w:rsidDel="00000000" w:rsidP="00000000" w:rsidRDefault="00000000" w:rsidRPr="00000000" w14:paraId="0000011D">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w:t>
      </w:r>
    </w:p>
  </w:footnote>
  <w:footnote w:id="43">
    <w:p w:rsidR="00000000" w:rsidDel="00000000" w:rsidP="00000000" w:rsidRDefault="00000000" w:rsidRPr="00000000" w14:paraId="0000011E">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Sylvia Perera Descent to the goddess, 60.</w:t>
      </w:r>
    </w:p>
  </w:footnote>
  <w:footnote w:id="44">
    <w:p w:rsidR="00000000" w:rsidDel="00000000" w:rsidP="00000000" w:rsidRDefault="00000000" w:rsidRPr="00000000" w14:paraId="0000011F">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Anne Barring and Jules Cashford The myth of the goddess, 224.</w:t>
      </w:r>
    </w:p>
  </w:footnote>
  <w:footnote w:id="45">
    <w:p w:rsidR="00000000" w:rsidDel="00000000" w:rsidP="00000000" w:rsidRDefault="00000000" w:rsidRPr="00000000" w14:paraId="00000120">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w:t>
      </w:r>
    </w:p>
  </w:footnote>
  <w:footnote w:id="46">
    <w:p w:rsidR="00000000" w:rsidDel="00000000" w:rsidP="00000000" w:rsidRDefault="00000000" w:rsidRPr="00000000" w14:paraId="00000121">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Sotirios Mouzakis Princess of a Different Kingdom: Cultural Imperialism, Female Heroism, and the Global Performance of Walt Disney's Mulan and Moana, 71. </w:t>
      </w:r>
    </w:p>
  </w:footnote>
  <w:footnote w:id="47">
    <w:p w:rsidR="00000000" w:rsidDel="00000000" w:rsidP="00000000" w:rsidRDefault="00000000" w:rsidRPr="00000000" w14:paraId="00000122">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Vivianne Crowley “The Mystery of Waters” (Deep Blue, 2014), 179.</w:t>
        <w:tab/>
      </w:r>
    </w:p>
  </w:footnote>
  <w:footnote w:id="48">
    <w:p w:rsidR="00000000" w:rsidDel="00000000" w:rsidP="00000000" w:rsidRDefault="00000000" w:rsidRPr="00000000" w14:paraId="00000123">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Crowley The Mystery of Waters, 177.</w:t>
      </w:r>
    </w:p>
  </w:footnote>
  <w:footnote w:id="49">
    <w:p w:rsidR="00000000" w:rsidDel="00000000" w:rsidP="00000000" w:rsidRDefault="00000000" w:rsidRPr="00000000" w14:paraId="00000124">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Kevin Chew Humanity Rising from the Depths of Brine, 549.</w:t>
      </w:r>
    </w:p>
  </w:footnote>
  <w:footnote w:id="50">
    <w:p w:rsidR="00000000" w:rsidDel="00000000" w:rsidP="00000000" w:rsidRDefault="00000000" w:rsidRPr="00000000" w14:paraId="00000125">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548.</w:t>
      </w:r>
    </w:p>
  </w:footnote>
  <w:footnote w:id="51">
    <w:p w:rsidR="00000000" w:rsidDel="00000000" w:rsidP="00000000" w:rsidRDefault="00000000" w:rsidRPr="00000000" w14:paraId="00000126">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Sylvia Perera Descent to the goddess, 13.</w:t>
      </w:r>
    </w:p>
  </w:footnote>
  <w:footnote w:id="52">
    <w:p w:rsidR="00000000" w:rsidDel="00000000" w:rsidP="00000000" w:rsidRDefault="00000000" w:rsidRPr="00000000" w14:paraId="00000127">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Crowley The Mystery of Waters, 177.</w:t>
      </w:r>
    </w:p>
  </w:footnote>
  <w:footnote w:id="53">
    <w:p w:rsidR="00000000" w:rsidDel="00000000" w:rsidP="00000000" w:rsidRDefault="00000000" w:rsidRPr="00000000" w14:paraId="00000128">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E.A Speiser Descent of Ishtar to the Netherworld, 108.</w:t>
      </w:r>
    </w:p>
  </w:footnote>
  <w:footnote w:id="54">
    <w:p w:rsidR="00000000" w:rsidDel="00000000" w:rsidP="00000000" w:rsidRDefault="00000000" w:rsidRPr="00000000" w14:paraId="00000129">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Sylvia Perera Descent to the goddess, 15.</w:t>
        <w:tab/>
      </w:r>
    </w:p>
  </w:footnote>
  <w:footnote w:id="55">
    <w:p w:rsidR="00000000" w:rsidDel="00000000" w:rsidP="00000000" w:rsidRDefault="00000000" w:rsidRPr="00000000" w14:paraId="0000012A">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w:t>
      </w:r>
    </w:p>
  </w:footnote>
  <w:footnote w:id="56">
    <w:p w:rsidR="00000000" w:rsidDel="00000000" w:rsidP="00000000" w:rsidRDefault="00000000" w:rsidRPr="00000000" w14:paraId="0000012B">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E.A Speiser Descent of Ishtar to the Netherworld, 108.</w:t>
        <w:tab/>
      </w:r>
    </w:p>
  </w:footnote>
  <w:footnote w:id="57">
    <w:p w:rsidR="00000000" w:rsidDel="00000000" w:rsidP="00000000" w:rsidRDefault="00000000" w:rsidRPr="00000000" w14:paraId="0000012C">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Sylvia Perera Descent to the goddess, 78.</w:t>
        <w:tab/>
      </w:r>
    </w:p>
  </w:footnote>
  <w:footnote w:id="58">
    <w:p w:rsidR="00000000" w:rsidDel="00000000" w:rsidP="00000000" w:rsidRDefault="00000000" w:rsidRPr="00000000" w14:paraId="0000012D">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79.</w:t>
        <w:tab/>
      </w:r>
    </w:p>
  </w:footnote>
  <w:footnote w:id="59">
    <w:p w:rsidR="00000000" w:rsidDel="00000000" w:rsidP="00000000" w:rsidRDefault="00000000" w:rsidRPr="00000000" w14:paraId="0000012E">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E.A Speiser Descent of Ishtar to the Netherworld, 108.</w:t>
      </w:r>
    </w:p>
  </w:footnote>
  <w:footnote w:id="60">
    <w:p w:rsidR="00000000" w:rsidDel="00000000" w:rsidP="00000000" w:rsidRDefault="00000000" w:rsidRPr="00000000" w14:paraId="0000012F">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pp 109 speiser</w:t>
      </w:r>
    </w:p>
  </w:footnote>
  <w:footnote w:id="61">
    <w:p w:rsidR="00000000" w:rsidDel="00000000" w:rsidP="00000000" w:rsidRDefault="00000000" w:rsidRPr="00000000" w14:paraId="00000130">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Kevin Chew Humanity Rising from the Depths of Brine, 548.</w:t>
      </w:r>
    </w:p>
  </w:footnote>
  <w:footnote w:id="62">
    <w:p w:rsidR="00000000" w:rsidDel="00000000" w:rsidP="00000000" w:rsidRDefault="00000000" w:rsidRPr="00000000" w14:paraId="00000131">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Emanuela Ammendola, Translating the Pacific for Children Moana, 4.</w:t>
      </w:r>
    </w:p>
  </w:footnote>
  <w:footnote w:id="63">
    <w:p w:rsidR="00000000" w:rsidDel="00000000" w:rsidP="00000000" w:rsidRDefault="00000000" w:rsidRPr="00000000" w14:paraId="00000132">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w:t>
      </w:r>
    </w:p>
  </w:footnote>
  <w:footnote w:id="64">
    <w:p w:rsidR="00000000" w:rsidDel="00000000" w:rsidP="00000000" w:rsidRDefault="00000000" w:rsidRPr="00000000" w14:paraId="00000133">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Mala Hernawati “How Far the Ecowarrior Will Go: An Ecofeminist Reading of Disney’s Moana.” </w:t>
      </w:r>
      <w:r w:rsidDel="00000000" w:rsidR="00000000" w:rsidRPr="00000000">
        <w:rPr>
          <w:rFonts w:ascii="Arial" w:cs="Arial" w:eastAsia="Arial" w:hAnsi="Arial"/>
          <w:i w:val="1"/>
          <w:sz w:val="20"/>
          <w:szCs w:val="20"/>
          <w:rtl w:val="0"/>
        </w:rPr>
        <w:t xml:space="preserve">The Southeast Asian Journal of English Language Studies</w:t>
      </w:r>
      <w:r w:rsidDel="00000000" w:rsidR="00000000" w:rsidRPr="00000000">
        <w:rPr>
          <w:rFonts w:ascii="Arial" w:cs="Arial" w:eastAsia="Arial" w:hAnsi="Arial"/>
          <w:sz w:val="20"/>
          <w:szCs w:val="20"/>
          <w:rtl w:val="0"/>
        </w:rPr>
        <w:t xml:space="preserve"> 27, no. 4 (2021): 264.</w:t>
      </w:r>
    </w:p>
  </w:footnote>
  <w:footnote w:id="65">
    <w:p w:rsidR="00000000" w:rsidDel="00000000" w:rsidP="00000000" w:rsidRDefault="00000000" w:rsidRPr="00000000" w14:paraId="00000134">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w:t>
      </w:r>
    </w:p>
  </w:footnote>
  <w:footnote w:id="66">
    <w:p w:rsidR="00000000" w:rsidDel="00000000" w:rsidP="00000000" w:rsidRDefault="00000000" w:rsidRPr="00000000" w14:paraId="00000135">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Mala Hernawati How Far the Ecowarrior Will Go, 264.</w:t>
      </w:r>
    </w:p>
  </w:footnote>
  <w:footnote w:id="67">
    <w:p w:rsidR="00000000" w:rsidDel="00000000" w:rsidP="00000000" w:rsidRDefault="00000000" w:rsidRPr="00000000" w14:paraId="00000136">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Ibid, 265.</w:t>
      </w:r>
    </w:p>
  </w:footnote>
  <w:footnote w:id="68">
    <w:p w:rsidR="00000000" w:rsidDel="00000000" w:rsidP="00000000" w:rsidRDefault="00000000" w:rsidRPr="00000000" w14:paraId="00000137">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Kevin Chew Humanity Rising from the Depths of Brine, 561.</w:t>
      </w:r>
    </w:p>
  </w:footnote>
  <w:footnote w:id="69">
    <w:p w:rsidR="00000000" w:rsidDel="00000000" w:rsidP="00000000" w:rsidRDefault="00000000" w:rsidRPr="00000000" w14:paraId="00000138">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Joseph Campbell, The Historical Development of Mythology, 252.</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Arial" w:cs="Arial" w:eastAsia="Arial" w:hAnsi="Arial"/>
      <w:b w:val="1"/>
      <w:sz w:val="32"/>
      <w:szCs w:val="32"/>
      <w:vertAlign w:val="baseline"/>
    </w:rPr>
  </w:style>
  <w:style w:type="paragraph" w:styleId="Heading2">
    <w:name w:val="heading 2"/>
    <w:basedOn w:val="Normal"/>
    <w:next w:val="Normal"/>
    <w:pPr>
      <w:keepNext w:val="1"/>
      <w:spacing w:after="60" w:before="240" w:lineRule="auto"/>
    </w:pPr>
    <w:rPr>
      <w:rFonts w:ascii="Arial" w:cs="Arial" w:eastAsia="Arial" w:hAnsi="Arial"/>
      <w:b w:val="1"/>
      <w:i w:val="1"/>
      <w:sz w:val="28"/>
      <w:szCs w:val="28"/>
      <w:vertAlign w:val="baseline"/>
    </w:rPr>
  </w:style>
  <w:style w:type="paragraph" w:styleId="Heading3">
    <w:name w:val="heading 3"/>
    <w:basedOn w:val="Normal"/>
    <w:next w:val="Normal"/>
    <w:pPr>
      <w:keepNext w:val="1"/>
      <w:ind w:left="720"/>
      <w:jc w:val="both"/>
    </w:pPr>
    <w:rPr>
      <w:rFonts w:ascii="Tahoma" w:cs="Tahoma" w:eastAsia="Tahoma" w:hAnsi="Tahoma"/>
      <w:b w:val="1"/>
      <w:sz w:val="20"/>
      <w:szCs w:val="20"/>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zh-CN" w:val="en-GB"/>
    </w:rPr>
  </w:style>
  <w:style w:type="paragraph" w:styleId="Heading1">
    <w:name w:val="Heading 1"/>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0"/>
    </w:pPr>
    <w:rPr>
      <w:rFonts w:ascii="Arial" w:cs="Arial" w:hAnsi="Arial"/>
      <w:b w:val="1"/>
      <w:bCs w:val="1"/>
      <w:w w:val="100"/>
      <w:kern w:val="32"/>
      <w:position w:val="-1"/>
      <w:sz w:val="32"/>
      <w:szCs w:val="32"/>
      <w:effect w:val="none"/>
      <w:vertAlign w:val="baseline"/>
      <w:cs w:val="0"/>
      <w:em w:val="none"/>
      <w:lang w:bidi="ar-SA" w:eastAsia="zh-CN" w:val="en-GB"/>
    </w:rPr>
  </w:style>
  <w:style w:type="paragraph" w:styleId="Heading2">
    <w:name w:val="Heading 2"/>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1"/>
    </w:pPr>
    <w:rPr>
      <w:rFonts w:ascii="Arial" w:cs="Arial" w:hAnsi="Arial"/>
      <w:b w:val="1"/>
      <w:bCs w:val="1"/>
      <w:i w:val="1"/>
      <w:iCs w:val="1"/>
      <w:w w:val="100"/>
      <w:position w:val="-1"/>
      <w:sz w:val="28"/>
      <w:szCs w:val="28"/>
      <w:effect w:val="none"/>
      <w:vertAlign w:val="baseline"/>
      <w:cs w:val="0"/>
      <w:em w:val="none"/>
      <w:lang w:bidi="ar-SA" w:eastAsia="zh-CN" w:val="en-GB"/>
    </w:rPr>
  </w:style>
  <w:style w:type="paragraph" w:styleId="Heading3">
    <w:name w:val="Heading 3"/>
    <w:basedOn w:val="Normal"/>
    <w:next w:val="Heading3"/>
    <w:autoRedefine w:val="0"/>
    <w:hidden w:val="0"/>
    <w:qFormat w:val="0"/>
    <w:pPr>
      <w:keepNext w:val="1"/>
      <w:suppressAutoHyphens w:val="1"/>
      <w:spacing w:line="1" w:lineRule="atLeast"/>
      <w:ind w:left="720" w:leftChars="-1" w:rightChars="0" w:firstLineChars="-1"/>
      <w:jc w:val="both"/>
      <w:textDirection w:val="btLr"/>
      <w:textAlignment w:val="top"/>
      <w:outlineLvl w:val="2"/>
    </w:pPr>
    <w:rPr>
      <w:rFonts w:ascii="Tahoma" w:cs="Tahoma" w:hAnsi="Tahoma"/>
      <w:b w:val="1"/>
      <w:bCs w:val="1"/>
      <w:w w:val="100"/>
      <w:position w:val="-1"/>
      <w:sz w:val="20"/>
      <w:szCs w:val="20"/>
      <w:effect w:val="none"/>
      <w:vertAlign w:val="baseline"/>
      <w:cs w:val="0"/>
      <w:em w:val="none"/>
      <w:lang w:bidi="ar-SA" w:eastAsia="zh-CN"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Normal(Web)">
    <w:name w:val="Normal (Web)"/>
    <w:basedOn w:val="Normal"/>
    <w:next w:val="Normal(We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Georgia" w:hAnsi="Georgia"/>
      <w:color w:val="000000"/>
      <w:w w:val="100"/>
      <w:position w:val="-1"/>
      <w:sz w:val="21"/>
      <w:szCs w:val="21"/>
      <w:effect w:val="none"/>
      <w:vertAlign w:val="baseline"/>
      <w:cs w:val="0"/>
      <w:em w:val="none"/>
      <w:lang w:bidi="ar-SA" w:eastAsia="zh-CN" w:val="en-GB"/>
    </w:rPr>
  </w:style>
  <w:style w:type="character" w:styleId="CommentReference">
    <w:name w:val="Comment Reference"/>
    <w:next w:val="CommentReference"/>
    <w:autoRedefine w:val="0"/>
    <w:hidden w:val="0"/>
    <w:qFormat w:val="0"/>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0"/>
    <w:pPr>
      <w:suppressAutoHyphens w:val="1"/>
      <w:spacing w:line="1" w:lineRule="atLeast"/>
      <w:ind w:leftChars="-1" w:rightChars="0" w:firstLineChars="-1"/>
      <w:textDirection w:val="btLr"/>
      <w:textAlignment w:val="top"/>
      <w:outlineLvl w:val="0"/>
    </w:pPr>
    <w:rPr>
      <w:w w:val="100"/>
      <w:position w:val="-1"/>
      <w:sz w:val="20"/>
      <w:szCs w:val="20"/>
      <w:effect w:val="none"/>
      <w:vertAlign w:val="baseline"/>
      <w:cs w:val="0"/>
      <w:em w:val="none"/>
      <w:lang w:bidi="ar-SA" w:eastAsia="zh-CN" w:val="und"/>
    </w:rPr>
  </w:style>
  <w:style w:type="character" w:styleId="CommentTextChar">
    <w:name w:val="Comment Text Char"/>
    <w:next w:val="CommentTextChar"/>
    <w:autoRedefine w:val="0"/>
    <w:hidden w:val="0"/>
    <w:qFormat w:val="0"/>
    <w:rPr>
      <w:w w:val="100"/>
      <w:position w:val="-1"/>
      <w:effect w:val="none"/>
      <w:vertAlign w:val="baseline"/>
      <w:cs w:val="0"/>
      <w:em w:val="none"/>
      <w:lang w:eastAsia="zh-CN"/>
    </w:rPr>
  </w:style>
  <w:style w:type="paragraph" w:styleId="CommentSubject">
    <w:name w:val="Comment Subject"/>
    <w:basedOn w:val="CommentText"/>
    <w:next w:val="CommentText"/>
    <w:autoRedefine w:val="0"/>
    <w:hidden w:val="0"/>
    <w:qFormat w:val="0"/>
    <w:pPr>
      <w:suppressAutoHyphens w:val="1"/>
      <w:spacing w:line="1" w:lineRule="atLeast"/>
      <w:ind w:leftChars="-1" w:rightChars="0" w:firstLineChars="-1"/>
      <w:textDirection w:val="btLr"/>
      <w:textAlignment w:val="top"/>
      <w:outlineLvl w:val="0"/>
    </w:pPr>
    <w:rPr>
      <w:b w:val="1"/>
      <w:bCs w:val="1"/>
      <w:w w:val="100"/>
      <w:position w:val="-1"/>
      <w:sz w:val="20"/>
      <w:szCs w:val="20"/>
      <w:effect w:val="none"/>
      <w:vertAlign w:val="baseline"/>
      <w:cs w:val="0"/>
      <w:em w:val="none"/>
      <w:lang w:bidi="ar-SA" w:eastAsia="zh-CN" w:val="und"/>
    </w:rPr>
  </w:style>
  <w:style w:type="character" w:styleId="CommentSubjectChar">
    <w:name w:val="Comment Subject Char"/>
    <w:next w:val="CommentSubjectChar"/>
    <w:autoRedefine w:val="0"/>
    <w:hidden w:val="0"/>
    <w:qFormat w:val="0"/>
    <w:rPr>
      <w:b w:val="1"/>
      <w:bCs w:val="1"/>
      <w:w w:val="100"/>
      <w:position w:val="-1"/>
      <w:effect w:val="none"/>
      <w:vertAlign w:val="baseline"/>
      <w:cs w:val="0"/>
      <w:em w:val="none"/>
      <w:lang w:eastAsia="zh-CN"/>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hAnsi="Tahoma"/>
      <w:w w:val="100"/>
      <w:position w:val="-1"/>
      <w:sz w:val="16"/>
      <w:szCs w:val="16"/>
      <w:effect w:val="none"/>
      <w:vertAlign w:val="baseline"/>
      <w:cs w:val="0"/>
      <w:em w:val="none"/>
      <w:lang w:bidi="ar-SA" w:eastAsia="zh-CN" w:val="und"/>
    </w:rPr>
  </w:style>
  <w:style w:type="character" w:styleId="BalloonTextChar">
    <w:name w:val="Balloon Text Char"/>
    <w:next w:val="BalloonTextChar"/>
    <w:autoRedefine w:val="0"/>
    <w:hidden w:val="0"/>
    <w:qFormat w:val="0"/>
    <w:rPr>
      <w:rFonts w:ascii="Tahoma" w:cs="Tahoma" w:hAnsi="Tahoma"/>
      <w:w w:val="100"/>
      <w:position w:val="-1"/>
      <w:sz w:val="16"/>
      <w:szCs w:val="16"/>
      <w:effect w:val="none"/>
      <w:vertAlign w:val="baseline"/>
      <w:cs w:val="0"/>
      <w:em w:val="none"/>
      <w:lang w:eastAsia="zh-CN"/>
    </w:rPr>
  </w:style>
  <w:style w:type="paragraph" w:styleId="Header">
    <w:name w:val="Header"/>
    <w:basedOn w:val="Normal"/>
    <w:next w:val="Header"/>
    <w:autoRedefine w:val="0"/>
    <w:hidden w:val="0"/>
    <w:qFormat w:val="1"/>
    <w:pPr>
      <w:tabs>
        <w:tab w:val="center" w:leader="none" w:pos="4513"/>
        <w:tab w:val="right" w:leader="none" w:pos="9026"/>
      </w:tabs>
      <w:suppressAutoHyphens w:val="1"/>
      <w:spacing w:line="1" w:lineRule="atLeast"/>
      <w:ind w:leftChars="-1" w:rightChars="0" w:firstLineChars="-1"/>
      <w:textDirection w:val="btLr"/>
      <w:textAlignment w:val="top"/>
      <w:outlineLvl w:val="0"/>
    </w:pPr>
    <w:rPr>
      <w:rFonts w:ascii="Trebuchet MS" w:eastAsia="Calibri" w:hAnsi="Trebuchet MS"/>
      <w:w w:val="100"/>
      <w:position w:val="-1"/>
      <w:sz w:val="22"/>
      <w:szCs w:val="20"/>
      <w:effect w:val="none"/>
      <w:vertAlign w:val="baseline"/>
      <w:cs w:val="0"/>
      <w:em w:val="none"/>
      <w:lang w:bidi="ar-SA" w:eastAsia="zh-CN" w:val="und"/>
    </w:rPr>
  </w:style>
  <w:style w:type="character" w:styleId="HeaderChar">
    <w:name w:val="Header Char"/>
    <w:next w:val="HeaderChar"/>
    <w:autoRedefine w:val="0"/>
    <w:hidden w:val="0"/>
    <w:qFormat w:val="0"/>
    <w:rPr>
      <w:rFonts w:ascii="Trebuchet MS" w:cs="Tahoma" w:eastAsia="Calibri" w:hAnsi="Trebuchet MS"/>
      <w:w w:val="100"/>
      <w:position w:val="-1"/>
      <w:sz w:val="22"/>
      <w:effect w:val="none"/>
      <w:vertAlign w:val="baseline"/>
      <w:cs w:val="0"/>
      <w:em w:val="none"/>
      <w:lang w:eastAsia="en-US"/>
    </w:rPr>
  </w:style>
  <w:style w:type="paragraph" w:styleId="Footer">
    <w:name w:val="Footer"/>
    <w:basedOn w:val="Normal"/>
    <w:next w:val="Footer"/>
    <w:autoRedefine w:val="0"/>
    <w:hidden w:val="0"/>
    <w:qFormat w:val="0"/>
    <w:pPr>
      <w:tabs>
        <w:tab w:val="center" w:leader="none" w:pos="4513"/>
        <w:tab w:val="right" w:leader="none" w:pos="9026"/>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zh-CN" w:val="und"/>
    </w:rPr>
  </w:style>
  <w:style w:type="character" w:styleId="FooterChar">
    <w:name w:val="Footer Char"/>
    <w:next w:val="FooterChar"/>
    <w:autoRedefine w:val="0"/>
    <w:hidden w:val="0"/>
    <w:qFormat w:val="0"/>
    <w:rPr>
      <w:w w:val="100"/>
      <w:position w:val="-1"/>
      <w:sz w:val="24"/>
      <w:szCs w:val="24"/>
      <w:effect w:val="none"/>
      <w:vertAlign w:val="baseline"/>
      <w:cs w:val="0"/>
      <w:em w:val="none"/>
      <w:lang w:eastAsia="zh-CN"/>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https://www.google.com/search?client=safari&amp;sca_esv=422b205cf8817bf1&amp;rls=en&amp;q=anthropomorphized&amp;spell=1&amp;sa=X&amp;ved=2ahUKEwim7oCJr8GMAxXcD1kFHQ5JKoIQkeECKAB6BAgIEAE" TargetMode="External"/><Relationship Id="rId10" Type="http://schemas.openxmlformats.org/officeDocument/2006/relationships/image" Target="media/image1.png"/><Relationship Id="rId12" Type="http://schemas.openxmlformats.org/officeDocument/2006/relationships/footer" Target="footer1.xml"/><Relationship Id="rId9" Type="http://schemas.openxmlformats.org/officeDocument/2006/relationships/image" Target="media/image2.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Lobster-regular.ttf"/><Relationship Id="rId2" Type="http://schemas.openxmlformats.org/officeDocument/2006/relationships/font" Target="fonts/Tahoma-regular.ttf"/><Relationship Id="rId3"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Mhhl2nUhIvVsqCJ6v7PBoQ9G+A==">CgMxLjAyD2lkLmZzcGliNGRocDlxMjIPaWQubHpoZTVvazFnejhkMg9pZC42N2x3eXkyNTAzaXAyD2lkLmZqNjZoZjNvcDhicTIPaWQuaHFodzJ6NDEyd2w1Mg9pZC5nNzE2c3BnbnZjNzg4AHIhMXZBbnlJMS1PNDl2ekJqWVo2aTZaRnM4NUZVM3gwdmQ3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2012-11-08T16:49:00Z</dcterms:created>
  <dc:creator>sa044</dc:creator>
</cp:coreProperties>
</file>

<file path=docProps/custom.xml><?xml version="1.0" encoding="utf-8"?>
<Properties xmlns="http://schemas.openxmlformats.org/officeDocument/2006/custom-properties" xmlns:vt="http://schemas.openxmlformats.org/officeDocument/2006/docPropsVTypes"/>
</file>