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45121" w14:textId="25C55D72" w:rsidR="22289B4F" w:rsidRDefault="22289B4F" w:rsidP="22289B4F">
      <w:pPr>
        <w:jc w:val="center"/>
      </w:pPr>
      <w:r w:rsidRPr="22289B4F">
        <w:rPr>
          <w:rFonts w:ascii="Times New Roman" w:eastAsia="Times New Roman" w:hAnsi="Times New Roman" w:cs="Times New Roman"/>
          <w:sz w:val="24"/>
          <w:szCs w:val="24"/>
          <w:u w:val="single"/>
        </w:rPr>
        <w:t>Discuss the various definitions of ‘Islamophobia’, and assess the ongoing issues associated with anti-Muslim prejudice and media representation.</w:t>
      </w:r>
    </w:p>
    <w:p w14:paraId="6BF099D5" w14:textId="0313A469" w:rsidR="1C2B5C14" w:rsidRDefault="120A5F89" w:rsidP="120A5F89">
      <w:pPr>
        <w:jc w:val="both"/>
        <w:rPr>
          <w:rFonts w:ascii="Times New Roman" w:eastAsia="Times New Roman" w:hAnsi="Times New Roman" w:cs="Times New Roman"/>
          <w:sz w:val="24"/>
          <w:szCs w:val="24"/>
        </w:rPr>
      </w:pPr>
      <w:r w:rsidRPr="120A5F89">
        <w:rPr>
          <w:rFonts w:ascii="Times New Roman" w:eastAsia="Times New Roman" w:hAnsi="Times New Roman" w:cs="Times New Roman"/>
          <w:sz w:val="24"/>
          <w:szCs w:val="24"/>
        </w:rPr>
        <w:t xml:space="preserve">Firstly, an evaluation of the usage of the term </w:t>
      </w:r>
      <w:r w:rsidRPr="120A5F89">
        <w:rPr>
          <w:rFonts w:ascii="Times New Roman" w:eastAsia="Times New Roman" w:hAnsi="Times New Roman" w:cs="Times New Roman"/>
          <w:i/>
          <w:iCs/>
          <w:sz w:val="24"/>
          <w:szCs w:val="24"/>
        </w:rPr>
        <w:t xml:space="preserve">Islamophobia </w:t>
      </w:r>
      <w:r w:rsidRPr="120A5F89">
        <w:rPr>
          <w:rFonts w:ascii="Times New Roman" w:eastAsia="Times New Roman" w:hAnsi="Times New Roman" w:cs="Times New Roman"/>
          <w:sz w:val="24"/>
          <w:szCs w:val="24"/>
        </w:rPr>
        <w:t xml:space="preserve">from its recent conception will be expanded to explore the useful and, perhaps, problematic definitions of the term. Further, the paper will endeavour to articulate the current polemics aimed at Muslims as a whole, for violent acts committed by rogue, </w:t>
      </w:r>
      <w:r w:rsidRPr="120A5F89">
        <w:rPr>
          <w:rFonts w:ascii="Times New Roman" w:eastAsia="Times New Roman" w:hAnsi="Times New Roman" w:cs="Times New Roman"/>
          <w:i/>
          <w:iCs/>
          <w:sz w:val="24"/>
          <w:szCs w:val="24"/>
        </w:rPr>
        <w:t xml:space="preserve">so-called, </w:t>
      </w:r>
      <w:r w:rsidRPr="120A5F89">
        <w:rPr>
          <w:rFonts w:ascii="Times New Roman" w:eastAsia="Times New Roman" w:hAnsi="Times New Roman" w:cs="Times New Roman"/>
          <w:sz w:val="24"/>
          <w:szCs w:val="24"/>
        </w:rPr>
        <w:t xml:space="preserve">adherents of their religion; and how the media has potentially shaped the Islamophobic-psyche of the modern </w:t>
      </w:r>
      <w:r w:rsidRPr="120A5F89">
        <w:rPr>
          <w:rFonts w:ascii="Times New Roman" w:eastAsia="Times New Roman" w:hAnsi="Times New Roman" w:cs="Times New Roman"/>
          <w:i/>
          <w:iCs/>
          <w:sz w:val="24"/>
          <w:szCs w:val="24"/>
        </w:rPr>
        <w:t>westerner</w:t>
      </w:r>
      <w:r w:rsidRPr="120A5F89">
        <w:rPr>
          <w:rFonts w:ascii="Times New Roman" w:eastAsia="Times New Roman" w:hAnsi="Times New Roman" w:cs="Times New Roman"/>
          <w:sz w:val="24"/>
          <w:szCs w:val="24"/>
        </w:rPr>
        <w:t xml:space="preserve">; the focus being on post 9/11 representations of the ‘Islamic World’; in both film and the wider media. </w:t>
      </w:r>
    </w:p>
    <w:p w14:paraId="18EAF51B" w14:textId="76B527D4" w:rsidR="1C2B5C14" w:rsidRDefault="1C2B5C14" w:rsidP="50DF0E6C">
      <w:pPr>
        <w:jc w:val="both"/>
        <w:rPr>
          <w:rFonts w:ascii="Times New Roman" w:eastAsia="Times New Roman" w:hAnsi="Times New Roman" w:cs="Times New Roman"/>
          <w:sz w:val="24"/>
          <w:szCs w:val="24"/>
        </w:rPr>
      </w:pPr>
      <w:r w:rsidRPr="1C2B5C14">
        <w:rPr>
          <w:rFonts w:ascii="Times New Roman" w:eastAsia="Times New Roman" w:hAnsi="Times New Roman" w:cs="Times New Roman"/>
          <w:sz w:val="24"/>
          <w:szCs w:val="24"/>
        </w:rPr>
        <w:t>Islamophobia as a contemporary concept has its genesis in 1997 (although the rhetoric associated with it goes back much further) with the Runnymede Trust report entitled “Islamophobia: A Challenge for Us All”</w:t>
      </w:r>
      <w:r w:rsidRPr="1C2B5C14">
        <w:rPr>
          <w:rStyle w:val="FootnoteReference"/>
          <w:rFonts w:ascii="Times New Roman" w:eastAsia="Times New Roman" w:hAnsi="Times New Roman" w:cs="Times New Roman"/>
          <w:sz w:val="24"/>
          <w:szCs w:val="24"/>
        </w:rPr>
        <w:footnoteReference w:id="2"/>
      </w:r>
      <w:r w:rsidRPr="1C2B5C14">
        <w:rPr>
          <w:rFonts w:ascii="Times New Roman" w:eastAsia="Times New Roman" w:hAnsi="Times New Roman" w:cs="Times New Roman"/>
          <w:sz w:val="24"/>
          <w:szCs w:val="24"/>
        </w:rPr>
        <w:t>. The report sought to bring to light the past and current anti-Islamic rhetoric, which they claim comes predominantly from preconceived ideas about Islam; in opening chapter one, a quote is offered by a former ambassador to Pakistan, Sir Nicholas Barrington,  in which he stated in open address:</w:t>
      </w:r>
    </w:p>
    <w:p w14:paraId="45B57811" w14:textId="59312FDC" w:rsidR="1C2B5C14" w:rsidRDefault="1C2B5C14" w:rsidP="07CC71A0">
      <w:pPr>
        <w:ind w:left="1584" w:right="1584"/>
        <w:jc w:val="both"/>
        <w:rPr>
          <w:rFonts w:ascii="Times New Roman" w:eastAsia="Times New Roman" w:hAnsi="Times New Roman" w:cs="Times New Roman"/>
        </w:rPr>
      </w:pPr>
      <w:r w:rsidRPr="07CC71A0">
        <w:rPr>
          <w:rFonts w:ascii="Times New Roman" w:eastAsia="Times New Roman" w:hAnsi="Times New Roman" w:cs="Times New Roman"/>
        </w:rPr>
        <w:t>[Having] served […] in Several Muslim countries. Stereotypes are very misleading. Extremists certainly exist, some violent. Usually their actions do not flow from Islam itself but from resentment towards the West. But there are millions of devout Muslims who are upright …</w:t>
      </w:r>
      <w:r w:rsidRPr="07CC71A0">
        <w:rPr>
          <w:rStyle w:val="FootnoteReference"/>
          <w:rFonts w:ascii="Times New Roman" w:eastAsia="Times New Roman" w:hAnsi="Times New Roman" w:cs="Times New Roman"/>
        </w:rPr>
        <w:footnoteReference w:id="3"/>
      </w:r>
      <w:r w:rsidR="07CC71A0" w:rsidRPr="07CC71A0">
        <w:rPr>
          <w:rFonts w:ascii="Times New Roman" w:eastAsia="Times New Roman" w:hAnsi="Times New Roman" w:cs="Times New Roman"/>
        </w:rPr>
        <w:t xml:space="preserve"> </w:t>
      </w:r>
    </w:p>
    <w:p w14:paraId="44210C4E" w14:textId="45473D07" w:rsidR="50DF0E6C" w:rsidRDefault="5A583B97"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 xml:space="preserve">Arguably, this statement sums up the contentious issues facing Muslims today, insofar as it seeks to distinguish extremist behaviours (stereotype), of specific groups, from that of both Islam and individual Muslims; something that is not always expressed in the media. These stereotypical views, to be discussed more later, can in some cases be the cause </w:t>
      </w:r>
      <w:proofErr w:type="gramStart"/>
      <w:r w:rsidRPr="5A583B97">
        <w:rPr>
          <w:rFonts w:ascii="Times New Roman" w:eastAsia="Times New Roman" w:hAnsi="Times New Roman" w:cs="Times New Roman"/>
          <w:sz w:val="24"/>
          <w:szCs w:val="24"/>
        </w:rPr>
        <w:t>of  Islamophobic</w:t>
      </w:r>
      <w:proofErr w:type="gramEnd"/>
      <w:r w:rsidRPr="5A583B97">
        <w:rPr>
          <w:rFonts w:ascii="Times New Roman" w:eastAsia="Times New Roman" w:hAnsi="Times New Roman" w:cs="Times New Roman"/>
          <w:sz w:val="24"/>
          <w:szCs w:val="24"/>
        </w:rPr>
        <w:t xml:space="preserve"> behaviour.</w:t>
      </w:r>
    </w:p>
    <w:p w14:paraId="3A8110B4" w14:textId="1F456752" w:rsidR="50DF0E6C" w:rsidRDefault="50DF0E6C"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The term</w:t>
      </w:r>
      <w:r w:rsidRPr="5A583B97">
        <w:rPr>
          <w:rFonts w:ascii="Times New Roman" w:eastAsia="Times New Roman" w:hAnsi="Times New Roman" w:cs="Times New Roman"/>
          <w:i/>
          <w:iCs/>
          <w:sz w:val="24"/>
          <w:szCs w:val="24"/>
        </w:rPr>
        <w:t xml:space="preserve"> Islamophobia </w:t>
      </w:r>
      <w:r w:rsidRPr="5A583B97">
        <w:rPr>
          <w:rFonts w:ascii="Times New Roman" w:eastAsia="Times New Roman" w:hAnsi="Times New Roman" w:cs="Times New Roman"/>
          <w:sz w:val="24"/>
          <w:szCs w:val="24"/>
        </w:rPr>
        <w:t>itself was “coined in the late 1980s, its first known use in print being in February 1991, in a periodical in the United States.”</w:t>
      </w:r>
      <w:r w:rsidRPr="5A583B97">
        <w:rPr>
          <w:rStyle w:val="FootnoteReference"/>
          <w:rFonts w:ascii="Times New Roman" w:eastAsia="Times New Roman" w:hAnsi="Times New Roman" w:cs="Times New Roman"/>
          <w:sz w:val="24"/>
          <w:szCs w:val="24"/>
        </w:rPr>
        <w:footnoteReference w:id="4"/>
      </w:r>
      <w:r w:rsidRPr="5A583B97">
        <w:rPr>
          <w:rFonts w:ascii="Times New Roman" w:eastAsia="Times New Roman" w:hAnsi="Times New Roman" w:cs="Times New Roman"/>
          <w:sz w:val="24"/>
          <w:szCs w:val="24"/>
        </w:rPr>
        <w:t xml:space="preserve"> Although, as The Runnymede Trust state, “the word is not ideal”, they do see it as “...a useful shorthand way of referring to dread or hatred of Islam – and, therefore, to fear or dislike […] all or most Muslims.”</w:t>
      </w:r>
      <w:r w:rsidRPr="5A583B97">
        <w:rPr>
          <w:rStyle w:val="FootnoteReference"/>
          <w:rFonts w:ascii="Times New Roman" w:eastAsia="Times New Roman" w:hAnsi="Times New Roman" w:cs="Times New Roman"/>
          <w:sz w:val="24"/>
          <w:szCs w:val="24"/>
        </w:rPr>
        <w:footnoteReference w:id="5"/>
      </w:r>
      <w:r w:rsidRPr="5A583B97">
        <w:rPr>
          <w:rFonts w:ascii="Times New Roman" w:eastAsia="Times New Roman" w:hAnsi="Times New Roman" w:cs="Times New Roman"/>
          <w:sz w:val="24"/>
          <w:szCs w:val="24"/>
        </w:rPr>
        <w:t xml:space="preserve"> However, with the rise in discriminatory and even violent behaviour toward Muslims, especially since 9/11, it is, perhaps, now more important than ever to have a ‘working-definition’, particularly for judicial purposes.  </w:t>
      </w:r>
    </w:p>
    <w:p w14:paraId="25B80846" w14:textId="598D2DC3" w:rsidR="50DF0E6C" w:rsidRDefault="50DF0E6C" w:rsidP="50DF0E6C">
      <w:pPr>
        <w:jc w:val="both"/>
        <w:rPr>
          <w:rFonts w:ascii="Times New Roman" w:eastAsia="Times New Roman" w:hAnsi="Times New Roman" w:cs="Times New Roman"/>
          <w:sz w:val="24"/>
          <w:szCs w:val="24"/>
        </w:rPr>
      </w:pPr>
      <w:r w:rsidRPr="50DF0E6C">
        <w:rPr>
          <w:rFonts w:ascii="Times New Roman" w:eastAsia="Times New Roman" w:hAnsi="Times New Roman" w:cs="Times New Roman"/>
          <w:sz w:val="24"/>
          <w:szCs w:val="24"/>
        </w:rPr>
        <w:t>In 2018 the All-Party Parliamentary Group (APPG) on British Muslims, published a report which sought to find a working definition of Islamophobia, partly because the of possible consequences of not doing so. One of which was given on the advice of Professor Peter Hopkins and The Centre for Hate Studies (Leicester University), who stated that:</w:t>
      </w:r>
    </w:p>
    <w:p w14:paraId="56786F82" w14:textId="79284288" w:rsidR="50DF0E6C" w:rsidRDefault="50DF0E6C" w:rsidP="50DF0E6C">
      <w:pPr>
        <w:ind w:left="1584" w:right="1584"/>
        <w:jc w:val="both"/>
        <w:rPr>
          <w:rFonts w:ascii="Times New Roman" w:eastAsia="Times New Roman" w:hAnsi="Times New Roman" w:cs="Times New Roman"/>
        </w:rPr>
      </w:pPr>
      <w:r w:rsidRPr="50DF0E6C">
        <w:rPr>
          <w:rFonts w:ascii="Times New Roman" w:eastAsia="Times New Roman" w:hAnsi="Times New Roman" w:cs="Times New Roman"/>
        </w:rPr>
        <w:t xml:space="preserve">...the main consequence of not adopting a definition of Islamophobia is that it would encourage some people to continue </w:t>
      </w:r>
      <w:r w:rsidRPr="50DF0E6C">
        <w:rPr>
          <w:rFonts w:ascii="Times New Roman" w:eastAsia="Times New Roman" w:hAnsi="Times New Roman" w:cs="Times New Roman"/>
        </w:rPr>
        <w:lastRenderedPageBreak/>
        <w:t>to deny that Islamophobia is an issue in society. A concrete definition would enable this to be challenged.</w:t>
      </w:r>
      <w:r w:rsidRPr="50DF0E6C">
        <w:rPr>
          <w:rStyle w:val="FootnoteReference"/>
          <w:rFonts w:ascii="Times New Roman" w:eastAsia="Times New Roman" w:hAnsi="Times New Roman" w:cs="Times New Roman"/>
        </w:rPr>
        <w:footnoteReference w:id="6"/>
      </w:r>
    </w:p>
    <w:p w14:paraId="36377F4F" w14:textId="1D3675C9" w:rsidR="50DF0E6C" w:rsidRDefault="50DF0E6C"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Whilst one may agree that a definition is required, the working definition it settled on was, perhaps, somewhat more controversial; which is as follows: “Islamophobia is rooted in racism and is a type of racism that targets expressions of Muslimness or perceived Muslimness.”</w:t>
      </w:r>
      <w:r w:rsidRPr="5A583B97">
        <w:rPr>
          <w:rStyle w:val="FootnoteReference"/>
          <w:rFonts w:ascii="Times New Roman" w:eastAsia="Times New Roman" w:hAnsi="Times New Roman" w:cs="Times New Roman"/>
          <w:sz w:val="24"/>
          <w:szCs w:val="24"/>
        </w:rPr>
        <w:footnoteReference w:id="7"/>
      </w:r>
      <w:r w:rsidRPr="5A583B97">
        <w:rPr>
          <w:rFonts w:ascii="Times New Roman" w:eastAsia="Times New Roman" w:hAnsi="Times New Roman" w:cs="Times New Roman"/>
          <w:sz w:val="24"/>
          <w:szCs w:val="24"/>
        </w:rPr>
        <w:t xml:space="preserve">  Trevor Phillips OBE, the “...former Chair of both the Equality and Human Rights commission and the Runnymede Trust”</w:t>
      </w:r>
      <w:r w:rsidRPr="5A583B97">
        <w:rPr>
          <w:rStyle w:val="FootnoteReference"/>
          <w:rFonts w:ascii="Times New Roman" w:eastAsia="Times New Roman" w:hAnsi="Times New Roman" w:cs="Times New Roman"/>
          <w:sz w:val="24"/>
          <w:szCs w:val="24"/>
        </w:rPr>
        <w:footnoteReference w:id="8"/>
      </w:r>
      <w:r w:rsidRPr="5A583B97">
        <w:rPr>
          <w:rFonts w:ascii="Times New Roman" w:eastAsia="Times New Roman" w:hAnsi="Times New Roman" w:cs="Times New Roman"/>
          <w:sz w:val="24"/>
          <w:szCs w:val="24"/>
        </w:rPr>
        <w:t xml:space="preserve">, writing in a recent Policy Exchange Research Note, finds the idea of Islamophobia being “rooted in racism” completely contrary to the Islamic worldview; basing it on his own research along with the findings of the Runnymede trust, he informs that: </w:t>
      </w:r>
    </w:p>
    <w:p w14:paraId="684B57E0" w14:textId="71AB417C" w:rsidR="75026909" w:rsidRDefault="75026909" w:rsidP="75026909">
      <w:pPr>
        <w:ind w:left="1584" w:right="1584"/>
        <w:jc w:val="both"/>
        <w:rPr>
          <w:rFonts w:ascii="Times New Roman" w:eastAsia="Times New Roman" w:hAnsi="Times New Roman" w:cs="Times New Roman"/>
        </w:rPr>
      </w:pPr>
      <w:r w:rsidRPr="75026909">
        <w:rPr>
          <w:rFonts w:ascii="Times New Roman" w:eastAsia="Times New Roman" w:hAnsi="Times New Roman" w:cs="Times New Roman"/>
          <w:sz w:val="24"/>
          <w:szCs w:val="24"/>
        </w:rPr>
        <w:t>.</w:t>
      </w:r>
      <w:r w:rsidRPr="75026909">
        <w:rPr>
          <w:rFonts w:ascii="Times New Roman" w:eastAsia="Times New Roman" w:hAnsi="Times New Roman" w:cs="Times New Roman"/>
        </w:rPr>
        <w:t>..Muslims themselves rejected the idea that they constitute anything like a single separate ‘race’ […] In fact, it is a central tenet of Islam that all who submit to the faith are equal in the eyes of God irrespective of origin, ethnicity or geography.</w:t>
      </w:r>
      <w:r w:rsidRPr="75026909">
        <w:rPr>
          <w:rStyle w:val="FootnoteReference"/>
          <w:rFonts w:ascii="Times New Roman" w:eastAsia="Times New Roman" w:hAnsi="Times New Roman" w:cs="Times New Roman"/>
        </w:rPr>
        <w:footnoteReference w:id="9"/>
      </w:r>
    </w:p>
    <w:p w14:paraId="6B371D60" w14:textId="04B713D0" w:rsidR="75026909" w:rsidRDefault="75026909"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 xml:space="preserve">Phillips further argues that adopting the APPG’s definition would mean, “...in effect, that all Muslims be treated the same as [other races]. Tackling Muslim disadvantage demands </w:t>
      </w:r>
      <w:r w:rsidRPr="5A583B97">
        <w:rPr>
          <w:rFonts w:ascii="Times New Roman" w:eastAsia="Times New Roman" w:hAnsi="Times New Roman" w:cs="Times New Roman"/>
          <w:i/>
          <w:iCs/>
          <w:sz w:val="24"/>
          <w:szCs w:val="24"/>
        </w:rPr>
        <w:t xml:space="preserve">different </w:t>
      </w:r>
      <w:r w:rsidRPr="5A583B97">
        <w:rPr>
          <w:rFonts w:ascii="Times New Roman" w:eastAsia="Times New Roman" w:hAnsi="Times New Roman" w:cs="Times New Roman"/>
          <w:sz w:val="24"/>
          <w:szCs w:val="24"/>
        </w:rPr>
        <w:t>treatment...”</w:t>
      </w:r>
      <w:r w:rsidRPr="5A583B97">
        <w:rPr>
          <w:rStyle w:val="FootnoteReference"/>
          <w:rFonts w:ascii="Times New Roman" w:eastAsia="Times New Roman" w:hAnsi="Times New Roman" w:cs="Times New Roman"/>
          <w:sz w:val="24"/>
          <w:szCs w:val="24"/>
        </w:rPr>
        <w:footnoteReference w:id="10"/>
      </w:r>
      <w:r w:rsidRPr="5A583B97">
        <w:rPr>
          <w:rFonts w:ascii="Times New Roman" w:eastAsia="Times New Roman" w:hAnsi="Times New Roman" w:cs="Times New Roman"/>
          <w:sz w:val="24"/>
          <w:szCs w:val="24"/>
        </w:rPr>
        <w:t>, since some practicing Muslims require additional support, such as: special holidays for festivals or pilgrimages, clothing difference, time to pray etc. Thus, Philips feels that using the terminology “anti-Muslim racism” could lead employers to simply treat them the same as any other staff member and simply say to “...a Muslim employee, “I’m sorry, we don’t differentiate between race in this workplace. We don’t give anyone else special breaks to go to the prayer room...”</w:t>
      </w:r>
      <w:r w:rsidRPr="5A583B97">
        <w:rPr>
          <w:rStyle w:val="FootnoteReference"/>
          <w:rFonts w:ascii="Times New Roman" w:eastAsia="Times New Roman" w:hAnsi="Times New Roman" w:cs="Times New Roman"/>
          <w:sz w:val="24"/>
          <w:szCs w:val="24"/>
        </w:rPr>
        <w:footnoteReference w:id="11"/>
      </w:r>
      <w:r w:rsidRPr="5A583B97">
        <w:rPr>
          <w:rFonts w:ascii="Times New Roman" w:eastAsia="Times New Roman" w:hAnsi="Times New Roman" w:cs="Times New Roman"/>
          <w:sz w:val="24"/>
          <w:szCs w:val="24"/>
        </w:rPr>
        <w:t xml:space="preserve">.  Thus, introducing a racial identity not only goes against what Muslims believe about themselves, but may even cause them greater restrictions in the future. This is also evident in the use of the term </w:t>
      </w:r>
      <w:r w:rsidR="5A583B97" w:rsidRPr="5A583B97">
        <w:rPr>
          <w:rFonts w:ascii="Times New Roman" w:eastAsia="Times New Roman" w:hAnsi="Times New Roman" w:cs="Times New Roman"/>
          <w:sz w:val="24"/>
          <w:szCs w:val="24"/>
        </w:rPr>
        <w:t>“Muslimness”.</w:t>
      </w:r>
    </w:p>
    <w:p w14:paraId="71D77DD0" w14:textId="6161449B" w:rsidR="75026909" w:rsidRDefault="5A583B97"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One danger, it seems, with the use of a term like “Muslimness” is that it could become an infringement upon Muslim identity, leading to internal fractions within Muslim communities and a society constrained, potentially erroneous, concept of Muslim identity. Sir John Jenkins points out that whilst the APPG recognise that “...the construction of social identity is complex and situational” they only go-on to ignore it, as the report leaves out what “Muslimness” is “...and who, exactly would decide what the concept meant in practice?”</w:t>
      </w:r>
      <w:r w:rsidR="75026909" w:rsidRPr="5A583B97">
        <w:rPr>
          <w:rStyle w:val="FootnoteReference"/>
          <w:rFonts w:ascii="Times New Roman" w:eastAsia="Times New Roman" w:hAnsi="Times New Roman" w:cs="Times New Roman"/>
          <w:sz w:val="24"/>
          <w:szCs w:val="24"/>
        </w:rPr>
        <w:footnoteReference w:id="12"/>
      </w:r>
      <w:r w:rsidRPr="5A583B97">
        <w:rPr>
          <w:rFonts w:ascii="Times New Roman" w:eastAsia="Times New Roman" w:hAnsi="Times New Roman" w:cs="Times New Roman"/>
          <w:sz w:val="24"/>
          <w:szCs w:val="24"/>
        </w:rPr>
        <w:t xml:space="preserve"> Further, the risk, for Jenkins, is </w:t>
      </w:r>
      <w:r w:rsidRPr="5A583B97">
        <w:rPr>
          <w:rFonts w:ascii="Times New Roman" w:eastAsia="Times New Roman" w:hAnsi="Times New Roman" w:cs="Times New Roman"/>
          <w:color w:val="000000" w:themeColor="text1"/>
          <w:sz w:val="24"/>
          <w:szCs w:val="24"/>
        </w:rPr>
        <w:t>“</w:t>
      </w:r>
      <w:r w:rsidRPr="5A583B97">
        <w:rPr>
          <w:rFonts w:ascii="Times New Roman" w:eastAsia="Times New Roman" w:hAnsi="Times New Roman" w:cs="Times New Roman"/>
          <w:sz w:val="24"/>
          <w:szCs w:val="24"/>
        </w:rPr>
        <w:t>...that such terms would end up being policed by self-appointed gatekeepers.”</w:t>
      </w:r>
      <w:r w:rsidR="75026909" w:rsidRPr="5A583B97">
        <w:rPr>
          <w:rStyle w:val="FootnoteReference"/>
          <w:rFonts w:ascii="Times New Roman" w:eastAsia="Times New Roman" w:hAnsi="Times New Roman" w:cs="Times New Roman"/>
          <w:sz w:val="24"/>
          <w:szCs w:val="24"/>
        </w:rPr>
        <w:footnoteReference w:id="13"/>
      </w:r>
      <w:r w:rsidRPr="5A583B97">
        <w:rPr>
          <w:rFonts w:ascii="Times New Roman" w:eastAsia="Times New Roman" w:hAnsi="Times New Roman" w:cs="Times New Roman"/>
          <w:sz w:val="24"/>
          <w:szCs w:val="24"/>
        </w:rPr>
        <w:t xml:space="preserve">  </w:t>
      </w:r>
    </w:p>
    <w:p w14:paraId="33CB578B" w14:textId="0059D519" w:rsidR="75026909" w:rsidRDefault="5A583B97"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Jenkins goes on to give the case of Ofsted inspectors being “...accused of Islamophobia for questioning the wearing of hijabs by girls at school. The implication is that “Muslimness” must involve wearing hijabs...”</w:t>
      </w:r>
      <w:r w:rsidR="75026909" w:rsidRPr="5A583B97">
        <w:rPr>
          <w:rStyle w:val="FootnoteReference"/>
          <w:rFonts w:ascii="Times New Roman" w:eastAsia="Times New Roman" w:hAnsi="Times New Roman" w:cs="Times New Roman"/>
          <w:sz w:val="24"/>
          <w:szCs w:val="24"/>
        </w:rPr>
        <w:footnoteReference w:id="14"/>
      </w:r>
      <w:r w:rsidRPr="5A583B97">
        <w:rPr>
          <w:rFonts w:ascii="Times New Roman" w:eastAsia="Times New Roman" w:hAnsi="Times New Roman" w:cs="Times New Roman"/>
          <w:sz w:val="24"/>
          <w:szCs w:val="24"/>
        </w:rPr>
        <w:t xml:space="preserve">. The problem being, then, that only one interpretation of so-called </w:t>
      </w:r>
      <w:r w:rsidRPr="5A583B97">
        <w:rPr>
          <w:rFonts w:ascii="Times New Roman" w:eastAsia="Times New Roman" w:hAnsi="Times New Roman" w:cs="Times New Roman"/>
          <w:sz w:val="24"/>
          <w:szCs w:val="24"/>
        </w:rPr>
        <w:lastRenderedPageBreak/>
        <w:t>“Muslimness” is being offered, even though cultural and religious practices, especially between differing generations of Muslim immigrants in the UK, for example: where it is conceivable that  a first-generation immigrant from Pakistan may insist that wearing the hijab is part of her Muslim identity, whereas the third-generation daughter may disagree claiming “it is just Mum’s cultural identity” and is not a necessary precept of being a Muslim in Britain. Thus, cross-cultural practice is too multifaceted to be able to consider a single idea of “Muslimness”, and whilst the APPG are aware of this, as Jenkins notes, “...there is very little pluralism in the report.”</w:t>
      </w:r>
      <w:r w:rsidR="75026909" w:rsidRPr="5A583B97">
        <w:rPr>
          <w:rStyle w:val="FootnoteReference"/>
          <w:rFonts w:ascii="Times New Roman" w:eastAsia="Times New Roman" w:hAnsi="Times New Roman" w:cs="Times New Roman"/>
          <w:sz w:val="24"/>
          <w:szCs w:val="24"/>
        </w:rPr>
        <w:footnoteReference w:id="15"/>
      </w:r>
    </w:p>
    <w:p w14:paraId="160AC659" w14:textId="22D7F31E" w:rsidR="75026909" w:rsidRDefault="5A583B97" w:rsidP="120A5F89">
      <w:pPr>
        <w:jc w:val="both"/>
        <w:rPr>
          <w:rFonts w:ascii="Times New Roman" w:eastAsia="Times New Roman" w:hAnsi="Times New Roman" w:cs="Times New Roman"/>
          <w:sz w:val="24"/>
          <w:szCs w:val="24"/>
        </w:rPr>
      </w:pPr>
      <w:r w:rsidRPr="120A5F89">
        <w:rPr>
          <w:rFonts w:ascii="Times New Roman" w:eastAsia="Times New Roman" w:hAnsi="Times New Roman" w:cs="Times New Roman"/>
          <w:sz w:val="24"/>
          <w:szCs w:val="24"/>
        </w:rPr>
        <w:t>The lack of plurality within the report could also lead to self-appointed organisations, speaking on behalf of all Muslims, even if they only represent a narrow view of Islam themselves, causing additional unneeded fractions among communities. Moreover, if the wrong organisation is appointed who follow “...the reductive socio-revolutionary ideology of political Islamism...” then criticism of the more radical versions of “Muslimness” would be in jeopardy, which would, potentially in the UK, “...make much of [the Governments] counter-extremism program ‘Islamophobic’.”</w:t>
      </w:r>
      <w:r w:rsidR="75026909" w:rsidRPr="120A5F89">
        <w:rPr>
          <w:rStyle w:val="FootnoteReference"/>
          <w:rFonts w:ascii="Times New Roman" w:eastAsia="Times New Roman" w:hAnsi="Times New Roman" w:cs="Times New Roman"/>
          <w:sz w:val="24"/>
          <w:szCs w:val="24"/>
        </w:rPr>
        <w:footnoteReference w:id="16"/>
      </w:r>
      <w:r w:rsidRPr="120A5F89">
        <w:rPr>
          <w:rFonts w:ascii="Times New Roman" w:eastAsia="Times New Roman" w:hAnsi="Times New Roman" w:cs="Times New Roman"/>
          <w:sz w:val="24"/>
          <w:szCs w:val="24"/>
        </w:rPr>
        <w:t xml:space="preserve">  Further, it would place unwarranted restriction on free speech both on the streets and in the media. Therefore, as Dr Chris Allen has stated, “it is worth unequivocally stating that [...] Islamophobia [...] [cannot] ever be used to limit or censure appropriate, legitimate or proportionate criticism, disagreement and condemnation in any way whatsoever.”</w:t>
      </w:r>
      <w:r w:rsidR="75026909" w:rsidRPr="120A5F89">
        <w:rPr>
          <w:rStyle w:val="FootnoteReference"/>
          <w:rFonts w:ascii="Times New Roman" w:eastAsia="Times New Roman" w:hAnsi="Times New Roman" w:cs="Times New Roman"/>
          <w:sz w:val="24"/>
          <w:szCs w:val="24"/>
        </w:rPr>
        <w:footnoteReference w:id="17"/>
      </w:r>
      <w:r w:rsidRPr="120A5F89">
        <w:rPr>
          <w:rFonts w:ascii="Times New Roman" w:eastAsia="Times New Roman" w:hAnsi="Times New Roman" w:cs="Times New Roman"/>
          <w:sz w:val="24"/>
          <w:szCs w:val="24"/>
        </w:rPr>
        <w:t xml:space="preserve"> How, then, is a </w:t>
      </w:r>
      <w:r w:rsidR="120A5F89" w:rsidRPr="120A5F89">
        <w:rPr>
          <w:rFonts w:ascii="Times New Roman" w:eastAsia="Times New Roman" w:hAnsi="Times New Roman" w:cs="Times New Roman"/>
          <w:color w:val="000000" w:themeColor="text1"/>
          <w:sz w:val="24"/>
          <w:szCs w:val="24"/>
        </w:rPr>
        <w:t>“</w:t>
      </w:r>
      <w:r w:rsidRPr="120A5F89">
        <w:rPr>
          <w:rFonts w:ascii="Times New Roman" w:eastAsia="Times New Roman" w:hAnsi="Times New Roman" w:cs="Times New Roman"/>
          <w:sz w:val="24"/>
          <w:szCs w:val="24"/>
        </w:rPr>
        <w:t xml:space="preserve">working definition” to be arrived at?  </w:t>
      </w:r>
    </w:p>
    <w:p w14:paraId="4D2B61B4" w14:textId="6782DFA1" w:rsidR="120A5F89" w:rsidRDefault="120A5F89" w:rsidP="120A5F89">
      <w:pPr>
        <w:jc w:val="both"/>
        <w:rPr>
          <w:rFonts w:ascii="Times New Roman" w:eastAsia="Times New Roman" w:hAnsi="Times New Roman" w:cs="Times New Roman"/>
          <w:color w:val="000000" w:themeColor="text1"/>
          <w:sz w:val="24"/>
          <w:szCs w:val="24"/>
        </w:rPr>
      </w:pPr>
      <w:r w:rsidRPr="120A5F89">
        <w:rPr>
          <w:rFonts w:ascii="Times New Roman" w:eastAsia="Times New Roman" w:hAnsi="Times New Roman" w:cs="Times New Roman"/>
          <w:sz w:val="24"/>
          <w:szCs w:val="24"/>
        </w:rPr>
        <w:t>Allen feels that due to “the lack of suitability” of current definitions, there are two “viable” options: “first, to devise a new definition or synthesise those currently on offer; second, developing an existing working definition for a similar discriminatory phenomenon.”</w:t>
      </w:r>
      <w:r w:rsidRPr="120A5F89">
        <w:rPr>
          <w:rStyle w:val="FootnoteReference"/>
          <w:rFonts w:ascii="Times New Roman" w:eastAsia="Times New Roman" w:hAnsi="Times New Roman" w:cs="Times New Roman"/>
          <w:sz w:val="24"/>
          <w:szCs w:val="24"/>
        </w:rPr>
        <w:footnoteReference w:id="18"/>
      </w:r>
      <w:r w:rsidRPr="120A5F89">
        <w:rPr>
          <w:rFonts w:ascii="Times New Roman" w:eastAsia="Times New Roman" w:hAnsi="Times New Roman" w:cs="Times New Roman"/>
          <w:sz w:val="24"/>
          <w:szCs w:val="24"/>
        </w:rPr>
        <w:t xml:space="preserve"> The problem with the former is evident, for Allen, in </w:t>
      </w:r>
      <w:r w:rsidRPr="120A5F89">
        <w:rPr>
          <w:rFonts w:ascii="Times New Roman" w:eastAsia="Times New Roman" w:hAnsi="Times New Roman" w:cs="Times New Roman"/>
          <w:color w:val="000000" w:themeColor="text1"/>
          <w:sz w:val="24"/>
          <w:szCs w:val="24"/>
        </w:rPr>
        <w:t>“</w:t>
      </w:r>
      <w:r w:rsidRPr="120A5F89">
        <w:rPr>
          <w:rFonts w:ascii="Times New Roman" w:eastAsia="Times New Roman" w:hAnsi="Times New Roman" w:cs="Times New Roman"/>
          <w:sz w:val="24"/>
          <w:szCs w:val="24"/>
        </w:rPr>
        <w:t>...the fact that a suitable definition has failed to emerge [, which] suggests that the process of devising a new, synthesised working definition may be difficult</w:t>
      </w:r>
      <w:r w:rsidRPr="120A5F89">
        <w:rPr>
          <w:rFonts w:ascii="Times New Roman" w:eastAsia="Times New Roman" w:hAnsi="Times New Roman" w:cs="Times New Roman"/>
          <w:color w:val="000000" w:themeColor="text1"/>
          <w:sz w:val="24"/>
          <w:szCs w:val="24"/>
        </w:rPr>
        <w:t>.”</w:t>
      </w:r>
      <w:r w:rsidRPr="120A5F89">
        <w:rPr>
          <w:rStyle w:val="FootnoteReference"/>
          <w:rFonts w:ascii="Times New Roman" w:eastAsia="Times New Roman" w:hAnsi="Times New Roman" w:cs="Times New Roman"/>
          <w:color w:val="000000" w:themeColor="text1"/>
          <w:sz w:val="24"/>
          <w:szCs w:val="24"/>
        </w:rPr>
        <w:footnoteReference w:id="19"/>
      </w:r>
      <w:r w:rsidRPr="120A5F89">
        <w:rPr>
          <w:rFonts w:ascii="Times New Roman" w:eastAsia="Times New Roman" w:hAnsi="Times New Roman" w:cs="Times New Roman"/>
          <w:color w:val="000000" w:themeColor="text1"/>
          <w:sz w:val="24"/>
          <w:szCs w:val="24"/>
        </w:rPr>
        <w:t xml:space="preserve"> It is, perhaps, particularly problematic to manage such a process “given the political nature of </w:t>
      </w:r>
      <w:proofErr w:type="spellStart"/>
      <w:r w:rsidRPr="120A5F89">
        <w:rPr>
          <w:rFonts w:ascii="Times New Roman" w:eastAsia="Times New Roman" w:hAnsi="Times New Roman" w:cs="Times New Roman"/>
          <w:color w:val="000000" w:themeColor="text1"/>
          <w:sz w:val="24"/>
          <w:szCs w:val="24"/>
        </w:rPr>
        <w:t>Islamopobia</w:t>
      </w:r>
      <w:proofErr w:type="spellEnd"/>
      <w:r w:rsidRPr="120A5F89">
        <w:rPr>
          <w:rFonts w:ascii="Times New Roman" w:eastAsia="Times New Roman" w:hAnsi="Times New Roman" w:cs="Times New Roman"/>
          <w:color w:val="000000" w:themeColor="text1"/>
          <w:sz w:val="24"/>
          <w:szCs w:val="24"/>
        </w:rPr>
        <w:t xml:space="preserve"> and the different stakeholders who might need - or indeed want - to be involved in the process...”</w:t>
      </w:r>
      <w:r w:rsidRPr="120A5F89">
        <w:rPr>
          <w:rStyle w:val="FootnoteReference"/>
          <w:rFonts w:ascii="Times New Roman" w:eastAsia="Times New Roman" w:hAnsi="Times New Roman" w:cs="Times New Roman"/>
          <w:color w:val="000000" w:themeColor="text1"/>
          <w:sz w:val="24"/>
          <w:szCs w:val="24"/>
        </w:rPr>
        <w:footnoteReference w:id="20"/>
      </w:r>
      <w:r w:rsidRPr="120A5F89">
        <w:rPr>
          <w:rFonts w:ascii="Times New Roman" w:eastAsia="Times New Roman" w:hAnsi="Times New Roman" w:cs="Times New Roman"/>
          <w:color w:val="000000" w:themeColor="text1"/>
          <w:sz w:val="24"/>
          <w:szCs w:val="24"/>
        </w:rPr>
        <w:t>: something already alluded to in this paper, with regards to potential issues self-appointed gatekeepers could cause. Thus, Allen recommends to the British Government the second option</w:t>
      </w:r>
      <w:r w:rsidRPr="120A5F89">
        <w:rPr>
          <w:rStyle w:val="FootnoteReference"/>
          <w:rFonts w:ascii="Times New Roman" w:eastAsia="Times New Roman" w:hAnsi="Times New Roman" w:cs="Times New Roman"/>
          <w:color w:val="000000" w:themeColor="text1"/>
          <w:sz w:val="24"/>
          <w:szCs w:val="24"/>
        </w:rPr>
        <w:footnoteReference w:id="21"/>
      </w:r>
      <w:r w:rsidRPr="120A5F89">
        <w:rPr>
          <w:rFonts w:ascii="Times New Roman" w:eastAsia="Times New Roman" w:hAnsi="Times New Roman" w:cs="Times New Roman"/>
          <w:color w:val="000000" w:themeColor="text1"/>
          <w:sz w:val="24"/>
          <w:szCs w:val="24"/>
        </w:rPr>
        <w:t xml:space="preserve"> – developing an existing working definition. </w:t>
      </w:r>
    </w:p>
    <w:p w14:paraId="59C3C3FA" w14:textId="2A6B3584" w:rsidR="120A5F89" w:rsidRDefault="120A5F89" w:rsidP="120A5F89">
      <w:pPr>
        <w:jc w:val="both"/>
        <w:rPr>
          <w:rFonts w:ascii="Times New Roman" w:eastAsia="Times New Roman" w:hAnsi="Times New Roman" w:cs="Times New Roman"/>
          <w:color w:val="000000" w:themeColor="text1"/>
          <w:sz w:val="24"/>
          <w:szCs w:val="24"/>
        </w:rPr>
      </w:pPr>
      <w:r w:rsidRPr="120A5F89">
        <w:rPr>
          <w:rFonts w:ascii="Times New Roman" w:eastAsia="Times New Roman" w:hAnsi="Times New Roman" w:cs="Times New Roman"/>
          <w:color w:val="000000" w:themeColor="text1"/>
          <w:sz w:val="24"/>
          <w:szCs w:val="24"/>
        </w:rPr>
        <w:t xml:space="preserve">The adoption of the recent May 2016 working definition for Antisemitism, Allen believes, “might offer a good foundation upon which to establish an </w:t>
      </w:r>
      <w:proofErr w:type="spellStart"/>
      <w:r w:rsidRPr="120A5F89">
        <w:rPr>
          <w:rFonts w:ascii="Times New Roman" w:eastAsia="Times New Roman" w:hAnsi="Times New Roman" w:cs="Times New Roman"/>
          <w:color w:val="000000" w:themeColor="text1"/>
          <w:sz w:val="24"/>
          <w:szCs w:val="24"/>
        </w:rPr>
        <w:t>Islomopbia</w:t>
      </w:r>
      <w:proofErr w:type="spellEnd"/>
      <w:r w:rsidRPr="120A5F89">
        <w:rPr>
          <w:rFonts w:ascii="Times New Roman" w:eastAsia="Times New Roman" w:hAnsi="Times New Roman" w:cs="Times New Roman"/>
          <w:color w:val="000000" w:themeColor="text1"/>
          <w:sz w:val="24"/>
          <w:szCs w:val="24"/>
        </w:rPr>
        <w:t xml:space="preserve"> equivalent [,]” not least because this has already “...been adopted by 31 Member countries, ten observer countries, and seven international partner organisations [, including the UK].”</w:t>
      </w:r>
      <w:r w:rsidRPr="120A5F89">
        <w:rPr>
          <w:rStyle w:val="FootnoteReference"/>
          <w:rFonts w:ascii="Times New Roman" w:eastAsia="Times New Roman" w:hAnsi="Times New Roman" w:cs="Times New Roman"/>
          <w:color w:val="000000" w:themeColor="text1"/>
          <w:sz w:val="24"/>
          <w:szCs w:val="24"/>
        </w:rPr>
        <w:footnoteReference w:id="22"/>
      </w:r>
      <w:r w:rsidRPr="120A5F89">
        <w:rPr>
          <w:rFonts w:ascii="Times New Roman" w:eastAsia="Times New Roman" w:hAnsi="Times New Roman" w:cs="Times New Roman"/>
          <w:color w:val="000000" w:themeColor="text1"/>
          <w:sz w:val="24"/>
          <w:szCs w:val="24"/>
        </w:rPr>
        <w:t xml:space="preserve"> The definition for Antisemitism is as follows:</w:t>
      </w:r>
    </w:p>
    <w:p w14:paraId="575A5648" w14:textId="4205671A" w:rsidR="120A5F89" w:rsidRDefault="120A5F89" w:rsidP="120A5F89">
      <w:pPr>
        <w:ind w:left="1584" w:right="1584"/>
        <w:jc w:val="both"/>
        <w:rPr>
          <w:rFonts w:ascii="Times New Roman" w:eastAsia="Times New Roman" w:hAnsi="Times New Roman" w:cs="Times New Roman"/>
          <w:color w:val="000000" w:themeColor="text1"/>
        </w:rPr>
      </w:pPr>
      <w:r w:rsidRPr="120A5F89">
        <w:rPr>
          <w:rFonts w:ascii="Times New Roman" w:eastAsia="Times New Roman" w:hAnsi="Times New Roman" w:cs="Times New Roman"/>
          <w:color w:val="000000" w:themeColor="text1"/>
        </w:rPr>
        <w:t xml:space="preserve">... a certain perception of Jews, which may be expressed as hatred toward </w:t>
      </w:r>
      <w:proofErr w:type="spellStart"/>
      <w:r w:rsidRPr="120A5F89">
        <w:rPr>
          <w:rFonts w:ascii="Times New Roman" w:eastAsia="Times New Roman" w:hAnsi="Times New Roman" w:cs="Times New Roman"/>
          <w:color w:val="000000" w:themeColor="text1"/>
        </w:rPr>
        <w:t>Jesws</w:t>
      </w:r>
      <w:proofErr w:type="spellEnd"/>
      <w:r w:rsidRPr="120A5F89">
        <w:rPr>
          <w:rFonts w:ascii="Times New Roman" w:eastAsia="Times New Roman" w:hAnsi="Times New Roman" w:cs="Times New Roman"/>
          <w:color w:val="000000" w:themeColor="text1"/>
        </w:rPr>
        <w:t xml:space="preserve">. Rhetorical and physical manifestations of </w:t>
      </w:r>
      <w:r w:rsidRPr="120A5F89">
        <w:rPr>
          <w:rFonts w:ascii="Times New Roman" w:eastAsia="Times New Roman" w:hAnsi="Times New Roman" w:cs="Times New Roman"/>
          <w:color w:val="000000" w:themeColor="text1"/>
        </w:rPr>
        <w:lastRenderedPageBreak/>
        <w:t>antisemitism are directed toward Jewish or non-Jewish individuals and/or their property, toward Jewish community institutions and religious facilities</w:t>
      </w:r>
      <w:r w:rsidRPr="120A5F89">
        <w:rPr>
          <w:rStyle w:val="FootnoteReference"/>
          <w:rFonts w:ascii="Times New Roman" w:eastAsia="Times New Roman" w:hAnsi="Times New Roman" w:cs="Times New Roman"/>
          <w:color w:val="000000" w:themeColor="text1"/>
        </w:rPr>
        <w:footnoteReference w:id="23"/>
      </w:r>
    </w:p>
    <w:p w14:paraId="4199A97E" w14:textId="5FB58808" w:rsidR="77F9F554" w:rsidRDefault="77F9F554" w:rsidP="77F9F554">
      <w:pPr>
        <w:jc w:val="both"/>
        <w:rPr>
          <w:rFonts w:ascii="Times New Roman" w:eastAsia="Times New Roman" w:hAnsi="Times New Roman" w:cs="Times New Roman"/>
          <w:color w:val="000000" w:themeColor="text1"/>
          <w:sz w:val="24"/>
          <w:szCs w:val="24"/>
        </w:rPr>
      </w:pPr>
      <w:r w:rsidRPr="77F9F554">
        <w:rPr>
          <w:rFonts w:ascii="Times New Roman" w:eastAsia="Times New Roman" w:hAnsi="Times New Roman" w:cs="Times New Roman"/>
          <w:color w:val="000000" w:themeColor="text1"/>
          <w:sz w:val="24"/>
          <w:szCs w:val="24"/>
        </w:rPr>
        <w:t xml:space="preserve">It is conceivable that adopting an already widely accepted definition of antisemitism, simply by replacing the words Jews and antisemitism with Muslims and Islamophobia, is not only easy, but could prevent much of the issues already discussed in this paper, particularly without its focus on race or racism, and is therefore arguably more likely to be unanimously agreed on.  Moreover, by including “non-Muslim individuals” into the formula it could in theory give protection to those who are perceived as Muslim, but are not, and those who do identify as Muslim but who are not recognised by the mainstream, or some other self-appointed organisation, as Muslims. Thus, the utility of this definition is perhaps worthy of Governmental consideration. Still, whilst it is important to have a useful definition, one must also investigate why this bigoted phenomenon is so widespread across </w:t>
      </w:r>
      <w:r w:rsidRPr="77F9F554">
        <w:rPr>
          <w:rFonts w:ascii="Times New Roman" w:eastAsia="Times New Roman" w:hAnsi="Times New Roman" w:cs="Times New Roman"/>
          <w:i/>
          <w:iCs/>
          <w:color w:val="000000" w:themeColor="text1"/>
          <w:sz w:val="24"/>
          <w:szCs w:val="24"/>
        </w:rPr>
        <w:t>western</w:t>
      </w:r>
      <w:r w:rsidRPr="77F9F554">
        <w:rPr>
          <w:rStyle w:val="FootnoteReference"/>
          <w:rFonts w:ascii="Times New Roman" w:eastAsia="Times New Roman" w:hAnsi="Times New Roman" w:cs="Times New Roman"/>
          <w:color w:val="000000" w:themeColor="text1"/>
          <w:sz w:val="24"/>
          <w:szCs w:val="24"/>
        </w:rPr>
        <w:footnoteReference w:id="24"/>
      </w:r>
      <w:r w:rsidRPr="77F9F554">
        <w:rPr>
          <w:rFonts w:ascii="Times New Roman" w:eastAsia="Times New Roman" w:hAnsi="Times New Roman" w:cs="Times New Roman"/>
          <w:color w:val="000000" w:themeColor="text1"/>
          <w:sz w:val="24"/>
          <w:szCs w:val="24"/>
        </w:rPr>
        <w:t xml:space="preserve"> societies?</w:t>
      </w:r>
    </w:p>
    <w:p w14:paraId="636CF576" w14:textId="6CF832BC" w:rsidR="77F9F554" w:rsidRDefault="77F9F554"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There is a clear history of orientalism</w:t>
      </w:r>
      <w:r w:rsidRPr="1726E037">
        <w:rPr>
          <w:rStyle w:val="FootnoteReference"/>
          <w:rFonts w:ascii="Times New Roman" w:eastAsia="Times New Roman" w:hAnsi="Times New Roman" w:cs="Times New Roman"/>
          <w:color w:val="000000" w:themeColor="text1"/>
          <w:sz w:val="24"/>
          <w:szCs w:val="24"/>
        </w:rPr>
        <w:footnoteReference w:id="25"/>
      </w:r>
      <w:r w:rsidRPr="1726E037">
        <w:rPr>
          <w:rFonts w:ascii="Times New Roman" w:eastAsia="Times New Roman" w:hAnsi="Times New Roman" w:cs="Times New Roman"/>
          <w:color w:val="000000" w:themeColor="text1"/>
          <w:sz w:val="24"/>
          <w:szCs w:val="24"/>
        </w:rPr>
        <w:t xml:space="preserve"> focused on portraying the Islamic world as ‘the enemy’, as a way for the West to establish its own “liberal modernist narrative” as its identity, as Jocelyne </w:t>
      </w:r>
      <w:proofErr w:type="spellStart"/>
      <w:r w:rsidRPr="1726E037">
        <w:rPr>
          <w:rFonts w:ascii="Times New Roman" w:eastAsia="Times New Roman" w:hAnsi="Times New Roman" w:cs="Times New Roman"/>
          <w:color w:val="000000" w:themeColor="text1"/>
          <w:sz w:val="24"/>
          <w:szCs w:val="24"/>
        </w:rPr>
        <w:t>Cesari</w:t>
      </w:r>
      <w:proofErr w:type="spellEnd"/>
      <w:r w:rsidRPr="1726E037">
        <w:rPr>
          <w:rFonts w:ascii="Times New Roman" w:eastAsia="Times New Roman" w:hAnsi="Times New Roman" w:cs="Times New Roman"/>
          <w:color w:val="000000" w:themeColor="text1"/>
          <w:sz w:val="24"/>
          <w:szCs w:val="24"/>
        </w:rPr>
        <w:t xml:space="preserve"> claims, which starts “...from the Ottoman Empire’s political domination of Mediterranean lands during the eighteenth century.”</w:t>
      </w:r>
      <w:r w:rsidRPr="1726E037">
        <w:rPr>
          <w:rStyle w:val="FootnoteReference"/>
          <w:rFonts w:ascii="Times New Roman" w:eastAsia="Times New Roman" w:hAnsi="Times New Roman" w:cs="Times New Roman"/>
          <w:color w:val="000000" w:themeColor="text1"/>
          <w:sz w:val="24"/>
          <w:szCs w:val="24"/>
        </w:rPr>
        <w:footnoteReference w:id="26"/>
      </w:r>
      <w:r w:rsidRPr="1726E037">
        <w:rPr>
          <w:rFonts w:ascii="Times New Roman" w:eastAsia="Times New Roman" w:hAnsi="Times New Roman" w:cs="Times New Roman"/>
          <w:color w:val="000000" w:themeColor="text1"/>
          <w:sz w:val="24"/>
          <w:szCs w:val="24"/>
        </w:rPr>
        <w:t xml:space="preserve"> However, for the interest of this paper, the focus will be on media representations and their potential involvement in propagating Islamophobic sentiments, imprinting themselves onto the western psyche, including, but not limited to, whether they have increased since the 9/11 attacks on the Twin Towers. </w:t>
      </w:r>
    </w:p>
    <w:p w14:paraId="1E21D0F9" w14:textId="7F215361"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Elizabeth Poole has conducted a report whereby she gathered various British broadsheet newspapers, dating both prior to, and directly after, two major events: the 9/11 attacks and the Iraq War. The experiment was “...to determine whether the ‘framework of reporting’ has altered in any considerable way since the major world events...”, by conducting a quantitative content analysis of stories relating to British Muslims, to identify what makes British Muslims ‘newsworthy’ in the light of these events.</w:t>
      </w:r>
      <w:r w:rsidRPr="1726E037">
        <w:rPr>
          <w:rStyle w:val="FootnoteReference"/>
          <w:rFonts w:ascii="Times New Roman" w:eastAsia="Times New Roman" w:hAnsi="Times New Roman" w:cs="Times New Roman"/>
          <w:color w:val="000000" w:themeColor="text1"/>
          <w:sz w:val="24"/>
          <w:szCs w:val="24"/>
        </w:rPr>
        <w:footnoteReference w:id="27"/>
      </w:r>
      <w:r w:rsidRPr="1726E037">
        <w:rPr>
          <w:rFonts w:ascii="Times New Roman" w:eastAsia="Times New Roman" w:hAnsi="Times New Roman" w:cs="Times New Roman"/>
          <w:color w:val="000000" w:themeColor="text1"/>
          <w:sz w:val="24"/>
          <w:szCs w:val="24"/>
        </w:rPr>
        <w:t xml:space="preserve"> Further, to get a fuller picture of the impact of these events on newspaper reporting, Poole chose papers that differ in “...political/ideological stances [:] the </w:t>
      </w:r>
      <w:r w:rsidRPr="1726E037">
        <w:rPr>
          <w:rFonts w:ascii="Times New Roman" w:eastAsia="Times New Roman" w:hAnsi="Times New Roman" w:cs="Times New Roman"/>
          <w:i/>
          <w:iCs/>
          <w:color w:val="000000" w:themeColor="text1"/>
          <w:sz w:val="24"/>
          <w:szCs w:val="24"/>
        </w:rPr>
        <w:t>Guardian</w:t>
      </w:r>
      <w:r w:rsidRPr="1726E037">
        <w:rPr>
          <w:rFonts w:ascii="Times New Roman" w:eastAsia="Times New Roman" w:hAnsi="Times New Roman" w:cs="Times New Roman"/>
          <w:color w:val="000000" w:themeColor="text1"/>
          <w:sz w:val="24"/>
          <w:szCs w:val="24"/>
        </w:rPr>
        <w:t xml:space="preserve">[,] being left of centre and </w:t>
      </w:r>
      <w:r w:rsidRPr="1726E037">
        <w:rPr>
          <w:rFonts w:ascii="Times New Roman" w:eastAsia="Times New Roman" w:hAnsi="Times New Roman" w:cs="Times New Roman"/>
          <w:i/>
          <w:iCs/>
          <w:color w:val="000000" w:themeColor="text1"/>
          <w:sz w:val="24"/>
          <w:szCs w:val="24"/>
        </w:rPr>
        <w:t xml:space="preserve">The Times </w:t>
      </w:r>
      <w:r w:rsidRPr="1726E037">
        <w:rPr>
          <w:rFonts w:ascii="Times New Roman" w:eastAsia="Times New Roman" w:hAnsi="Times New Roman" w:cs="Times New Roman"/>
          <w:color w:val="000000" w:themeColor="text1"/>
          <w:sz w:val="24"/>
          <w:szCs w:val="24"/>
        </w:rPr>
        <w:t>[which is] conservative.”</w:t>
      </w:r>
      <w:r w:rsidRPr="1726E037">
        <w:rPr>
          <w:rStyle w:val="FootnoteReference"/>
          <w:rFonts w:ascii="Times New Roman" w:eastAsia="Times New Roman" w:hAnsi="Times New Roman" w:cs="Times New Roman"/>
          <w:color w:val="000000" w:themeColor="text1"/>
          <w:sz w:val="24"/>
          <w:szCs w:val="24"/>
        </w:rPr>
        <w:footnoteReference w:id="28"/>
      </w:r>
      <w:r w:rsidRPr="1726E037">
        <w:rPr>
          <w:rFonts w:ascii="Times New Roman" w:eastAsia="Times New Roman" w:hAnsi="Times New Roman" w:cs="Times New Roman"/>
          <w:color w:val="000000" w:themeColor="text1"/>
          <w:sz w:val="24"/>
          <w:szCs w:val="24"/>
        </w:rPr>
        <w:t xml:space="preserve"> </w:t>
      </w:r>
    </w:p>
    <w:p w14:paraId="378A85D4" w14:textId="3FB013AB"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Poole’s research indicates a dramatic increase in coverage of local British Muslims, which coincide with both the papers Global coverage of events and portrayal of Islam internationally. Poole found that since 1994 the overall coverage of Muslims in Britain rose from 12% of news to 25% by 2003, with the highest number of articles produced in March 2003 with the inception </w:t>
      </w:r>
      <w:r w:rsidRPr="1726E037">
        <w:rPr>
          <w:rFonts w:ascii="Times New Roman" w:eastAsia="Times New Roman" w:hAnsi="Times New Roman" w:cs="Times New Roman"/>
          <w:color w:val="000000" w:themeColor="text1"/>
          <w:sz w:val="24"/>
          <w:szCs w:val="24"/>
        </w:rPr>
        <w:lastRenderedPageBreak/>
        <w:t>of the Iraq War.</w:t>
      </w:r>
      <w:r w:rsidRPr="1726E037">
        <w:rPr>
          <w:rStyle w:val="FootnoteReference"/>
          <w:rFonts w:ascii="Times New Roman" w:eastAsia="Times New Roman" w:hAnsi="Times New Roman" w:cs="Times New Roman"/>
          <w:color w:val="000000" w:themeColor="text1"/>
          <w:sz w:val="24"/>
          <w:szCs w:val="24"/>
        </w:rPr>
        <w:footnoteReference w:id="29"/>
      </w:r>
      <w:r w:rsidRPr="1726E037">
        <w:rPr>
          <w:rFonts w:ascii="Times New Roman" w:eastAsia="Times New Roman" w:hAnsi="Times New Roman" w:cs="Times New Roman"/>
          <w:color w:val="000000" w:themeColor="text1"/>
          <w:sz w:val="24"/>
          <w:szCs w:val="24"/>
        </w:rPr>
        <w:t xml:space="preserve"> However, perhaps what is most significant is the change in content over these periods. </w:t>
      </w:r>
    </w:p>
    <w:p w14:paraId="64E37670" w14:textId="62F57A18"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The prevailing shift of content not only gave rise to more articles propagating a negative portrayal of Muslims, particularly by </w:t>
      </w:r>
      <w:r w:rsidRPr="1726E037">
        <w:rPr>
          <w:rFonts w:ascii="Times New Roman" w:eastAsia="Times New Roman" w:hAnsi="Times New Roman" w:cs="Times New Roman"/>
          <w:i/>
          <w:iCs/>
          <w:color w:val="000000" w:themeColor="text1"/>
          <w:sz w:val="24"/>
          <w:szCs w:val="24"/>
        </w:rPr>
        <w:t xml:space="preserve">The Times, </w:t>
      </w:r>
      <w:r w:rsidRPr="1726E037">
        <w:rPr>
          <w:rFonts w:ascii="Times New Roman" w:eastAsia="Times New Roman" w:hAnsi="Times New Roman" w:cs="Times New Roman"/>
          <w:color w:val="000000" w:themeColor="text1"/>
          <w:sz w:val="24"/>
          <w:szCs w:val="24"/>
        </w:rPr>
        <w:t>who focus “...more on extremism, the cleric Abu Hamza and terrorism in general....”</w:t>
      </w:r>
      <w:r w:rsidRPr="1726E037">
        <w:rPr>
          <w:rStyle w:val="FootnoteReference"/>
          <w:rFonts w:ascii="Times New Roman" w:eastAsia="Times New Roman" w:hAnsi="Times New Roman" w:cs="Times New Roman"/>
          <w:color w:val="000000" w:themeColor="text1"/>
          <w:sz w:val="24"/>
          <w:szCs w:val="24"/>
        </w:rPr>
        <w:footnoteReference w:id="30"/>
      </w:r>
      <w:r w:rsidRPr="1726E037">
        <w:rPr>
          <w:rFonts w:ascii="Times New Roman" w:eastAsia="Times New Roman" w:hAnsi="Times New Roman" w:cs="Times New Roman"/>
          <w:color w:val="000000" w:themeColor="text1"/>
          <w:sz w:val="24"/>
          <w:szCs w:val="24"/>
        </w:rPr>
        <w:t xml:space="preserve">, but also, the term </w:t>
      </w:r>
      <w:r w:rsidRPr="1726E037">
        <w:rPr>
          <w:rFonts w:ascii="Times New Roman" w:eastAsia="Times New Roman" w:hAnsi="Times New Roman" w:cs="Times New Roman"/>
          <w:i/>
          <w:iCs/>
          <w:color w:val="000000" w:themeColor="text1"/>
          <w:sz w:val="24"/>
          <w:szCs w:val="24"/>
        </w:rPr>
        <w:t>terrorism</w:t>
      </w:r>
      <w:r w:rsidRPr="1726E037">
        <w:rPr>
          <w:rFonts w:ascii="Times New Roman" w:eastAsia="Times New Roman" w:hAnsi="Times New Roman" w:cs="Times New Roman"/>
          <w:color w:val="000000" w:themeColor="text1"/>
          <w:sz w:val="24"/>
          <w:szCs w:val="24"/>
        </w:rPr>
        <w:t xml:space="preserve"> as a category relating to Muslims, globally and locally, gained prominence after 9/11, whereas before fundamentalism was the terminology utilised in the categorisation to denote extremism.</w:t>
      </w:r>
      <w:r w:rsidRPr="1726E037">
        <w:rPr>
          <w:rStyle w:val="FootnoteReference"/>
          <w:rFonts w:ascii="Times New Roman" w:eastAsia="Times New Roman" w:hAnsi="Times New Roman" w:cs="Times New Roman"/>
          <w:color w:val="000000" w:themeColor="text1"/>
          <w:sz w:val="24"/>
          <w:szCs w:val="24"/>
        </w:rPr>
        <w:footnoteReference w:id="31"/>
      </w:r>
      <w:r w:rsidRPr="1726E037">
        <w:rPr>
          <w:rFonts w:ascii="Times New Roman" w:eastAsia="Times New Roman" w:hAnsi="Times New Roman" w:cs="Times New Roman"/>
          <w:color w:val="000000" w:themeColor="text1"/>
          <w:sz w:val="24"/>
          <w:szCs w:val="24"/>
        </w:rPr>
        <w:t xml:space="preserve"> </w:t>
      </w:r>
    </w:p>
    <w:p w14:paraId="5F20505A" w14:textId="761ABA74"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The use of such a term may seem insignificant, however, as Poole </w:t>
      </w:r>
      <w:proofErr w:type="gramStart"/>
      <w:r w:rsidRPr="1726E037">
        <w:rPr>
          <w:rFonts w:ascii="Times New Roman" w:eastAsia="Times New Roman" w:hAnsi="Times New Roman" w:cs="Times New Roman"/>
          <w:color w:val="000000" w:themeColor="text1"/>
          <w:sz w:val="24"/>
          <w:szCs w:val="24"/>
        </w:rPr>
        <w:t>explains ”</w:t>
      </w:r>
      <w:proofErr w:type="gramEnd"/>
      <w:r w:rsidRPr="1726E037">
        <w:rPr>
          <w:rFonts w:ascii="Times New Roman" w:eastAsia="Times New Roman" w:hAnsi="Times New Roman" w:cs="Times New Roman"/>
          <w:color w:val="000000" w:themeColor="text1"/>
          <w:sz w:val="24"/>
          <w:szCs w:val="24"/>
        </w:rPr>
        <w:t>... defining activities as ‘terrorist’ promotes a different kind of solution to responses to other crimes. It allows for the detention of people without trial”.</w:t>
      </w:r>
      <w:r w:rsidRPr="1726E037">
        <w:rPr>
          <w:rStyle w:val="FootnoteReference"/>
          <w:rFonts w:ascii="Times New Roman" w:eastAsia="Times New Roman" w:hAnsi="Times New Roman" w:cs="Times New Roman"/>
          <w:color w:val="000000" w:themeColor="text1"/>
          <w:sz w:val="24"/>
          <w:szCs w:val="24"/>
        </w:rPr>
        <w:footnoteReference w:id="32"/>
      </w:r>
      <w:r w:rsidRPr="1726E037">
        <w:rPr>
          <w:rFonts w:ascii="Times New Roman" w:eastAsia="Times New Roman" w:hAnsi="Times New Roman" w:cs="Times New Roman"/>
          <w:color w:val="000000" w:themeColor="text1"/>
          <w:sz w:val="24"/>
          <w:szCs w:val="24"/>
        </w:rPr>
        <w:t xml:space="preserve"> This is something the Guardian has spoken out against, where its main coverage “...focused on the plight of British Muslims held in Guantanamo Bay, Cuba.”</w:t>
      </w:r>
      <w:r w:rsidRPr="1726E037">
        <w:rPr>
          <w:rStyle w:val="FootnoteReference"/>
          <w:rFonts w:ascii="Times New Roman" w:eastAsia="Times New Roman" w:hAnsi="Times New Roman" w:cs="Times New Roman"/>
          <w:color w:val="000000" w:themeColor="text1"/>
          <w:sz w:val="24"/>
          <w:szCs w:val="24"/>
        </w:rPr>
        <w:footnoteReference w:id="33"/>
      </w:r>
      <w:r w:rsidRPr="1726E037">
        <w:rPr>
          <w:rFonts w:ascii="Times New Roman" w:eastAsia="Times New Roman" w:hAnsi="Times New Roman" w:cs="Times New Roman"/>
          <w:color w:val="000000" w:themeColor="text1"/>
          <w:sz w:val="24"/>
          <w:szCs w:val="24"/>
        </w:rPr>
        <w:t xml:space="preserve"> Moreover, when combined with almost 15% of coverage of terrorism in 2003 being aimed at Abu Hamza al-</w:t>
      </w:r>
      <w:proofErr w:type="spellStart"/>
      <w:r w:rsidRPr="1726E037">
        <w:rPr>
          <w:rFonts w:ascii="Times New Roman" w:eastAsia="Times New Roman" w:hAnsi="Times New Roman" w:cs="Times New Roman"/>
          <w:color w:val="000000" w:themeColor="text1"/>
          <w:sz w:val="24"/>
          <w:szCs w:val="24"/>
        </w:rPr>
        <w:t>Masri</w:t>
      </w:r>
      <w:proofErr w:type="spellEnd"/>
      <w:r w:rsidRPr="1726E037">
        <w:rPr>
          <w:rFonts w:ascii="Times New Roman" w:eastAsia="Times New Roman" w:hAnsi="Times New Roman" w:cs="Times New Roman"/>
          <w:color w:val="000000" w:themeColor="text1"/>
          <w:sz w:val="24"/>
          <w:szCs w:val="24"/>
        </w:rPr>
        <w:t xml:space="preserve"> “...and his demonisation [which] parallel[ed] that of the [then] media’s global Islamic monster, Osama Bin Laden [...] [which] centred around his appearance (freak), expression of hatred and violence [...] this has significant implications for the way British Muslims are perceived.”</w:t>
      </w:r>
      <w:r w:rsidRPr="1726E037">
        <w:rPr>
          <w:rStyle w:val="FootnoteReference"/>
          <w:rFonts w:ascii="Times New Roman" w:eastAsia="Times New Roman" w:hAnsi="Times New Roman" w:cs="Times New Roman"/>
          <w:color w:val="000000" w:themeColor="text1"/>
          <w:sz w:val="24"/>
          <w:szCs w:val="24"/>
        </w:rPr>
        <w:footnoteReference w:id="34"/>
      </w:r>
      <w:r w:rsidRPr="1726E037">
        <w:rPr>
          <w:rFonts w:ascii="Times New Roman" w:eastAsia="Times New Roman" w:hAnsi="Times New Roman" w:cs="Times New Roman"/>
          <w:color w:val="000000" w:themeColor="text1"/>
          <w:sz w:val="24"/>
          <w:szCs w:val="24"/>
        </w:rPr>
        <w:t xml:space="preserve"> This has also resulted in an increase in spot and searches by police aimed at Asians in Britain which saw 744 in 2001-2 and 2,989 in 2003-4.</w:t>
      </w:r>
      <w:r w:rsidRPr="1726E037">
        <w:rPr>
          <w:rStyle w:val="FootnoteReference"/>
          <w:rFonts w:ascii="Times New Roman" w:eastAsia="Times New Roman" w:hAnsi="Times New Roman" w:cs="Times New Roman"/>
          <w:color w:val="000000" w:themeColor="text1"/>
          <w:sz w:val="24"/>
          <w:szCs w:val="24"/>
        </w:rPr>
        <w:footnoteReference w:id="35"/>
      </w:r>
      <w:r w:rsidRPr="1726E037">
        <w:rPr>
          <w:rFonts w:ascii="Times New Roman" w:eastAsia="Times New Roman" w:hAnsi="Times New Roman" w:cs="Times New Roman"/>
          <w:color w:val="000000" w:themeColor="text1"/>
          <w:sz w:val="24"/>
          <w:szCs w:val="24"/>
        </w:rPr>
        <w:t xml:space="preserve"> The assumption being that Muslims are Asian and vis-a-versa.</w:t>
      </w:r>
    </w:p>
    <w:p w14:paraId="16B9942E" w14:textId="4C59075F"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However, this characterisation is not simply a British phenomenon, nor is it limited to targeting Muslims or non-Muslims as individuals, but also infringes on the Islamic religion itself. Jane smith comments that “since 9/11 public commentary has portrayed Muhammad as a fanatic and a killer, a terrorist and a demon possessed paedophile.”</w:t>
      </w:r>
      <w:r w:rsidRPr="1726E037">
        <w:rPr>
          <w:rStyle w:val="FootnoteReference"/>
          <w:rFonts w:ascii="Times New Roman" w:eastAsia="Times New Roman" w:hAnsi="Times New Roman" w:cs="Times New Roman"/>
          <w:color w:val="000000" w:themeColor="text1"/>
          <w:sz w:val="24"/>
          <w:szCs w:val="24"/>
        </w:rPr>
        <w:footnoteReference w:id="36"/>
      </w:r>
      <w:r w:rsidRPr="1726E037">
        <w:rPr>
          <w:rFonts w:ascii="Times New Roman" w:eastAsia="Times New Roman" w:hAnsi="Times New Roman" w:cs="Times New Roman"/>
          <w:color w:val="000000" w:themeColor="text1"/>
          <w:sz w:val="24"/>
          <w:szCs w:val="24"/>
        </w:rPr>
        <w:t xml:space="preserve">  These polemics have not only left many Muslims feeling upset and angered but has arguably, in some cases, fostered more extreme behaviour: as Mahmood </w:t>
      </w:r>
      <w:proofErr w:type="spellStart"/>
      <w:r w:rsidRPr="1726E037">
        <w:rPr>
          <w:rFonts w:ascii="Times New Roman" w:eastAsia="Times New Roman" w:hAnsi="Times New Roman" w:cs="Times New Roman"/>
          <w:color w:val="000000" w:themeColor="text1"/>
          <w:sz w:val="24"/>
          <w:szCs w:val="24"/>
        </w:rPr>
        <w:t>Monshipouri</w:t>
      </w:r>
      <w:proofErr w:type="spellEnd"/>
      <w:r w:rsidRPr="1726E037">
        <w:rPr>
          <w:rFonts w:ascii="Times New Roman" w:eastAsia="Times New Roman" w:hAnsi="Times New Roman" w:cs="Times New Roman"/>
          <w:color w:val="000000" w:themeColor="text1"/>
          <w:sz w:val="24"/>
          <w:szCs w:val="24"/>
        </w:rPr>
        <w:t xml:space="preserve"> suggest “when the Danish newspaper </w:t>
      </w:r>
      <w:proofErr w:type="spellStart"/>
      <w:r w:rsidRPr="1726E037">
        <w:rPr>
          <w:rFonts w:ascii="Times New Roman" w:eastAsia="Times New Roman" w:hAnsi="Times New Roman" w:cs="Times New Roman"/>
          <w:i/>
          <w:iCs/>
          <w:color w:val="000000" w:themeColor="text1"/>
          <w:sz w:val="24"/>
          <w:szCs w:val="24"/>
        </w:rPr>
        <w:t>Jylland-posten</w:t>
      </w:r>
      <w:proofErr w:type="spellEnd"/>
      <w:r w:rsidRPr="1726E037">
        <w:rPr>
          <w:rFonts w:ascii="Times New Roman" w:eastAsia="Times New Roman" w:hAnsi="Times New Roman" w:cs="Times New Roman"/>
          <w:i/>
          <w:iCs/>
          <w:color w:val="000000" w:themeColor="text1"/>
          <w:sz w:val="24"/>
          <w:szCs w:val="24"/>
        </w:rPr>
        <w:t xml:space="preserve"> </w:t>
      </w:r>
      <w:r w:rsidRPr="1726E037">
        <w:rPr>
          <w:rFonts w:ascii="Times New Roman" w:eastAsia="Times New Roman" w:hAnsi="Times New Roman" w:cs="Times New Roman"/>
          <w:color w:val="000000" w:themeColor="text1"/>
          <w:sz w:val="24"/>
          <w:szCs w:val="24"/>
        </w:rPr>
        <w:t>published 12 cartoons of the Prophet Muhammed in late September 2005, including one in which he was shown wearing a turban shaped as bomb with a burning fuse...” which resulted in “...death threats against the artists...”</w:t>
      </w:r>
      <w:r w:rsidRPr="1726E037">
        <w:rPr>
          <w:rStyle w:val="FootnoteReference"/>
          <w:rFonts w:ascii="Times New Roman" w:eastAsia="Times New Roman" w:hAnsi="Times New Roman" w:cs="Times New Roman"/>
          <w:color w:val="000000" w:themeColor="text1"/>
          <w:sz w:val="24"/>
          <w:szCs w:val="24"/>
        </w:rPr>
        <w:footnoteReference w:id="37"/>
      </w:r>
      <w:r w:rsidRPr="1726E037">
        <w:rPr>
          <w:rFonts w:ascii="Times New Roman" w:eastAsia="Times New Roman" w:hAnsi="Times New Roman" w:cs="Times New Roman"/>
          <w:color w:val="000000" w:themeColor="text1"/>
          <w:sz w:val="24"/>
          <w:szCs w:val="24"/>
        </w:rPr>
        <w:t xml:space="preserve">.  </w:t>
      </w:r>
      <w:proofErr w:type="spellStart"/>
      <w:r w:rsidRPr="1726E037">
        <w:rPr>
          <w:rFonts w:ascii="Times New Roman" w:eastAsia="Times New Roman" w:hAnsi="Times New Roman" w:cs="Times New Roman"/>
          <w:color w:val="000000" w:themeColor="text1"/>
          <w:sz w:val="24"/>
          <w:szCs w:val="24"/>
        </w:rPr>
        <w:t>Monshipouri</w:t>
      </w:r>
      <w:proofErr w:type="spellEnd"/>
      <w:r w:rsidRPr="1726E037">
        <w:rPr>
          <w:rFonts w:ascii="Times New Roman" w:eastAsia="Times New Roman" w:hAnsi="Times New Roman" w:cs="Times New Roman"/>
          <w:color w:val="000000" w:themeColor="text1"/>
          <w:sz w:val="24"/>
          <w:szCs w:val="24"/>
        </w:rPr>
        <w:t xml:space="preserve"> goes on to inform that to understand the attitudes of Muslims to these representations of their prophet, it is important to “...note that Islamic law explicitly prohibits the depiction of the Prophet Muhammad's image in any shape or form, let alone in an offensive manner.”</w:t>
      </w:r>
      <w:r w:rsidRPr="1726E037">
        <w:rPr>
          <w:rStyle w:val="FootnoteReference"/>
          <w:rFonts w:ascii="Times New Roman" w:eastAsia="Times New Roman" w:hAnsi="Times New Roman" w:cs="Times New Roman"/>
          <w:color w:val="000000" w:themeColor="text1"/>
          <w:sz w:val="24"/>
          <w:szCs w:val="24"/>
        </w:rPr>
        <w:footnoteReference w:id="38"/>
      </w:r>
      <w:r w:rsidRPr="1726E037">
        <w:rPr>
          <w:rFonts w:ascii="Times New Roman" w:eastAsia="Times New Roman" w:hAnsi="Times New Roman" w:cs="Times New Roman"/>
          <w:color w:val="000000" w:themeColor="text1"/>
          <w:sz w:val="24"/>
          <w:szCs w:val="24"/>
        </w:rPr>
        <w:t xml:space="preserve"> It is precisely the reprint of this media-attack that led to the Charlie Hebdo shootings in Paris.</w:t>
      </w:r>
      <w:r w:rsidRPr="1726E037">
        <w:rPr>
          <w:rStyle w:val="FootnoteReference"/>
          <w:rFonts w:ascii="Times New Roman" w:eastAsia="Times New Roman" w:hAnsi="Times New Roman" w:cs="Times New Roman"/>
          <w:color w:val="000000" w:themeColor="text1"/>
          <w:sz w:val="24"/>
          <w:szCs w:val="24"/>
        </w:rPr>
        <w:footnoteReference w:id="39"/>
      </w:r>
      <w:r w:rsidRPr="1726E037">
        <w:rPr>
          <w:rFonts w:ascii="Times New Roman" w:eastAsia="Times New Roman" w:hAnsi="Times New Roman" w:cs="Times New Roman"/>
          <w:color w:val="000000" w:themeColor="text1"/>
          <w:sz w:val="24"/>
          <w:szCs w:val="24"/>
        </w:rPr>
        <w:t xml:space="preserve"> </w:t>
      </w:r>
    </w:p>
    <w:p w14:paraId="7D4762EE" w14:textId="3577D2C1"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lastRenderedPageBreak/>
        <w:t>These characterisations of the so-called ‘Islamic-monster’ have found their way into Hollywood, particularly post-9/11, although an oriental image of Islam and the East</w:t>
      </w:r>
      <w:r w:rsidRPr="1726E037">
        <w:rPr>
          <w:rStyle w:val="FootnoteReference"/>
          <w:rFonts w:ascii="Times New Roman" w:eastAsia="Times New Roman" w:hAnsi="Times New Roman" w:cs="Times New Roman"/>
          <w:color w:val="000000" w:themeColor="text1"/>
          <w:sz w:val="24"/>
          <w:szCs w:val="24"/>
        </w:rPr>
        <w:footnoteReference w:id="40"/>
      </w:r>
      <w:r w:rsidRPr="1726E037">
        <w:rPr>
          <w:rFonts w:ascii="Times New Roman" w:eastAsia="Times New Roman" w:hAnsi="Times New Roman" w:cs="Times New Roman"/>
          <w:color w:val="000000" w:themeColor="text1"/>
          <w:sz w:val="24"/>
          <w:szCs w:val="24"/>
        </w:rPr>
        <w:t xml:space="preserve"> can be seen much earlier in animated films, such as Aladdin for example.</w:t>
      </w:r>
      <w:r w:rsidRPr="1726E037">
        <w:rPr>
          <w:rStyle w:val="FootnoteReference"/>
          <w:rFonts w:ascii="Times New Roman" w:eastAsia="Times New Roman" w:hAnsi="Times New Roman" w:cs="Times New Roman"/>
          <w:color w:val="000000" w:themeColor="text1"/>
          <w:sz w:val="24"/>
          <w:szCs w:val="24"/>
        </w:rPr>
        <w:footnoteReference w:id="41"/>
      </w:r>
      <w:r w:rsidRPr="1726E037">
        <w:rPr>
          <w:rFonts w:ascii="Times New Roman" w:eastAsia="Times New Roman" w:hAnsi="Times New Roman" w:cs="Times New Roman"/>
          <w:color w:val="000000" w:themeColor="text1"/>
          <w:sz w:val="24"/>
          <w:szCs w:val="24"/>
        </w:rPr>
        <w:t xml:space="preserve"> Sophie Rose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notes that “political discourse, film, and television feature Muslim characters generated by the fear and anxiety associated with the 9/11 attacks.”</w:t>
      </w:r>
      <w:r w:rsidRPr="1726E037">
        <w:rPr>
          <w:rStyle w:val="FootnoteReference"/>
          <w:rFonts w:ascii="Times New Roman" w:eastAsia="Times New Roman" w:hAnsi="Times New Roman" w:cs="Times New Roman"/>
          <w:color w:val="000000" w:themeColor="text1"/>
          <w:sz w:val="24"/>
          <w:szCs w:val="24"/>
        </w:rPr>
        <w:footnoteReference w:id="42"/>
      </w:r>
      <w:r w:rsidRPr="1726E037">
        <w:rPr>
          <w:rFonts w:ascii="Times New Roman" w:eastAsia="Times New Roman" w:hAnsi="Times New Roman" w:cs="Times New Roman"/>
          <w:color w:val="000000" w:themeColor="text1"/>
          <w:sz w:val="24"/>
          <w:szCs w:val="24"/>
        </w:rPr>
        <w:t xml:space="preserve"> Further, that “these monsters exhibit the Saracen doxology first established in the medieval era that is substantiated by Orientalist neo-colonial ideologies...”</w:t>
      </w:r>
      <w:r w:rsidRPr="1726E037">
        <w:rPr>
          <w:rStyle w:val="FootnoteReference"/>
          <w:rFonts w:ascii="Times New Roman" w:eastAsia="Times New Roman" w:hAnsi="Times New Roman" w:cs="Times New Roman"/>
          <w:color w:val="000000" w:themeColor="text1"/>
          <w:sz w:val="24"/>
          <w:szCs w:val="24"/>
        </w:rPr>
        <w:footnoteReference w:id="43"/>
      </w:r>
      <w:r w:rsidRPr="1726E037">
        <w:rPr>
          <w:rFonts w:ascii="Times New Roman" w:eastAsia="Times New Roman" w:hAnsi="Times New Roman" w:cs="Times New Roman"/>
          <w:color w:val="000000" w:themeColor="text1"/>
          <w:sz w:val="24"/>
          <w:szCs w:val="24"/>
        </w:rPr>
        <w:t xml:space="preserve">. </w:t>
      </w:r>
    </w:p>
    <w:p w14:paraId="02E87B97" w14:textId="04B44AE5"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A key example of the shift in box-office titles and their representations of Muslims is offered by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who identifies in the Riddick films, from the first movie, titled </w:t>
      </w:r>
      <w:r w:rsidRPr="1726E037">
        <w:rPr>
          <w:rFonts w:ascii="Times New Roman" w:eastAsia="Times New Roman" w:hAnsi="Times New Roman" w:cs="Times New Roman"/>
          <w:i/>
          <w:iCs/>
          <w:color w:val="000000" w:themeColor="text1"/>
          <w:sz w:val="24"/>
          <w:szCs w:val="24"/>
        </w:rPr>
        <w:t>Pitch Black</w:t>
      </w:r>
      <w:r w:rsidRPr="1726E037">
        <w:rPr>
          <w:rFonts w:ascii="Times New Roman" w:eastAsia="Times New Roman" w:hAnsi="Times New Roman" w:cs="Times New Roman"/>
          <w:color w:val="000000" w:themeColor="text1"/>
          <w:sz w:val="24"/>
          <w:szCs w:val="24"/>
        </w:rPr>
        <w:t xml:space="preserve"> released in 2000, where Muslims are given a relatively positive characterisation, “...including characters named Imam and </w:t>
      </w:r>
      <w:proofErr w:type="spellStart"/>
      <w:r w:rsidRPr="1726E037">
        <w:rPr>
          <w:rFonts w:ascii="Times New Roman" w:eastAsia="Times New Roman" w:hAnsi="Times New Roman" w:cs="Times New Roman"/>
          <w:color w:val="000000" w:themeColor="text1"/>
          <w:sz w:val="24"/>
          <w:szCs w:val="24"/>
        </w:rPr>
        <w:t>Zeza</w:t>
      </w:r>
      <w:proofErr w:type="spellEnd"/>
      <w:r w:rsidRPr="1726E037">
        <w:rPr>
          <w:rFonts w:ascii="Times New Roman" w:eastAsia="Times New Roman" w:hAnsi="Times New Roman" w:cs="Times New Roman"/>
          <w:color w:val="000000" w:themeColor="text1"/>
          <w:sz w:val="24"/>
          <w:szCs w:val="24"/>
        </w:rPr>
        <w:t xml:space="preserve">, who wear Muslim clothing, perform </w:t>
      </w:r>
      <w:r w:rsidRPr="1726E037">
        <w:rPr>
          <w:rFonts w:ascii="Times New Roman" w:eastAsia="Times New Roman" w:hAnsi="Times New Roman" w:cs="Times New Roman"/>
          <w:i/>
          <w:iCs/>
          <w:color w:val="000000" w:themeColor="text1"/>
          <w:sz w:val="24"/>
          <w:szCs w:val="24"/>
        </w:rPr>
        <w:t xml:space="preserve">salat, </w:t>
      </w:r>
      <w:r w:rsidRPr="1726E037">
        <w:rPr>
          <w:rFonts w:ascii="Times New Roman" w:eastAsia="Times New Roman" w:hAnsi="Times New Roman" w:cs="Times New Roman"/>
          <w:color w:val="000000" w:themeColor="text1"/>
          <w:sz w:val="24"/>
          <w:szCs w:val="24"/>
        </w:rPr>
        <w:t xml:space="preserve">and […] [use] phrases such as “Salam </w:t>
      </w:r>
      <w:proofErr w:type="spellStart"/>
      <w:r w:rsidRPr="1726E037">
        <w:rPr>
          <w:rFonts w:ascii="Times New Roman" w:eastAsia="Times New Roman" w:hAnsi="Times New Roman" w:cs="Times New Roman"/>
          <w:color w:val="000000" w:themeColor="text1"/>
          <w:sz w:val="24"/>
          <w:szCs w:val="24"/>
        </w:rPr>
        <w:t>Alaikum</w:t>
      </w:r>
      <w:proofErr w:type="spellEnd"/>
      <w:r w:rsidRPr="1726E037">
        <w:rPr>
          <w:rFonts w:ascii="Times New Roman" w:eastAsia="Times New Roman" w:hAnsi="Times New Roman" w:cs="Times New Roman"/>
          <w:color w:val="000000" w:themeColor="text1"/>
          <w:sz w:val="24"/>
          <w:szCs w:val="24"/>
        </w:rPr>
        <w:t xml:space="preserve">” and “Rahman”, to the sequel, Chronicles of Riddick released in 2004, which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proposes “...appears to have been made in response to 9/11.”</w:t>
      </w:r>
      <w:r w:rsidRPr="1726E037">
        <w:rPr>
          <w:rStyle w:val="FootnoteReference"/>
          <w:rFonts w:ascii="Times New Roman" w:eastAsia="Times New Roman" w:hAnsi="Times New Roman" w:cs="Times New Roman"/>
          <w:color w:val="000000" w:themeColor="text1"/>
          <w:sz w:val="24"/>
          <w:szCs w:val="24"/>
        </w:rPr>
        <w:footnoteReference w:id="44"/>
      </w:r>
      <w:r w:rsidRPr="1726E037">
        <w:rPr>
          <w:rFonts w:ascii="Times New Roman" w:eastAsia="Times New Roman" w:hAnsi="Times New Roman" w:cs="Times New Roman"/>
          <w:color w:val="000000" w:themeColor="text1"/>
          <w:sz w:val="24"/>
          <w:szCs w:val="24"/>
        </w:rPr>
        <w:t xml:space="preserve"> This claim is backed up with the following introductory excerpt taken from the movie:</w:t>
      </w:r>
    </w:p>
    <w:p w14:paraId="07086713" w14:textId="49CE60CD" w:rsidR="1726E037" w:rsidRDefault="1726E037" w:rsidP="1726E037">
      <w:pPr>
        <w:ind w:left="1584" w:right="1584"/>
        <w:jc w:val="both"/>
        <w:rPr>
          <w:rFonts w:ascii="Times New Roman" w:eastAsia="Times New Roman" w:hAnsi="Times New Roman" w:cs="Times New Roman"/>
          <w:color w:val="000000" w:themeColor="text1"/>
        </w:rPr>
      </w:pPr>
      <w:r w:rsidRPr="1726E037">
        <w:rPr>
          <w:rFonts w:ascii="Times New Roman" w:eastAsia="Times New Roman" w:hAnsi="Times New Roman" w:cs="Times New Roman"/>
          <w:color w:val="000000" w:themeColor="text1"/>
        </w:rPr>
        <w:t xml:space="preserve">Not since the crusades on earth has such damage been done by theological dogma. Known as lovers of death, </w:t>
      </w:r>
      <w:proofErr w:type="spellStart"/>
      <w:r w:rsidRPr="1726E037">
        <w:rPr>
          <w:rFonts w:ascii="Times New Roman" w:eastAsia="Times New Roman" w:hAnsi="Times New Roman" w:cs="Times New Roman"/>
          <w:color w:val="000000" w:themeColor="text1"/>
        </w:rPr>
        <w:t>Necromongers</w:t>
      </w:r>
      <w:proofErr w:type="spellEnd"/>
      <w:r w:rsidRPr="1726E037">
        <w:rPr>
          <w:rFonts w:ascii="Times New Roman" w:eastAsia="Times New Roman" w:hAnsi="Times New Roman" w:cs="Times New Roman"/>
          <w:color w:val="000000" w:themeColor="text1"/>
        </w:rPr>
        <w:t xml:space="preserve"> perpetrate their own unholy war with a viciousness and finality never seen before on any world or any time. To each civilisation brought to its knees, they offer a simple choice – convert or die. Unfortunately for the converts, those who meet death may meet the gentler fate.</w:t>
      </w:r>
      <w:r w:rsidRPr="1726E037">
        <w:rPr>
          <w:rStyle w:val="FootnoteReference"/>
          <w:rFonts w:ascii="Times New Roman" w:eastAsia="Times New Roman" w:hAnsi="Times New Roman" w:cs="Times New Roman"/>
          <w:color w:val="000000" w:themeColor="text1"/>
        </w:rPr>
        <w:footnoteReference w:id="45"/>
      </w:r>
    </w:p>
    <w:p w14:paraId="3313BC7F" w14:textId="6E382105"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The reference to the crusade coupled with the choice to “convert or die” is clearly seen, for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as a reference to the Islamic religion and its relation to the Christian West , she goes on to state, that in the film “...when they do convert, the humans kneel down in the Muslim stage of prayer known as </w:t>
      </w:r>
      <w:r w:rsidRPr="1726E037">
        <w:rPr>
          <w:rFonts w:ascii="Times New Roman" w:eastAsia="Times New Roman" w:hAnsi="Times New Roman" w:cs="Times New Roman"/>
          <w:i/>
          <w:iCs/>
          <w:color w:val="000000" w:themeColor="text1"/>
          <w:sz w:val="24"/>
          <w:szCs w:val="24"/>
        </w:rPr>
        <w:t>Sujud.</w:t>
      </w:r>
      <w:r w:rsidRPr="1726E037">
        <w:rPr>
          <w:rFonts w:ascii="Times New Roman" w:eastAsia="Times New Roman" w:hAnsi="Times New Roman" w:cs="Times New Roman"/>
          <w:color w:val="000000" w:themeColor="text1"/>
          <w:sz w:val="24"/>
          <w:szCs w:val="24"/>
        </w:rPr>
        <w:t>”</w:t>
      </w:r>
      <w:r w:rsidRPr="1726E037">
        <w:rPr>
          <w:rStyle w:val="FootnoteReference"/>
          <w:rFonts w:ascii="Times New Roman" w:eastAsia="Times New Roman" w:hAnsi="Times New Roman" w:cs="Times New Roman"/>
          <w:color w:val="000000" w:themeColor="text1"/>
          <w:sz w:val="24"/>
          <w:szCs w:val="24"/>
        </w:rPr>
        <w:footnoteReference w:id="46"/>
      </w:r>
      <w:r w:rsidRPr="1726E037">
        <w:rPr>
          <w:rFonts w:ascii="Times New Roman" w:eastAsia="Times New Roman" w:hAnsi="Times New Roman" w:cs="Times New Roman"/>
          <w:color w:val="000000" w:themeColor="text1"/>
          <w:sz w:val="24"/>
          <w:szCs w:val="24"/>
        </w:rPr>
        <w:t xml:space="preserve"> It is in this sub-human representation of Muslims that, for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“...has led to the torture and murder of Muslim subjects.”</w:t>
      </w:r>
      <w:r w:rsidRPr="1726E037">
        <w:rPr>
          <w:rStyle w:val="FootnoteReference"/>
          <w:rFonts w:ascii="Times New Roman" w:eastAsia="Times New Roman" w:hAnsi="Times New Roman" w:cs="Times New Roman"/>
          <w:color w:val="000000" w:themeColor="text1"/>
          <w:sz w:val="24"/>
          <w:szCs w:val="24"/>
        </w:rPr>
        <w:footnoteReference w:id="47"/>
      </w:r>
      <w:r w:rsidRPr="1726E037">
        <w:rPr>
          <w:rFonts w:ascii="Times New Roman" w:eastAsia="Times New Roman" w:hAnsi="Times New Roman" w:cs="Times New Roman"/>
          <w:color w:val="000000" w:themeColor="text1"/>
          <w:sz w:val="24"/>
          <w:szCs w:val="24"/>
        </w:rPr>
        <w:t xml:space="preserve"> </w:t>
      </w:r>
    </w:p>
    <w:p w14:paraId="79215CB1" w14:textId="7006DC6D"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Moreover, this dehumanisation of the Muslim individual, for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and others, such as Peter </w:t>
      </w:r>
      <w:proofErr w:type="spellStart"/>
      <w:r w:rsidRPr="1726E037">
        <w:rPr>
          <w:rFonts w:ascii="Times New Roman" w:eastAsia="Times New Roman" w:hAnsi="Times New Roman" w:cs="Times New Roman"/>
          <w:color w:val="000000" w:themeColor="text1"/>
          <w:sz w:val="24"/>
          <w:szCs w:val="24"/>
        </w:rPr>
        <w:t>Dendle</w:t>
      </w:r>
      <w:proofErr w:type="spellEnd"/>
      <w:r w:rsidRPr="1726E037">
        <w:rPr>
          <w:rFonts w:ascii="Times New Roman" w:eastAsia="Times New Roman" w:hAnsi="Times New Roman" w:cs="Times New Roman"/>
          <w:color w:val="000000" w:themeColor="text1"/>
          <w:sz w:val="24"/>
          <w:szCs w:val="24"/>
        </w:rPr>
        <w:t>, can be seen most prominently in Zombie films in the wake of 9/11.</w:t>
      </w:r>
      <w:r w:rsidRPr="1726E037">
        <w:rPr>
          <w:rStyle w:val="FootnoteReference"/>
          <w:rFonts w:ascii="Times New Roman" w:eastAsia="Times New Roman" w:hAnsi="Times New Roman" w:cs="Times New Roman"/>
          <w:color w:val="000000" w:themeColor="text1"/>
          <w:sz w:val="24"/>
          <w:szCs w:val="24"/>
        </w:rPr>
        <w:footnoteReference w:id="48"/>
      </w:r>
      <w:r w:rsidRPr="1726E037">
        <w:rPr>
          <w:rFonts w:ascii="Times New Roman" w:eastAsia="Times New Roman" w:hAnsi="Times New Roman" w:cs="Times New Roman"/>
          <w:color w:val="000000" w:themeColor="text1"/>
          <w:sz w:val="24"/>
          <w:szCs w:val="24"/>
        </w:rPr>
        <w:t xml:space="preserve">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notes that “descriptions of Zombies mimic those of Muslim terrorists” and quotes </w:t>
      </w:r>
      <w:proofErr w:type="spellStart"/>
      <w:r w:rsidRPr="1726E037">
        <w:rPr>
          <w:rFonts w:ascii="Times New Roman" w:eastAsia="Times New Roman" w:hAnsi="Times New Roman" w:cs="Times New Roman"/>
          <w:color w:val="000000" w:themeColor="text1"/>
          <w:sz w:val="24"/>
          <w:szCs w:val="24"/>
        </w:rPr>
        <w:t>Dendle</w:t>
      </w:r>
      <w:proofErr w:type="spellEnd"/>
      <w:r w:rsidRPr="1726E037">
        <w:rPr>
          <w:rFonts w:ascii="Times New Roman" w:eastAsia="Times New Roman" w:hAnsi="Times New Roman" w:cs="Times New Roman"/>
          <w:color w:val="000000" w:themeColor="text1"/>
          <w:sz w:val="24"/>
          <w:szCs w:val="24"/>
        </w:rPr>
        <w:t xml:space="preserve"> who sees Zombification as “the logical conclusion of human reductionism: it is to reduce a person to a body, to reduce behaviour to basic motor functions, and to reduce utility to raw labour.”</w:t>
      </w:r>
      <w:r w:rsidRPr="1726E037">
        <w:rPr>
          <w:rStyle w:val="FootnoteReference"/>
          <w:rFonts w:ascii="Times New Roman" w:eastAsia="Times New Roman" w:hAnsi="Times New Roman" w:cs="Times New Roman"/>
          <w:color w:val="000000" w:themeColor="text1"/>
          <w:sz w:val="24"/>
          <w:szCs w:val="24"/>
        </w:rPr>
        <w:footnoteReference w:id="49"/>
      </w:r>
      <w:r w:rsidRPr="1726E037">
        <w:rPr>
          <w:rFonts w:ascii="Times New Roman" w:eastAsia="Times New Roman" w:hAnsi="Times New Roman" w:cs="Times New Roman"/>
          <w:color w:val="000000" w:themeColor="text1"/>
          <w:sz w:val="24"/>
          <w:szCs w:val="24"/>
        </w:rPr>
        <w:t xml:space="preserve"> These </w:t>
      </w:r>
      <w:r w:rsidRPr="1726E037">
        <w:rPr>
          <w:rFonts w:ascii="Times New Roman" w:eastAsia="Times New Roman" w:hAnsi="Times New Roman" w:cs="Times New Roman"/>
          <w:color w:val="000000" w:themeColor="text1"/>
          <w:sz w:val="24"/>
          <w:szCs w:val="24"/>
        </w:rPr>
        <w:lastRenderedPageBreak/>
        <w:t xml:space="preserve">Oriental-monsters, who like the terrorist, for </w:t>
      </w:r>
      <w:proofErr w:type="spellStart"/>
      <w:r w:rsidRPr="1726E037">
        <w:rPr>
          <w:rFonts w:ascii="Times New Roman" w:eastAsia="Times New Roman" w:hAnsi="Times New Roman" w:cs="Times New Roman"/>
          <w:color w:val="000000" w:themeColor="text1"/>
          <w:sz w:val="24"/>
          <w:szCs w:val="24"/>
        </w:rPr>
        <w:t>Arjana</w:t>
      </w:r>
      <w:proofErr w:type="spellEnd"/>
      <w:r w:rsidRPr="1726E037">
        <w:rPr>
          <w:rFonts w:ascii="Times New Roman" w:eastAsia="Times New Roman" w:hAnsi="Times New Roman" w:cs="Times New Roman"/>
          <w:color w:val="000000" w:themeColor="text1"/>
          <w:sz w:val="24"/>
          <w:szCs w:val="24"/>
        </w:rPr>
        <w:t xml:space="preserve">, </w:t>
      </w:r>
      <w:r w:rsidRPr="1726E037">
        <w:rPr>
          <w:rFonts w:ascii="Times New Roman" w:eastAsia="Times New Roman" w:hAnsi="Times New Roman" w:cs="Times New Roman"/>
          <w:sz w:val="24"/>
          <w:szCs w:val="24"/>
        </w:rPr>
        <w:t>“</w:t>
      </w:r>
      <w:r w:rsidRPr="1726E037">
        <w:rPr>
          <w:rFonts w:ascii="Times New Roman" w:eastAsia="Times New Roman" w:hAnsi="Times New Roman" w:cs="Times New Roman"/>
          <w:color w:val="000000" w:themeColor="text1"/>
          <w:sz w:val="24"/>
          <w:szCs w:val="24"/>
        </w:rPr>
        <w:t>...follows orders from his superior, the zombie has no individual identity...”</w:t>
      </w:r>
      <w:r w:rsidRPr="1726E037">
        <w:rPr>
          <w:rStyle w:val="FootnoteReference"/>
          <w:rFonts w:ascii="Times New Roman" w:eastAsia="Times New Roman" w:hAnsi="Times New Roman" w:cs="Times New Roman"/>
          <w:color w:val="000000" w:themeColor="text1"/>
          <w:sz w:val="24"/>
          <w:szCs w:val="24"/>
        </w:rPr>
        <w:footnoteReference w:id="50"/>
      </w:r>
      <w:r w:rsidRPr="1726E037">
        <w:rPr>
          <w:rFonts w:ascii="Times New Roman" w:eastAsia="Times New Roman" w:hAnsi="Times New Roman" w:cs="Times New Roman"/>
          <w:color w:val="000000" w:themeColor="text1"/>
          <w:sz w:val="24"/>
          <w:szCs w:val="24"/>
        </w:rPr>
        <w:t>.</w:t>
      </w:r>
    </w:p>
    <w:p w14:paraId="368CF312" w14:textId="25A70D37" w:rsidR="1726E037" w:rsidRDefault="1726E037" w:rsidP="1726E037">
      <w:pPr>
        <w:jc w:val="both"/>
        <w:rPr>
          <w:rFonts w:ascii="Times New Roman" w:eastAsia="Times New Roman" w:hAnsi="Times New Roman" w:cs="Times New Roman"/>
          <w:i/>
          <w:iCs/>
          <w:color w:val="000000" w:themeColor="text1"/>
          <w:sz w:val="24"/>
          <w:szCs w:val="24"/>
        </w:rPr>
      </w:pPr>
      <w:r w:rsidRPr="1726E037">
        <w:rPr>
          <w:rFonts w:ascii="Times New Roman" w:eastAsia="Times New Roman" w:hAnsi="Times New Roman" w:cs="Times New Roman"/>
          <w:color w:val="000000" w:themeColor="text1"/>
          <w:sz w:val="24"/>
          <w:szCs w:val="24"/>
        </w:rPr>
        <w:t xml:space="preserve">Another example, not unlike the zombie films is that of </w:t>
      </w:r>
      <w:r w:rsidRPr="1726E037">
        <w:rPr>
          <w:rFonts w:ascii="Times New Roman" w:eastAsia="Times New Roman" w:hAnsi="Times New Roman" w:cs="Times New Roman"/>
          <w:i/>
          <w:iCs/>
          <w:color w:val="000000" w:themeColor="text1"/>
          <w:sz w:val="24"/>
          <w:szCs w:val="24"/>
        </w:rPr>
        <w:t xml:space="preserve">The Mummy, </w:t>
      </w:r>
      <w:r w:rsidRPr="1726E037">
        <w:rPr>
          <w:rFonts w:ascii="Times New Roman" w:eastAsia="Times New Roman" w:hAnsi="Times New Roman" w:cs="Times New Roman"/>
          <w:color w:val="000000" w:themeColor="text1"/>
          <w:sz w:val="24"/>
          <w:szCs w:val="24"/>
        </w:rPr>
        <w:t>where a resurrected Egyptian prince (the mummy) is a “terrifying monster” with “...Arab masses that follow the monster’s every order, portrayed as ‘mindless, murderous zombies who chant the name Imhotep...”</w:t>
      </w:r>
      <w:r w:rsidRPr="1726E037">
        <w:rPr>
          <w:rStyle w:val="FootnoteReference"/>
          <w:rFonts w:ascii="Times New Roman" w:eastAsia="Times New Roman" w:hAnsi="Times New Roman" w:cs="Times New Roman"/>
          <w:i/>
          <w:iCs/>
          <w:color w:val="000000" w:themeColor="text1"/>
          <w:sz w:val="24"/>
          <w:szCs w:val="24"/>
        </w:rPr>
        <w:footnoteReference w:id="51"/>
      </w:r>
      <w:r w:rsidRPr="1726E037">
        <w:rPr>
          <w:rFonts w:ascii="Times New Roman" w:eastAsia="Times New Roman" w:hAnsi="Times New Roman" w:cs="Times New Roman"/>
          <w:color w:val="000000" w:themeColor="text1"/>
          <w:sz w:val="24"/>
          <w:szCs w:val="24"/>
        </w:rPr>
        <w:t xml:space="preserve"> This again demonstrates the oriental imagination of the post 9/11 western mind, no doubt imprinting itself firmly in the minds of unassuming viewers. </w:t>
      </w:r>
    </w:p>
    <w:p w14:paraId="5806EE61" w14:textId="0A44E4B9" w:rsidR="1726E037" w:rsidRDefault="1726E037" w:rsidP="1726E037">
      <w:pPr>
        <w:jc w:val="both"/>
        <w:rPr>
          <w:rFonts w:ascii="Times New Roman" w:eastAsia="Times New Roman" w:hAnsi="Times New Roman" w:cs="Times New Roman"/>
          <w:color w:val="000000" w:themeColor="text1"/>
          <w:sz w:val="24"/>
          <w:szCs w:val="24"/>
        </w:rPr>
      </w:pPr>
      <w:r w:rsidRPr="1726E037">
        <w:rPr>
          <w:rFonts w:ascii="Times New Roman" w:eastAsia="Times New Roman" w:hAnsi="Times New Roman" w:cs="Times New Roman"/>
          <w:color w:val="000000" w:themeColor="text1"/>
          <w:sz w:val="24"/>
          <w:szCs w:val="24"/>
        </w:rPr>
        <w:t xml:space="preserve">Islamophobia, then, is clearly rife within our culture, so much so that it has discretely, although rather more blatantly in some of the examples given, entered the western psyche, through newspaper coverage to family films. The rhetoric associated with Islamophobia has left many, particularly diasporic, Muslims with a questionable identity by many within their host countries (in the immigrant's case), but also with those who have grown up in western society. It has led in some cases for further instance of radicalisation as a response to the more aggressive media polemics, such as those in Paris aforementioned. To resolve these issues is no doubt going to be an arduous task, however, having a defined definition of Islamophobia that can be used to restrict the action of people and the media, without effecting public safety or the fair criticism of ideas, may go some way in resolving this ongoing misrepresentation, affecting millions of individuals across the globe. </w:t>
      </w:r>
    </w:p>
    <w:p w14:paraId="0D3EA99B" w14:textId="5C586FE4" w:rsidR="1726E037" w:rsidRDefault="1726E037" w:rsidP="1726E037">
      <w:pPr>
        <w:jc w:val="both"/>
        <w:rPr>
          <w:rFonts w:ascii="Times New Roman" w:eastAsia="Times New Roman" w:hAnsi="Times New Roman" w:cs="Times New Roman"/>
          <w:color w:val="000000" w:themeColor="text1"/>
          <w:sz w:val="24"/>
          <w:szCs w:val="24"/>
        </w:rPr>
      </w:pPr>
    </w:p>
    <w:p w14:paraId="02D1D258" w14:textId="23A39D69" w:rsidR="1726E037" w:rsidRDefault="1726E037" w:rsidP="1726E037">
      <w:pPr>
        <w:jc w:val="both"/>
        <w:rPr>
          <w:rFonts w:ascii="Times New Roman" w:eastAsia="Times New Roman" w:hAnsi="Times New Roman" w:cs="Times New Roman"/>
          <w:color w:val="000000" w:themeColor="text1"/>
          <w:sz w:val="24"/>
          <w:szCs w:val="24"/>
        </w:rPr>
      </w:pPr>
    </w:p>
    <w:p w14:paraId="49FBDD48" w14:textId="17E0338D" w:rsidR="1726E037" w:rsidRDefault="1726E037" w:rsidP="1726E037">
      <w:pPr>
        <w:jc w:val="both"/>
        <w:rPr>
          <w:rFonts w:ascii="Times New Roman" w:eastAsia="Times New Roman" w:hAnsi="Times New Roman" w:cs="Times New Roman"/>
          <w:color w:val="000000" w:themeColor="text1"/>
          <w:sz w:val="24"/>
          <w:szCs w:val="24"/>
        </w:rPr>
      </w:pPr>
    </w:p>
    <w:p w14:paraId="18BE3AB1" w14:textId="3315E73E" w:rsidR="1726E037" w:rsidRDefault="1726E037" w:rsidP="1726E037">
      <w:pPr>
        <w:jc w:val="both"/>
        <w:rPr>
          <w:rFonts w:ascii="Times New Roman" w:eastAsia="Times New Roman" w:hAnsi="Times New Roman" w:cs="Times New Roman"/>
          <w:color w:val="000000" w:themeColor="text1"/>
          <w:sz w:val="24"/>
          <w:szCs w:val="24"/>
        </w:rPr>
      </w:pPr>
    </w:p>
    <w:p w14:paraId="234257B6" w14:textId="34BD423B" w:rsidR="77F9F554" w:rsidRDefault="77F9F554" w:rsidP="77F9F554">
      <w:pPr>
        <w:jc w:val="both"/>
        <w:rPr>
          <w:rFonts w:ascii="Times New Roman" w:eastAsia="Times New Roman" w:hAnsi="Times New Roman" w:cs="Times New Roman"/>
          <w:color w:val="000000" w:themeColor="text1"/>
          <w:sz w:val="24"/>
          <w:szCs w:val="24"/>
        </w:rPr>
      </w:pPr>
    </w:p>
    <w:p w14:paraId="500B601C" w14:textId="350F99FB" w:rsidR="77F9F554" w:rsidRDefault="77F9F554" w:rsidP="77F9F554">
      <w:pPr>
        <w:jc w:val="both"/>
        <w:rPr>
          <w:rFonts w:ascii="Times New Roman" w:eastAsia="Times New Roman" w:hAnsi="Times New Roman" w:cs="Times New Roman"/>
          <w:color w:val="000000" w:themeColor="text1"/>
          <w:sz w:val="24"/>
          <w:szCs w:val="24"/>
        </w:rPr>
      </w:pPr>
    </w:p>
    <w:p w14:paraId="4C7BD8D4" w14:textId="73FFE51B" w:rsidR="77F9F554" w:rsidRDefault="77F9F554" w:rsidP="77F9F554">
      <w:pPr>
        <w:jc w:val="both"/>
        <w:rPr>
          <w:rFonts w:ascii="Times New Roman" w:eastAsia="Times New Roman" w:hAnsi="Times New Roman" w:cs="Times New Roman"/>
          <w:color w:val="000000" w:themeColor="text1"/>
          <w:sz w:val="24"/>
          <w:szCs w:val="24"/>
        </w:rPr>
      </w:pPr>
    </w:p>
    <w:p w14:paraId="295F349F" w14:textId="1AF6A153" w:rsidR="77F9F554" w:rsidRDefault="77F9F554" w:rsidP="77F9F554">
      <w:pPr>
        <w:jc w:val="both"/>
        <w:rPr>
          <w:rFonts w:ascii="Times New Roman" w:eastAsia="Times New Roman" w:hAnsi="Times New Roman" w:cs="Times New Roman"/>
          <w:color w:val="000000" w:themeColor="text1"/>
          <w:sz w:val="24"/>
          <w:szCs w:val="24"/>
        </w:rPr>
      </w:pPr>
    </w:p>
    <w:p w14:paraId="62EA8508" w14:textId="02C84074" w:rsidR="77F9F554" w:rsidRDefault="77F9F554" w:rsidP="77F9F554">
      <w:pPr>
        <w:jc w:val="both"/>
        <w:rPr>
          <w:rFonts w:ascii="Times New Roman" w:eastAsia="Times New Roman" w:hAnsi="Times New Roman" w:cs="Times New Roman"/>
          <w:color w:val="000000" w:themeColor="text1"/>
          <w:sz w:val="24"/>
          <w:szCs w:val="24"/>
        </w:rPr>
      </w:pPr>
    </w:p>
    <w:p w14:paraId="637DDD9E" w14:textId="098B91C3" w:rsidR="77F9F554" w:rsidRDefault="77F9F554" w:rsidP="77F9F554">
      <w:pPr>
        <w:jc w:val="both"/>
        <w:rPr>
          <w:rFonts w:ascii="Times New Roman" w:eastAsia="Times New Roman" w:hAnsi="Times New Roman" w:cs="Times New Roman"/>
          <w:color w:val="000000" w:themeColor="text1"/>
          <w:sz w:val="24"/>
          <w:szCs w:val="24"/>
        </w:rPr>
      </w:pPr>
    </w:p>
    <w:p w14:paraId="2CF043E4" w14:textId="5C2DF19E" w:rsidR="77F9F554" w:rsidRDefault="77F9F554" w:rsidP="77F9F554">
      <w:pPr>
        <w:jc w:val="both"/>
        <w:rPr>
          <w:rFonts w:ascii="Times New Roman" w:eastAsia="Times New Roman" w:hAnsi="Times New Roman" w:cs="Times New Roman"/>
          <w:color w:val="000000" w:themeColor="text1"/>
          <w:sz w:val="24"/>
          <w:szCs w:val="24"/>
        </w:rPr>
      </w:pPr>
      <w:r w:rsidRPr="77F9F554">
        <w:rPr>
          <w:rFonts w:ascii="Times New Roman" w:eastAsia="Times New Roman" w:hAnsi="Times New Roman" w:cs="Times New Roman"/>
          <w:color w:val="000000" w:themeColor="text1"/>
          <w:sz w:val="24"/>
          <w:szCs w:val="24"/>
        </w:rPr>
        <w:t xml:space="preserve"> </w:t>
      </w:r>
    </w:p>
    <w:p w14:paraId="16C8564E" w14:textId="2E4D540B" w:rsidR="77F9F554" w:rsidRDefault="77F9F554" w:rsidP="77F9F554">
      <w:pPr>
        <w:jc w:val="both"/>
        <w:rPr>
          <w:rFonts w:ascii="Times New Roman" w:eastAsia="Times New Roman" w:hAnsi="Times New Roman" w:cs="Times New Roman"/>
          <w:color w:val="000000" w:themeColor="text1"/>
          <w:sz w:val="24"/>
          <w:szCs w:val="24"/>
        </w:rPr>
      </w:pPr>
    </w:p>
    <w:p w14:paraId="20F41969" w14:textId="52507D99" w:rsidR="120A5F89" w:rsidRDefault="120A5F89" w:rsidP="120A5F89">
      <w:pPr>
        <w:jc w:val="both"/>
        <w:rPr>
          <w:rFonts w:ascii="Times New Roman" w:eastAsia="Times New Roman" w:hAnsi="Times New Roman" w:cs="Times New Roman"/>
          <w:color w:val="000000" w:themeColor="text1"/>
          <w:sz w:val="24"/>
          <w:szCs w:val="24"/>
        </w:rPr>
      </w:pPr>
    </w:p>
    <w:p w14:paraId="528BDC40" w14:textId="77777777" w:rsidR="00D10043" w:rsidRDefault="00D10043" w:rsidP="120A5F89">
      <w:pPr>
        <w:jc w:val="both"/>
        <w:rPr>
          <w:rFonts w:ascii="Times New Roman" w:eastAsia="Times New Roman" w:hAnsi="Times New Roman" w:cs="Times New Roman"/>
          <w:color w:val="000000" w:themeColor="text1"/>
          <w:sz w:val="28"/>
          <w:szCs w:val="28"/>
          <w:u w:val="single"/>
        </w:rPr>
      </w:pPr>
    </w:p>
    <w:p w14:paraId="7AF726F9" w14:textId="77777777" w:rsidR="00D10043" w:rsidRDefault="00D10043" w:rsidP="120A5F89">
      <w:pPr>
        <w:jc w:val="both"/>
        <w:rPr>
          <w:rFonts w:ascii="Times New Roman" w:eastAsia="Times New Roman" w:hAnsi="Times New Roman" w:cs="Times New Roman"/>
          <w:color w:val="000000" w:themeColor="text1"/>
          <w:sz w:val="28"/>
          <w:szCs w:val="28"/>
          <w:u w:val="single"/>
        </w:rPr>
      </w:pPr>
    </w:p>
    <w:p w14:paraId="3B46371B" w14:textId="73722B03" w:rsidR="120A5F89" w:rsidRDefault="00D10043" w:rsidP="120A5F89">
      <w:pPr>
        <w:jc w:val="both"/>
        <w:rPr>
          <w:rFonts w:ascii="Times New Roman" w:eastAsia="Times New Roman" w:hAnsi="Times New Roman" w:cs="Times New Roman"/>
          <w:color w:val="000000" w:themeColor="text1"/>
          <w:sz w:val="28"/>
          <w:szCs w:val="28"/>
          <w:u w:val="single"/>
        </w:rPr>
      </w:pPr>
      <w:r w:rsidRPr="00D10043">
        <w:rPr>
          <w:rFonts w:ascii="Times New Roman" w:eastAsia="Times New Roman" w:hAnsi="Times New Roman" w:cs="Times New Roman"/>
          <w:color w:val="000000" w:themeColor="text1"/>
          <w:sz w:val="28"/>
          <w:szCs w:val="28"/>
          <w:u w:val="single"/>
        </w:rPr>
        <w:lastRenderedPageBreak/>
        <w:t>Bibliography</w:t>
      </w:r>
    </w:p>
    <w:p w14:paraId="7DE9130A" w14:textId="77777777" w:rsidR="00D64D13" w:rsidRDefault="00D64D13" w:rsidP="120A5F89">
      <w:pPr>
        <w:jc w:val="both"/>
        <w:rPr>
          <w:rFonts w:ascii="Times New Roman" w:eastAsia="Times New Roman" w:hAnsi="Times New Roman" w:cs="Times New Roman"/>
          <w:color w:val="000000" w:themeColor="text1"/>
          <w:sz w:val="28"/>
          <w:szCs w:val="28"/>
          <w:u w:val="single"/>
        </w:rPr>
      </w:pPr>
    </w:p>
    <w:p w14:paraId="2132F2F1" w14:textId="77777777" w:rsidR="00D64D13" w:rsidRPr="00D64D13" w:rsidRDefault="00D64D13" w:rsidP="00D64D13">
      <w:pPr>
        <w:pStyle w:val="FootnoteText"/>
        <w:rPr>
          <w:rFonts w:ascii="Times New Roman" w:hAnsi="Times New Roman" w:cs="Times New Roman"/>
          <w:color w:val="000000"/>
          <w:sz w:val="22"/>
          <w:szCs w:val="22"/>
          <w:shd w:val="clear" w:color="auto" w:fill="FFFFFF"/>
        </w:rPr>
      </w:pPr>
      <w:proofErr w:type="gramStart"/>
      <w:r w:rsidRPr="00D64D13">
        <w:rPr>
          <w:rFonts w:ascii="Times New Roman" w:hAnsi="Times New Roman" w:cs="Times New Roman"/>
          <w:b/>
          <w:bCs/>
          <w:color w:val="000000"/>
          <w:sz w:val="22"/>
          <w:szCs w:val="22"/>
          <w:shd w:val="clear" w:color="auto" w:fill="FFFFFF"/>
        </w:rPr>
        <w:t>All Party Parliamentary Group on British Muslims,</w:t>
      </w:r>
      <w:proofErr w:type="gramEnd"/>
      <w:r w:rsidRPr="00D64D13">
        <w:rPr>
          <w:rFonts w:ascii="Times New Roman" w:hAnsi="Times New Roman" w:cs="Times New Roman"/>
          <w:b/>
          <w:bCs/>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Islamophobia Defined </w:t>
      </w:r>
      <w:r w:rsidRPr="00D64D13">
        <w:rPr>
          <w:rFonts w:ascii="Times New Roman" w:hAnsi="Times New Roman" w:cs="Times New Roman"/>
          <w:color w:val="000000"/>
          <w:sz w:val="22"/>
          <w:szCs w:val="22"/>
          <w:shd w:val="clear" w:color="auto" w:fill="FFFFFF"/>
        </w:rPr>
        <w:t>(2018), in, &lt;https://appgbritishmuslims.org/publications &gt; [accessed 29 December 2019].</w:t>
      </w:r>
    </w:p>
    <w:p w14:paraId="3A9ED6E7" w14:textId="7B86E7FE" w:rsidR="00D64D13" w:rsidRPr="00D64D13" w:rsidRDefault="00D64D13" w:rsidP="00D64D13">
      <w:pPr>
        <w:pStyle w:val="FootnoteText"/>
        <w:rPr>
          <w:rFonts w:ascii="Times New Roman" w:hAnsi="Times New Roman" w:cs="Times New Roman"/>
          <w:iCs/>
          <w:color w:val="000000"/>
          <w:sz w:val="22"/>
          <w:szCs w:val="22"/>
          <w:shd w:val="clear" w:color="auto" w:fill="FFFFFF"/>
        </w:rPr>
      </w:pPr>
    </w:p>
    <w:p w14:paraId="7BC7F400" w14:textId="36FBE718" w:rsidR="00D64D13" w:rsidRPr="00D64D13" w:rsidRDefault="00D64D13" w:rsidP="00D64D13">
      <w:pPr>
        <w:pStyle w:val="FootnoteText"/>
        <w:rPr>
          <w:rFonts w:ascii="Times New Roman" w:hAnsi="Times New Roman" w:cs="Times New Roman"/>
          <w:color w:val="000000"/>
          <w:sz w:val="22"/>
          <w:szCs w:val="22"/>
          <w:shd w:val="clear" w:color="auto" w:fill="FFFFFF"/>
        </w:rPr>
      </w:pPr>
      <w:r w:rsidRPr="00D64D13">
        <w:rPr>
          <w:rFonts w:ascii="Times New Roman" w:hAnsi="Times New Roman" w:cs="Times New Roman"/>
          <w:b/>
          <w:bCs/>
          <w:color w:val="000000"/>
          <w:sz w:val="22"/>
          <w:szCs w:val="22"/>
          <w:shd w:val="clear" w:color="auto" w:fill="FFFFFF"/>
        </w:rPr>
        <w:t>Allen, Dr Chris</w:t>
      </w:r>
      <w:r w:rsidRPr="00D64D13">
        <w:rPr>
          <w:rFonts w:ascii="Times New Roman" w:hAnsi="Times New Roman" w:cs="Times New Roman"/>
          <w:color w:val="000000"/>
          <w:sz w:val="22"/>
          <w:szCs w:val="22"/>
          <w:shd w:val="clear" w:color="auto" w:fill="FFFFFF"/>
        </w:rPr>
        <w:t xml:space="preserve"> </w:t>
      </w:r>
      <w:r w:rsidRPr="00D64D13">
        <w:rPr>
          <w:rFonts w:ascii="Times New Roman" w:hAnsi="Times New Roman" w:cs="Times New Roman"/>
          <w:i/>
          <w:iCs/>
          <w:color w:val="000000"/>
          <w:sz w:val="22"/>
          <w:szCs w:val="22"/>
          <w:shd w:val="clear" w:color="auto" w:fill="FFFFFF"/>
        </w:rPr>
        <w:t>Towards a Working Definition of Islamophobia: a briefing paper prepared in response to the Home Affairs committee</w:t>
      </w:r>
      <w:r w:rsidRPr="00D64D13">
        <w:rPr>
          <w:rFonts w:ascii="Times New Roman" w:hAnsi="Times New Roman" w:cs="Times New Roman"/>
          <w:color w:val="000000"/>
          <w:sz w:val="22"/>
          <w:szCs w:val="22"/>
          <w:shd w:val="clear" w:color="auto" w:fill="FFFFFF"/>
        </w:rPr>
        <w:t>, (Birmingham: University of Birmingham, 2017).</w:t>
      </w:r>
    </w:p>
    <w:p w14:paraId="0F7A60CC" w14:textId="77777777" w:rsidR="00D64D13" w:rsidRPr="00D64D13" w:rsidRDefault="00D64D13" w:rsidP="00D64D13">
      <w:pPr>
        <w:pStyle w:val="FootnoteText"/>
        <w:rPr>
          <w:rFonts w:ascii="Times New Roman" w:hAnsi="Times New Roman" w:cs="Times New Roman"/>
          <w:b/>
          <w:bCs/>
          <w:color w:val="000000"/>
          <w:sz w:val="22"/>
          <w:szCs w:val="22"/>
          <w:shd w:val="clear" w:color="auto" w:fill="FFFFFF"/>
        </w:rPr>
      </w:pPr>
    </w:p>
    <w:p w14:paraId="5FE2228B" w14:textId="4CD46A71" w:rsidR="00D64D13" w:rsidRPr="00D64D13" w:rsidRDefault="00D64D13" w:rsidP="00D64D13">
      <w:pPr>
        <w:pStyle w:val="FootnoteText"/>
        <w:rPr>
          <w:rFonts w:ascii="Times New Roman" w:hAnsi="Times New Roman" w:cs="Times New Roman"/>
          <w:color w:val="000000"/>
          <w:sz w:val="22"/>
          <w:szCs w:val="22"/>
          <w:shd w:val="clear" w:color="auto" w:fill="FFFFFF"/>
        </w:rPr>
      </w:pPr>
      <w:proofErr w:type="spellStart"/>
      <w:r w:rsidRPr="00D64D13">
        <w:rPr>
          <w:rFonts w:ascii="Times New Roman" w:hAnsi="Times New Roman" w:cs="Times New Roman"/>
          <w:b/>
          <w:bCs/>
          <w:color w:val="000000"/>
          <w:sz w:val="22"/>
          <w:szCs w:val="22"/>
          <w:shd w:val="clear" w:color="auto" w:fill="FFFFFF"/>
        </w:rPr>
        <w:t>Arjana</w:t>
      </w:r>
      <w:proofErr w:type="spellEnd"/>
      <w:r w:rsidRPr="00D64D13">
        <w:rPr>
          <w:rFonts w:ascii="Times New Roman" w:hAnsi="Times New Roman" w:cs="Times New Roman"/>
          <w:b/>
          <w:bCs/>
          <w:color w:val="000000"/>
          <w:sz w:val="22"/>
          <w:szCs w:val="22"/>
          <w:shd w:val="clear" w:color="auto" w:fill="FFFFFF"/>
        </w:rPr>
        <w:t>, Sophie Rose</w:t>
      </w:r>
      <w:r w:rsidRPr="00D64D13">
        <w:rPr>
          <w:rFonts w:ascii="Times New Roman" w:hAnsi="Times New Roman" w:cs="Times New Roman"/>
          <w:color w:val="000000"/>
          <w:sz w:val="22"/>
          <w:szCs w:val="22"/>
          <w:shd w:val="clear" w:color="auto" w:fill="FFFFFF"/>
        </w:rPr>
        <w:t xml:space="preserve"> 'The Monsters of September 11', in</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Muslims in the Western imagination</w:t>
      </w:r>
      <w:r w:rsidRPr="00D64D13">
        <w:rPr>
          <w:rStyle w:val="apple-converted-space"/>
          <w:rFonts w:ascii="Times New Roman" w:hAnsi="Times New Roman" w:cs="Times New Roman"/>
          <w:i/>
          <w:iCs/>
          <w:color w:val="000000"/>
          <w:sz w:val="22"/>
          <w:szCs w:val="22"/>
          <w:shd w:val="clear" w:color="auto" w:fill="FFFFFF"/>
        </w:rPr>
        <w:t> </w:t>
      </w:r>
      <w:r w:rsidRPr="00D64D13">
        <w:rPr>
          <w:rFonts w:ascii="Times New Roman" w:hAnsi="Times New Roman" w:cs="Times New Roman"/>
          <w:color w:val="000000"/>
          <w:sz w:val="22"/>
          <w:szCs w:val="22"/>
          <w:shd w:val="clear" w:color="auto" w:fill="FFFFFF"/>
        </w:rPr>
        <w:t xml:space="preserve">(New </w:t>
      </w:r>
      <w:proofErr w:type="gramStart"/>
      <w:r w:rsidRPr="00D64D13">
        <w:rPr>
          <w:rFonts w:ascii="Times New Roman" w:hAnsi="Times New Roman" w:cs="Times New Roman"/>
          <w:color w:val="000000"/>
          <w:sz w:val="22"/>
          <w:szCs w:val="22"/>
          <w:shd w:val="clear" w:color="auto" w:fill="FFFFFF"/>
        </w:rPr>
        <w:t>York ,</w:t>
      </w:r>
      <w:proofErr w:type="gramEnd"/>
      <w:r w:rsidRPr="00D64D13">
        <w:rPr>
          <w:rFonts w:ascii="Times New Roman" w:hAnsi="Times New Roman" w:cs="Times New Roman"/>
          <w:color w:val="000000"/>
          <w:sz w:val="22"/>
          <w:szCs w:val="22"/>
          <w:shd w:val="clear" w:color="auto" w:fill="FFFFFF"/>
        </w:rPr>
        <w:t xml:space="preserve"> Oxford University Press, 2015).</w:t>
      </w:r>
    </w:p>
    <w:p w14:paraId="6D9BCACF" w14:textId="77777777" w:rsidR="00D64D13" w:rsidRPr="00D64D13" w:rsidRDefault="00D64D13" w:rsidP="00D64D13">
      <w:pPr>
        <w:pStyle w:val="FootnoteText"/>
        <w:rPr>
          <w:rFonts w:ascii="Times New Roman" w:hAnsi="Times New Roman" w:cs="Times New Roman"/>
          <w:b/>
          <w:bCs/>
          <w:color w:val="000000"/>
          <w:sz w:val="22"/>
          <w:szCs w:val="22"/>
          <w:shd w:val="clear" w:color="auto" w:fill="FFFFFF"/>
        </w:rPr>
      </w:pPr>
    </w:p>
    <w:p w14:paraId="1DFBA482" w14:textId="47974247" w:rsidR="00D64D13" w:rsidRPr="00D64D13" w:rsidRDefault="00D64D13" w:rsidP="00D64D13">
      <w:pPr>
        <w:pStyle w:val="FootnoteText"/>
        <w:rPr>
          <w:rFonts w:ascii="Times New Roman" w:hAnsi="Times New Roman" w:cs="Times New Roman"/>
          <w:color w:val="000000"/>
          <w:sz w:val="22"/>
          <w:szCs w:val="22"/>
          <w:shd w:val="clear" w:color="auto" w:fill="FFFFFF"/>
        </w:rPr>
      </w:pPr>
      <w:proofErr w:type="spellStart"/>
      <w:r w:rsidRPr="00D64D13">
        <w:rPr>
          <w:rFonts w:ascii="Times New Roman" w:hAnsi="Times New Roman" w:cs="Times New Roman"/>
          <w:b/>
          <w:bCs/>
          <w:color w:val="000000"/>
          <w:sz w:val="22"/>
          <w:szCs w:val="22"/>
          <w:shd w:val="clear" w:color="auto" w:fill="FFFFFF"/>
        </w:rPr>
        <w:t>Cesari</w:t>
      </w:r>
      <w:proofErr w:type="spellEnd"/>
      <w:r w:rsidRPr="00D64D13">
        <w:rPr>
          <w:rFonts w:ascii="Times New Roman" w:hAnsi="Times New Roman" w:cs="Times New Roman"/>
          <w:b/>
          <w:bCs/>
          <w:color w:val="000000"/>
          <w:sz w:val="22"/>
          <w:szCs w:val="22"/>
          <w:shd w:val="clear" w:color="auto" w:fill="FFFFFF"/>
        </w:rPr>
        <w:t xml:space="preserve">, </w:t>
      </w:r>
      <w:r w:rsidRPr="00D64D13">
        <w:rPr>
          <w:rFonts w:ascii="Times New Roman" w:hAnsi="Times New Roman" w:cs="Times New Roman"/>
          <w:b/>
          <w:bCs/>
          <w:sz w:val="22"/>
          <w:szCs w:val="22"/>
        </w:rPr>
        <w:t>J</w:t>
      </w:r>
      <w:r w:rsidRPr="00D64D13">
        <w:rPr>
          <w:rFonts w:ascii="Times New Roman" w:hAnsi="Times New Roman" w:cs="Times New Roman"/>
          <w:b/>
          <w:bCs/>
          <w:color w:val="000000"/>
          <w:sz w:val="22"/>
          <w:szCs w:val="22"/>
          <w:shd w:val="clear" w:color="auto" w:fill="FFFFFF"/>
        </w:rPr>
        <w:t xml:space="preserve">ocelyne </w:t>
      </w:r>
      <w:r w:rsidRPr="00D64D13">
        <w:rPr>
          <w:rFonts w:ascii="Times New Roman" w:hAnsi="Times New Roman" w:cs="Times New Roman"/>
          <w:color w:val="000000"/>
          <w:sz w:val="22"/>
          <w:szCs w:val="22"/>
          <w:shd w:val="clear" w:color="auto" w:fill="FFFFFF"/>
        </w:rPr>
        <w:t>'Introduction', in</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Muslims in the West after 9/11</w:t>
      </w:r>
      <w:r w:rsidRPr="00D64D13">
        <w:rPr>
          <w:rFonts w:ascii="Times New Roman" w:hAnsi="Times New Roman" w:cs="Times New Roman"/>
          <w:color w:val="000000"/>
          <w:sz w:val="22"/>
          <w:szCs w:val="22"/>
          <w:shd w:val="clear" w:color="auto" w:fill="FFFFFF"/>
        </w:rPr>
        <w:t xml:space="preserve">, ed. by Jocelyne </w:t>
      </w:r>
      <w:proofErr w:type="spellStart"/>
      <w:r w:rsidRPr="00D64D13">
        <w:rPr>
          <w:rFonts w:ascii="Times New Roman" w:hAnsi="Times New Roman" w:cs="Times New Roman"/>
          <w:color w:val="000000"/>
          <w:sz w:val="22"/>
          <w:szCs w:val="22"/>
          <w:shd w:val="clear" w:color="auto" w:fill="FFFFFF"/>
        </w:rPr>
        <w:t>Cesari</w:t>
      </w:r>
      <w:proofErr w:type="spellEnd"/>
      <w:r w:rsidRPr="00D64D13">
        <w:rPr>
          <w:rFonts w:ascii="Times New Roman" w:hAnsi="Times New Roman" w:cs="Times New Roman"/>
          <w:color w:val="000000"/>
          <w:sz w:val="22"/>
          <w:szCs w:val="22"/>
          <w:shd w:val="clear" w:color="auto" w:fill="FFFFFF"/>
        </w:rPr>
        <w:t xml:space="preserve"> (Oxon: </w:t>
      </w:r>
      <w:proofErr w:type="gramStart"/>
      <w:r w:rsidRPr="00D64D13">
        <w:rPr>
          <w:rFonts w:ascii="Times New Roman" w:hAnsi="Times New Roman" w:cs="Times New Roman"/>
          <w:color w:val="000000"/>
          <w:sz w:val="22"/>
          <w:szCs w:val="22"/>
          <w:shd w:val="clear" w:color="auto" w:fill="FFFFFF"/>
        </w:rPr>
        <w:t>Routledge ,</w:t>
      </w:r>
      <w:proofErr w:type="gramEnd"/>
      <w:r w:rsidRPr="00D64D13">
        <w:rPr>
          <w:rFonts w:ascii="Times New Roman" w:hAnsi="Times New Roman" w:cs="Times New Roman"/>
          <w:color w:val="000000"/>
          <w:sz w:val="22"/>
          <w:szCs w:val="22"/>
          <w:shd w:val="clear" w:color="auto" w:fill="FFFFFF"/>
        </w:rPr>
        <w:t xml:space="preserve"> 2010).</w:t>
      </w:r>
    </w:p>
    <w:p w14:paraId="670DD18F" w14:textId="77777777" w:rsidR="00D64D13" w:rsidRPr="00D64D13" w:rsidRDefault="00D64D13" w:rsidP="00D64D13">
      <w:pPr>
        <w:pStyle w:val="FootnoteText"/>
        <w:rPr>
          <w:rFonts w:ascii="Times New Roman" w:hAnsi="Times New Roman" w:cs="Times New Roman"/>
          <w:b/>
          <w:bCs/>
          <w:color w:val="000000"/>
          <w:sz w:val="22"/>
          <w:szCs w:val="22"/>
          <w:shd w:val="clear" w:color="auto" w:fill="FFFFFF"/>
        </w:rPr>
      </w:pPr>
    </w:p>
    <w:p w14:paraId="0EB573A8" w14:textId="01C3FB62" w:rsidR="00D64D13" w:rsidRPr="00D64D13" w:rsidRDefault="00D64D13" w:rsidP="00D64D13">
      <w:pPr>
        <w:pStyle w:val="FootnoteText"/>
        <w:rPr>
          <w:rFonts w:ascii="Times New Roman" w:hAnsi="Times New Roman" w:cs="Times New Roman"/>
          <w:iCs/>
          <w:color w:val="000000"/>
          <w:sz w:val="22"/>
          <w:szCs w:val="22"/>
          <w:shd w:val="clear" w:color="auto" w:fill="FFFFFF"/>
        </w:rPr>
      </w:pPr>
      <w:r w:rsidRPr="00D64D13">
        <w:rPr>
          <w:rFonts w:ascii="Times New Roman" w:hAnsi="Times New Roman" w:cs="Times New Roman"/>
          <w:b/>
          <w:bCs/>
          <w:color w:val="000000"/>
          <w:sz w:val="22"/>
          <w:szCs w:val="22"/>
          <w:shd w:val="clear" w:color="auto" w:fill="FFFFFF"/>
        </w:rPr>
        <w:t>Jenkins, Sir Roger</w:t>
      </w:r>
      <w:r w:rsidRPr="00D64D13">
        <w:rPr>
          <w:rFonts w:ascii="Times New Roman" w:hAnsi="Times New Roman" w:cs="Times New Roman"/>
          <w:color w:val="000000"/>
          <w:sz w:val="22"/>
          <w:szCs w:val="22"/>
          <w:shd w:val="clear" w:color="auto" w:fill="FFFFFF"/>
        </w:rPr>
        <w:t xml:space="preserve"> Trevor Phillips, 'Islamophobia Defined ', </w:t>
      </w:r>
      <w:r w:rsidRPr="00D64D13">
        <w:rPr>
          <w:rFonts w:ascii="Times New Roman" w:hAnsi="Times New Roman" w:cs="Times New Roman"/>
          <w:i/>
          <w:iCs/>
          <w:color w:val="000000"/>
          <w:sz w:val="22"/>
          <w:szCs w:val="22"/>
          <w:shd w:val="clear" w:color="auto" w:fill="FFFFFF"/>
        </w:rPr>
        <w:t>Policy Exchange</w:t>
      </w:r>
      <w:r w:rsidRPr="00D64D13">
        <w:rPr>
          <w:rFonts w:ascii="Times New Roman" w:hAnsi="Times New Roman" w:cs="Times New Roman"/>
          <w:color w:val="000000"/>
          <w:sz w:val="22"/>
          <w:szCs w:val="22"/>
          <w:shd w:val="clear" w:color="auto" w:fill="FFFFFF"/>
        </w:rPr>
        <w:t>, (2018)</w:t>
      </w:r>
      <w:proofErr w:type="gramStart"/>
      <w:r w:rsidRPr="00D64D13">
        <w:rPr>
          <w:rFonts w:ascii="Times New Roman" w:hAnsi="Times New Roman" w:cs="Times New Roman"/>
          <w:color w:val="000000"/>
          <w:sz w:val="22"/>
          <w:szCs w:val="22"/>
          <w:shd w:val="clear" w:color="auto" w:fill="FFFFFF"/>
        </w:rPr>
        <w:t>, ,in</w:t>
      </w:r>
      <w:proofErr w:type="gramEnd"/>
      <w:r w:rsidRPr="00D64D13">
        <w:rPr>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 xml:space="preserve">&lt;https://policyexchange.org.uk/wp-content/uploads/2018/12/Defining-Islamophobia.pdf&gt; </w:t>
      </w:r>
      <w:r w:rsidRPr="00D64D13">
        <w:rPr>
          <w:rFonts w:ascii="Times New Roman" w:hAnsi="Times New Roman" w:cs="Times New Roman"/>
          <w:iCs/>
          <w:color w:val="000000"/>
          <w:sz w:val="22"/>
          <w:szCs w:val="22"/>
          <w:shd w:val="clear" w:color="auto" w:fill="FFFFFF"/>
        </w:rPr>
        <w:t>[accessed 29 December 2019].</w:t>
      </w:r>
    </w:p>
    <w:p w14:paraId="568F97D9" w14:textId="5DC130FB" w:rsidR="00D64D13" w:rsidRPr="00D64D13" w:rsidRDefault="00D64D13" w:rsidP="00D64D13">
      <w:pPr>
        <w:pStyle w:val="FootnoteText"/>
        <w:rPr>
          <w:rFonts w:ascii="Times New Roman" w:hAnsi="Times New Roman" w:cs="Times New Roman"/>
          <w:iCs/>
          <w:color w:val="000000"/>
          <w:sz w:val="22"/>
          <w:szCs w:val="22"/>
          <w:shd w:val="clear" w:color="auto" w:fill="FFFFFF"/>
        </w:rPr>
      </w:pPr>
    </w:p>
    <w:p w14:paraId="08FD4DE8" w14:textId="77777777" w:rsidR="00D64D13" w:rsidRPr="00D64D13" w:rsidRDefault="00D64D13" w:rsidP="00D64D13">
      <w:pPr>
        <w:pStyle w:val="FootnoteText"/>
        <w:rPr>
          <w:rFonts w:ascii="Times New Roman" w:hAnsi="Times New Roman" w:cs="Times New Roman"/>
          <w:color w:val="000000"/>
          <w:sz w:val="22"/>
          <w:szCs w:val="22"/>
          <w:shd w:val="clear" w:color="auto" w:fill="FFFFFF"/>
        </w:rPr>
      </w:pPr>
      <w:r w:rsidRPr="00D64D13">
        <w:rPr>
          <w:rFonts w:ascii="Times New Roman" w:hAnsi="Times New Roman" w:cs="Times New Roman"/>
          <w:b/>
          <w:bCs/>
          <w:color w:val="000000"/>
          <w:sz w:val="22"/>
          <w:szCs w:val="22"/>
          <w:shd w:val="clear" w:color="auto" w:fill="FFFFFF"/>
        </w:rPr>
        <w:t>Members of the Commission</w:t>
      </w:r>
      <w:r w:rsidRPr="00D64D13">
        <w:rPr>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Islamophobia: A Challenge for Us All</w:t>
      </w:r>
      <w:r w:rsidRPr="00D64D13">
        <w:rPr>
          <w:rFonts w:ascii="Times New Roman" w:hAnsi="Times New Roman" w:cs="Times New Roman"/>
          <w:color w:val="000000"/>
          <w:sz w:val="22"/>
          <w:szCs w:val="22"/>
          <w:shd w:val="clear" w:color="auto" w:fill="FFFFFF"/>
        </w:rPr>
        <w:t>, ed. by Robin Richardson (London: The Runnymede Trust, 1997).</w:t>
      </w:r>
    </w:p>
    <w:p w14:paraId="5780F329" w14:textId="77777777" w:rsidR="00D64D13" w:rsidRPr="00D64D13" w:rsidRDefault="00D64D13" w:rsidP="00D64D13">
      <w:pPr>
        <w:pStyle w:val="FootnoteText"/>
        <w:rPr>
          <w:rFonts w:ascii="Times New Roman" w:hAnsi="Times New Roman" w:cs="Times New Roman"/>
          <w:iCs/>
          <w:color w:val="000000"/>
          <w:sz w:val="22"/>
          <w:szCs w:val="22"/>
          <w:shd w:val="clear" w:color="auto" w:fill="FFFFFF"/>
        </w:rPr>
      </w:pPr>
    </w:p>
    <w:p w14:paraId="75326930" w14:textId="086B2F92" w:rsidR="00D64D13" w:rsidRPr="00D64D13" w:rsidRDefault="00D64D13" w:rsidP="00D64D13">
      <w:pPr>
        <w:pStyle w:val="FootnoteText"/>
        <w:rPr>
          <w:rFonts w:ascii="Times New Roman" w:hAnsi="Times New Roman" w:cs="Times New Roman"/>
          <w:color w:val="000000"/>
          <w:sz w:val="22"/>
          <w:szCs w:val="22"/>
          <w:shd w:val="clear" w:color="auto" w:fill="FFFFFF"/>
        </w:rPr>
      </w:pPr>
      <w:proofErr w:type="spellStart"/>
      <w:r w:rsidRPr="00D64D13">
        <w:rPr>
          <w:rFonts w:ascii="Times New Roman" w:hAnsi="Times New Roman" w:cs="Times New Roman"/>
          <w:b/>
          <w:bCs/>
          <w:color w:val="000000"/>
          <w:sz w:val="22"/>
          <w:szCs w:val="22"/>
          <w:shd w:val="clear" w:color="auto" w:fill="FFFFFF"/>
        </w:rPr>
        <w:t>Monshipouri</w:t>
      </w:r>
      <w:proofErr w:type="spellEnd"/>
      <w:r w:rsidRPr="00D64D13">
        <w:rPr>
          <w:rFonts w:ascii="Times New Roman" w:hAnsi="Times New Roman" w:cs="Times New Roman"/>
          <w:b/>
          <w:bCs/>
          <w:color w:val="000000"/>
          <w:sz w:val="22"/>
          <w:szCs w:val="22"/>
          <w:shd w:val="clear" w:color="auto" w:fill="FFFFFF"/>
        </w:rPr>
        <w:t>, Mahmood</w:t>
      </w:r>
      <w:r w:rsidRPr="00D64D13">
        <w:rPr>
          <w:rFonts w:ascii="Times New Roman" w:hAnsi="Times New Roman" w:cs="Times New Roman"/>
          <w:color w:val="000000"/>
          <w:sz w:val="22"/>
          <w:szCs w:val="22"/>
          <w:shd w:val="clear" w:color="auto" w:fill="FFFFFF"/>
        </w:rPr>
        <w:t xml:space="preserve"> 'The War on Terror and Muslims in the West ', in</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Muslims in the West after 9/11</w:t>
      </w:r>
      <w:r w:rsidRPr="00D64D13">
        <w:rPr>
          <w:rFonts w:ascii="Times New Roman" w:hAnsi="Times New Roman" w:cs="Times New Roman"/>
          <w:color w:val="000000"/>
          <w:sz w:val="22"/>
          <w:szCs w:val="22"/>
          <w:shd w:val="clear" w:color="auto" w:fill="FFFFFF"/>
        </w:rPr>
        <w:t xml:space="preserve">, ed. by Jocelyne </w:t>
      </w:r>
      <w:proofErr w:type="spellStart"/>
      <w:r w:rsidRPr="00D64D13">
        <w:rPr>
          <w:rFonts w:ascii="Times New Roman" w:hAnsi="Times New Roman" w:cs="Times New Roman"/>
          <w:color w:val="000000"/>
          <w:sz w:val="22"/>
          <w:szCs w:val="22"/>
          <w:shd w:val="clear" w:color="auto" w:fill="FFFFFF"/>
        </w:rPr>
        <w:t>Cesari</w:t>
      </w:r>
      <w:proofErr w:type="spellEnd"/>
      <w:r w:rsidRPr="00D64D13">
        <w:rPr>
          <w:rFonts w:ascii="Times New Roman" w:hAnsi="Times New Roman" w:cs="Times New Roman"/>
          <w:color w:val="000000"/>
          <w:sz w:val="22"/>
          <w:szCs w:val="22"/>
          <w:shd w:val="clear" w:color="auto" w:fill="FFFFFF"/>
        </w:rPr>
        <w:t xml:space="preserve"> (Oxon: Routledge, 2010).</w:t>
      </w:r>
    </w:p>
    <w:p w14:paraId="130C9E87" w14:textId="662A5424" w:rsidR="00D64D13" w:rsidRPr="00D64D13" w:rsidRDefault="00D64D13" w:rsidP="00D64D13">
      <w:pPr>
        <w:pStyle w:val="FootnoteText"/>
        <w:rPr>
          <w:rFonts w:ascii="Times New Roman" w:hAnsi="Times New Roman" w:cs="Times New Roman"/>
          <w:color w:val="000000"/>
          <w:sz w:val="22"/>
          <w:szCs w:val="22"/>
          <w:shd w:val="clear" w:color="auto" w:fill="FFFFFF"/>
        </w:rPr>
      </w:pPr>
    </w:p>
    <w:p w14:paraId="4E5208D9" w14:textId="77777777" w:rsidR="00D64D13" w:rsidRPr="00D64D13" w:rsidRDefault="00D64D13" w:rsidP="00D64D13">
      <w:pPr>
        <w:pStyle w:val="FootnoteText"/>
        <w:rPr>
          <w:rFonts w:ascii="Times New Roman" w:hAnsi="Times New Roman" w:cs="Times New Roman"/>
          <w:color w:val="000000"/>
          <w:sz w:val="22"/>
          <w:szCs w:val="22"/>
          <w:shd w:val="clear" w:color="auto" w:fill="FFFFFF"/>
        </w:rPr>
      </w:pPr>
      <w:r w:rsidRPr="00D64D13">
        <w:rPr>
          <w:rFonts w:ascii="Times New Roman" w:hAnsi="Times New Roman" w:cs="Times New Roman"/>
          <w:b/>
          <w:bCs/>
          <w:color w:val="000000"/>
          <w:sz w:val="22"/>
          <w:szCs w:val="22"/>
          <w:shd w:val="clear" w:color="auto" w:fill="FFFFFF"/>
        </w:rPr>
        <w:t>Poole, Elizabeth</w:t>
      </w:r>
      <w:r w:rsidRPr="00D64D13">
        <w:rPr>
          <w:rFonts w:ascii="Times New Roman" w:hAnsi="Times New Roman" w:cs="Times New Roman"/>
          <w:color w:val="000000"/>
          <w:sz w:val="22"/>
          <w:szCs w:val="22"/>
          <w:shd w:val="clear" w:color="auto" w:fill="FFFFFF"/>
        </w:rPr>
        <w:t xml:space="preserve"> 'The Effects of September 11 and the War in Iraq on British Newspaper Coverage', in</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Muslims and The News Media</w:t>
      </w:r>
      <w:r w:rsidRPr="00D64D13">
        <w:rPr>
          <w:rFonts w:ascii="Times New Roman" w:hAnsi="Times New Roman" w:cs="Times New Roman"/>
          <w:color w:val="000000"/>
          <w:sz w:val="22"/>
          <w:szCs w:val="22"/>
          <w:shd w:val="clear" w:color="auto" w:fill="FFFFFF"/>
        </w:rPr>
        <w:t>, ed. by Elizabeth Poole and John E. Richardson (London: I.B. Tauris, 2006).</w:t>
      </w:r>
    </w:p>
    <w:p w14:paraId="00EAE4A4" w14:textId="77777777" w:rsidR="00D64D13" w:rsidRPr="00D64D13" w:rsidRDefault="00D64D13" w:rsidP="00D64D13">
      <w:pPr>
        <w:pStyle w:val="FootnoteText"/>
        <w:rPr>
          <w:rFonts w:ascii="Times New Roman" w:hAnsi="Times New Roman" w:cs="Times New Roman"/>
          <w:color w:val="000000"/>
          <w:sz w:val="22"/>
          <w:szCs w:val="22"/>
          <w:shd w:val="clear" w:color="auto" w:fill="FFFFFF"/>
        </w:rPr>
      </w:pPr>
    </w:p>
    <w:p w14:paraId="3AE0A8E6" w14:textId="5F875E89" w:rsidR="00D64D13" w:rsidRPr="00D64D13" w:rsidRDefault="00D64D13" w:rsidP="00D64D13">
      <w:pPr>
        <w:pStyle w:val="FootnoteText"/>
        <w:rPr>
          <w:rFonts w:ascii="Times New Roman" w:hAnsi="Times New Roman" w:cs="Times New Roman"/>
          <w:color w:val="000000"/>
          <w:sz w:val="22"/>
          <w:szCs w:val="22"/>
          <w:shd w:val="clear" w:color="auto" w:fill="FFFFFF"/>
        </w:rPr>
      </w:pPr>
      <w:r w:rsidRPr="00D64D13">
        <w:rPr>
          <w:rFonts w:ascii="Times New Roman" w:hAnsi="Times New Roman" w:cs="Times New Roman"/>
          <w:b/>
          <w:bCs/>
          <w:color w:val="000000"/>
          <w:sz w:val="22"/>
          <w:szCs w:val="22"/>
          <w:shd w:val="clear" w:color="auto" w:fill="FFFFFF"/>
        </w:rPr>
        <w:t>Said, Edward W</w:t>
      </w:r>
      <w:r w:rsidRPr="00D64D13">
        <w:rPr>
          <w:rFonts w:ascii="Times New Roman" w:hAnsi="Times New Roman" w:cs="Times New Roman"/>
          <w:color w:val="000000"/>
          <w:sz w:val="22"/>
          <w:szCs w:val="22"/>
          <w:shd w:val="clear" w:color="auto" w:fill="FFFFFF"/>
        </w:rPr>
        <w:t>.</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Orientalism, Western Conceptions of the Orient</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color w:val="000000"/>
          <w:sz w:val="22"/>
          <w:szCs w:val="22"/>
          <w:shd w:val="clear" w:color="auto" w:fill="FFFFFF"/>
        </w:rPr>
        <w:t>(London: Penguin Books, 1995).</w:t>
      </w:r>
    </w:p>
    <w:p w14:paraId="67428FEC" w14:textId="7F984EFC" w:rsidR="00D64D13" w:rsidRPr="00D64D13" w:rsidRDefault="00D64D13" w:rsidP="00D64D13">
      <w:pPr>
        <w:pStyle w:val="FootnoteText"/>
        <w:rPr>
          <w:rFonts w:ascii="Times New Roman" w:hAnsi="Times New Roman" w:cs="Times New Roman"/>
          <w:color w:val="000000"/>
          <w:sz w:val="22"/>
          <w:szCs w:val="22"/>
          <w:shd w:val="clear" w:color="auto" w:fill="FFFFFF"/>
        </w:rPr>
      </w:pPr>
    </w:p>
    <w:p w14:paraId="58168827" w14:textId="77777777" w:rsidR="00D64D13" w:rsidRPr="00D64D13" w:rsidRDefault="00D64D13" w:rsidP="00D64D13">
      <w:pPr>
        <w:pStyle w:val="FootnoteText"/>
        <w:rPr>
          <w:rFonts w:ascii="Times New Roman" w:hAnsi="Times New Roman" w:cs="Times New Roman"/>
          <w:color w:val="000000"/>
          <w:sz w:val="22"/>
          <w:szCs w:val="22"/>
          <w:shd w:val="clear" w:color="auto" w:fill="FFFFFF"/>
        </w:rPr>
      </w:pPr>
      <w:r w:rsidRPr="00D64D13">
        <w:rPr>
          <w:rFonts w:ascii="Times New Roman" w:hAnsi="Times New Roman" w:cs="Times New Roman"/>
          <w:b/>
          <w:bCs/>
          <w:sz w:val="22"/>
          <w:szCs w:val="22"/>
        </w:rPr>
        <w:t>Smith, Jane</w:t>
      </w:r>
      <w:r w:rsidRPr="00D64D13">
        <w:rPr>
          <w:rFonts w:ascii="Times New Roman" w:hAnsi="Times New Roman" w:cs="Times New Roman"/>
          <w:sz w:val="22"/>
          <w:szCs w:val="22"/>
        </w:rPr>
        <w:t xml:space="preserve"> </w:t>
      </w:r>
      <w:r w:rsidRPr="00D64D13">
        <w:rPr>
          <w:rFonts w:ascii="Times New Roman" w:hAnsi="Times New Roman" w:cs="Times New Roman"/>
          <w:color w:val="000000"/>
          <w:sz w:val="22"/>
          <w:szCs w:val="22"/>
          <w:shd w:val="clear" w:color="auto" w:fill="FFFFFF"/>
        </w:rPr>
        <w:t>'Islam in America', in</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Muslims in the West after 9/11</w:t>
      </w:r>
      <w:r w:rsidRPr="00D64D13">
        <w:rPr>
          <w:rFonts w:ascii="Times New Roman" w:hAnsi="Times New Roman" w:cs="Times New Roman"/>
          <w:color w:val="000000"/>
          <w:sz w:val="22"/>
          <w:szCs w:val="22"/>
          <w:shd w:val="clear" w:color="auto" w:fill="FFFFFF"/>
        </w:rPr>
        <w:t xml:space="preserve">, ed. by Jocelyne </w:t>
      </w:r>
      <w:proofErr w:type="spellStart"/>
      <w:r w:rsidRPr="00D64D13">
        <w:rPr>
          <w:rFonts w:ascii="Times New Roman" w:hAnsi="Times New Roman" w:cs="Times New Roman"/>
          <w:color w:val="000000"/>
          <w:sz w:val="22"/>
          <w:szCs w:val="22"/>
          <w:shd w:val="clear" w:color="auto" w:fill="FFFFFF"/>
        </w:rPr>
        <w:t>Cesari</w:t>
      </w:r>
      <w:proofErr w:type="spellEnd"/>
      <w:r w:rsidRPr="00D64D13">
        <w:rPr>
          <w:rFonts w:ascii="Times New Roman" w:hAnsi="Times New Roman" w:cs="Times New Roman"/>
          <w:color w:val="000000"/>
          <w:sz w:val="22"/>
          <w:szCs w:val="22"/>
          <w:shd w:val="clear" w:color="auto" w:fill="FFFFFF"/>
        </w:rPr>
        <w:t xml:space="preserve"> (Oxon: Routledge, 2010).</w:t>
      </w:r>
    </w:p>
    <w:p w14:paraId="111B1C3A" w14:textId="77777777" w:rsidR="00D64D13" w:rsidRPr="00D64D13" w:rsidRDefault="00D64D13" w:rsidP="00D64D13">
      <w:pPr>
        <w:pStyle w:val="FootnoteText"/>
        <w:rPr>
          <w:rFonts w:ascii="Times New Roman" w:hAnsi="Times New Roman" w:cs="Times New Roman"/>
          <w:color w:val="000000"/>
          <w:sz w:val="22"/>
          <w:szCs w:val="22"/>
          <w:shd w:val="clear" w:color="auto" w:fill="FFFFFF"/>
        </w:rPr>
      </w:pPr>
    </w:p>
    <w:p w14:paraId="163C8355" w14:textId="77777777" w:rsidR="00D10043" w:rsidRPr="00D64D13" w:rsidRDefault="00D10043" w:rsidP="00D10043">
      <w:pPr>
        <w:pStyle w:val="FootnoteText"/>
        <w:rPr>
          <w:rFonts w:ascii="Times New Roman" w:hAnsi="Times New Roman" w:cs="Times New Roman"/>
          <w:sz w:val="22"/>
          <w:szCs w:val="22"/>
        </w:rPr>
      </w:pPr>
      <w:r w:rsidRPr="00D64D13">
        <w:rPr>
          <w:rFonts w:ascii="Times New Roman" w:hAnsi="Times New Roman" w:cs="Times New Roman"/>
          <w:b/>
          <w:bCs/>
          <w:sz w:val="22"/>
          <w:szCs w:val="22"/>
        </w:rPr>
        <w:t>Unknown</w:t>
      </w:r>
      <w:r w:rsidRPr="00D64D13">
        <w:rPr>
          <w:rFonts w:ascii="Times New Roman" w:hAnsi="Times New Roman" w:cs="Times New Roman"/>
          <w:sz w:val="22"/>
          <w:szCs w:val="22"/>
        </w:rPr>
        <w:t xml:space="preserve">, "Theory of Orientalism </w:t>
      </w:r>
      <w:proofErr w:type="gramStart"/>
      <w:r w:rsidRPr="00D64D13">
        <w:rPr>
          <w:rFonts w:ascii="Times New Roman" w:hAnsi="Times New Roman" w:cs="Times New Roman"/>
          <w:sz w:val="22"/>
          <w:szCs w:val="22"/>
        </w:rPr>
        <w:t>And</w:t>
      </w:r>
      <w:proofErr w:type="gramEnd"/>
      <w:r w:rsidRPr="00D64D13">
        <w:rPr>
          <w:rFonts w:ascii="Times New Roman" w:hAnsi="Times New Roman" w:cs="Times New Roman"/>
          <w:sz w:val="22"/>
          <w:szCs w:val="22"/>
        </w:rPr>
        <w:t xml:space="preserve"> Disney’s Aladdin Film Studies Essay." UKEssays.com. 11 (2018). All Answers Ltd. in &lt;https://www.ukessays.com/essays/film-studies/theory-of-orientalism-and-disneys-aladdin-film-studies-essay.php?vref=1&gt;. [accessed 5 January 2020] </w:t>
      </w:r>
    </w:p>
    <w:p w14:paraId="7E52F609" w14:textId="75A166A4" w:rsidR="00D10043" w:rsidRPr="00D64D13" w:rsidRDefault="00D10043" w:rsidP="120A5F89">
      <w:pPr>
        <w:jc w:val="both"/>
        <w:rPr>
          <w:rFonts w:ascii="Times New Roman" w:eastAsia="Times New Roman" w:hAnsi="Times New Roman" w:cs="Times New Roman"/>
          <w:color w:val="000000" w:themeColor="text1"/>
          <w:u w:val="single"/>
        </w:rPr>
      </w:pPr>
      <w:bookmarkStart w:id="0" w:name="_GoBack"/>
      <w:bookmarkEnd w:id="0"/>
    </w:p>
    <w:p w14:paraId="2AD539F4" w14:textId="5F6BA0CC" w:rsidR="00D10043" w:rsidRPr="00D64D13" w:rsidRDefault="00D10043" w:rsidP="00D10043">
      <w:pPr>
        <w:pStyle w:val="FootnoteText"/>
        <w:rPr>
          <w:rFonts w:ascii="Times New Roman" w:hAnsi="Times New Roman" w:cs="Times New Roman"/>
          <w:color w:val="000000"/>
          <w:sz w:val="22"/>
          <w:szCs w:val="22"/>
          <w:shd w:val="clear" w:color="auto" w:fill="FFFFFF"/>
        </w:rPr>
      </w:pPr>
      <w:r w:rsidRPr="00D64D13">
        <w:rPr>
          <w:rFonts w:ascii="Times New Roman" w:hAnsi="Times New Roman" w:cs="Times New Roman"/>
          <w:b/>
          <w:bCs/>
          <w:color w:val="000000"/>
          <w:sz w:val="22"/>
          <w:szCs w:val="22"/>
          <w:shd w:val="clear" w:color="auto" w:fill="FFFFFF"/>
        </w:rPr>
        <w:t>Unknown</w:t>
      </w:r>
      <w:r w:rsidRPr="00D64D13">
        <w:rPr>
          <w:rFonts w:ascii="Times New Roman" w:hAnsi="Times New Roman" w:cs="Times New Roman"/>
          <w:color w:val="000000"/>
          <w:sz w:val="22"/>
          <w:szCs w:val="22"/>
          <w:shd w:val="clear" w:color="auto" w:fill="FFFFFF"/>
        </w:rPr>
        <w:t>,</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i/>
          <w:iCs/>
          <w:color w:val="000000"/>
          <w:sz w:val="22"/>
          <w:szCs w:val="22"/>
          <w:shd w:val="clear" w:color="auto" w:fill="FFFFFF"/>
        </w:rPr>
        <w:t>French satirical paper Charlie Hebdo attacked in Paris</w:t>
      </w:r>
      <w:r w:rsidRPr="00D64D13">
        <w:rPr>
          <w:rStyle w:val="apple-converted-space"/>
          <w:rFonts w:ascii="Times New Roman" w:hAnsi="Times New Roman" w:cs="Times New Roman"/>
          <w:color w:val="000000"/>
          <w:sz w:val="22"/>
          <w:szCs w:val="22"/>
          <w:shd w:val="clear" w:color="auto" w:fill="FFFFFF"/>
        </w:rPr>
        <w:t> </w:t>
      </w:r>
      <w:r w:rsidRPr="00D64D13">
        <w:rPr>
          <w:rFonts w:ascii="Times New Roman" w:hAnsi="Times New Roman" w:cs="Times New Roman"/>
          <w:color w:val="000000"/>
          <w:sz w:val="22"/>
          <w:szCs w:val="22"/>
          <w:shd w:val="clear" w:color="auto" w:fill="FFFFFF"/>
        </w:rPr>
        <w:t>(2011) &lt;https://www.bbc.co.uk/news/world-europe-15550350&gt; [accessed 5 January 2020].</w:t>
      </w:r>
    </w:p>
    <w:p w14:paraId="26C75AC7" w14:textId="77777777" w:rsidR="00D10043" w:rsidRPr="00D64D13" w:rsidRDefault="00D10043" w:rsidP="00D10043">
      <w:pPr>
        <w:pStyle w:val="FootnoteText"/>
        <w:rPr>
          <w:rFonts w:ascii="Times New Roman" w:hAnsi="Times New Roman" w:cs="Times New Roman"/>
          <w:color w:val="000000"/>
          <w:sz w:val="22"/>
          <w:szCs w:val="22"/>
          <w:shd w:val="clear" w:color="auto" w:fill="FFFFFF"/>
        </w:rPr>
      </w:pPr>
    </w:p>
    <w:p w14:paraId="25929DAE" w14:textId="04B7DC47" w:rsidR="00D10043" w:rsidRPr="00D64D13" w:rsidRDefault="00D10043" w:rsidP="00D10043">
      <w:pPr>
        <w:pStyle w:val="FootnoteText"/>
        <w:rPr>
          <w:rFonts w:ascii="Times New Roman" w:hAnsi="Times New Roman" w:cs="Times New Roman"/>
          <w:color w:val="000000"/>
          <w:sz w:val="22"/>
          <w:szCs w:val="22"/>
          <w:shd w:val="clear" w:color="auto" w:fill="FFFFFF"/>
        </w:rPr>
      </w:pPr>
    </w:p>
    <w:p w14:paraId="58CF0D7D" w14:textId="1A455E83" w:rsidR="00D10043" w:rsidRPr="00D64D13" w:rsidRDefault="00D10043" w:rsidP="00D10043">
      <w:pPr>
        <w:pStyle w:val="FootnoteText"/>
        <w:rPr>
          <w:rFonts w:ascii="Times New Roman" w:hAnsi="Times New Roman" w:cs="Times New Roman"/>
          <w:color w:val="000000"/>
          <w:sz w:val="22"/>
          <w:szCs w:val="22"/>
          <w:shd w:val="clear" w:color="auto" w:fill="FFFFFF"/>
        </w:rPr>
      </w:pPr>
    </w:p>
    <w:p w14:paraId="322E8230" w14:textId="3D453C5C" w:rsidR="00D10043" w:rsidRPr="00D64D13" w:rsidRDefault="00D10043" w:rsidP="00D10043">
      <w:pPr>
        <w:pStyle w:val="FootnoteText"/>
        <w:rPr>
          <w:rFonts w:ascii="Times New Roman" w:hAnsi="Times New Roman" w:cs="Times New Roman"/>
          <w:color w:val="000000"/>
          <w:sz w:val="22"/>
          <w:szCs w:val="22"/>
          <w:shd w:val="clear" w:color="auto" w:fill="FFFFFF"/>
        </w:rPr>
      </w:pPr>
    </w:p>
    <w:p w14:paraId="645D51C0" w14:textId="5F366387" w:rsidR="00D10043" w:rsidRPr="00D64D13" w:rsidRDefault="00D10043" w:rsidP="00D10043">
      <w:pPr>
        <w:pStyle w:val="FootnoteText"/>
        <w:rPr>
          <w:rFonts w:ascii="Times New Roman" w:hAnsi="Times New Roman" w:cs="Times New Roman"/>
          <w:color w:val="000000"/>
          <w:sz w:val="22"/>
          <w:szCs w:val="22"/>
          <w:shd w:val="clear" w:color="auto" w:fill="FFFFFF"/>
        </w:rPr>
      </w:pPr>
    </w:p>
    <w:p w14:paraId="01EECD99" w14:textId="7F6B21E6" w:rsidR="00D10043" w:rsidRDefault="00D10043" w:rsidP="00D10043">
      <w:pPr>
        <w:pStyle w:val="FootnoteText"/>
        <w:rPr>
          <w:rFonts w:cstheme="minorHAnsi"/>
          <w:color w:val="000000"/>
          <w:shd w:val="clear" w:color="auto" w:fill="FFFFFF"/>
        </w:rPr>
      </w:pPr>
    </w:p>
    <w:p w14:paraId="0F4E2F7F" w14:textId="22246808" w:rsidR="00D10043" w:rsidRDefault="00D10043" w:rsidP="00D10043">
      <w:pPr>
        <w:pStyle w:val="FootnoteText"/>
        <w:rPr>
          <w:iCs/>
          <w:color w:val="000000"/>
          <w:shd w:val="clear" w:color="auto" w:fill="FFFFFF"/>
        </w:rPr>
      </w:pPr>
    </w:p>
    <w:p w14:paraId="16951A91" w14:textId="77777777" w:rsidR="00D64D13" w:rsidRDefault="00D64D13" w:rsidP="00D10043">
      <w:pPr>
        <w:pStyle w:val="FootnoteText"/>
        <w:rPr>
          <w:iCs/>
          <w:color w:val="000000"/>
          <w:shd w:val="clear" w:color="auto" w:fill="FFFFFF"/>
        </w:rPr>
      </w:pPr>
    </w:p>
    <w:p w14:paraId="78DC7634" w14:textId="77777777" w:rsidR="00D10043" w:rsidRDefault="00D10043" w:rsidP="00D10043">
      <w:pPr>
        <w:pStyle w:val="FootnoteText"/>
        <w:rPr>
          <w:rFonts w:cstheme="minorHAnsi"/>
          <w:color w:val="000000"/>
          <w:shd w:val="clear" w:color="auto" w:fill="FFFFFF"/>
        </w:rPr>
      </w:pPr>
    </w:p>
    <w:p w14:paraId="08426628" w14:textId="77777777" w:rsidR="00D10043" w:rsidRDefault="00D10043" w:rsidP="00D10043">
      <w:pPr>
        <w:pStyle w:val="FootnoteText"/>
        <w:rPr>
          <w:color w:val="000000"/>
          <w:shd w:val="clear" w:color="auto" w:fill="FFFFFF"/>
        </w:rPr>
      </w:pPr>
    </w:p>
    <w:p w14:paraId="7BC13FC2" w14:textId="3FB7F0BC" w:rsidR="00D10043" w:rsidRDefault="00D10043" w:rsidP="00D10043">
      <w:pPr>
        <w:pStyle w:val="FootnoteText"/>
        <w:rPr>
          <w:color w:val="000000"/>
          <w:shd w:val="clear" w:color="auto" w:fill="FFFFFF"/>
        </w:rPr>
      </w:pPr>
    </w:p>
    <w:p w14:paraId="0E9B2E7F" w14:textId="77777777" w:rsidR="00D10043" w:rsidRDefault="00D10043" w:rsidP="00D10043">
      <w:pPr>
        <w:pStyle w:val="FootnoteText"/>
        <w:rPr>
          <w:color w:val="000000"/>
          <w:shd w:val="clear" w:color="auto" w:fill="FFFFFF"/>
        </w:rPr>
      </w:pPr>
    </w:p>
    <w:p w14:paraId="16820361" w14:textId="77777777" w:rsidR="00D10043" w:rsidRDefault="00D10043" w:rsidP="00D10043">
      <w:pPr>
        <w:pStyle w:val="FootnoteText"/>
        <w:rPr>
          <w:color w:val="000000"/>
          <w:shd w:val="clear" w:color="auto" w:fill="FFFFFF"/>
        </w:rPr>
      </w:pPr>
    </w:p>
    <w:p w14:paraId="1CA2632A" w14:textId="1CC2F895" w:rsidR="00D10043" w:rsidRDefault="00D10043" w:rsidP="00D10043">
      <w:pPr>
        <w:pStyle w:val="FootnoteText"/>
        <w:rPr>
          <w:color w:val="000000"/>
          <w:shd w:val="clear" w:color="auto" w:fill="FFFFFF"/>
        </w:rPr>
      </w:pPr>
    </w:p>
    <w:p w14:paraId="7EC73A0D" w14:textId="77777777" w:rsidR="00D10043" w:rsidRDefault="00D10043" w:rsidP="00D10043">
      <w:pPr>
        <w:pStyle w:val="FootnoteText"/>
      </w:pPr>
    </w:p>
    <w:p w14:paraId="121B322B" w14:textId="77777777" w:rsidR="00D10043" w:rsidRDefault="00D10043" w:rsidP="00D10043">
      <w:pPr>
        <w:pStyle w:val="FootnoteText"/>
      </w:pPr>
    </w:p>
    <w:p w14:paraId="4BEBA993" w14:textId="511D1F67" w:rsidR="00D10043" w:rsidRDefault="00D10043" w:rsidP="120A5F89">
      <w:pPr>
        <w:jc w:val="both"/>
        <w:rPr>
          <w:rFonts w:ascii="Times New Roman" w:eastAsia="Times New Roman" w:hAnsi="Times New Roman" w:cs="Times New Roman"/>
          <w:color w:val="000000" w:themeColor="text1"/>
          <w:sz w:val="28"/>
          <w:szCs w:val="28"/>
          <w:u w:val="single"/>
        </w:rPr>
      </w:pPr>
    </w:p>
    <w:p w14:paraId="654AA37C" w14:textId="77777777" w:rsidR="00D10043" w:rsidRDefault="00D10043" w:rsidP="120A5F89">
      <w:pPr>
        <w:jc w:val="both"/>
        <w:rPr>
          <w:rFonts w:ascii="Times New Roman" w:eastAsia="Times New Roman" w:hAnsi="Times New Roman" w:cs="Times New Roman"/>
          <w:color w:val="000000" w:themeColor="text1"/>
          <w:sz w:val="28"/>
          <w:szCs w:val="28"/>
          <w:u w:val="single"/>
        </w:rPr>
      </w:pPr>
    </w:p>
    <w:p w14:paraId="1D878DD0" w14:textId="77777777" w:rsidR="00D10043" w:rsidRPr="00D10043" w:rsidRDefault="00D10043" w:rsidP="120A5F89">
      <w:pPr>
        <w:jc w:val="both"/>
        <w:rPr>
          <w:rFonts w:ascii="Times New Roman" w:eastAsia="Times New Roman" w:hAnsi="Times New Roman" w:cs="Times New Roman"/>
          <w:color w:val="000000" w:themeColor="text1"/>
          <w:sz w:val="28"/>
          <w:szCs w:val="28"/>
          <w:u w:val="single"/>
        </w:rPr>
      </w:pPr>
    </w:p>
    <w:p w14:paraId="5C8D6389" w14:textId="70C056FC" w:rsidR="120A5F89" w:rsidRDefault="120A5F89" w:rsidP="120A5F89">
      <w:pPr>
        <w:jc w:val="both"/>
        <w:rPr>
          <w:rFonts w:ascii="Times New Roman" w:eastAsia="Times New Roman" w:hAnsi="Times New Roman" w:cs="Times New Roman"/>
          <w:color w:val="000000" w:themeColor="text1"/>
          <w:sz w:val="24"/>
          <w:szCs w:val="24"/>
        </w:rPr>
      </w:pPr>
    </w:p>
    <w:p w14:paraId="5F42F341" w14:textId="06028FE4" w:rsidR="120A5F89" w:rsidRDefault="120A5F89" w:rsidP="120A5F89">
      <w:pPr>
        <w:jc w:val="both"/>
        <w:rPr>
          <w:rFonts w:ascii="Times New Roman" w:eastAsia="Times New Roman" w:hAnsi="Times New Roman" w:cs="Times New Roman"/>
          <w:color w:val="000000" w:themeColor="text1"/>
          <w:sz w:val="24"/>
          <w:szCs w:val="24"/>
        </w:rPr>
      </w:pPr>
    </w:p>
    <w:p w14:paraId="2F87BA56" w14:textId="6EE308AA" w:rsidR="455CFBAF" w:rsidRDefault="455CFBAF" w:rsidP="455CFBAF">
      <w:pPr>
        <w:jc w:val="both"/>
        <w:rPr>
          <w:rFonts w:ascii="Times New Roman" w:eastAsia="Times New Roman" w:hAnsi="Times New Roman" w:cs="Times New Roman"/>
          <w:sz w:val="24"/>
          <w:szCs w:val="24"/>
        </w:rPr>
      </w:pPr>
    </w:p>
    <w:p w14:paraId="4712E834" w14:textId="39342123" w:rsidR="75026909" w:rsidRDefault="75026909" w:rsidP="5A583B97">
      <w:pPr>
        <w:jc w:val="both"/>
        <w:rPr>
          <w:rFonts w:ascii="Times New Roman" w:eastAsia="Times New Roman" w:hAnsi="Times New Roman" w:cs="Times New Roman"/>
          <w:sz w:val="24"/>
          <w:szCs w:val="24"/>
        </w:rPr>
      </w:pPr>
    </w:p>
    <w:p w14:paraId="03D4B9F2" w14:textId="4C4E325E" w:rsidR="75026909" w:rsidRDefault="75026909" w:rsidP="5A583B97">
      <w:pPr>
        <w:jc w:val="both"/>
        <w:rPr>
          <w:rFonts w:ascii="Times New Roman" w:eastAsia="Times New Roman" w:hAnsi="Times New Roman" w:cs="Times New Roman"/>
          <w:sz w:val="24"/>
          <w:szCs w:val="24"/>
        </w:rPr>
      </w:pPr>
    </w:p>
    <w:p w14:paraId="22D0160A" w14:textId="436B5DD1" w:rsidR="75026909" w:rsidRDefault="75026909" w:rsidP="5A583B97">
      <w:pPr>
        <w:jc w:val="both"/>
        <w:rPr>
          <w:rFonts w:ascii="Times New Roman" w:eastAsia="Times New Roman" w:hAnsi="Times New Roman" w:cs="Times New Roman"/>
          <w:sz w:val="24"/>
          <w:szCs w:val="24"/>
        </w:rPr>
      </w:pPr>
    </w:p>
    <w:p w14:paraId="05237055" w14:textId="463A1C6E" w:rsidR="75026909" w:rsidRDefault="75026909" w:rsidP="5A583B97">
      <w:pPr>
        <w:jc w:val="both"/>
        <w:rPr>
          <w:rFonts w:ascii="Times New Roman" w:eastAsia="Times New Roman" w:hAnsi="Times New Roman" w:cs="Times New Roman"/>
          <w:sz w:val="24"/>
          <w:szCs w:val="24"/>
        </w:rPr>
      </w:pPr>
    </w:p>
    <w:p w14:paraId="0B1538B4" w14:textId="55CB3A6C" w:rsidR="75026909" w:rsidRDefault="5A583B97" w:rsidP="5A583B97">
      <w:pPr>
        <w:jc w:val="both"/>
        <w:rPr>
          <w:rFonts w:ascii="Times New Roman" w:eastAsia="Times New Roman" w:hAnsi="Times New Roman" w:cs="Times New Roman"/>
          <w:sz w:val="24"/>
          <w:szCs w:val="24"/>
        </w:rPr>
      </w:pPr>
      <w:r w:rsidRPr="5A583B97">
        <w:rPr>
          <w:rFonts w:ascii="Times New Roman" w:eastAsia="Times New Roman" w:hAnsi="Times New Roman" w:cs="Times New Roman"/>
          <w:sz w:val="24"/>
          <w:szCs w:val="24"/>
        </w:rPr>
        <w:t xml:space="preserve"> </w:t>
      </w:r>
    </w:p>
    <w:p w14:paraId="6BA8C138" w14:textId="2766ABD0" w:rsidR="75026909" w:rsidRDefault="75026909" w:rsidP="5A583B97">
      <w:pPr>
        <w:jc w:val="both"/>
        <w:rPr>
          <w:rFonts w:ascii="Times New Roman" w:eastAsia="Times New Roman" w:hAnsi="Times New Roman" w:cs="Times New Roman"/>
          <w:sz w:val="24"/>
          <w:szCs w:val="24"/>
        </w:rPr>
      </w:pPr>
    </w:p>
    <w:p w14:paraId="21EF786F" w14:textId="07FB5E97" w:rsidR="75026909" w:rsidRDefault="75026909" w:rsidP="5A583B97">
      <w:pPr>
        <w:jc w:val="both"/>
        <w:rPr>
          <w:rFonts w:ascii="Times New Roman" w:eastAsia="Times New Roman" w:hAnsi="Times New Roman" w:cs="Times New Roman"/>
          <w:sz w:val="24"/>
          <w:szCs w:val="24"/>
        </w:rPr>
      </w:pPr>
    </w:p>
    <w:p w14:paraId="03E10D41" w14:textId="5807C589" w:rsidR="75026909" w:rsidRDefault="75026909" w:rsidP="5A583B97">
      <w:pPr>
        <w:jc w:val="both"/>
        <w:rPr>
          <w:rFonts w:ascii="Times New Roman" w:eastAsia="Times New Roman" w:hAnsi="Times New Roman" w:cs="Times New Roman"/>
          <w:sz w:val="24"/>
          <w:szCs w:val="24"/>
        </w:rPr>
      </w:pPr>
    </w:p>
    <w:p w14:paraId="6EED41F3" w14:textId="460211BE" w:rsidR="75026909" w:rsidRDefault="75026909" w:rsidP="5A583B97">
      <w:pPr>
        <w:jc w:val="both"/>
        <w:rPr>
          <w:rFonts w:ascii="Times New Roman" w:eastAsia="Times New Roman" w:hAnsi="Times New Roman" w:cs="Times New Roman"/>
          <w:sz w:val="24"/>
          <w:szCs w:val="24"/>
        </w:rPr>
      </w:pPr>
    </w:p>
    <w:p w14:paraId="2C893AD3" w14:textId="3522E6F6" w:rsidR="5A583B97" w:rsidRDefault="5A583B97" w:rsidP="5A583B97">
      <w:pPr>
        <w:jc w:val="both"/>
        <w:rPr>
          <w:rFonts w:ascii="Times New Roman" w:eastAsia="Times New Roman" w:hAnsi="Times New Roman" w:cs="Times New Roman"/>
          <w:sz w:val="24"/>
          <w:szCs w:val="24"/>
        </w:rPr>
      </w:pPr>
    </w:p>
    <w:p w14:paraId="5DBBB146" w14:textId="625B1756" w:rsidR="75026909" w:rsidRDefault="75026909" w:rsidP="75026909">
      <w:pPr>
        <w:jc w:val="both"/>
        <w:rPr>
          <w:rFonts w:ascii="Times New Roman" w:eastAsia="Times New Roman" w:hAnsi="Times New Roman" w:cs="Times New Roman"/>
          <w:sz w:val="24"/>
          <w:szCs w:val="24"/>
        </w:rPr>
      </w:pPr>
    </w:p>
    <w:p w14:paraId="1AAD0226" w14:textId="3C545D2D" w:rsidR="75026909" w:rsidRDefault="75026909" w:rsidP="75026909">
      <w:pPr>
        <w:jc w:val="both"/>
        <w:rPr>
          <w:rFonts w:ascii="Times New Roman" w:eastAsia="Times New Roman" w:hAnsi="Times New Roman" w:cs="Times New Roman"/>
          <w:sz w:val="24"/>
          <w:szCs w:val="24"/>
        </w:rPr>
      </w:pPr>
    </w:p>
    <w:p w14:paraId="34EF8495" w14:textId="35EE4CA4" w:rsidR="50DF0E6C" w:rsidRDefault="50DF0E6C" w:rsidP="50DF0E6C">
      <w:pPr>
        <w:jc w:val="both"/>
        <w:rPr>
          <w:rFonts w:ascii="Times New Roman" w:eastAsia="Times New Roman" w:hAnsi="Times New Roman" w:cs="Times New Roman"/>
          <w:sz w:val="24"/>
          <w:szCs w:val="24"/>
        </w:rPr>
      </w:pPr>
    </w:p>
    <w:p w14:paraId="0D2291A6" w14:textId="1EAA2E8D" w:rsidR="50DF0E6C" w:rsidRDefault="50DF0E6C" w:rsidP="50DF0E6C">
      <w:pPr>
        <w:jc w:val="both"/>
        <w:rPr>
          <w:rFonts w:ascii="Times New Roman" w:eastAsia="Times New Roman" w:hAnsi="Times New Roman" w:cs="Times New Roman"/>
          <w:sz w:val="24"/>
          <w:szCs w:val="24"/>
        </w:rPr>
      </w:pPr>
    </w:p>
    <w:p w14:paraId="33641EDC" w14:textId="6B72ACC8" w:rsidR="50DF0E6C" w:rsidRDefault="50DF0E6C" w:rsidP="50DF0E6C">
      <w:pPr>
        <w:jc w:val="both"/>
        <w:rPr>
          <w:rFonts w:ascii="Times New Roman" w:eastAsia="Times New Roman" w:hAnsi="Times New Roman" w:cs="Times New Roman"/>
          <w:sz w:val="24"/>
          <w:szCs w:val="24"/>
        </w:rPr>
      </w:pPr>
      <w:r w:rsidRPr="50DF0E6C">
        <w:rPr>
          <w:rFonts w:ascii="Times New Roman" w:eastAsia="Times New Roman" w:hAnsi="Times New Roman" w:cs="Times New Roman"/>
          <w:sz w:val="24"/>
          <w:szCs w:val="24"/>
        </w:rPr>
        <w:t xml:space="preserve"> </w:t>
      </w:r>
    </w:p>
    <w:p w14:paraId="1FADAC9B" w14:textId="3FCF0037" w:rsidR="50DF0E6C" w:rsidRDefault="50DF0E6C" w:rsidP="50DF0E6C">
      <w:pPr>
        <w:jc w:val="both"/>
        <w:rPr>
          <w:rFonts w:ascii="Times New Roman" w:eastAsia="Times New Roman" w:hAnsi="Times New Roman" w:cs="Times New Roman"/>
          <w:sz w:val="24"/>
          <w:szCs w:val="24"/>
        </w:rPr>
      </w:pPr>
    </w:p>
    <w:p w14:paraId="56EC9C46" w14:textId="3A0E18A4" w:rsidR="50DF0E6C" w:rsidRDefault="50DF0E6C" w:rsidP="50DF0E6C">
      <w:pPr>
        <w:jc w:val="both"/>
        <w:rPr>
          <w:rFonts w:ascii="Times New Roman" w:eastAsia="Times New Roman" w:hAnsi="Times New Roman" w:cs="Times New Roman"/>
          <w:sz w:val="24"/>
          <w:szCs w:val="24"/>
        </w:rPr>
      </w:pPr>
    </w:p>
    <w:p w14:paraId="6EA1051E" w14:textId="7F25F693" w:rsidR="50DF0E6C" w:rsidRDefault="50DF0E6C" w:rsidP="50DF0E6C">
      <w:pPr>
        <w:jc w:val="both"/>
        <w:rPr>
          <w:rFonts w:ascii="Times New Roman" w:eastAsia="Times New Roman" w:hAnsi="Times New Roman" w:cs="Times New Roman"/>
          <w:sz w:val="24"/>
          <w:szCs w:val="24"/>
        </w:rPr>
      </w:pPr>
    </w:p>
    <w:p w14:paraId="06737B30" w14:textId="285CEEE0" w:rsidR="07CC71A0" w:rsidRDefault="07CC71A0" w:rsidP="07CC71A0">
      <w:pPr>
        <w:jc w:val="both"/>
        <w:rPr>
          <w:rFonts w:ascii="Times New Roman" w:eastAsia="Times New Roman" w:hAnsi="Times New Roman" w:cs="Times New Roman"/>
          <w:sz w:val="24"/>
          <w:szCs w:val="24"/>
        </w:rPr>
      </w:pPr>
    </w:p>
    <w:p w14:paraId="0B2FE0BD" w14:textId="3BA5A404" w:rsidR="009C4AD8" w:rsidRDefault="1C2B5C14" w:rsidP="1C2B5C14">
      <w:pPr>
        <w:jc w:val="both"/>
        <w:rPr>
          <w:rFonts w:ascii="Times New Roman" w:eastAsia="Times New Roman" w:hAnsi="Times New Roman" w:cs="Times New Roman"/>
          <w:sz w:val="24"/>
          <w:szCs w:val="24"/>
        </w:rPr>
      </w:pPr>
      <w:r w:rsidRPr="1C2B5C14">
        <w:rPr>
          <w:rFonts w:ascii="Times New Roman" w:eastAsia="Times New Roman" w:hAnsi="Times New Roman" w:cs="Times New Roman"/>
          <w:sz w:val="24"/>
          <w:szCs w:val="24"/>
        </w:rPr>
        <w:t xml:space="preserve"> </w:t>
      </w:r>
    </w:p>
    <w:p w14:paraId="2C2DE561" w14:textId="2C4878EE" w:rsidR="1BF8CA49" w:rsidRDefault="1BF8CA49" w:rsidP="1BF8CA49">
      <w:pPr>
        <w:jc w:val="both"/>
        <w:rPr>
          <w:rFonts w:ascii="Times New Roman" w:eastAsia="Times New Roman" w:hAnsi="Times New Roman" w:cs="Times New Roman"/>
          <w:sz w:val="24"/>
          <w:szCs w:val="24"/>
        </w:rPr>
      </w:pPr>
    </w:p>
    <w:p w14:paraId="5EFEBFDE" w14:textId="0642D85B" w:rsidR="22289B4F" w:rsidRDefault="22289B4F" w:rsidP="22289B4F">
      <w:pPr>
        <w:jc w:val="center"/>
        <w:rPr>
          <w:rFonts w:ascii="Calibri" w:eastAsia="Calibri" w:hAnsi="Calibri" w:cs="Calibri"/>
        </w:rPr>
      </w:pPr>
    </w:p>
    <w:sectPr w:rsidR="22289B4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38B4E" w14:textId="77777777" w:rsidR="00BC3C8C" w:rsidRDefault="00BC3C8C">
      <w:pPr>
        <w:spacing w:after="0" w:line="240" w:lineRule="auto"/>
      </w:pPr>
      <w:r>
        <w:separator/>
      </w:r>
    </w:p>
  </w:endnote>
  <w:endnote w:type="continuationSeparator" w:id="0">
    <w:p w14:paraId="1BA15BCE" w14:textId="77777777" w:rsidR="00BC3C8C" w:rsidRDefault="00BC3C8C">
      <w:pPr>
        <w:spacing w:after="0" w:line="240" w:lineRule="auto"/>
      </w:pPr>
      <w:r>
        <w:continuationSeparator/>
      </w:r>
    </w:p>
  </w:endnote>
  <w:endnote w:type="continuationNotice" w:id="1">
    <w:p w14:paraId="28B4A905" w14:textId="77777777" w:rsidR="00BC3C8C" w:rsidRDefault="00BC3C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C6E37" w14:textId="77777777" w:rsidR="00BC3C8C" w:rsidRDefault="00BC3C8C">
      <w:pPr>
        <w:spacing w:after="0" w:line="240" w:lineRule="auto"/>
      </w:pPr>
      <w:r>
        <w:separator/>
      </w:r>
    </w:p>
  </w:footnote>
  <w:footnote w:type="continuationSeparator" w:id="0">
    <w:p w14:paraId="05591AEE" w14:textId="77777777" w:rsidR="00BC3C8C" w:rsidRDefault="00BC3C8C">
      <w:pPr>
        <w:spacing w:after="0" w:line="240" w:lineRule="auto"/>
      </w:pPr>
      <w:r>
        <w:continuationSeparator/>
      </w:r>
    </w:p>
  </w:footnote>
  <w:footnote w:type="continuationNotice" w:id="1">
    <w:p w14:paraId="0B9B11A5" w14:textId="77777777" w:rsidR="00BC3C8C" w:rsidRDefault="00BC3C8C">
      <w:pPr>
        <w:spacing w:after="0" w:line="240" w:lineRule="auto"/>
      </w:pPr>
    </w:p>
  </w:footnote>
  <w:footnote w:id="2">
    <w:p w14:paraId="0C062310" w14:textId="4BC44C58" w:rsidR="1C2B5C14" w:rsidRDefault="1C2B5C14" w:rsidP="1C2B5C14">
      <w:pPr>
        <w:pStyle w:val="FootnoteText"/>
      </w:pPr>
      <w:r w:rsidRPr="1C2B5C14">
        <w:rPr>
          <w:rStyle w:val="FootnoteReference"/>
        </w:rPr>
        <w:footnoteRef/>
      </w:r>
      <w:r>
        <w:t xml:space="preserve"> </w:t>
      </w:r>
      <w:r w:rsidR="00645488" w:rsidRPr="004E1EF0">
        <w:rPr>
          <w:color w:val="000000"/>
          <w:shd w:val="clear" w:color="auto" w:fill="FFFFFF"/>
        </w:rPr>
        <w:t>Members of the Commission, </w:t>
      </w:r>
      <w:r w:rsidR="00645488" w:rsidRPr="004E1EF0">
        <w:rPr>
          <w:i/>
          <w:iCs/>
          <w:color w:val="000000"/>
          <w:shd w:val="clear" w:color="auto" w:fill="FFFFFF"/>
        </w:rPr>
        <w:t>Islamophobia: A Challenge for U</w:t>
      </w:r>
      <w:r w:rsidR="00645488">
        <w:rPr>
          <w:i/>
          <w:iCs/>
          <w:color w:val="000000"/>
          <w:shd w:val="clear" w:color="auto" w:fill="FFFFFF"/>
        </w:rPr>
        <w:t>s</w:t>
      </w:r>
      <w:r w:rsidR="00645488" w:rsidRPr="004E1EF0">
        <w:rPr>
          <w:i/>
          <w:iCs/>
          <w:color w:val="000000"/>
          <w:shd w:val="clear" w:color="auto" w:fill="FFFFFF"/>
        </w:rPr>
        <w:t xml:space="preserve"> All</w:t>
      </w:r>
      <w:r w:rsidR="00645488" w:rsidRPr="004E1EF0">
        <w:rPr>
          <w:color w:val="000000"/>
          <w:shd w:val="clear" w:color="auto" w:fill="FFFFFF"/>
        </w:rPr>
        <w:t>, ed. by Robin Richardson (London: The Runnymede Trust, 1997).</w:t>
      </w:r>
    </w:p>
  </w:footnote>
  <w:footnote w:id="3">
    <w:p w14:paraId="126CE0FD" w14:textId="70914C95" w:rsidR="07CC71A0" w:rsidRDefault="07CC71A0" w:rsidP="07CC71A0">
      <w:pPr>
        <w:pStyle w:val="FootnoteText"/>
      </w:pPr>
      <w:r w:rsidRPr="07CC71A0">
        <w:rPr>
          <w:rStyle w:val="FootnoteReference"/>
        </w:rPr>
        <w:footnoteRef/>
      </w:r>
      <w:r>
        <w:t xml:space="preserve"> Ibid</w:t>
      </w:r>
      <w:r w:rsidR="00645488">
        <w:t>.,</w:t>
      </w:r>
      <w:r>
        <w:t xml:space="preserve"> p.1. </w:t>
      </w:r>
    </w:p>
  </w:footnote>
  <w:footnote w:id="4">
    <w:p w14:paraId="25FACDD3" w14:textId="1133D656" w:rsidR="50DF0E6C" w:rsidRDefault="50DF0E6C" w:rsidP="50DF0E6C">
      <w:pPr>
        <w:pStyle w:val="FootnoteText"/>
      </w:pPr>
      <w:r w:rsidRPr="50DF0E6C">
        <w:rPr>
          <w:rStyle w:val="FootnoteReference"/>
        </w:rPr>
        <w:footnoteRef/>
      </w:r>
      <w:r>
        <w:t xml:space="preserve"> Ibid</w:t>
      </w:r>
      <w:r w:rsidR="00645488">
        <w:t>.</w:t>
      </w:r>
    </w:p>
  </w:footnote>
  <w:footnote w:id="5">
    <w:p w14:paraId="599C5D73" w14:textId="0CB24B6E" w:rsidR="50DF0E6C" w:rsidRDefault="50DF0E6C" w:rsidP="50DF0E6C">
      <w:pPr>
        <w:pStyle w:val="FootnoteText"/>
      </w:pPr>
      <w:r w:rsidRPr="50DF0E6C">
        <w:rPr>
          <w:rStyle w:val="FootnoteReference"/>
        </w:rPr>
        <w:footnoteRef/>
      </w:r>
      <w:r>
        <w:t xml:space="preserve"> Ibid</w:t>
      </w:r>
      <w:r w:rsidR="00645488">
        <w:t>.</w:t>
      </w:r>
    </w:p>
  </w:footnote>
  <w:footnote w:id="6">
    <w:p w14:paraId="11F0D7D7" w14:textId="5044DBF3" w:rsidR="50DF0E6C" w:rsidRDefault="50DF0E6C" w:rsidP="50DF0E6C">
      <w:pPr>
        <w:pStyle w:val="FootnoteText"/>
      </w:pPr>
      <w:r w:rsidRPr="50DF0E6C">
        <w:rPr>
          <w:rStyle w:val="FootnoteReference"/>
        </w:rPr>
        <w:footnoteRef/>
      </w:r>
      <w:r>
        <w:t xml:space="preserve"> </w:t>
      </w:r>
      <w:proofErr w:type="gramStart"/>
      <w:r w:rsidR="00645488" w:rsidRPr="004E1EF0">
        <w:rPr>
          <w:color w:val="000000"/>
          <w:shd w:val="clear" w:color="auto" w:fill="FFFFFF"/>
        </w:rPr>
        <w:t>All Party Parliamentary Group on British Muslims,</w:t>
      </w:r>
      <w:proofErr w:type="gramEnd"/>
      <w:r w:rsidR="00645488" w:rsidRPr="004E1EF0">
        <w:rPr>
          <w:color w:val="000000"/>
          <w:shd w:val="clear" w:color="auto" w:fill="FFFFFF"/>
        </w:rPr>
        <w:t> </w:t>
      </w:r>
      <w:r w:rsidR="00645488" w:rsidRPr="004E1EF0">
        <w:rPr>
          <w:i/>
          <w:iCs/>
          <w:color w:val="000000"/>
          <w:shd w:val="clear" w:color="auto" w:fill="FFFFFF"/>
        </w:rPr>
        <w:t>Islamophobia Defined </w:t>
      </w:r>
      <w:r w:rsidR="00645488" w:rsidRPr="004E1EF0">
        <w:rPr>
          <w:color w:val="000000"/>
          <w:shd w:val="clear" w:color="auto" w:fill="FFFFFF"/>
        </w:rPr>
        <w:t xml:space="preserve">(2018), in, &lt;https://appgbritishmuslims.org/publications &gt; [accessed </w:t>
      </w:r>
      <w:r w:rsidR="00645488">
        <w:rPr>
          <w:color w:val="000000"/>
          <w:shd w:val="clear" w:color="auto" w:fill="FFFFFF"/>
        </w:rPr>
        <w:t xml:space="preserve">29 </w:t>
      </w:r>
      <w:r w:rsidR="00645488" w:rsidRPr="004E1EF0">
        <w:rPr>
          <w:color w:val="000000"/>
          <w:shd w:val="clear" w:color="auto" w:fill="FFFFFF"/>
        </w:rPr>
        <w:t>December 2019].</w:t>
      </w:r>
      <w:r w:rsidR="00645488">
        <w:rPr>
          <w:color w:val="000000"/>
          <w:shd w:val="clear" w:color="auto" w:fill="FFFFFF"/>
        </w:rPr>
        <w:t xml:space="preserve"> </w:t>
      </w:r>
      <w:r>
        <w:t xml:space="preserve">p. 25. </w:t>
      </w:r>
    </w:p>
  </w:footnote>
  <w:footnote w:id="7">
    <w:p w14:paraId="0400A637" w14:textId="7938CA93" w:rsidR="50DF0E6C" w:rsidRDefault="50DF0E6C" w:rsidP="50DF0E6C">
      <w:pPr>
        <w:pStyle w:val="FootnoteText"/>
      </w:pPr>
      <w:r w:rsidRPr="50DF0E6C">
        <w:rPr>
          <w:rStyle w:val="FootnoteReference"/>
        </w:rPr>
        <w:footnoteRef/>
      </w:r>
      <w:r w:rsidR="00645488">
        <w:t xml:space="preserve"> Ibid., p. 56.</w:t>
      </w:r>
      <w:r>
        <w:t xml:space="preserve"> </w:t>
      </w:r>
    </w:p>
  </w:footnote>
  <w:footnote w:id="8">
    <w:p w14:paraId="611A90F8" w14:textId="7153B45C" w:rsidR="75026909" w:rsidRDefault="75026909" w:rsidP="75026909">
      <w:pPr>
        <w:pStyle w:val="FootnoteText"/>
      </w:pPr>
      <w:r w:rsidRPr="75026909">
        <w:rPr>
          <w:rStyle w:val="FootnoteReference"/>
        </w:rPr>
        <w:footnoteRef/>
      </w:r>
      <w:r>
        <w:t xml:space="preserve"> </w:t>
      </w:r>
      <w:r w:rsidR="00645488" w:rsidRPr="00DE4FB2">
        <w:rPr>
          <w:color w:val="000000"/>
          <w:shd w:val="clear" w:color="auto" w:fill="FFFFFF"/>
        </w:rPr>
        <w:t>Sir Roger Jenkins, Trevor Phillips, 'Islamophobia Defined ', </w:t>
      </w:r>
      <w:r w:rsidR="00645488" w:rsidRPr="00DE4FB2">
        <w:rPr>
          <w:i/>
          <w:iCs/>
          <w:color w:val="000000"/>
          <w:shd w:val="clear" w:color="auto" w:fill="FFFFFF"/>
        </w:rPr>
        <w:t>Policy Exchange</w:t>
      </w:r>
      <w:r w:rsidR="00645488" w:rsidRPr="00DE4FB2">
        <w:rPr>
          <w:color w:val="000000"/>
          <w:shd w:val="clear" w:color="auto" w:fill="FFFFFF"/>
        </w:rPr>
        <w:t>, (2018)</w:t>
      </w:r>
      <w:proofErr w:type="gramStart"/>
      <w:r w:rsidR="00645488" w:rsidRPr="00DE4FB2">
        <w:rPr>
          <w:color w:val="000000"/>
          <w:shd w:val="clear" w:color="auto" w:fill="FFFFFF"/>
        </w:rPr>
        <w:t>, ,in</w:t>
      </w:r>
      <w:proofErr w:type="gramEnd"/>
      <w:r w:rsidR="00645488" w:rsidRPr="00DE4FB2">
        <w:rPr>
          <w:color w:val="000000"/>
          <w:shd w:val="clear" w:color="auto" w:fill="FFFFFF"/>
        </w:rPr>
        <w:t> </w:t>
      </w:r>
      <w:r w:rsidR="00645488" w:rsidRPr="00DE4FB2">
        <w:rPr>
          <w:i/>
          <w:iCs/>
          <w:color w:val="000000"/>
          <w:shd w:val="clear" w:color="auto" w:fill="FFFFFF"/>
        </w:rPr>
        <w:t xml:space="preserve">&lt;https://policyexchange.org.uk/wp-content/uploads/2018/12/Defining-Islamophobia.pdf&gt; </w:t>
      </w:r>
      <w:r w:rsidR="00645488" w:rsidRPr="00DE4FB2">
        <w:rPr>
          <w:iCs/>
          <w:color w:val="000000"/>
          <w:shd w:val="clear" w:color="auto" w:fill="FFFFFF"/>
        </w:rPr>
        <w:t xml:space="preserve">[accessed </w:t>
      </w:r>
      <w:r w:rsidR="00645488">
        <w:rPr>
          <w:iCs/>
          <w:color w:val="000000"/>
          <w:shd w:val="clear" w:color="auto" w:fill="FFFFFF"/>
        </w:rPr>
        <w:t>29</w:t>
      </w:r>
      <w:r w:rsidR="00645488" w:rsidRPr="00DE4FB2">
        <w:rPr>
          <w:iCs/>
          <w:color w:val="000000"/>
          <w:shd w:val="clear" w:color="auto" w:fill="FFFFFF"/>
        </w:rPr>
        <w:t xml:space="preserve"> December 2019].</w:t>
      </w:r>
      <w:r w:rsidR="00645488">
        <w:t>, p. 3.</w:t>
      </w:r>
    </w:p>
  </w:footnote>
  <w:footnote w:id="9">
    <w:p w14:paraId="2D8DB09F" w14:textId="2471A8F6" w:rsidR="75026909" w:rsidRDefault="75026909" w:rsidP="75026909">
      <w:pPr>
        <w:pStyle w:val="FootnoteText"/>
      </w:pPr>
      <w:r w:rsidRPr="75026909">
        <w:rPr>
          <w:rStyle w:val="FootnoteReference"/>
        </w:rPr>
        <w:footnoteRef/>
      </w:r>
      <w:r>
        <w:t xml:space="preserve"> </w:t>
      </w:r>
      <w:r w:rsidR="00645488">
        <w:t xml:space="preserve"> </w:t>
      </w:r>
      <w:r>
        <w:t>Ibid</w:t>
      </w:r>
      <w:r w:rsidR="00645488">
        <w:t>., p.</w:t>
      </w:r>
      <w:r>
        <w:t xml:space="preserve"> 5.</w:t>
      </w:r>
    </w:p>
  </w:footnote>
  <w:footnote w:id="10">
    <w:p w14:paraId="3115A421" w14:textId="53EF753E" w:rsidR="75026909" w:rsidRDefault="75026909" w:rsidP="75026909">
      <w:pPr>
        <w:pStyle w:val="FootnoteText"/>
      </w:pPr>
      <w:r w:rsidRPr="75026909">
        <w:rPr>
          <w:rStyle w:val="FootnoteReference"/>
        </w:rPr>
        <w:footnoteRef/>
      </w:r>
      <w:r>
        <w:t xml:space="preserve"> </w:t>
      </w:r>
      <w:r w:rsidR="00645488">
        <w:t xml:space="preserve"> I</w:t>
      </w:r>
      <w:r>
        <w:t>bid</w:t>
      </w:r>
      <w:r w:rsidR="00645488">
        <w:t>., p.</w:t>
      </w:r>
      <w:r>
        <w:t xml:space="preserve"> 6</w:t>
      </w:r>
      <w:r w:rsidR="00645488">
        <w:t>.</w:t>
      </w:r>
    </w:p>
  </w:footnote>
  <w:footnote w:id="11">
    <w:p w14:paraId="0E69D94E" w14:textId="38BBE6A5" w:rsidR="75026909" w:rsidRDefault="75026909" w:rsidP="75026909">
      <w:pPr>
        <w:pStyle w:val="FootnoteText"/>
      </w:pPr>
      <w:r w:rsidRPr="75026909">
        <w:rPr>
          <w:rStyle w:val="FootnoteReference"/>
        </w:rPr>
        <w:footnoteRef/>
      </w:r>
      <w:r>
        <w:t xml:space="preserve"> </w:t>
      </w:r>
      <w:r w:rsidR="00645488">
        <w:t>I</w:t>
      </w:r>
      <w:r>
        <w:t>bid</w:t>
      </w:r>
      <w:r w:rsidR="00645488">
        <w:t>.</w:t>
      </w:r>
    </w:p>
  </w:footnote>
  <w:footnote w:id="12">
    <w:p w14:paraId="46A292F5" w14:textId="579E043D" w:rsidR="5A583B97" w:rsidRDefault="5A583B97" w:rsidP="5A583B97">
      <w:pPr>
        <w:pStyle w:val="FootnoteText"/>
      </w:pPr>
      <w:r w:rsidRPr="5A583B97">
        <w:rPr>
          <w:rStyle w:val="FootnoteReference"/>
        </w:rPr>
        <w:footnoteRef/>
      </w:r>
      <w:r>
        <w:t xml:space="preserve"> Ibid</w:t>
      </w:r>
      <w:r w:rsidR="00645488">
        <w:t>., P. 14.</w:t>
      </w:r>
      <w:r>
        <w:t xml:space="preserve"> </w:t>
      </w:r>
    </w:p>
  </w:footnote>
  <w:footnote w:id="13">
    <w:p w14:paraId="2FBBCCFD" w14:textId="64156AA8" w:rsidR="5A583B97" w:rsidRDefault="5A583B97" w:rsidP="5A583B97">
      <w:pPr>
        <w:pStyle w:val="FootnoteText"/>
      </w:pPr>
      <w:r w:rsidRPr="5A583B97">
        <w:rPr>
          <w:rStyle w:val="FootnoteReference"/>
        </w:rPr>
        <w:footnoteRef/>
      </w:r>
      <w:r>
        <w:t xml:space="preserve"> Ibid</w:t>
      </w:r>
      <w:r w:rsidR="00645488">
        <w:t>.</w:t>
      </w:r>
      <w:r>
        <w:t xml:space="preserve"> </w:t>
      </w:r>
    </w:p>
  </w:footnote>
  <w:footnote w:id="14">
    <w:p w14:paraId="787F9D7A" w14:textId="24A98859" w:rsidR="5A583B97" w:rsidRDefault="5A583B97" w:rsidP="5A583B97">
      <w:pPr>
        <w:pStyle w:val="FootnoteText"/>
      </w:pPr>
      <w:r w:rsidRPr="5A583B97">
        <w:rPr>
          <w:rStyle w:val="FootnoteReference"/>
        </w:rPr>
        <w:footnoteRef/>
      </w:r>
      <w:r>
        <w:t xml:space="preserve"> Ibid</w:t>
      </w:r>
      <w:r w:rsidR="00645488">
        <w:t>.</w:t>
      </w:r>
      <w:r>
        <w:t xml:space="preserve"> </w:t>
      </w:r>
    </w:p>
  </w:footnote>
  <w:footnote w:id="15">
    <w:p w14:paraId="648750F2" w14:textId="16E08597" w:rsidR="5A583B97" w:rsidRDefault="5A583B97" w:rsidP="5A583B97">
      <w:pPr>
        <w:pStyle w:val="FootnoteText"/>
      </w:pPr>
      <w:r w:rsidRPr="5A583B97">
        <w:rPr>
          <w:rStyle w:val="FootnoteReference"/>
        </w:rPr>
        <w:footnoteRef/>
      </w:r>
      <w:r>
        <w:t xml:space="preserve"> Ibid</w:t>
      </w:r>
      <w:r w:rsidR="00645488">
        <w:t>.</w:t>
      </w:r>
    </w:p>
  </w:footnote>
  <w:footnote w:id="16">
    <w:p w14:paraId="6CA5BC51" w14:textId="4F8CADE3" w:rsidR="5A583B97" w:rsidRDefault="5A583B97" w:rsidP="5A583B97">
      <w:pPr>
        <w:pStyle w:val="FootnoteText"/>
      </w:pPr>
      <w:r w:rsidRPr="5A583B97">
        <w:rPr>
          <w:rStyle w:val="FootnoteReference"/>
        </w:rPr>
        <w:footnoteRef/>
      </w:r>
      <w:r>
        <w:t xml:space="preserve"> Ibid</w:t>
      </w:r>
      <w:r w:rsidR="00645488">
        <w:t>., P.</w:t>
      </w:r>
      <w:r>
        <w:t xml:space="preserve"> 15</w:t>
      </w:r>
      <w:r w:rsidR="00645488">
        <w:t>.</w:t>
      </w:r>
    </w:p>
  </w:footnote>
  <w:footnote w:id="17">
    <w:p w14:paraId="7BBEC23E" w14:textId="5719F77D" w:rsidR="5A583B97" w:rsidRPr="00D10043" w:rsidRDefault="5A583B97" w:rsidP="5A583B97">
      <w:pPr>
        <w:pStyle w:val="FootnoteText"/>
        <w:rPr>
          <w:rFonts w:cstheme="minorHAnsi"/>
          <w:color w:val="000000"/>
          <w:shd w:val="clear" w:color="auto" w:fill="FFFFFF"/>
        </w:rPr>
      </w:pPr>
      <w:r w:rsidRPr="5A583B97">
        <w:rPr>
          <w:rStyle w:val="FootnoteReference"/>
        </w:rPr>
        <w:footnoteRef/>
      </w:r>
      <w:r>
        <w:t xml:space="preserve"> </w:t>
      </w:r>
      <w:r w:rsidR="00D10043" w:rsidRPr="00645488">
        <w:rPr>
          <w:rFonts w:cstheme="minorHAnsi"/>
          <w:color w:val="000000"/>
          <w:shd w:val="clear" w:color="auto" w:fill="FFFFFF"/>
        </w:rPr>
        <w:t>Dr Chris Allen</w:t>
      </w:r>
      <w:r w:rsidR="00D10043">
        <w:rPr>
          <w:rFonts w:cstheme="minorHAnsi"/>
          <w:color w:val="000000"/>
          <w:shd w:val="clear" w:color="auto" w:fill="FFFFFF"/>
        </w:rPr>
        <w:t xml:space="preserve">, </w:t>
      </w:r>
      <w:proofErr w:type="gramStart"/>
      <w:r w:rsidR="00D10043" w:rsidRPr="00645488">
        <w:rPr>
          <w:rFonts w:cstheme="minorHAnsi"/>
          <w:i/>
          <w:iCs/>
          <w:color w:val="000000"/>
          <w:shd w:val="clear" w:color="auto" w:fill="FFFFFF"/>
        </w:rPr>
        <w:t>Towards</w:t>
      </w:r>
      <w:proofErr w:type="gramEnd"/>
      <w:r w:rsidR="00D10043" w:rsidRPr="00645488">
        <w:rPr>
          <w:rFonts w:cstheme="minorHAnsi"/>
          <w:i/>
          <w:iCs/>
          <w:color w:val="000000"/>
          <w:shd w:val="clear" w:color="auto" w:fill="FFFFFF"/>
        </w:rPr>
        <w:t xml:space="preserve"> a Working Definition of Islamophobia</w:t>
      </w:r>
      <w:r w:rsidR="00D10043">
        <w:rPr>
          <w:rFonts w:cstheme="minorHAnsi"/>
          <w:i/>
          <w:iCs/>
          <w:color w:val="000000"/>
          <w:shd w:val="clear" w:color="auto" w:fill="FFFFFF"/>
        </w:rPr>
        <w:t>: a briefing paper prepared in response to the Home Affairs committee</w:t>
      </w:r>
      <w:r w:rsidR="00D10043">
        <w:rPr>
          <w:rFonts w:cstheme="minorHAnsi"/>
          <w:color w:val="000000"/>
          <w:shd w:val="clear" w:color="auto" w:fill="FFFFFF"/>
        </w:rPr>
        <w:t xml:space="preserve"> (Birmingham: </w:t>
      </w:r>
      <w:r w:rsidR="00D10043" w:rsidRPr="00645488">
        <w:rPr>
          <w:rFonts w:cstheme="minorHAnsi"/>
          <w:color w:val="000000"/>
          <w:shd w:val="clear" w:color="auto" w:fill="FFFFFF"/>
        </w:rPr>
        <w:t>University of Birmingham</w:t>
      </w:r>
      <w:r w:rsidR="00D10043">
        <w:rPr>
          <w:rFonts w:cstheme="minorHAnsi"/>
          <w:color w:val="000000"/>
          <w:shd w:val="clear" w:color="auto" w:fill="FFFFFF"/>
        </w:rPr>
        <w:t>, 2017)</w:t>
      </w:r>
      <w:r w:rsidR="00645488" w:rsidRPr="00645488">
        <w:rPr>
          <w:rFonts w:cstheme="minorHAnsi"/>
          <w:color w:val="000000"/>
          <w:shd w:val="clear" w:color="auto" w:fill="FFFFFF"/>
        </w:rPr>
        <w:t>., p.</w:t>
      </w:r>
      <w:r w:rsidRPr="00645488">
        <w:rPr>
          <w:rFonts w:cstheme="minorHAnsi"/>
        </w:rPr>
        <w:t xml:space="preserve"> 8.</w:t>
      </w:r>
      <w:r>
        <w:t xml:space="preserve"> </w:t>
      </w:r>
    </w:p>
  </w:footnote>
  <w:footnote w:id="18">
    <w:p w14:paraId="17461E0C" w14:textId="514F349E" w:rsidR="120A5F89" w:rsidRDefault="120A5F89" w:rsidP="120A5F89">
      <w:pPr>
        <w:pStyle w:val="FootnoteText"/>
      </w:pPr>
      <w:r w:rsidRPr="120A5F89">
        <w:rPr>
          <w:rStyle w:val="FootnoteReference"/>
        </w:rPr>
        <w:footnoteRef/>
      </w:r>
      <w:r>
        <w:t xml:space="preserve"> </w:t>
      </w:r>
      <w:r w:rsidR="002D291A">
        <w:t>Ibid.,</w:t>
      </w:r>
      <w:r>
        <w:t xml:space="preserve"> p.6 </w:t>
      </w:r>
    </w:p>
  </w:footnote>
  <w:footnote w:id="19">
    <w:p w14:paraId="07234192" w14:textId="66A26CBC" w:rsidR="120A5F89" w:rsidRDefault="120A5F89" w:rsidP="120A5F89">
      <w:pPr>
        <w:pStyle w:val="FootnoteText"/>
      </w:pPr>
      <w:r w:rsidRPr="120A5F89">
        <w:rPr>
          <w:rStyle w:val="FootnoteReference"/>
        </w:rPr>
        <w:footnoteRef/>
      </w:r>
      <w:r>
        <w:t xml:space="preserve"> Ibid</w:t>
      </w:r>
      <w:r w:rsidR="002D291A">
        <w:t>.</w:t>
      </w:r>
    </w:p>
  </w:footnote>
  <w:footnote w:id="20">
    <w:p w14:paraId="5131BEAD" w14:textId="00325240" w:rsidR="120A5F89" w:rsidRDefault="120A5F89" w:rsidP="120A5F89">
      <w:pPr>
        <w:pStyle w:val="FootnoteText"/>
      </w:pPr>
      <w:r w:rsidRPr="120A5F89">
        <w:rPr>
          <w:rStyle w:val="FootnoteReference"/>
        </w:rPr>
        <w:footnoteRef/>
      </w:r>
      <w:r>
        <w:t xml:space="preserve"> Ibid</w:t>
      </w:r>
      <w:r w:rsidR="002D291A">
        <w:t>.</w:t>
      </w:r>
    </w:p>
  </w:footnote>
  <w:footnote w:id="21">
    <w:p w14:paraId="326666E4" w14:textId="3C5E3FD9" w:rsidR="120A5F89" w:rsidRDefault="120A5F89" w:rsidP="120A5F89">
      <w:pPr>
        <w:pStyle w:val="FootnoteText"/>
      </w:pPr>
      <w:r w:rsidRPr="120A5F89">
        <w:rPr>
          <w:rStyle w:val="FootnoteReference"/>
        </w:rPr>
        <w:footnoteRef/>
      </w:r>
      <w:r>
        <w:t xml:space="preserve"> See Ibid</w:t>
      </w:r>
      <w:r w:rsidR="002D291A">
        <w:t>.,</w:t>
      </w:r>
      <w:r>
        <w:t xml:space="preserve"> p. 7. </w:t>
      </w:r>
    </w:p>
  </w:footnote>
  <w:footnote w:id="22">
    <w:p w14:paraId="1F8CB20C" w14:textId="331529C7" w:rsidR="120A5F89" w:rsidRDefault="120A5F89" w:rsidP="120A5F89">
      <w:pPr>
        <w:pStyle w:val="FootnoteText"/>
      </w:pPr>
      <w:r w:rsidRPr="120A5F89">
        <w:rPr>
          <w:rStyle w:val="FootnoteReference"/>
        </w:rPr>
        <w:footnoteRef/>
      </w:r>
      <w:r>
        <w:t xml:space="preserve"> Ibid</w:t>
      </w:r>
      <w:r w:rsidR="002D291A">
        <w:t>.</w:t>
      </w:r>
    </w:p>
  </w:footnote>
  <w:footnote w:id="23">
    <w:p w14:paraId="172A3951" w14:textId="27B115D3" w:rsidR="120A5F89" w:rsidRDefault="120A5F89" w:rsidP="120A5F89">
      <w:pPr>
        <w:pStyle w:val="FootnoteText"/>
      </w:pPr>
      <w:r w:rsidRPr="120A5F89">
        <w:rPr>
          <w:rStyle w:val="FootnoteReference"/>
        </w:rPr>
        <w:footnoteRef/>
      </w:r>
      <w:r>
        <w:t xml:space="preserve"> Ibid</w:t>
      </w:r>
      <w:r w:rsidR="002D291A">
        <w:t>.,</w:t>
      </w:r>
      <w:r>
        <w:t xml:space="preserve"> p. 6-7.</w:t>
      </w:r>
    </w:p>
  </w:footnote>
  <w:footnote w:id="24">
    <w:p w14:paraId="1F647146" w14:textId="1CC37099" w:rsidR="77F9F554" w:rsidRDefault="77F9F554" w:rsidP="77F9F554">
      <w:pPr>
        <w:pStyle w:val="FootnoteText"/>
      </w:pPr>
      <w:r w:rsidRPr="77F9F554">
        <w:rPr>
          <w:rStyle w:val="FootnoteReference"/>
        </w:rPr>
        <w:footnoteRef/>
      </w:r>
      <w:r>
        <w:t xml:space="preserve"> The so-called ’West’ in this paper will be limited to that of the United States and European countries, both as political entities and geographic areas.  </w:t>
      </w:r>
    </w:p>
  </w:footnote>
  <w:footnote w:id="25">
    <w:p w14:paraId="2F164237" w14:textId="1CFDDFC7" w:rsidR="77F9F554" w:rsidRPr="002D291A" w:rsidRDefault="77F9F554" w:rsidP="77F9F554">
      <w:pPr>
        <w:pStyle w:val="FootnoteText"/>
      </w:pPr>
      <w:r w:rsidRPr="77F9F554">
        <w:rPr>
          <w:rStyle w:val="FootnoteReference"/>
        </w:rPr>
        <w:footnoteRef/>
      </w:r>
      <w:r>
        <w:t xml:space="preserve"> </w:t>
      </w:r>
      <w:r w:rsidR="002D291A">
        <w:t>“</w:t>
      </w:r>
      <w:r>
        <w:t xml:space="preserve">...a way of coming to terms with the Orient, that is based on the Orient’s special place in European Western experience” </w:t>
      </w:r>
      <w:r w:rsidR="002D291A" w:rsidRPr="002D291A">
        <w:rPr>
          <w:color w:val="000000"/>
          <w:shd w:val="clear" w:color="auto" w:fill="FFFFFF"/>
        </w:rPr>
        <w:t>Edward W. Said,</w:t>
      </w:r>
      <w:r w:rsidR="002D291A" w:rsidRPr="002D291A">
        <w:rPr>
          <w:rStyle w:val="apple-converted-space"/>
          <w:color w:val="000000"/>
          <w:shd w:val="clear" w:color="auto" w:fill="FFFFFF"/>
        </w:rPr>
        <w:t> </w:t>
      </w:r>
      <w:r w:rsidR="002D291A" w:rsidRPr="002D291A">
        <w:rPr>
          <w:i/>
          <w:iCs/>
          <w:color w:val="000000"/>
          <w:shd w:val="clear" w:color="auto" w:fill="FFFFFF"/>
        </w:rPr>
        <w:t>Orientalism, Western Conceptions of the Orient</w:t>
      </w:r>
      <w:r w:rsidR="002D291A" w:rsidRPr="002D291A">
        <w:rPr>
          <w:rStyle w:val="apple-converted-space"/>
          <w:color w:val="000000"/>
          <w:shd w:val="clear" w:color="auto" w:fill="FFFFFF"/>
        </w:rPr>
        <w:t> </w:t>
      </w:r>
      <w:r w:rsidR="002D291A" w:rsidRPr="002D291A">
        <w:rPr>
          <w:color w:val="000000"/>
          <w:shd w:val="clear" w:color="auto" w:fill="FFFFFF"/>
        </w:rPr>
        <w:t>(London: Penguin Books, 1995).</w:t>
      </w:r>
      <w:r w:rsidR="002D291A">
        <w:rPr>
          <w:color w:val="000000"/>
          <w:shd w:val="clear" w:color="auto" w:fill="FFFFFF"/>
        </w:rPr>
        <w:t xml:space="preserve"> P.1. </w:t>
      </w:r>
    </w:p>
  </w:footnote>
  <w:footnote w:id="26">
    <w:p w14:paraId="2784113D" w14:textId="7F32E632" w:rsidR="77F9F554" w:rsidRDefault="77F9F554" w:rsidP="77F9F554">
      <w:pPr>
        <w:pStyle w:val="FootnoteText"/>
      </w:pPr>
      <w:r w:rsidRPr="77F9F554">
        <w:rPr>
          <w:rStyle w:val="FootnoteReference"/>
        </w:rPr>
        <w:footnoteRef/>
      </w:r>
      <w:r>
        <w:t xml:space="preserve"> </w:t>
      </w:r>
      <w:r w:rsidR="002D291A">
        <w:t>J</w:t>
      </w:r>
      <w:r w:rsidR="002D291A" w:rsidRPr="0011736E">
        <w:rPr>
          <w:color w:val="000000"/>
          <w:shd w:val="clear" w:color="auto" w:fill="FFFFFF"/>
        </w:rPr>
        <w:t xml:space="preserve">ocelyne </w:t>
      </w:r>
      <w:proofErr w:type="spellStart"/>
      <w:proofErr w:type="gramStart"/>
      <w:r w:rsidR="002D291A" w:rsidRPr="0011736E">
        <w:rPr>
          <w:color w:val="000000"/>
          <w:shd w:val="clear" w:color="auto" w:fill="FFFFFF"/>
        </w:rPr>
        <w:t>Cesari</w:t>
      </w:r>
      <w:proofErr w:type="spellEnd"/>
      <w:r w:rsidR="002D291A" w:rsidRPr="0011736E">
        <w:rPr>
          <w:color w:val="000000"/>
          <w:shd w:val="clear" w:color="auto" w:fill="FFFFFF"/>
        </w:rPr>
        <w:t xml:space="preserve"> ,</w:t>
      </w:r>
      <w:proofErr w:type="gramEnd"/>
      <w:r w:rsidR="002D291A" w:rsidRPr="0011736E">
        <w:rPr>
          <w:color w:val="000000"/>
          <w:shd w:val="clear" w:color="auto" w:fill="FFFFFF"/>
        </w:rPr>
        <w:t xml:space="preserve"> 'Introduction', in</w:t>
      </w:r>
      <w:r w:rsidR="002D291A" w:rsidRPr="0011736E">
        <w:rPr>
          <w:rStyle w:val="apple-converted-space"/>
          <w:color w:val="000000"/>
          <w:shd w:val="clear" w:color="auto" w:fill="FFFFFF"/>
        </w:rPr>
        <w:t> </w:t>
      </w:r>
      <w:r w:rsidR="002D291A" w:rsidRPr="0011736E">
        <w:rPr>
          <w:i/>
          <w:iCs/>
          <w:color w:val="000000"/>
          <w:shd w:val="clear" w:color="auto" w:fill="FFFFFF"/>
        </w:rPr>
        <w:t>Muslims in the West after 9/11</w:t>
      </w:r>
      <w:r w:rsidR="002D291A" w:rsidRPr="0011736E">
        <w:rPr>
          <w:color w:val="000000"/>
          <w:shd w:val="clear" w:color="auto" w:fill="FFFFFF"/>
        </w:rPr>
        <w:t xml:space="preserve">, ed. by Jocelyne </w:t>
      </w:r>
      <w:proofErr w:type="spellStart"/>
      <w:r w:rsidR="002D291A" w:rsidRPr="0011736E">
        <w:rPr>
          <w:color w:val="000000"/>
          <w:shd w:val="clear" w:color="auto" w:fill="FFFFFF"/>
        </w:rPr>
        <w:t>Cesari</w:t>
      </w:r>
      <w:proofErr w:type="spellEnd"/>
      <w:r w:rsidR="002D291A" w:rsidRPr="0011736E">
        <w:rPr>
          <w:color w:val="000000"/>
          <w:shd w:val="clear" w:color="auto" w:fill="FFFFFF"/>
        </w:rPr>
        <w:t xml:space="preserve"> (Oxon: Routledge , 2010).</w:t>
      </w:r>
      <w:r w:rsidRPr="0011736E">
        <w:t xml:space="preserve"> p.3. </w:t>
      </w:r>
    </w:p>
  </w:footnote>
  <w:footnote w:id="27">
    <w:p w14:paraId="02AA25AE" w14:textId="46974CC3" w:rsidR="1726E037" w:rsidRDefault="1726E037" w:rsidP="1726E037">
      <w:pPr>
        <w:pStyle w:val="FootnoteText"/>
      </w:pPr>
      <w:r w:rsidRPr="1726E037">
        <w:rPr>
          <w:rStyle w:val="FootnoteReference"/>
        </w:rPr>
        <w:footnoteRef/>
      </w:r>
      <w:r>
        <w:t xml:space="preserve"> </w:t>
      </w:r>
      <w:r w:rsidR="0011736E" w:rsidRPr="0011736E">
        <w:rPr>
          <w:color w:val="000000"/>
          <w:shd w:val="clear" w:color="auto" w:fill="FFFFFF"/>
        </w:rPr>
        <w:t>Elizabeth Poole, 'The Effects of September 11 and the War in Iraq on British Newspaper Coverage', in</w:t>
      </w:r>
      <w:r w:rsidR="0011736E" w:rsidRPr="0011736E">
        <w:rPr>
          <w:rStyle w:val="apple-converted-space"/>
          <w:color w:val="000000"/>
          <w:shd w:val="clear" w:color="auto" w:fill="FFFFFF"/>
        </w:rPr>
        <w:t> </w:t>
      </w:r>
      <w:r w:rsidR="0011736E" w:rsidRPr="0011736E">
        <w:rPr>
          <w:i/>
          <w:iCs/>
          <w:color w:val="000000"/>
          <w:shd w:val="clear" w:color="auto" w:fill="FFFFFF"/>
        </w:rPr>
        <w:t>Muslims and The News Media</w:t>
      </w:r>
      <w:r w:rsidR="0011736E" w:rsidRPr="0011736E">
        <w:rPr>
          <w:color w:val="000000"/>
          <w:shd w:val="clear" w:color="auto" w:fill="FFFFFF"/>
        </w:rPr>
        <w:t>, ed. by Elizabeth Poole and John E. Richardson (London: I.B. Tauris, 2006).</w:t>
      </w:r>
      <w:r w:rsidR="0011736E">
        <w:rPr>
          <w:color w:val="000000"/>
          <w:shd w:val="clear" w:color="auto" w:fill="FFFFFF"/>
        </w:rPr>
        <w:t>, p. 89.</w:t>
      </w:r>
    </w:p>
  </w:footnote>
  <w:footnote w:id="28">
    <w:p w14:paraId="233A2A32" w14:textId="3568B0DA" w:rsidR="1726E037" w:rsidRDefault="1726E037" w:rsidP="1726E037">
      <w:pPr>
        <w:pStyle w:val="FootnoteText"/>
      </w:pPr>
      <w:r w:rsidRPr="1726E037">
        <w:rPr>
          <w:rStyle w:val="FootnoteReference"/>
        </w:rPr>
        <w:footnoteRef/>
      </w:r>
      <w:r>
        <w:t xml:space="preserve"> Ibid</w:t>
      </w:r>
      <w:r w:rsidR="0011736E">
        <w:t>.</w:t>
      </w:r>
    </w:p>
  </w:footnote>
  <w:footnote w:id="29">
    <w:p w14:paraId="635333CB" w14:textId="4AB93BB7" w:rsidR="1726E037" w:rsidRDefault="1726E037" w:rsidP="1726E037">
      <w:pPr>
        <w:pStyle w:val="FootnoteText"/>
      </w:pPr>
      <w:r w:rsidRPr="1726E037">
        <w:rPr>
          <w:rStyle w:val="FootnoteReference"/>
        </w:rPr>
        <w:footnoteRef/>
      </w:r>
      <w:r>
        <w:t xml:space="preserve"> Ibid</w:t>
      </w:r>
      <w:r w:rsidR="0011736E">
        <w:t>., p.</w:t>
      </w:r>
      <w:r>
        <w:t xml:space="preserve"> 91</w:t>
      </w:r>
      <w:r w:rsidR="0011736E">
        <w:t>.</w:t>
      </w:r>
    </w:p>
  </w:footnote>
  <w:footnote w:id="30">
    <w:p w14:paraId="25257B42" w14:textId="66B1BD88" w:rsidR="1726E037" w:rsidRDefault="1726E037" w:rsidP="1726E037">
      <w:pPr>
        <w:pStyle w:val="FootnoteText"/>
      </w:pPr>
      <w:r w:rsidRPr="1726E037">
        <w:rPr>
          <w:rStyle w:val="FootnoteReference"/>
        </w:rPr>
        <w:footnoteRef/>
      </w:r>
      <w:r>
        <w:t xml:space="preserve"> Ibid</w:t>
      </w:r>
      <w:r w:rsidR="0011736E">
        <w:t>., p.</w:t>
      </w:r>
      <w:r>
        <w:t xml:space="preserve"> 96</w:t>
      </w:r>
      <w:r w:rsidR="0011736E">
        <w:t>.</w:t>
      </w:r>
    </w:p>
  </w:footnote>
  <w:footnote w:id="31">
    <w:p w14:paraId="492F219D" w14:textId="6393FA0C" w:rsidR="1726E037" w:rsidRDefault="1726E037" w:rsidP="1726E037">
      <w:pPr>
        <w:pStyle w:val="FootnoteText"/>
      </w:pPr>
      <w:r w:rsidRPr="1726E037">
        <w:rPr>
          <w:rStyle w:val="FootnoteReference"/>
        </w:rPr>
        <w:footnoteRef/>
      </w:r>
      <w:r>
        <w:t xml:space="preserve"> Ibid</w:t>
      </w:r>
      <w:r w:rsidR="0011736E">
        <w:t>., p.</w:t>
      </w:r>
      <w:r>
        <w:t xml:space="preserve"> 95</w:t>
      </w:r>
      <w:r w:rsidR="0011736E">
        <w:t>.</w:t>
      </w:r>
    </w:p>
  </w:footnote>
  <w:footnote w:id="32">
    <w:p w14:paraId="3A78B758" w14:textId="5BB4A90E" w:rsidR="1726E037" w:rsidRDefault="1726E037" w:rsidP="1726E037">
      <w:pPr>
        <w:pStyle w:val="FootnoteText"/>
      </w:pPr>
      <w:r w:rsidRPr="1726E037">
        <w:rPr>
          <w:rStyle w:val="FootnoteReference"/>
        </w:rPr>
        <w:footnoteRef/>
      </w:r>
      <w:r>
        <w:t xml:space="preserve"> Ibid</w:t>
      </w:r>
      <w:r w:rsidR="0011736E">
        <w:t>., p.</w:t>
      </w:r>
      <w:r>
        <w:t xml:space="preserve"> 97</w:t>
      </w:r>
      <w:r w:rsidR="0011736E">
        <w:t>.</w:t>
      </w:r>
    </w:p>
  </w:footnote>
  <w:footnote w:id="33">
    <w:p w14:paraId="6EAA3FEF" w14:textId="2992C430" w:rsidR="1726E037" w:rsidRDefault="1726E037" w:rsidP="1726E037">
      <w:pPr>
        <w:pStyle w:val="FootnoteText"/>
      </w:pPr>
      <w:r w:rsidRPr="1726E037">
        <w:rPr>
          <w:rStyle w:val="FootnoteReference"/>
        </w:rPr>
        <w:footnoteRef/>
      </w:r>
      <w:r>
        <w:t xml:space="preserve"> Ibid</w:t>
      </w:r>
      <w:r w:rsidR="0011736E">
        <w:t>., p.</w:t>
      </w:r>
      <w:r>
        <w:t xml:space="preserve"> 96</w:t>
      </w:r>
      <w:r w:rsidR="0011736E">
        <w:t>.</w:t>
      </w:r>
    </w:p>
  </w:footnote>
  <w:footnote w:id="34">
    <w:p w14:paraId="4C4A7848" w14:textId="0F3D0AC9" w:rsidR="1726E037" w:rsidRDefault="1726E037" w:rsidP="1726E037">
      <w:pPr>
        <w:pStyle w:val="FootnoteText"/>
      </w:pPr>
      <w:r w:rsidRPr="1726E037">
        <w:rPr>
          <w:rStyle w:val="FootnoteReference"/>
        </w:rPr>
        <w:footnoteRef/>
      </w:r>
      <w:r>
        <w:t xml:space="preserve"> Ibid</w:t>
      </w:r>
      <w:r w:rsidR="0011736E">
        <w:t>., p.</w:t>
      </w:r>
      <w:r>
        <w:t xml:space="preserve"> 96-97.</w:t>
      </w:r>
    </w:p>
  </w:footnote>
  <w:footnote w:id="35">
    <w:p w14:paraId="7355C7DB" w14:textId="33D36DC1" w:rsidR="1726E037" w:rsidRDefault="1726E037" w:rsidP="1726E037">
      <w:pPr>
        <w:pStyle w:val="FootnoteText"/>
      </w:pPr>
      <w:r w:rsidRPr="1726E037">
        <w:rPr>
          <w:rStyle w:val="FootnoteReference"/>
        </w:rPr>
        <w:footnoteRef/>
      </w:r>
      <w:r>
        <w:t xml:space="preserve"> Ibid</w:t>
      </w:r>
      <w:r w:rsidR="0011736E">
        <w:t>.</w:t>
      </w:r>
      <w:r>
        <w:t xml:space="preserve"> </w:t>
      </w:r>
    </w:p>
  </w:footnote>
  <w:footnote w:id="36">
    <w:p w14:paraId="25F1BDCC" w14:textId="3373FAEB" w:rsidR="1726E037" w:rsidRDefault="1726E037" w:rsidP="1726E037">
      <w:pPr>
        <w:pStyle w:val="FootnoteText"/>
      </w:pPr>
      <w:r w:rsidRPr="1726E037">
        <w:rPr>
          <w:rStyle w:val="FootnoteReference"/>
        </w:rPr>
        <w:footnoteRef/>
      </w:r>
      <w:r>
        <w:t xml:space="preserve"> Jane Smith</w:t>
      </w:r>
      <w:r w:rsidR="0011736E">
        <w:t xml:space="preserve">, </w:t>
      </w:r>
      <w:r w:rsidR="0011736E" w:rsidRPr="0011736E">
        <w:rPr>
          <w:color w:val="000000"/>
          <w:shd w:val="clear" w:color="auto" w:fill="FFFFFF"/>
        </w:rPr>
        <w:t>'</w:t>
      </w:r>
      <w:r w:rsidR="0011736E">
        <w:rPr>
          <w:color w:val="000000"/>
          <w:shd w:val="clear" w:color="auto" w:fill="FFFFFF"/>
        </w:rPr>
        <w:t>Islam in America</w:t>
      </w:r>
      <w:r w:rsidR="0011736E" w:rsidRPr="0011736E">
        <w:rPr>
          <w:color w:val="000000"/>
          <w:shd w:val="clear" w:color="auto" w:fill="FFFFFF"/>
        </w:rPr>
        <w:t>', in</w:t>
      </w:r>
      <w:r w:rsidR="0011736E" w:rsidRPr="0011736E">
        <w:rPr>
          <w:rStyle w:val="apple-converted-space"/>
          <w:color w:val="000000"/>
          <w:shd w:val="clear" w:color="auto" w:fill="FFFFFF"/>
        </w:rPr>
        <w:t> </w:t>
      </w:r>
      <w:r w:rsidR="0011736E" w:rsidRPr="0011736E">
        <w:rPr>
          <w:i/>
          <w:iCs/>
          <w:color w:val="000000"/>
          <w:shd w:val="clear" w:color="auto" w:fill="FFFFFF"/>
        </w:rPr>
        <w:t>Muslims in the West after 9/11</w:t>
      </w:r>
      <w:r w:rsidR="0011736E" w:rsidRPr="0011736E">
        <w:rPr>
          <w:color w:val="000000"/>
          <w:shd w:val="clear" w:color="auto" w:fill="FFFFFF"/>
        </w:rPr>
        <w:t xml:space="preserve">, ed. by Jocelyne </w:t>
      </w:r>
      <w:proofErr w:type="spellStart"/>
      <w:r w:rsidR="0011736E" w:rsidRPr="0011736E">
        <w:rPr>
          <w:color w:val="000000"/>
          <w:shd w:val="clear" w:color="auto" w:fill="FFFFFF"/>
        </w:rPr>
        <w:t>Cesari</w:t>
      </w:r>
      <w:proofErr w:type="spellEnd"/>
      <w:r w:rsidR="0011736E" w:rsidRPr="0011736E">
        <w:rPr>
          <w:color w:val="000000"/>
          <w:shd w:val="clear" w:color="auto" w:fill="FFFFFF"/>
        </w:rPr>
        <w:t xml:space="preserve"> (Oxon: Routledge, 2010).</w:t>
      </w:r>
      <w:r w:rsidR="0011736E">
        <w:rPr>
          <w:color w:val="000000"/>
          <w:shd w:val="clear" w:color="auto" w:fill="FFFFFF"/>
        </w:rPr>
        <w:t>, p.</w:t>
      </w:r>
      <w:r w:rsidR="0011736E">
        <w:t xml:space="preserve"> </w:t>
      </w:r>
      <w:r w:rsidR="0011736E">
        <w:t>40.</w:t>
      </w:r>
    </w:p>
  </w:footnote>
  <w:footnote w:id="37">
    <w:p w14:paraId="3954E7C7" w14:textId="45678743" w:rsidR="1726E037" w:rsidRDefault="1726E037" w:rsidP="1726E037">
      <w:pPr>
        <w:pStyle w:val="FootnoteText"/>
      </w:pPr>
      <w:r w:rsidRPr="0011736E">
        <w:rPr>
          <w:rStyle w:val="FootnoteReference"/>
        </w:rPr>
        <w:footnoteRef/>
      </w:r>
      <w:r w:rsidR="0011736E" w:rsidRPr="0011736E">
        <w:t xml:space="preserve"> </w:t>
      </w:r>
      <w:r w:rsidR="0011736E" w:rsidRPr="0011736E">
        <w:rPr>
          <w:color w:val="000000"/>
          <w:shd w:val="clear" w:color="auto" w:fill="FFFFFF"/>
        </w:rPr>
        <w:t xml:space="preserve">Mahmood </w:t>
      </w:r>
      <w:proofErr w:type="spellStart"/>
      <w:r w:rsidR="0011736E" w:rsidRPr="0011736E">
        <w:rPr>
          <w:color w:val="000000"/>
          <w:shd w:val="clear" w:color="auto" w:fill="FFFFFF"/>
        </w:rPr>
        <w:t>Monshipouri</w:t>
      </w:r>
      <w:proofErr w:type="spellEnd"/>
      <w:r w:rsidR="0011736E" w:rsidRPr="0011736E">
        <w:rPr>
          <w:color w:val="000000"/>
          <w:shd w:val="clear" w:color="auto" w:fill="FFFFFF"/>
        </w:rPr>
        <w:t>, 'The War on Terror and Muslims in the West ', in</w:t>
      </w:r>
      <w:r w:rsidR="0011736E" w:rsidRPr="0011736E">
        <w:rPr>
          <w:rStyle w:val="apple-converted-space"/>
          <w:color w:val="000000"/>
          <w:shd w:val="clear" w:color="auto" w:fill="FFFFFF"/>
        </w:rPr>
        <w:t> </w:t>
      </w:r>
      <w:r w:rsidR="0011736E" w:rsidRPr="0011736E">
        <w:rPr>
          <w:i/>
          <w:iCs/>
          <w:color w:val="000000"/>
          <w:shd w:val="clear" w:color="auto" w:fill="FFFFFF"/>
        </w:rPr>
        <w:t>Muslims in the West after 9/11</w:t>
      </w:r>
      <w:r w:rsidR="0011736E" w:rsidRPr="0011736E">
        <w:rPr>
          <w:color w:val="000000"/>
          <w:shd w:val="clear" w:color="auto" w:fill="FFFFFF"/>
        </w:rPr>
        <w:t xml:space="preserve">, ed. by Jocelyne </w:t>
      </w:r>
      <w:proofErr w:type="spellStart"/>
      <w:r w:rsidR="0011736E" w:rsidRPr="0011736E">
        <w:rPr>
          <w:color w:val="000000"/>
          <w:shd w:val="clear" w:color="auto" w:fill="FFFFFF"/>
        </w:rPr>
        <w:t>Cesari</w:t>
      </w:r>
      <w:proofErr w:type="spellEnd"/>
      <w:r w:rsidR="0011736E" w:rsidRPr="0011736E">
        <w:rPr>
          <w:color w:val="000000"/>
          <w:shd w:val="clear" w:color="auto" w:fill="FFFFFF"/>
        </w:rPr>
        <w:t xml:space="preserve"> (Oxon: Routledge, 2010).</w:t>
      </w:r>
      <w:r w:rsidR="0011736E">
        <w:rPr>
          <w:color w:val="000000"/>
          <w:shd w:val="clear" w:color="auto" w:fill="FFFFFF"/>
        </w:rPr>
        <w:t>, p.</w:t>
      </w:r>
      <w:r>
        <w:t xml:space="preserve"> 46</w:t>
      </w:r>
      <w:r w:rsidR="0011736E">
        <w:t>.</w:t>
      </w:r>
      <w:r>
        <w:t xml:space="preserve"> </w:t>
      </w:r>
    </w:p>
  </w:footnote>
  <w:footnote w:id="38">
    <w:p w14:paraId="6EEEEFCF" w14:textId="7ED00ABE" w:rsidR="1726E037" w:rsidRDefault="1726E037" w:rsidP="1726E037">
      <w:pPr>
        <w:pStyle w:val="FootnoteText"/>
      </w:pPr>
      <w:r w:rsidRPr="1726E037">
        <w:rPr>
          <w:rStyle w:val="FootnoteReference"/>
        </w:rPr>
        <w:footnoteRef/>
      </w:r>
      <w:r>
        <w:t xml:space="preserve"> Ibid</w:t>
      </w:r>
      <w:r w:rsidR="0011736E">
        <w:t>., p.</w:t>
      </w:r>
      <w:r>
        <w:t xml:space="preserve"> 48</w:t>
      </w:r>
      <w:r w:rsidR="0011736E">
        <w:t>.</w:t>
      </w:r>
    </w:p>
  </w:footnote>
  <w:footnote w:id="39">
    <w:p w14:paraId="6CAFDFCD" w14:textId="6CE1A927" w:rsidR="1726E037" w:rsidRDefault="1726E037" w:rsidP="1726E037">
      <w:pPr>
        <w:pStyle w:val="FootnoteText"/>
      </w:pPr>
      <w:r w:rsidRPr="1726E037">
        <w:rPr>
          <w:rStyle w:val="FootnoteReference"/>
        </w:rPr>
        <w:footnoteRef/>
      </w:r>
      <w:r>
        <w:t xml:space="preserve"> </w:t>
      </w:r>
      <w:r w:rsidR="0011736E" w:rsidRPr="0011736E">
        <w:rPr>
          <w:color w:val="000000"/>
          <w:shd w:val="clear" w:color="auto" w:fill="FFFFFF"/>
        </w:rPr>
        <w:t>Unknown,</w:t>
      </w:r>
      <w:r w:rsidR="0011736E" w:rsidRPr="0011736E">
        <w:rPr>
          <w:rStyle w:val="apple-converted-space"/>
          <w:color w:val="000000"/>
          <w:shd w:val="clear" w:color="auto" w:fill="FFFFFF"/>
        </w:rPr>
        <w:t> </w:t>
      </w:r>
      <w:r w:rsidR="0011736E" w:rsidRPr="0011736E">
        <w:rPr>
          <w:i/>
          <w:iCs/>
          <w:color w:val="000000"/>
          <w:shd w:val="clear" w:color="auto" w:fill="FFFFFF"/>
        </w:rPr>
        <w:t>French satirical paper Charlie Hebdo attacked in Paris</w:t>
      </w:r>
      <w:r w:rsidR="0011736E" w:rsidRPr="0011736E">
        <w:rPr>
          <w:rStyle w:val="apple-converted-space"/>
          <w:color w:val="000000"/>
          <w:shd w:val="clear" w:color="auto" w:fill="FFFFFF"/>
        </w:rPr>
        <w:t> </w:t>
      </w:r>
      <w:r w:rsidR="0011736E" w:rsidRPr="0011736E">
        <w:rPr>
          <w:color w:val="000000"/>
          <w:shd w:val="clear" w:color="auto" w:fill="FFFFFF"/>
        </w:rPr>
        <w:t>(2011) &lt;https://www.bbc.co.uk/news/world-europe-15550350&gt; [accessed 5 January 2020].</w:t>
      </w:r>
    </w:p>
  </w:footnote>
  <w:footnote w:id="40">
    <w:p w14:paraId="17B6F010" w14:textId="2EEABD58" w:rsidR="1726E037" w:rsidRDefault="1726E037" w:rsidP="1726E037">
      <w:pPr>
        <w:pStyle w:val="FootnoteText"/>
      </w:pPr>
      <w:r w:rsidRPr="1726E037">
        <w:rPr>
          <w:rStyle w:val="FootnoteReference"/>
        </w:rPr>
        <w:footnoteRef/>
      </w:r>
      <w:r>
        <w:t xml:space="preserve"> The term ’the East’ will just be focused on Islamic countries, although it is probable that the Oriental idea stretches further than this. </w:t>
      </w:r>
    </w:p>
  </w:footnote>
  <w:footnote w:id="41">
    <w:p w14:paraId="544E464D" w14:textId="694E9393" w:rsidR="1726E037" w:rsidRDefault="1726E037" w:rsidP="1726E037">
      <w:pPr>
        <w:pStyle w:val="FootnoteText"/>
      </w:pPr>
      <w:r w:rsidRPr="1726E037">
        <w:rPr>
          <w:rStyle w:val="FootnoteReference"/>
        </w:rPr>
        <w:footnoteRef/>
      </w:r>
      <w:r w:rsidR="00D10043">
        <w:t xml:space="preserve"> See Unknown, </w:t>
      </w:r>
      <w:r w:rsidR="00D10043" w:rsidRPr="00D10043">
        <w:t xml:space="preserve">"Theory </w:t>
      </w:r>
      <w:r w:rsidR="00D10043" w:rsidRPr="00D10043">
        <w:t>of</w:t>
      </w:r>
      <w:r w:rsidR="00D10043" w:rsidRPr="00D10043">
        <w:t xml:space="preserve"> Orientalism </w:t>
      </w:r>
      <w:proofErr w:type="gramStart"/>
      <w:r w:rsidR="00D10043" w:rsidRPr="00D10043">
        <w:t>And</w:t>
      </w:r>
      <w:proofErr w:type="gramEnd"/>
      <w:r w:rsidR="00D10043" w:rsidRPr="00D10043">
        <w:t xml:space="preserve"> </w:t>
      </w:r>
      <w:r w:rsidR="00D10043" w:rsidRPr="00D10043">
        <w:t>Disney’s</w:t>
      </w:r>
      <w:r w:rsidR="00D10043" w:rsidRPr="00D10043">
        <w:t xml:space="preserve"> Aladdin Film Studies Essay." UKEssays.com. 11 </w:t>
      </w:r>
      <w:r w:rsidR="00D10043">
        <w:t>(</w:t>
      </w:r>
      <w:r w:rsidR="00D10043" w:rsidRPr="00D10043">
        <w:t>2018</w:t>
      </w:r>
      <w:r w:rsidR="00D10043">
        <w:t>)</w:t>
      </w:r>
      <w:r w:rsidR="00D10043" w:rsidRPr="00D10043">
        <w:t>. All Answers Ltd.</w:t>
      </w:r>
      <w:r w:rsidR="00D10043">
        <w:t xml:space="preserve"> in</w:t>
      </w:r>
      <w:r w:rsidR="00D10043" w:rsidRPr="00D10043">
        <w:t xml:space="preserve"> &lt;https://www.ukessays.com/essays/film-studies/theory-of-orientalism-and-disneys-aladdin-film-studies-essay.php?vref=1&gt;.</w:t>
      </w:r>
      <w:r w:rsidR="00D10043">
        <w:t xml:space="preserve"> [accessed 5 January 2020] </w:t>
      </w:r>
    </w:p>
  </w:footnote>
  <w:footnote w:id="42">
    <w:p w14:paraId="1EADB518" w14:textId="43D40B7B" w:rsidR="1726E037" w:rsidRPr="00CD75F7" w:rsidRDefault="1726E037" w:rsidP="1726E037">
      <w:pPr>
        <w:pStyle w:val="FootnoteText"/>
        <w:rPr>
          <w:color w:val="000000"/>
          <w:shd w:val="clear" w:color="auto" w:fill="FFFFFF"/>
        </w:rPr>
      </w:pPr>
      <w:r w:rsidRPr="1726E037">
        <w:rPr>
          <w:rStyle w:val="FootnoteReference"/>
        </w:rPr>
        <w:footnoteRef/>
      </w:r>
      <w:r>
        <w:t xml:space="preserve"> </w:t>
      </w:r>
      <w:r w:rsidR="00CD75F7" w:rsidRPr="00CD75F7">
        <w:rPr>
          <w:color w:val="000000"/>
          <w:shd w:val="clear" w:color="auto" w:fill="FFFFFF"/>
        </w:rPr>
        <w:t xml:space="preserve">Sophie Rose </w:t>
      </w:r>
      <w:proofErr w:type="spellStart"/>
      <w:r w:rsidR="00CD75F7" w:rsidRPr="00CD75F7">
        <w:rPr>
          <w:color w:val="000000"/>
          <w:shd w:val="clear" w:color="auto" w:fill="FFFFFF"/>
        </w:rPr>
        <w:t>Arjana</w:t>
      </w:r>
      <w:proofErr w:type="spellEnd"/>
      <w:r w:rsidR="00CD75F7" w:rsidRPr="00CD75F7">
        <w:rPr>
          <w:color w:val="000000"/>
          <w:shd w:val="clear" w:color="auto" w:fill="FFFFFF"/>
        </w:rPr>
        <w:t>, 'The Monsters of September 11', in</w:t>
      </w:r>
      <w:r w:rsidR="00CD75F7" w:rsidRPr="00CD75F7">
        <w:rPr>
          <w:rStyle w:val="apple-converted-space"/>
          <w:color w:val="000000"/>
          <w:shd w:val="clear" w:color="auto" w:fill="FFFFFF"/>
        </w:rPr>
        <w:t> </w:t>
      </w:r>
      <w:r w:rsidR="00CD75F7" w:rsidRPr="00CD75F7">
        <w:rPr>
          <w:i/>
          <w:iCs/>
          <w:color w:val="000000"/>
          <w:shd w:val="clear" w:color="auto" w:fill="FFFFFF"/>
        </w:rPr>
        <w:t>Muslims in the Western imagination</w:t>
      </w:r>
      <w:r w:rsidR="00CD75F7" w:rsidRPr="00CD75F7">
        <w:rPr>
          <w:rStyle w:val="apple-converted-space"/>
          <w:i/>
          <w:iCs/>
          <w:color w:val="000000"/>
          <w:shd w:val="clear" w:color="auto" w:fill="FFFFFF"/>
        </w:rPr>
        <w:t> </w:t>
      </w:r>
      <w:r w:rsidR="00CD75F7">
        <w:rPr>
          <w:color w:val="000000"/>
          <w:shd w:val="clear" w:color="auto" w:fill="FFFFFF"/>
        </w:rPr>
        <w:t xml:space="preserve">(New </w:t>
      </w:r>
      <w:proofErr w:type="gramStart"/>
      <w:r w:rsidR="00CD75F7">
        <w:rPr>
          <w:color w:val="000000"/>
          <w:shd w:val="clear" w:color="auto" w:fill="FFFFFF"/>
        </w:rPr>
        <w:t>York</w:t>
      </w:r>
      <w:r w:rsidR="00CD75F7" w:rsidRPr="00CD75F7">
        <w:rPr>
          <w:color w:val="000000"/>
          <w:shd w:val="clear" w:color="auto" w:fill="FFFFFF"/>
        </w:rPr>
        <w:t xml:space="preserve"> ,</w:t>
      </w:r>
      <w:proofErr w:type="gramEnd"/>
      <w:r w:rsidR="00CD75F7" w:rsidRPr="00CD75F7">
        <w:rPr>
          <w:color w:val="000000"/>
          <w:shd w:val="clear" w:color="auto" w:fill="FFFFFF"/>
        </w:rPr>
        <w:t xml:space="preserve"> </w:t>
      </w:r>
      <w:r w:rsidR="00CD75F7">
        <w:rPr>
          <w:color w:val="000000"/>
          <w:shd w:val="clear" w:color="auto" w:fill="FFFFFF"/>
        </w:rPr>
        <w:t xml:space="preserve">Oxford University Press, </w:t>
      </w:r>
      <w:r w:rsidR="00CD75F7" w:rsidRPr="00CD75F7">
        <w:rPr>
          <w:color w:val="000000"/>
          <w:shd w:val="clear" w:color="auto" w:fill="FFFFFF"/>
        </w:rPr>
        <w:t>2015).</w:t>
      </w:r>
      <w:r w:rsidR="00CD75F7">
        <w:rPr>
          <w:color w:val="000000"/>
          <w:shd w:val="clear" w:color="auto" w:fill="FFFFFF"/>
        </w:rPr>
        <w:t xml:space="preserve">, p </w:t>
      </w:r>
      <w:r>
        <w:t>1.</w:t>
      </w:r>
    </w:p>
  </w:footnote>
  <w:footnote w:id="43">
    <w:p w14:paraId="703747C1" w14:textId="38C95383" w:rsidR="1726E037" w:rsidRDefault="1726E037" w:rsidP="1726E037">
      <w:pPr>
        <w:pStyle w:val="FootnoteText"/>
      </w:pPr>
      <w:r w:rsidRPr="1726E037">
        <w:rPr>
          <w:rStyle w:val="FootnoteReference"/>
        </w:rPr>
        <w:footnoteRef/>
      </w:r>
      <w:r>
        <w:t xml:space="preserve"> Ibid</w:t>
      </w:r>
      <w:r w:rsidR="00CD75F7">
        <w:t>.</w:t>
      </w:r>
      <w:r>
        <w:t xml:space="preserve"> </w:t>
      </w:r>
    </w:p>
  </w:footnote>
  <w:footnote w:id="44">
    <w:p w14:paraId="7F448D42" w14:textId="5F1D31BF" w:rsidR="1726E037" w:rsidRDefault="1726E037" w:rsidP="1726E037">
      <w:pPr>
        <w:pStyle w:val="FootnoteText"/>
      </w:pPr>
      <w:r w:rsidRPr="1726E037">
        <w:rPr>
          <w:rStyle w:val="FootnoteReference"/>
        </w:rPr>
        <w:footnoteRef/>
      </w:r>
      <w:r>
        <w:t xml:space="preserve"> </w:t>
      </w:r>
      <w:r w:rsidR="00CD75F7">
        <w:t>Ibid.,</w:t>
      </w:r>
      <w:r>
        <w:t xml:space="preserve"> p.3. </w:t>
      </w:r>
    </w:p>
  </w:footnote>
  <w:footnote w:id="45">
    <w:p w14:paraId="1EEF5649" w14:textId="54A6E3DB" w:rsidR="1726E037" w:rsidRDefault="1726E037" w:rsidP="1726E037">
      <w:pPr>
        <w:pStyle w:val="FootnoteText"/>
      </w:pPr>
      <w:r w:rsidRPr="1726E037">
        <w:rPr>
          <w:rStyle w:val="FootnoteReference"/>
        </w:rPr>
        <w:footnoteRef/>
      </w:r>
      <w:r>
        <w:t xml:space="preserve"> Ibid.</w:t>
      </w:r>
    </w:p>
  </w:footnote>
  <w:footnote w:id="46">
    <w:p w14:paraId="7E495771" w14:textId="7E0A6624" w:rsidR="1726E037" w:rsidRDefault="1726E037" w:rsidP="1726E037">
      <w:pPr>
        <w:pStyle w:val="FootnoteText"/>
      </w:pPr>
      <w:r w:rsidRPr="1726E037">
        <w:rPr>
          <w:rStyle w:val="FootnoteReference"/>
        </w:rPr>
        <w:footnoteRef/>
      </w:r>
      <w:r>
        <w:t xml:space="preserve"> Ibid</w:t>
      </w:r>
      <w:r w:rsidR="00CD75F7">
        <w:t>.</w:t>
      </w:r>
    </w:p>
  </w:footnote>
  <w:footnote w:id="47">
    <w:p w14:paraId="20EE6FC3" w14:textId="764F50BB" w:rsidR="1726E037" w:rsidRDefault="1726E037" w:rsidP="1726E037">
      <w:pPr>
        <w:pStyle w:val="FootnoteText"/>
      </w:pPr>
      <w:r w:rsidRPr="1726E037">
        <w:rPr>
          <w:rStyle w:val="FootnoteReference"/>
        </w:rPr>
        <w:footnoteRef/>
      </w:r>
      <w:r>
        <w:t xml:space="preserve"> Ibid</w:t>
      </w:r>
      <w:r w:rsidR="00CD75F7">
        <w:t>., p.</w:t>
      </w:r>
      <w:r>
        <w:t xml:space="preserve"> 1. </w:t>
      </w:r>
    </w:p>
  </w:footnote>
  <w:footnote w:id="48">
    <w:p w14:paraId="7EA4F9FB" w14:textId="7E74F029" w:rsidR="1726E037" w:rsidRDefault="1726E037" w:rsidP="1726E037">
      <w:pPr>
        <w:pStyle w:val="FootnoteText"/>
      </w:pPr>
      <w:r w:rsidRPr="1726E037">
        <w:rPr>
          <w:rStyle w:val="FootnoteReference"/>
        </w:rPr>
        <w:footnoteRef/>
      </w:r>
      <w:r>
        <w:t xml:space="preserve"> Ibid</w:t>
      </w:r>
      <w:r w:rsidR="00CD75F7">
        <w:t>., p.</w:t>
      </w:r>
      <w:r>
        <w:t xml:space="preserve"> 4. </w:t>
      </w:r>
    </w:p>
  </w:footnote>
  <w:footnote w:id="49">
    <w:p w14:paraId="22C33031" w14:textId="46C3103C" w:rsidR="1726E037" w:rsidRDefault="1726E037" w:rsidP="1726E037">
      <w:pPr>
        <w:pStyle w:val="FootnoteText"/>
      </w:pPr>
      <w:r w:rsidRPr="1726E037">
        <w:rPr>
          <w:rStyle w:val="FootnoteReference"/>
        </w:rPr>
        <w:footnoteRef/>
      </w:r>
      <w:r>
        <w:t xml:space="preserve"> Ibid</w:t>
      </w:r>
      <w:r w:rsidR="00CD75F7">
        <w:t>.</w:t>
      </w:r>
    </w:p>
  </w:footnote>
  <w:footnote w:id="50">
    <w:p w14:paraId="4DAC6FFA" w14:textId="445298A6" w:rsidR="1726E037" w:rsidRDefault="1726E037" w:rsidP="1726E037">
      <w:pPr>
        <w:pStyle w:val="FootnoteText"/>
      </w:pPr>
      <w:r w:rsidRPr="1726E037">
        <w:rPr>
          <w:rStyle w:val="FootnoteReference"/>
        </w:rPr>
        <w:footnoteRef/>
      </w:r>
      <w:r>
        <w:t xml:space="preserve"> Ibid</w:t>
      </w:r>
      <w:r w:rsidR="00CD75F7">
        <w:t>.</w:t>
      </w:r>
    </w:p>
  </w:footnote>
  <w:footnote w:id="51">
    <w:p w14:paraId="1F01F691" w14:textId="53959824" w:rsidR="1726E037" w:rsidRDefault="1726E037" w:rsidP="1726E037">
      <w:pPr>
        <w:pStyle w:val="FootnoteText"/>
      </w:pPr>
      <w:r w:rsidRPr="1726E037">
        <w:rPr>
          <w:rStyle w:val="FootnoteReference"/>
        </w:rPr>
        <w:footnoteRef/>
      </w:r>
      <w:r>
        <w:t xml:space="preserve"> Ibid</w:t>
      </w:r>
      <w:r w:rsidR="00CD75F7">
        <w:t>., p.</w:t>
      </w:r>
      <w:r>
        <w:t xml:space="preserve"> 5</w:t>
      </w:r>
      <w:r w:rsidR="00CD75F7">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14EA11"/>
    <w:rsid w:val="0011736E"/>
    <w:rsid w:val="001478EC"/>
    <w:rsid w:val="0015247A"/>
    <w:rsid w:val="002D291A"/>
    <w:rsid w:val="003522A9"/>
    <w:rsid w:val="00462A81"/>
    <w:rsid w:val="005D4B50"/>
    <w:rsid w:val="00645488"/>
    <w:rsid w:val="008D2D5D"/>
    <w:rsid w:val="00931572"/>
    <w:rsid w:val="00940858"/>
    <w:rsid w:val="009C4AD8"/>
    <w:rsid w:val="00A55C88"/>
    <w:rsid w:val="00BC3C8C"/>
    <w:rsid w:val="00CD75F7"/>
    <w:rsid w:val="00D10043"/>
    <w:rsid w:val="00D64D13"/>
    <w:rsid w:val="07CC71A0"/>
    <w:rsid w:val="1114EA11"/>
    <w:rsid w:val="120A5F89"/>
    <w:rsid w:val="1726E037"/>
    <w:rsid w:val="1BF8CA49"/>
    <w:rsid w:val="1C2B5C14"/>
    <w:rsid w:val="22289B4F"/>
    <w:rsid w:val="2AD1FFE2"/>
    <w:rsid w:val="455CFBAF"/>
    <w:rsid w:val="50DF0E6C"/>
    <w:rsid w:val="5A583B97"/>
    <w:rsid w:val="6ABEE69A"/>
    <w:rsid w:val="75026909"/>
    <w:rsid w:val="77F9F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4EA11"/>
  <w15:chartTrackingRefBased/>
  <w15:docId w15:val="{8A15C4A2-09F9-4C75-B77E-279F54A58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semiHidden/>
    <w:unhideWhenUsed/>
    <w:rsid w:val="009315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31572"/>
  </w:style>
  <w:style w:type="paragraph" w:styleId="Footer">
    <w:name w:val="footer"/>
    <w:basedOn w:val="Normal"/>
    <w:link w:val="FooterChar"/>
    <w:uiPriority w:val="99"/>
    <w:semiHidden/>
    <w:unhideWhenUsed/>
    <w:rsid w:val="0093157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31572"/>
  </w:style>
  <w:style w:type="character" w:styleId="Hyperlink">
    <w:name w:val="Hyperlink"/>
    <w:basedOn w:val="DefaultParagraphFont"/>
    <w:uiPriority w:val="99"/>
    <w:unhideWhenUsed/>
    <w:rPr>
      <w:color w:val="0563C1" w:themeColor="hyperlink"/>
      <w:u w:val="single"/>
    </w:rPr>
  </w:style>
  <w:style w:type="character" w:customStyle="1" w:styleId="apple-converted-space">
    <w:name w:val="apple-converted-space"/>
    <w:basedOn w:val="DefaultParagraphFont"/>
    <w:rsid w:val="00645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3049</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cp:lastModifiedBy>
  <cp:revision>2</cp:revision>
  <dcterms:created xsi:type="dcterms:W3CDTF">2020-01-05T23:29:00Z</dcterms:created>
  <dcterms:modified xsi:type="dcterms:W3CDTF">2020-01-05T23:29:00Z</dcterms:modified>
</cp:coreProperties>
</file>