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DB023B" w14:textId="003FE822" w:rsidR="00A1758E" w:rsidRDefault="66F9D15D" w:rsidP="00432948">
      <w:pPr>
        <w:spacing w:line="480" w:lineRule="auto"/>
        <w:rPr>
          <w:rFonts w:ascii="Aptos" w:eastAsia="Aptos" w:hAnsi="Aptos" w:cs="Aptos"/>
          <w:color w:val="000000" w:themeColor="text1"/>
        </w:rPr>
      </w:pPr>
      <w:r w:rsidRPr="594FB853">
        <w:rPr>
          <w:rFonts w:ascii="Aptos" w:eastAsia="Aptos" w:hAnsi="Aptos" w:cs="Aptos"/>
          <w:color w:val="000000" w:themeColor="text1"/>
        </w:rPr>
        <w:t xml:space="preserve">Corentine Byrd </w:t>
      </w:r>
    </w:p>
    <w:p w14:paraId="1579D34B" w14:textId="14044C95" w:rsidR="00A1758E" w:rsidRDefault="0C036A40" w:rsidP="00432948">
      <w:pPr>
        <w:spacing w:line="480" w:lineRule="auto"/>
      </w:pPr>
      <w:r w:rsidRPr="594FB853">
        <w:rPr>
          <w:rFonts w:ascii="Aptos" w:eastAsia="Aptos" w:hAnsi="Aptos" w:cs="Aptos"/>
          <w:color w:val="000000" w:themeColor="text1"/>
        </w:rPr>
        <w:t>HPHP4006</w:t>
      </w:r>
    </w:p>
    <w:p w14:paraId="2137EB22" w14:textId="601DE744" w:rsidR="00A1758E" w:rsidRDefault="0C036A40" w:rsidP="00432948">
      <w:pPr>
        <w:spacing w:line="480" w:lineRule="auto"/>
        <w:rPr>
          <w:rFonts w:ascii="Aptos" w:eastAsia="Aptos" w:hAnsi="Aptos" w:cs="Aptos"/>
          <w:color w:val="000000" w:themeColor="text1"/>
        </w:rPr>
      </w:pPr>
      <w:r w:rsidRPr="594FB853">
        <w:rPr>
          <w:rFonts w:ascii="Aptos" w:eastAsia="Aptos" w:hAnsi="Aptos" w:cs="Aptos"/>
          <w:color w:val="000000" w:themeColor="text1"/>
        </w:rPr>
        <w:t xml:space="preserve">“Myths are a product of a specific time and place”. Discuss the extent to which this statement is valid in relation to your own reading of one of the texts you have studied on this module.  </w:t>
      </w:r>
      <w:r w:rsidR="00000000">
        <w:br/>
      </w:r>
      <w:r w:rsidR="00000000">
        <w:br/>
      </w:r>
      <w:r w:rsidR="66F9D15D" w:rsidRPr="594FB853">
        <w:rPr>
          <w:rFonts w:ascii="Aptos" w:eastAsia="Aptos" w:hAnsi="Aptos" w:cs="Aptos"/>
          <w:color w:val="000000" w:themeColor="text1"/>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4E6C75B5" w14:textId="2966DE72" w:rsidR="00A1758E" w:rsidRDefault="00A1758E" w:rsidP="00432948">
      <w:pPr>
        <w:spacing w:line="480" w:lineRule="auto"/>
        <w:rPr>
          <w:rFonts w:ascii="Aptos" w:eastAsia="Aptos" w:hAnsi="Aptos" w:cs="Aptos"/>
          <w:color w:val="000000" w:themeColor="text1"/>
        </w:rPr>
      </w:pPr>
    </w:p>
    <w:p w14:paraId="530F2F7D" w14:textId="6C0A3FB6" w:rsidR="00A1758E" w:rsidRDefault="00A1758E" w:rsidP="00432948">
      <w:pPr>
        <w:spacing w:line="480" w:lineRule="auto"/>
        <w:rPr>
          <w:rFonts w:ascii="Aptos" w:eastAsia="Aptos" w:hAnsi="Aptos" w:cs="Aptos"/>
          <w:color w:val="000000" w:themeColor="text1"/>
        </w:rPr>
      </w:pPr>
    </w:p>
    <w:p w14:paraId="20D136D0" w14:textId="0666803D" w:rsidR="00A1758E" w:rsidRDefault="00A1758E" w:rsidP="00432948">
      <w:pPr>
        <w:spacing w:line="480" w:lineRule="auto"/>
        <w:rPr>
          <w:rFonts w:ascii="Aptos" w:eastAsia="Aptos" w:hAnsi="Aptos" w:cs="Aptos"/>
          <w:color w:val="000000" w:themeColor="text1"/>
        </w:rPr>
      </w:pPr>
    </w:p>
    <w:p w14:paraId="0F5AE2C4" w14:textId="5206C832" w:rsidR="00A1758E" w:rsidRDefault="00A1758E" w:rsidP="00432948">
      <w:pPr>
        <w:spacing w:line="480" w:lineRule="auto"/>
        <w:rPr>
          <w:rFonts w:ascii="Aptos" w:eastAsia="Aptos" w:hAnsi="Aptos" w:cs="Aptos"/>
          <w:color w:val="000000" w:themeColor="text1"/>
        </w:rPr>
      </w:pPr>
    </w:p>
    <w:p w14:paraId="1A5C5293" w14:textId="45938028" w:rsidR="00A1758E" w:rsidRDefault="00A1758E" w:rsidP="00432948">
      <w:pPr>
        <w:spacing w:line="480" w:lineRule="auto"/>
        <w:rPr>
          <w:rFonts w:ascii="Aptos" w:eastAsia="Aptos" w:hAnsi="Aptos" w:cs="Aptos"/>
          <w:color w:val="000000" w:themeColor="text1"/>
        </w:rPr>
      </w:pPr>
    </w:p>
    <w:p w14:paraId="6ED0CCA3" w14:textId="678AA28F" w:rsidR="00A1758E" w:rsidRDefault="00A1758E" w:rsidP="00432948">
      <w:pPr>
        <w:spacing w:line="480" w:lineRule="auto"/>
        <w:rPr>
          <w:rFonts w:ascii="Aptos" w:eastAsia="Aptos" w:hAnsi="Aptos" w:cs="Aptos"/>
          <w:color w:val="000000" w:themeColor="text1"/>
        </w:rPr>
      </w:pPr>
    </w:p>
    <w:p w14:paraId="441B2B03" w14:textId="5AFAD81F" w:rsidR="00A1758E" w:rsidRDefault="00A1758E" w:rsidP="00432948">
      <w:pPr>
        <w:spacing w:line="480" w:lineRule="auto"/>
        <w:rPr>
          <w:rFonts w:ascii="Aptos" w:eastAsia="Aptos" w:hAnsi="Aptos" w:cs="Aptos"/>
          <w:color w:val="000000" w:themeColor="text1"/>
        </w:rPr>
      </w:pPr>
    </w:p>
    <w:p w14:paraId="064D6AEC" w14:textId="6D9BE330" w:rsidR="00A1758E" w:rsidRDefault="00A1758E" w:rsidP="00432948">
      <w:pPr>
        <w:spacing w:line="480" w:lineRule="auto"/>
        <w:rPr>
          <w:rFonts w:ascii="Aptos" w:eastAsia="Aptos" w:hAnsi="Aptos" w:cs="Aptos"/>
          <w:color w:val="000000" w:themeColor="text1"/>
        </w:rPr>
      </w:pPr>
    </w:p>
    <w:p w14:paraId="51D58B8B" w14:textId="6634B13A" w:rsidR="00A1758E" w:rsidRDefault="00A1758E" w:rsidP="00432948">
      <w:pPr>
        <w:spacing w:line="480" w:lineRule="auto"/>
        <w:rPr>
          <w:rFonts w:ascii="Aptos" w:eastAsia="Aptos" w:hAnsi="Aptos" w:cs="Aptos"/>
          <w:color w:val="000000" w:themeColor="text1"/>
        </w:rPr>
      </w:pPr>
    </w:p>
    <w:p w14:paraId="18B8858B" w14:textId="77777777" w:rsidR="00432948" w:rsidRDefault="00432948" w:rsidP="00432948">
      <w:pPr>
        <w:spacing w:line="480" w:lineRule="auto"/>
        <w:rPr>
          <w:rFonts w:ascii="Aptos" w:eastAsia="Aptos" w:hAnsi="Aptos" w:cs="Aptos"/>
          <w:color w:val="000000" w:themeColor="text1"/>
        </w:rPr>
      </w:pPr>
    </w:p>
    <w:p w14:paraId="03B71F72" w14:textId="7BBCE560" w:rsidR="00A1758E" w:rsidRDefault="2DF46A4A" w:rsidP="00432948">
      <w:pPr>
        <w:spacing w:line="480" w:lineRule="auto"/>
        <w:rPr>
          <w:rFonts w:ascii="Aptos" w:eastAsia="Aptos" w:hAnsi="Aptos" w:cs="Aptos"/>
          <w:color w:val="000000" w:themeColor="text1"/>
        </w:rPr>
      </w:pPr>
      <w:r w:rsidRPr="3CECAAD9">
        <w:rPr>
          <w:rFonts w:ascii="Aptos" w:eastAsia="Aptos" w:hAnsi="Aptos" w:cs="Aptos"/>
          <w:color w:val="000000" w:themeColor="text1"/>
        </w:rPr>
        <w:lastRenderedPageBreak/>
        <w:t>While myths can be considered the product of a specific time and place, they also find applicability beyond the environment in which they were produced.</w:t>
      </w:r>
      <w:r w:rsidR="72C045C6" w:rsidRPr="3CECAAD9">
        <w:rPr>
          <w:rFonts w:ascii="Aptos" w:eastAsia="Aptos" w:hAnsi="Aptos" w:cs="Aptos"/>
          <w:color w:val="000000" w:themeColor="text1"/>
        </w:rPr>
        <w:t xml:space="preserve"> The Mabinogion, which will be used as the</w:t>
      </w:r>
      <w:r w:rsidR="2D790852" w:rsidRPr="3CECAAD9">
        <w:rPr>
          <w:rFonts w:ascii="Aptos" w:eastAsia="Aptos" w:hAnsi="Aptos" w:cs="Aptos"/>
          <w:color w:val="000000" w:themeColor="text1"/>
        </w:rPr>
        <w:t xml:space="preserve"> primary</w:t>
      </w:r>
      <w:r w:rsidR="72C045C6" w:rsidRPr="3CECAAD9">
        <w:rPr>
          <w:rFonts w:ascii="Aptos" w:eastAsia="Aptos" w:hAnsi="Aptos" w:cs="Aptos"/>
          <w:color w:val="000000" w:themeColor="text1"/>
        </w:rPr>
        <w:t xml:space="preserve"> basis for this essay, was produced </w:t>
      </w:r>
      <w:r w:rsidR="185FB967" w:rsidRPr="3CECAAD9">
        <w:rPr>
          <w:rFonts w:ascii="Aptos" w:eastAsia="Aptos" w:hAnsi="Aptos" w:cs="Aptos"/>
          <w:color w:val="000000" w:themeColor="text1"/>
        </w:rPr>
        <w:t>somewhere within the 11</w:t>
      </w:r>
      <w:r w:rsidR="185FB967" w:rsidRPr="3CECAAD9">
        <w:rPr>
          <w:rFonts w:ascii="Aptos" w:eastAsia="Aptos" w:hAnsi="Aptos" w:cs="Aptos"/>
          <w:color w:val="000000" w:themeColor="text1"/>
          <w:vertAlign w:val="superscript"/>
        </w:rPr>
        <w:t>th</w:t>
      </w:r>
      <w:r w:rsidR="185FB967" w:rsidRPr="3CECAAD9">
        <w:rPr>
          <w:rFonts w:ascii="Aptos" w:eastAsia="Aptos" w:hAnsi="Aptos" w:cs="Aptos"/>
          <w:color w:val="000000" w:themeColor="text1"/>
        </w:rPr>
        <w:t xml:space="preserve"> or 12</w:t>
      </w:r>
      <w:r w:rsidR="185FB967" w:rsidRPr="3CECAAD9">
        <w:rPr>
          <w:rFonts w:ascii="Aptos" w:eastAsia="Aptos" w:hAnsi="Aptos" w:cs="Aptos"/>
          <w:color w:val="000000" w:themeColor="text1"/>
          <w:vertAlign w:val="superscript"/>
        </w:rPr>
        <w:t>th</w:t>
      </w:r>
      <w:r w:rsidR="185FB967" w:rsidRPr="3CECAAD9">
        <w:rPr>
          <w:rFonts w:ascii="Aptos" w:eastAsia="Aptos" w:hAnsi="Aptos" w:cs="Aptos"/>
          <w:color w:val="000000" w:themeColor="text1"/>
        </w:rPr>
        <w:t xml:space="preserve"> centuries, but gained widespread prominence in Welsh culture in the 19</w:t>
      </w:r>
      <w:r w:rsidR="185FB967" w:rsidRPr="3CECAAD9">
        <w:rPr>
          <w:rFonts w:ascii="Aptos" w:eastAsia="Aptos" w:hAnsi="Aptos" w:cs="Aptos"/>
          <w:color w:val="000000" w:themeColor="text1"/>
          <w:vertAlign w:val="superscript"/>
        </w:rPr>
        <w:t>th</w:t>
      </w:r>
      <w:r w:rsidR="185FB967" w:rsidRPr="3CECAAD9">
        <w:rPr>
          <w:rFonts w:ascii="Aptos" w:eastAsia="Aptos" w:hAnsi="Aptos" w:cs="Aptos"/>
          <w:color w:val="000000" w:themeColor="text1"/>
        </w:rPr>
        <w:t xml:space="preserve"> century following the 1845 publication of an English translation by Lady Charlotte Guest.</w:t>
      </w:r>
      <w:r w:rsidR="17D51EBA" w:rsidRPr="3CECAAD9">
        <w:rPr>
          <w:rFonts w:ascii="Aptos" w:eastAsia="Aptos" w:hAnsi="Aptos" w:cs="Aptos"/>
          <w:color w:val="000000" w:themeColor="text1"/>
        </w:rPr>
        <w:t xml:space="preserve"> The Mabinogion, therefore, falls into the greater cultural context of the Celtic revival of the 19</w:t>
      </w:r>
      <w:r w:rsidR="17D51EBA" w:rsidRPr="3CECAAD9">
        <w:rPr>
          <w:rFonts w:ascii="Aptos" w:eastAsia="Aptos" w:hAnsi="Aptos" w:cs="Aptos"/>
          <w:color w:val="000000" w:themeColor="text1"/>
          <w:vertAlign w:val="superscript"/>
        </w:rPr>
        <w:t>th</w:t>
      </w:r>
      <w:r w:rsidR="17D51EBA" w:rsidRPr="3CECAAD9">
        <w:rPr>
          <w:rFonts w:ascii="Aptos" w:eastAsia="Aptos" w:hAnsi="Aptos" w:cs="Aptos"/>
          <w:color w:val="000000" w:themeColor="text1"/>
        </w:rPr>
        <w:t xml:space="preserve"> century and the birth of nationalism</w:t>
      </w:r>
      <w:r w:rsidR="627ADBA6" w:rsidRPr="3CECAAD9">
        <w:rPr>
          <w:rFonts w:ascii="Aptos" w:eastAsia="Aptos" w:hAnsi="Aptos" w:cs="Aptos"/>
          <w:color w:val="000000" w:themeColor="text1"/>
        </w:rPr>
        <w:t xml:space="preserve">, which </w:t>
      </w:r>
      <w:r w:rsidR="28FD9F99" w:rsidRPr="3CECAAD9">
        <w:rPr>
          <w:rFonts w:ascii="Aptos" w:eastAsia="Aptos" w:hAnsi="Aptos" w:cs="Aptos"/>
          <w:color w:val="000000" w:themeColor="text1"/>
        </w:rPr>
        <w:t>is, by its chronological nature, outside the specific time and place of the Mabinogion’s origin.</w:t>
      </w:r>
      <w:r w:rsidR="62F62E42" w:rsidRPr="3CECAAD9">
        <w:rPr>
          <w:rFonts w:ascii="Aptos" w:eastAsia="Aptos" w:hAnsi="Aptos" w:cs="Aptos"/>
          <w:color w:val="000000" w:themeColor="text1"/>
        </w:rPr>
        <w:t xml:space="preserve"> </w:t>
      </w:r>
      <w:r w:rsidR="018E2051" w:rsidRPr="3CECAAD9">
        <w:rPr>
          <w:rFonts w:ascii="Aptos" w:eastAsia="Aptos" w:hAnsi="Aptos" w:cs="Aptos"/>
          <w:color w:val="000000" w:themeColor="text1"/>
        </w:rPr>
        <w:t>Its place in the mythology of Wales, and the greater mythology of Celtic revivalism, is thus one that has ascended the time and place of its creation, and it has effectively fragmented into a mythical book of myths, which has its effective origin some</w:t>
      </w:r>
      <w:r w:rsidR="3D38404A" w:rsidRPr="3CECAAD9">
        <w:rPr>
          <w:rFonts w:ascii="Aptos" w:eastAsia="Aptos" w:hAnsi="Aptos" w:cs="Aptos"/>
          <w:color w:val="000000" w:themeColor="text1"/>
        </w:rPr>
        <w:t xml:space="preserve"> 700 years after its original writing.</w:t>
      </w:r>
    </w:p>
    <w:p w14:paraId="759742F3" w14:textId="1FB63275" w:rsidR="00A1758E" w:rsidRDefault="00A1758E" w:rsidP="00432948">
      <w:pPr>
        <w:spacing w:line="480" w:lineRule="auto"/>
        <w:rPr>
          <w:rFonts w:ascii="Aptos" w:eastAsia="Aptos" w:hAnsi="Aptos" w:cs="Aptos"/>
          <w:color w:val="000000" w:themeColor="text1"/>
        </w:rPr>
      </w:pPr>
    </w:p>
    <w:p w14:paraId="3C30A8B4" w14:textId="16F18EDE" w:rsidR="00A1758E" w:rsidRDefault="558C1F7B" w:rsidP="00432948">
      <w:pPr>
        <w:spacing w:line="480" w:lineRule="auto"/>
        <w:rPr>
          <w:rFonts w:ascii="Aptos" w:eastAsia="Aptos" w:hAnsi="Aptos" w:cs="Aptos"/>
          <w:color w:val="000000" w:themeColor="text1"/>
        </w:rPr>
      </w:pPr>
      <w:r w:rsidRPr="3CECAAD9">
        <w:rPr>
          <w:rFonts w:ascii="Aptos" w:eastAsia="Aptos" w:hAnsi="Aptos" w:cs="Aptos"/>
          <w:color w:val="000000" w:themeColor="text1"/>
        </w:rPr>
        <w:t>While the Mabinogion is a key part of Welsh mythology, it is crucial to understand t</w:t>
      </w:r>
      <w:r w:rsidR="7672723F" w:rsidRPr="3CECAAD9">
        <w:rPr>
          <w:rFonts w:ascii="Aptos" w:eastAsia="Aptos" w:hAnsi="Aptos" w:cs="Aptos"/>
          <w:color w:val="000000" w:themeColor="text1"/>
        </w:rPr>
        <w:t>hat t</w:t>
      </w:r>
      <w:r w:rsidR="69357A09" w:rsidRPr="3CECAAD9">
        <w:rPr>
          <w:rFonts w:ascii="Aptos" w:eastAsia="Aptos" w:hAnsi="Aptos" w:cs="Aptos"/>
          <w:color w:val="000000" w:themeColor="text1"/>
        </w:rPr>
        <w:t xml:space="preserve">he currently preeminent form of the Mabinogion </w:t>
      </w:r>
      <w:r w:rsidR="76DD49DC" w:rsidRPr="3CECAAD9">
        <w:rPr>
          <w:rFonts w:ascii="Aptos" w:eastAsia="Aptos" w:hAnsi="Aptos" w:cs="Aptos"/>
          <w:color w:val="000000" w:themeColor="text1"/>
        </w:rPr>
        <w:t xml:space="preserve">in </w:t>
      </w:r>
      <w:r w:rsidR="69357A09" w:rsidRPr="3CECAAD9">
        <w:rPr>
          <w:rFonts w:ascii="Aptos" w:eastAsia="Aptos" w:hAnsi="Aptos" w:cs="Aptos"/>
          <w:color w:val="000000" w:themeColor="text1"/>
        </w:rPr>
        <w:t>is i</w:t>
      </w:r>
      <w:r w:rsidR="027BA0C7" w:rsidRPr="3CECAAD9">
        <w:rPr>
          <w:rFonts w:ascii="Aptos" w:eastAsia="Aptos" w:hAnsi="Aptos" w:cs="Aptos"/>
          <w:color w:val="000000" w:themeColor="text1"/>
        </w:rPr>
        <w:t>ts</w:t>
      </w:r>
      <w:r w:rsidR="69357A09" w:rsidRPr="3CECAAD9">
        <w:rPr>
          <w:rFonts w:ascii="Aptos" w:eastAsia="Aptos" w:hAnsi="Aptos" w:cs="Aptos"/>
          <w:color w:val="000000" w:themeColor="text1"/>
        </w:rPr>
        <w:t xml:space="preserve"> English translation.</w:t>
      </w:r>
      <w:r w:rsidR="366807A5" w:rsidRPr="3CECAAD9">
        <w:rPr>
          <w:rFonts w:ascii="Aptos" w:eastAsia="Aptos" w:hAnsi="Aptos" w:cs="Aptos"/>
          <w:color w:val="000000" w:themeColor="text1"/>
        </w:rPr>
        <w:t xml:space="preserve"> </w:t>
      </w:r>
      <w:r w:rsidR="2C79CE6D" w:rsidRPr="3CECAAD9">
        <w:rPr>
          <w:rFonts w:ascii="Aptos" w:eastAsia="Aptos" w:hAnsi="Aptos" w:cs="Aptos"/>
          <w:color w:val="000000" w:themeColor="text1"/>
        </w:rPr>
        <w:t xml:space="preserve">The first translation of the Mabinogion was published </w:t>
      </w:r>
      <w:r w:rsidR="7B94A84D" w:rsidRPr="3CECAAD9">
        <w:rPr>
          <w:rFonts w:ascii="Aptos" w:eastAsia="Aptos" w:hAnsi="Aptos" w:cs="Aptos"/>
          <w:color w:val="000000" w:themeColor="text1"/>
        </w:rPr>
        <w:t>from 1838 to</w:t>
      </w:r>
      <w:r w:rsidR="2C79CE6D" w:rsidRPr="3CECAAD9">
        <w:rPr>
          <w:rFonts w:ascii="Aptos" w:eastAsia="Aptos" w:hAnsi="Aptos" w:cs="Aptos"/>
          <w:color w:val="000000" w:themeColor="text1"/>
        </w:rPr>
        <w:t xml:space="preserve"> 1845</w:t>
      </w:r>
      <w:r w:rsidR="3E6471D2" w:rsidRPr="3CECAAD9">
        <w:rPr>
          <w:rFonts w:ascii="Aptos" w:eastAsia="Aptos" w:hAnsi="Aptos" w:cs="Aptos"/>
          <w:color w:val="000000" w:themeColor="text1"/>
        </w:rPr>
        <w:t xml:space="preserve"> by Lady Charlotte Guest, an English </w:t>
      </w:r>
      <w:r w:rsidR="73845EAB" w:rsidRPr="3CECAAD9">
        <w:rPr>
          <w:rFonts w:ascii="Aptos" w:eastAsia="Aptos" w:hAnsi="Aptos" w:cs="Aptos"/>
          <w:color w:val="000000" w:themeColor="text1"/>
        </w:rPr>
        <w:t xml:space="preserve">aristocrat married to Welshman John Josiah Guest. While Charlotte Guest was </w:t>
      </w:r>
      <w:r w:rsidR="266FAFAF" w:rsidRPr="3CECAAD9">
        <w:rPr>
          <w:rFonts w:ascii="Aptos" w:eastAsia="Aptos" w:hAnsi="Aptos" w:cs="Aptos"/>
          <w:color w:val="000000" w:themeColor="text1"/>
        </w:rPr>
        <w:t xml:space="preserve">a speaker of Welsh, she was not natively </w:t>
      </w:r>
      <w:r w:rsidR="3D5C383B" w:rsidRPr="3CECAAD9">
        <w:rPr>
          <w:rFonts w:ascii="Aptos" w:eastAsia="Aptos" w:hAnsi="Aptos" w:cs="Aptos"/>
          <w:color w:val="000000" w:themeColor="text1"/>
        </w:rPr>
        <w:t>Welsh</w:t>
      </w:r>
      <w:r w:rsidR="32A53928" w:rsidRPr="3CECAAD9">
        <w:rPr>
          <w:rFonts w:ascii="Aptos" w:eastAsia="Aptos" w:hAnsi="Aptos" w:cs="Aptos"/>
          <w:color w:val="000000" w:themeColor="text1"/>
        </w:rPr>
        <w:t>, though she lived in the Merthyr Tydfil area for many years</w:t>
      </w:r>
      <w:r w:rsidR="1F4221AF" w:rsidRPr="3CECAAD9">
        <w:rPr>
          <w:rFonts w:ascii="Aptos" w:eastAsia="Aptos" w:hAnsi="Aptos" w:cs="Aptos"/>
          <w:color w:val="000000" w:themeColor="text1"/>
        </w:rPr>
        <w:t>.</w:t>
      </w:r>
      <w:r w:rsidR="5F7729B7" w:rsidRPr="3CECAAD9">
        <w:rPr>
          <w:rFonts w:ascii="Aptos" w:eastAsia="Aptos" w:hAnsi="Aptos" w:cs="Aptos"/>
          <w:color w:val="000000" w:themeColor="text1"/>
        </w:rPr>
        <w:t xml:space="preserve"> Since Charlotte Guest’s translation is the origin of the primary means by</w:t>
      </w:r>
      <w:r w:rsidR="0886AB80" w:rsidRPr="3CECAAD9">
        <w:rPr>
          <w:rFonts w:ascii="Aptos" w:eastAsia="Aptos" w:hAnsi="Aptos" w:cs="Aptos"/>
          <w:color w:val="000000" w:themeColor="text1"/>
        </w:rPr>
        <w:t xml:space="preserve"> which</w:t>
      </w:r>
      <w:r w:rsidR="5F7729B7" w:rsidRPr="3CECAAD9">
        <w:rPr>
          <w:rFonts w:ascii="Aptos" w:eastAsia="Aptos" w:hAnsi="Aptos" w:cs="Aptos"/>
          <w:color w:val="000000" w:themeColor="text1"/>
        </w:rPr>
        <w:t xml:space="preserve"> the Mabinogion is read, the issue of whether the text is integral</w:t>
      </w:r>
      <w:r w:rsidR="3C8ED740" w:rsidRPr="3CECAAD9">
        <w:rPr>
          <w:rFonts w:ascii="Aptos" w:eastAsia="Aptos" w:hAnsi="Aptos" w:cs="Aptos"/>
          <w:color w:val="000000" w:themeColor="text1"/>
        </w:rPr>
        <w:t xml:space="preserve"> to Welsh history</w:t>
      </w:r>
      <w:r w:rsidR="5F7729B7" w:rsidRPr="3CECAAD9">
        <w:rPr>
          <w:rFonts w:ascii="Aptos" w:eastAsia="Aptos" w:hAnsi="Aptos" w:cs="Aptos"/>
          <w:color w:val="000000" w:themeColor="text1"/>
        </w:rPr>
        <w:t xml:space="preserve"> as it was pro</w:t>
      </w:r>
      <w:r w:rsidR="782FB339" w:rsidRPr="3CECAAD9">
        <w:rPr>
          <w:rFonts w:ascii="Aptos" w:eastAsia="Aptos" w:hAnsi="Aptos" w:cs="Aptos"/>
          <w:color w:val="000000" w:themeColor="text1"/>
        </w:rPr>
        <w:t>duced in the greater context of early Welsh culture is paradoxically irrelevant to modern Welsh cultural history.</w:t>
      </w:r>
      <w:r w:rsidR="1582A303" w:rsidRPr="3CECAAD9">
        <w:rPr>
          <w:rFonts w:ascii="Aptos" w:eastAsia="Aptos" w:hAnsi="Aptos" w:cs="Aptos"/>
          <w:color w:val="000000" w:themeColor="text1"/>
        </w:rPr>
        <w:t xml:space="preserve"> As a result, it is unclear whether the text of the Mabinogion still exists as it did within the cultural context of its </w:t>
      </w:r>
      <w:r w:rsidR="1582A303" w:rsidRPr="3CECAAD9">
        <w:rPr>
          <w:rFonts w:ascii="Aptos" w:eastAsia="Aptos" w:hAnsi="Aptos" w:cs="Aptos"/>
          <w:color w:val="000000" w:themeColor="text1"/>
        </w:rPr>
        <w:lastRenderedPageBreak/>
        <w:t xml:space="preserve">authorship as it is </w:t>
      </w:r>
      <w:r w:rsidR="4A07215A" w:rsidRPr="3CECAAD9">
        <w:rPr>
          <w:rFonts w:ascii="Aptos" w:eastAsia="Aptos" w:hAnsi="Aptos" w:cs="Aptos"/>
          <w:color w:val="000000" w:themeColor="text1"/>
        </w:rPr>
        <w:t>currently</w:t>
      </w:r>
      <w:r w:rsidR="1582A303" w:rsidRPr="3CECAAD9">
        <w:rPr>
          <w:rFonts w:ascii="Aptos" w:eastAsia="Aptos" w:hAnsi="Aptos" w:cs="Aptos"/>
          <w:color w:val="000000" w:themeColor="text1"/>
        </w:rPr>
        <w:t xml:space="preserve"> </w:t>
      </w:r>
      <w:r w:rsidR="062FD5B8" w:rsidRPr="3CECAAD9">
        <w:rPr>
          <w:rFonts w:ascii="Aptos" w:eastAsia="Aptos" w:hAnsi="Aptos" w:cs="Aptos"/>
          <w:color w:val="000000" w:themeColor="text1"/>
        </w:rPr>
        <w:t>experienced by the majority of those who interact with it</w:t>
      </w:r>
      <w:r w:rsidR="1582A303" w:rsidRPr="3CECAAD9">
        <w:rPr>
          <w:rFonts w:ascii="Aptos" w:eastAsia="Aptos" w:hAnsi="Aptos" w:cs="Aptos"/>
          <w:color w:val="000000" w:themeColor="text1"/>
        </w:rPr>
        <w:t xml:space="preserve">. </w:t>
      </w:r>
      <w:r w:rsidR="5A8F6B5D" w:rsidRPr="3CECAAD9">
        <w:rPr>
          <w:rFonts w:ascii="Aptos" w:eastAsia="Aptos" w:hAnsi="Aptos" w:cs="Aptos"/>
          <w:color w:val="000000" w:themeColor="text1"/>
        </w:rPr>
        <w:t xml:space="preserve">Like </w:t>
      </w:r>
      <w:bookmarkStart w:id="0" w:name="_Int_vbzvDZ75"/>
      <w:proofErr w:type="gramStart"/>
      <w:r w:rsidR="5A8F6B5D" w:rsidRPr="3CECAAD9">
        <w:rPr>
          <w:rFonts w:ascii="Aptos" w:eastAsia="Aptos" w:hAnsi="Aptos" w:cs="Aptos"/>
          <w:color w:val="000000" w:themeColor="text1"/>
        </w:rPr>
        <w:t>the majority of</w:t>
      </w:r>
      <w:bookmarkEnd w:id="0"/>
      <w:proofErr w:type="gramEnd"/>
      <w:r w:rsidR="5A8F6B5D" w:rsidRPr="3CECAAD9">
        <w:rPr>
          <w:rFonts w:ascii="Aptos" w:eastAsia="Aptos" w:hAnsi="Aptos" w:cs="Aptos"/>
          <w:color w:val="000000" w:themeColor="text1"/>
        </w:rPr>
        <w:t xml:space="preserve"> the readers of the original Guest translation of the Mabinogion, </w:t>
      </w:r>
      <w:r w:rsidR="1582A303" w:rsidRPr="3CECAAD9">
        <w:rPr>
          <w:rFonts w:ascii="Aptos" w:eastAsia="Aptos" w:hAnsi="Aptos" w:cs="Aptos"/>
          <w:color w:val="000000" w:themeColor="text1"/>
        </w:rPr>
        <w:t xml:space="preserve">I cannot speak Welsh and therefore cannot comment </w:t>
      </w:r>
      <w:r w:rsidR="49AECC78" w:rsidRPr="3CECAAD9">
        <w:rPr>
          <w:rFonts w:ascii="Aptos" w:eastAsia="Aptos" w:hAnsi="Aptos" w:cs="Aptos"/>
          <w:color w:val="000000" w:themeColor="text1"/>
        </w:rPr>
        <w:t xml:space="preserve">authoritatively </w:t>
      </w:r>
      <w:r w:rsidR="1582A303" w:rsidRPr="3CECAAD9">
        <w:rPr>
          <w:rFonts w:ascii="Aptos" w:eastAsia="Aptos" w:hAnsi="Aptos" w:cs="Aptos"/>
          <w:color w:val="000000" w:themeColor="text1"/>
        </w:rPr>
        <w:t>on</w:t>
      </w:r>
      <w:r w:rsidR="36AFD532" w:rsidRPr="3CECAAD9">
        <w:rPr>
          <w:rFonts w:ascii="Aptos" w:eastAsia="Aptos" w:hAnsi="Aptos" w:cs="Aptos"/>
          <w:color w:val="000000" w:themeColor="text1"/>
        </w:rPr>
        <w:t xml:space="preserve"> any changes, conscious or otherwise, which were made to the text of the Mabinogion in translation</w:t>
      </w:r>
      <w:r w:rsidR="5A453D3E" w:rsidRPr="3CECAAD9">
        <w:rPr>
          <w:rFonts w:ascii="Aptos" w:eastAsia="Aptos" w:hAnsi="Aptos" w:cs="Aptos"/>
          <w:color w:val="000000" w:themeColor="text1"/>
        </w:rPr>
        <w:t>.</w:t>
      </w:r>
      <w:r w:rsidR="34C2EA57" w:rsidRPr="3CECAAD9">
        <w:rPr>
          <w:rFonts w:ascii="Aptos" w:eastAsia="Aptos" w:hAnsi="Aptos" w:cs="Aptos"/>
          <w:color w:val="000000" w:themeColor="text1"/>
        </w:rPr>
        <w:t xml:space="preserve"> </w:t>
      </w:r>
      <w:r w:rsidR="2F71E48C" w:rsidRPr="3CECAAD9">
        <w:rPr>
          <w:rFonts w:ascii="Aptos" w:eastAsia="Aptos" w:hAnsi="Aptos" w:cs="Aptos"/>
          <w:color w:val="000000" w:themeColor="text1"/>
        </w:rPr>
        <w:t>That I may be interacting with the Mabinogion in a culturally or linguistically inauthentic way is irrelevant to the current understanding of the text, which has evolved past its origins in</w:t>
      </w:r>
      <w:r w:rsidR="6C9DE4A1" w:rsidRPr="3CECAAD9">
        <w:rPr>
          <w:rFonts w:ascii="Aptos" w:eastAsia="Aptos" w:hAnsi="Aptos" w:cs="Aptos"/>
          <w:color w:val="000000" w:themeColor="text1"/>
        </w:rPr>
        <w:t xml:space="preserve">to a quasi-mythic text of great national import regardless of the prose it is written in. </w:t>
      </w:r>
      <w:r w:rsidR="7A7E6332" w:rsidRPr="3CECAAD9">
        <w:rPr>
          <w:rFonts w:ascii="Aptos" w:eastAsia="Aptos" w:hAnsi="Aptos" w:cs="Aptos"/>
          <w:color w:val="000000" w:themeColor="text1"/>
        </w:rPr>
        <w:t xml:space="preserve">It is crucial to the thesis of this essay that I, a native English speaker with extremely limited understanding of Welsh, can still read the Mabinogion in a form which is generally considered to be </w:t>
      </w:r>
      <w:r w:rsidR="36D5DD92" w:rsidRPr="3CECAAD9">
        <w:rPr>
          <w:rFonts w:ascii="Aptos" w:eastAsia="Aptos" w:hAnsi="Aptos" w:cs="Aptos"/>
          <w:color w:val="000000" w:themeColor="text1"/>
        </w:rPr>
        <w:t xml:space="preserve">similar enough to the original to be treated as the same book. </w:t>
      </w:r>
    </w:p>
    <w:p w14:paraId="5E448847" w14:textId="5337F1CC" w:rsidR="00A1758E" w:rsidRDefault="00A1758E" w:rsidP="00432948">
      <w:pPr>
        <w:spacing w:line="480" w:lineRule="auto"/>
        <w:rPr>
          <w:rFonts w:ascii="Aptos" w:eastAsia="Aptos" w:hAnsi="Aptos" w:cs="Aptos"/>
          <w:color w:val="000000" w:themeColor="text1"/>
        </w:rPr>
      </w:pPr>
    </w:p>
    <w:p w14:paraId="3E1B463D" w14:textId="4BD127D5" w:rsidR="00A1758E" w:rsidRDefault="5A453D3E" w:rsidP="00432948">
      <w:pPr>
        <w:spacing w:line="480" w:lineRule="auto"/>
        <w:rPr>
          <w:rFonts w:ascii="Aptos" w:eastAsia="Aptos" w:hAnsi="Aptos" w:cs="Aptos"/>
          <w:color w:val="000000" w:themeColor="text1"/>
        </w:rPr>
      </w:pPr>
      <w:r w:rsidRPr="3CECAAD9">
        <w:rPr>
          <w:rFonts w:ascii="Aptos" w:eastAsia="Aptos" w:hAnsi="Aptos" w:cs="Aptos"/>
          <w:color w:val="000000" w:themeColor="text1"/>
        </w:rPr>
        <w:t xml:space="preserve">The relevance of the Mabinogion becoming this prominent in the </w:t>
      </w:r>
      <w:r w:rsidR="366D98D4" w:rsidRPr="3CECAAD9">
        <w:rPr>
          <w:rFonts w:ascii="Aptos" w:eastAsia="Aptos" w:hAnsi="Aptos" w:cs="Aptos"/>
          <w:color w:val="000000" w:themeColor="text1"/>
        </w:rPr>
        <w:t xml:space="preserve">anglophone world in the </w:t>
      </w:r>
      <w:r w:rsidRPr="3CECAAD9">
        <w:rPr>
          <w:rFonts w:ascii="Aptos" w:eastAsia="Aptos" w:hAnsi="Aptos" w:cs="Aptos"/>
          <w:color w:val="000000" w:themeColor="text1"/>
        </w:rPr>
        <w:t>19</w:t>
      </w:r>
      <w:r w:rsidRPr="3CECAAD9">
        <w:rPr>
          <w:rFonts w:ascii="Aptos" w:eastAsia="Aptos" w:hAnsi="Aptos" w:cs="Aptos"/>
          <w:color w:val="000000" w:themeColor="text1"/>
          <w:vertAlign w:val="superscript"/>
        </w:rPr>
        <w:t>th</w:t>
      </w:r>
      <w:r w:rsidRPr="3CECAAD9">
        <w:rPr>
          <w:rFonts w:ascii="Aptos" w:eastAsia="Aptos" w:hAnsi="Aptos" w:cs="Aptos"/>
          <w:color w:val="000000" w:themeColor="text1"/>
        </w:rPr>
        <w:t xml:space="preserve"> century is clear when </w:t>
      </w:r>
      <w:r w:rsidR="5060BFB1" w:rsidRPr="3CECAAD9">
        <w:rPr>
          <w:rFonts w:ascii="Aptos" w:eastAsia="Aptos" w:hAnsi="Aptos" w:cs="Aptos"/>
          <w:color w:val="000000" w:themeColor="text1"/>
        </w:rPr>
        <w:t xml:space="preserve">placed in the greater context of </w:t>
      </w:r>
      <w:r w:rsidR="1B1B7578" w:rsidRPr="3CECAAD9">
        <w:rPr>
          <w:rFonts w:ascii="Aptos" w:eastAsia="Aptos" w:hAnsi="Aptos" w:cs="Aptos"/>
          <w:color w:val="000000" w:themeColor="text1"/>
        </w:rPr>
        <w:t>Celtic reviva</w:t>
      </w:r>
      <w:r w:rsidR="5060BFB1" w:rsidRPr="3CECAAD9">
        <w:rPr>
          <w:rFonts w:ascii="Aptos" w:eastAsia="Aptos" w:hAnsi="Aptos" w:cs="Aptos"/>
          <w:color w:val="000000" w:themeColor="text1"/>
        </w:rPr>
        <w:t>l</w:t>
      </w:r>
      <w:r w:rsidR="59E758BF" w:rsidRPr="3CECAAD9">
        <w:rPr>
          <w:rFonts w:ascii="Aptos" w:eastAsia="Aptos" w:hAnsi="Aptos" w:cs="Aptos"/>
          <w:color w:val="000000" w:themeColor="text1"/>
        </w:rPr>
        <w:t>ism and the various forms of British nationalisms which became preeminent at this time</w:t>
      </w:r>
      <w:r w:rsidR="5060BFB1" w:rsidRPr="3CECAAD9">
        <w:rPr>
          <w:rFonts w:ascii="Aptos" w:eastAsia="Aptos" w:hAnsi="Aptos" w:cs="Aptos"/>
          <w:color w:val="000000" w:themeColor="text1"/>
        </w:rPr>
        <w:t xml:space="preserve">. </w:t>
      </w:r>
      <w:r w:rsidR="5D13E551" w:rsidRPr="3CECAAD9">
        <w:rPr>
          <w:rFonts w:ascii="Aptos" w:eastAsia="Aptos" w:hAnsi="Aptos" w:cs="Aptos"/>
          <w:color w:val="000000" w:themeColor="text1"/>
        </w:rPr>
        <w:t xml:space="preserve">Within the contexts of newly born nationalisms that drew heavily from myth and a constructed folkloric tradition </w:t>
      </w:r>
      <w:r w:rsidR="350285C9" w:rsidRPr="3CECAAD9">
        <w:rPr>
          <w:rFonts w:ascii="Aptos" w:eastAsia="Aptos" w:hAnsi="Aptos" w:cs="Aptos"/>
          <w:color w:val="000000" w:themeColor="text1"/>
        </w:rPr>
        <w:t>in the Europe-wide</w:t>
      </w:r>
      <w:r w:rsidR="5D13E551" w:rsidRPr="3CECAAD9">
        <w:rPr>
          <w:rFonts w:ascii="Aptos" w:eastAsia="Aptos" w:hAnsi="Aptos" w:cs="Aptos"/>
          <w:color w:val="000000" w:themeColor="text1"/>
        </w:rPr>
        <w:t xml:space="preserve"> </w:t>
      </w:r>
      <w:r w:rsidR="56F031B9" w:rsidRPr="3CECAAD9">
        <w:rPr>
          <w:rFonts w:ascii="Aptos" w:eastAsia="Aptos" w:hAnsi="Aptos" w:cs="Aptos"/>
          <w:color w:val="000000" w:themeColor="text1"/>
        </w:rPr>
        <w:t>Herd</w:t>
      </w:r>
      <w:r w:rsidR="3FC00861" w:rsidRPr="3CECAAD9">
        <w:rPr>
          <w:rFonts w:ascii="Aptos" w:eastAsia="Aptos" w:hAnsi="Aptos" w:cs="Aptos"/>
          <w:color w:val="000000" w:themeColor="text1"/>
        </w:rPr>
        <w:t xml:space="preserve">erian </w:t>
      </w:r>
      <w:r w:rsidR="3FC00861" w:rsidRPr="3CECAAD9">
        <w:rPr>
          <w:rFonts w:ascii="Aptos" w:eastAsia="Aptos" w:hAnsi="Aptos" w:cs="Aptos"/>
          <w:i/>
          <w:iCs/>
          <w:color w:val="000000" w:themeColor="text1"/>
        </w:rPr>
        <w:t xml:space="preserve">volksgeist </w:t>
      </w:r>
      <w:r w:rsidR="223E42B0" w:rsidRPr="3CECAAD9">
        <w:rPr>
          <w:rFonts w:ascii="Aptos" w:eastAsia="Aptos" w:hAnsi="Aptos" w:cs="Aptos"/>
          <w:color w:val="000000" w:themeColor="text1"/>
        </w:rPr>
        <w:t>model, the Mabinogion’s existence was a crucial part to the nation building of Wales</w:t>
      </w:r>
      <w:r w:rsidR="0D21034E" w:rsidRPr="3CECAAD9">
        <w:rPr>
          <w:rFonts w:ascii="Aptos" w:eastAsia="Aptos" w:hAnsi="Aptos" w:cs="Aptos"/>
          <w:color w:val="000000" w:themeColor="text1"/>
        </w:rPr>
        <w:t>.</w:t>
      </w:r>
      <w:r w:rsidR="170DD4FC" w:rsidRPr="3CECAAD9">
        <w:rPr>
          <w:rFonts w:ascii="Aptos" w:eastAsia="Aptos" w:hAnsi="Aptos" w:cs="Aptos"/>
          <w:color w:val="000000" w:themeColor="text1"/>
        </w:rPr>
        <w:t xml:space="preserve"> </w:t>
      </w:r>
      <w:r w:rsidR="4A4F282D" w:rsidRPr="3CECAAD9">
        <w:rPr>
          <w:rFonts w:ascii="Aptos" w:eastAsia="Aptos" w:hAnsi="Aptos" w:cs="Aptos"/>
          <w:color w:val="000000" w:themeColor="text1"/>
        </w:rPr>
        <w:t xml:space="preserve">As Michael Keating notes, </w:t>
      </w:r>
      <w:r w:rsidR="4B0ACA8C" w:rsidRPr="3CECAAD9">
        <w:rPr>
          <w:rFonts w:ascii="Aptos" w:eastAsia="Aptos" w:hAnsi="Aptos" w:cs="Aptos"/>
          <w:color w:val="000000" w:themeColor="text1"/>
        </w:rPr>
        <w:t xml:space="preserve">‘most scholars would broadly agree that nationalism is a modern creation linked to social, economic and political transformations, which in turn seeks legitimation through cultural and historical discourses and </w:t>
      </w:r>
      <w:bookmarkStart w:id="1" w:name="_Int_Z6pYZqRU"/>
      <w:r w:rsidR="4B0ACA8C" w:rsidRPr="3CECAAD9">
        <w:rPr>
          <w:rFonts w:ascii="Aptos" w:eastAsia="Aptos" w:hAnsi="Aptos" w:cs="Aptos"/>
          <w:color w:val="000000" w:themeColor="text1"/>
        </w:rPr>
        <w:t>symbols’</w:t>
      </w:r>
      <w:bookmarkEnd w:id="1"/>
      <w:r w:rsidR="4B0ACA8C" w:rsidRPr="3CECAAD9">
        <w:rPr>
          <w:rFonts w:ascii="Aptos" w:eastAsia="Aptos" w:hAnsi="Aptos" w:cs="Aptos"/>
          <w:color w:val="000000" w:themeColor="text1"/>
        </w:rPr>
        <w:t>.</w:t>
      </w:r>
      <w:r w:rsidR="00000000" w:rsidRPr="3CECAAD9">
        <w:rPr>
          <w:rStyle w:val="FootnoteReference"/>
          <w:rFonts w:ascii="Aptos" w:eastAsia="Aptos" w:hAnsi="Aptos" w:cs="Aptos"/>
          <w:color w:val="000000" w:themeColor="text1"/>
        </w:rPr>
        <w:footnoteReference w:id="1"/>
      </w:r>
      <w:r w:rsidR="00000000">
        <w:br/>
      </w:r>
      <w:r w:rsidR="00000000">
        <w:lastRenderedPageBreak/>
        <w:br/>
      </w:r>
      <w:r w:rsidR="01A20AA7" w:rsidRPr="3CECAAD9">
        <w:rPr>
          <w:rFonts w:ascii="Aptos" w:eastAsia="Aptos" w:hAnsi="Aptos" w:cs="Aptos"/>
          <w:color w:val="000000" w:themeColor="text1"/>
        </w:rPr>
        <w:t>At the same time as Guest’s translation of the Mabinogion, Breton</w:t>
      </w:r>
      <w:r w:rsidR="170DD4FC" w:rsidRPr="3CECAAD9">
        <w:rPr>
          <w:rFonts w:ascii="Aptos" w:eastAsia="Aptos" w:hAnsi="Aptos" w:cs="Aptos"/>
          <w:color w:val="000000" w:themeColor="text1"/>
        </w:rPr>
        <w:t xml:space="preserve">, Irish and Scottish nationalists returned to folk traditions and writings of their independent eras </w:t>
      </w:r>
      <w:bookmarkStart w:id="2" w:name="_Int_sVaZf8ex"/>
      <w:r w:rsidR="170DD4FC" w:rsidRPr="3CECAAD9">
        <w:rPr>
          <w:rFonts w:ascii="Aptos" w:eastAsia="Aptos" w:hAnsi="Aptos" w:cs="Aptos"/>
          <w:color w:val="000000" w:themeColor="text1"/>
        </w:rPr>
        <w:t>in ord</w:t>
      </w:r>
      <w:r w:rsidR="5497ECA0" w:rsidRPr="3CECAAD9">
        <w:rPr>
          <w:rFonts w:ascii="Aptos" w:eastAsia="Aptos" w:hAnsi="Aptos" w:cs="Aptos"/>
          <w:color w:val="000000" w:themeColor="text1"/>
        </w:rPr>
        <w:t>er to</w:t>
      </w:r>
      <w:bookmarkEnd w:id="2"/>
      <w:r w:rsidR="5497ECA0" w:rsidRPr="3CECAAD9">
        <w:rPr>
          <w:rFonts w:ascii="Aptos" w:eastAsia="Aptos" w:hAnsi="Aptos" w:cs="Aptos"/>
          <w:color w:val="000000" w:themeColor="text1"/>
        </w:rPr>
        <w:t xml:space="preserve"> establish legitimacy as nation-states.</w:t>
      </w:r>
      <w:r w:rsidR="022BF939" w:rsidRPr="3CECAAD9">
        <w:rPr>
          <w:rFonts w:ascii="Aptos" w:eastAsia="Aptos" w:hAnsi="Aptos" w:cs="Aptos"/>
          <w:color w:val="000000" w:themeColor="text1"/>
        </w:rPr>
        <w:t xml:space="preserve"> To have an authentic book of stories from the 11</w:t>
      </w:r>
      <w:r w:rsidR="022BF939" w:rsidRPr="3CECAAD9">
        <w:rPr>
          <w:rFonts w:ascii="Aptos" w:eastAsia="Aptos" w:hAnsi="Aptos" w:cs="Aptos"/>
          <w:color w:val="000000" w:themeColor="text1"/>
          <w:vertAlign w:val="superscript"/>
        </w:rPr>
        <w:t>th</w:t>
      </w:r>
      <w:r w:rsidR="022BF939" w:rsidRPr="3CECAAD9">
        <w:rPr>
          <w:rFonts w:ascii="Aptos" w:eastAsia="Aptos" w:hAnsi="Aptos" w:cs="Aptos"/>
          <w:color w:val="000000" w:themeColor="text1"/>
        </w:rPr>
        <w:t xml:space="preserve"> or 12</w:t>
      </w:r>
      <w:r w:rsidR="022BF939" w:rsidRPr="3CECAAD9">
        <w:rPr>
          <w:rFonts w:ascii="Aptos" w:eastAsia="Aptos" w:hAnsi="Aptos" w:cs="Aptos"/>
          <w:color w:val="000000" w:themeColor="text1"/>
          <w:vertAlign w:val="superscript"/>
        </w:rPr>
        <w:t>th</w:t>
      </w:r>
      <w:r w:rsidR="022BF939" w:rsidRPr="3CECAAD9">
        <w:rPr>
          <w:rFonts w:ascii="Aptos" w:eastAsia="Aptos" w:hAnsi="Aptos" w:cs="Aptos"/>
          <w:color w:val="000000" w:themeColor="text1"/>
        </w:rPr>
        <w:t xml:space="preserve"> century in this time would be extremely valuable to the mythos of </w:t>
      </w:r>
      <w:r w:rsidR="1D980E12" w:rsidRPr="3CECAAD9">
        <w:rPr>
          <w:rFonts w:ascii="Aptos" w:eastAsia="Aptos" w:hAnsi="Aptos" w:cs="Aptos"/>
          <w:color w:val="000000" w:themeColor="text1"/>
        </w:rPr>
        <w:t>a truly contemporary Wales</w:t>
      </w:r>
      <w:r w:rsidR="022BF939" w:rsidRPr="3CECAAD9">
        <w:rPr>
          <w:rFonts w:ascii="Aptos" w:eastAsia="Aptos" w:hAnsi="Aptos" w:cs="Aptos"/>
          <w:color w:val="000000" w:themeColor="text1"/>
        </w:rPr>
        <w:t>.</w:t>
      </w:r>
      <w:r w:rsidR="524B9E20" w:rsidRPr="3CECAAD9">
        <w:rPr>
          <w:rFonts w:ascii="Aptos" w:eastAsia="Aptos" w:hAnsi="Aptos" w:cs="Aptos"/>
          <w:color w:val="000000" w:themeColor="text1"/>
        </w:rPr>
        <w:t xml:space="preserve"> </w:t>
      </w:r>
      <w:r w:rsidR="7141FA6D">
        <w:t xml:space="preserve">In this context, the Mabinogion takes far greater meaning than it would as a book of </w:t>
      </w:r>
      <w:r w:rsidR="40E5C871">
        <w:t>stories and</w:t>
      </w:r>
      <w:r w:rsidR="03D02205">
        <w:t xml:space="preserve"> is placed squarely in the middle of</w:t>
      </w:r>
      <w:r w:rsidR="01978BD3">
        <w:t xml:space="preserve"> a</w:t>
      </w:r>
      <w:r w:rsidR="03D02205">
        <w:t xml:space="preserve"> greater </w:t>
      </w:r>
      <w:r w:rsidR="3112B69F">
        <w:t>pan-</w:t>
      </w:r>
      <w:r w:rsidR="03D02205">
        <w:t>Celtic mythology.</w:t>
      </w:r>
      <w:r w:rsidR="5DD2A0A1">
        <w:t xml:space="preserve"> Scholar Simon Rodway </w:t>
      </w:r>
      <w:r w:rsidR="0B8EDD5C">
        <w:t xml:space="preserve">writes how he originally </w:t>
      </w:r>
      <w:r w:rsidR="5DD2A0A1">
        <w:t xml:space="preserve">encountered the Mabinogion in this context: </w:t>
      </w:r>
    </w:p>
    <w:p w14:paraId="59928E45" w14:textId="41E098BC" w:rsidR="00A1758E" w:rsidRDefault="00A1758E" w:rsidP="00432948">
      <w:pPr>
        <w:spacing w:line="480" w:lineRule="auto"/>
      </w:pPr>
    </w:p>
    <w:p w14:paraId="5E5787A5" w14:textId="747A2267" w:rsidR="00A1758E" w:rsidRDefault="5DD2A0A1" w:rsidP="00432948">
      <w:pPr>
        <w:spacing w:line="480" w:lineRule="auto"/>
        <w:ind w:left="720"/>
      </w:pPr>
      <w:r>
        <w:t>At any rate, the Four Branches were not presented to me as ‘Welsh literature’, but as ‘Celtic mythology’, and this had a profound effect on my preconceptions about them. While I knew that I knew nothing about Wales, I thought that I knew plenty about the Celts.</w:t>
      </w:r>
      <w:r w:rsidR="00000000" w:rsidRPr="3CECAAD9">
        <w:rPr>
          <w:rStyle w:val="FootnoteReference"/>
        </w:rPr>
        <w:footnoteReference w:id="2"/>
      </w:r>
    </w:p>
    <w:p w14:paraId="6DF9CE07" w14:textId="149F01AD" w:rsidR="3CECAAD9" w:rsidRDefault="3CECAAD9" w:rsidP="00432948">
      <w:pPr>
        <w:spacing w:line="480" w:lineRule="auto"/>
        <w:ind w:left="720"/>
      </w:pPr>
    </w:p>
    <w:p w14:paraId="12A851DA" w14:textId="10576128" w:rsidR="79777AAB" w:rsidRDefault="79777AAB" w:rsidP="00432948">
      <w:pPr>
        <w:spacing w:line="480" w:lineRule="auto"/>
      </w:pPr>
      <w:r>
        <w:t>The pan-Celtic mythology and concept of a greater Celtic people clearly influence modern interpretations of the Mabinogion. While it is true that the Mabinogion originates from a different</w:t>
      </w:r>
      <w:r w:rsidR="6EA0396D">
        <w:t xml:space="preserve"> context, it is understood in this one, even if this was not the context of its writing.</w:t>
      </w:r>
      <w:r w:rsidR="5A760123">
        <w:t xml:space="preserve"> That the Mabinogion is interpreted and used in a fundamentally different way than its original Medieval purpose is not a mark of inauthenticity, </w:t>
      </w:r>
      <w:r w:rsidR="35053132">
        <w:t xml:space="preserve">but rather the inherent basis of its power as a foundational Celtic document. As Michael </w:t>
      </w:r>
      <w:r w:rsidR="35053132">
        <w:lastRenderedPageBreak/>
        <w:t xml:space="preserve">Keating argues, myths are not worthless historical curios </w:t>
      </w:r>
      <w:r w:rsidR="7BF6E88E">
        <w:t xml:space="preserve">of which only debunking factually is a </w:t>
      </w:r>
      <w:r w:rsidR="42370A88">
        <w:t>worthwhile</w:t>
      </w:r>
      <w:r w:rsidR="7BF6E88E">
        <w:t xml:space="preserve"> exercise</w:t>
      </w:r>
      <w:r w:rsidR="1959B9D2">
        <w:t>:</w:t>
      </w:r>
      <w:r w:rsidR="55F298C8">
        <w:t xml:space="preserve"> they are ‘beliefs, frameworks and perspectives whose power and effect are [</w:t>
      </w:r>
      <w:bookmarkStart w:id="3" w:name="_Int_jItBWwKL"/>
      <w:r w:rsidR="55F298C8">
        <w:t>sic</w:t>
      </w:r>
      <w:bookmarkEnd w:id="3"/>
      <w:r w:rsidR="55F298C8">
        <w:t>] independent of their veracity or falsehood</w:t>
      </w:r>
      <w:r w:rsidR="176AF696">
        <w:t>’.</w:t>
      </w:r>
      <w:r w:rsidRPr="3CECAAD9">
        <w:rPr>
          <w:rStyle w:val="FootnoteReference"/>
        </w:rPr>
        <w:footnoteReference w:id="3"/>
      </w:r>
      <w:r w:rsidR="30FCA175">
        <w:t xml:space="preserve"> That the Mabinogion was reframed from Welsh stories to a greater Celtic mythology does not diminish its ca</w:t>
      </w:r>
      <w:r w:rsidR="4E1CC7EC">
        <w:t>pacity to shape the Welsh national consciousness; rat</w:t>
      </w:r>
      <w:r w:rsidR="67AC73E4">
        <w:t xml:space="preserve">her, it is this process of recontextualisation which makes it a useful tool for nationalistic pride, both in the </w:t>
      </w:r>
      <w:r w:rsidR="5691B3F9">
        <w:t>19</w:t>
      </w:r>
      <w:r w:rsidR="5691B3F9" w:rsidRPr="3CECAAD9">
        <w:rPr>
          <w:vertAlign w:val="superscript"/>
        </w:rPr>
        <w:t>th</w:t>
      </w:r>
      <w:r w:rsidR="5691B3F9">
        <w:t xml:space="preserve"> century and today. </w:t>
      </w:r>
      <w:r w:rsidR="60F3034F">
        <w:t xml:space="preserve">Keating refutes the idea that a </w:t>
      </w:r>
      <w:r w:rsidR="07F2E9EC">
        <w:t>potentially mis</w:t>
      </w:r>
      <w:r w:rsidR="60F3034F">
        <w:t>translated Mabinogion</w:t>
      </w:r>
      <w:r w:rsidR="723AEF9E">
        <w:t xml:space="preserve"> exists counter to a real Welsh history, or an invented pan-Celtic culture, but rather as a ‘truly modern phenomenon and living tradition’, which was </w:t>
      </w:r>
      <w:r w:rsidR="1507356E">
        <w:t>‘never homogenous or uncontested’.</w:t>
      </w:r>
      <w:r w:rsidRPr="3CECAAD9">
        <w:rPr>
          <w:rStyle w:val="FootnoteReference"/>
        </w:rPr>
        <w:footnoteReference w:id="4"/>
      </w:r>
    </w:p>
    <w:p w14:paraId="55F0E0B0" w14:textId="488A8C7D" w:rsidR="3CECAAD9" w:rsidRDefault="0C83C798" w:rsidP="00432948">
      <w:pPr>
        <w:spacing w:line="480" w:lineRule="auto"/>
      </w:pPr>
      <w:r>
        <w:t>In my own reading of the Mabinogion, I have found myself wholly unable to separate it from the cultural context from which it has been placed</w:t>
      </w:r>
      <w:r w:rsidR="31B8F437">
        <w:t>. While it was written for Welsh speaking audiences in the 11</w:t>
      </w:r>
      <w:r w:rsidR="31B8F437" w:rsidRPr="3CECAAD9">
        <w:rPr>
          <w:vertAlign w:val="superscript"/>
        </w:rPr>
        <w:t>th</w:t>
      </w:r>
      <w:r w:rsidR="31B8F437">
        <w:t xml:space="preserve"> and 12</w:t>
      </w:r>
      <w:r w:rsidR="31B8F437" w:rsidRPr="3CECAAD9">
        <w:rPr>
          <w:vertAlign w:val="superscript"/>
        </w:rPr>
        <w:t>th</w:t>
      </w:r>
      <w:r w:rsidR="31B8F437">
        <w:t xml:space="preserve"> centuries, it has found applicability in modern Welsh culture as a national and nationalist treasure, an artefact of a mythologised bygone age as far from its reality</w:t>
      </w:r>
      <w:r w:rsidR="70BA9397">
        <w:t xml:space="preserve"> as the stories of the Mabinogion. While I can endeavour to understand the Mabinogion entirely in the context of the period of its writing, it simply does not exist entirely within this context, not least in any form which I would be able to read.</w:t>
      </w:r>
      <w:r w:rsidR="3E83AF54">
        <w:t xml:space="preserve"> The Mabinogion is, in its original form, the product of its time and place. The Mabinogion, as a book of stories which has been published, translated, adapted, edited, modernised and performed</w:t>
      </w:r>
      <w:r w:rsidR="59435182">
        <w:t>, is entirely separate from this original text, serving as a national myth of a book of national myth. It exists in a simultaneously rarefied and populist space, serving both a legendary purpose as a founda</w:t>
      </w:r>
      <w:r w:rsidR="471B8B6C">
        <w:t xml:space="preserve">tion of a </w:t>
      </w:r>
      <w:r w:rsidR="471B8B6C">
        <w:lastRenderedPageBreak/>
        <w:t xml:space="preserve">mythic greater Celtic culture and a mundane purpose as a book of entertaining stories which have been used by many authors. Its original purpose is almost certainly closer to the latter meaning than the former, but when discussed, the former is the primary </w:t>
      </w:r>
      <w:r w:rsidR="153B3968">
        <w:t xml:space="preserve">way the Mabinogion is interacted with. As such, the extent to which myths such as the Mabinogion are a product of their specific time and place is fractured and unclear. </w:t>
      </w:r>
      <w:r w:rsidR="35E1B979">
        <w:t>S</w:t>
      </w:r>
      <w:r w:rsidR="153B3968">
        <w:t>ome scholars</w:t>
      </w:r>
      <w:r w:rsidR="3CE8FCD7">
        <w:t>, like Michael Keating,</w:t>
      </w:r>
      <w:r w:rsidR="153B3968">
        <w:t xml:space="preserve"> argue this </w:t>
      </w:r>
      <w:r w:rsidR="5CF01A69">
        <w:t>double meaning is inherent to its value</w:t>
      </w:r>
      <w:r w:rsidR="57D68308">
        <w:t>. I am inclined to agree.</w:t>
      </w:r>
      <w:r w:rsidR="5CF01A69">
        <w:t xml:space="preserve"> </w:t>
      </w:r>
    </w:p>
    <w:p w14:paraId="37CE2DB9" w14:textId="77777777" w:rsidR="00432948" w:rsidRDefault="00432948" w:rsidP="00432948">
      <w:pPr>
        <w:spacing w:line="480" w:lineRule="auto"/>
      </w:pPr>
    </w:p>
    <w:p w14:paraId="2F7A7243" w14:textId="01BE6ECE" w:rsidR="045284DE" w:rsidRDefault="045284DE" w:rsidP="00432948">
      <w:pPr>
        <w:spacing w:line="480" w:lineRule="auto"/>
      </w:pPr>
      <w:r>
        <w:t>Bibliography</w:t>
      </w:r>
    </w:p>
    <w:p w14:paraId="15511F60" w14:textId="4808AF66" w:rsidR="3CECAAD9" w:rsidRDefault="3CECAAD9" w:rsidP="00432948">
      <w:pPr>
        <w:spacing w:line="480" w:lineRule="auto"/>
      </w:pPr>
    </w:p>
    <w:p w14:paraId="187179A4" w14:textId="292B1D8D" w:rsidR="4F2E4254" w:rsidRDefault="4F2E4254" w:rsidP="00432948">
      <w:pPr>
        <w:spacing w:line="480" w:lineRule="auto"/>
      </w:pPr>
      <w:r>
        <w:t xml:space="preserve">Davies, Hazel, ‘12 - Case study: refashioning a myth, performances of the tale of Blodeuwedd’, in </w:t>
      </w:r>
      <w:r w:rsidRPr="3CECAAD9">
        <w:rPr>
          <w:i/>
          <w:iCs/>
        </w:rPr>
        <w:t>The Cambridge History of British Theatre</w:t>
      </w:r>
      <w:r w:rsidR="26B47BA6" w:rsidRPr="3CECAAD9">
        <w:rPr>
          <w:i/>
          <w:iCs/>
        </w:rPr>
        <w:t xml:space="preserve">, </w:t>
      </w:r>
      <w:r w:rsidR="26B47BA6" w:rsidRPr="3CECAAD9">
        <w:t xml:space="preserve">ed. by Baz Kershaw (Cambridge: Cambridge University Press, </w:t>
      </w:r>
      <w:r w:rsidR="06084C8B" w:rsidRPr="3CECAAD9">
        <w:t xml:space="preserve">2004), </w:t>
      </w:r>
      <w:r w:rsidR="4BFA8581" w:rsidRPr="3CECAAD9">
        <w:t>III: Since 1895, pp. 273-288. &lt;https://doi.org/10.1017/CHOL9780521651325.013&gt;</w:t>
      </w:r>
    </w:p>
    <w:p w14:paraId="7CE60A59" w14:textId="607B8F37" w:rsidR="3CECAAD9" w:rsidRDefault="3CECAAD9" w:rsidP="00432948">
      <w:pPr>
        <w:spacing w:line="480" w:lineRule="auto"/>
      </w:pPr>
    </w:p>
    <w:p w14:paraId="3E0B77B9" w14:textId="67B1290B" w:rsidR="38C5DB2F" w:rsidRDefault="38C5DB2F" w:rsidP="00432948">
      <w:pPr>
        <w:spacing w:line="480" w:lineRule="auto"/>
      </w:pPr>
      <w:r>
        <w:t xml:space="preserve">Keating, Michael, ‘The Making of the Celt. Ethnogenesis, Culture and Politics in the Atlantic Arc’, </w:t>
      </w:r>
      <w:r w:rsidRPr="3CECAAD9">
        <w:rPr>
          <w:i/>
          <w:iCs/>
        </w:rPr>
        <w:t>Scottish Affairs</w:t>
      </w:r>
      <w:r>
        <w:t>, 35.2 (2024), 157-177 &lt;https://doi.org/10.3366/scot.2024.0498&gt;</w:t>
      </w:r>
    </w:p>
    <w:p w14:paraId="6C28B678" w14:textId="51B02012" w:rsidR="045284DE" w:rsidRDefault="045284DE" w:rsidP="00432948">
      <w:pPr>
        <w:spacing w:line="480" w:lineRule="auto"/>
      </w:pPr>
      <w:r>
        <w:t xml:space="preserve">Rodway, Simon, ‘The Mabinogi and the shadow of Celtic mythology’, </w:t>
      </w:r>
      <w:r w:rsidRPr="3CECAAD9">
        <w:rPr>
          <w:i/>
          <w:iCs/>
        </w:rPr>
        <w:t>Studia Celtica</w:t>
      </w:r>
      <w:r>
        <w:t xml:space="preserve">, 52.1 (2018), 67-85 &lt;https://doi.org/10.16922/SC.52.4&gt;  </w:t>
      </w:r>
      <w:r>
        <w:br/>
      </w:r>
      <w:r>
        <w:br/>
      </w:r>
      <w:r w:rsidR="44F08520">
        <w:t xml:space="preserve">Stover, Justin Dolan, 'Modern Celtic Nationalism in the Period of the Great War: </w:t>
      </w:r>
      <w:r w:rsidR="44F08520">
        <w:lastRenderedPageBreak/>
        <w:t xml:space="preserve">Establishing Transnational Connections', </w:t>
      </w:r>
      <w:r w:rsidR="44F08520" w:rsidRPr="3CECAAD9">
        <w:rPr>
          <w:i/>
          <w:iCs/>
        </w:rPr>
        <w:t>Proceedings of the Harvard Celtic Colloquium</w:t>
      </w:r>
      <w:r w:rsidR="44F08520">
        <w:t>, 32 (2012), pp. 286-301</w:t>
      </w:r>
      <w:r w:rsidR="22BC31B9">
        <w:t xml:space="preserve"> &lt;https://www.jstor.org/stable/23630944&gt; [accessed 5 April 2026]</w:t>
      </w:r>
    </w:p>
    <w:p w14:paraId="3A2D1F78" w14:textId="4425ACA7" w:rsidR="3CECAAD9" w:rsidRDefault="3CECAAD9" w:rsidP="00432948">
      <w:pPr>
        <w:spacing w:line="480" w:lineRule="auto"/>
      </w:pPr>
    </w:p>
    <w:p w14:paraId="769F9B4C" w14:textId="1B4F3783" w:rsidR="3CECAAD9" w:rsidRDefault="3CECAAD9" w:rsidP="00432948">
      <w:pPr>
        <w:spacing w:line="480" w:lineRule="auto"/>
      </w:pPr>
    </w:p>
    <w:sectPr w:rsidR="3CECAA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CC36D2" w14:textId="77777777" w:rsidR="0089678C" w:rsidRDefault="0089678C">
      <w:pPr>
        <w:spacing w:after="0" w:line="240" w:lineRule="auto"/>
      </w:pPr>
      <w:r>
        <w:separator/>
      </w:r>
    </w:p>
  </w:endnote>
  <w:endnote w:type="continuationSeparator" w:id="0">
    <w:p w14:paraId="69444267" w14:textId="77777777" w:rsidR="0089678C" w:rsidRDefault="008967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6632B1" w14:textId="77777777" w:rsidR="0089678C" w:rsidRDefault="0089678C">
      <w:pPr>
        <w:spacing w:after="0" w:line="240" w:lineRule="auto"/>
      </w:pPr>
      <w:r>
        <w:separator/>
      </w:r>
    </w:p>
  </w:footnote>
  <w:footnote w:type="continuationSeparator" w:id="0">
    <w:p w14:paraId="36401352" w14:textId="77777777" w:rsidR="0089678C" w:rsidRDefault="0089678C">
      <w:pPr>
        <w:spacing w:after="0" w:line="240" w:lineRule="auto"/>
      </w:pPr>
      <w:r>
        <w:continuationSeparator/>
      </w:r>
    </w:p>
  </w:footnote>
  <w:footnote w:id="1">
    <w:p w14:paraId="1A91E41D" w14:textId="37332A1D" w:rsidR="3CECAAD9" w:rsidRDefault="3CECAAD9" w:rsidP="3CECAAD9">
      <w:pPr>
        <w:pStyle w:val="FootnoteText"/>
      </w:pPr>
      <w:r w:rsidRPr="3CECAAD9">
        <w:rPr>
          <w:rStyle w:val="FootnoteReference"/>
        </w:rPr>
        <w:footnoteRef/>
      </w:r>
      <w:r>
        <w:t xml:space="preserve"> Michael Keating, ‘The Making of the Celt. Ethnogenesis, Culture and Politics in the Atlantic Arc’, </w:t>
      </w:r>
      <w:r w:rsidRPr="3CECAAD9">
        <w:rPr>
          <w:i/>
          <w:iCs/>
        </w:rPr>
        <w:t>Scottish Affairs</w:t>
      </w:r>
      <w:r w:rsidRPr="3CECAAD9">
        <w:t>, 35.2 (2024), 157-177 (p. 158.) &lt;https://doi.org/10.3366/scot.2024.0498&gt;</w:t>
      </w:r>
    </w:p>
  </w:footnote>
  <w:footnote w:id="2">
    <w:p w14:paraId="36652F30" w14:textId="39C2D0A9" w:rsidR="3CECAAD9" w:rsidRDefault="3CECAAD9" w:rsidP="3CECAAD9">
      <w:pPr>
        <w:pStyle w:val="FootnoteText"/>
      </w:pPr>
      <w:r w:rsidRPr="3CECAAD9">
        <w:rPr>
          <w:rStyle w:val="FootnoteReference"/>
        </w:rPr>
        <w:footnoteRef/>
      </w:r>
      <w:r>
        <w:t xml:space="preserve"> Simon Rodway, ‘The Mabinogi and the shadow of Celtic mythology’, </w:t>
      </w:r>
      <w:r w:rsidRPr="3CECAAD9">
        <w:rPr>
          <w:i/>
          <w:iCs/>
        </w:rPr>
        <w:t xml:space="preserve">Studia Celtica, </w:t>
      </w:r>
      <w:r w:rsidRPr="3CECAAD9">
        <w:t>52.1 (2018), 67-85 (p. 68.) &lt;https://doi.org/10.16922/SC.52.4&gt;</w:t>
      </w:r>
    </w:p>
  </w:footnote>
  <w:footnote w:id="3">
    <w:p w14:paraId="35F85825" w14:textId="7E6AA0BB" w:rsidR="3CECAAD9" w:rsidRDefault="3CECAAD9" w:rsidP="3CECAAD9">
      <w:pPr>
        <w:pStyle w:val="FootnoteText"/>
      </w:pPr>
      <w:r w:rsidRPr="3CECAAD9">
        <w:rPr>
          <w:rStyle w:val="FootnoteReference"/>
        </w:rPr>
        <w:footnoteRef/>
      </w:r>
      <w:r>
        <w:t xml:space="preserve"> Keating, The Making of the Celt. Ethnogenesis, Culture and Politics in the Atlantic Arc, p. 159.</w:t>
      </w:r>
    </w:p>
  </w:footnote>
  <w:footnote w:id="4">
    <w:p w14:paraId="264503D6" w14:textId="3394F720" w:rsidR="3CECAAD9" w:rsidRDefault="3CECAAD9" w:rsidP="3CECAAD9">
      <w:pPr>
        <w:pStyle w:val="FootnoteText"/>
      </w:pPr>
      <w:r w:rsidRPr="3CECAAD9">
        <w:rPr>
          <w:rStyle w:val="FootnoteReference"/>
        </w:rPr>
        <w:footnoteRef/>
      </w:r>
      <w:r>
        <w:t xml:space="preserve"> ibid, p. 164.</w:t>
      </w:r>
    </w:p>
  </w:footnote>
</w:footnotes>
</file>

<file path=word/intelligence2.xml><?xml version="1.0" encoding="utf-8"?>
<int2:intelligence xmlns:int2="http://schemas.microsoft.com/office/intelligence/2020/intelligence" xmlns:oel="http://schemas.microsoft.com/office/2019/extlst">
  <int2:observations>
    <int2:textHash int2:hashCode="oSPj1j/TUuOt/k" int2:id="VIu1HHYG">
      <int2:state int2:value="Rejected" int2:type="spell"/>
    </int2:textHash>
    <int2:bookmark int2:bookmarkName="_Int_sVaZf8ex" int2:invalidationBookmarkName="" int2:hashCode="e0dMsLOcF3PXGS" int2:id="TDjYkFx0">
      <int2:state int2:value="Rejected" int2:type="style"/>
    </int2:bookmark>
    <int2:bookmark int2:bookmarkName="_Int_jItBWwKL" int2:invalidationBookmarkName="" int2:hashCode="7Eqwiy9P7vcUtE" int2:id="ta9IrjKK">
      <int2:state int2:value="Rejected" int2:type="gram"/>
    </int2:bookmark>
    <int2:bookmark int2:bookmarkName="_Int_Z6pYZqRU" int2:invalidationBookmarkName="" int2:hashCode="S7eb1uSCEjMANj" int2:id="uj6O1b23">
      <int2:state int2:value="Rejected" int2:type="gram"/>
    </int2:bookmark>
    <int2:bookmark int2:bookmarkName="_Int_vbzvDZ75" int2:invalidationBookmarkName="" int2:hashCode="ZD4DPyxyvbq3AT" int2:id="gQVjw9HN">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FE6EEF9"/>
    <w:rsid w:val="00432948"/>
    <w:rsid w:val="0089678C"/>
    <w:rsid w:val="00972D2C"/>
    <w:rsid w:val="00A1758E"/>
    <w:rsid w:val="018E2051"/>
    <w:rsid w:val="01978BD3"/>
    <w:rsid w:val="01A20AA7"/>
    <w:rsid w:val="022BF939"/>
    <w:rsid w:val="027BA0C7"/>
    <w:rsid w:val="028FBB35"/>
    <w:rsid w:val="0290369D"/>
    <w:rsid w:val="02BE705E"/>
    <w:rsid w:val="03007280"/>
    <w:rsid w:val="03D02205"/>
    <w:rsid w:val="045284DE"/>
    <w:rsid w:val="04653A9B"/>
    <w:rsid w:val="0520DBB1"/>
    <w:rsid w:val="055ECEE0"/>
    <w:rsid w:val="05769FDB"/>
    <w:rsid w:val="06084C8B"/>
    <w:rsid w:val="062FD5B8"/>
    <w:rsid w:val="0690EF8E"/>
    <w:rsid w:val="07F2E9EC"/>
    <w:rsid w:val="0886AB80"/>
    <w:rsid w:val="08AC430E"/>
    <w:rsid w:val="0A5AB7DB"/>
    <w:rsid w:val="0A94B2DB"/>
    <w:rsid w:val="0B01C701"/>
    <w:rsid w:val="0B1071CB"/>
    <w:rsid w:val="0B8EDD5C"/>
    <w:rsid w:val="0C036A40"/>
    <w:rsid w:val="0C83C798"/>
    <w:rsid w:val="0CAE1DF8"/>
    <w:rsid w:val="0CF13D01"/>
    <w:rsid w:val="0D21034E"/>
    <w:rsid w:val="0D8EFF4D"/>
    <w:rsid w:val="0E751ECB"/>
    <w:rsid w:val="0EA717D7"/>
    <w:rsid w:val="1011CE6A"/>
    <w:rsid w:val="10736F90"/>
    <w:rsid w:val="114DDBE8"/>
    <w:rsid w:val="129AD62E"/>
    <w:rsid w:val="1371A973"/>
    <w:rsid w:val="14983BB0"/>
    <w:rsid w:val="1507356E"/>
    <w:rsid w:val="153B3968"/>
    <w:rsid w:val="1582A303"/>
    <w:rsid w:val="170DD4FC"/>
    <w:rsid w:val="176AF696"/>
    <w:rsid w:val="17D51EBA"/>
    <w:rsid w:val="185FB967"/>
    <w:rsid w:val="18DBAD4A"/>
    <w:rsid w:val="1959B9D2"/>
    <w:rsid w:val="196A203B"/>
    <w:rsid w:val="1B1B7578"/>
    <w:rsid w:val="1BB69C11"/>
    <w:rsid w:val="1BD41B53"/>
    <w:rsid w:val="1CDEC66B"/>
    <w:rsid w:val="1D21ED4F"/>
    <w:rsid w:val="1D8B23DC"/>
    <w:rsid w:val="1D980E12"/>
    <w:rsid w:val="1E257B67"/>
    <w:rsid w:val="1F4221AF"/>
    <w:rsid w:val="1F44D509"/>
    <w:rsid w:val="1FA5151D"/>
    <w:rsid w:val="223E42B0"/>
    <w:rsid w:val="22BC31B9"/>
    <w:rsid w:val="2488568E"/>
    <w:rsid w:val="25707614"/>
    <w:rsid w:val="25ED6684"/>
    <w:rsid w:val="25EDEA5D"/>
    <w:rsid w:val="2604D483"/>
    <w:rsid w:val="26639EB6"/>
    <w:rsid w:val="266FAFAF"/>
    <w:rsid w:val="26B47BA6"/>
    <w:rsid w:val="26B9D5E8"/>
    <w:rsid w:val="26EEE7B2"/>
    <w:rsid w:val="28608532"/>
    <w:rsid w:val="28E69E75"/>
    <w:rsid w:val="28F4F0CA"/>
    <w:rsid w:val="28FD9F99"/>
    <w:rsid w:val="2AB0C33E"/>
    <w:rsid w:val="2AFEFA13"/>
    <w:rsid w:val="2C77A27F"/>
    <w:rsid w:val="2C79CE6D"/>
    <w:rsid w:val="2CA94B12"/>
    <w:rsid w:val="2D303735"/>
    <w:rsid w:val="2D790852"/>
    <w:rsid w:val="2DF46A4A"/>
    <w:rsid w:val="2E554E1C"/>
    <w:rsid w:val="2F71DD48"/>
    <w:rsid w:val="2F71E48C"/>
    <w:rsid w:val="2FCB267A"/>
    <w:rsid w:val="304828DA"/>
    <w:rsid w:val="30CD4C30"/>
    <w:rsid w:val="30FCA175"/>
    <w:rsid w:val="30FDDDF2"/>
    <w:rsid w:val="3112B69F"/>
    <w:rsid w:val="31B8F437"/>
    <w:rsid w:val="31ED01ED"/>
    <w:rsid w:val="31EE0FDB"/>
    <w:rsid w:val="3279BFD8"/>
    <w:rsid w:val="32A53928"/>
    <w:rsid w:val="33AE8076"/>
    <w:rsid w:val="34C2EA57"/>
    <w:rsid w:val="350285C9"/>
    <w:rsid w:val="35053132"/>
    <w:rsid w:val="35E1B979"/>
    <w:rsid w:val="36075D0D"/>
    <w:rsid w:val="3657D027"/>
    <w:rsid w:val="366807A5"/>
    <w:rsid w:val="366D98D4"/>
    <w:rsid w:val="36AFD532"/>
    <w:rsid w:val="36D5DD92"/>
    <w:rsid w:val="38C5DB2F"/>
    <w:rsid w:val="38CD7AD6"/>
    <w:rsid w:val="39AABEED"/>
    <w:rsid w:val="3AE208C4"/>
    <w:rsid w:val="3BA65CC9"/>
    <w:rsid w:val="3C8ED740"/>
    <w:rsid w:val="3CE8FCD7"/>
    <w:rsid w:val="3CECAAD9"/>
    <w:rsid w:val="3D38404A"/>
    <w:rsid w:val="3D5C383B"/>
    <w:rsid w:val="3DAF89A8"/>
    <w:rsid w:val="3DBC2192"/>
    <w:rsid w:val="3DFD1C76"/>
    <w:rsid w:val="3E6471D2"/>
    <w:rsid w:val="3E7E146E"/>
    <w:rsid w:val="3E83AF54"/>
    <w:rsid w:val="3FC00861"/>
    <w:rsid w:val="3FE6EEF9"/>
    <w:rsid w:val="40E5C871"/>
    <w:rsid w:val="42370A88"/>
    <w:rsid w:val="429E5190"/>
    <w:rsid w:val="42D2BF23"/>
    <w:rsid w:val="43F4F377"/>
    <w:rsid w:val="44DC38EB"/>
    <w:rsid w:val="44F08520"/>
    <w:rsid w:val="45C41D8A"/>
    <w:rsid w:val="46C184B2"/>
    <w:rsid w:val="471B8B6C"/>
    <w:rsid w:val="48C248B2"/>
    <w:rsid w:val="48C58E9F"/>
    <w:rsid w:val="4947FB4D"/>
    <w:rsid w:val="49AECC78"/>
    <w:rsid w:val="4A07215A"/>
    <w:rsid w:val="4A4F282D"/>
    <w:rsid w:val="4B0ACA8C"/>
    <w:rsid w:val="4B894ED8"/>
    <w:rsid w:val="4BFA8581"/>
    <w:rsid w:val="4C531C0B"/>
    <w:rsid w:val="4CC35216"/>
    <w:rsid w:val="4E1CC7EC"/>
    <w:rsid w:val="4E48FA81"/>
    <w:rsid w:val="4EB4F674"/>
    <w:rsid w:val="4F2E4254"/>
    <w:rsid w:val="4F435EF4"/>
    <w:rsid w:val="4FEBC2A3"/>
    <w:rsid w:val="5060BFB1"/>
    <w:rsid w:val="5102BB05"/>
    <w:rsid w:val="511AC6A4"/>
    <w:rsid w:val="524B9E20"/>
    <w:rsid w:val="536E91B7"/>
    <w:rsid w:val="54106BE4"/>
    <w:rsid w:val="543B2FD4"/>
    <w:rsid w:val="5497ECA0"/>
    <w:rsid w:val="558C1F7B"/>
    <w:rsid w:val="55F298C8"/>
    <w:rsid w:val="5662BBE1"/>
    <w:rsid w:val="5663629C"/>
    <w:rsid w:val="5685F31D"/>
    <w:rsid w:val="5691B3F9"/>
    <w:rsid w:val="56F031B9"/>
    <w:rsid w:val="5771AD30"/>
    <w:rsid w:val="57D68308"/>
    <w:rsid w:val="58E672D2"/>
    <w:rsid w:val="59435182"/>
    <w:rsid w:val="594FB853"/>
    <w:rsid w:val="59E736D1"/>
    <w:rsid w:val="59E758BF"/>
    <w:rsid w:val="59F134E5"/>
    <w:rsid w:val="5A453D3E"/>
    <w:rsid w:val="5A760123"/>
    <w:rsid w:val="5A8F6B5D"/>
    <w:rsid w:val="5B5EC811"/>
    <w:rsid w:val="5BDAD103"/>
    <w:rsid w:val="5C38ECE3"/>
    <w:rsid w:val="5C8F7953"/>
    <w:rsid w:val="5CE668AB"/>
    <w:rsid w:val="5CF01A69"/>
    <w:rsid w:val="5D13E551"/>
    <w:rsid w:val="5D32CBBB"/>
    <w:rsid w:val="5DD2A0A1"/>
    <w:rsid w:val="5DD63BC9"/>
    <w:rsid w:val="5EAF8257"/>
    <w:rsid w:val="5F3348C5"/>
    <w:rsid w:val="5F7729B7"/>
    <w:rsid w:val="60F3034F"/>
    <w:rsid w:val="615F7242"/>
    <w:rsid w:val="624D67FB"/>
    <w:rsid w:val="627ADBA6"/>
    <w:rsid w:val="62F62E42"/>
    <w:rsid w:val="62F941F4"/>
    <w:rsid w:val="6356E5FB"/>
    <w:rsid w:val="6393BFFA"/>
    <w:rsid w:val="648B0777"/>
    <w:rsid w:val="6537D57F"/>
    <w:rsid w:val="66AEE984"/>
    <w:rsid w:val="66F9D15D"/>
    <w:rsid w:val="67069D42"/>
    <w:rsid w:val="670B3A8A"/>
    <w:rsid w:val="671E1B30"/>
    <w:rsid w:val="673F9D2C"/>
    <w:rsid w:val="67AC73E4"/>
    <w:rsid w:val="68E2CB68"/>
    <w:rsid w:val="69357A09"/>
    <w:rsid w:val="696EDE35"/>
    <w:rsid w:val="69FC14FD"/>
    <w:rsid w:val="6A822703"/>
    <w:rsid w:val="6A874536"/>
    <w:rsid w:val="6B86A541"/>
    <w:rsid w:val="6BD73029"/>
    <w:rsid w:val="6C03FB58"/>
    <w:rsid w:val="6C9DE4A1"/>
    <w:rsid w:val="6D12873E"/>
    <w:rsid w:val="6E33CA2F"/>
    <w:rsid w:val="6E53C642"/>
    <w:rsid w:val="6EA0396D"/>
    <w:rsid w:val="6F84F75F"/>
    <w:rsid w:val="6FB24267"/>
    <w:rsid w:val="6FD02F07"/>
    <w:rsid w:val="6FF4CBB7"/>
    <w:rsid w:val="70BA9397"/>
    <w:rsid w:val="7141FA6D"/>
    <w:rsid w:val="716C1F86"/>
    <w:rsid w:val="723AEF9E"/>
    <w:rsid w:val="729BF980"/>
    <w:rsid w:val="72A7FA5B"/>
    <w:rsid w:val="72C045C6"/>
    <w:rsid w:val="73845EAB"/>
    <w:rsid w:val="74E53FC9"/>
    <w:rsid w:val="74EC1EEC"/>
    <w:rsid w:val="7672723F"/>
    <w:rsid w:val="76BFDB7F"/>
    <w:rsid w:val="76DD49DC"/>
    <w:rsid w:val="77365E09"/>
    <w:rsid w:val="773FA1B2"/>
    <w:rsid w:val="7778A73E"/>
    <w:rsid w:val="782E2385"/>
    <w:rsid w:val="782FB339"/>
    <w:rsid w:val="788D0973"/>
    <w:rsid w:val="78B9F559"/>
    <w:rsid w:val="78E9B82F"/>
    <w:rsid w:val="79777AAB"/>
    <w:rsid w:val="7A318498"/>
    <w:rsid w:val="7A7E6332"/>
    <w:rsid w:val="7AC0B68B"/>
    <w:rsid w:val="7B65F2DC"/>
    <w:rsid w:val="7B94A84D"/>
    <w:rsid w:val="7BF6E88E"/>
    <w:rsid w:val="7CFE4C7E"/>
    <w:rsid w:val="7F2B0D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6EEF9"/>
  <w15:chartTrackingRefBased/>
  <w15:docId w15:val="{5791B26B-B0EB-49E2-AC52-4159D0EE08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uiPriority w:val="99"/>
    <w:semiHidden/>
    <w:unhideWhenUsed/>
    <w:rsid w:val="3CECAAD9"/>
    <w:pPr>
      <w:spacing w:after="0" w:line="240" w:lineRule="auto"/>
    </w:pPr>
    <w:rPr>
      <w:sz w:val="20"/>
      <w:szCs w:val="20"/>
    </w:rPr>
  </w:style>
  <w:style w:type="character" w:styleId="FootnoteReference">
    <w:name w:val="footnote reference"/>
    <w:basedOn w:val="DefaultParagraphFont"/>
    <w:uiPriority w:val="99"/>
    <w:semiHidden/>
    <w:unhideWhenUsed/>
    <w:rsid w:val="3CECAAD9"/>
    <w:rPr>
      <w:vertAlign w:val="superscript"/>
    </w:rPr>
  </w:style>
  <w:style w:type="character" w:styleId="Hyperlink">
    <w:name w:val="Hyperlink"/>
    <w:basedOn w:val="DefaultParagraphFont"/>
    <w:uiPriority w:val="99"/>
    <w:unhideWhenUsed/>
    <w:rsid w:val="3CECAAD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1287</Words>
  <Characters>7340</Characters>
  <Application>Microsoft Office Word</Application>
  <DocSecurity>0</DocSecurity>
  <Lines>61</Lines>
  <Paragraphs>17</Paragraphs>
  <ScaleCrop>false</ScaleCrop>
  <Company/>
  <LinksUpToDate>false</LinksUpToDate>
  <CharactersWithSpaces>8610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Corentine Byrd (2404309)</dc:creator>
  <cp:keywords/>
  <dc:description/>
  <cp:lastModifiedBy>Cori Hatfield</cp:lastModifiedBy>
  <cp:revision>4</cp:revision>
  <dcterms:created xsi:type="dcterms:W3CDTF">2026-03-29T17:22:00Z</dcterms:created>
  <dcterms:modified xsi:type="dcterms:W3CDTF">2026-04-05T22:43:00Z</dcterms:modified>
</cp:coreProperties>
</file>