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FD73" w14:textId="77777777" w:rsidR="006D6890" w:rsidRDefault="006D6890" w:rsidP="006D6890">
      <w:pPr>
        <w:rPr>
          <w:rFonts w:ascii="Arial" w:hAnsi="Arial" w:cs="Arial"/>
          <w:b/>
          <w:bCs/>
        </w:rPr>
      </w:pPr>
    </w:p>
    <w:p w14:paraId="0BC65625" w14:textId="77777777" w:rsidR="006D6890" w:rsidRDefault="006D6890" w:rsidP="006D6890">
      <w:pPr>
        <w:rPr>
          <w:rFonts w:ascii="Arial" w:hAnsi="Arial" w:cs="Arial"/>
          <w:b/>
          <w:bCs/>
        </w:rPr>
      </w:pPr>
    </w:p>
    <w:p w14:paraId="7D33556B" w14:textId="77777777" w:rsidR="006D6890" w:rsidRDefault="006D6890" w:rsidP="006D6890">
      <w:pPr>
        <w:rPr>
          <w:rFonts w:ascii="Arial" w:hAnsi="Arial" w:cs="Arial"/>
          <w:b/>
          <w:bCs/>
        </w:rPr>
      </w:pPr>
    </w:p>
    <w:p w14:paraId="62C1440F" w14:textId="77777777" w:rsidR="006D6890" w:rsidRDefault="006D6890" w:rsidP="006D6890">
      <w:pPr>
        <w:rPr>
          <w:rFonts w:ascii="Arial" w:hAnsi="Arial" w:cs="Arial"/>
          <w:b/>
          <w:bCs/>
        </w:rPr>
      </w:pPr>
    </w:p>
    <w:p w14:paraId="231F7757" w14:textId="77777777" w:rsidR="006D6890" w:rsidRDefault="006D6890" w:rsidP="006D6890">
      <w:pPr>
        <w:rPr>
          <w:rFonts w:ascii="Arial" w:hAnsi="Arial" w:cs="Arial"/>
          <w:b/>
          <w:bCs/>
        </w:rPr>
      </w:pPr>
    </w:p>
    <w:p w14:paraId="5FE9CE10" w14:textId="77777777" w:rsidR="006D6890" w:rsidRDefault="006D6890" w:rsidP="006D6890">
      <w:pPr>
        <w:rPr>
          <w:rFonts w:ascii="Arial" w:hAnsi="Arial" w:cs="Arial"/>
          <w:b/>
          <w:bCs/>
        </w:rPr>
      </w:pPr>
    </w:p>
    <w:p w14:paraId="52E3001F" w14:textId="77777777" w:rsidR="006D6890" w:rsidRDefault="006D6890" w:rsidP="006D6890">
      <w:pPr>
        <w:rPr>
          <w:rFonts w:ascii="Arial" w:hAnsi="Arial" w:cs="Arial"/>
          <w:b/>
          <w:bCs/>
        </w:rPr>
      </w:pPr>
    </w:p>
    <w:p w14:paraId="34BD3767" w14:textId="77777777" w:rsidR="006D6890" w:rsidRDefault="006D6890" w:rsidP="006D6890">
      <w:pPr>
        <w:rPr>
          <w:rFonts w:ascii="Arial" w:hAnsi="Arial" w:cs="Arial"/>
          <w:b/>
          <w:bCs/>
        </w:rPr>
      </w:pPr>
    </w:p>
    <w:p w14:paraId="48D49B5E" w14:textId="77777777" w:rsidR="006D6890" w:rsidRDefault="006D6890" w:rsidP="006D6890">
      <w:pPr>
        <w:rPr>
          <w:rFonts w:ascii="Arial" w:hAnsi="Arial" w:cs="Arial"/>
          <w:b/>
          <w:bCs/>
        </w:rPr>
      </w:pPr>
    </w:p>
    <w:p w14:paraId="3C20351C" w14:textId="77777777" w:rsidR="006D6890" w:rsidRDefault="006D6890" w:rsidP="006D6890">
      <w:pPr>
        <w:rPr>
          <w:rFonts w:ascii="Arial" w:hAnsi="Arial" w:cs="Arial"/>
          <w:b/>
          <w:bCs/>
        </w:rPr>
      </w:pPr>
    </w:p>
    <w:p w14:paraId="00A4CFEE" w14:textId="77777777" w:rsidR="006D6890" w:rsidRDefault="006D6890" w:rsidP="006D6890">
      <w:pPr>
        <w:rPr>
          <w:rFonts w:ascii="Arial" w:hAnsi="Arial" w:cs="Arial"/>
          <w:b/>
          <w:bCs/>
        </w:rPr>
      </w:pPr>
    </w:p>
    <w:p w14:paraId="45E19A5B" w14:textId="77777777" w:rsidR="006D6890" w:rsidRDefault="006D6890" w:rsidP="006D6890">
      <w:pPr>
        <w:rPr>
          <w:rFonts w:ascii="Arial" w:hAnsi="Arial" w:cs="Arial"/>
          <w:b/>
          <w:bCs/>
        </w:rPr>
      </w:pPr>
    </w:p>
    <w:p w14:paraId="598DB6D9" w14:textId="7AEB7317" w:rsidR="006D6890" w:rsidRPr="006D6890" w:rsidRDefault="006D6890" w:rsidP="006D6890">
      <w:pPr>
        <w:jc w:val="center"/>
        <w:rPr>
          <w:rFonts w:ascii="Arial" w:hAnsi="Arial" w:cs="Arial"/>
          <w:b/>
          <w:bCs/>
        </w:rPr>
      </w:pPr>
      <w:r w:rsidRPr="006D6890">
        <w:rPr>
          <w:rFonts w:ascii="Arial" w:hAnsi="Arial" w:cs="Arial"/>
          <w:b/>
          <w:bCs/>
        </w:rPr>
        <w:t>AI Declaration</w:t>
      </w:r>
    </w:p>
    <w:p w14:paraId="2CAC9387" w14:textId="77777777" w:rsidR="006D6890" w:rsidRPr="006D6890" w:rsidRDefault="006D6890" w:rsidP="006D6890">
      <w:pPr>
        <w:jc w:val="center"/>
        <w:rPr>
          <w:rFonts w:ascii="Arial" w:hAnsi="Arial" w:cs="Arial"/>
        </w:rPr>
      </w:pPr>
      <w:r w:rsidRPr="006D6890">
        <w:rPr>
          <w:rFonts w:ascii="Arial" w:hAnsi="Arial" w:cs="Arial"/>
        </w:rPr>
        <w:t>I confirm that I have not presented any AI generated text as my own work.</w:t>
      </w:r>
    </w:p>
    <w:p w14:paraId="6A095A87" w14:textId="73A45CB6" w:rsidR="00CF4ED8" w:rsidRDefault="00CF4ED8">
      <w:pPr>
        <w:rPr>
          <w:rFonts w:ascii="Arial" w:eastAsiaTheme="majorEastAsia" w:hAnsi="Arial" w:cs="Arial"/>
          <w:b/>
          <w:bCs/>
        </w:rPr>
      </w:pPr>
    </w:p>
    <w:p w14:paraId="33A8DC14" w14:textId="1F86D25C" w:rsidR="00CF4ED8" w:rsidRDefault="00CF4ED8">
      <w:pPr>
        <w:rPr>
          <w:rFonts w:ascii="Arial" w:eastAsiaTheme="majorEastAsia" w:hAnsi="Arial" w:cs="Arial"/>
          <w:b/>
          <w:bCs/>
        </w:rPr>
      </w:pPr>
      <w:r>
        <w:rPr>
          <w:rFonts w:ascii="Arial" w:hAnsi="Arial" w:cs="Arial"/>
          <w:b/>
          <w:bCs/>
        </w:rPr>
        <w:br w:type="page"/>
      </w:r>
    </w:p>
    <w:p w14:paraId="5410AE72" w14:textId="476FE784" w:rsidR="006D6890" w:rsidRDefault="006D6890" w:rsidP="006D6890">
      <w:pPr>
        <w:spacing w:line="360" w:lineRule="auto"/>
        <w:rPr>
          <w:rFonts w:ascii="Arial" w:hAnsi="Arial" w:cs="Arial"/>
          <w:b/>
          <w:bCs/>
        </w:rPr>
      </w:pPr>
      <w:r>
        <w:rPr>
          <w:rFonts w:ascii="Arial" w:hAnsi="Arial" w:cs="Arial"/>
          <w:b/>
          <w:bCs/>
        </w:rPr>
        <w:lastRenderedPageBreak/>
        <w:t xml:space="preserve">Research proposal for a study on students’ experience of menstrual health education in Wales. </w:t>
      </w:r>
    </w:p>
    <w:p w14:paraId="0889511A" w14:textId="77777777" w:rsidR="006D6890" w:rsidRDefault="006D6890">
      <w:pPr>
        <w:rPr>
          <w:rFonts w:ascii="Arial" w:hAnsi="Arial" w:cs="Arial"/>
          <w:b/>
          <w:bCs/>
        </w:rPr>
      </w:pPr>
    </w:p>
    <w:sdt>
      <w:sdtPr>
        <w:id w:val="2144306244"/>
        <w:docPartObj>
          <w:docPartGallery w:val="Table of Contents"/>
          <w:docPartUnique/>
        </w:docPartObj>
      </w:sdtPr>
      <w:sdtEndPr>
        <w:rPr>
          <w:rFonts w:asciiTheme="minorHAnsi" w:eastAsiaTheme="minorHAnsi" w:hAnsiTheme="minorHAnsi" w:cstheme="minorHAnsi"/>
          <w:b/>
          <w:bCs/>
          <w:noProof/>
          <w:color w:val="auto"/>
          <w:kern w:val="2"/>
          <w:sz w:val="24"/>
          <w:szCs w:val="24"/>
          <w:lang w:val="en-GB"/>
          <w14:ligatures w14:val="standardContextual"/>
        </w:rPr>
      </w:sdtEndPr>
      <w:sdtContent>
        <w:p w14:paraId="661E467D" w14:textId="3E1B7F1B" w:rsidR="0085568D" w:rsidRPr="008E6204" w:rsidRDefault="0085568D">
          <w:pPr>
            <w:pStyle w:val="TOCHeading"/>
            <w:rPr>
              <w:rFonts w:ascii="Arial" w:hAnsi="Arial" w:cs="Arial"/>
              <w:b/>
              <w:bCs/>
              <w:color w:val="auto"/>
              <w:sz w:val="24"/>
              <w:szCs w:val="24"/>
            </w:rPr>
          </w:pPr>
          <w:r w:rsidRPr="008E6204">
            <w:rPr>
              <w:rFonts w:ascii="Arial" w:hAnsi="Arial" w:cs="Arial"/>
              <w:b/>
              <w:bCs/>
              <w:color w:val="auto"/>
              <w:sz w:val="24"/>
              <w:szCs w:val="24"/>
            </w:rPr>
            <w:t>Contents</w:t>
          </w:r>
        </w:p>
        <w:p w14:paraId="0EA36BE1" w14:textId="77777777" w:rsidR="0085568D" w:rsidRPr="008E6204" w:rsidRDefault="0085568D" w:rsidP="0085568D">
          <w:pPr>
            <w:rPr>
              <w:rFonts w:ascii="Arial" w:hAnsi="Arial" w:cs="Arial"/>
              <w:lang w:val="en-US"/>
            </w:rPr>
          </w:pPr>
        </w:p>
        <w:p w14:paraId="0E66AF30" w14:textId="56A6CB58" w:rsidR="008E6204" w:rsidRPr="008E6204" w:rsidRDefault="0085568D">
          <w:pPr>
            <w:pStyle w:val="TOC1"/>
            <w:tabs>
              <w:tab w:val="right" w:leader="dot" w:pos="9016"/>
            </w:tabs>
            <w:rPr>
              <w:rFonts w:ascii="Arial" w:eastAsiaTheme="minorEastAsia" w:hAnsi="Arial" w:cs="Arial"/>
              <w:noProof/>
              <w:lang w:eastAsia="en-GB"/>
            </w:rPr>
          </w:pPr>
          <w:r w:rsidRPr="008E6204">
            <w:rPr>
              <w:rFonts w:ascii="Arial" w:hAnsi="Arial" w:cs="Arial"/>
            </w:rPr>
            <w:fldChar w:fldCharType="begin"/>
          </w:r>
          <w:r w:rsidRPr="008E6204">
            <w:rPr>
              <w:rFonts w:ascii="Arial" w:hAnsi="Arial" w:cs="Arial"/>
            </w:rPr>
            <w:instrText xml:space="preserve"> TOC \o "1-3" \h \z \u </w:instrText>
          </w:r>
          <w:r w:rsidRPr="008E6204">
            <w:rPr>
              <w:rFonts w:ascii="Arial" w:hAnsi="Arial" w:cs="Arial"/>
            </w:rPr>
            <w:fldChar w:fldCharType="separate"/>
          </w:r>
          <w:hyperlink w:anchor="_Toc228105080" w:history="1">
            <w:r w:rsidR="008E6204" w:rsidRPr="008E6204">
              <w:rPr>
                <w:rStyle w:val="Hyperlink"/>
                <w:rFonts w:ascii="Arial" w:hAnsi="Arial" w:cs="Arial"/>
                <w:noProof/>
              </w:rPr>
              <w:t>Introduction</w:t>
            </w:r>
            <w:r w:rsidR="008E6204" w:rsidRPr="008E6204">
              <w:rPr>
                <w:rFonts w:ascii="Arial" w:hAnsi="Arial" w:cs="Arial"/>
                <w:noProof/>
                <w:webHidden/>
              </w:rPr>
              <w:tab/>
            </w:r>
            <w:r w:rsidR="008E6204" w:rsidRPr="008E6204">
              <w:rPr>
                <w:rFonts w:ascii="Arial" w:hAnsi="Arial" w:cs="Arial"/>
                <w:noProof/>
                <w:webHidden/>
              </w:rPr>
              <w:fldChar w:fldCharType="begin"/>
            </w:r>
            <w:r w:rsidR="008E6204" w:rsidRPr="008E6204">
              <w:rPr>
                <w:rFonts w:ascii="Arial" w:hAnsi="Arial" w:cs="Arial"/>
                <w:noProof/>
                <w:webHidden/>
              </w:rPr>
              <w:instrText xml:space="preserve"> PAGEREF _Toc228105080 \h </w:instrText>
            </w:r>
            <w:r w:rsidR="008E6204" w:rsidRPr="008E6204">
              <w:rPr>
                <w:rFonts w:ascii="Arial" w:hAnsi="Arial" w:cs="Arial"/>
                <w:noProof/>
                <w:webHidden/>
              </w:rPr>
            </w:r>
            <w:r w:rsidR="008E6204" w:rsidRPr="008E6204">
              <w:rPr>
                <w:rFonts w:ascii="Arial" w:hAnsi="Arial" w:cs="Arial"/>
                <w:noProof/>
                <w:webHidden/>
              </w:rPr>
              <w:fldChar w:fldCharType="separate"/>
            </w:r>
            <w:r w:rsidR="008E6204" w:rsidRPr="008E6204">
              <w:rPr>
                <w:rFonts w:ascii="Arial" w:hAnsi="Arial" w:cs="Arial"/>
                <w:noProof/>
                <w:webHidden/>
              </w:rPr>
              <w:t>3</w:t>
            </w:r>
            <w:r w:rsidR="008E6204" w:rsidRPr="008E6204">
              <w:rPr>
                <w:rFonts w:ascii="Arial" w:hAnsi="Arial" w:cs="Arial"/>
                <w:noProof/>
                <w:webHidden/>
              </w:rPr>
              <w:fldChar w:fldCharType="end"/>
            </w:r>
          </w:hyperlink>
        </w:p>
        <w:p w14:paraId="145B6D20" w14:textId="728F2196" w:rsidR="008E6204" w:rsidRPr="008E6204" w:rsidRDefault="008E6204">
          <w:pPr>
            <w:pStyle w:val="TOC1"/>
            <w:tabs>
              <w:tab w:val="right" w:leader="dot" w:pos="9016"/>
            </w:tabs>
            <w:rPr>
              <w:rFonts w:ascii="Arial" w:eastAsiaTheme="minorEastAsia" w:hAnsi="Arial" w:cs="Arial"/>
              <w:noProof/>
              <w:lang w:eastAsia="en-GB"/>
            </w:rPr>
          </w:pPr>
          <w:hyperlink w:anchor="_Toc228105081" w:history="1">
            <w:r w:rsidRPr="008E6204">
              <w:rPr>
                <w:rStyle w:val="Hyperlink"/>
                <w:rFonts w:ascii="Arial" w:hAnsi="Arial" w:cs="Arial"/>
                <w:noProof/>
              </w:rPr>
              <w:t>Literature review</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_Toc228105081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3</w:t>
            </w:r>
            <w:r w:rsidRPr="008E6204">
              <w:rPr>
                <w:rFonts w:ascii="Arial" w:hAnsi="Arial" w:cs="Arial"/>
                <w:noProof/>
                <w:webHidden/>
              </w:rPr>
              <w:fldChar w:fldCharType="end"/>
            </w:r>
          </w:hyperlink>
        </w:p>
        <w:p w14:paraId="1276304E" w14:textId="738C4B62" w:rsidR="008E6204" w:rsidRPr="008E6204" w:rsidRDefault="008E6204">
          <w:pPr>
            <w:pStyle w:val="TOC1"/>
            <w:tabs>
              <w:tab w:val="right" w:leader="dot" w:pos="9016"/>
            </w:tabs>
            <w:rPr>
              <w:rFonts w:ascii="Arial" w:eastAsiaTheme="minorEastAsia" w:hAnsi="Arial" w:cs="Arial"/>
              <w:noProof/>
              <w:lang w:eastAsia="en-GB"/>
            </w:rPr>
          </w:pPr>
          <w:hyperlink w:anchor="_Toc228105082" w:history="1">
            <w:r w:rsidRPr="008E6204">
              <w:rPr>
                <w:rStyle w:val="Hyperlink"/>
                <w:rFonts w:ascii="Arial" w:hAnsi="Arial" w:cs="Arial"/>
                <w:noProof/>
              </w:rPr>
              <w:t>Methodology</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_Toc228105082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4</w:t>
            </w:r>
            <w:r w:rsidRPr="008E6204">
              <w:rPr>
                <w:rFonts w:ascii="Arial" w:hAnsi="Arial" w:cs="Arial"/>
                <w:noProof/>
                <w:webHidden/>
              </w:rPr>
              <w:fldChar w:fldCharType="end"/>
            </w:r>
          </w:hyperlink>
        </w:p>
        <w:p w14:paraId="5B27E558" w14:textId="4F36438D" w:rsidR="008E6204" w:rsidRPr="008E6204" w:rsidRDefault="008E6204">
          <w:pPr>
            <w:pStyle w:val="TOC1"/>
            <w:tabs>
              <w:tab w:val="right" w:leader="dot" w:pos="9016"/>
            </w:tabs>
            <w:rPr>
              <w:rFonts w:ascii="Arial" w:eastAsiaTheme="minorEastAsia" w:hAnsi="Arial" w:cs="Arial"/>
              <w:noProof/>
              <w:lang w:eastAsia="en-GB"/>
            </w:rPr>
          </w:pPr>
          <w:hyperlink w:anchor="_Toc228105083" w:history="1">
            <w:r w:rsidRPr="008E6204">
              <w:rPr>
                <w:rStyle w:val="Hyperlink"/>
                <w:rFonts w:ascii="Arial" w:hAnsi="Arial" w:cs="Arial"/>
                <w:noProof/>
              </w:rPr>
              <w:t>Data collection methods</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_Toc228105083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6</w:t>
            </w:r>
            <w:r w:rsidRPr="008E6204">
              <w:rPr>
                <w:rFonts w:ascii="Arial" w:hAnsi="Arial" w:cs="Arial"/>
                <w:noProof/>
                <w:webHidden/>
              </w:rPr>
              <w:fldChar w:fldCharType="end"/>
            </w:r>
          </w:hyperlink>
        </w:p>
        <w:p w14:paraId="249645F9" w14:textId="41111218" w:rsidR="008E6204" w:rsidRPr="008E6204" w:rsidRDefault="008E6204">
          <w:pPr>
            <w:pStyle w:val="TOC1"/>
            <w:tabs>
              <w:tab w:val="right" w:leader="dot" w:pos="9016"/>
            </w:tabs>
            <w:rPr>
              <w:rFonts w:ascii="Arial" w:eastAsiaTheme="minorEastAsia" w:hAnsi="Arial" w:cs="Arial"/>
              <w:noProof/>
              <w:lang w:eastAsia="en-GB"/>
            </w:rPr>
          </w:pPr>
          <w:hyperlink w:anchor="_Toc228105084" w:history="1">
            <w:r w:rsidRPr="008E6204">
              <w:rPr>
                <w:rStyle w:val="Hyperlink"/>
                <w:rFonts w:ascii="Arial" w:hAnsi="Arial" w:cs="Arial"/>
                <w:noProof/>
              </w:rPr>
              <w:t>Ethical considerations</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_Toc228105084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10</w:t>
            </w:r>
            <w:r w:rsidRPr="008E6204">
              <w:rPr>
                <w:rFonts w:ascii="Arial" w:hAnsi="Arial" w:cs="Arial"/>
                <w:noProof/>
                <w:webHidden/>
              </w:rPr>
              <w:fldChar w:fldCharType="end"/>
            </w:r>
          </w:hyperlink>
        </w:p>
        <w:p w14:paraId="3407359A" w14:textId="00E97DEB" w:rsidR="008E6204" w:rsidRPr="008E6204" w:rsidRDefault="008E6204">
          <w:pPr>
            <w:pStyle w:val="TOC1"/>
            <w:tabs>
              <w:tab w:val="right" w:leader="dot" w:pos="9016"/>
            </w:tabs>
            <w:rPr>
              <w:rFonts w:ascii="Arial" w:eastAsiaTheme="minorEastAsia" w:hAnsi="Arial" w:cs="Arial"/>
              <w:noProof/>
              <w:lang w:eastAsia="en-GB"/>
            </w:rPr>
          </w:pPr>
          <w:hyperlink w:anchor="_Toc228105085" w:history="1">
            <w:r w:rsidRPr="008E6204">
              <w:rPr>
                <w:rStyle w:val="Hyperlink"/>
                <w:rFonts w:ascii="Arial" w:hAnsi="Arial" w:cs="Arial"/>
                <w:noProof/>
              </w:rPr>
              <w:t>Conclusion</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_Toc228105085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12</w:t>
            </w:r>
            <w:r w:rsidRPr="008E6204">
              <w:rPr>
                <w:rFonts w:ascii="Arial" w:hAnsi="Arial" w:cs="Arial"/>
                <w:noProof/>
                <w:webHidden/>
              </w:rPr>
              <w:fldChar w:fldCharType="end"/>
            </w:r>
          </w:hyperlink>
        </w:p>
        <w:p w14:paraId="13A02E1D" w14:textId="71A317E3" w:rsidR="008E6204" w:rsidRPr="008E6204" w:rsidRDefault="008E6204">
          <w:pPr>
            <w:pStyle w:val="TOC1"/>
            <w:tabs>
              <w:tab w:val="right" w:leader="dot" w:pos="9016"/>
            </w:tabs>
            <w:rPr>
              <w:rFonts w:ascii="Arial" w:eastAsiaTheme="minorEastAsia" w:hAnsi="Arial" w:cs="Arial"/>
              <w:noProof/>
              <w:lang w:eastAsia="en-GB"/>
            </w:rPr>
          </w:pPr>
          <w:hyperlink w:anchor="_Toc228105086" w:history="1">
            <w:r w:rsidRPr="008E6204">
              <w:rPr>
                <w:rStyle w:val="Hyperlink"/>
                <w:rFonts w:ascii="Arial" w:hAnsi="Arial" w:cs="Arial"/>
                <w:noProof/>
              </w:rPr>
              <w:t>Reference list</w:t>
            </w:r>
            <w:r w:rsidRPr="008E6204">
              <w:rPr>
                <w:rFonts w:ascii="Arial" w:hAnsi="Arial" w:cs="Arial"/>
                <w:noProof/>
                <w:webHidden/>
              </w:rPr>
              <w:tab/>
            </w:r>
            <w:r w:rsidRPr="008E6204">
              <w:rPr>
                <w:rFonts w:ascii="Arial" w:hAnsi="Arial" w:cs="Arial"/>
                <w:noProof/>
                <w:webHidden/>
              </w:rPr>
              <w:fldChar w:fldCharType="begin"/>
            </w:r>
            <w:r w:rsidRPr="008E6204">
              <w:rPr>
                <w:rFonts w:ascii="Arial" w:hAnsi="Arial" w:cs="Arial"/>
                <w:noProof/>
                <w:webHidden/>
              </w:rPr>
              <w:instrText xml:space="preserve"> PAGEREF _Toc228105086 \h </w:instrText>
            </w:r>
            <w:r w:rsidRPr="008E6204">
              <w:rPr>
                <w:rFonts w:ascii="Arial" w:hAnsi="Arial" w:cs="Arial"/>
                <w:noProof/>
                <w:webHidden/>
              </w:rPr>
            </w:r>
            <w:r w:rsidRPr="008E6204">
              <w:rPr>
                <w:rFonts w:ascii="Arial" w:hAnsi="Arial" w:cs="Arial"/>
                <w:noProof/>
                <w:webHidden/>
              </w:rPr>
              <w:fldChar w:fldCharType="separate"/>
            </w:r>
            <w:r w:rsidRPr="008E6204">
              <w:rPr>
                <w:rFonts w:ascii="Arial" w:hAnsi="Arial" w:cs="Arial"/>
                <w:noProof/>
                <w:webHidden/>
              </w:rPr>
              <w:t>14</w:t>
            </w:r>
            <w:r w:rsidRPr="008E6204">
              <w:rPr>
                <w:rFonts w:ascii="Arial" w:hAnsi="Arial" w:cs="Arial"/>
                <w:noProof/>
                <w:webHidden/>
              </w:rPr>
              <w:fldChar w:fldCharType="end"/>
            </w:r>
          </w:hyperlink>
        </w:p>
        <w:p w14:paraId="3283136F" w14:textId="0315C7DC" w:rsidR="0085568D" w:rsidRDefault="0085568D">
          <w:r w:rsidRPr="008E6204">
            <w:rPr>
              <w:rFonts w:ascii="Arial" w:hAnsi="Arial" w:cs="Arial"/>
              <w:b/>
              <w:bCs/>
              <w:noProof/>
            </w:rPr>
            <w:fldChar w:fldCharType="end"/>
          </w:r>
        </w:p>
      </w:sdtContent>
    </w:sdt>
    <w:p w14:paraId="13B36131" w14:textId="1F011B84" w:rsidR="006D6890" w:rsidRDefault="006D6890">
      <w:pPr>
        <w:rPr>
          <w:rFonts w:ascii="Arial" w:eastAsiaTheme="majorEastAsia" w:hAnsi="Arial" w:cs="Arial"/>
          <w:b/>
          <w:bCs/>
        </w:rPr>
      </w:pPr>
      <w:r>
        <w:rPr>
          <w:rFonts w:ascii="Arial" w:hAnsi="Arial" w:cs="Arial"/>
          <w:b/>
          <w:bCs/>
        </w:rPr>
        <w:br w:type="page"/>
      </w:r>
    </w:p>
    <w:p w14:paraId="2F5E28E0" w14:textId="048F977E" w:rsidR="00612266" w:rsidRPr="00CF4ED8" w:rsidRDefault="00612266" w:rsidP="00CF4ED8">
      <w:pPr>
        <w:pStyle w:val="Heading1"/>
        <w:rPr>
          <w:rFonts w:ascii="Arial" w:hAnsi="Arial" w:cs="Arial"/>
          <w:b/>
          <w:bCs/>
          <w:color w:val="auto"/>
          <w:sz w:val="24"/>
          <w:szCs w:val="24"/>
        </w:rPr>
      </w:pPr>
      <w:bookmarkStart w:id="0" w:name="_Toc228105080"/>
      <w:r w:rsidRPr="00CF4ED8">
        <w:rPr>
          <w:rFonts w:ascii="Arial" w:hAnsi="Arial" w:cs="Arial"/>
          <w:b/>
          <w:bCs/>
          <w:color w:val="auto"/>
          <w:sz w:val="24"/>
          <w:szCs w:val="24"/>
        </w:rPr>
        <w:lastRenderedPageBreak/>
        <w:t>Introduction</w:t>
      </w:r>
      <w:bookmarkEnd w:id="0"/>
    </w:p>
    <w:p w14:paraId="4A52E115" w14:textId="77777777" w:rsidR="00612266" w:rsidRPr="00CF4ED8" w:rsidRDefault="00612266" w:rsidP="00CF4ED8">
      <w:pPr>
        <w:spacing w:line="360" w:lineRule="auto"/>
        <w:jc w:val="both"/>
        <w:rPr>
          <w:rFonts w:ascii="Arial" w:hAnsi="Arial" w:cs="Arial"/>
        </w:rPr>
      </w:pPr>
      <w:r w:rsidRPr="00CF4ED8">
        <w:rPr>
          <w:rFonts w:ascii="Arial" w:hAnsi="Arial" w:cs="Arial"/>
        </w:rPr>
        <w:t>This assignment outlines a research proposal for a small study into secondary school students' experience of menstrual health education. The research question is ‘What is students' experience of menstrual health education in Wales?’, and the aim of this research is to explore secondary school students' experience of menstrual health education in Wales. The objectives are to analyse whether there are gender differences in how menstrual health education is taught, to compare the difference between younger and older students' experience of menstrual health education, and to evaluate whether menstrual health in Wales is sufficient at educating students. This outline provides a brief literature review into why this research is important and addresses an absence of knowledge on current menstrual health teaching. The focus of the outline is the research paradigms, data collection methods, and ethical considerations of the research. For this research, inclusive language will be used when describing people who menstruate compared to binary pronouns.</w:t>
      </w:r>
    </w:p>
    <w:p w14:paraId="6891B5F2" w14:textId="77777777" w:rsidR="00612266" w:rsidRPr="00CF4ED8" w:rsidRDefault="00612266" w:rsidP="00CF4ED8">
      <w:pPr>
        <w:pStyle w:val="Heading1"/>
        <w:rPr>
          <w:rFonts w:ascii="Arial" w:hAnsi="Arial" w:cs="Arial"/>
          <w:color w:val="auto"/>
          <w:sz w:val="24"/>
          <w:szCs w:val="24"/>
        </w:rPr>
      </w:pPr>
      <w:r w:rsidRPr="00CF4ED8">
        <w:rPr>
          <w:rFonts w:ascii="Arial" w:hAnsi="Arial" w:cs="Arial"/>
          <w:color w:val="auto"/>
          <w:sz w:val="24"/>
          <w:szCs w:val="24"/>
        </w:rPr>
        <w:t> </w:t>
      </w:r>
    </w:p>
    <w:p w14:paraId="38FE0485" w14:textId="77777777" w:rsidR="00612266" w:rsidRPr="00CF4ED8" w:rsidRDefault="00612266" w:rsidP="00CF4ED8">
      <w:pPr>
        <w:pStyle w:val="Heading1"/>
        <w:rPr>
          <w:rFonts w:ascii="Arial" w:hAnsi="Arial" w:cs="Arial"/>
          <w:color w:val="auto"/>
          <w:sz w:val="24"/>
          <w:szCs w:val="24"/>
        </w:rPr>
      </w:pPr>
      <w:bookmarkStart w:id="1" w:name="_Toc228105081"/>
      <w:r w:rsidRPr="00CF4ED8">
        <w:rPr>
          <w:rFonts w:ascii="Arial" w:hAnsi="Arial" w:cs="Arial"/>
          <w:b/>
          <w:bCs/>
          <w:color w:val="auto"/>
          <w:sz w:val="24"/>
          <w:szCs w:val="24"/>
        </w:rPr>
        <w:t>Literature review</w:t>
      </w:r>
      <w:bookmarkEnd w:id="1"/>
    </w:p>
    <w:p w14:paraId="0400229C" w14:textId="3A0DB701" w:rsidR="00612266" w:rsidRPr="00CF4ED8" w:rsidRDefault="00612266" w:rsidP="00CF4ED8">
      <w:pPr>
        <w:spacing w:line="360" w:lineRule="auto"/>
        <w:jc w:val="both"/>
        <w:rPr>
          <w:rFonts w:ascii="Arial" w:hAnsi="Arial" w:cs="Arial"/>
        </w:rPr>
      </w:pPr>
      <w:r w:rsidRPr="00CF4ED8">
        <w:rPr>
          <w:rFonts w:ascii="Arial" w:hAnsi="Arial" w:cs="Arial"/>
        </w:rPr>
        <w:t xml:space="preserve">Barrington </w:t>
      </w:r>
      <w:r w:rsidRPr="00CF4ED8">
        <w:rPr>
          <w:rFonts w:ascii="Arial" w:hAnsi="Arial" w:cs="Arial"/>
          <w:i/>
          <w:iCs/>
        </w:rPr>
        <w:t>et al.</w:t>
      </w:r>
      <w:r w:rsidRPr="00CF4ED8">
        <w:rPr>
          <w:rFonts w:ascii="Arial" w:hAnsi="Arial" w:cs="Arial"/>
        </w:rPr>
        <w:t xml:space="preserve"> (2021) and Babbar </w:t>
      </w:r>
      <w:r w:rsidRPr="00CF4ED8">
        <w:rPr>
          <w:rFonts w:ascii="Arial" w:hAnsi="Arial" w:cs="Arial"/>
          <w:i/>
          <w:iCs/>
        </w:rPr>
        <w:t>et al.</w:t>
      </w:r>
      <w:r w:rsidRPr="00CF4ED8">
        <w:rPr>
          <w:rFonts w:ascii="Arial" w:hAnsi="Arial" w:cs="Arial"/>
        </w:rPr>
        <w:t xml:space="preserve"> (2022) stated menstrual health is fundamental to achieving dignity, health, and equality for all people who menstruate. Menstruation is when the blood and tissues from the uterus lining leaves the vagina causing monthly bleeds (Liang </w:t>
      </w:r>
      <w:r w:rsidRPr="00CF4ED8">
        <w:rPr>
          <w:rFonts w:ascii="Arial" w:hAnsi="Arial" w:cs="Arial"/>
          <w:i/>
          <w:iCs/>
        </w:rPr>
        <w:t>et al.,</w:t>
      </w:r>
      <w:r w:rsidRPr="00CF4ED8">
        <w:rPr>
          <w:rFonts w:ascii="Arial" w:hAnsi="Arial" w:cs="Arial"/>
        </w:rPr>
        <w:t xml:space="preserve"> 2023) and is considered a vital sign of health in people who menstruate (Hillard, 2014; Hill, 2019; Attia, Alharbi, and Aljohani, 2023). Menstrual health relies on people who menstruate having resources needed to participate in life during their menstrual cycle, from supplies and sanitation facilities to information and supportive environments (Hennegan, 2021; Babbar </w:t>
      </w:r>
      <w:r w:rsidRPr="00CF4ED8">
        <w:rPr>
          <w:rFonts w:ascii="Arial" w:hAnsi="Arial" w:cs="Arial"/>
          <w:i/>
          <w:iCs/>
        </w:rPr>
        <w:t>et al.,</w:t>
      </w:r>
      <w:r w:rsidRPr="00CF4ED8">
        <w:rPr>
          <w:rFonts w:ascii="Arial" w:hAnsi="Arial" w:cs="Arial"/>
        </w:rPr>
        <w:t xml:space="preserve"> 2022; World Health Organisation, 2022). Menstrual health education is important to ensure people understand the biological female reproductive system, as menstrual health literacy can support people who menstruate, and those who do not, knowledge of menstrual hygiene, menstrual pain management, and menstrual conditions (Armour </w:t>
      </w:r>
      <w:r w:rsidRPr="00CF4ED8">
        <w:rPr>
          <w:rFonts w:ascii="Arial" w:hAnsi="Arial" w:cs="Arial"/>
          <w:i/>
          <w:iCs/>
        </w:rPr>
        <w:t>et al.,</w:t>
      </w:r>
      <w:r w:rsidRPr="00CF4ED8">
        <w:rPr>
          <w:rFonts w:ascii="Arial" w:hAnsi="Arial" w:cs="Arial"/>
        </w:rPr>
        <w:t xml:space="preserve"> 2021; Curry </w:t>
      </w:r>
      <w:r w:rsidRPr="00CF4ED8">
        <w:rPr>
          <w:rFonts w:ascii="Arial" w:hAnsi="Arial" w:cs="Arial"/>
          <w:i/>
          <w:iCs/>
        </w:rPr>
        <w:t>et al.</w:t>
      </w:r>
      <w:r w:rsidRPr="00CF4ED8">
        <w:rPr>
          <w:rFonts w:ascii="Arial" w:hAnsi="Arial" w:cs="Arial"/>
        </w:rPr>
        <w:t xml:space="preserve">, 2023; Maslowski </w:t>
      </w:r>
      <w:r w:rsidRPr="00CF4ED8">
        <w:rPr>
          <w:rFonts w:ascii="Arial" w:hAnsi="Arial" w:cs="Arial"/>
          <w:i/>
          <w:iCs/>
        </w:rPr>
        <w:t>et al.,</w:t>
      </w:r>
      <w:r w:rsidRPr="00CF4ED8">
        <w:rPr>
          <w:rFonts w:ascii="Arial" w:hAnsi="Arial" w:cs="Arial"/>
        </w:rPr>
        <w:t xml:space="preserve"> 2023). In support, Hillard (2008) and Raney (2024) addressed early education</w:t>
      </w:r>
      <w:r w:rsidR="00013D24">
        <w:rPr>
          <w:rFonts w:ascii="Arial" w:hAnsi="Arial" w:cs="Arial"/>
        </w:rPr>
        <w:t xml:space="preserve"> could</w:t>
      </w:r>
      <w:r w:rsidRPr="00CF4ED8">
        <w:rPr>
          <w:rFonts w:ascii="Arial" w:hAnsi="Arial" w:cs="Arial"/>
        </w:rPr>
        <w:t xml:space="preserve"> normalise conversations about menarche, the first menstrual bleed, and normal menstrual symptoms, </w:t>
      </w:r>
      <w:r w:rsidR="00013D24">
        <w:rPr>
          <w:rFonts w:ascii="Arial" w:hAnsi="Arial" w:cs="Arial"/>
        </w:rPr>
        <w:t>which may</w:t>
      </w:r>
      <w:r w:rsidRPr="00CF4ED8">
        <w:rPr>
          <w:rFonts w:ascii="Arial" w:hAnsi="Arial" w:cs="Arial"/>
        </w:rPr>
        <w:t xml:space="preserve"> enable students to identify menstrual disorders or conditions. However, Munro </w:t>
      </w:r>
      <w:r w:rsidRPr="00CF4ED8">
        <w:rPr>
          <w:rFonts w:ascii="Arial" w:hAnsi="Arial" w:cs="Arial"/>
          <w:i/>
          <w:iCs/>
        </w:rPr>
        <w:t>et al.</w:t>
      </w:r>
      <w:r w:rsidRPr="00CF4ED8">
        <w:rPr>
          <w:rFonts w:ascii="Arial" w:hAnsi="Arial" w:cs="Arial"/>
        </w:rPr>
        <w:t xml:space="preserve"> (2021) reported some </w:t>
      </w:r>
      <w:r w:rsidRPr="00CF4ED8">
        <w:rPr>
          <w:rFonts w:ascii="Arial" w:hAnsi="Arial" w:cs="Arial"/>
        </w:rPr>
        <w:lastRenderedPageBreak/>
        <w:t xml:space="preserve">students expressed negative experience of menstruation, which may affect their educational engagement, through absenteeism (Armour </w:t>
      </w:r>
      <w:r w:rsidRPr="00CF4ED8">
        <w:rPr>
          <w:rFonts w:ascii="Arial" w:hAnsi="Arial" w:cs="Arial"/>
          <w:i/>
          <w:iCs/>
        </w:rPr>
        <w:t>et al.,</w:t>
      </w:r>
      <w:r w:rsidRPr="00CF4ED8">
        <w:rPr>
          <w:rFonts w:ascii="Arial" w:hAnsi="Arial" w:cs="Arial"/>
        </w:rPr>
        <w:t xml:space="preserve"> 2020; Barrington </w:t>
      </w:r>
      <w:r w:rsidRPr="00CF4ED8">
        <w:rPr>
          <w:rFonts w:ascii="Arial" w:hAnsi="Arial" w:cs="Arial"/>
          <w:i/>
          <w:iCs/>
        </w:rPr>
        <w:t xml:space="preserve">et al., </w:t>
      </w:r>
      <w:r w:rsidRPr="00CF4ED8">
        <w:rPr>
          <w:rFonts w:ascii="Arial" w:hAnsi="Arial" w:cs="Arial"/>
        </w:rPr>
        <w:t>2021), and psychosocial wellbeing.</w:t>
      </w:r>
    </w:p>
    <w:p w14:paraId="143C684E" w14:textId="77777777" w:rsidR="00612266" w:rsidRPr="00CF4ED8" w:rsidRDefault="00612266" w:rsidP="00CF4ED8">
      <w:pPr>
        <w:spacing w:line="360" w:lineRule="auto"/>
        <w:jc w:val="both"/>
        <w:rPr>
          <w:rFonts w:ascii="Arial" w:hAnsi="Arial" w:cs="Arial"/>
        </w:rPr>
      </w:pPr>
      <w:r w:rsidRPr="00CF4ED8">
        <w:rPr>
          <w:rFonts w:ascii="Arial" w:hAnsi="Arial" w:cs="Arial"/>
        </w:rPr>
        <w:t xml:space="preserve">In the Relationships and Sexuality Education (RSE) Code, from ages 7 to 11, it states students will develop knowledge and understanding of menstrual health, how the menstrual cycle changes, and where to find support and information about menstruation (Welsh Government, 2022). Nevertheless, Estyn reported that while the RSE Code provided clear guidance for teachers that aligned with the Curriculum for Wales, the terminology used suggested teachers could choose which topics to address within lessons (Rowlands, 2021). In support, Armour </w:t>
      </w:r>
      <w:r w:rsidRPr="00CF4ED8">
        <w:rPr>
          <w:rFonts w:ascii="Arial" w:hAnsi="Arial" w:cs="Arial"/>
          <w:i/>
          <w:iCs/>
        </w:rPr>
        <w:t>et al.</w:t>
      </w:r>
      <w:r w:rsidRPr="00CF4ED8">
        <w:rPr>
          <w:rFonts w:ascii="Arial" w:hAnsi="Arial" w:cs="Arial"/>
        </w:rPr>
        <w:t xml:space="preserve"> (2019), Armour </w:t>
      </w:r>
      <w:r w:rsidRPr="00CF4ED8">
        <w:rPr>
          <w:rFonts w:ascii="Arial" w:hAnsi="Arial" w:cs="Arial"/>
          <w:i/>
          <w:iCs/>
        </w:rPr>
        <w:t xml:space="preserve">et al. </w:t>
      </w:r>
      <w:r w:rsidRPr="00CF4ED8">
        <w:rPr>
          <w:rFonts w:ascii="Arial" w:hAnsi="Arial" w:cs="Arial"/>
        </w:rPr>
        <w:t xml:space="preserve">(2021), Maslowski </w:t>
      </w:r>
      <w:r w:rsidRPr="00CF4ED8">
        <w:rPr>
          <w:rFonts w:ascii="Arial" w:hAnsi="Arial" w:cs="Arial"/>
          <w:i/>
          <w:iCs/>
        </w:rPr>
        <w:t xml:space="preserve">et al. </w:t>
      </w:r>
      <w:r w:rsidRPr="00CF4ED8">
        <w:rPr>
          <w:rFonts w:ascii="Arial" w:hAnsi="Arial" w:cs="Arial"/>
        </w:rPr>
        <w:t>(2024) addressed topics, for example, menopause, endometriosis, polycystic ovary syndrome, abnormal period pain, and self-care strategies may not be taught in schools. Therefore, exploring if current teachers’ individualistic interpretation of the RSE Code is present within menstrual health lessons in Wales, could support an understanding on whether students are receiving adequate menstrual health information to support them throughout their life.</w:t>
      </w:r>
    </w:p>
    <w:p w14:paraId="6C7A4390" w14:textId="77777777" w:rsidR="00612266" w:rsidRPr="00CF4ED8" w:rsidRDefault="00612266" w:rsidP="00CF4ED8">
      <w:pPr>
        <w:spacing w:line="360" w:lineRule="auto"/>
        <w:jc w:val="both"/>
        <w:rPr>
          <w:rFonts w:ascii="Arial" w:hAnsi="Arial" w:cs="Arial"/>
        </w:rPr>
      </w:pPr>
      <w:r w:rsidRPr="00CF4ED8">
        <w:rPr>
          <w:rFonts w:ascii="Arial" w:hAnsi="Arial" w:cs="Arial"/>
        </w:rPr>
        <w:t> </w:t>
      </w:r>
    </w:p>
    <w:p w14:paraId="297ED33D" w14:textId="77777777" w:rsidR="00612266" w:rsidRPr="00CF4ED8" w:rsidRDefault="00612266" w:rsidP="00CF4ED8">
      <w:pPr>
        <w:pStyle w:val="Heading1"/>
        <w:rPr>
          <w:rFonts w:ascii="Arial" w:hAnsi="Arial" w:cs="Arial"/>
          <w:b/>
          <w:bCs/>
          <w:color w:val="auto"/>
          <w:sz w:val="24"/>
          <w:szCs w:val="24"/>
        </w:rPr>
      </w:pPr>
      <w:bookmarkStart w:id="2" w:name="_Toc228105082"/>
      <w:r w:rsidRPr="00CF4ED8">
        <w:rPr>
          <w:rFonts w:ascii="Arial" w:hAnsi="Arial" w:cs="Arial"/>
          <w:b/>
          <w:bCs/>
          <w:color w:val="auto"/>
          <w:sz w:val="24"/>
          <w:szCs w:val="24"/>
        </w:rPr>
        <w:t>Methodology</w:t>
      </w:r>
      <w:bookmarkEnd w:id="2"/>
    </w:p>
    <w:p w14:paraId="017AA29B" w14:textId="69D6D4A2" w:rsidR="00612266" w:rsidRPr="00CF4ED8" w:rsidRDefault="00612266" w:rsidP="00CF4ED8">
      <w:pPr>
        <w:spacing w:line="360" w:lineRule="auto"/>
        <w:jc w:val="both"/>
        <w:rPr>
          <w:rFonts w:ascii="Arial" w:hAnsi="Arial" w:cs="Arial"/>
        </w:rPr>
      </w:pPr>
      <w:r w:rsidRPr="00CF4ED8">
        <w:rPr>
          <w:rFonts w:ascii="Arial" w:hAnsi="Arial" w:cs="Arial"/>
        </w:rPr>
        <w:t>Research paradigms may form the foundation of research and encompass various ways of experiencing the world based on assumptions on reality, the creation of knowledge, and the value of learning (Mackenzie and Knipe, 2006; Davies and Fisher, 2018). Ontology is the nature of beliefs about reality including researchers’ assumptions, how beliefs were created, and understanding the type of reality which exists (Rehman and Alharthi, 2016). The ontological position for the research is the belief that menstrual health may be dismissed within education, due to generational misogynist and sexist social norms ingrained within current society. Therefore, the research could be biased towards finding evidence of an absence or inadequacy in menstrual health education. However, this is countered with the aim to discover menstrual health education adequately educat</w:t>
      </w:r>
      <w:r w:rsidR="00013D24">
        <w:rPr>
          <w:rFonts w:ascii="Arial" w:hAnsi="Arial" w:cs="Arial"/>
        </w:rPr>
        <w:t>es</w:t>
      </w:r>
      <w:r w:rsidRPr="00CF4ED8">
        <w:rPr>
          <w:rFonts w:ascii="Arial" w:hAnsi="Arial" w:cs="Arial"/>
        </w:rPr>
        <w:t xml:space="preserve"> students on menstruation in the twenty first century. This ontological position supports the research question, because it aims to understand the reality within education, which relates to the epistemological position of the research.</w:t>
      </w:r>
    </w:p>
    <w:p w14:paraId="58BCC6CF" w14:textId="532AF311" w:rsidR="00612266" w:rsidRPr="00CF4ED8" w:rsidRDefault="00612266" w:rsidP="00CF4ED8">
      <w:pPr>
        <w:spacing w:line="360" w:lineRule="auto"/>
        <w:jc w:val="both"/>
        <w:rPr>
          <w:rFonts w:ascii="Arial" w:hAnsi="Arial" w:cs="Arial"/>
        </w:rPr>
      </w:pPr>
      <w:r w:rsidRPr="00CF4ED8">
        <w:rPr>
          <w:rFonts w:ascii="Arial" w:hAnsi="Arial" w:cs="Arial"/>
        </w:rPr>
        <w:lastRenderedPageBreak/>
        <w:t xml:space="preserve">Epistemology is the process in which knowledge is acquired, validated, and communicated to others (Rehman and Alharthi, 2016). The epistemological position of this research states formal education could be the foundation of students’ </w:t>
      </w:r>
      <w:r w:rsidR="002A028D" w:rsidRPr="00CF4ED8">
        <w:rPr>
          <w:rFonts w:ascii="Arial" w:hAnsi="Arial" w:cs="Arial"/>
        </w:rPr>
        <w:t>knowledge and</w:t>
      </w:r>
      <w:r w:rsidRPr="00CF4ED8">
        <w:rPr>
          <w:rFonts w:ascii="Arial" w:hAnsi="Arial" w:cs="Arial"/>
        </w:rPr>
        <w:t xml:space="preserve"> understan</w:t>
      </w:r>
      <w:r w:rsidR="00D03589">
        <w:rPr>
          <w:rFonts w:ascii="Arial" w:hAnsi="Arial" w:cs="Arial"/>
        </w:rPr>
        <w:t>ding</w:t>
      </w:r>
      <w:r w:rsidRPr="00CF4ED8">
        <w:rPr>
          <w:rFonts w:ascii="Arial" w:hAnsi="Arial" w:cs="Arial"/>
        </w:rPr>
        <w:t xml:space="preserve"> whether the knowledge transferred within the education system</w:t>
      </w:r>
      <w:r w:rsidR="00013D24">
        <w:rPr>
          <w:rFonts w:ascii="Arial" w:hAnsi="Arial" w:cs="Arial"/>
        </w:rPr>
        <w:t>,</w:t>
      </w:r>
      <w:r w:rsidRPr="00CF4ED8">
        <w:rPr>
          <w:rFonts w:ascii="Arial" w:hAnsi="Arial" w:cs="Arial"/>
        </w:rPr>
        <w:t xml:space="preserve"> from the curriculum to students</w:t>
      </w:r>
      <w:r w:rsidR="00013D24">
        <w:rPr>
          <w:rFonts w:ascii="Arial" w:hAnsi="Arial" w:cs="Arial"/>
        </w:rPr>
        <w:t>,</w:t>
      </w:r>
      <w:r w:rsidRPr="00CF4ED8">
        <w:rPr>
          <w:rFonts w:ascii="Arial" w:hAnsi="Arial" w:cs="Arial"/>
        </w:rPr>
        <w:t xml:space="preserve"> may be important in the opinions and beliefs people develop. This relates to the research question and objectives, as the research explores knowledge transference and how this could be influenced. Furthermore, interpretative description methodology is a non-categorical approach, used in qualitative research, which aims to explore how people experience the world</w:t>
      </w:r>
      <w:r w:rsidR="00D03589">
        <w:rPr>
          <w:rFonts w:ascii="Arial" w:hAnsi="Arial" w:cs="Arial"/>
        </w:rPr>
        <w:t>,</w:t>
      </w:r>
      <w:r w:rsidRPr="00CF4ED8">
        <w:rPr>
          <w:rFonts w:ascii="Arial" w:hAnsi="Arial" w:cs="Arial"/>
        </w:rPr>
        <w:t xml:space="preserve"> and understand how knowledge is constructed based on people's experience within and of the world (Brown </w:t>
      </w:r>
      <w:r w:rsidRPr="00CF4ED8">
        <w:rPr>
          <w:rFonts w:ascii="Arial" w:hAnsi="Arial" w:cs="Arial"/>
          <w:i/>
          <w:iCs/>
        </w:rPr>
        <w:t>et al.,</w:t>
      </w:r>
      <w:r w:rsidRPr="00CF4ED8">
        <w:rPr>
          <w:rFonts w:ascii="Arial" w:hAnsi="Arial" w:cs="Arial"/>
        </w:rPr>
        <w:t xml:space="preserve"> 2024). This methodology is, to some extent, present within the research, as it suggests knowledge is formed based on students’ experience of menstrual health education</w:t>
      </w:r>
      <w:r w:rsidR="00D03589">
        <w:rPr>
          <w:rFonts w:ascii="Arial" w:hAnsi="Arial" w:cs="Arial"/>
        </w:rPr>
        <w:t>,</w:t>
      </w:r>
      <w:r w:rsidRPr="00CF4ED8">
        <w:rPr>
          <w:rFonts w:ascii="Arial" w:hAnsi="Arial" w:cs="Arial"/>
        </w:rPr>
        <w:t xml:space="preserve"> which is explored through qualitative data within the research. However, subliminal messages may be present within menstrual health lessons, and while this research acknowledges the influence of menstrual taboo, misogynist views, and gender inequality, it requires further dedicated research. Nevertheless, the ontological and epistemological position of the research could begin to address these societal influences within education.</w:t>
      </w:r>
    </w:p>
    <w:p w14:paraId="5D23DD5F" w14:textId="08705E0D" w:rsidR="00612266" w:rsidRPr="00CF4ED8" w:rsidRDefault="00612266" w:rsidP="00CF4ED8">
      <w:pPr>
        <w:spacing w:line="360" w:lineRule="auto"/>
        <w:jc w:val="both"/>
        <w:rPr>
          <w:rFonts w:ascii="Arial" w:hAnsi="Arial" w:cs="Arial"/>
        </w:rPr>
      </w:pPr>
      <w:r w:rsidRPr="00CF4ED8">
        <w:rPr>
          <w:rFonts w:ascii="Arial" w:hAnsi="Arial" w:cs="Arial"/>
        </w:rPr>
        <w:t>Furthermore, constructivism encompasses people's experience of the situation being researched, considering their background and experiences, using qualitative data or mixed methods approach to deepen understanding (Mackenzie and Knipe, 2006). This may address Bruner who viewed learning as a social process, where students learned new knowledge based on their previous experiences (Amineh and Asl, 2015). This compares within the epistemology position, as teaching may be more effective on menstrual health if teachers understood students' existing knowledge rather than presume a basic understanding of menstruation. In addition, hermeneutics is the study of interpretation and provides an outline to explore the truth of social reality (Føllesdal, 2001; Mertova and Webster, 2020). This research encompasses hermeneutics</w:t>
      </w:r>
      <w:r w:rsidR="00D03589">
        <w:rPr>
          <w:rFonts w:ascii="Arial" w:hAnsi="Arial" w:cs="Arial"/>
        </w:rPr>
        <w:t>,</w:t>
      </w:r>
      <w:r w:rsidRPr="00CF4ED8">
        <w:rPr>
          <w:rFonts w:ascii="Arial" w:hAnsi="Arial" w:cs="Arial"/>
        </w:rPr>
        <w:t xml:space="preserve"> because the research question begins to explore the truth of students’ experiences with menstrual health education</w:t>
      </w:r>
      <w:r w:rsidR="00D03589">
        <w:rPr>
          <w:rFonts w:ascii="Arial" w:hAnsi="Arial" w:cs="Arial"/>
        </w:rPr>
        <w:t>,</w:t>
      </w:r>
      <w:r w:rsidRPr="00CF4ED8">
        <w:rPr>
          <w:rFonts w:ascii="Arial" w:hAnsi="Arial" w:cs="Arial"/>
        </w:rPr>
        <w:t xml:space="preserve"> with comparison to curriculum guidance, which relates to the ontological position. However, truth could be subjective, and students may not disclose or forget information taught to them during the data collection. Therefore, the hermeneutic position may be addressed within the research, which </w:t>
      </w:r>
      <w:r w:rsidRPr="00CF4ED8">
        <w:rPr>
          <w:rFonts w:ascii="Arial" w:hAnsi="Arial" w:cs="Arial"/>
        </w:rPr>
        <w:lastRenderedPageBreak/>
        <w:t>could encompass functionalism. Functionalism could be addressed within this research, as it views the roles and norms within society as purposeful and essential to social cohesion (Gómez-Diago, 2020). This compares with the ontological position, as exploring how societal norms influence education and the topics within the curriculum may be significant in understanding how to influence change.</w:t>
      </w:r>
    </w:p>
    <w:p w14:paraId="43F07993" w14:textId="59D4C9E0" w:rsidR="00612266" w:rsidRPr="00CF4ED8" w:rsidRDefault="00612266" w:rsidP="00CF4ED8">
      <w:pPr>
        <w:spacing w:line="360" w:lineRule="auto"/>
        <w:jc w:val="both"/>
        <w:rPr>
          <w:rFonts w:ascii="Arial" w:hAnsi="Arial" w:cs="Arial"/>
        </w:rPr>
      </w:pPr>
      <w:r w:rsidRPr="00CF4ED8">
        <w:rPr>
          <w:rFonts w:ascii="Arial" w:hAnsi="Arial" w:cs="Arial"/>
        </w:rPr>
        <w:t xml:space="preserve">Furthermore, feminist theory could reinforce the discussions on menstruation, as a divided society based on dualistic thinking of binary genders could create power hierarchies and gender inequalities within society (Ferguson, 2017). Menstruation may have been considered a women’s issue, but as menstrual advocacy increased to support people who menstruate learn about their bodies, concealment norms and cultural taboo could be less influential (Roberts </w:t>
      </w:r>
      <w:r w:rsidRPr="00CF4ED8">
        <w:rPr>
          <w:rFonts w:ascii="Arial" w:hAnsi="Arial" w:cs="Arial"/>
          <w:i/>
          <w:iCs/>
        </w:rPr>
        <w:t xml:space="preserve">et al., </w:t>
      </w:r>
      <w:r w:rsidRPr="00CF4ED8">
        <w:rPr>
          <w:rFonts w:ascii="Arial" w:hAnsi="Arial" w:cs="Arial"/>
        </w:rPr>
        <w:t>2002; Hill, 2019; Graham, 2023; Berg, 2025). Feminist theory could address the inadequacies of menstrual health education for students, which support</w:t>
      </w:r>
      <w:r w:rsidR="00D03589">
        <w:rPr>
          <w:rFonts w:ascii="Arial" w:hAnsi="Arial" w:cs="Arial"/>
        </w:rPr>
        <w:t>s</w:t>
      </w:r>
      <w:r w:rsidRPr="00CF4ED8">
        <w:rPr>
          <w:rFonts w:ascii="Arial" w:hAnsi="Arial" w:cs="Arial"/>
        </w:rPr>
        <w:t xml:space="preserve"> the research question and objectives. However, this theory may not address the inclusive language used within this research to encompass all people who menstruate, not only those who identify as a woman. Therefore, the research paradigms within this research relate to the research question and objectives, which could support further research into menstrual health education.</w:t>
      </w:r>
    </w:p>
    <w:p w14:paraId="7B74E41A" w14:textId="77777777" w:rsidR="00612266" w:rsidRPr="00CF4ED8" w:rsidRDefault="00612266" w:rsidP="00CF4ED8">
      <w:pPr>
        <w:spacing w:line="360" w:lineRule="auto"/>
        <w:jc w:val="both"/>
        <w:rPr>
          <w:rFonts w:ascii="Arial" w:hAnsi="Arial" w:cs="Arial"/>
        </w:rPr>
      </w:pPr>
      <w:r w:rsidRPr="00CF4ED8">
        <w:rPr>
          <w:rFonts w:ascii="Arial" w:hAnsi="Arial" w:cs="Arial"/>
        </w:rPr>
        <w:t> </w:t>
      </w:r>
    </w:p>
    <w:p w14:paraId="4E5FA245" w14:textId="77777777" w:rsidR="00612266" w:rsidRPr="00CF4ED8" w:rsidRDefault="00612266" w:rsidP="00CF4ED8">
      <w:pPr>
        <w:pStyle w:val="Heading1"/>
        <w:rPr>
          <w:rFonts w:ascii="Arial" w:hAnsi="Arial" w:cs="Arial"/>
          <w:b/>
          <w:bCs/>
          <w:color w:val="auto"/>
          <w:sz w:val="24"/>
          <w:szCs w:val="24"/>
        </w:rPr>
      </w:pPr>
      <w:bookmarkStart w:id="3" w:name="_Toc228105083"/>
      <w:r w:rsidRPr="00CF4ED8">
        <w:rPr>
          <w:rFonts w:ascii="Arial" w:hAnsi="Arial" w:cs="Arial"/>
          <w:b/>
          <w:bCs/>
          <w:color w:val="auto"/>
          <w:sz w:val="24"/>
          <w:szCs w:val="24"/>
        </w:rPr>
        <w:t>Data collection methods</w:t>
      </w:r>
      <w:bookmarkEnd w:id="3"/>
    </w:p>
    <w:p w14:paraId="45E10F67" w14:textId="144F0A2E" w:rsidR="00612266" w:rsidRPr="00CF4ED8" w:rsidRDefault="00612266" w:rsidP="00CF4ED8">
      <w:pPr>
        <w:spacing w:line="360" w:lineRule="auto"/>
        <w:jc w:val="both"/>
        <w:rPr>
          <w:rFonts w:ascii="Arial" w:hAnsi="Arial" w:cs="Arial"/>
        </w:rPr>
      </w:pPr>
      <w:r w:rsidRPr="00CF4ED8">
        <w:rPr>
          <w:rFonts w:ascii="Arial" w:hAnsi="Arial" w:cs="Arial"/>
        </w:rPr>
        <w:t>Th</w:t>
      </w:r>
      <w:r w:rsidR="00D03589">
        <w:rPr>
          <w:rFonts w:ascii="Arial" w:hAnsi="Arial" w:cs="Arial"/>
        </w:rPr>
        <w:t>e</w:t>
      </w:r>
      <w:r w:rsidRPr="00CF4ED8">
        <w:rPr>
          <w:rFonts w:ascii="Arial" w:hAnsi="Arial" w:cs="Arial"/>
        </w:rPr>
        <w:t xml:space="preserve"> research question is ‘What is students’ experience of menstrual health education in Wales?’. Therefore, for this research, a qualitative narrative method requiring students to submit online responses will be used. Data collection methods are the systematic process of acquiring information to answer the research question or research hypothesis (Mwita, 2024). This research will use primary data, which is original data collected by the researcher (Mazhar </w:t>
      </w:r>
      <w:r w:rsidRPr="00CF4ED8">
        <w:rPr>
          <w:rFonts w:ascii="Arial" w:hAnsi="Arial" w:cs="Arial"/>
          <w:i/>
          <w:iCs/>
        </w:rPr>
        <w:t>et al.,</w:t>
      </w:r>
      <w:r w:rsidRPr="00CF4ED8">
        <w:rPr>
          <w:rFonts w:ascii="Arial" w:hAnsi="Arial" w:cs="Arial"/>
        </w:rPr>
        <w:t xml:space="preserve"> 2021), compared to secondary data, published data (Mazhar </w:t>
      </w:r>
      <w:r w:rsidRPr="00CF4ED8">
        <w:rPr>
          <w:rFonts w:ascii="Arial" w:hAnsi="Arial" w:cs="Arial"/>
          <w:i/>
          <w:iCs/>
        </w:rPr>
        <w:t>et al.,</w:t>
      </w:r>
      <w:r w:rsidRPr="00CF4ED8">
        <w:rPr>
          <w:rFonts w:ascii="Arial" w:hAnsi="Arial" w:cs="Arial"/>
        </w:rPr>
        <w:t xml:space="preserve"> 2021), to explore the research question, because the research aims to understand current secondary school students’ experiences of menstrual health education in Wales.</w:t>
      </w:r>
    </w:p>
    <w:p w14:paraId="6618B031" w14:textId="77777777" w:rsidR="00612266" w:rsidRPr="00CF4ED8" w:rsidRDefault="00612266" w:rsidP="00CF4ED8">
      <w:pPr>
        <w:spacing w:line="360" w:lineRule="auto"/>
        <w:jc w:val="both"/>
        <w:rPr>
          <w:rFonts w:ascii="Arial" w:hAnsi="Arial" w:cs="Arial"/>
        </w:rPr>
      </w:pPr>
      <w:r w:rsidRPr="00CF4ED8">
        <w:rPr>
          <w:rFonts w:ascii="Arial" w:hAnsi="Arial" w:cs="Arial"/>
        </w:rPr>
        <w:t xml:space="preserve">Qualitative data produces narrative and non-numeric information with the aim to understand individuals’ experience of the social world (Carter and Henderson, 2005). This approach could provide detailed information, which may provide a deeper insight (Easton, McComish, and Greenberg, 2000) into students’ experiences of menstrual </w:t>
      </w:r>
      <w:r w:rsidRPr="00CF4ED8">
        <w:rPr>
          <w:rFonts w:ascii="Arial" w:hAnsi="Arial" w:cs="Arial"/>
        </w:rPr>
        <w:lastRenderedPageBreak/>
        <w:t>health education. In comparison, quantitative data gathers numeric data, from surveys or questionnaires, with the aim of exploring social phenomena and generalising data based on measurable data (Almalki, 2016; Lim, 2025). This data would be applicable within the research, because students' age, gender, and year group would produce quantitative data, which may be beneficial in understanding their experiences of menstrual health education. In addition, quantitative data could be generalised to a wider population, supporting the reproducibility of the data (Lim, 2025). However, this could exclude contextual reasons for the responses, for example, the research questions influencing responses (Lim, 2025), limiting the generalisability of the data. Nevertheless, the primary focus for the research is the qualitative data from students’ narrative responses, as it could be beneficial in answering the research question.</w:t>
      </w:r>
    </w:p>
    <w:p w14:paraId="5C2C3678" w14:textId="142351B0" w:rsidR="00612266" w:rsidRPr="00CF4ED8" w:rsidRDefault="00612266" w:rsidP="00CF4ED8">
      <w:pPr>
        <w:spacing w:line="360" w:lineRule="auto"/>
        <w:jc w:val="both"/>
        <w:rPr>
          <w:rFonts w:ascii="Arial" w:hAnsi="Arial" w:cs="Arial"/>
        </w:rPr>
      </w:pPr>
      <w:r w:rsidRPr="00CF4ED8">
        <w:rPr>
          <w:rFonts w:ascii="Arial" w:hAnsi="Arial" w:cs="Arial"/>
        </w:rPr>
        <w:t xml:space="preserve">Sampling is the process of choosing a section of the population to represent the whole (Naderifar, Goli, and Ghaljaie, 2017). The target population and inclusion criteria for this research is secondary school students aged 11 to 16 in Wales. Non-probability methods of sampling are when people are not provided with an equal chance of participating in the research and could involve the researcher selecting participants (Rahman, 2023). This method could produce sampling bias, </w:t>
      </w:r>
      <w:r w:rsidR="00D03589">
        <w:rPr>
          <w:rFonts w:ascii="Arial" w:hAnsi="Arial" w:cs="Arial"/>
        </w:rPr>
        <w:t>when people were</w:t>
      </w:r>
      <w:r w:rsidRPr="00CF4ED8">
        <w:rPr>
          <w:rFonts w:ascii="Arial" w:hAnsi="Arial" w:cs="Arial"/>
        </w:rPr>
        <w:t xml:space="preserve"> not provided equal chance of participation, and less generalisability of the data (Rahman, 2023). However, due to potential menstrual taboo, non-probability methods, for example, purposive and self-selected sampling, may have a higher chance of meeting the sample size. This may be because participants volunteer</w:t>
      </w:r>
      <w:r w:rsidR="002853DA">
        <w:rPr>
          <w:rFonts w:ascii="Arial" w:hAnsi="Arial" w:cs="Arial"/>
        </w:rPr>
        <w:t xml:space="preserve"> for the research,</w:t>
      </w:r>
      <w:r w:rsidRPr="00CF4ED8">
        <w:rPr>
          <w:rFonts w:ascii="Arial" w:hAnsi="Arial" w:cs="Arial"/>
        </w:rPr>
        <w:t xml:space="preserve"> understanding the topic compared to a random selection of participants. The sample size is determined by the researcher to ensure the data collected is sufficient to generalise the findings of the research (Rahman, 2023; Mwita, 2024). For this research, the sample size is 15-20 students, because this number would provide an insight into students’ experience of menstrual health education in schools. In addition, this size may be considered small, but due to menstrual taboo, this size recognises the students who may not wish to participate. Furthermore, by not specifying a specific gender to participate in the research, people who do not menstruate, non-binary, and transgender individuals experience may be included within the sample. This could support the research objectives of identifying gender differences in menstrual health teaching and explore inclusive education practices. However, the small sample size could affect the generalisability of the data (Cao, Chen, and Katz, 2024), because it is </w:t>
      </w:r>
      <w:r w:rsidRPr="00CF4ED8">
        <w:rPr>
          <w:rFonts w:ascii="Arial" w:hAnsi="Arial" w:cs="Arial"/>
        </w:rPr>
        <w:lastRenderedPageBreak/>
        <w:t xml:space="preserve">representative of a small number of secondary students’ experience. In addition, conclusions drawn from limited students’ responses may not provide researchers with an adequate perspective (McNeish and Stapleton, 2016) of menstrual health education in schools. Nevertheless, this sample size was selected because analysing </w:t>
      </w:r>
      <w:r w:rsidR="00664C29">
        <w:rPr>
          <w:rFonts w:ascii="Arial" w:hAnsi="Arial" w:cs="Arial"/>
        </w:rPr>
        <w:t xml:space="preserve"> a small number of </w:t>
      </w:r>
      <w:r w:rsidRPr="00CF4ED8">
        <w:rPr>
          <w:rFonts w:ascii="Arial" w:hAnsi="Arial" w:cs="Arial"/>
        </w:rPr>
        <w:t>students’ narrative responses would be less time consuming compared to a larger sample, suggesting it would be a beneficial size in correlation with the data collection method.</w:t>
      </w:r>
    </w:p>
    <w:p w14:paraId="27327E4D" w14:textId="728722A3" w:rsidR="00612266" w:rsidRPr="00CF4ED8" w:rsidRDefault="00612266" w:rsidP="00CF4ED8">
      <w:pPr>
        <w:spacing w:line="360" w:lineRule="auto"/>
        <w:jc w:val="both"/>
        <w:rPr>
          <w:rFonts w:ascii="Arial" w:hAnsi="Arial" w:cs="Arial"/>
        </w:rPr>
      </w:pPr>
      <w:r w:rsidRPr="00CF4ED8">
        <w:rPr>
          <w:rFonts w:ascii="Arial" w:hAnsi="Arial" w:cs="Arial"/>
        </w:rPr>
        <w:t xml:space="preserve">Purposive sampling is when researchers aim to find participants with specific characteristics or experience which could provide information about the research question (Rahman, 2023). This is the primary sampling method, as the researcher aims to understand menstrual health education from secondary school students in Wales. This sampling method is beneficial for small research studies, as the sample size can be controlled, compared to snowball sampling (Ahmad and Wilkins, 2025). However, due </w:t>
      </w:r>
      <w:r w:rsidR="00664C29">
        <w:rPr>
          <w:rFonts w:ascii="Arial" w:hAnsi="Arial" w:cs="Arial"/>
        </w:rPr>
        <w:t xml:space="preserve">to </w:t>
      </w:r>
      <w:r w:rsidRPr="00CF4ED8">
        <w:rPr>
          <w:rFonts w:ascii="Arial" w:hAnsi="Arial" w:cs="Arial"/>
        </w:rPr>
        <w:t>researchers selecting participants, it could be more time consuming</w:t>
      </w:r>
      <w:r w:rsidR="00664C29">
        <w:rPr>
          <w:rFonts w:ascii="Arial" w:hAnsi="Arial" w:cs="Arial"/>
        </w:rPr>
        <w:t>,</w:t>
      </w:r>
      <w:r w:rsidRPr="00CF4ED8">
        <w:rPr>
          <w:rFonts w:ascii="Arial" w:hAnsi="Arial" w:cs="Arial"/>
        </w:rPr>
        <w:t xml:space="preserve"> especially considering gatekeeper and parental consent</w:t>
      </w:r>
      <w:r w:rsidR="00AC33CF">
        <w:rPr>
          <w:rFonts w:ascii="Arial" w:hAnsi="Arial" w:cs="Arial"/>
        </w:rPr>
        <w:t xml:space="preserve"> required</w:t>
      </w:r>
      <w:r w:rsidRPr="00CF4ED8">
        <w:rPr>
          <w:rFonts w:ascii="Arial" w:hAnsi="Arial" w:cs="Arial"/>
        </w:rPr>
        <w:t xml:space="preserve"> for this research, in addition to a high risk of bias (Ahmad and Wilkins, 2025). Therefore, while further research could use a less biased sampling method, for the research question, this method could be effective at providing insightful information about students’ experience of menstrual health education. Furthermore, self-selection, or volunteer, sampling is when the sample is formed from participants who are willing to participate in the research (Murairwa, 2015). This sampling method is used within this research, as menstruation could be viewed as a personal topic to students, and with this method, students would be allowed to make an informed decision whether to participate or not based on the research question and aims (Murairwa, 2015). Nevertheless, a drawback could be students not volunteering to participate, which could affect the sample size of the research. However, this disadvantage is mitigated by emailing requests for participation to multiple secondary schools. In addition, this could result in self-selection bias, when participants volunteer for a study, or under-coverage bias, when a population is not represented adequately. For example, the sample may represent more people who menstruate compared to those who do not, which could be due to comfort discussing menstruation. Therefore, through selecting non-probability sampling methods, students can make informed choices on whether they wish to participate, which could influence the narrative response submitted.</w:t>
      </w:r>
    </w:p>
    <w:p w14:paraId="5724083E" w14:textId="41EAA3F8" w:rsidR="00612266" w:rsidRPr="00CF4ED8" w:rsidRDefault="009A53EA" w:rsidP="00CF4ED8">
      <w:pPr>
        <w:spacing w:line="360" w:lineRule="auto"/>
        <w:jc w:val="both"/>
        <w:rPr>
          <w:rFonts w:ascii="Arial" w:hAnsi="Arial" w:cs="Arial"/>
        </w:rPr>
      </w:pPr>
      <w:r>
        <w:rPr>
          <w:rFonts w:ascii="Arial" w:hAnsi="Arial" w:cs="Arial"/>
        </w:rPr>
        <w:lastRenderedPageBreak/>
        <w:t>A</w:t>
      </w:r>
      <w:r w:rsidR="00612266" w:rsidRPr="00CF4ED8">
        <w:rPr>
          <w:rFonts w:ascii="Arial" w:hAnsi="Arial" w:cs="Arial"/>
        </w:rPr>
        <w:t xml:space="preserve"> narrative approach is</w:t>
      </w:r>
      <w:r>
        <w:rPr>
          <w:rFonts w:ascii="Arial" w:hAnsi="Arial" w:cs="Arial"/>
        </w:rPr>
        <w:t xml:space="preserve"> when</w:t>
      </w:r>
      <w:r w:rsidR="00612266" w:rsidRPr="00CF4ED8">
        <w:rPr>
          <w:rFonts w:ascii="Arial" w:hAnsi="Arial" w:cs="Arial"/>
        </w:rPr>
        <w:t xml:space="preserve"> participants re</w:t>
      </w:r>
      <w:r>
        <w:rPr>
          <w:rFonts w:ascii="Arial" w:hAnsi="Arial" w:cs="Arial"/>
        </w:rPr>
        <w:t>flect on a</w:t>
      </w:r>
      <w:r w:rsidR="00612266" w:rsidRPr="00CF4ED8">
        <w:rPr>
          <w:rFonts w:ascii="Arial" w:hAnsi="Arial" w:cs="Arial"/>
        </w:rPr>
        <w:t xml:space="preserve"> particular experience and</w:t>
      </w:r>
      <w:r>
        <w:rPr>
          <w:rFonts w:ascii="Arial" w:hAnsi="Arial" w:cs="Arial"/>
        </w:rPr>
        <w:t xml:space="preserve"> the researcher interprets </w:t>
      </w:r>
      <w:r w:rsidR="00612266" w:rsidRPr="00CF4ED8">
        <w:rPr>
          <w:rFonts w:ascii="Arial" w:hAnsi="Arial" w:cs="Arial"/>
        </w:rPr>
        <w:t>the</w:t>
      </w:r>
      <w:r>
        <w:rPr>
          <w:rFonts w:ascii="Arial" w:hAnsi="Arial" w:cs="Arial"/>
        </w:rPr>
        <w:t xml:space="preserve"> meaning </w:t>
      </w:r>
      <w:r w:rsidR="00612266" w:rsidRPr="00CF4ED8">
        <w:rPr>
          <w:rFonts w:ascii="Arial" w:hAnsi="Arial" w:cs="Arial"/>
        </w:rPr>
        <w:t xml:space="preserve">(Ntinda, 2018; Colla and Kurtz, 2024), which could be effective at communicating the internal and external experience (Mertova and Webster, 2020) of student’s experience of menstrual health education. This method is used within education, health, and social science research and practice, as it may provide detailed information of the meaning people assign to their daily social experiences (Ntinda, 2018). The students would be asked to write a narrative response to the question ‘What is your experience of menstrual health education?’, which is a vague and open question, but due to the age group, younger students may not have experienced menstrual health lessons in secondary school. Therefore, the question provides all students with an opportunity to reflect on their experience in primary school. In addition, the wording of the question does not present researcher bias, as it promotes students to recount positive and/or negative experiences of menstrual health lessons. This could be viewed as a benefit compared to questionnaires or surveys, because students can express their views without closed questions and explain themselves fully. Furthermore, the narrative method may be more effective for students aged 11 to 16, as this age group could have experienced more menstrual health lessons, in addition to developing skills needed for critical reflection. However, this could exclude those students with low literacy and digital technology abilities, which may present deterministic under-coverage bias, as a specific group is not represented in the sample (Chen, Li, and Wu, 2024), which would be a drawback compared to an interview or focus group approach. For further research into menstrual health education, an additional method, for example, interviews or focus groups, may be used to ensure those excluded from the initial research would be represented (Mwita, 2024). This encompasses triangulation, more than one data collection method used within a research study, which aims to provide an insight using various methods to explore whether similar findings are presented (Mwita, 2024). Furthermore, a drawback of a narrative method is interpreting the difference between a narrative account, interpretation, or retold story (Ntinda, 2018), as participants' bias could influence their recount. In addition, due to participant’s composing their responses, errors could be present in the punctuation, which could change the meaning or inference of the response (Easton, McComish, and Greenberg, 2000). This drawback could be mitigated with another qualitative method, for example, focus groups, however, using a narrative method reduces participants' social desirability, as </w:t>
      </w:r>
      <w:r w:rsidR="00612266" w:rsidRPr="00CF4ED8">
        <w:rPr>
          <w:rFonts w:ascii="Arial" w:hAnsi="Arial" w:cs="Arial"/>
        </w:rPr>
        <w:lastRenderedPageBreak/>
        <w:t xml:space="preserve">the researcher is not present (Alexander </w:t>
      </w:r>
      <w:r w:rsidR="00612266" w:rsidRPr="00CF4ED8">
        <w:rPr>
          <w:rFonts w:ascii="Arial" w:hAnsi="Arial" w:cs="Arial"/>
          <w:i/>
          <w:iCs/>
        </w:rPr>
        <w:t>et al.,</w:t>
      </w:r>
      <w:r w:rsidR="00612266" w:rsidRPr="00CF4ED8">
        <w:rPr>
          <w:rFonts w:ascii="Arial" w:hAnsi="Arial" w:cs="Arial"/>
        </w:rPr>
        <w:t xml:space="preserve"> 2025). Therefore, the drawbacks of the narrative collection method are recognised, and the researcher aims to mitigate them, but further research explored on menstrual health education would select another method to ensure triangulation could ensure</w:t>
      </w:r>
      <w:r w:rsidR="00F9458A">
        <w:rPr>
          <w:rFonts w:ascii="Arial" w:hAnsi="Arial" w:cs="Arial"/>
        </w:rPr>
        <w:t xml:space="preserve"> the</w:t>
      </w:r>
      <w:r w:rsidR="00612266" w:rsidRPr="00CF4ED8">
        <w:rPr>
          <w:rFonts w:ascii="Arial" w:hAnsi="Arial" w:cs="Arial"/>
        </w:rPr>
        <w:t xml:space="preserve"> reliability of the data. Furthermore, the narrative responses would be emailed to the researcher using the university’s secure email for participant’s protection. Thematic analysis would occur to analyse the participants' responses, using themes and coding to interpret and establish conclusions from the data (Castleberry and Nolen, 2018). However, the researcher recognises in interpretation of the data, the definition of adequate menstrual health education is subjective. To mitigate this, for this research, the definition of adequate menstrual health education is when medically accurate information is provided to all students, for example, on menstrual disorders, pain management, hygiene support, in addition to societal and cultural norms influencing menstrual taboo. Therefore, through data analysis of participants' narrative responses, conclusions may be drawn to answer the research question and objectives.</w:t>
      </w:r>
    </w:p>
    <w:p w14:paraId="1C5D1C2D" w14:textId="77777777" w:rsidR="00612266" w:rsidRPr="00CF4ED8" w:rsidRDefault="00612266" w:rsidP="00CF4ED8">
      <w:pPr>
        <w:spacing w:line="360" w:lineRule="auto"/>
        <w:jc w:val="both"/>
        <w:rPr>
          <w:rFonts w:ascii="Arial" w:hAnsi="Arial" w:cs="Arial"/>
        </w:rPr>
      </w:pPr>
      <w:r w:rsidRPr="00CF4ED8">
        <w:rPr>
          <w:rFonts w:ascii="Arial" w:hAnsi="Arial" w:cs="Arial"/>
        </w:rPr>
        <w:t> </w:t>
      </w:r>
    </w:p>
    <w:p w14:paraId="3B0EA22B" w14:textId="77777777" w:rsidR="00612266" w:rsidRPr="00CF4ED8" w:rsidRDefault="00612266" w:rsidP="00CF4ED8">
      <w:pPr>
        <w:pStyle w:val="Heading1"/>
        <w:rPr>
          <w:rFonts w:ascii="Arial" w:hAnsi="Arial" w:cs="Arial"/>
          <w:b/>
          <w:bCs/>
          <w:color w:val="auto"/>
          <w:sz w:val="24"/>
          <w:szCs w:val="24"/>
        </w:rPr>
      </w:pPr>
      <w:bookmarkStart w:id="4" w:name="_Toc228105084"/>
      <w:r w:rsidRPr="00CF4ED8">
        <w:rPr>
          <w:rFonts w:ascii="Arial" w:hAnsi="Arial" w:cs="Arial"/>
          <w:b/>
          <w:bCs/>
          <w:color w:val="auto"/>
          <w:sz w:val="24"/>
          <w:szCs w:val="24"/>
        </w:rPr>
        <w:t>Ethical considerations</w:t>
      </w:r>
      <w:bookmarkEnd w:id="4"/>
    </w:p>
    <w:p w14:paraId="3B7031D3" w14:textId="0DF595BD" w:rsidR="00612266" w:rsidRPr="00CF4ED8" w:rsidRDefault="00612266" w:rsidP="00CF4ED8">
      <w:pPr>
        <w:spacing w:line="360" w:lineRule="auto"/>
        <w:jc w:val="both"/>
        <w:rPr>
          <w:rFonts w:ascii="Arial" w:hAnsi="Arial" w:cs="Arial"/>
        </w:rPr>
      </w:pPr>
      <w:r w:rsidRPr="00CF4ED8">
        <w:rPr>
          <w:rFonts w:ascii="Arial" w:hAnsi="Arial" w:cs="Arial"/>
        </w:rPr>
        <w:t xml:space="preserve">Ethical considerations within research aim to ensure participants are protected from harm and treated with dignity, in accordance with the </w:t>
      </w:r>
      <w:r w:rsidRPr="00CF4ED8">
        <w:rPr>
          <w:rFonts w:ascii="Arial" w:hAnsi="Arial" w:cs="Arial"/>
          <w:i/>
          <w:iCs/>
        </w:rPr>
        <w:t>Equality Act 2010</w:t>
      </w:r>
      <w:r w:rsidRPr="00CF4ED8">
        <w:rPr>
          <w:rFonts w:ascii="Arial" w:hAnsi="Arial" w:cs="Arial"/>
        </w:rPr>
        <w:t>. The ethical considerations of the research would need to be approved by the university ethics committee before the research could begin. The researcher would incorporate any critical feedback and improvements from the committee</w:t>
      </w:r>
      <w:r w:rsidR="00F9458A">
        <w:rPr>
          <w:rFonts w:ascii="Arial" w:hAnsi="Arial" w:cs="Arial"/>
        </w:rPr>
        <w:t>.</w:t>
      </w:r>
    </w:p>
    <w:p w14:paraId="5A343C33" w14:textId="217E22DE" w:rsidR="00612266" w:rsidRPr="00CF4ED8" w:rsidRDefault="00612266" w:rsidP="00CF4ED8">
      <w:pPr>
        <w:spacing w:line="360" w:lineRule="auto"/>
        <w:jc w:val="both"/>
        <w:rPr>
          <w:rFonts w:ascii="Arial" w:hAnsi="Arial" w:cs="Arial"/>
        </w:rPr>
      </w:pPr>
      <w:r w:rsidRPr="00CF4ED8">
        <w:rPr>
          <w:rFonts w:ascii="Arial" w:hAnsi="Arial" w:cs="Arial"/>
        </w:rPr>
        <w:t xml:space="preserve">Informed consent would first be established through an email sent to the headteachers at the secondary schools, as the headteachers are the responsible adults who safeguard young people in their care (Department for Education, 2026). With permission from the headteachers, the researcher can contact parents on the purpose of the research and invite their children to participate voluntarily (Department for Education, 2026). The children contacted for this study would be aged between 11 and 16. The </w:t>
      </w:r>
      <w:r w:rsidRPr="00CF4ED8">
        <w:rPr>
          <w:rFonts w:ascii="Arial" w:hAnsi="Arial" w:cs="Arial"/>
          <w:i/>
          <w:iCs/>
        </w:rPr>
        <w:t>Children Act 1989</w:t>
      </w:r>
      <w:r w:rsidRPr="00CF4ED8">
        <w:rPr>
          <w:rFonts w:ascii="Arial" w:hAnsi="Arial" w:cs="Arial"/>
        </w:rPr>
        <w:t xml:space="preserve"> states a child is defined as a person under the age of 18, which would require parental consent for participation. However, BERA (2024) endorses the United Nations Convention on the Rights of the Child (1989), and addresses children should have their own opinions and views taken into consideration. </w:t>
      </w:r>
      <w:r w:rsidRPr="00CF4ED8">
        <w:rPr>
          <w:rFonts w:ascii="Arial" w:hAnsi="Arial" w:cs="Arial"/>
        </w:rPr>
        <w:lastRenderedPageBreak/>
        <w:t>In addition, Roger Hart’s Ladder of Children’s Participation (1992) is taken into consideration, and this research could be considered consulted and informed, as the students voluntarily participate in the research (Me First, 2026). Therefore, informed voluntary consent would be obtained from the student and parent for this study. The information and consent forms sent to the parents would include the researcher’s desire for the research, what the students would be asked to do, data protection information, and ethical considerations (BERA, 2024). Furthermore, this information would be appropriately designed for the children to read, considering age, reading ability, and attention span (BERA, 2024).</w:t>
      </w:r>
    </w:p>
    <w:p w14:paraId="20F6547C" w14:textId="132B3B9F" w:rsidR="00612266" w:rsidRPr="00CF4ED8" w:rsidRDefault="00612266" w:rsidP="00CF4ED8">
      <w:pPr>
        <w:spacing w:line="360" w:lineRule="auto"/>
        <w:jc w:val="both"/>
        <w:rPr>
          <w:rFonts w:ascii="Arial" w:hAnsi="Arial" w:cs="Arial"/>
        </w:rPr>
      </w:pPr>
      <w:r w:rsidRPr="00CF4ED8">
        <w:rPr>
          <w:rFonts w:ascii="Arial" w:hAnsi="Arial" w:cs="Arial"/>
        </w:rPr>
        <w:t>In addition, parents would be sent opt out letters, in a format that best supports their literacy or digital abilities, which would inform parents of the researcher’s name, contact number, and email address for any questions regarding the research, and asked to inform teachers if the students do not wish to participate (Department for Education, 2026). The option to withdraw from the study would be available to the students, without explanation or consequences for withdraw (NSPCC, 2023; Laryeafio and Ogbewe, 2023; BERA, 2024), until the data analysis begins, which would be explained when consent was obtained and on the opt out letter. However, due to the nature of the study</w:t>
      </w:r>
      <w:r w:rsidR="00F9458A">
        <w:rPr>
          <w:rFonts w:ascii="Arial" w:hAnsi="Arial" w:cs="Arial"/>
        </w:rPr>
        <w:t>,</w:t>
      </w:r>
      <w:r w:rsidRPr="00CF4ED8">
        <w:rPr>
          <w:rFonts w:ascii="Arial" w:hAnsi="Arial" w:cs="Arial"/>
        </w:rPr>
        <w:t xml:space="preserve"> some parents and students may not wish to participate, as menstruation may be considered taboo and stigmatised (Dwivedi and Moharana, 2026). In response to potential hesitation from parents or students, the researcher would inform and appropriately explain that the submissions would be anonymous and confidential, as students’ responses would be referred to as “one participant said” or “comments made stated…”, in written research conclusions, so no identifiable information would be included. Within the conclusions, the age, gender, and year group of the students would be presented as statistics, but as previously discussed, no identifiable information is included. However, considering the importance of menstrual health management, the researcher would state </w:t>
      </w:r>
      <w:r w:rsidR="00303F05" w:rsidRPr="00CF4ED8">
        <w:rPr>
          <w:rFonts w:ascii="Arial" w:hAnsi="Arial" w:cs="Arial"/>
        </w:rPr>
        <w:t>dis</w:t>
      </w:r>
      <w:r w:rsidR="00303F05">
        <w:rPr>
          <w:rFonts w:ascii="Arial" w:hAnsi="Arial" w:cs="Arial"/>
        </w:rPr>
        <w:t>closures</w:t>
      </w:r>
      <w:r w:rsidRPr="00CF4ED8">
        <w:rPr>
          <w:rFonts w:ascii="Arial" w:hAnsi="Arial" w:cs="Arial"/>
        </w:rPr>
        <w:t xml:space="preserve"> of harmful practices may be made to parents or guardians of the students to ensure students are supported (NSPCC, 2023; Askari </w:t>
      </w:r>
      <w:r w:rsidRPr="00CF4ED8">
        <w:rPr>
          <w:rFonts w:ascii="Arial" w:hAnsi="Arial" w:cs="Arial"/>
          <w:i/>
          <w:iCs/>
        </w:rPr>
        <w:t>et al.,</w:t>
      </w:r>
      <w:r w:rsidRPr="00CF4ED8">
        <w:rPr>
          <w:rFonts w:ascii="Arial" w:hAnsi="Arial" w:cs="Arial"/>
        </w:rPr>
        <w:t xml:space="preserve"> 2024). In addition, participants may be worried about the information shared to the researcher, as the topic could be personal or sensitive to them. This could be mitigated by using a narrative method, as with no word count, students can choose how much to share (NSPCC, 2023). However, in response to potential distress caused by reflecting on their menstrual health education </w:t>
      </w:r>
      <w:r w:rsidRPr="00CF4ED8">
        <w:rPr>
          <w:rFonts w:ascii="Arial" w:hAnsi="Arial" w:cs="Arial"/>
        </w:rPr>
        <w:lastRenderedPageBreak/>
        <w:t xml:space="preserve">experience, the researcher </w:t>
      </w:r>
      <w:r w:rsidR="00303F05">
        <w:rPr>
          <w:rFonts w:ascii="Arial" w:hAnsi="Arial" w:cs="Arial"/>
        </w:rPr>
        <w:t>w</w:t>
      </w:r>
      <w:r w:rsidRPr="00CF4ED8">
        <w:rPr>
          <w:rFonts w:ascii="Arial" w:hAnsi="Arial" w:cs="Arial"/>
        </w:rPr>
        <w:t>ould state, and remind throughout the process, that debriefing would be available and information provided to support students (NSPCC, 2023). In addition, the researcher may be affected due to readin</w:t>
      </w:r>
      <w:r w:rsidR="00303F05">
        <w:rPr>
          <w:rFonts w:ascii="Arial" w:hAnsi="Arial" w:cs="Arial"/>
        </w:rPr>
        <w:t>g</w:t>
      </w:r>
      <w:r w:rsidRPr="00CF4ED8">
        <w:rPr>
          <w:rFonts w:ascii="Arial" w:hAnsi="Arial" w:cs="Arial"/>
        </w:rPr>
        <w:t xml:space="preserve"> a student's experience of menstrual health education, so would obtain support from their research advisor (NSPCC, 2023).</w:t>
      </w:r>
    </w:p>
    <w:p w14:paraId="0968FBC8" w14:textId="4CE78432" w:rsidR="00CF4ED8" w:rsidRDefault="00612266" w:rsidP="00CF4ED8">
      <w:pPr>
        <w:spacing w:line="360" w:lineRule="auto"/>
        <w:jc w:val="both"/>
        <w:rPr>
          <w:rFonts w:ascii="Arial" w:hAnsi="Arial" w:cs="Arial"/>
        </w:rPr>
      </w:pPr>
      <w:r w:rsidRPr="00CF4ED8">
        <w:rPr>
          <w:rFonts w:ascii="Arial" w:hAnsi="Arial" w:cs="Arial"/>
        </w:rPr>
        <w:t xml:space="preserve">Furthermore, participants </w:t>
      </w:r>
      <w:r w:rsidR="00303F05">
        <w:rPr>
          <w:rFonts w:ascii="Arial" w:hAnsi="Arial" w:cs="Arial"/>
        </w:rPr>
        <w:t>may be</w:t>
      </w:r>
      <w:r w:rsidRPr="00CF4ED8">
        <w:rPr>
          <w:rFonts w:ascii="Arial" w:hAnsi="Arial" w:cs="Arial"/>
        </w:rPr>
        <w:t xml:space="preserve"> unable to be fully informed about the research, due to various definitions researchers hold about what constitutes </w:t>
      </w:r>
      <w:r w:rsidR="00303F05">
        <w:rPr>
          <w:rFonts w:ascii="Arial" w:hAnsi="Arial" w:cs="Arial"/>
        </w:rPr>
        <w:t xml:space="preserve">as </w:t>
      </w:r>
      <w:r w:rsidRPr="00CF4ED8">
        <w:rPr>
          <w:rFonts w:ascii="Arial" w:hAnsi="Arial" w:cs="Arial"/>
        </w:rPr>
        <w:t>complete transparency</w:t>
      </w:r>
      <w:r w:rsidR="00F23668">
        <w:rPr>
          <w:rFonts w:ascii="Arial" w:hAnsi="Arial" w:cs="Arial"/>
        </w:rPr>
        <w:t xml:space="preserve"> (</w:t>
      </w:r>
      <w:r w:rsidR="00303F05" w:rsidRPr="00CF4ED8">
        <w:rPr>
          <w:rFonts w:ascii="Arial" w:hAnsi="Arial" w:cs="Arial"/>
        </w:rPr>
        <w:t>Hammersley and Traiano</w:t>
      </w:r>
      <w:r w:rsidR="00303F05">
        <w:rPr>
          <w:rFonts w:ascii="Arial" w:hAnsi="Arial" w:cs="Arial"/>
        </w:rPr>
        <w:t xml:space="preserve">u, </w:t>
      </w:r>
      <w:r w:rsidR="00303F05" w:rsidRPr="00CF4ED8">
        <w:rPr>
          <w:rFonts w:ascii="Arial" w:hAnsi="Arial" w:cs="Arial"/>
        </w:rPr>
        <w:t>2012</w:t>
      </w:r>
      <w:r w:rsidR="00303F05">
        <w:rPr>
          <w:rFonts w:ascii="Arial" w:hAnsi="Arial" w:cs="Arial"/>
        </w:rPr>
        <w:t>)</w:t>
      </w:r>
      <w:r w:rsidRPr="00CF4ED8">
        <w:rPr>
          <w:rFonts w:ascii="Arial" w:hAnsi="Arial" w:cs="Arial"/>
        </w:rPr>
        <w:t>. In addition, researchers’ interpretation of what information about the research participants should know may not address any potential questions participants could have, for example, some participants may have questions about the data collection methods or potential findings (Hammersley and Traianou, 2012). Therefore, for this research, participants will be informed on the nature of the study and ethical implications, and additional questions about other aspects of study will be answered without reservation. In addition, the privacy of students’ responses is maintained as the online submissions would be sent to the private university server, and no data would be shared by the researcher. This would be explained to the students and parents to ensure they understood the researcher’s commitment to protecting their data. Furthermore, the raw data would only be stored on the university server until the article has had external examination. Therefore, the ethical considerations within this research aim to ensure student participants are protected throughout the research and are aware of how their responses will be used and stored.</w:t>
      </w:r>
    </w:p>
    <w:p w14:paraId="430E9944" w14:textId="77777777" w:rsidR="00F23668" w:rsidRPr="00F23668" w:rsidRDefault="00F23668" w:rsidP="00CF4ED8">
      <w:pPr>
        <w:spacing w:line="360" w:lineRule="auto"/>
        <w:jc w:val="both"/>
        <w:rPr>
          <w:rFonts w:ascii="Arial" w:hAnsi="Arial" w:cs="Arial"/>
        </w:rPr>
      </w:pPr>
    </w:p>
    <w:p w14:paraId="55CE6ACF" w14:textId="4587E500" w:rsidR="00612266" w:rsidRPr="00CF4ED8" w:rsidRDefault="00612266" w:rsidP="00CF4ED8">
      <w:pPr>
        <w:pStyle w:val="Heading1"/>
        <w:rPr>
          <w:rFonts w:ascii="Arial" w:hAnsi="Arial" w:cs="Arial"/>
          <w:b/>
          <w:bCs/>
          <w:color w:val="auto"/>
          <w:sz w:val="24"/>
          <w:szCs w:val="24"/>
        </w:rPr>
      </w:pPr>
      <w:bookmarkStart w:id="5" w:name="_Toc228105085"/>
      <w:r w:rsidRPr="00CF4ED8">
        <w:rPr>
          <w:rFonts w:ascii="Arial" w:hAnsi="Arial" w:cs="Arial"/>
          <w:b/>
          <w:bCs/>
          <w:color w:val="auto"/>
          <w:sz w:val="24"/>
          <w:szCs w:val="24"/>
        </w:rPr>
        <w:t>Conclusion</w:t>
      </w:r>
      <w:bookmarkEnd w:id="5"/>
    </w:p>
    <w:p w14:paraId="6AE46A41" w14:textId="4F4BE7E5" w:rsidR="00612266" w:rsidRPr="00CF4ED8" w:rsidRDefault="00612266" w:rsidP="00CF4ED8">
      <w:pPr>
        <w:spacing w:line="360" w:lineRule="auto"/>
        <w:jc w:val="both"/>
        <w:rPr>
          <w:rFonts w:ascii="Arial" w:hAnsi="Arial" w:cs="Arial"/>
        </w:rPr>
      </w:pPr>
      <w:r w:rsidRPr="00CF4ED8">
        <w:rPr>
          <w:rFonts w:ascii="Arial" w:hAnsi="Arial" w:cs="Arial"/>
        </w:rPr>
        <w:t>To conclude, th</w:t>
      </w:r>
      <w:r w:rsidR="00F23668">
        <w:rPr>
          <w:rFonts w:ascii="Arial" w:hAnsi="Arial" w:cs="Arial"/>
        </w:rPr>
        <w:t>e</w:t>
      </w:r>
      <w:r w:rsidRPr="00CF4ED8">
        <w:rPr>
          <w:rFonts w:ascii="Arial" w:hAnsi="Arial" w:cs="Arial"/>
        </w:rPr>
        <w:t xml:space="preserve"> research question aims to explore whether secondary school students receive adequate menstrual health education in Wales. The brief literature presents the importance and potential absence of current knowledge on menstrual health education practices within Wales. The research paradigms within the research support the insights from the conclusions and answer the research question and objectives. The data collection methods use a qualitative narrative method to acquire information about students’ experience of menstrual health education, and this method could be effective at collecting beneficial insight. The ethical considerations aim to </w:t>
      </w:r>
      <w:r w:rsidRPr="00CF4ED8">
        <w:rPr>
          <w:rFonts w:ascii="Arial" w:hAnsi="Arial" w:cs="Arial"/>
        </w:rPr>
        <w:lastRenderedPageBreak/>
        <w:t>inform students about the nature of the study and provide protection and confidentiality throughout the research.</w:t>
      </w:r>
    </w:p>
    <w:p w14:paraId="57CD1E65" w14:textId="77777777" w:rsidR="00612266" w:rsidRPr="00CF4ED8" w:rsidRDefault="00612266" w:rsidP="00CF4ED8">
      <w:pPr>
        <w:spacing w:line="360" w:lineRule="auto"/>
        <w:jc w:val="both"/>
        <w:rPr>
          <w:rFonts w:ascii="Arial" w:hAnsi="Arial" w:cs="Arial"/>
        </w:rPr>
      </w:pPr>
      <w:r w:rsidRPr="00CF4ED8">
        <w:rPr>
          <w:rFonts w:ascii="Arial" w:hAnsi="Arial" w:cs="Arial"/>
        </w:rPr>
        <w:t xml:space="preserve">This research could support current research into menstrual health education in Wales, and aid curriculum changes and teachers practice, ensuring students are taught about menstruation adequately. In addition, this research could impact students in understanding whether education of menstruation could be improved and acknowledging their autonomy over educating themselves on menstrual health. Further research could consider a larger sample size using interviews or focus groups, to provide a wider analysis of menstrual health education in Wales. Additional research may incorporate further analysis on how societal and cultural norms of menstruation could influence the curriculum. </w:t>
      </w:r>
    </w:p>
    <w:p w14:paraId="6E5F05E2" w14:textId="4E71B3F3" w:rsidR="00A90CB2" w:rsidRPr="00CF4ED8" w:rsidRDefault="00A90CB2">
      <w:pPr>
        <w:rPr>
          <w:rFonts w:ascii="Arial" w:hAnsi="Arial" w:cs="Arial"/>
        </w:rPr>
      </w:pPr>
      <w:r w:rsidRPr="00CF4ED8">
        <w:rPr>
          <w:rFonts w:ascii="Arial" w:hAnsi="Arial" w:cs="Arial"/>
        </w:rPr>
        <w:br w:type="page"/>
      </w:r>
    </w:p>
    <w:p w14:paraId="7B114D10" w14:textId="1CE6188B" w:rsidR="00A90CB2" w:rsidRPr="00CF4ED8" w:rsidRDefault="00A90CB2" w:rsidP="00CF4ED8">
      <w:pPr>
        <w:pStyle w:val="Heading1"/>
        <w:rPr>
          <w:rFonts w:ascii="Arial" w:hAnsi="Arial" w:cs="Arial"/>
          <w:b/>
          <w:bCs/>
          <w:color w:val="auto"/>
          <w:sz w:val="24"/>
          <w:szCs w:val="24"/>
        </w:rPr>
      </w:pPr>
      <w:bookmarkStart w:id="6" w:name="_Toc228105086"/>
      <w:r w:rsidRPr="00CF4ED8">
        <w:rPr>
          <w:rFonts w:ascii="Arial" w:hAnsi="Arial" w:cs="Arial"/>
          <w:b/>
          <w:bCs/>
          <w:color w:val="auto"/>
          <w:sz w:val="24"/>
          <w:szCs w:val="24"/>
        </w:rPr>
        <w:lastRenderedPageBreak/>
        <w:t>Reference list</w:t>
      </w:r>
      <w:bookmarkEnd w:id="6"/>
      <w:r w:rsidRPr="00CF4ED8">
        <w:rPr>
          <w:rFonts w:ascii="Arial" w:hAnsi="Arial" w:cs="Arial"/>
          <w:b/>
          <w:bCs/>
          <w:color w:val="auto"/>
          <w:sz w:val="24"/>
          <w:szCs w:val="24"/>
        </w:rPr>
        <w:t xml:space="preserve"> </w:t>
      </w:r>
    </w:p>
    <w:p w14:paraId="6BF2C0C9" w14:textId="77777777" w:rsidR="00A90CB2" w:rsidRPr="00CF4ED8" w:rsidRDefault="00A90CB2" w:rsidP="00612266">
      <w:pPr>
        <w:rPr>
          <w:rFonts w:ascii="Arial" w:hAnsi="Arial" w:cs="Arial"/>
        </w:rPr>
      </w:pPr>
    </w:p>
    <w:p w14:paraId="587FF31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Ahmad, M. and Wilkins, S. (2025) ‘Purposive sampling in qualitative research: a framework for the entire journey’, </w:t>
      </w:r>
      <w:r w:rsidRPr="00CF4ED8">
        <w:rPr>
          <w:rFonts w:ascii="Arial" w:eastAsia="Times New Roman" w:hAnsi="Arial" w:cs="Arial"/>
          <w:i/>
          <w:iCs/>
          <w:color w:val="000000"/>
          <w:kern w:val="0"/>
          <w:lang w:eastAsia="en-GB"/>
          <w14:ligatures w14:val="none"/>
        </w:rPr>
        <w:t>Quality &amp; Quantity,</w:t>
      </w:r>
      <w:r w:rsidRPr="00CF4ED8">
        <w:rPr>
          <w:rFonts w:ascii="Arial" w:eastAsia="Times New Roman" w:hAnsi="Arial" w:cs="Arial"/>
          <w:color w:val="000000"/>
          <w:kern w:val="0"/>
          <w:lang w:eastAsia="en-GB"/>
          <w14:ligatures w14:val="none"/>
        </w:rPr>
        <w:t xml:space="preserve"> 59, pp. 1461-1479. Available at: https://doi.org/10.1007/s11135-024-02022-5 </w:t>
      </w:r>
    </w:p>
    <w:p w14:paraId="3F9E91F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151FF2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Alexander, K.C., Mackey, J.D., McAllister, C.P. and Ellen, B.P. (2025) ‘What do you want to hear? A self-presentation view of social desirability bias’, </w:t>
      </w:r>
      <w:r w:rsidRPr="00CF4ED8">
        <w:rPr>
          <w:rFonts w:ascii="Arial" w:eastAsia="Times New Roman" w:hAnsi="Arial" w:cs="Arial"/>
          <w:i/>
          <w:iCs/>
          <w:color w:val="000000"/>
          <w:kern w:val="0"/>
          <w:lang w:eastAsia="en-GB"/>
          <w14:ligatures w14:val="none"/>
        </w:rPr>
        <w:t>Journal of Business Research,</w:t>
      </w:r>
      <w:r w:rsidRPr="00CF4ED8">
        <w:rPr>
          <w:rFonts w:ascii="Arial" w:eastAsia="Times New Roman" w:hAnsi="Arial" w:cs="Arial"/>
          <w:color w:val="000000"/>
          <w:kern w:val="0"/>
          <w:lang w:eastAsia="en-GB"/>
          <w14:ligatures w14:val="none"/>
        </w:rPr>
        <w:t xml:space="preserve"> 189 (February) article 115191. Available at: https://doi.org/10.1016/j.jbusres.2025.115191 </w:t>
      </w:r>
    </w:p>
    <w:p w14:paraId="01B5656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26FF5CF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Amineh, R.J. and Asl, H.D. (2015) ‘Review of Constructivism and Social Constructivism’, </w:t>
      </w:r>
      <w:r w:rsidRPr="00CF4ED8">
        <w:rPr>
          <w:rFonts w:ascii="Arial" w:eastAsia="Times New Roman" w:hAnsi="Arial" w:cs="Arial"/>
          <w:i/>
          <w:iCs/>
          <w:color w:val="000000"/>
          <w:kern w:val="0"/>
          <w:lang w:eastAsia="en-GB"/>
          <w14:ligatures w14:val="none"/>
        </w:rPr>
        <w:t>Journal of Social Sciences, Literature and Languages,</w:t>
      </w:r>
      <w:r w:rsidRPr="00CF4ED8">
        <w:rPr>
          <w:rFonts w:ascii="Arial" w:eastAsia="Times New Roman" w:hAnsi="Arial" w:cs="Arial"/>
          <w:color w:val="000000"/>
          <w:kern w:val="0"/>
          <w:lang w:eastAsia="en-GB"/>
          <w14:ligatures w14:val="none"/>
        </w:rPr>
        <w:t xml:space="preserve"> 1(1), pp. 9-16. Available at: https://www.semanticscholar.org/paper/Review-of-Constructivism-and-Social-Constructivism-Amineh-Asl/38903f4a7255496f75124d639e14e9b810c17370 (Accessed: 25 April 2026). </w:t>
      </w:r>
    </w:p>
    <w:p w14:paraId="2D9EF71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67AA332"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Almalki, S. (2016) ‘Integrating Quantitative and Qualitative Data in Mixed Methods Research—Challenges and Benefits’, </w:t>
      </w:r>
      <w:r w:rsidRPr="00CF4ED8">
        <w:rPr>
          <w:rFonts w:ascii="Arial" w:eastAsia="Times New Roman" w:hAnsi="Arial" w:cs="Arial"/>
          <w:i/>
          <w:iCs/>
          <w:color w:val="000000"/>
          <w:kern w:val="0"/>
          <w:lang w:eastAsia="en-GB"/>
          <w14:ligatures w14:val="none"/>
        </w:rPr>
        <w:t>Journal of Education and Learning</w:t>
      </w:r>
      <w:r w:rsidRPr="00CF4ED8">
        <w:rPr>
          <w:rFonts w:ascii="Arial" w:eastAsia="Times New Roman" w:hAnsi="Arial" w:cs="Arial"/>
          <w:color w:val="000000"/>
          <w:kern w:val="0"/>
          <w:lang w:eastAsia="en-GB"/>
          <w14:ligatures w14:val="none"/>
        </w:rPr>
        <w:t>, 5(3), pp. 288-296. Available at: http://dx.doi.org/10.5539/jel.v5n3p288 </w:t>
      </w:r>
    </w:p>
    <w:p w14:paraId="69D38D9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3EB4D7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Armour, M., Ferfolja, T., Curry, C., Hyman, M.S., Parry, K., Chalmers, K.J., Smith, C.A., MacMillan, F. and Holmes, K. (2020) ‘The Prevalence and Educational Impact of Pelvic and Menstrual Pain in Australia: A National Online Survey of 4202 Young Women Aged 13-25 Years’, </w:t>
      </w:r>
      <w:r w:rsidRPr="00CF4ED8">
        <w:rPr>
          <w:rFonts w:ascii="Arial" w:eastAsia="Times New Roman" w:hAnsi="Arial" w:cs="Arial"/>
          <w:i/>
          <w:iCs/>
          <w:color w:val="000000"/>
          <w:kern w:val="0"/>
          <w:lang w:eastAsia="en-GB"/>
          <w14:ligatures w14:val="none"/>
        </w:rPr>
        <w:t>Journal of Pediatric and Adolescent Gynecology</w:t>
      </w:r>
      <w:r w:rsidRPr="00CF4ED8">
        <w:rPr>
          <w:rFonts w:ascii="Arial" w:eastAsia="Times New Roman" w:hAnsi="Arial" w:cs="Arial"/>
          <w:color w:val="000000"/>
          <w:kern w:val="0"/>
          <w:lang w:eastAsia="en-GB"/>
          <w14:ligatures w14:val="none"/>
        </w:rPr>
        <w:t>, 33(5), pp. 511-518. Available at: https://doi.org/10.1016/j.jpag.2020.06.007 </w:t>
      </w:r>
    </w:p>
    <w:p w14:paraId="2508B5B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A30DAE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Armour, M., Hyman, M.S., Al-Dabbas, M., Parry, K., Ferfolja, T., Curry, C., MacMillan, F., Smith, C.A. and Holmes, K. (2021) ‘Menstrual Health Literacy and Management Strategies in Young Women in Australia: A National Online Survey of Young Women Aged 13-25 Years’, </w:t>
      </w:r>
      <w:r w:rsidRPr="00CF4ED8">
        <w:rPr>
          <w:rFonts w:ascii="Arial" w:eastAsia="Times New Roman" w:hAnsi="Arial" w:cs="Arial"/>
          <w:i/>
          <w:iCs/>
          <w:color w:val="000000"/>
          <w:kern w:val="0"/>
          <w:lang w:eastAsia="en-GB"/>
          <w14:ligatures w14:val="none"/>
        </w:rPr>
        <w:t>Journal of Pediatric and Adolescent Gynecology,</w:t>
      </w:r>
      <w:r w:rsidRPr="00CF4ED8">
        <w:rPr>
          <w:rFonts w:ascii="Arial" w:eastAsia="Times New Roman" w:hAnsi="Arial" w:cs="Arial"/>
          <w:color w:val="000000"/>
          <w:kern w:val="0"/>
          <w:lang w:eastAsia="en-GB"/>
          <w14:ligatures w14:val="none"/>
        </w:rPr>
        <w:t xml:space="preserve"> 34(2), pp. 135-143. Available at: https://doi.org/10.1016/j.jpag.2020.11.007 </w:t>
      </w:r>
    </w:p>
    <w:p w14:paraId="1F4B393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23DFF17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Armour, M., Parry, K., Al-Dabbas, M.A., Curry, C., Holmes, K., MacMillan, F., Ferfolja, T. and Smith, C.A. (2019) ‘Self-care strategies and sources of knowledge on menstruation in 12,526 young women with dysmenorrhea: A systematic review and meta-analysis’, </w:t>
      </w:r>
      <w:r w:rsidRPr="00CF4ED8">
        <w:rPr>
          <w:rFonts w:ascii="Arial" w:eastAsia="Times New Roman" w:hAnsi="Arial" w:cs="Arial"/>
          <w:i/>
          <w:iCs/>
          <w:color w:val="000000"/>
          <w:kern w:val="0"/>
          <w:lang w:eastAsia="en-GB"/>
          <w14:ligatures w14:val="none"/>
        </w:rPr>
        <w:t>PLoS One</w:t>
      </w:r>
      <w:r w:rsidRPr="00CF4ED8">
        <w:rPr>
          <w:rFonts w:ascii="Arial" w:eastAsia="Times New Roman" w:hAnsi="Arial" w:cs="Arial"/>
          <w:color w:val="000000"/>
          <w:kern w:val="0"/>
          <w:lang w:eastAsia="en-GB"/>
          <w14:ligatures w14:val="none"/>
        </w:rPr>
        <w:t>. Available at: https://doi.org/10.1371/journal.pone.0220103 </w:t>
      </w:r>
    </w:p>
    <w:p w14:paraId="61402CD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60410A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Askari, G., Vajdi, M., Jafari-Nasab, S. and </w:t>
      </w:r>
      <w:proofErr w:type="spellStart"/>
      <w:r w:rsidRPr="00CF4ED8">
        <w:rPr>
          <w:rFonts w:ascii="Arial" w:eastAsia="Times New Roman" w:hAnsi="Arial" w:cs="Arial"/>
          <w:color w:val="000000"/>
          <w:kern w:val="0"/>
          <w:lang w:eastAsia="en-GB"/>
          <w14:ligatures w14:val="none"/>
        </w:rPr>
        <w:t>Golpour-Hamendani</w:t>
      </w:r>
      <w:proofErr w:type="spellEnd"/>
      <w:r w:rsidRPr="00CF4ED8">
        <w:rPr>
          <w:rFonts w:ascii="Arial" w:eastAsia="Times New Roman" w:hAnsi="Arial" w:cs="Arial"/>
          <w:color w:val="000000"/>
          <w:kern w:val="0"/>
          <w:lang w:eastAsia="en-GB"/>
          <w14:ligatures w14:val="none"/>
        </w:rPr>
        <w:t xml:space="preserve">, S. (2024) ‘Ethical guidelines for human research on children and adolescents: A narrative review study’, </w:t>
      </w:r>
      <w:r w:rsidRPr="00CF4ED8">
        <w:rPr>
          <w:rFonts w:ascii="Arial" w:eastAsia="Times New Roman" w:hAnsi="Arial" w:cs="Arial"/>
          <w:i/>
          <w:iCs/>
          <w:color w:val="000000"/>
          <w:kern w:val="0"/>
          <w:lang w:eastAsia="en-GB"/>
          <w14:ligatures w14:val="none"/>
        </w:rPr>
        <w:t>Journal of research in medical science: the official journal of Isfahan University of Medical Sciences,</w:t>
      </w:r>
      <w:r w:rsidRPr="00CF4ED8">
        <w:rPr>
          <w:rFonts w:ascii="Arial" w:eastAsia="Times New Roman" w:hAnsi="Arial" w:cs="Arial"/>
          <w:color w:val="000000"/>
          <w:kern w:val="0"/>
          <w:lang w:eastAsia="en-GB"/>
          <w14:ligatures w14:val="none"/>
        </w:rPr>
        <w:t xml:space="preserve"> 29(53). Available at: https://doi.org/10.4103/jrms.jrms_610_23 </w:t>
      </w:r>
    </w:p>
    <w:p w14:paraId="150103B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2F81397"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Attia, G.M., Alharbi, O.A and Aljohani, R.M. (2023) ‘The Impact of Irregular Menstruation on Health:</w:t>
      </w:r>
    </w:p>
    <w:p w14:paraId="621463B7"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A Review of the Literature’, </w:t>
      </w:r>
      <w:r w:rsidRPr="00CF4ED8">
        <w:rPr>
          <w:rFonts w:ascii="Arial" w:eastAsia="Times New Roman" w:hAnsi="Arial" w:cs="Arial"/>
          <w:i/>
          <w:iCs/>
          <w:color w:val="000000"/>
          <w:kern w:val="0"/>
          <w:lang w:eastAsia="en-GB"/>
          <w14:ligatures w14:val="none"/>
        </w:rPr>
        <w:t>Cureus</w:t>
      </w:r>
      <w:r w:rsidRPr="00CF4ED8">
        <w:rPr>
          <w:rFonts w:ascii="Arial" w:eastAsia="Times New Roman" w:hAnsi="Arial" w:cs="Arial"/>
          <w:color w:val="000000"/>
          <w:kern w:val="0"/>
          <w:lang w:eastAsia="en-GB"/>
          <w14:ligatures w14:val="none"/>
        </w:rPr>
        <w:t>, 15(11). Available at: https://pmc.ncbi.nlm.nih.gov/articles/PMC10733621/ (Accessed: 22 April 2026). </w:t>
      </w:r>
    </w:p>
    <w:p w14:paraId="434257D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330D6A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Babbar, K., Martin J., Ruiz, J., Parray, A.A. and Sommer, M. (2022) ‘Menstrual health is a public health and human rights issue’, </w:t>
      </w:r>
      <w:r w:rsidRPr="00CF4ED8">
        <w:rPr>
          <w:rFonts w:ascii="Arial" w:eastAsia="Times New Roman" w:hAnsi="Arial" w:cs="Arial"/>
          <w:i/>
          <w:iCs/>
          <w:color w:val="000000"/>
          <w:kern w:val="0"/>
          <w:lang w:eastAsia="en-GB"/>
          <w14:ligatures w14:val="none"/>
        </w:rPr>
        <w:t>The Lancet Public Health</w:t>
      </w:r>
      <w:r w:rsidRPr="00CF4ED8">
        <w:rPr>
          <w:rFonts w:ascii="Arial" w:eastAsia="Times New Roman" w:hAnsi="Arial" w:cs="Arial"/>
          <w:color w:val="000000"/>
          <w:kern w:val="0"/>
          <w:lang w:eastAsia="en-GB"/>
          <w14:ligatures w14:val="none"/>
        </w:rPr>
        <w:t>, 7(1). Available at: https://www.thelancet.com/journals/lanpub/article/PIIS2468-2667(21)00212-7/fulltext (Accessed: 22 April 2026). </w:t>
      </w:r>
    </w:p>
    <w:p w14:paraId="63A8A98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87D65F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Barrington, D.J., Robinson, H.J., Wilson, E. and Hennegan, J. (2021) ‘Experiences of menstruation in high income countries: A systematic review, qualitative evidence synthesis and comparison to low- and middle-income countries’, </w:t>
      </w:r>
      <w:r w:rsidRPr="00CF4ED8">
        <w:rPr>
          <w:rFonts w:ascii="Arial" w:eastAsia="Times New Roman" w:hAnsi="Arial" w:cs="Arial"/>
          <w:i/>
          <w:iCs/>
          <w:color w:val="000000"/>
          <w:kern w:val="0"/>
          <w:lang w:eastAsia="en-GB"/>
          <w14:ligatures w14:val="none"/>
        </w:rPr>
        <w:t>PLoS One.</w:t>
      </w:r>
      <w:r w:rsidRPr="00CF4ED8">
        <w:rPr>
          <w:rFonts w:ascii="Arial" w:eastAsia="Times New Roman" w:hAnsi="Arial" w:cs="Arial"/>
          <w:color w:val="000000"/>
          <w:kern w:val="0"/>
          <w:lang w:eastAsia="en-GB"/>
          <w14:ligatures w14:val="none"/>
        </w:rPr>
        <w:t xml:space="preserve"> Available at: https://doi.org/10.1371/journal.pone.0255001 </w:t>
      </w:r>
    </w:p>
    <w:p w14:paraId="5DBE2D4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3DB76C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BERA (2024) </w:t>
      </w:r>
      <w:r w:rsidRPr="00CF4ED8">
        <w:rPr>
          <w:rFonts w:ascii="Arial" w:eastAsia="Times New Roman" w:hAnsi="Arial" w:cs="Arial"/>
          <w:i/>
          <w:iCs/>
          <w:color w:val="000000"/>
          <w:kern w:val="0"/>
          <w:lang w:eastAsia="en-GB"/>
          <w14:ligatures w14:val="none"/>
        </w:rPr>
        <w:t>Ethical Guidelines for Educational Research, fifth edition (2024).</w:t>
      </w:r>
      <w:r w:rsidRPr="00CF4ED8">
        <w:rPr>
          <w:rFonts w:ascii="Arial" w:eastAsia="Times New Roman" w:hAnsi="Arial" w:cs="Arial"/>
          <w:color w:val="000000"/>
          <w:kern w:val="0"/>
          <w:lang w:eastAsia="en-GB"/>
          <w14:ligatures w14:val="none"/>
        </w:rPr>
        <w:t xml:space="preserve"> Available at: https://www.bera.ac.uk/publication/ethical-guidelines-for-educational-research-fifth-edition-2024-online (Accessed: 20 April 2026). </w:t>
      </w:r>
    </w:p>
    <w:p w14:paraId="75695BE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5F8A1E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Berg, L. (2025) ‘What do the bloody spiritualists say? Exploring menstruation advocacy and feminist frictions in Sweden’, </w:t>
      </w:r>
      <w:r w:rsidRPr="00CF4ED8">
        <w:rPr>
          <w:rFonts w:ascii="Arial" w:eastAsia="Times New Roman" w:hAnsi="Arial" w:cs="Arial"/>
          <w:i/>
          <w:iCs/>
          <w:color w:val="000000"/>
          <w:kern w:val="0"/>
          <w:lang w:eastAsia="en-GB"/>
          <w14:ligatures w14:val="none"/>
        </w:rPr>
        <w:t>European Journal of Women’s Studies</w:t>
      </w:r>
      <w:r w:rsidRPr="00CF4ED8">
        <w:rPr>
          <w:rFonts w:ascii="Arial" w:eastAsia="Times New Roman" w:hAnsi="Arial" w:cs="Arial"/>
          <w:color w:val="000000"/>
          <w:kern w:val="0"/>
          <w:lang w:eastAsia="en-GB"/>
          <w14:ligatures w14:val="none"/>
        </w:rPr>
        <w:t>, 32(1). Available at: https://doi.org/10.1177/13505068241312296 </w:t>
      </w:r>
    </w:p>
    <w:p w14:paraId="0E68499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1DB75C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Brown, N., Forrest, L.J., Williams, R., Piasecki, J. and Bruinvels, G. (2024) ‘‘Everyone needs to be educated’: pupils’ voices on menstrual education’, </w:t>
      </w:r>
      <w:r w:rsidRPr="00CF4ED8">
        <w:rPr>
          <w:rFonts w:ascii="Arial" w:eastAsia="Times New Roman" w:hAnsi="Arial" w:cs="Arial"/>
          <w:i/>
          <w:iCs/>
          <w:color w:val="000000"/>
          <w:kern w:val="0"/>
          <w:lang w:eastAsia="en-GB"/>
          <w14:ligatures w14:val="none"/>
        </w:rPr>
        <w:t>Reproductive Health</w:t>
      </w:r>
      <w:r w:rsidRPr="00CF4ED8">
        <w:rPr>
          <w:rFonts w:ascii="Arial" w:eastAsia="Times New Roman" w:hAnsi="Arial" w:cs="Arial"/>
          <w:color w:val="000000"/>
          <w:kern w:val="0"/>
          <w:lang w:eastAsia="en-GB"/>
          <w14:ligatures w14:val="none"/>
        </w:rPr>
        <w:t>, 21 (August) article 121. Available at: https://doi.org/10.1186/s12978-024-01862-6 </w:t>
      </w:r>
    </w:p>
    <w:p w14:paraId="6B412F6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3EC538E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Cao, Y., Chen, R.C. and Katz, A.J. (2024) ‘Why is a small sample size not enough?’, </w:t>
      </w:r>
      <w:r w:rsidRPr="00CF4ED8">
        <w:rPr>
          <w:rFonts w:ascii="Arial" w:eastAsia="Times New Roman" w:hAnsi="Arial" w:cs="Arial"/>
          <w:i/>
          <w:iCs/>
          <w:color w:val="000000"/>
          <w:kern w:val="0"/>
          <w:lang w:eastAsia="en-GB"/>
          <w14:ligatures w14:val="none"/>
        </w:rPr>
        <w:t xml:space="preserve">The </w:t>
      </w:r>
      <w:proofErr w:type="spellStart"/>
      <w:r w:rsidRPr="00CF4ED8">
        <w:rPr>
          <w:rFonts w:ascii="Arial" w:eastAsia="Times New Roman" w:hAnsi="Arial" w:cs="Arial"/>
          <w:i/>
          <w:iCs/>
          <w:color w:val="000000"/>
          <w:kern w:val="0"/>
          <w:lang w:eastAsia="en-GB"/>
          <w14:ligatures w14:val="none"/>
        </w:rPr>
        <w:t>Ontologist</w:t>
      </w:r>
      <w:proofErr w:type="spellEnd"/>
      <w:r w:rsidRPr="00CF4ED8">
        <w:rPr>
          <w:rFonts w:ascii="Arial" w:eastAsia="Times New Roman" w:hAnsi="Arial" w:cs="Arial"/>
          <w:i/>
          <w:iCs/>
          <w:color w:val="000000"/>
          <w:kern w:val="0"/>
          <w:lang w:eastAsia="en-GB"/>
          <w14:ligatures w14:val="none"/>
        </w:rPr>
        <w:t>,</w:t>
      </w:r>
      <w:r w:rsidRPr="00CF4ED8">
        <w:rPr>
          <w:rFonts w:ascii="Arial" w:eastAsia="Times New Roman" w:hAnsi="Arial" w:cs="Arial"/>
          <w:color w:val="000000"/>
          <w:kern w:val="0"/>
          <w:lang w:eastAsia="en-GB"/>
          <w14:ligatures w14:val="none"/>
        </w:rPr>
        <w:t xml:space="preserve"> 29(9), pp. 761-763. Available at: https://doi.org/10.1093/oncolo/oyae162 </w:t>
      </w:r>
    </w:p>
    <w:p w14:paraId="2F2584C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D63DEB2"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Carter, S. and Henderson, L. (2005) ‘Approaches to qualitative data collection in social science’, in. A. Bowling and S. Ebrahim (eds) </w:t>
      </w:r>
      <w:r w:rsidRPr="00CF4ED8">
        <w:rPr>
          <w:rFonts w:ascii="Arial" w:eastAsia="Times New Roman" w:hAnsi="Arial" w:cs="Arial"/>
          <w:i/>
          <w:iCs/>
          <w:color w:val="000000"/>
          <w:kern w:val="0"/>
          <w:lang w:eastAsia="en-GB"/>
          <w14:ligatures w14:val="none"/>
        </w:rPr>
        <w:t>Handbook of Health Research Methods: Investigation, measurement and analysis.</w:t>
      </w:r>
      <w:r w:rsidRPr="00CF4ED8">
        <w:rPr>
          <w:rFonts w:ascii="Arial" w:eastAsia="Times New Roman" w:hAnsi="Arial" w:cs="Arial"/>
          <w:color w:val="000000"/>
          <w:kern w:val="0"/>
          <w:lang w:eastAsia="en-GB"/>
          <w14:ligatures w14:val="none"/>
        </w:rPr>
        <w:t xml:space="preserve"> Open University Press, pp. 215-229. </w:t>
      </w:r>
    </w:p>
    <w:p w14:paraId="0B633E0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94FC445"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Castleberry, A. and Nolen, A. (2018) ‘Thematic analysis of qualitative research data: Is it as easy as it sounds?’, </w:t>
      </w:r>
      <w:r w:rsidRPr="00CF4ED8">
        <w:rPr>
          <w:rFonts w:ascii="Arial" w:eastAsia="Times New Roman" w:hAnsi="Arial" w:cs="Arial"/>
          <w:i/>
          <w:iCs/>
          <w:color w:val="000000"/>
          <w:kern w:val="0"/>
          <w:lang w:eastAsia="en-GB"/>
          <w14:ligatures w14:val="none"/>
        </w:rPr>
        <w:t>Currents in Pharmacy Teaching and Learning</w:t>
      </w:r>
      <w:r w:rsidRPr="00CF4ED8">
        <w:rPr>
          <w:rFonts w:ascii="Arial" w:eastAsia="Times New Roman" w:hAnsi="Arial" w:cs="Arial"/>
          <w:color w:val="000000"/>
          <w:kern w:val="0"/>
          <w:lang w:eastAsia="en-GB"/>
          <w14:ligatures w14:val="none"/>
        </w:rPr>
        <w:t>, 10(6), pp. 807-815. Available at: https://doi.org/10.1016/j.cptl.2018.03.019 </w:t>
      </w:r>
    </w:p>
    <w:p w14:paraId="0429859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7F631A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Chen, Y., Li, P. and Wu, C. (2024) ‘Dealing with </w:t>
      </w:r>
      <w:proofErr w:type="spellStart"/>
      <w:r w:rsidRPr="00CF4ED8">
        <w:rPr>
          <w:rFonts w:ascii="Arial" w:eastAsia="Times New Roman" w:hAnsi="Arial" w:cs="Arial"/>
          <w:color w:val="000000"/>
          <w:kern w:val="0"/>
          <w:lang w:eastAsia="en-GB"/>
          <w14:ligatures w14:val="none"/>
        </w:rPr>
        <w:t>undercoverage</w:t>
      </w:r>
      <w:proofErr w:type="spellEnd"/>
      <w:r w:rsidRPr="00CF4ED8">
        <w:rPr>
          <w:rFonts w:ascii="Arial" w:eastAsia="Times New Roman" w:hAnsi="Arial" w:cs="Arial"/>
          <w:color w:val="000000"/>
          <w:kern w:val="0"/>
          <w:lang w:eastAsia="en-GB"/>
          <w14:ligatures w14:val="none"/>
        </w:rPr>
        <w:t xml:space="preserve"> for non-probability survey samples’,</w:t>
      </w:r>
      <w:r w:rsidRPr="00CF4ED8">
        <w:rPr>
          <w:rFonts w:ascii="Arial" w:eastAsia="Times New Roman" w:hAnsi="Arial" w:cs="Arial"/>
          <w:i/>
          <w:iCs/>
          <w:color w:val="000000"/>
          <w:kern w:val="0"/>
          <w:lang w:eastAsia="en-GB"/>
          <w14:ligatures w14:val="none"/>
        </w:rPr>
        <w:t xml:space="preserve"> Survey Methodology</w:t>
      </w:r>
      <w:r w:rsidRPr="00CF4ED8">
        <w:rPr>
          <w:rFonts w:ascii="Arial" w:eastAsia="Times New Roman" w:hAnsi="Arial" w:cs="Arial"/>
          <w:color w:val="000000"/>
          <w:kern w:val="0"/>
          <w:lang w:eastAsia="en-GB"/>
          <w14:ligatures w14:val="none"/>
        </w:rPr>
        <w:t>, 49(2). Available at: https://www150.statcan.gc.ca/n1/pub/12-001-x/2023002/article/00005-eng.htm (Accessed: 22 April 2026). </w:t>
      </w:r>
    </w:p>
    <w:p w14:paraId="4ADB473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948766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i/>
          <w:iCs/>
          <w:color w:val="000000"/>
          <w:kern w:val="0"/>
          <w:lang w:eastAsia="en-GB"/>
          <w14:ligatures w14:val="none"/>
        </w:rPr>
        <w:t xml:space="preserve">Children Act 1989, c. 41. </w:t>
      </w:r>
      <w:r w:rsidRPr="00CF4ED8">
        <w:rPr>
          <w:rFonts w:ascii="Arial" w:eastAsia="Times New Roman" w:hAnsi="Arial" w:cs="Arial"/>
          <w:color w:val="000000"/>
          <w:kern w:val="0"/>
          <w:lang w:eastAsia="en-GB"/>
          <w14:ligatures w14:val="none"/>
        </w:rPr>
        <w:t>Available at: https://www.legislation.gov.uk/ukpga/1989/41/contents (Accessed: 20 April 2026). </w:t>
      </w:r>
    </w:p>
    <w:p w14:paraId="4BF4253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0438A5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Colla, R.H. and Kurtz, C.F. (2024) ‘Storying Research: Exploring the Benefits of Participatory Narrative Inquiry as a Methodology for Wellbeing Research’, </w:t>
      </w:r>
      <w:r w:rsidRPr="00CF4ED8">
        <w:rPr>
          <w:rFonts w:ascii="Arial" w:eastAsia="Times New Roman" w:hAnsi="Arial" w:cs="Arial"/>
          <w:i/>
          <w:iCs/>
          <w:color w:val="000000"/>
          <w:kern w:val="0"/>
          <w:lang w:eastAsia="en-GB"/>
          <w14:ligatures w14:val="none"/>
        </w:rPr>
        <w:t>International Journal of Applied Positive Psychology</w:t>
      </w:r>
      <w:r w:rsidRPr="00CF4ED8">
        <w:rPr>
          <w:rFonts w:ascii="Arial" w:eastAsia="Times New Roman" w:hAnsi="Arial" w:cs="Arial"/>
          <w:color w:val="000000"/>
          <w:kern w:val="0"/>
          <w:lang w:eastAsia="en-GB"/>
          <w14:ligatures w14:val="none"/>
        </w:rPr>
        <w:t>, 9, pp. 1-20. Available at: https://doi.org/10.1007/s41042-024-00147-4 </w:t>
      </w:r>
    </w:p>
    <w:p w14:paraId="6A1FE92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5404F3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lastRenderedPageBreak/>
        <w:t xml:space="preserve">Curry, C., Ferfolja, T., Holmes, K., Parry, K., Sherry, M. and Armour, M. (2023) ‘Menstrual health education in Australian schools’, </w:t>
      </w:r>
      <w:r w:rsidRPr="00CF4ED8">
        <w:rPr>
          <w:rFonts w:ascii="Arial" w:eastAsia="Times New Roman" w:hAnsi="Arial" w:cs="Arial"/>
          <w:i/>
          <w:iCs/>
          <w:color w:val="000000"/>
          <w:kern w:val="0"/>
          <w:lang w:eastAsia="en-GB"/>
          <w14:ligatures w14:val="none"/>
        </w:rPr>
        <w:t>Curriculum Studies in Health and Physical Education</w:t>
      </w:r>
      <w:r w:rsidRPr="00CF4ED8">
        <w:rPr>
          <w:rFonts w:ascii="Arial" w:eastAsia="Times New Roman" w:hAnsi="Arial" w:cs="Arial"/>
          <w:color w:val="000000"/>
          <w:kern w:val="0"/>
          <w:lang w:eastAsia="en-GB"/>
          <w14:ligatures w14:val="none"/>
        </w:rPr>
        <w:t>, 14(2), pp. 223-236. Available at: https://doi.org/10.1080/25742981.2022.2060119 </w:t>
      </w:r>
    </w:p>
    <w:p w14:paraId="6F2BC6D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D7852D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Davies, C. and Fisher, M. (2018) ‘Understanding research paradigms’,</w:t>
      </w:r>
      <w:r w:rsidRPr="00CF4ED8">
        <w:rPr>
          <w:rFonts w:ascii="Arial" w:eastAsia="Times New Roman" w:hAnsi="Arial" w:cs="Arial"/>
          <w:i/>
          <w:iCs/>
          <w:color w:val="000000"/>
          <w:kern w:val="0"/>
          <w:lang w:eastAsia="en-GB"/>
          <w14:ligatures w14:val="none"/>
        </w:rPr>
        <w:t xml:space="preserve"> Journal of the Australasian Rehabilitation Nurses Association</w:t>
      </w:r>
      <w:r w:rsidRPr="00CF4ED8">
        <w:rPr>
          <w:rFonts w:ascii="Arial" w:eastAsia="Times New Roman" w:hAnsi="Arial" w:cs="Arial"/>
          <w:color w:val="000000"/>
          <w:kern w:val="0"/>
          <w:lang w:eastAsia="en-GB"/>
          <w14:ligatures w14:val="none"/>
        </w:rPr>
        <w:t>, 21(3), pp. 21-25. Available at: https://search.informit.org/doi/abs/10.3316/INFORMIT.160174725752074 (Accessed: 19 April 2026). </w:t>
      </w:r>
    </w:p>
    <w:p w14:paraId="0C0DE9A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CC886E7"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Department for Education (2026) </w:t>
      </w:r>
      <w:r w:rsidRPr="00CF4ED8">
        <w:rPr>
          <w:rFonts w:ascii="Arial" w:eastAsia="Times New Roman" w:hAnsi="Arial" w:cs="Arial"/>
          <w:i/>
          <w:iCs/>
          <w:color w:val="000000"/>
          <w:kern w:val="0"/>
          <w:lang w:eastAsia="en-GB"/>
          <w14:ligatures w14:val="none"/>
        </w:rPr>
        <w:t>Research with children and young people.</w:t>
      </w:r>
      <w:r w:rsidRPr="00CF4ED8">
        <w:rPr>
          <w:rFonts w:ascii="Arial" w:eastAsia="Times New Roman" w:hAnsi="Arial" w:cs="Arial"/>
          <w:color w:val="000000"/>
          <w:kern w:val="0"/>
          <w:lang w:eastAsia="en-GB"/>
          <w14:ligatures w14:val="none"/>
        </w:rPr>
        <w:t xml:space="preserve"> Available at: https://user-research.education.gov.uk/guidance/ethics-and-safeguarding/research-with-children-and-young-people (Accessed: 20 April 2026). </w:t>
      </w:r>
    </w:p>
    <w:p w14:paraId="03EC155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2FBD17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Dwivedi, A. and Moharana, K.C. (2026) ‘Menstrual Taboo and Women’s Agency’,</w:t>
      </w:r>
      <w:r w:rsidRPr="00CF4ED8">
        <w:rPr>
          <w:rFonts w:ascii="Arial" w:eastAsia="Times New Roman" w:hAnsi="Arial" w:cs="Arial"/>
          <w:i/>
          <w:iCs/>
          <w:color w:val="000000"/>
          <w:kern w:val="0"/>
          <w:lang w:eastAsia="en-GB"/>
          <w14:ligatures w14:val="none"/>
        </w:rPr>
        <w:t xml:space="preserve"> Indian Journal of Human Development.</w:t>
      </w:r>
      <w:r w:rsidRPr="00CF4ED8">
        <w:rPr>
          <w:rFonts w:ascii="Arial" w:eastAsia="Times New Roman" w:hAnsi="Arial" w:cs="Arial"/>
          <w:color w:val="000000"/>
          <w:kern w:val="0"/>
          <w:lang w:eastAsia="en-GB"/>
          <w14:ligatures w14:val="none"/>
        </w:rPr>
        <w:t xml:space="preserve"> Available at: https://doi.org/10.1177/09737030251415015 </w:t>
      </w:r>
    </w:p>
    <w:p w14:paraId="619FD62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BE6EBF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Easton, K.L., McComish, J.F. and Greenberg, R. (2000) ‘Avoiding Common Pitfalls in Qualitative Data Collection and Transcription’, </w:t>
      </w:r>
      <w:r w:rsidRPr="00CF4ED8">
        <w:rPr>
          <w:rFonts w:ascii="Arial" w:eastAsia="Times New Roman" w:hAnsi="Arial" w:cs="Arial"/>
          <w:i/>
          <w:iCs/>
          <w:color w:val="000000"/>
          <w:kern w:val="0"/>
          <w:lang w:eastAsia="en-GB"/>
          <w14:ligatures w14:val="none"/>
        </w:rPr>
        <w:t>Qualitative Health Research</w:t>
      </w:r>
      <w:r w:rsidRPr="00CF4ED8">
        <w:rPr>
          <w:rFonts w:ascii="Arial" w:eastAsia="Times New Roman" w:hAnsi="Arial" w:cs="Arial"/>
          <w:color w:val="000000"/>
          <w:kern w:val="0"/>
          <w:lang w:eastAsia="en-GB"/>
          <w14:ligatures w14:val="none"/>
        </w:rPr>
        <w:t>, 10(5). Available at: https://doi.org/10.1177/104973200129118651 </w:t>
      </w:r>
    </w:p>
    <w:p w14:paraId="74F7F245"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716251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i/>
          <w:iCs/>
          <w:color w:val="000000"/>
          <w:kern w:val="0"/>
          <w:lang w:eastAsia="en-GB"/>
          <w14:ligatures w14:val="none"/>
        </w:rPr>
        <w:t>Equality Act 2010, c. 15</w:t>
      </w:r>
      <w:r w:rsidRPr="00CF4ED8">
        <w:rPr>
          <w:rFonts w:ascii="Arial" w:eastAsia="Times New Roman" w:hAnsi="Arial" w:cs="Arial"/>
          <w:color w:val="000000"/>
          <w:kern w:val="0"/>
          <w:lang w:eastAsia="en-GB"/>
          <w14:ligatures w14:val="none"/>
        </w:rPr>
        <w:t>. Available at: https://www.legislation.gov.uk/ukpga/2010/15/contents (Accessed: 20 April 2026). </w:t>
      </w:r>
    </w:p>
    <w:p w14:paraId="5799F67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890160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Ferguson, K.E. (2017) ‘Feminist Theory Today’, </w:t>
      </w:r>
      <w:r w:rsidRPr="00CF4ED8">
        <w:rPr>
          <w:rFonts w:ascii="Arial" w:eastAsia="Times New Roman" w:hAnsi="Arial" w:cs="Arial"/>
          <w:i/>
          <w:iCs/>
          <w:color w:val="000000"/>
          <w:kern w:val="0"/>
          <w:lang w:eastAsia="en-GB"/>
          <w14:ligatures w14:val="none"/>
        </w:rPr>
        <w:t>Annual Review of Political Science,</w:t>
      </w:r>
      <w:r w:rsidRPr="00CF4ED8">
        <w:rPr>
          <w:rFonts w:ascii="Arial" w:eastAsia="Times New Roman" w:hAnsi="Arial" w:cs="Arial"/>
          <w:color w:val="000000"/>
          <w:kern w:val="0"/>
          <w:lang w:eastAsia="en-GB"/>
          <w14:ligatures w14:val="none"/>
        </w:rPr>
        <w:t xml:space="preserve"> 20, pp. 269-286. Available at: https://doi.org/10.1146/annurev-polisci-052715-111648 </w:t>
      </w:r>
    </w:p>
    <w:p w14:paraId="5AAA079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7F2587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Føllesdal, D. (2001) ‘Hermeneutics’, </w:t>
      </w:r>
      <w:r w:rsidRPr="00CF4ED8">
        <w:rPr>
          <w:rFonts w:ascii="Arial" w:eastAsia="Times New Roman" w:hAnsi="Arial" w:cs="Arial"/>
          <w:i/>
          <w:iCs/>
          <w:color w:val="000000"/>
          <w:kern w:val="0"/>
          <w:lang w:eastAsia="en-GB"/>
          <w14:ligatures w14:val="none"/>
        </w:rPr>
        <w:t>The International Journal of Psychoanalysis</w:t>
      </w:r>
      <w:r w:rsidRPr="00CF4ED8">
        <w:rPr>
          <w:rFonts w:ascii="Arial" w:eastAsia="Times New Roman" w:hAnsi="Arial" w:cs="Arial"/>
          <w:color w:val="000000"/>
          <w:kern w:val="0"/>
          <w:lang w:eastAsia="en-GB"/>
          <w14:ligatures w14:val="none"/>
        </w:rPr>
        <w:t>, 82(2), pp. 375-379. Available at: https://doi.org/10.1516/1D08-F6V9-YVPJ-A79W </w:t>
      </w:r>
    </w:p>
    <w:p w14:paraId="3739A06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38CC80D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Gómez-Diago, G. (2020) ‘Functionalist theory’, in. D.L. Merskin (ed) </w:t>
      </w:r>
      <w:r w:rsidRPr="00CF4ED8">
        <w:rPr>
          <w:rFonts w:ascii="Arial" w:eastAsia="Times New Roman" w:hAnsi="Arial" w:cs="Arial"/>
          <w:i/>
          <w:iCs/>
          <w:color w:val="000000"/>
          <w:kern w:val="0"/>
          <w:lang w:eastAsia="en-GB"/>
          <w14:ligatures w14:val="none"/>
        </w:rPr>
        <w:t xml:space="preserve">The SAGE International Encyclopedia of Mass Media and Society. </w:t>
      </w:r>
      <w:r w:rsidRPr="00CF4ED8">
        <w:rPr>
          <w:rFonts w:ascii="Arial" w:eastAsia="Times New Roman" w:hAnsi="Arial" w:cs="Arial"/>
          <w:color w:val="000000"/>
          <w:kern w:val="0"/>
          <w:lang w:eastAsia="en-GB"/>
          <w14:ligatures w14:val="none"/>
        </w:rPr>
        <w:t xml:space="preserve">SAGE Publication, pp. </w:t>
      </w:r>
      <w:r w:rsidRPr="00CF4ED8">
        <w:rPr>
          <w:rFonts w:ascii="Arial" w:eastAsia="Times New Roman" w:hAnsi="Arial" w:cs="Arial"/>
          <w:color w:val="000000"/>
          <w:kern w:val="0"/>
          <w:shd w:val="clear" w:color="auto" w:fill="FFFFFF"/>
          <w:lang w:eastAsia="en-GB"/>
          <w14:ligatures w14:val="none"/>
        </w:rPr>
        <w:t>657-658. </w:t>
      </w:r>
    </w:p>
    <w:p w14:paraId="1876982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8B731C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Graham, S. (2023)</w:t>
      </w:r>
      <w:r w:rsidRPr="00CF4ED8">
        <w:rPr>
          <w:rFonts w:ascii="Arial" w:eastAsia="Times New Roman" w:hAnsi="Arial" w:cs="Arial"/>
          <w:i/>
          <w:iCs/>
          <w:color w:val="000000"/>
          <w:kern w:val="0"/>
          <w:lang w:eastAsia="en-GB"/>
          <w14:ligatures w14:val="none"/>
        </w:rPr>
        <w:t xml:space="preserve"> Rebel Bodies.</w:t>
      </w:r>
      <w:r w:rsidRPr="00CF4ED8">
        <w:rPr>
          <w:rFonts w:ascii="Arial" w:eastAsia="Times New Roman" w:hAnsi="Arial" w:cs="Arial"/>
          <w:color w:val="000000"/>
          <w:kern w:val="0"/>
          <w:lang w:eastAsia="en-GB"/>
          <w14:ligatures w14:val="none"/>
        </w:rPr>
        <w:t xml:space="preserve"> Green Tree. </w:t>
      </w:r>
    </w:p>
    <w:p w14:paraId="46FCBE6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921A14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Hammersley, M. and Traianou, A. (2012)</w:t>
      </w:r>
      <w:r w:rsidRPr="00CF4ED8">
        <w:rPr>
          <w:rFonts w:ascii="Arial" w:eastAsia="Times New Roman" w:hAnsi="Arial" w:cs="Arial"/>
          <w:i/>
          <w:iCs/>
          <w:color w:val="000000"/>
          <w:kern w:val="0"/>
          <w:lang w:eastAsia="en-GB"/>
          <w14:ligatures w14:val="none"/>
        </w:rPr>
        <w:t xml:space="preserve"> Ethics and Educational Research.</w:t>
      </w:r>
      <w:r w:rsidRPr="00CF4ED8">
        <w:rPr>
          <w:rFonts w:ascii="Arial" w:eastAsia="Times New Roman" w:hAnsi="Arial" w:cs="Arial"/>
          <w:color w:val="000000"/>
          <w:kern w:val="0"/>
          <w:lang w:eastAsia="en-GB"/>
          <w14:ligatures w14:val="none"/>
        </w:rPr>
        <w:t xml:space="preserve"> Available at: https://martynhammersley.wordpress.com/wp-content/uploads/2013/11/ethics-and-educational-research-9.pdf (Accessed: 20 April 2026). </w:t>
      </w:r>
    </w:p>
    <w:p w14:paraId="4A35FB0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3EC6FF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Hennegan, J., Winkler, I.T., Bobel, C., Keiser, D., Hampton, J., Larsson, G., Chandra-Mouli, V., Plesons, M. and </w:t>
      </w:r>
      <w:proofErr w:type="spellStart"/>
      <w:r w:rsidRPr="00CF4ED8">
        <w:rPr>
          <w:rFonts w:ascii="Arial" w:eastAsia="Times New Roman" w:hAnsi="Arial" w:cs="Arial"/>
          <w:color w:val="000000"/>
          <w:kern w:val="0"/>
          <w:lang w:eastAsia="en-GB"/>
          <w14:ligatures w14:val="none"/>
        </w:rPr>
        <w:t>Mehon</w:t>
      </w:r>
      <w:proofErr w:type="spellEnd"/>
      <w:r w:rsidRPr="00CF4ED8">
        <w:rPr>
          <w:rFonts w:ascii="Arial" w:eastAsia="Times New Roman" w:hAnsi="Arial" w:cs="Arial"/>
          <w:color w:val="000000"/>
          <w:kern w:val="0"/>
          <w:lang w:eastAsia="en-GB"/>
          <w14:ligatures w14:val="none"/>
        </w:rPr>
        <w:t xml:space="preserve">, T. (2021) ‘Menstrual health: a definition for policy, practice, and research’, </w:t>
      </w:r>
      <w:r w:rsidRPr="00CF4ED8">
        <w:rPr>
          <w:rFonts w:ascii="Arial" w:eastAsia="Times New Roman" w:hAnsi="Arial" w:cs="Arial"/>
          <w:i/>
          <w:iCs/>
          <w:color w:val="000000"/>
          <w:kern w:val="0"/>
          <w:lang w:eastAsia="en-GB"/>
          <w14:ligatures w14:val="none"/>
        </w:rPr>
        <w:t>Sexual and Reproductive Health Matters</w:t>
      </w:r>
      <w:r w:rsidRPr="00CF4ED8">
        <w:rPr>
          <w:rFonts w:ascii="Arial" w:eastAsia="Times New Roman" w:hAnsi="Arial" w:cs="Arial"/>
          <w:color w:val="000000"/>
          <w:kern w:val="0"/>
          <w:lang w:eastAsia="en-GB"/>
          <w14:ligatures w14:val="none"/>
        </w:rPr>
        <w:t>, 29(1), pp. 31-38. Available at: https://doi.org/10.1080/26410397.2021.1911618 </w:t>
      </w:r>
    </w:p>
    <w:p w14:paraId="709065E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6EA2C6A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Hill, M. (2019) </w:t>
      </w:r>
      <w:r w:rsidRPr="00CF4ED8">
        <w:rPr>
          <w:rFonts w:ascii="Arial" w:eastAsia="Times New Roman" w:hAnsi="Arial" w:cs="Arial"/>
          <w:i/>
          <w:iCs/>
          <w:color w:val="000000"/>
          <w:kern w:val="0"/>
          <w:lang w:eastAsia="en-GB"/>
          <w14:ligatures w14:val="none"/>
        </w:rPr>
        <w:t xml:space="preserve">Period Power: Harness Your Hormones and Get Your Cycle Working For You. </w:t>
      </w:r>
      <w:r w:rsidRPr="00CF4ED8">
        <w:rPr>
          <w:rFonts w:ascii="Arial" w:eastAsia="Times New Roman" w:hAnsi="Arial" w:cs="Arial"/>
          <w:color w:val="000000"/>
          <w:kern w:val="0"/>
          <w:lang w:eastAsia="en-GB"/>
          <w14:ligatures w14:val="none"/>
        </w:rPr>
        <w:t>Dublin: Green Tree.  </w:t>
      </w:r>
    </w:p>
    <w:p w14:paraId="75AAFBC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3B8B0EA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lastRenderedPageBreak/>
        <w:t xml:space="preserve">Hillard, P.J.A. (2008) ‘Menstruation in Adolescents: What’s Normal, What’s Not’, </w:t>
      </w:r>
      <w:r w:rsidRPr="00CF4ED8">
        <w:rPr>
          <w:rFonts w:ascii="Arial" w:eastAsia="Times New Roman" w:hAnsi="Arial" w:cs="Arial"/>
          <w:i/>
          <w:iCs/>
          <w:color w:val="000000"/>
          <w:kern w:val="0"/>
          <w:lang w:eastAsia="en-GB"/>
          <w14:ligatures w14:val="none"/>
        </w:rPr>
        <w:t>New York Academy of Science.</w:t>
      </w:r>
      <w:r w:rsidRPr="00CF4ED8">
        <w:rPr>
          <w:rFonts w:ascii="Arial" w:eastAsia="Times New Roman" w:hAnsi="Arial" w:cs="Arial"/>
          <w:color w:val="000000"/>
          <w:kern w:val="0"/>
          <w:lang w:eastAsia="en-GB"/>
          <w14:ligatures w14:val="none"/>
        </w:rPr>
        <w:t xml:space="preserve"> Available at: https://doi.org/10.1196/annals.1429.022 </w:t>
      </w:r>
    </w:p>
    <w:p w14:paraId="60BD665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D0C23B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Hillard, P.J.A. (2014) ‘Menstruation in Adolescents: What Do We Know? and What Do We Do with the Information?’, </w:t>
      </w:r>
      <w:r w:rsidRPr="00CF4ED8">
        <w:rPr>
          <w:rFonts w:ascii="Arial" w:eastAsia="Times New Roman" w:hAnsi="Arial" w:cs="Arial"/>
          <w:i/>
          <w:iCs/>
          <w:color w:val="000000"/>
          <w:kern w:val="0"/>
          <w:lang w:eastAsia="en-GB"/>
          <w14:ligatures w14:val="none"/>
        </w:rPr>
        <w:t>Journal of Pediatric and Adolescent Gynecology</w:t>
      </w:r>
      <w:r w:rsidRPr="00CF4ED8">
        <w:rPr>
          <w:rFonts w:ascii="Arial" w:eastAsia="Times New Roman" w:hAnsi="Arial" w:cs="Arial"/>
          <w:color w:val="000000"/>
          <w:kern w:val="0"/>
          <w:lang w:eastAsia="en-GB"/>
          <w14:ligatures w14:val="none"/>
        </w:rPr>
        <w:t>, 27(6), pp. 309-319. Available at: https://doi.org/10.1016/j.jpag.2013.12.001 </w:t>
      </w:r>
    </w:p>
    <w:p w14:paraId="35C33D4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E13D605"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Laryeafio, M.N. and Ogbewe, O.C. (2023) ‘Ethical consideration dilemma: systematic review of ethics in qualitative data collection through interviews’, </w:t>
      </w:r>
      <w:r w:rsidRPr="00CF4ED8">
        <w:rPr>
          <w:rFonts w:ascii="Arial" w:eastAsia="Times New Roman" w:hAnsi="Arial" w:cs="Arial"/>
          <w:i/>
          <w:iCs/>
          <w:color w:val="000000"/>
          <w:kern w:val="0"/>
          <w:lang w:eastAsia="en-GB"/>
          <w14:ligatures w14:val="none"/>
        </w:rPr>
        <w:t>Journal of Ethics in Entrepreneurship and Technology</w:t>
      </w:r>
      <w:r w:rsidRPr="00CF4ED8">
        <w:rPr>
          <w:rFonts w:ascii="Arial" w:eastAsia="Times New Roman" w:hAnsi="Arial" w:cs="Arial"/>
          <w:color w:val="000000"/>
          <w:kern w:val="0"/>
          <w:lang w:eastAsia="en-GB"/>
          <w14:ligatures w14:val="none"/>
        </w:rPr>
        <w:t>, 3(2), pp. 94-110. Available at: https://doi.org/10.1108/JEET-09-2022-0014 </w:t>
      </w:r>
    </w:p>
    <w:p w14:paraId="7A063AE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C0DCB5D"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Liang, J., Ali, F., Ramaiyer, M. and Borahay, M.A. (2023) ‘Determinants and Assessment of Menstrual Blood Flow’, </w:t>
      </w:r>
      <w:r w:rsidRPr="00CF4ED8">
        <w:rPr>
          <w:rFonts w:ascii="Arial" w:eastAsia="Times New Roman" w:hAnsi="Arial" w:cs="Arial"/>
          <w:i/>
          <w:iCs/>
          <w:color w:val="000000"/>
          <w:kern w:val="0"/>
          <w:lang w:eastAsia="en-GB"/>
          <w14:ligatures w14:val="none"/>
        </w:rPr>
        <w:t>Current Epidemiology Reports</w:t>
      </w:r>
      <w:r w:rsidRPr="00CF4ED8">
        <w:rPr>
          <w:rFonts w:ascii="Arial" w:eastAsia="Times New Roman" w:hAnsi="Arial" w:cs="Arial"/>
          <w:color w:val="000000"/>
          <w:kern w:val="0"/>
          <w:lang w:eastAsia="en-GB"/>
          <w14:ligatures w14:val="none"/>
        </w:rPr>
        <w:t>, 10, pp. 210-220. Available at: https://doi.org/10.1007/s40471-023-00332-0 </w:t>
      </w:r>
    </w:p>
    <w:p w14:paraId="183F91E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59CDA3C2"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Lim, W.M. (2025) ‘What Is Quantitative Research? An Overview and Guidelines’, </w:t>
      </w:r>
      <w:proofErr w:type="spellStart"/>
      <w:r w:rsidRPr="00CF4ED8">
        <w:rPr>
          <w:rFonts w:ascii="Arial" w:eastAsia="Times New Roman" w:hAnsi="Arial" w:cs="Arial"/>
          <w:i/>
          <w:iCs/>
          <w:color w:val="000000"/>
          <w:kern w:val="0"/>
          <w:lang w:eastAsia="en-GB"/>
          <w14:ligatures w14:val="none"/>
        </w:rPr>
        <w:t>Australasin</w:t>
      </w:r>
      <w:proofErr w:type="spellEnd"/>
      <w:r w:rsidRPr="00CF4ED8">
        <w:rPr>
          <w:rFonts w:ascii="Arial" w:eastAsia="Times New Roman" w:hAnsi="Arial" w:cs="Arial"/>
          <w:i/>
          <w:iCs/>
          <w:color w:val="000000"/>
          <w:kern w:val="0"/>
          <w:lang w:eastAsia="en-GB"/>
          <w14:ligatures w14:val="none"/>
        </w:rPr>
        <w:t xml:space="preserve"> Marketing Journal,</w:t>
      </w:r>
      <w:r w:rsidRPr="00CF4ED8">
        <w:rPr>
          <w:rFonts w:ascii="Arial" w:eastAsia="Times New Roman" w:hAnsi="Arial" w:cs="Arial"/>
          <w:color w:val="000000"/>
          <w:kern w:val="0"/>
          <w:lang w:eastAsia="en-GB"/>
          <w14:ligatures w14:val="none"/>
        </w:rPr>
        <w:t xml:space="preserve"> 33(3), pp. 325-348. Available at: https://doi.org/10.1177/14413582241264622 </w:t>
      </w:r>
    </w:p>
    <w:p w14:paraId="41103CF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26FEBFD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Mackenzie, N. and Knipe, S. (2006) ‘Research dilemmas: Paradigms, methods and methodology’, </w:t>
      </w:r>
      <w:r w:rsidRPr="00CF4ED8">
        <w:rPr>
          <w:rFonts w:ascii="Arial" w:eastAsia="Times New Roman" w:hAnsi="Arial" w:cs="Arial"/>
          <w:i/>
          <w:iCs/>
          <w:color w:val="000000"/>
          <w:kern w:val="0"/>
          <w:lang w:eastAsia="en-GB"/>
          <w14:ligatures w14:val="none"/>
        </w:rPr>
        <w:t>Issues In Educational Research,</w:t>
      </w:r>
      <w:r w:rsidRPr="00CF4ED8">
        <w:rPr>
          <w:rFonts w:ascii="Arial" w:eastAsia="Times New Roman" w:hAnsi="Arial" w:cs="Arial"/>
          <w:color w:val="000000"/>
          <w:kern w:val="0"/>
          <w:lang w:eastAsia="en-GB"/>
          <w14:ligatures w14:val="none"/>
        </w:rPr>
        <w:t xml:space="preserve"> 16. Available at: https://researchoutput.csu.edu.au/en/publications/research-dilemmas-paradigms-methods-and-methodology/ (Accessed: 22 April 2026). </w:t>
      </w:r>
    </w:p>
    <w:p w14:paraId="16138B15"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6CB598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Maslowski, K., </w:t>
      </w:r>
      <w:proofErr w:type="spellStart"/>
      <w:r w:rsidRPr="00CF4ED8">
        <w:rPr>
          <w:rFonts w:ascii="Arial" w:eastAsia="Times New Roman" w:hAnsi="Arial" w:cs="Arial"/>
          <w:color w:val="000000"/>
          <w:kern w:val="0"/>
          <w:lang w:eastAsia="en-GB"/>
          <w14:ligatures w14:val="none"/>
        </w:rPr>
        <w:t>Biswakarma</w:t>
      </w:r>
      <w:proofErr w:type="spellEnd"/>
      <w:r w:rsidRPr="00CF4ED8">
        <w:rPr>
          <w:rFonts w:ascii="Arial" w:eastAsia="Times New Roman" w:hAnsi="Arial" w:cs="Arial"/>
          <w:color w:val="000000"/>
          <w:kern w:val="0"/>
          <w:lang w:eastAsia="en-GB"/>
          <w14:ligatures w14:val="none"/>
        </w:rPr>
        <w:t xml:space="preserve">, R., Reiss, M.J. and Harper, J.C. (2024) ‘What have 16- to 18-year-olds in England learnt about reproductive health? A survey of school students’, </w:t>
      </w:r>
      <w:r w:rsidRPr="00CF4ED8">
        <w:rPr>
          <w:rFonts w:ascii="Arial" w:eastAsia="Times New Roman" w:hAnsi="Arial" w:cs="Arial"/>
          <w:i/>
          <w:iCs/>
          <w:color w:val="000000"/>
          <w:kern w:val="0"/>
          <w:lang w:eastAsia="en-GB"/>
          <w14:ligatures w14:val="none"/>
        </w:rPr>
        <w:t>Health Education Journal</w:t>
      </w:r>
      <w:r w:rsidRPr="00CF4ED8">
        <w:rPr>
          <w:rFonts w:ascii="Arial" w:eastAsia="Times New Roman" w:hAnsi="Arial" w:cs="Arial"/>
          <w:color w:val="000000"/>
          <w:kern w:val="0"/>
          <w:lang w:eastAsia="en-GB"/>
          <w14:ligatures w14:val="none"/>
        </w:rPr>
        <w:t>, 83(2). Available at: https://doi.org/10.1177/00178969241227314 </w:t>
      </w:r>
    </w:p>
    <w:p w14:paraId="4236730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3DE784F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Maslowski, K., Reiss, M.J., </w:t>
      </w:r>
      <w:proofErr w:type="spellStart"/>
      <w:r w:rsidRPr="00CF4ED8">
        <w:rPr>
          <w:rFonts w:ascii="Arial" w:eastAsia="Times New Roman" w:hAnsi="Arial" w:cs="Arial"/>
          <w:color w:val="000000"/>
          <w:kern w:val="0"/>
          <w:lang w:eastAsia="en-GB"/>
          <w14:ligatures w14:val="none"/>
        </w:rPr>
        <w:t>Biswakarma</w:t>
      </w:r>
      <w:proofErr w:type="spellEnd"/>
      <w:r w:rsidRPr="00CF4ED8">
        <w:rPr>
          <w:rFonts w:ascii="Arial" w:eastAsia="Times New Roman" w:hAnsi="Arial" w:cs="Arial"/>
          <w:color w:val="000000"/>
          <w:kern w:val="0"/>
          <w:lang w:eastAsia="en-GB"/>
          <w14:ligatures w14:val="none"/>
        </w:rPr>
        <w:t xml:space="preserve">, R. and Harper, J. (2023) ‘Reproductive health education in the schools of the four UK nations: is it falling through the gap?’, </w:t>
      </w:r>
      <w:r w:rsidRPr="00CF4ED8">
        <w:rPr>
          <w:rFonts w:ascii="Arial" w:eastAsia="Times New Roman" w:hAnsi="Arial" w:cs="Arial"/>
          <w:i/>
          <w:iCs/>
          <w:color w:val="000000"/>
          <w:kern w:val="0"/>
          <w:lang w:eastAsia="en-GB"/>
          <w14:ligatures w14:val="none"/>
        </w:rPr>
        <w:t>Human Fertility</w:t>
      </w:r>
      <w:r w:rsidRPr="00CF4ED8">
        <w:rPr>
          <w:rFonts w:ascii="Arial" w:eastAsia="Times New Roman" w:hAnsi="Arial" w:cs="Arial"/>
          <w:color w:val="000000"/>
          <w:kern w:val="0"/>
          <w:lang w:eastAsia="en-GB"/>
          <w14:ligatures w14:val="none"/>
        </w:rPr>
        <w:t>, 26(3), pp. 527-539. Available at: https://doi.org/10.1080/14647273.2023.2216395 </w:t>
      </w:r>
    </w:p>
    <w:p w14:paraId="75E5FFF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39A15C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Mazhar, S.A., Anjum, R., Anwar, A.I. and Khan, A.A. (2021) ‘Methods of Data Collection: A Fundamental Tool of Research’,</w:t>
      </w:r>
      <w:r w:rsidRPr="00CF4ED8">
        <w:rPr>
          <w:rFonts w:ascii="Arial" w:eastAsia="Times New Roman" w:hAnsi="Arial" w:cs="Arial"/>
          <w:i/>
          <w:iCs/>
          <w:color w:val="000000"/>
          <w:kern w:val="0"/>
          <w:lang w:eastAsia="en-GB"/>
          <w14:ligatures w14:val="none"/>
        </w:rPr>
        <w:t xml:space="preserve"> Journal of Integrated Community Health</w:t>
      </w:r>
      <w:r w:rsidRPr="00CF4ED8">
        <w:rPr>
          <w:rFonts w:ascii="Arial" w:eastAsia="Times New Roman" w:hAnsi="Arial" w:cs="Arial"/>
          <w:color w:val="000000"/>
          <w:kern w:val="0"/>
          <w:lang w:eastAsia="en-GB"/>
          <w14:ligatures w14:val="none"/>
        </w:rPr>
        <w:t>, 10(1), pp. 6-10. Available at: https://doi.org/10.24321/2319.9113.202101 </w:t>
      </w:r>
    </w:p>
    <w:p w14:paraId="1941516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9DB958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McNeish, D.M. and Stapleton, L.M. (2014) ‘The Effect of Small Sample Size on Two-Level Model Estimates: A Review and Illustration’, </w:t>
      </w:r>
      <w:r w:rsidRPr="00CF4ED8">
        <w:rPr>
          <w:rFonts w:ascii="Arial" w:eastAsia="Times New Roman" w:hAnsi="Arial" w:cs="Arial"/>
          <w:i/>
          <w:iCs/>
          <w:color w:val="000000"/>
          <w:kern w:val="0"/>
          <w:lang w:eastAsia="en-GB"/>
          <w14:ligatures w14:val="none"/>
        </w:rPr>
        <w:t>Educational Psychology Review</w:t>
      </w:r>
      <w:r w:rsidRPr="00CF4ED8">
        <w:rPr>
          <w:rFonts w:ascii="Arial" w:eastAsia="Times New Roman" w:hAnsi="Arial" w:cs="Arial"/>
          <w:color w:val="000000"/>
          <w:kern w:val="0"/>
          <w:lang w:eastAsia="en-GB"/>
          <w14:ligatures w14:val="none"/>
        </w:rPr>
        <w:t>, 28, pp. 295-314. Available at: https://doi.org/10.1007/s10648-014-9287-x</w:t>
      </w:r>
    </w:p>
    <w:p w14:paraId="780565F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224A40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Me First (2026) </w:t>
      </w:r>
      <w:r w:rsidRPr="00CF4ED8">
        <w:rPr>
          <w:rFonts w:ascii="Arial" w:eastAsia="Times New Roman" w:hAnsi="Arial" w:cs="Arial"/>
          <w:i/>
          <w:iCs/>
          <w:color w:val="000000"/>
          <w:kern w:val="0"/>
          <w:lang w:eastAsia="en-GB"/>
          <w14:ligatures w14:val="none"/>
        </w:rPr>
        <w:t>Roger Hart’s Ladder of Children’s Participation.</w:t>
      </w:r>
      <w:r w:rsidRPr="00CF4ED8">
        <w:rPr>
          <w:rFonts w:ascii="Arial" w:eastAsia="Times New Roman" w:hAnsi="Arial" w:cs="Arial"/>
          <w:color w:val="000000"/>
          <w:kern w:val="0"/>
          <w:lang w:eastAsia="en-GB"/>
          <w14:ligatures w14:val="none"/>
        </w:rPr>
        <w:t xml:space="preserve"> Available at: https://www.mefirst.org.uk/resource/arnsteins-ladder-of-participation/ (Accessed: 20 April 2026). </w:t>
      </w:r>
    </w:p>
    <w:p w14:paraId="52B61D93"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2F99799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Mertova, P. and Webster, L. (2020) </w:t>
      </w:r>
      <w:r w:rsidRPr="00CF4ED8">
        <w:rPr>
          <w:rFonts w:ascii="Arial" w:eastAsia="Times New Roman" w:hAnsi="Arial" w:cs="Arial"/>
          <w:i/>
          <w:iCs/>
          <w:color w:val="000000"/>
          <w:kern w:val="0"/>
          <w:lang w:eastAsia="en-GB"/>
          <w14:ligatures w14:val="none"/>
        </w:rPr>
        <w:t xml:space="preserve">Using Narrative Inquiry as a Research Method: An Introduction to Critical Event Narrative Analysis in Research, Teaching and Professional Practice. </w:t>
      </w:r>
      <w:r w:rsidRPr="00CF4ED8">
        <w:rPr>
          <w:rFonts w:ascii="Arial" w:eastAsia="Times New Roman" w:hAnsi="Arial" w:cs="Arial"/>
          <w:color w:val="000000"/>
          <w:kern w:val="0"/>
          <w:lang w:eastAsia="en-GB"/>
          <w14:ligatures w14:val="none"/>
        </w:rPr>
        <w:t>2nd edn. Routledge. </w:t>
      </w:r>
    </w:p>
    <w:p w14:paraId="2DDAFAB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4D0017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Murairwa, S. (2015) ‘Voluntary Sampling Design’, </w:t>
      </w:r>
      <w:r w:rsidRPr="00CF4ED8">
        <w:rPr>
          <w:rFonts w:ascii="Arial" w:eastAsia="Times New Roman" w:hAnsi="Arial" w:cs="Arial"/>
          <w:i/>
          <w:iCs/>
          <w:color w:val="000000"/>
          <w:kern w:val="0"/>
          <w:lang w:eastAsia="en-GB"/>
          <w14:ligatures w14:val="none"/>
        </w:rPr>
        <w:t>International Journal of Advanced Research in Management and Social Sciences</w:t>
      </w:r>
      <w:r w:rsidRPr="00CF4ED8">
        <w:rPr>
          <w:rFonts w:ascii="Arial" w:eastAsia="Times New Roman" w:hAnsi="Arial" w:cs="Arial"/>
          <w:color w:val="000000"/>
          <w:kern w:val="0"/>
          <w:lang w:eastAsia="en-GB"/>
          <w14:ligatures w14:val="none"/>
        </w:rPr>
        <w:t>, 4(2), pp. 185-200. Available at: https://www.researchgate.net/publication/340000298_VOLUNTARY_SAMPLING_DESIGN (Accessed: 22 April 2026). </w:t>
      </w:r>
    </w:p>
    <w:p w14:paraId="7AD3F4C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3063A23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roofErr w:type="spellStart"/>
      <w:r w:rsidRPr="00CF4ED8">
        <w:rPr>
          <w:rFonts w:ascii="Arial" w:eastAsia="Times New Roman" w:hAnsi="Arial" w:cs="Arial"/>
          <w:color w:val="000000"/>
          <w:kern w:val="0"/>
          <w:lang w:eastAsia="en-GB"/>
          <w14:ligatures w14:val="none"/>
        </w:rPr>
        <w:t>Murno</w:t>
      </w:r>
      <w:proofErr w:type="spellEnd"/>
      <w:r w:rsidRPr="00CF4ED8">
        <w:rPr>
          <w:rFonts w:ascii="Arial" w:eastAsia="Times New Roman" w:hAnsi="Arial" w:cs="Arial"/>
          <w:color w:val="000000"/>
          <w:kern w:val="0"/>
          <w:lang w:eastAsia="en-GB"/>
          <w14:ligatures w14:val="none"/>
        </w:rPr>
        <w:t xml:space="preserve">, A.K., Hunter, E.C., Hossain, S.Z. and Keep, M. (2021) ‘A systematic review of the menstrual experiences of university students and the impacts on their education: A global perspective’, </w:t>
      </w:r>
      <w:r w:rsidRPr="00CF4ED8">
        <w:rPr>
          <w:rFonts w:ascii="Arial" w:eastAsia="Times New Roman" w:hAnsi="Arial" w:cs="Arial"/>
          <w:i/>
          <w:iCs/>
          <w:color w:val="000000"/>
          <w:kern w:val="0"/>
          <w:lang w:eastAsia="en-GB"/>
          <w14:ligatures w14:val="none"/>
        </w:rPr>
        <w:t>PLoS One</w:t>
      </w:r>
      <w:r w:rsidRPr="00CF4ED8">
        <w:rPr>
          <w:rFonts w:ascii="Arial" w:eastAsia="Times New Roman" w:hAnsi="Arial" w:cs="Arial"/>
          <w:color w:val="000000"/>
          <w:kern w:val="0"/>
          <w:lang w:eastAsia="en-GB"/>
          <w14:ligatures w14:val="none"/>
        </w:rPr>
        <w:t>. Available at: https://doi.org/10.1371/journal.pone.0257333 </w:t>
      </w:r>
    </w:p>
    <w:p w14:paraId="7952B294"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7499C41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Mwita, K. (2024) ‘Factors to consider when choosing data collection methods’, </w:t>
      </w:r>
      <w:r w:rsidRPr="00CF4ED8">
        <w:rPr>
          <w:rFonts w:ascii="Arial" w:eastAsia="Times New Roman" w:hAnsi="Arial" w:cs="Arial"/>
          <w:i/>
          <w:iCs/>
          <w:color w:val="000000"/>
          <w:kern w:val="0"/>
          <w:lang w:eastAsia="en-GB"/>
          <w14:ligatures w14:val="none"/>
        </w:rPr>
        <w:t>Research in Business &amp; Social Science</w:t>
      </w:r>
      <w:r w:rsidRPr="00CF4ED8">
        <w:rPr>
          <w:rFonts w:ascii="Arial" w:eastAsia="Times New Roman" w:hAnsi="Arial" w:cs="Arial"/>
          <w:color w:val="000000"/>
          <w:kern w:val="0"/>
          <w:lang w:eastAsia="en-GB"/>
          <w14:ligatures w14:val="none"/>
        </w:rPr>
        <w:t>, 11(5), pp. 532-538. Available at: https://papers.ssrn.com/sol3/papers.cfm?abstract_id=4880486 (Accessed: 19 April 2026). </w:t>
      </w:r>
    </w:p>
    <w:p w14:paraId="4A05593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4A3B5962"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Naderifar, M., Goli, H. and Ghaljaie, F. (2017) ‘Snowball Sampling: A Purposeful Method of Sampling in Qualitative Research’, </w:t>
      </w:r>
      <w:r w:rsidRPr="00CF4ED8">
        <w:rPr>
          <w:rFonts w:ascii="Arial" w:eastAsia="Times New Roman" w:hAnsi="Arial" w:cs="Arial"/>
          <w:i/>
          <w:iCs/>
          <w:color w:val="000000"/>
          <w:kern w:val="0"/>
          <w:lang w:eastAsia="en-GB"/>
          <w14:ligatures w14:val="none"/>
        </w:rPr>
        <w:t>Strides in Development of Medical Education</w:t>
      </w:r>
      <w:r w:rsidRPr="00CF4ED8">
        <w:rPr>
          <w:rFonts w:ascii="Arial" w:eastAsia="Times New Roman" w:hAnsi="Arial" w:cs="Arial"/>
          <w:color w:val="000000"/>
          <w:kern w:val="0"/>
          <w:lang w:eastAsia="en-GB"/>
          <w14:ligatures w14:val="none"/>
        </w:rPr>
        <w:t>, 14(3). Available at: https://www.researchgate.net/publication/324590206_Snowball_Sampling_A_Purposeful_Method_of_Sampling_in_Qualitative_Research (Accessed: 3 April 2026). </w:t>
      </w:r>
    </w:p>
    <w:p w14:paraId="61E0E15C"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B3281AF"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NSPCC (2023) </w:t>
      </w:r>
      <w:r w:rsidRPr="00CF4ED8">
        <w:rPr>
          <w:rFonts w:ascii="Arial" w:eastAsia="Times New Roman" w:hAnsi="Arial" w:cs="Arial"/>
          <w:i/>
          <w:iCs/>
          <w:color w:val="000000"/>
          <w:kern w:val="0"/>
          <w:lang w:eastAsia="en-GB"/>
          <w14:ligatures w14:val="none"/>
        </w:rPr>
        <w:t>Research with children: ethics, safety and promoting inclusion</w:t>
      </w:r>
      <w:r w:rsidRPr="00CF4ED8">
        <w:rPr>
          <w:rFonts w:ascii="Arial" w:eastAsia="Times New Roman" w:hAnsi="Arial" w:cs="Arial"/>
          <w:color w:val="000000"/>
          <w:kern w:val="0"/>
          <w:lang w:eastAsia="en-GB"/>
          <w14:ligatures w14:val="none"/>
        </w:rPr>
        <w:t>. Available at: https://learning.nspcc.org.uk/research-resources/briefings/research-with-children-ethics-safety-promoting-inclusion (Accessed: 20 April 2026). </w:t>
      </w:r>
    </w:p>
    <w:p w14:paraId="2BA5C255"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11D13B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Ntinda, K. (2018) ‘Narrative Research’, in P. Liamputtong (ed) </w:t>
      </w:r>
      <w:r w:rsidRPr="00CF4ED8">
        <w:rPr>
          <w:rFonts w:ascii="Arial" w:eastAsia="Times New Roman" w:hAnsi="Arial" w:cs="Arial"/>
          <w:i/>
          <w:iCs/>
          <w:color w:val="000000"/>
          <w:kern w:val="0"/>
          <w:lang w:eastAsia="en-GB"/>
          <w14:ligatures w14:val="none"/>
        </w:rPr>
        <w:t>Handbook of Research Methods in Health Social Sciences.</w:t>
      </w:r>
      <w:r w:rsidRPr="00CF4ED8">
        <w:rPr>
          <w:rFonts w:ascii="Arial" w:eastAsia="Times New Roman" w:hAnsi="Arial" w:cs="Arial"/>
          <w:color w:val="000000"/>
          <w:kern w:val="0"/>
          <w:lang w:eastAsia="en-GB"/>
          <w14:ligatures w14:val="none"/>
        </w:rPr>
        <w:t xml:space="preserve"> Springer, pp. 1-13. </w:t>
      </w:r>
    </w:p>
    <w:p w14:paraId="238A2F5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74710F9"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Rahman, M. (2023) ‘Sample Size Determination for Survey Research and Non-Probability Sampling Techniques: A Review and Set of Recommendations’, </w:t>
      </w:r>
      <w:r w:rsidRPr="00CF4ED8">
        <w:rPr>
          <w:rFonts w:ascii="Arial" w:eastAsia="Times New Roman" w:hAnsi="Arial" w:cs="Arial"/>
          <w:i/>
          <w:iCs/>
          <w:color w:val="000000"/>
          <w:kern w:val="0"/>
          <w:lang w:eastAsia="en-GB"/>
          <w14:ligatures w14:val="none"/>
        </w:rPr>
        <w:t>Journal of Entrepreneurship, Business and Economics</w:t>
      </w:r>
      <w:r w:rsidRPr="00CF4ED8">
        <w:rPr>
          <w:rFonts w:ascii="Arial" w:eastAsia="Times New Roman" w:hAnsi="Arial" w:cs="Arial"/>
          <w:color w:val="000000"/>
          <w:kern w:val="0"/>
          <w:lang w:eastAsia="en-GB"/>
          <w14:ligatures w14:val="none"/>
        </w:rPr>
        <w:t>, 11(1), pp. 42-62. Available at: https://www.researchgate.net/publication/368287070_Sample_Size_Determination_for_Survey_Research_and_Non-Probability_Sampling_Techniques_A_Review_and_Set_of_Recommendations (Accessed: 22 April 2026). </w:t>
      </w:r>
    </w:p>
    <w:p w14:paraId="4C62D74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6EAA3A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Raney, E.C. (2024) ‘Menstrual health matters. Period’, </w:t>
      </w:r>
      <w:r w:rsidRPr="00CF4ED8">
        <w:rPr>
          <w:rFonts w:ascii="Arial" w:eastAsia="Times New Roman" w:hAnsi="Arial" w:cs="Arial"/>
          <w:i/>
          <w:iCs/>
          <w:color w:val="000000"/>
          <w:kern w:val="0"/>
          <w:lang w:eastAsia="en-GB"/>
          <w14:ligatures w14:val="none"/>
        </w:rPr>
        <w:t>Journal of the American Pharmacists Association</w:t>
      </w:r>
      <w:r w:rsidRPr="00CF4ED8">
        <w:rPr>
          <w:rFonts w:ascii="Arial" w:eastAsia="Times New Roman" w:hAnsi="Arial" w:cs="Arial"/>
          <w:color w:val="000000"/>
          <w:kern w:val="0"/>
          <w:lang w:eastAsia="en-GB"/>
          <w14:ligatures w14:val="none"/>
        </w:rPr>
        <w:t>, 64(1), pp. 222-225. Available at: https://doi.org/10.1016/j.japh.2023.11.004 </w:t>
      </w:r>
    </w:p>
    <w:p w14:paraId="7296039A"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00153066"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Rehman, A.A. and Alharthi, K. (2016) ‘An Introduction to Research Paradigms’,</w:t>
      </w:r>
      <w:r w:rsidRPr="00CF4ED8">
        <w:rPr>
          <w:rFonts w:ascii="Arial" w:eastAsia="Times New Roman" w:hAnsi="Arial" w:cs="Arial"/>
          <w:i/>
          <w:iCs/>
          <w:color w:val="000000"/>
          <w:kern w:val="0"/>
          <w:lang w:eastAsia="en-GB"/>
          <w14:ligatures w14:val="none"/>
        </w:rPr>
        <w:t xml:space="preserve"> International Journal of Educational Investigations,</w:t>
      </w:r>
      <w:r w:rsidRPr="00CF4ED8">
        <w:rPr>
          <w:rFonts w:ascii="Arial" w:eastAsia="Times New Roman" w:hAnsi="Arial" w:cs="Arial"/>
          <w:color w:val="000000"/>
          <w:kern w:val="0"/>
          <w:lang w:eastAsia="en-GB"/>
          <w14:ligatures w14:val="none"/>
        </w:rPr>
        <w:t xml:space="preserve"> 3(8), pp. 51-59. Available at: https://www.researchgate.net/publication/325022648_An_introduction_to_research_paradigms (Accessed: 19 April 2026). </w:t>
      </w:r>
    </w:p>
    <w:p w14:paraId="47EE5980"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DEC4FEE"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Roberts, T-A., Goldenberg, J.L., Power, C. and Pyszynski, T. (2002) ‘“Feminine Protection”: The Effects of Menstruation on Attitudes Towards Women’, </w:t>
      </w:r>
      <w:r w:rsidRPr="00CF4ED8">
        <w:rPr>
          <w:rFonts w:ascii="Arial" w:eastAsia="Times New Roman" w:hAnsi="Arial" w:cs="Arial"/>
          <w:i/>
          <w:iCs/>
          <w:color w:val="000000"/>
          <w:kern w:val="0"/>
          <w:lang w:eastAsia="en-GB"/>
          <w14:ligatures w14:val="none"/>
        </w:rPr>
        <w:t>Psychology of Women Quarterly</w:t>
      </w:r>
      <w:r w:rsidRPr="00CF4ED8">
        <w:rPr>
          <w:rFonts w:ascii="Arial" w:eastAsia="Times New Roman" w:hAnsi="Arial" w:cs="Arial"/>
          <w:color w:val="000000"/>
          <w:kern w:val="0"/>
          <w:lang w:eastAsia="en-GB"/>
          <w14:ligatures w14:val="none"/>
        </w:rPr>
        <w:t>, 26(2). Available at: https://doi.org/10.1111/1471-6402.00051 </w:t>
      </w:r>
    </w:p>
    <w:p w14:paraId="0DC32911"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30B2F38"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lastRenderedPageBreak/>
        <w:t xml:space="preserve">Rowlands, M. (2021) </w:t>
      </w:r>
      <w:r w:rsidRPr="00CF4ED8">
        <w:rPr>
          <w:rFonts w:ascii="Arial" w:eastAsia="Times New Roman" w:hAnsi="Arial" w:cs="Arial"/>
          <w:i/>
          <w:iCs/>
          <w:color w:val="000000"/>
          <w:kern w:val="0"/>
          <w:lang w:eastAsia="en-GB"/>
          <w14:ligatures w14:val="none"/>
        </w:rPr>
        <w:t xml:space="preserve">Curriculum for Wales guidance and code for Relationships and Sexuality Education (RSE). </w:t>
      </w:r>
      <w:r w:rsidRPr="00CF4ED8">
        <w:rPr>
          <w:rFonts w:ascii="Arial" w:eastAsia="Times New Roman" w:hAnsi="Arial" w:cs="Arial"/>
          <w:color w:val="000000"/>
          <w:kern w:val="0"/>
          <w:lang w:eastAsia="en-GB"/>
          <w14:ligatures w14:val="none"/>
        </w:rPr>
        <w:t>Available at: https://www.estyn.gov.wales/system/files/2021-11/Curriculum%20for%20Wales%20guidance%20and%20code%20for%20Relationships%20and%20Sexuality%20Education%20%28RSE%29.pdf (Accessed: 21 April 2026). </w:t>
      </w:r>
    </w:p>
    <w:p w14:paraId="2F1F3A1B" w14:textId="77777777" w:rsidR="00A90CB2" w:rsidRPr="00CF4ED8" w:rsidRDefault="00A90CB2" w:rsidP="00CF4ED8">
      <w:pPr>
        <w:spacing w:after="0" w:line="240" w:lineRule="auto"/>
        <w:ind w:hanging="284"/>
        <w:rPr>
          <w:rFonts w:ascii="Arial" w:eastAsia="Times New Roman" w:hAnsi="Arial" w:cs="Arial"/>
          <w:kern w:val="0"/>
          <w:lang w:eastAsia="en-GB"/>
          <w14:ligatures w14:val="none"/>
        </w:rPr>
      </w:pPr>
    </w:p>
    <w:p w14:paraId="13C054F9" w14:textId="77777777" w:rsid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Welsh Government (2022) </w:t>
      </w:r>
      <w:r w:rsidRPr="00CF4ED8">
        <w:rPr>
          <w:rFonts w:ascii="Arial" w:eastAsia="Times New Roman" w:hAnsi="Arial" w:cs="Arial"/>
          <w:i/>
          <w:iCs/>
          <w:color w:val="000000"/>
          <w:kern w:val="0"/>
          <w:lang w:eastAsia="en-GB"/>
          <w14:ligatures w14:val="none"/>
        </w:rPr>
        <w:t xml:space="preserve">Curriculum for Wales: Relationships and Sexuality Education (RSE) Code. </w:t>
      </w:r>
      <w:r w:rsidRPr="00CF4ED8">
        <w:rPr>
          <w:rFonts w:ascii="Arial" w:eastAsia="Times New Roman" w:hAnsi="Arial" w:cs="Arial"/>
          <w:color w:val="000000"/>
          <w:kern w:val="0"/>
          <w:lang w:eastAsia="en-GB"/>
          <w14:ligatures w14:val="none"/>
        </w:rPr>
        <w:t>Available at: https://www.gov.wales/curriculum-wales-relationships-and-sexuality-education-rse-code (Accessed: 21 April 2026). </w:t>
      </w:r>
      <w:r w:rsidR="00CF4ED8">
        <w:rPr>
          <w:rFonts w:ascii="Arial" w:eastAsia="Times New Roman" w:hAnsi="Arial" w:cs="Arial"/>
          <w:kern w:val="0"/>
          <w:lang w:eastAsia="en-GB"/>
          <w14:ligatures w14:val="none"/>
        </w:rPr>
        <w:t xml:space="preserve"> </w:t>
      </w:r>
    </w:p>
    <w:p w14:paraId="18548526" w14:textId="77777777" w:rsidR="00CF4ED8" w:rsidRDefault="00CF4ED8" w:rsidP="00CF4ED8">
      <w:pPr>
        <w:spacing w:after="0" w:line="240" w:lineRule="auto"/>
        <w:ind w:hanging="284"/>
        <w:rPr>
          <w:rFonts w:ascii="Arial" w:eastAsia="Times New Roman" w:hAnsi="Arial" w:cs="Arial"/>
          <w:kern w:val="0"/>
          <w:lang w:eastAsia="en-GB"/>
          <w14:ligatures w14:val="none"/>
        </w:rPr>
      </w:pPr>
    </w:p>
    <w:p w14:paraId="18900C98" w14:textId="54889F4F" w:rsidR="00A90CB2" w:rsidRPr="00CF4ED8" w:rsidRDefault="00A90CB2" w:rsidP="00CF4ED8">
      <w:pPr>
        <w:spacing w:after="0" w:line="240" w:lineRule="auto"/>
        <w:ind w:hanging="284"/>
        <w:rPr>
          <w:rFonts w:ascii="Arial" w:eastAsia="Times New Roman" w:hAnsi="Arial" w:cs="Arial"/>
          <w:kern w:val="0"/>
          <w:lang w:eastAsia="en-GB"/>
          <w14:ligatures w14:val="none"/>
        </w:rPr>
      </w:pPr>
      <w:r w:rsidRPr="00CF4ED8">
        <w:rPr>
          <w:rFonts w:ascii="Arial" w:eastAsia="Times New Roman" w:hAnsi="Arial" w:cs="Arial"/>
          <w:color w:val="000000"/>
          <w:kern w:val="0"/>
          <w:lang w:eastAsia="en-GB"/>
          <w14:ligatures w14:val="none"/>
        </w:rPr>
        <w:t xml:space="preserve">World Health Organisation (2022) </w:t>
      </w:r>
      <w:r w:rsidRPr="00CF4ED8">
        <w:rPr>
          <w:rFonts w:ascii="Arial" w:eastAsia="Times New Roman" w:hAnsi="Arial" w:cs="Arial"/>
          <w:i/>
          <w:iCs/>
          <w:color w:val="000000"/>
          <w:kern w:val="0"/>
          <w:lang w:eastAsia="en-GB"/>
          <w14:ligatures w14:val="none"/>
        </w:rPr>
        <w:t>WHO statement on menstrual health and rights.</w:t>
      </w:r>
      <w:r w:rsidRPr="00CF4ED8">
        <w:rPr>
          <w:rFonts w:ascii="Arial" w:eastAsia="Times New Roman" w:hAnsi="Arial" w:cs="Arial"/>
          <w:color w:val="000000"/>
          <w:kern w:val="0"/>
          <w:lang w:eastAsia="en-GB"/>
          <w14:ligatures w14:val="none"/>
        </w:rPr>
        <w:t xml:space="preserve"> Available at: https://www.who.int/news/item/22-06-2022-who-statement-on-menstrual-health-and-rights (Accessed: 22 April 2026).</w:t>
      </w:r>
    </w:p>
    <w:p w14:paraId="2EE4B4DA" w14:textId="77777777" w:rsidR="00A77AE3" w:rsidRPr="00CF4ED8" w:rsidRDefault="00A77AE3" w:rsidP="007C1EB6">
      <w:pPr>
        <w:rPr>
          <w:rFonts w:ascii="Arial" w:hAnsi="Arial" w:cs="Arial"/>
        </w:rPr>
      </w:pPr>
    </w:p>
    <w:sectPr w:rsidR="00A77AE3" w:rsidRPr="00CF4ED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35F9C" w14:textId="77777777" w:rsidR="004864C4" w:rsidRDefault="004864C4" w:rsidP="006D6890">
      <w:pPr>
        <w:spacing w:after="0" w:line="240" w:lineRule="auto"/>
      </w:pPr>
      <w:r>
        <w:separator/>
      </w:r>
    </w:p>
  </w:endnote>
  <w:endnote w:type="continuationSeparator" w:id="0">
    <w:p w14:paraId="357BD9E1" w14:textId="77777777" w:rsidR="004864C4" w:rsidRDefault="004864C4" w:rsidP="006D6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389481"/>
      <w:docPartObj>
        <w:docPartGallery w:val="Page Numbers (Bottom of Page)"/>
        <w:docPartUnique/>
      </w:docPartObj>
    </w:sdtPr>
    <w:sdtEndPr>
      <w:rPr>
        <w:noProof/>
      </w:rPr>
    </w:sdtEndPr>
    <w:sdtContent>
      <w:p w14:paraId="3E0C20AC" w14:textId="3D2AEF97" w:rsidR="006D6890" w:rsidRDefault="006D68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7D0819" w14:textId="77777777" w:rsidR="006D6890" w:rsidRDefault="006D6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AC9F" w14:textId="77777777" w:rsidR="004864C4" w:rsidRDefault="004864C4" w:rsidP="006D6890">
      <w:pPr>
        <w:spacing w:after="0" w:line="240" w:lineRule="auto"/>
      </w:pPr>
      <w:r>
        <w:separator/>
      </w:r>
    </w:p>
  </w:footnote>
  <w:footnote w:type="continuationSeparator" w:id="0">
    <w:p w14:paraId="5A1806AE" w14:textId="77777777" w:rsidR="004864C4" w:rsidRDefault="004864C4" w:rsidP="006D6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83CA" w14:textId="51A163DC" w:rsidR="006D6890" w:rsidRPr="00B30BFC" w:rsidRDefault="006D6890">
    <w:pPr>
      <w:pStyle w:val="Header"/>
      <w:rPr>
        <w:rFonts w:ascii="Arial" w:hAnsi="Arial" w:cs="Arial"/>
      </w:rPr>
    </w:pPr>
    <w:r w:rsidRPr="00B30BFC">
      <w:rPr>
        <w:rFonts w:ascii="Arial" w:hAnsi="Arial" w:cs="Arial"/>
      </w:rPr>
      <w:t>2200299</w:t>
    </w:r>
    <w:r w:rsidRPr="00B30BFC">
      <w:rPr>
        <w:rFonts w:ascii="Arial" w:hAnsi="Arial" w:cs="Arial"/>
      </w:rPr>
      <w:ptab w:relativeTo="margin" w:alignment="center" w:leader="none"/>
    </w:r>
    <w:r w:rsidRPr="00B30BFC">
      <w:rPr>
        <w:rFonts w:ascii="Arial" w:hAnsi="Arial" w:cs="Arial"/>
      </w:rPr>
      <w:t>ECGE700</w:t>
    </w:r>
    <w:r w:rsidR="00B30BFC" w:rsidRPr="00B30BFC">
      <w:rPr>
        <w:rFonts w:ascii="Arial" w:hAnsi="Arial" w:cs="Arial"/>
      </w:rPr>
      <w:t>8Q</w:t>
    </w:r>
    <w:r w:rsidRPr="00B30BFC">
      <w:rPr>
        <w:rFonts w:ascii="Arial" w:hAnsi="Arial" w:cs="Arial"/>
      </w:rPr>
      <w:ptab w:relativeTo="margin" w:alignment="right" w:leader="none"/>
    </w:r>
    <w:r w:rsidR="009B0CAF">
      <w:rPr>
        <w:rFonts w:ascii="Arial" w:hAnsi="Arial" w:cs="Arial"/>
      </w:rPr>
      <w:t>3,815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2195"/>
    <w:multiLevelType w:val="hybridMultilevel"/>
    <w:tmpl w:val="C5307862"/>
    <w:lvl w:ilvl="0" w:tplc="019062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6492B"/>
    <w:multiLevelType w:val="hybridMultilevel"/>
    <w:tmpl w:val="BCF217D8"/>
    <w:lvl w:ilvl="0" w:tplc="BA6C5B9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F1F76"/>
    <w:multiLevelType w:val="hybridMultilevel"/>
    <w:tmpl w:val="E53EF8AC"/>
    <w:lvl w:ilvl="0" w:tplc="B15807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23F85"/>
    <w:multiLevelType w:val="hybridMultilevel"/>
    <w:tmpl w:val="34283FD4"/>
    <w:lvl w:ilvl="0" w:tplc="DBB2DA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A6AB8"/>
    <w:multiLevelType w:val="hybridMultilevel"/>
    <w:tmpl w:val="78BAE04C"/>
    <w:lvl w:ilvl="0" w:tplc="7BDC1C34">
      <w:numFmt w:val="bullet"/>
      <w:lvlText w:val="-"/>
      <w:lvlJc w:val="left"/>
      <w:pPr>
        <w:ind w:left="720" w:hanging="360"/>
      </w:pPr>
      <w:rPr>
        <w:rFonts w:ascii="Calibri" w:eastAsiaTheme="minorHAnsi" w:hAnsi="Calibri" w:cs="Calibri"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48AD"/>
    <w:multiLevelType w:val="hybridMultilevel"/>
    <w:tmpl w:val="E2183086"/>
    <w:lvl w:ilvl="0" w:tplc="0DD892C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DC732B"/>
    <w:multiLevelType w:val="hybridMultilevel"/>
    <w:tmpl w:val="57C2FF30"/>
    <w:lvl w:ilvl="0" w:tplc="F4143D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F5EA0"/>
    <w:multiLevelType w:val="hybridMultilevel"/>
    <w:tmpl w:val="27FE885E"/>
    <w:lvl w:ilvl="0" w:tplc="609A66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43FA8"/>
    <w:multiLevelType w:val="hybridMultilevel"/>
    <w:tmpl w:val="6E4A7CA0"/>
    <w:lvl w:ilvl="0" w:tplc="16DEB29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33298A"/>
    <w:multiLevelType w:val="hybridMultilevel"/>
    <w:tmpl w:val="633A1A66"/>
    <w:lvl w:ilvl="0" w:tplc="F9CA73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35CBF"/>
    <w:multiLevelType w:val="hybridMultilevel"/>
    <w:tmpl w:val="EA2A11EC"/>
    <w:lvl w:ilvl="0" w:tplc="6BB8E0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605874"/>
    <w:multiLevelType w:val="hybridMultilevel"/>
    <w:tmpl w:val="9E4A2E10"/>
    <w:lvl w:ilvl="0" w:tplc="A4F864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A77A66"/>
    <w:multiLevelType w:val="hybridMultilevel"/>
    <w:tmpl w:val="2C3676FC"/>
    <w:lvl w:ilvl="0" w:tplc="B9242A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00C6F"/>
    <w:multiLevelType w:val="hybridMultilevel"/>
    <w:tmpl w:val="33F6CABA"/>
    <w:lvl w:ilvl="0" w:tplc="776022D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D201F8"/>
    <w:multiLevelType w:val="hybridMultilevel"/>
    <w:tmpl w:val="F01AB500"/>
    <w:lvl w:ilvl="0" w:tplc="41F81E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752031">
    <w:abstractNumId w:val="12"/>
  </w:num>
  <w:num w:numId="2" w16cid:durableId="946472148">
    <w:abstractNumId w:val="1"/>
  </w:num>
  <w:num w:numId="3" w16cid:durableId="1926914077">
    <w:abstractNumId w:val="10"/>
  </w:num>
  <w:num w:numId="4" w16cid:durableId="1399549962">
    <w:abstractNumId w:val="0"/>
  </w:num>
  <w:num w:numId="5" w16cid:durableId="756823568">
    <w:abstractNumId w:val="9"/>
  </w:num>
  <w:num w:numId="6" w16cid:durableId="1719627893">
    <w:abstractNumId w:val="8"/>
  </w:num>
  <w:num w:numId="7" w16cid:durableId="1304701174">
    <w:abstractNumId w:val="16"/>
  </w:num>
  <w:num w:numId="8" w16cid:durableId="842860880">
    <w:abstractNumId w:val="11"/>
  </w:num>
  <w:num w:numId="9" w16cid:durableId="2031905658">
    <w:abstractNumId w:val="6"/>
  </w:num>
  <w:num w:numId="10" w16cid:durableId="1876652618">
    <w:abstractNumId w:val="13"/>
  </w:num>
  <w:num w:numId="11" w16cid:durableId="1040281064">
    <w:abstractNumId w:val="7"/>
  </w:num>
  <w:num w:numId="12" w16cid:durableId="922956504">
    <w:abstractNumId w:val="4"/>
  </w:num>
  <w:num w:numId="13" w16cid:durableId="575674315">
    <w:abstractNumId w:val="3"/>
  </w:num>
  <w:num w:numId="14" w16cid:durableId="305404631">
    <w:abstractNumId w:val="14"/>
  </w:num>
  <w:num w:numId="15" w16cid:durableId="1785733954">
    <w:abstractNumId w:val="2"/>
  </w:num>
  <w:num w:numId="16" w16cid:durableId="461460810">
    <w:abstractNumId w:val="15"/>
  </w:num>
  <w:num w:numId="17" w16cid:durableId="1820263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B8"/>
    <w:rsid w:val="0000337A"/>
    <w:rsid w:val="000064A6"/>
    <w:rsid w:val="00007FAA"/>
    <w:rsid w:val="00011FD0"/>
    <w:rsid w:val="00012686"/>
    <w:rsid w:val="00013D24"/>
    <w:rsid w:val="00015D9F"/>
    <w:rsid w:val="000210B2"/>
    <w:rsid w:val="00025235"/>
    <w:rsid w:val="00026196"/>
    <w:rsid w:val="00026456"/>
    <w:rsid w:val="00026563"/>
    <w:rsid w:val="00027A21"/>
    <w:rsid w:val="0003056E"/>
    <w:rsid w:val="00031723"/>
    <w:rsid w:val="00032779"/>
    <w:rsid w:val="00035CF1"/>
    <w:rsid w:val="0003790B"/>
    <w:rsid w:val="00041F0C"/>
    <w:rsid w:val="000459C4"/>
    <w:rsid w:val="000524B0"/>
    <w:rsid w:val="00055CE7"/>
    <w:rsid w:val="00057B9A"/>
    <w:rsid w:val="00062FE3"/>
    <w:rsid w:val="00064282"/>
    <w:rsid w:val="00065139"/>
    <w:rsid w:val="00067FA6"/>
    <w:rsid w:val="00072AED"/>
    <w:rsid w:val="00073B4B"/>
    <w:rsid w:val="00074B2F"/>
    <w:rsid w:val="00076492"/>
    <w:rsid w:val="00076E52"/>
    <w:rsid w:val="0008110A"/>
    <w:rsid w:val="00082329"/>
    <w:rsid w:val="00084303"/>
    <w:rsid w:val="00085509"/>
    <w:rsid w:val="0009000F"/>
    <w:rsid w:val="00095380"/>
    <w:rsid w:val="000A02C2"/>
    <w:rsid w:val="000A3326"/>
    <w:rsid w:val="000A4F2C"/>
    <w:rsid w:val="000A6B05"/>
    <w:rsid w:val="000B2F12"/>
    <w:rsid w:val="000B358D"/>
    <w:rsid w:val="000B5E52"/>
    <w:rsid w:val="000B772E"/>
    <w:rsid w:val="000C0B3E"/>
    <w:rsid w:val="000C6762"/>
    <w:rsid w:val="000C7031"/>
    <w:rsid w:val="000D486A"/>
    <w:rsid w:val="000D4AC1"/>
    <w:rsid w:val="000D5164"/>
    <w:rsid w:val="000E02B4"/>
    <w:rsid w:val="000E1384"/>
    <w:rsid w:val="000E34AA"/>
    <w:rsid w:val="000E3FB5"/>
    <w:rsid w:val="000E5DE1"/>
    <w:rsid w:val="000E6F38"/>
    <w:rsid w:val="000F0A57"/>
    <w:rsid w:val="000F0F0F"/>
    <w:rsid w:val="000F1B32"/>
    <w:rsid w:val="000F69FD"/>
    <w:rsid w:val="00100FF4"/>
    <w:rsid w:val="00102E05"/>
    <w:rsid w:val="0010438E"/>
    <w:rsid w:val="001047D5"/>
    <w:rsid w:val="0011176B"/>
    <w:rsid w:val="00111A94"/>
    <w:rsid w:val="001147A9"/>
    <w:rsid w:val="00115639"/>
    <w:rsid w:val="001164DB"/>
    <w:rsid w:val="0012001E"/>
    <w:rsid w:val="00121030"/>
    <w:rsid w:val="001226E5"/>
    <w:rsid w:val="0012391F"/>
    <w:rsid w:val="00124768"/>
    <w:rsid w:val="00124AAF"/>
    <w:rsid w:val="00125D46"/>
    <w:rsid w:val="001332C1"/>
    <w:rsid w:val="00133B39"/>
    <w:rsid w:val="00135516"/>
    <w:rsid w:val="00135CE8"/>
    <w:rsid w:val="00140450"/>
    <w:rsid w:val="001411BB"/>
    <w:rsid w:val="00150192"/>
    <w:rsid w:val="0015038D"/>
    <w:rsid w:val="00150479"/>
    <w:rsid w:val="001536DC"/>
    <w:rsid w:val="001544D8"/>
    <w:rsid w:val="00155C83"/>
    <w:rsid w:val="00155E05"/>
    <w:rsid w:val="0015645B"/>
    <w:rsid w:val="001572DD"/>
    <w:rsid w:val="00161C02"/>
    <w:rsid w:val="00162356"/>
    <w:rsid w:val="00165D8B"/>
    <w:rsid w:val="00172BE3"/>
    <w:rsid w:val="00174DA3"/>
    <w:rsid w:val="001812C0"/>
    <w:rsid w:val="0019220E"/>
    <w:rsid w:val="001943FF"/>
    <w:rsid w:val="0019770B"/>
    <w:rsid w:val="00197ED2"/>
    <w:rsid w:val="001A7F59"/>
    <w:rsid w:val="001B3B69"/>
    <w:rsid w:val="001B53D6"/>
    <w:rsid w:val="001C0576"/>
    <w:rsid w:val="001C18B6"/>
    <w:rsid w:val="001C2BF8"/>
    <w:rsid w:val="001C3303"/>
    <w:rsid w:val="001C3C32"/>
    <w:rsid w:val="001C739B"/>
    <w:rsid w:val="001C767E"/>
    <w:rsid w:val="001D1123"/>
    <w:rsid w:val="001D24C0"/>
    <w:rsid w:val="001E06F9"/>
    <w:rsid w:val="001E35DD"/>
    <w:rsid w:val="001E67BE"/>
    <w:rsid w:val="001E774F"/>
    <w:rsid w:val="001F02D7"/>
    <w:rsid w:val="001F4D5E"/>
    <w:rsid w:val="002006DE"/>
    <w:rsid w:val="002015F2"/>
    <w:rsid w:val="00202328"/>
    <w:rsid w:val="0020259B"/>
    <w:rsid w:val="00202809"/>
    <w:rsid w:val="00202FC7"/>
    <w:rsid w:val="0020376C"/>
    <w:rsid w:val="00204C53"/>
    <w:rsid w:val="002063A9"/>
    <w:rsid w:val="00207285"/>
    <w:rsid w:val="00210159"/>
    <w:rsid w:val="00210C6A"/>
    <w:rsid w:val="0021304C"/>
    <w:rsid w:val="002143F1"/>
    <w:rsid w:val="00214C5C"/>
    <w:rsid w:val="00215EC0"/>
    <w:rsid w:val="002249F8"/>
    <w:rsid w:val="00224FBC"/>
    <w:rsid w:val="00225661"/>
    <w:rsid w:val="00226424"/>
    <w:rsid w:val="0023325F"/>
    <w:rsid w:val="002340BB"/>
    <w:rsid w:val="002402C5"/>
    <w:rsid w:val="00242577"/>
    <w:rsid w:val="002435B2"/>
    <w:rsid w:val="0024675A"/>
    <w:rsid w:val="00253A0B"/>
    <w:rsid w:val="00253FA3"/>
    <w:rsid w:val="002579BC"/>
    <w:rsid w:val="00257EEB"/>
    <w:rsid w:val="002605EB"/>
    <w:rsid w:val="0026130F"/>
    <w:rsid w:val="0026368A"/>
    <w:rsid w:val="0026693A"/>
    <w:rsid w:val="002709F1"/>
    <w:rsid w:val="00271000"/>
    <w:rsid w:val="00274E95"/>
    <w:rsid w:val="002826E4"/>
    <w:rsid w:val="002853DA"/>
    <w:rsid w:val="00286D1C"/>
    <w:rsid w:val="00286E44"/>
    <w:rsid w:val="00290F34"/>
    <w:rsid w:val="002959B3"/>
    <w:rsid w:val="002A028D"/>
    <w:rsid w:val="002A16FB"/>
    <w:rsid w:val="002A1EDF"/>
    <w:rsid w:val="002A5335"/>
    <w:rsid w:val="002C2A9F"/>
    <w:rsid w:val="002C3403"/>
    <w:rsid w:val="002C387B"/>
    <w:rsid w:val="002C3BDC"/>
    <w:rsid w:val="002C604F"/>
    <w:rsid w:val="002C74D8"/>
    <w:rsid w:val="002C7D65"/>
    <w:rsid w:val="002D33FE"/>
    <w:rsid w:val="002D7668"/>
    <w:rsid w:val="002E1CD2"/>
    <w:rsid w:val="002E2856"/>
    <w:rsid w:val="002E2EBF"/>
    <w:rsid w:val="002E5A4A"/>
    <w:rsid w:val="002E61AF"/>
    <w:rsid w:val="002F0A31"/>
    <w:rsid w:val="002F31A3"/>
    <w:rsid w:val="002F6FCC"/>
    <w:rsid w:val="002F727B"/>
    <w:rsid w:val="002F72D2"/>
    <w:rsid w:val="00302E06"/>
    <w:rsid w:val="00303F05"/>
    <w:rsid w:val="00307BE2"/>
    <w:rsid w:val="00314D77"/>
    <w:rsid w:val="00315E27"/>
    <w:rsid w:val="003171F9"/>
    <w:rsid w:val="00321ABF"/>
    <w:rsid w:val="0032641B"/>
    <w:rsid w:val="00331BAA"/>
    <w:rsid w:val="0033214B"/>
    <w:rsid w:val="00336F91"/>
    <w:rsid w:val="00341963"/>
    <w:rsid w:val="00342609"/>
    <w:rsid w:val="00342DDA"/>
    <w:rsid w:val="0034398A"/>
    <w:rsid w:val="003508C0"/>
    <w:rsid w:val="00350A80"/>
    <w:rsid w:val="003537F8"/>
    <w:rsid w:val="00353E1D"/>
    <w:rsid w:val="0036151A"/>
    <w:rsid w:val="00362E9B"/>
    <w:rsid w:val="00366CE2"/>
    <w:rsid w:val="0036724E"/>
    <w:rsid w:val="003754D9"/>
    <w:rsid w:val="003776FD"/>
    <w:rsid w:val="003832BF"/>
    <w:rsid w:val="00387640"/>
    <w:rsid w:val="00391749"/>
    <w:rsid w:val="00392DD0"/>
    <w:rsid w:val="003A01E6"/>
    <w:rsid w:val="003A5146"/>
    <w:rsid w:val="003B09CE"/>
    <w:rsid w:val="003B2027"/>
    <w:rsid w:val="003B64D3"/>
    <w:rsid w:val="003C1EFE"/>
    <w:rsid w:val="003C3034"/>
    <w:rsid w:val="003C3CDA"/>
    <w:rsid w:val="003C65C3"/>
    <w:rsid w:val="003D2CCB"/>
    <w:rsid w:val="003D47D2"/>
    <w:rsid w:val="003D772C"/>
    <w:rsid w:val="003E0FEC"/>
    <w:rsid w:val="003E1532"/>
    <w:rsid w:val="003E5347"/>
    <w:rsid w:val="003F6A2C"/>
    <w:rsid w:val="00404146"/>
    <w:rsid w:val="0040565B"/>
    <w:rsid w:val="004103F3"/>
    <w:rsid w:val="00410849"/>
    <w:rsid w:val="004109B3"/>
    <w:rsid w:val="00414AB3"/>
    <w:rsid w:val="00414C2A"/>
    <w:rsid w:val="00415221"/>
    <w:rsid w:val="004168C4"/>
    <w:rsid w:val="00417DCF"/>
    <w:rsid w:val="00420251"/>
    <w:rsid w:val="00421EE5"/>
    <w:rsid w:val="004345E5"/>
    <w:rsid w:val="004402A3"/>
    <w:rsid w:val="004408C3"/>
    <w:rsid w:val="004441F4"/>
    <w:rsid w:val="00444677"/>
    <w:rsid w:val="00445B64"/>
    <w:rsid w:val="00450810"/>
    <w:rsid w:val="0045415C"/>
    <w:rsid w:val="0046037B"/>
    <w:rsid w:val="0046041F"/>
    <w:rsid w:val="00461BD4"/>
    <w:rsid w:val="00461E1A"/>
    <w:rsid w:val="00462A4F"/>
    <w:rsid w:val="00462DB5"/>
    <w:rsid w:val="00463252"/>
    <w:rsid w:val="0046628D"/>
    <w:rsid w:val="0046742A"/>
    <w:rsid w:val="00467917"/>
    <w:rsid w:val="00467E62"/>
    <w:rsid w:val="004702BF"/>
    <w:rsid w:val="00474094"/>
    <w:rsid w:val="00474905"/>
    <w:rsid w:val="0047558C"/>
    <w:rsid w:val="00475815"/>
    <w:rsid w:val="00476B78"/>
    <w:rsid w:val="00480523"/>
    <w:rsid w:val="004835AC"/>
    <w:rsid w:val="004864C4"/>
    <w:rsid w:val="004865A9"/>
    <w:rsid w:val="00487705"/>
    <w:rsid w:val="00490258"/>
    <w:rsid w:val="00490900"/>
    <w:rsid w:val="00491615"/>
    <w:rsid w:val="00493CC7"/>
    <w:rsid w:val="004A2EC0"/>
    <w:rsid w:val="004A3E83"/>
    <w:rsid w:val="004A4E15"/>
    <w:rsid w:val="004A4E18"/>
    <w:rsid w:val="004B2774"/>
    <w:rsid w:val="004B4C81"/>
    <w:rsid w:val="004C2483"/>
    <w:rsid w:val="004C787E"/>
    <w:rsid w:val="004C7BB1"/>
    <w:rsid w:val="004C7DB6"/>
    <w:rsid w:val="004D02EB"/>
    <w:rsid w:val="004D0A55"/>
    <w:rsid w:val="004D26BA"/>
    <w:rsid w:val="004D2B9E"/>
    <w:rsid w:val="004D4D9B"/>
    <w:rsid w:val="004D5913"/>
    <w:rsid w:val="004D703E"/>
    <w:rsid w:val="004E2C94"/>
    <w:rsid w:val="004E36C2"/>
    <w:rsid w:val="004E4AA7"/>
    <w:rsid w:val="004F1541"/>
    <w:rsid w:val="005020FC"/>
    <w:rsid w:val="005023FC"/>
    <w:rsid w:val="005032CC"/>
    <w:rsid w:val="0050378B"/>
    <w:rsid w:val="00507615"/>
    <w:rsid w:val="00511116"/>
    <w:rsid w:val="00521475"/>
    <w:rsid w:val="00522CA3"/>
    <w:rsid w:val="00523E26"/>
    <w:rsid w:val="0052699B"/>
    <w:rsid w:val="0052782B"/>
    <w:rsid w:val="005309E8"/>
    <w:rsid w:val="00531D57"/>
    <w:rsid w:val="00531D82"/>
    <w:rsid w:val="0053360C"/>
    <w:rsid w:val="0053500D"/>
    <w:rsid w:val="00535547"/>
    <w:rsid w:val="005402BE"/>
    <w:rsid w:val="00541E1C"/>
    <w:rsid w:val="00543AA6"/>
    <w:rsid w:val="00544AE2"/>
    <w:rsid w:val="005455F6"/>
    <w:rsid w:val="005518BE"/>
    <w:rsid w:val="005527BF"/>
    <w:rsid w:val="00552D2A"/>
    <w:rsid w:val="005551D6"/>
    <w:rsid w:val="005551E9"/>
    <w:rsid w:val="005573C9"/>
    <w:rsid w:val="005648CE"/>
    <w:rsid w:val="00565690"/>
    <w:rsid w:val="00567A92"/>
    <w:rsid w:val="0057142E"/>
    <w:rsid w:val="00574246"/>
    <w:rsid w:val="00575CB7"/>
    <w:rsid w:val="00576884"/>
    <w:rsid w:val="00577754"/>
    <w:rsid w:val="005828A6"/>
    <w:rsid w:val="00583902"/>
    <w:rsid w:val="0058541B"/>
    <w:rsid w:val="00592265"/>
    <w:rsid w:val="00595456"/>
    <w:rsid w:val="00597AC4"/>
    <w:rsid w:val="005A08AF"/>
    <w:rsid w:val="005A0CF1"/>
    <w:rsid w:val="005A2F0F"/>
    <w:rsid w:val="005A4B6D"/>
    <w:rsid w:val="005B05F2"/>
    <w:rsid w:val="005B0CEE"/>
    <w:rsid w:val="005B35FC"/>
    <w:rsid w:val="005B4240"/>
    <w:rsid w:val="005B68D2"/>
    <w:rsid w:val="005B69CB"/>
    <w:rsid w:val="005C2327"/>
    <w:rsid w:val="005C235F"/>
    <w:rsid w:val="005C31D8"/>
    <w:rsid w:val="005C3291"/>
    <w:rsid w:val="005C443D"/>
    <w:rsid w:val="005C71E5"/>
    <w:rsid w:val="005D085C"/>
    <w:rsid w:val="005D0E0B"/>
    <w:rsid w:val="005D13A3"/>
    <w:rsid w:val="005D316A"/>
    <w:rsid w:val="005D4829"/>
    <w:rsid w:val="005D530C"/>
    <w:rsid w:val="005D6CCC"/>
    <w:rsid w:val="005E6EDB"/>
    <w:rsid w:val="005E73BC"/>
    <w:rsid w:val="005F4B7E"/>
    <w:rsid w:val="005F705B"/>
    <w:rsid w:val="006001FA"/>
    <w:rsid w:val="00601A33"/>
    <w:rsid w:val="00603EFE"/>
    <w:rsid w:val="00610D14"/>
    <w:rsid w:val="00610E84"/>
    <w:rsid w:val="00610F72"/>
    <w:rsid w:val="00612266"/>
    <w:rsid w:val="00615F92"/>
    <w:rsid w:val="00616418"/>
    <w:rsid w:val="00617253"/>
    <w:rsid w:val="0062090B"/>
    <w:rsid w:val="006215FC"/>
    <w:rsid w:val="0062207F"/>
    <w:rsid w:val="006322CE"/>
    <w:rsid w:val="006352D0"/>
    <w:rsid w:val="00635E96"/>
    <w:rsid w:val="00641D87"/>
    <w:rsid w:val="006423EE"/>
    <w:rsid w:val="006432E6"/>
    <w:rsid w:val="00646B0B"/>
    <w:rsid w:val="00647776"/>
    <w:rsid w:val="00653492"/>
    <w:rsid w:val="00656663"/>
    <w:rsid w:val="006566B7"/>
    <w:rsid w:val="006628AB"/>
    <w:rsid w:val="00663303"/>
    <w:rsid w:val="00664C29"/>
    <w:rsid w:val="0066511B"/>
    <w:rsid w:val="0066529F"/>
    <w:rsid w:val="00665BBC"/>
    <w:rsid w:val="00666146"/>
    <w:rsid w:val="00670CE4"/>
    <w:rsid w:val="00670F0B"/>
    <w:rsid w:val="006744B0"/>
    <w:rsid w:val="00675341"/>
    <w:rsid w:val="006755FF"/>
    <w:rsid w:val="0068253F"/>
    <w:rsid w:val="00684F7A"/>
    <w:rsid w:val="00685693"/>
    <w:rsid w:val="00687A49"/>
    <w:rsid w:val="0069247B"/>
    <w:rsid w:val="006928F2"/>
    <w:rsid w:val="00695136"/>
    <w:rsid w:val="006A13EA"/>
    <w:rsid w:val="006A3996"/>
    <w:rsid w:val="006A5EFC"/>
    <w:rsid w:val="006A68E5"/>
    <w:rsid w:val="006B1CBB"/>
    <w:rsid w:val="006B3EBE"/>
    <w:rsid w:val="006B4425"/>
    <w:rsid w:val="006B4BDE"/>
    <w:rsid w:val="006C0649"/>
    <w:rsid w:val="006C1310"/>
    <w:rsid w:val="006C37A8"/>
    <w:rsid w:val="006C3807"/>
    <w:rsid w:val="006C3DDB"/>
    <w:rsid w:val="006C5556"/>
    <w:rsid w:val="006D498D"/>
    <w:rsid w:val="006D6890"/>
    <w:rsid w:val="006E246A"/>
    <w:rsid w:val="006E2832"/>
    <w:rsid w:val="006E3347"/>
    <w:rsid w:val="006E370E"/>
    <w:rsid w:val="006E41CD"/>
    <w:rsid w:val="006E4586"/>
    <w:rsid w:val="006F2A7B"/>
    <w:rsid w:val="006F3232"/>
    <w:rsid w:val="006F417F"/>
    <w:rsid w:val="006F525D"/>
    <w:rsid w:val="006F566F"/>
    <w:rsid w:val="007026CE"/>
    <w:rsid w:val="0070472A"/>
    <w:rsid w:val="00706F9B"/>
    <w:rsid w:val="007114DB"/>
    <w:rsid w:val="0071673B"/>
    <w:rsid w:val="00717F03"/>
    <w:rsid w:val="007203ED"/>
    <w:rsid w:val="0072052D"/>
    <w:rsid w:val="007209B4"/>
    <w:rsid w:val="007229B3"/>
    <w:rsid w:val="00723A8E"/>
    <w:rsid w:val="00730345"/>
    <w:rsid w:val="007304DB"/>
    <w:rsid w:val="00733A4F"/>
    <w:rsid w:val="00734BED"/>
    <w:rsid w:val="00735EAD"/>
    <w:rsid w:val="007373E7"/>
    <w:rsid w:val="00737B27"/>
    <w:rsid w:val="0074161F"/>
    <w:rsid w:val="00742BD3"/>
    <w:rsid w:val="00742DC5"/>
    <w:rsid w:val="00744921"/>
    <w:rsid w:val="0075583A"/>
    <w:rsid w:val="007613C8"/>
    <w:rsid w:val="0076154F"/>
    <w:rsid w:val="00762469"/>
    <w:rsid w:val="007635BF"/>
    <w:rsid w:val="00764E27"/>
    <w:rsid w:val="0076549E"/>
    <w:rsid w:val="00770DD7"/>
    <w:rsid w:val="00771B09"/>
    <w:rsid w:val="007835EA"/>
    <w:rsid w:val="00792393"/>
    <w:rsid w:val="007928E1"/>
    <w:rsid w:val="00795531"/>
    <w:rsid w:val="007A0C1A"/>
    <w:rsid w:val="007A30BD"/>
    <w:rsid w:val="007A45EA"/>
    <w:rsid w:val="007A5449"/>
    <w:rsid w:val="007A6E66"/>
    <w:rsid w:val="007B2331"/>
    <w:rsid w:val="007B7D92"/>
    <w:rsid w:val="007C08DD"/>
    <w:rsid w:val="007C0BE1"/>
    <w:rsid w:val="007C1EB6"/>
    <w:rsid w:val="007C39B7"/>
    <w:rsid w:val="007D0633"/>
    <w:rsid w:val="007D4188"/>
    <w:rsid w:val="007D5680"/>
    <w:rsid w:val="007D5890"/>
    <w:rsid w:val="007E1AE0"/>
    <w:rsid w:val="007E30DC"/>
    <w:rsid w:val="007E52AF"/>
    <w:rsid w:val="007E5569"/>
    <w:rsid w:val="007F044A"/>
    <w:rsid w:val="007F0913"/>
    <w:rsid w:val="007F2562"/>
    <w:rsid w:val="007F2F04"/>
    <w:rsid w:val="007F4E0A"/>
    <w:rsid w:val="007F6825"/>
    <w:rsid w:val="007F78D4"/>
    <w:rsid w:val="0080126D"/>
    <w:rsid w:val="008037E8"/>
    <w:rsid w:val="008038FA"/>
    <w:rsid w:val="0080457D"/>
    <w:rsid w:val="0080507A"/>
    <w:rsid w:val="00805CFD"/>
    <w:rsid w:val="00810F40"/>
    <w:rsid w:val="008215D6"/>
    <w:rsid w:val="00821831"/>
    <w:rsid w:val="00822287"/>
    <w:rsid w:val="00824585"/>
    <w:rsid w:val="008259C9"/>
    <w:rsid w:val="008272BF"/>
    <w:rsid w:val="00831D26"/>
    <w:rsid w:val="00836EC6"/>
    <w:rsid w:val="0083774F"/>
    <w:rsid w:val="00837D2D"/>
    <w:rsid w:val="0084201A"/>
    <w:rsid w:val="00847966"/>
    <w:rsid w:val="00850B63"/>
    <w:rsid w:val="00854D73"/>
    <w:rsid w:val="0085568D"/>
    <w:rsid w:val="00863B93"/>
    <w:rsid w:val="008669B4"/>
    <w:rsid w:val="00867FD1"/>
    <w:rsid w:val="008704F9"/>
    <w:rsid w:val="008709F5"/>
    <w:rsid w:val="00871DE4"/>
    <w:rsid w:val="00876ED3"/>
    <w:rsid w:val="0087765B"/>
    <w:rsid w:val="00880FF2"/>
    <w:rsid w:val="00882A34"/>
    <w:rsid w:val="0088324B"/>
    <w:rsid w:val="00885451"/>
    <w:rsid w:val="00891CC2"/>
    <w:rsid w:val="00893551"/>
    <w:rsid w:val="00894103"/>
    <w:rsid w:val="00895C9C"/>
    <w:rsid w:val="00896B29"/>
    <w:rsid w:val="008A0345"/>
    <w:rsid w:val="008A3884"/>
    <w:rsid w:val="008B13A1"/>
    <w:rsid w:val="008B3A55"/>
    <w:rsid w:val="008B50D9"/>
    <w:rsid w:val="008B7D65"/>
    <w:rsid w:val="008C2121"/>
    <w:rsid w:val="008D0310"/>
    <w:rsid w:val="008D1148"/>
    <w:rsid w:val="008D1825"/>
    <w:rsid w:val="008D74B8"/>
    <w:rsid w:val="008E0643"/>
    <w:rsid w:val="008E41DE"/>
    <w:rsid w:val="008E499D"/>
    <w:rsid w:val="008E4F67"/>
    <w:rsid w:val="008E6204"/>
    <w:rsid w:val="0090051A"/>
    <w:rsid w:val="00901BC8"/>
    <w:rsid w:val="00902089"/>
    <w:rsid w:val="0090235D"/>
    <w:rsid w:val="009112A6"/>
    <w:rsid w:val="00917AFA"/>
    <w:rsid w:val="009200E8"/>
    <w:rsid w:val="009206D7"/>
    <w:rsid w:val="00927284"/>
    <w:rsid w:val="00927DAC"/>
    <w:rsid w:val="00932BA7"/>
    <w:rsid w:val="00933FF5"/>
    <w:rsid w:val="009349AE"/>
    <w:rsid w:val="00935110"/>
    <w:rsid w:val="009361A8"/>
    <w:rsid w:val="00945E70"/>
    <w:rsid w:val="009479E5"/>
    <w:rsid w:val="00947E8B"/>
    <w:rsid w:val="009529A3"/>
    <w:rsid w:val="00955CFE"/>
    <w:rsid w:val="0095708F"/>
    <w:rsid w:val="00957848"/>
    <w:rsid w:val="0096169B"/>
    <w:rsid w:val="00964D3E"/>
    <w:rsid w:val="00965A9C"/>
    <w:rsid w:val="0096658E"/>
    <w:rsid w:val="00970329"/>
    <w:rsid w:val="009715F5"/>
    <w:rsid w:val="00972C12"/>
    <w:rsid w:val="00973ED2"/>
    <w:rsid w:val="00977A5B"/>
    <w:rsid w:val="00983B10"/>
    <w:rsid w:val="00986016"/>
    <w:rsid w:val="00986D76"/>
    <w:rsid w:val="00996872"/>
    <w:rsid w:val="00996D0C"/>
    <w:rsid w:val="009A3765"/>
    <w:rsid w:val="009A3A65"/>
    <w:rsid w:val="009A53EA"/>
    <w:rsid w:val="009A5F09"/>
    <w:rsid w:val="009B0CAF"/>
    <w:rsid w:val="009B1483"/>
    <w:rsid w:val="009B27C0"/>
    <w:rsid w:val="009B2C23"/>
    <w:rsid w:val="009B617B"/>
    <w:rsid w:val="009B763D"/>
    <w:rsid w:val="009C06E2"/>
    <w:rsid w:val="009C2B98"/>
    <w:rsid w:val="009C78A0"/>
    <w:rsid w:val="009D0214"/>
    <w:rsid w:val="009D08CC"/>
    <w:rsid w:val="009D47C6"/>
    <w:rsid w:val="009D5370"/>
    <w:rsid w:val="009E1F87"/>
    <w:rsid w:val="009E4AB7"/>
    <w:rsid w:val="009E4E34"/>
    <w:rsid w:val="009E69F4"/>
    <w:rsid w:val="009E7AD6"/>
    <w:rsid w:val="009F107A"/>
    <w:rsid w:val="009F2BEA"/>
    <w:rsid w:val="009F3C03"/>
    <w:rsid w:val="009F400D"/>
    <w:rsid w:val="009F791E"/>
    <w:rsid w:val="00A005A5"/>
    <w:rsid w:val="00A02345"/>
    <w:rsid w:val="00A02B1A"/>
    <w:rsid w:val="00A1561C"/>
    <w:rsid w:val="00A200AC"/>
    <w:rsid w:val="00A20151"/>
    <w:rsid w:val="00A25A8B"/>
    <w:rsid w:val="00A26DD7"/>
    <w:rsid w:val="00A318A4"/>
    <w:rsid w:val="00A32E76"/>
    <w:rsid w:val="00A3420A"/>
    <w:rsid w:val="00A3716B"/>
    <w:rsid w:val="00A3719E"/>
    <w:rsid w:val="00A37337"/>
    <w:rsid w:val="00A37901"/>
    <w:rsid w:val="00A408B1"/>
    <w:rsid w:val="00A42530"/>
    <w:rsid w:val="00A458C2"/>
    <w:rsid w:val="00A5099A"/>
    <w:rsid w:val="00A561C9"/>
    <w:rsid w:val="00A6248C"/>
    <w:rsid w:val="00A62638"/>
    <w:rsid w:val="00A63F45"/>
    <w:rsid w:val="00A66AF4"/>
    <w:rsid w:val="00A71A33"/>
    <w:rsid w:val="00A723C3"/>
    <w:rsid w:val="00A749A2"/>
    <w:rsid w:val="00A74E28"/>
    <w:rsid w:val="00A779C9"/>
    <w:rsid w:val="00A77AE3"/>
    <w:rsid w:val="00A85BEC"/>
    <w:rsid w:val="00A85E60"/>
    <w:rsid w:val="00A873E8"/>
    <w:rsid w:val="00A87494"/>
    <w:rsid w:val="00A90CB2"/>
    <w:rsid w:val="00A9560C"/>
    <w:rsid w:val="00AA3527"/>
    <w:rsid w:val="00AA5F13"/>
    <w:rsid w:val="00AA62CF"/>
    <w:rsid w:val="00AB0F4C"/>
    <w:rsid w:val="00AB2873"/>
    <w:rsid w:val="00AB3609"/>
    <w:rsid w:val="00AC1238"/>
    <w:rsid w:val="00AC1E51"/>
    <w:rsid w:val="00AC33CF"/>
    <w:rsid w:val="00AC3F7B"/>
    <w:rsid w:val="00AD0EE1"/>
    <w:rsid w:val="00AD1202"/>
    <w:rsid w:val="00AD3444"/>
    <w:rsid w:val="00AE31A2"/>
    <w:rsid w:val="00AF1C00"/>
    <w:rsid w:val="00AF260F"/>
    <w:rsid w:val="00AF3C89"/>
    <w:rsid w:val="00AF4998"/>
    <w:rsid w:val="00AF7FE1"/>
    <w:rsid w:val="00B013CF"/>
    <w:rsid w:val="00B0197A"/>
    <w:rsid w:val="00B02358"/>
    <w:rsid w:val="00B026EE"/>
    <w:rsid w:val="00B10F82"/>
    <w:rsid w:val="00B13546"/>
    <w:rsid w:val="00B1604D"/>
    <w:rsid w:val="00B16E16"/>
    <w:rsid w:val="00B20139"/>
    <w:rsid w:val="00B21757"/>
    <w:rsid w:val="00B2392C"/>
    <w:rsid w:val="00B2409F"/>
    <w:rsid w:val="00B2467C"/>
    <w:rsid w:val="00B254D7"/>
    <w:rsid w:val="00B30BFC"/>
    <w:rsid w:val="00B3336A"/>
    <w:rsid w:val="00B3529D"/>
    <w:rsid w:val="00B372CA"/>
    <w:rsid w:val="00B4110B"/>
    <w:rsid w:val="00B416D5"/>
    <w:rsid w:val="00B419F3"/>
    <w:rsid w:val="00B45830"/>
    <w:rsid w:val="00B46151"/>
    <w:rsid w:val="00B46344"/>
    <w:rsid w:val="00B46544"/>
    <w:rsid w:val="00B5018B"/>
    <w:rsid w:val="00B52AD9"/>
    <w:rsid w:val="00B52CD7"/>
    <w:rsid w:val="00B54C94"/>
    <w:rsid w:val="00B574E4"/>
    <w:rsid w:val="00B60F56"/>
    <w:rsid w:val="00B61347"/>
    <w:rsid w:val="00B6220E"/>
    <w:rsid w:val="00B62E4C"/>
    <w:rsid w:val="00B64F5D"/>
    <w:rsid w:val="00B658AD"/>
    <w:rsid w:val="00B65E58"/>
    <w:rsid w:val="00B674AC"/>
    <w:rsid w:val="00B67CAA"/>
    <w:rsid w:val="00B72A7C"/>
    <w:rsid w:val="00B74B06"/>
    <w:rsid w:val="00B77085"/>
    <w:rsid w:val="00B855B6"/>
    <w:rsid w:val="00B869F2"/>
    <w:rsid w:val="00B86CD2"/>
    <w:rsid w:val="00B9072E"/>
    <w:rsid w:val="00B946D6"/>
    <w:rsid w:val="00B965B8"/>
    <w:rsid w:val="00B97F59"/>
    <w:rsid w:val="00BA0287"/>
    <w:rsid w:val="00BA3625"/>
    <w:rsid w:val="00BA7DC6"/>
    <w:rsid w:val="00BA7EA6"/>
    <w:rsid w:val="00BB0F5D"/>
    <w:rsid w:val="00BB2012"/>
    <w:rsid w:val="00BB3580"/>
    <w:rsid w:val="00BB4CBE"/>
    <w:rsid w:val="00BB7E81"/>
    <w:rsid w:val="00BC2497"/>
    <w:rsid w:val="00BC7589"/>
    <w:rsid w:val="00BD1CA3"/>
    <w:rsid w:val="00BE1946"/>
    <w:rsid w:val="00BE1EB9"/>
    <w:rsid w:val="00BE2CDC"/>
    <w:rsid w:val="00BE485C"/>
    <w:rsid w:val="00BE6FC1"/>
    <w:rsid w:val="00BE7E40"/>
    <w:rsid w:val="00BF1297"/>
    <w:rsid w:val="00BF1C11"/>
    <w:rsid w:val="00BF1D6E"/>
    <w:rsid w:val="00BF325D"/>
    <w:rsid w:val="00BF4310"/>
    <w:rsid w:val="00BF4C4B"/>
    <w:rsid w:val="00BF4C7C"/>
    <w:rsid w:val="00BF55B0"/>
    <w:rsid w:val="00BF5898"/>
    <w:rsid w:val="00BF739A"/>
    <w:rsid w:val="00C00CC9"/>
    <w:rsid w:val="00C01DAC"/>
    <w:rsid w:val="00C0409F"/>
    <w:rsid w:val="00C043B7"/>
    <w:rsid w:val="00C059D0"/>
    <w:rsid w:val="00C10809"/>
    <w:rsid w:val="00C11FAC"/>
    <w:rsid w:val="00C16A13"/>
    <w:rsid w:val="00C2068C"/>
    <w:rsid w:val="00C22A24"/>
    <w:rsid w:val="00C2441A"/>
    <w:rsid w:val="00C24EF9"/>
    <w:rsid w:val="00C26454"/>
    <w:rsid w:val="00C311E8"/>
    <w:rsid w:val="00C35C79"/>
    <w:rsid w:val="00C46A42"/>
    <w:rsid w:val="00C46A9B"/>
    <w:rsid w:val="00C51476"/>
    <w:rsid w:val="00C562B2"/>
    <w:rsid w:val="00C666BE"/>
    <w:rsid w:val="00C72229"/>
    <w:rsid w:val="00C81309"/>
    <w:rsid w:val="00C81794"/>
    <w:rsid w:val="00C83B25"/>
    <w:rsid w:val="00C90652"/>
    <w:rsid w:val="00C95A31"/>
    <w:rsid w:val="00C97F9F"/>
    <w:rsid w:val="00CA01AB"/>
    <w:rsid w:val="00CA0675"/>
    <w:rsid w:val="00CB3B36"/>
    <w:rsid w:val="00CB3DD7"/>
    <w:rsid w:val="00CB5DBD"/>
    <w:rsid w:val="00CC0448"/>
    <w:rsid w:val="00CC0848"/>
    <w:rsid w:val="00CC27E6"/>
    <w:rsid w:val="00CC340E"/>
    <w:rsid w:val="00CC3E72"/>
    <w:rsid w:val="00CC591A"/>
    <w:rsid w:val="00CC634E"/>
    <w:rsid w:val="00CC7174"/>
    <w:rsid w:val="00CC7E66"/>
    <w:rsid w:val="00CD45B1"/>
    <w:rsid w:val="00CD554F"/>
    <w:rsid w:val="00CD5A94"/>
    <w:rsid w:val="00CD64CA"/>
    <w:rsid w:val="00CE2659"/>
    <w:rsid w:val="00CF0B8B"/>
    <w:rsid w:val="00CF1E2A"/>
    <w:rsid w:val="00CF4CE8"/>
    <w:rsid w:val="00CF4ED8"/>
    <w:rsid w:val="00CF52EF"/>
    <w:rsid w:val="00D01D71"/>
    <w:rsid w:val="00D028D5"/>
    <w:rsid w:val="00D03589"/>
    <w:rsid w:val="00D13C5C"/>
    <w:rsid w:val="00D13F65"/>
    <w:rsid w:val="00D16C39"/>
    <w:rsid w:val="00D17F42"/>
    <w:rsid w:val="00D20F53"/>
    <w:rsid w:val="00D21548"/>
    <w:rsid w:val="00D25794"/>
    <w:rsid w:val="00D30766"/>
    <w:rsid w:val="00D3236C"/>
    <w:rsid w:val="00D32B66"/>
    <w:rsid w:val="00D330F6"/>
    <w:rsid w:val="00D35D3B"/>
    <w:rsid w:val="00D4112B"/>
    <w:rsid w:val="00D4146F"/>
    <w:rsid w:val="00D41C21"/>
    <w:rsid w:val="00D42523"/>
    <w:rsid w:val="00D44FFA"/>
    <w:rsid w:val="00D45251"/>
    <w:rsid w:val="00D4654E"/>
    <w:rsid w:val="00D47731"/>
    <w:rsid w:val="00D504B6"/>
    <w:rsid w:val="00D51E6A"/>
    <w:rsid w:val="00D52228"/>
    <w:rsid w:val="00D5410F"/>
    <w:rsid w:val="00D54B6E"/>
    <w:rsid w:val="00D54E47"/>
    <w:rsid w:val="00D60C97"/>
    <w:rsid w:val="00D64425"/>
    <w:rsid w:val="00D64A64"/>
    <w:rsid w:val="00D70F71"/>
    <w:rsid w:val="00D746CB"/>
    <w:rsid w:val="00D75390"/>
    <w:rsid w:val="00D75507"/>
    <w:rsid w:val="00D75FE9"/>
    <w:rsid w:val="00D76C7C"/>
    <w:rsid w:val="00D811C6"/>
    <w:rsid w:val="00D817E3"/>
    <w:rsid w:val="00D83FA0"/>
    <w:rsid w:val="00D86CE8"/>
    <w:rsid w:val="00D87418"/>
    <w:rsid w:val="00D94D98"/>
    <w:rsid w:val="00D962B8"/>
    <w:rsid w:val="00D9654B"/>
    <w:rsid w:val="00DA07CC"/>
    <w:rsid w:val="00DA3359"/>
    <w:rsid w:val="00DA44BA"/>
    <w:rsid w:val="00DB05E8"/>
    <w:rsid w:val="00DB2558"/>
    <w:rsid w:val="00DB2DD4"/>
    <w:rsid w:val="00DB404B"/>
    <w:rsid w:val="00DB6E37"/>
    <w:rsid w:val="00DB787A"/>
    <w:rsid w:val="00DC0098"/>
    <w:rsid w:val="00DC00EC"/>
    <w:rsid w:val="00DC0B20"/>
    <w:rsid w:val="00DC4206"/>
    <w:rsid w:val="00DC5E4C"/>
    <w:rsid w:val="00DD0C65"/>
    <w:rsid w:val="00DD3325"/>
    <w:rsid w:val="00DD411F"/>
    <w:rsid w:val="00DD75B9"/>
    <w:rsid w:val="00DE18F7"/>
    <w:rsid w:val="00DE49A7"/>
    <w:rsid w:val="00DE4EA8"/>
    <w:rsid w:val="00DE79C6"/>
    <w:rsid w:val="00DF04BC"/>
    <w:rsid w:val="00DF197E"/>
    <w:rsid w:val="00DF360B"/>
    <w:rsid w:val="00DF6614"/>
    <w:rsid w:val="00DF680F"/>
    <w:rsid w:val="00E01A04"/>
    <w:rsid w:val="00E03704"/>
    <w:rsid w:val="00E0575E"/>
    <w:rsid w:val="00E05B83"/>
    <w:rsid w:val="00E07B79"/>
    <w:rsid w:val="00E13ED4"/>
    <w:rsid w:val="00E1573B"/>
    <w:rsid w:val="00E16E72"/>
    <w:rsid w:val="00E21742"/>
    <w:rsid w:val="00E21821"/>
    <w:rsid w:val="00E23DE3"/>
    <w:rsid w:val="00E2412B"/>
    <w:rsid w:val="00E2592B"/>
    <w:rsid w:val="00E341AF"/>
    <w:rsid w:val="00E35DF6"/>
    <w:rsid w:val="00E35E07"/>
    <w:rsid w:val="00E40325"/>
    <w:rsid w:val="00E4332B"/>
    <w:rsid w:val="00E4430B"/>
    <w:rsid w:val="00E51455"/>
    <w:rsid w:val="00E52899"/>
    <w:rsid w:val="00E54051"/>
    <w:rsid w:val="00E550F2"/>
    <w:rsid w:val="00E65E5D"/>
    <w:rsid w:val="00E665C1"/>
    <w:rsid w:val="00E72644"/>
    <w:rsid w:val="00E74A3D"/>
    <w:rsid w:val="00E755C3"/>
    <w:rsid w:val="00E81BA5"/>
    <w:rsid w:val="00E82DB4"/>
    <w:rsid w:val="00E859BA"/>
    <w:rsid w:val="00E8782B"/>
    <w:rsid w:val="00E90558"/>
    <w:rsid w:val="00E9075F"/>
    <w:rsid w:val="00E90AC2"/>
    <w:rsid w:val="00E91CD5"/>
    <w:rsid w:val="00E92F2D"/>
    <w:rsid w:val="00E93D39"/>
    <w:rsid w:val="00E96436"/>
    <w:rsid w:val="00E97E05"/>
    <w:rsid w:val="00EA0B3D"/>
    <w:rsid w:val="00EA280E"/>
    <w:rsid w:val="00EA326C"/>
    <w:rsid w:val="00EA571E"/>
    <w:rsid w:val="00EA6AAD"/>
    <w:rsid w:val="00EB3660"/>
    <w:rsid w:val="00EB4365"/>
    <w:rsid w:val="00EB69A6"/>
    <w:rsid w:val="00EB774E"/>
    <w:rsid w:val="00EC00DD"/>
    <w:rsid w:val="00EC6CCD"/>
    <w:rsid w:val="00ED3A9F"/>
    <w:rsid w:val="00ED6EE5"/>
    <w:rsid w:val="00EE006E"/>
    <w:rsid w:val="00EE0AAC"/>
    <w:rsid w:val="00EE31B6"/>
    <w:rsid w:val="00EF1323"/>
    <w:rsid w:val="00EF1FA6"/>
    <w:rsid w:val="00EF4CDD"/>
    <w:rsid w:val="00EF4DCC"/>
    <w:rsid w:val="00EF5843"/>
    <w:rsid w:val="00F00D0D"/>
    <w:rsid w:val="00F11C37"/>
    <w:rsid w:val="00F15C80"/>
    <w:rsid w:val="00F16BF3"/>
    <w:rsid w:val="00F23668"/>
    <w:rsid w:val="00F24EA0"/>
    <w:rsid w:val="00F24F18"/>
    <w:rsid w:val="00F25DEA"/>
    <w:rsid w:val="00F3083B"/>
    <w:rsid w:val="00F31DB8"/>
    <w:rsid w:val="00F31F91"/>
    <w:rsid w:val="00F32303"/>
    <w:rsid w:val="00F335E7"/>
    <w:rsid w:val="00F3426A"/>
    <w:rsid w:val="00F35AD2"/>
    <w:rsid w:val="00F36A3C"/>
    <w:rsid w:val="00F37E8A"/>
    <w:rsid w:val="00F403FD"/>
    <w:rsid w:val="00F46087"/>
    <w:rsid w:val="00F473B0"/>
    <w:rsid w:val="00F52A7B"/>
    <w:rsid w:val="00F5329A"/>
    <w:rsid w:val="00F553A8"/>
    <w:rsid w:val="00F56F4E"/>
    <w:rsid w:val="00F57AFF"/>
    <w:rsid w:val="00F61623"/>
    <w:rsid w:val="00F6579A"/>
    <w:rsid w:val="00F65C7A"/>
    <w:rsid w:val="00F7019F"/>
    <w:rsid w:val="00F76341"/>
    <w:rsid w:val="00F76B06"/>
    <w:rsid w:val="00F81DAE"/>
    <w:rsid w:val="00F82C4E"/>
    <w:rsid w:val="00F8312D"/>
    <w:rsid w:val="00F83543"/>
    <w:rsid w:val="00F84349"/>
    <w:rsid w:val="00F84DFB"/>
    <w:rsid w:val="00F85D65"/>
    <w:rsid w:val="00F9229C"/>
    <w:rsid w:val="00F92651"/>
    <w:rsid w:val="00F92817"/>
    <w:rsid w:val="00F92C3E"/>
    <w:rsid w:val="00F93BE8"/>
    <w:rsid w:val="00F93C64"/>
    <w:rsid w:val="00F9458A"/>
    <w:rsid w:val="00F94672"/>
    <w:rsid w:val="00F9526F"/>
    <w:rsid w:val="00F9591F"/>
    <w:rsid w:val="00F97AB3"/>
    <w:rsid w:val="00F97EBA"/>
    <w:rsid w:val="00FA2A23"/>
    <w:rsid w:val="00FA3F4C"/>
    <w:rsid w:val="00FB0C20"/>
    <w:rsid w:val="00FB19D3"/>
    <w:rsid w:val="00FB20FA"/>
    <w:rsid w:val="00FB30A0"/>
    <w:rsid w:val="00FB606E"/>
    <w:rsid w:val="00FB6AC1"/>
    <w:rsid w:val="00FC0076"/>
    <w:rsid w:val="00FC1D92"/>
    <w:rsid w:val="00FC5E49"/>
    <w:rsid w:val="00FC6884"/>
    <w:rsid w:val="00FD011E"/>
    <w:rsid w:val="00FD1718"/>
    <w:rsid w:val="00FD27E0"/>
    <w:rsid w:val="00FD32C5"/>
    <w:rsid w:val="00FD3B77"/>
    <w:rsid w:val="00FE298F"/>
    <w:rsid w:val="00FE5E22"/>
    <w:rsid w:val="00FE6271"/>
    <w:rsid w:val="00FF2C07"/>
    <w:rsid w:val="00FF3EB7"/>
    <w:rsid w:val="00FF49F5"/>
    <w:rsid w:val="00FF549E"/>
    <w:rsid w:val="00FF5BF9"/>
    <w:rsid w:val="00FF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D6AB2"/>
  <w15:chartTrackingRefBased/>
  <w15:docId w15:val="{28C98874-BAFD-450E-BDDD-A49A7428C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D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D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D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DB8"/>
    <w:rPr>
      <w:rFonts w:eastAsiaTheme="majorEastAsia" w:cstheme="majorBidi"/>
      <w:color w:val="272727" w:themeColor="text1" w:themeTint="D8"/>
    </w:rPr>
  </w:style>
  <w:style w:type="paragraph" w:styleId="Title">
    <w:name w:val="Title"/>
    <w:basedOn w:val="Normal"/>
    <w:next w:val="Normal"/>
    <w:link w:val="TitleChar"/>
    <w:uiPriority w:val="10"/>
    <w:qFormat/>
    <w:rsid w:val="00F31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DB8"/>
    <w:pPr>
      <w:spacing w:before="160"/>
      <w:jc w:val="center"/>
    </w:pPr>
    <w:rPr>
      <w:i/>
      <w:iCs/>
      <w:color w:val="404040" w:themeColor="text1" w:themeTint="BF"/>
    </w:rPr>
  </w:style>
  <w:style w:type="character" w:customStyle="1" w:styleId="QuoteChar">
    <w:name w:val="Quote Char"/>
    <w:basedOn w:val="DefaultParagraphFont"/>
    <w:link w:val="Quote"/>
    <w:uiPriority w:val="29"/>
    <w:rsid w:val="00F31DB8"/>
    <w:rPr>
      <w:i/>
      <w:iCs/>
      <w:color w:val="404040" w:themeColor="text1" w:themeTint="BF"/>
    </w:rPr>
  </w:style>
  <w:style w:type="paragraph" w:styleId="ListParagraph">
    <w:name w:val="List Paragraph"/>
    <w:basedOn w:val="Normal"/>
    <w:uiPriority w:val="34"/>
    <w:qFormat/>
    <w:rsid w:val="00F31DB8"/>
    <w:pPr>
      <w:ind w:left="720"/>
      <w:contextualSpacing/>
    </w:pPr>
  </w:style>
  <w:style w:type="character" w:styleId="IntenseEmphasis">
    <w:name w:val="Intense Emphasis"/>
    <w:basedOn w:val="DefaultParagraphFont"/>
    <w:uiPriority w:val="21"/>
    <w:qFormat/>
    <w:rsid w:val="00F31DB8"/>
    <w:rPr>
      <w:i/>
      <w:iCs/>
      <w:color w:val="0F4761" w:themeColor="accent1" w:themeShade="BF"/>
    </w:rPr>
  </w:style>
  <w:style w:type="paragraph" w:styleId="IntenseQuote">
    <w:name w:val="Intense Quote"/>
    <w:basedOn w:val="Normal"/>
    <w:next w:val="Normal"/>
    <w:link w:val="IntenseQuoteChar"/>
    <w:uiPriority w:val="30"/>
    <w:qFormat/>
    <w:rsid w:val="00F31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DB8"/>
    <w:rPr>
      <w:i/>
      <w:iCs/>
      <w:color w:val="0F4761" w:themeColor="accent1" w:themeShade="BF"/>
    </w:rPr>
  </w:style>
  <w:style w:type="character" w:styleId="IntenseReference">
    <w:name w:val="Intense Reference"/>
    <w:basedOn w:val="DefaultParagraphFont"/>
    <w:uiPriority w:val="32"/>
    <w:qFormat/>
    <w:rsid w:val="00F31DB8"/>
    <w:rPr>
      <w:b/>
      <w:bCs/>
      <w:smallCaps/>
      <w:color w:val="0F4761" w:themeColor="accent1" w:themeShade="BF"/>
      <w:spacing w:val="5"/>
    </w:rPr>
  </w:style>
  <w:style w:type="character" w:styleId="Hyperlink">
    <w:name w:val="Hyperlink"/>
    <w:basedOn w:val="DefaultParagraphFont"/>
    <w:uiPriority w:val="99"/>
    <w:unhideWhenUsed/>
    <w:rsid w:val="00204C53"/>
    <w:rPr>
      <w:color w:val="467886" w:themeColor="hyperlink"/>
      <w:u w:val="single"/>
    </w:rPr>
  </w:style>
  <w:style w:type="character" w:styleId="UnresolvedMention">
    <w:name w:val="Unresolved Mention"/>
    <w:basedOn w:val="DefaultParagraphFont"/>
    <w:uiPriority w:val="99"/>
    <w:semiHidden/>
    <w:unhideWhenUsed/>
    <w:rsid w:val="00204C53"/>
    <w:rPr>
      <w:color w:val="605E5C"/>
      <w:shd w:val="clear" w:color="auto" w:fill="E1DFDD"/>
    </w:rPr>
  </w:style>
  <w:style w:type="paragraph" w:styleId="BodyText">
    <w:name w:val="Body Text"/>
    <w:basedOn w:val="Normal"/>
    <w:link w:val="BodyTextChar"/>
    <w:unhideWhenUsed/>
    <w:rsid w:val="00B10F82"/>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B10F82"/>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6D6890"/>
    <w:rPr>
      <w:rFonts w:ascii="Times New Roman" w:hAnsi="Times New Roman" w:cs="Times New Roman"/>
    </w:rPr>
  </w:style>
  <w:style w:type="paragraph" w:styleId="Header">
    <w:name w:val="header"/>
    <w:basedOn w:val="Normal"/>
    <w:link w:val="HeaderChar"/>
    <w:uiPriority w:val="99"/>
    <w:unhideWhenUsed/>
    <w:rsid w:val="006D6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890"/>
  </w:style>
  <w:style w:type="paragraph" w:styleId="Footer">
    <w:name w:val="footer"/>
    <w:basedOn w:val="Normal"/>
    <w:link w:val="FooterChar"/>
    <w:uiPriority w:val="99"/>
    <w:unhideWhenUsed/>
    <w:rsid w:val="006D6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890"/>
  </w:style>
  <w:style w:type="paragraph" w:styleId="TOCHeading">
    <w:name w:val="TOC Heading"/>
    <w:basedOn w:val="Heading1"/>
    <w:next w:val="Normal"/>
    <w:uiPriority w:val="39"/>
    <w:unhideWhenUsed/>
    <w:qFormat/>
    <w:rsid w:val="0085568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556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703d605af49039d2e2ffbc2b450d5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ea28bd1aa981eb61462d85a85769e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1DF1B-0A38-4E3E-9EAE-0230FF842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1F05C-0F4E-4404-BF6B-98447E5D883A}">
  <ds:schemaRefs>
    <ds:schemaRef ds:uri="http://schemas.microsoft.com/sharepoint/v3/contenttype/forms"/>
  </ds:schemaRefs>
</ds:datastoreItem>
</file>

<file path=customXml/itemProps3.xml><?xml version="1.0" encoding="utf-8"?>
<ds:datastoreItem xmlns:ds="http://schemas.openxmlformats.org/officeDocument/2006/customXml" ds:itemID="{09DC549D-33BA-40B5-87CF-D2AD266FEC24}">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75FA6BF4-844A-4CEA-B649-0065CC01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6158</Words>
  <Characters>35103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Eve Casey (2200299)</dc:creator>
  <cp:keywords/>
  <dc:description/>
  <cp:lastModifiedBy>Libby Eve Casey (2200299)</cp:lastModifiedBy>
  <cp:revision>2</cp:revision>
  <dcterms:created xsi:type="dcterms:W3CDTF">2026-04-26T13:11:00Z</dcterms:created>
  <dcterms:modified xsi:type="dcterms:W3CDTF">2026-04-26T13:11:00Z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