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7872D32" w14:textId="77777777" w:rsidR="00AB160D" w:rsidRDefault="00AB160D">
      <w:pPr>
        <w:spacing w:after="160" w:line="278" w:lineRule="auto"/>
        <w:jc w:val="center"/>
        <w:rPr>
          <w:b/>
          <w:bCs/>
          <w:color w:val="215E99"/>
          <w:sz w:val="36"/>
          <w:szCs w:val="36"/>
        </w:rPr>
      </w:pPr>
    </w:p>
    <w:p w14:paraId="67DD7A01" w14:textId="77777777" w:rsidR="00AB160D" w:rsidRDefault="00AB160D">
      <w:pPr>
        <w:spacing w:after="160" w:line="278" w:lineRule="auto"/>
        <w:jc w:val="center"/>
        <w:rPr>
          <w:b/>
          <w:bCs/>
          <w:color w:val="215E99"/>
          <w:sz w:val="36"/>
          <w:szCs w:val="36"/>
        </w:rPr>
      </w:pPr>
    </w:p>
    <w:p w14:paraId="369E63F6" w14:textId="77777777" w:rsidR="00AB160D" w:rsidRDefault="00AB160D">
      <w:pPr>
        <w:spacing w:after="160" w:line="278" w:lineRule="auto"/>
        <w:jc w:val="center"/>
        <w:rPr>
          <w:b/>
          <w:bCs/>
          <w:color w:val="215E99"/>
          <w:sz w:val="36"/>
          <w:szCs w:val="36"/>
        </w:rPr>
      </w:pPr>
    </w:p>
    <w:p w14:paraId="756DA7E9" w14:textId="77777777" w:rsidR="00AB160D" w:rsidRDefault="00AB160D">
      <w:pPr>
        <w:spacing w:after="160" w:line="278" w:lineRule="auto"/>
        <w:jc w:val="center"/>
        <w:rPr>
          <w:b/>
          <w:bCs/>
          <w:color w:val="215E99"/>
          <w:sz w:val="36"/>
          <w:szCs w:val="36"/>
        </w:rPr>
      </w:pPr>
    </w:p>
    <w:p w14:paraId="0ACF83CB" w14:textId="77777777" w:rsidR="00AB160D" w:rsidRDefault="00AB160D">
      <w:pPr>
        <w:spacing w:after="160" w:line="278" w:lineRule="auto"/>
        <w:jc w:val="center"/>
        <w:rPr>
          <w:b/>
          <w:bCs/>
          <w:color w:val="215E99"/>
          <w:sz w:val="36"/>
          <w:szCs w:val="36"/>
        </w:rPr>
      </w:pPr>
    </w:p>
    <w:p w14:paraId="55FFB6AC" w14:textId="4C48FB3E" w:rsidR="00AB160D" w:rsidRDefault="00AE4FCE">
      <w:pPr>
        <w:spacing w:after="160" w:line="278" w:lineRule="auto"/>
        <w:jc w:val="center"/>
        <w:rPr>
          <w:b/>
          <w:bCs/>
          <w:sz w:val="36"/>
          <w:szCs w:val="36"/>
        </w:rPr>
      </w:pPr>
      <w:r>
        <w:rPr>
          <w:b/>
          <w:bCs/>
          <w:sz w:val="36"/>
          <w:szCs w:val="36"/>
        </w:rPr>
        <w:t>Finance for Business Managers</w:t>
      </w:r>
    </w:p>
    <w:p w14:paraId="4C502FF9" w14:textId="2169C453" w:rsidR="00AB160D" w:rsidRDefault="00AE4FCE" w:rsidP="00D27E9C">
      <w:pPr>
        <w:spacing w:after="160" w:line="278" w:lineRule="auto"/>
        <w:jc w:val="center"/>
        <w:rPr>
          <w:b/>
          <w:bCs/>
          <w:sz w:val="36"/>
          <w:szCs w:val="36"/>
        </w:rPr>
      </w:pPr>
      <w:r>
        <w:rPr>
          <w:b/>
          <w:bCs/>
          <w:sz w:val="36"/>
          <w:szCs w:val="36"/>
        </w:rPr>
        <w:t>Module Code: BMMB7005</w:t>
      </w:r>
    </w:p>
    <w:p w14:paraId="3B4D33EE" w14:textId="77777777" w:rsidR="00AB160D" w:rsidRDefault="00AB160D">
      <w:pPr>
        <w:spacing w:after="160" w:line="278" w:lineRule="auto"/>
        <w:jc w:val="center"/>
        <w:rPr>
          <w:b/>
          <w:bCs/>
          <w:color w:val="215E99"/>
          <w:sz w:val="36"/>
          <w:szCs w:val="36"/>
        </w:rPr>
      </w:pPr>
    </w:p>
    <w:p w14:paraId="1BCE0E73" w14:textId="77777777" w:rsidR="00AB160D" w:rsidRDefault="00AB160D">
      <w:pPr>
        <w:spacing w:after="160" w:line="278" w:lineRule="auto"/>
        <w:jc w:val="center"/>
        <w:rPr>
          <w:b/>
          <w:bCs/>
          <w:color w:val="215E99"/>
          <w:sz w:val="36"/>
          <w:szCs w:val="36"/>
        </w:rPr>
      </w:pPr>
    </w:p>
    <w:p w14:paraId="4B0D1536" w14:textId="77777777" w:rsidR="00AB160D" w:rsidRDefault="00AB160D">
      <w:pPr>
        <w:spacing w:after="160" w:line="278" w:lineRule="auto"/>
        <w:jc w:val="center"/>
        <w:rPr>
          <w:b/>
          <w:bCs/>
          <w:color w:val="215E99"/>
          <w:sz w:val="36"/>
          <w:szCs w:val="36"/>
        </w:rPr>
      </w:pPr>
    </w:p>
    <w:p w14:paraId="4FF3A4BD" w14:textId="77777777" w:rsidR="00AB160D" w:rsidRDefault="00AB160D">
      <w:pPr>
        <w:spacing w:after="160" w:line="278" w:lineRule="auto"/>
        <w:jc w:val="center"/>
        <w:rPr>
          <w:b/>
          <w:bCs/>
          <w:color w:val="215E99"/>
          <w:sz w:val="36"/>
          <w:szCs w:val="36"/>
        </w:rPr>
      </w:pPr>
    </w:p>
    <w:p w14:paraId="5103C49F" w14:textId="77777777" w:rsidR="00AB160D" w:rsidRDefault="00AB160D">
      <w:pPr>
        <w:spacing w:after="160" w:line="278" w:lineRule="auto"/>
        <w:jc w:val="center"/>
        <w:rPr>
          <w:b/>
          <w:bCs/>
          <w:color w:val="215E99"/>
          <w:sz w:val="36"/>
          <w:szCs w:val="36"/>
        </w:rPr>
      </w:pPr>
    </w:p>
    <w:p w14:paraId="189AD910" w14:textId="77777777" w:rsidR="00AB160D" w:rsidRDefault="00AB160D">
      <w:pPr>
        <w:spacing w:after="160" w:line="278" w:lineRule="auto"/>
        <w:jc w:val="center"/>
        <w:rPr>
          <w:b/>
          <w:bCs/>
          <w:color w:val="215E99"/>
          <w:sz w:val="36"/>
          <w:szCs w:val="36"/>
        </w:rPr>
      </w:pPr>
    </w:p>
    <w:p w14:paraId="0785F15D" w14:textId="77777777" w:rsidR="00AB160D" w:rsidRDefault="00AB160D">
      <w:pPr>
        <w:spacing w:after="160" w:line="278" w:lineRule="auto"/>
        <w:jc w:val="center"/>
        <w:rPr>
          <w:b/>
          <w:bCs/>
          <w:color w:val="215E99"/>
          <w:sz w:val="36"/>
          <w:szCs w:val="36"/>
        </w:rPr>
      </w:pPr>
    </w:p>
    <w:p w14:paraId="38893941" w14:textId="77777777" w:rsidR="00AB160D" w:rsidRDefault="00AB160D">
      <w:pPr>
        <w:spacing w:after="160" w:line="278" w:lineRule="auto"/>
        <w:jc w:val="center"/>
        <w:rPr>
          <w:b/>
          <w:bCs/>
          <w:color w:val="215E99"/>
          <w:sz w:val="36"/>
          <w:szCs w:val="36"/>
        </w:rPr>
      </w:pPr>
    </w:p>
    <w:p w14:paraId="03663C7F" w14:textId="77777777" w:rsidR="00AB160D" w:rsidRDefault="00AB160D">
      <w:pPr>
        <w:spacing w:after="160" w:line="278" w:lineRule="auto"/>
        <w:jc w:val="center"/>
        <w:rPr>
          <w:b/>
          <w:bCs/>
          <w:color w:val="215E99"/>
          <w:sz w:val="36"/>
          <w:szCs w:val="36"/>
        </w:rPr>
      </w:pPr>
    </w:p>
    <w:p w14:paraId="042B8B5D" w14:textId="77777777" w:rsidR="00AB160D" w:rsidRDefault="00AB160D">
      <w:pPr>
        <w:spacing w:after="160" w:line="278" w:lineRule="auto"/>
        <w:jc w:val="center"/>
        <w:rPr>
          <w:b/>
          <w:bCs/>
          <w:color w:val="215E99"/>
          <w:sz w:val="36"/>
          <w:szCs w:val="36"/>
        </w:rPr>
      </w:pPr>
    </w:p>
    <w:p w14:paraId="158E1D3E" w14:textId="17CD7EA3" w:rsidR="00AB160D" w:rsidRDefault="00AE4FCE">
      <w:pPr>
        <w:spacing w:after="160" w:line="278" w:lineRule="auto"/>
        <w:jc w:val="center"/>
        <w:rPr>
          <w:b/>
          <w:bCs/>
          <w:color w:val="000000"/>
          <w:sz w:val="30"/>
          <w:szCs w:val="30"/>
        </w:rPr>
      </w:pPr>
      <w:r>
        <w:rPr>
          <w:b/>
          <w:bCs/>
          <w:color w:val="000000"/>
          <w:sz w:val="30"/>
          <w:szCs w:val="30"/>
        </w:rPr>
        <w:t>Student Name:</w:t>
      </w:r>
      <w:r w:rsidR="00866071">
        <w:rPr>
          <w:b/>
          <w:bCs/>
          <w:color w:val="000000"/>
          <w:sz w:val="30"/>
          <w:szCs w:val="30"/>
        </w:rPr>
        <w:t xml:space="preserve"> Liviu Topala</w:t>
      </w:r>
    </w:p>
    <w:p w14:paraId="08049EAE" w14:textId="71238B0F" w:rsidR="00AB160D" w:rsidRDefault="00AE4FCE">
      <w:pPr>
        <w:spacing w:after="160" w:line="278" w:lineRule="auto"/>
        <w:jc w:val="center"/>
        <w:rPr>
          <w:b/>
          <w:bCs/>
          <w:color w:val="215E99"/>
          <w:sz w:val="28"/>
          <w:szCs w:val="28"/>
        </w:rPr>
      </w:pPr>
      <w:r>
        <w:rPr>
          <w:b/>
          <w:bCs/>
          <w:color w:val="000000"/>
          <w:sz w:val="30"/>
          <w:szCs w:val="30"/>
        </w:rPr>
        <w:t>Student ID:</w:t>
      </w:r>
      <w:r w:rsidR="00866071">
        <w:rPr>
          <w:b/>
          <w:bCs/>
          <w:color w:val="000000"/>
          <w:sz w:val="30"/>
          <w:szCs w:val="30"/>
        </w:rPr>
        <w:t xml:space="preserve"> 190</w:t>
      </w:r>
      <w:r w:rsidR="00AF2930">
        <w:rPr>
          <w:b/>
          <w:bCs/>
          <w:color w:val="000000"/>
          <w:sz w:val="30"/>
          <w:szCs w:val="30"/>
        </w:rPr>
        <w:t>5828</w:t>
      </w:r>
      <w:r>
        <w:br w:type="page"/>
      </w:r>
    </w:p>
    <w:p w14:paraId="344833CE" w14:textId="77777777" w:rsidR="00AB160D" w:rsidRDefault="00AE4FCE">
      <w:pPr>
        <w:keepNext/>
        <w:keepLines/>
        <w:pBdr>
          <w:top w:val="nil"/>
          <w:left w:val="nil"/>
          <w:bottom w:val="nil"/>
          <w:right w:val="nil"/>
          <w:between w:val="nil"/>
        </w:pBdr>
        <w:spacing w:before="240" w:after="0" w:line="259" w:lineRule="auto"/>
        <w:jc w:val="center"/>
        <w:rPr>
          <w:b/>
          <w:bCs/>
          <w:color w:val="0F4761"/>
          <w:sz w:val="28"/>
          <w:szCs w:val="28"/>
        </w:rPr>
      </w:pPr>
      <w:r>
        <w:rPr>
          <w:b/>
          <w:bCs/>
          <w:color w:val="0F4761"/>
          <w:sz w:val="28"/>
          <w:szCs w:val="28"/>
        </w:rPr>
        <w:lastRenderedPageBreak/>
        <w:t>Table of Contents</w:t>
      </w:r>
    </w:p>
    <w:sdt>
      <w:sdtPr>
        <w:id w:val="-1881691743"/>
        <w:docPartObj>
          <w:docPartGallery w:val="Table of Contents"/>
          <w:docPartUnique/>
        </w:docPartObj>
      </w:sdtPr>
      <w:sdtEndPr/>
      <w:sdtContent>
        <w:p w14:paraId="50F84153" w14:textId="77777777" w:rsidR="00AB160D" w:rsidRDefault="00AE4FCE">
          <w:pPr>
            <w:pBdr>
              <w:top w:val="nil"/>
              <w:left w:val="nil"/>
              <w:bottom w:val="nil"/>
              <w:right w:val="nil"/>
              <w:between w:val="nil"/>
            </w:pBdr>
            <w:tabs>
              <w:tab w:val="right" w:leader="dot" w:pos="9016"/>
            </w:tabs>
            <w:spacing w:after="100"/>
            <w:rPr>
              <w:color w:val="000000"/>
            </w:rPr>
          </w:pPr>
          <w:r>
            <w:fldChar w:fldCharType="begin"/>
          </w:r>
          <w:r>
            <w:instrText xml:space="preserve"> TOC \h \u \z \t "Heading 1,1,Heading 2,2,Heading 3,3,"</w:instrText>
          </w:r>
          <w:r>
            <w:fldChar w:fldCharType="separate"/>
          </w:r>
          <w:hyperlink w:anchor="_heading=h.g38nzjqicm39">
            <w:r>
              <w:rPr>
                <w:color w:val="000000"/>
              </w:rPr>
              <w:t>Introduction</w:t>
            </w:r>
            <w:r>
              <w:rPr>
                <w:color w:val="000000"/>
              </w:rPr>
              <w:tab/>
              <w:t>4</w:t>
            </w:r>
          </w:hyperlink>
        </w:p>
        <w:p w14:paraId="5EEEDEAC" w14:textId="77777777" w:rsidR="00AB160D" w:rsidRDefault="00AE4FCE">
          <w:pPr>
            <w:pBdr>
              <w:top w:val="nil"/>
              <w:left w:val="nil"/>
              <w:bottom w:val="nil"/>
              <w:right w:val="nil"/>
              <w:between w:val="nil"/>
            </w:pBdr>
            <w:tabs>
              <w:tab w:val="right" w:leader="dot" w:pos="9016"/>
            </w:tabs>
            <w:spacing w:after="100"/>
            <w:rPr>
              <w:color w:val="000000"/>
            </w:rPr>
          </w:pPr>
          <w:hyperlink w:anchor="_heading=h.mhavek2frn6o">
            <w:r>
              <w:rPr>
                <w:color w:val="000000"/>
              </w:rPr>
              <w:t>TASK 1</w:t>
            </w:r>
            <w:r>
              <w:rPr>
                <w:color w:val="000000"/>
              </w:rPr>
              <w:tab/>
              <w:t>4</w:t>
            </w:r>
          </w:hyperlink>
        </w:p>
        <w:p w14:paraId="0CE15E4E" w14:textId="77777777" w:rsidR="00AB160D" w:rsidRDefault="00AE4FCE">
          <w:pPr>
            <w:pBdr>
              <w:top w:val="nil"/>
              <w:left w:val="nil"/>
              <w:bottom w:val="nil"/>
              <w:right w:val="nil"/>
              <w:between w:val="nil"/>
            </w:pBdr>
            <w:tabs>
              <w:tab w:val="right" w:leader="dot" w:pos="9016"/>
            </w:tabs>
            <w:spacing w:after="100"/>
            <w:rPr>
              <w:color w:val="000000"/>
            </w:rPr>
          </w:pPr>
          <w:hyperlink w:anchor="_heading=h.amh0yqbu2vo5">
            <w:r>
              <w:rPr>
                <w:color w:val="000000"/>
              </w:rPr>
              <w:t>1. Introduction</w:t>
            </w:r>
            <w:r>
              <w:rPr>
                <w:color w:val="000000"/>
              </w:rPr>
              <w:tab/>
              <w:t>4</w:t>
            </w:r>
          </w:hyperlink>
        </w:p>
        <w:p w14:paraId="3CEB8671" w14:textId="77777777" w:rsidR="00AB160D" w:rsidRDefault="00AE4FCE">
          <w:pPr>
            <w:pBdr>
              <w:top w:val="nil"/>
              <w:left w:val="nil"/>
              <w:bottom w:val="nil"/>
              <w:right w:val="nil"/>
              <w:between w:val="nil"/>
            </w:pBdr>
            <w:tabs>
              <w:tab w:val="right" w:leader="dot" w:pos="9016"/>
            </w:tabs>
            <w:spacing w:after="100"/>
            <w:rPr>
              <w:color w:val="000000"/>
            </w:rPr>
          </w:pPr>
          <w:hyperlink w:anchor="_heading=h.7ih35nujyhrw">
            <w:r>
              <w:rPr>
                <w:color w:val="000000"/>
              </w:rPr>
              <w:t>2. Ratio Analysis &amp; Interpretation</w:t>
            </w:r>
            <w:r>
              <w:rPr>
                <w:color w:val="000000"/>
              </w:rPr>
              <w:tab/>
              <w:t>5</w:t>
            </w:r>
          </w:hyperlink>
        </w:p>
        <w:p w14:paraId="3291680E" w14:textId="77777777" w:rsidR="00AB160D" w:rsidRDefault="00AE4FCE">
          <w:pPr>
            <w:pBdr>
              <w:top w:val="nil"/>
              <w:left w:val="nil"/>
              <w:bottom w:val="nil"/>
              <w:right w:val="nil"/>
              <w:between w:val="nil"/>
            </w:pBdr>
            <w:tabs>
              <w:tab w:val="right" w:leader="dot" w:pos="9016"/>
            </w:tabs>
            <w:spacing w:after="100"/>
            <w:ind w:left="240"/>
            <w:rPr>
              <w:color w:val="000000"/>
            </w:rPr>
          </w:pPr>
          <w:hyperlink w:anchor="_heading=h.iq9a5bm3zisw">
            <w:r>
              <w:rPr>
                <w:rFonts w:ascii="Quattrocento Sans" w:eastAsia="Quattrocento Sans" w:hAnsi="Quattrocento Sans" w:cs="Quattrocento Sans"/>
                <w:color w:val="000000"/>
              </w:rPr>
              <w:t>2</w:t>
            </w:r>
          </w:hyperlink>
          <w:hyperlink w:anchor="_heading=h.iq9a5bm3zisw">
            <w:r>
              <w:rPr>
                <w:color w:val="000000"/>
              </w:rPr>
              <w:t>.1 Profitability Ratios</w:t>
            </w:r>
            <w:r>
              <w:rPr>
                <w:color w:val="000000"/>
              </w:rPr>
              <w:tab/>
              <w:t>5</w:t>
            </w:r>
          </w:hyperlink>
        </w:p>
        <w:p w14:paraId="0F51B41C" w14:textId="77777777" w:rsidR="00AB160D" w:rsidRDefault="00AE4FCE">
          <w:pPr>
            <w:pBdr>
              <w:top w:val="nil"/>
              <w:left w:val="nil"/>
              <w:bottom w:val="nil"/>
              <w:right w:val="nil"/>
              <w:between w:val="nil"/>
            </w:pBdr>
            <w:tabs>
              <w:tab w:val="right" w:leader="dot" w:pos="9016"/>
            </w:tabs>
            <w:spacing w:after="100"/>
            <w:ind w:left="240"/>
            <w:rPr>
              <w:color w:val="000000"/>
            </w:rPr>
          </w:pPr>
          <w:hyperlink w:anchor="_heading=h.szhmnamrs2le">
            <w:r>
              <w:rPr>
                <w:color w:val="000000"/>
              </w:rPr>
              <w:t>2.2 Liquidity Ratios</w:t>
            </w:r>
            <w:r>
              <w:rPr>
                <w:color w:val="000000"/>
              </w:rPr>
              <w:tab/>
              <w:t>7</w:t>
            </w:r>
          </w:hyperlink>
        </w:p>
        <w:p w14:paraId="4C77538A" w14:textId="77777777" w:rsidR="00AB160D" w:rsidRDefault="00AE4FCE">
          <w:pPr>
            <w:pBdr>
              <w:top w:val="nil"/>
              <w:left w:val="nil"/>
              <w:bottom w:val="nil"/>
              <w:right w:val="nil"/>
              <w:between w:val="nil"/>
            </w:pBdr>
            <w:tabs>
              <w:tab w:val="right" w:leader="dot" w:pos="9016"/>
            </w:tabs>
            <w:spacing w:after="100"/>
            <w:ind w:left="240"/>
            <w:rPr>
              <w:color w:val="000000"/>
            </w:rPr>
          </w:pPr>
          <w:hyperlink w:anchor="_heading=h.jsnqaphiuml4">
            <w:r>
              <w:rPr>
                <w:color w:val="000000"/>
              </w:rPr>
              <w:t>2.3 Efficiency Ratios</w:t>
            </w:r>
            <w:r>
              <w:rPr>
                <w:color w:val="000000"/>
              </w:rPr>
              <w:tab/>
              <w:t>8</w:t>
            </w:r>
          </w:hyperlink>
        </w:p>
        <w:p w14:paraId="18CCA5E9" w14:textId="77777777" w:rsidR="00AB160D" w:rsidRDefault="00AE4FCE">
          <w:pPr>
            <w:pBdr>
              <w:top w:val="nil"/>
              <w:left w:val="nil"/>
              <w:bottom w:val="nil"/>
              <w:right w:val="nil"/>
              <w:between w:val="nil"/>
            </w:pBdr>
            <w:tabs>
              <w:tab w:val="right" w:leader="dot" w:pos="9016"/>
            </w:tabs>
            <w:spacing w:after="100"/>
            <w:ind w:left="240"/>
            <w:rPr>
              <w:color w:val="000000"/>
            </w:rPr>
          </w:pPr>
          <w:hyperlink w:anchor="_heading=h.akysciyh5q51">
            <w:r>
              <w:rPr>
                <w:color w:val="000000"/>
              </w:rPr>
              <w:t>2.4 Gearing Ratios</w:t>
            </w:r>
            <w:r>
              <w:rPr>
                <w:color w:val="000000"/>
              </w:rPr>
              <w:tab/>
              <w:t>9</w:t>
            </w:r>
          </w:hyperlink>
        </w:p>
        <w:p w14:paraId="7E0587C6" w14:textId="77777777" w:rsidR="00AB160D" w:rsidRDefault="00AE4FCE">
          <w:pPr>
            <w:pBdr>
              <w:top w:val="nil"/>
              <w:left w:val="nil"/>
              <w:bottom w:val="nil"/>
              <w:right w:val="nil"/>
              <w:between w:val="nil"/>
            </w:pBdr>
            <w:tabs>
              <w:tab w:val="right" w:leader="dot" w:pos="9016"/>
            </w:tabs>
            <w:spacing w:after="100"/>
            <w:ind w:left="240"/>
            <w:rPr>
              <w:color w:val="000000"/>
            </w:rPr>
          </w:pPr>
          <w:hyperlink w:anchor="_heading=h.72be7hk79df1">
            <w:r>
              <w:rPr>
                <w:color w:val="000000"/>
              </w:rPr>
              <w:t>2.5 Investor Ratios</w:t>
            </w:r>
            <w:r>
              <w:rPr>
                <w:color w:val="000000"/>
              </w:rPr>
              <w:tab/>
              <w:t>10</w:t>
            </w:r>
          </w:hyperlink>
        </w:p>
        <w:p w14:paraId="3536B69C" w14:textId="77777777" w:rsidR="00AB160D" w:rsidRDefault="00AE4FCE">
          <w:pPr>
            <w:pBdr>
              <w:top w:val="nil"/>
              <w:left w:val="nil"/>
              <w:bottom w:val="nil"/>
              <w:right w:val="nil"/>
              <w:between w:val="nil"/>
            </w:pBdr>
            <w:tabs>
              <w:tab w:val="right" w:leader="dot" w:pos="9016"/>
            </w:tabs>
            <w:spacing w:after="100"/>
            <w:rPr>
              <w:color w:val="000000"/>
            </w:rPr>
          </w:pPr>
          <w:hyperlink w:anchor="_heading=h.c7u5u2abcafk">
            <w:r>
              <w:rPr>
                <w:color w:val="000000"/>
              </w:rPr>
              <w:t>3.</w:t>
            </w:r>
          </w:hyperlink>
          <w:hyperlink w:anchor="_heading=h.c7u5u2abcafk">
            <w:r>
              <w:rPr>
                <w:rFonts w:ascii="Times New Roman" w:eastAsia="Times New Roman" w:hAnsi="Times New Roman" w:cs="Times New Roman"/>
                <w:color w:val="000000"/>
              </w:rPr>
              <w:t xml:space="preserve"> </w:t>
            </w:r>
          </w:hyperlink>
          <w:hyperlink w:anchor="_heading=h.c7u5u2abcafk">
            <w:r>
              <w:rPr>
                <w:color w:val="000000"/>
              </w:rPr>
              <w:t>Critical Evaluation</w:t>
            </w:r>
            <w:r>
              <w:rPr>
                <w:color w:val="000000"/>
              </w:rPr>
              <w:tab/>
              <w:t>11</w:t>
            </w:r>
          </w:hyperlink>
        </w:p>
        <w:p w14:paraId="0F0845EF" w14:textId="77777777" w:rsidR="00AB160D" w:rsidRDefault="00AE4FCE">
          <w:pPr>
            <w:pBdr>
              <w:top w:val="nil"/>
              <w:left w:val="nil"/>
              <w:bottom w:val="nil"/>
              <w:right w:val="nil"/>
              <w:between w:val="nil"/>
            </w:pBdr>
            <w:tabs>
              <w:tab w:val="right" w:leader="dot" w:pos="9016"/>
            </w:tabs>
            <w:spacing w:after="100"/>
            <w:rPr>
              <w:color w:val="000000"/>
            </w:rPr>
          </w:pPr>
          <w:hyperlink w:anchor="_heading=h.iluag6g9ikwd">
            <w:r>
              <w:rPr>
                <w:color w:val="000000"/>
              </w:rPr>
              <w:t>5. Recommendations</w:t>
            </w:r>
            <w:r>
              <w:rPr>
                <w:color w:val="000000"/>
              </w:rPr>
              <w:tab/>
              <w:t>14</w:t>
            </w:r>
          </w:hyperlink>
        </w:p>
        <w:p w14:paraId="4B6F8B56" w14:textId="77777777" w:rsidR="00AB160D" w:rsidRDefault="00AE4FCE">
          <w:pPr>
            <w:pBdr>
              <w:top w:val="nil"/>
              <w:left w:val="nil"/>
              <w:bottom w:val="nil"/>
              <w:right w:val="nil"/>
              <w:between w:val="nil"/>
            </w:pBdr>
            <w:tabs>
              <w:tab w:val="right" w:leader="dot" w:pos="9016"/>
            </w:tabs>
            <w:spacing w:after="100"/>
            <w:rPr>
              <w:color w:val="000000"/>
            </w:rPr>
          </w:pPr>
          <w:hyperlink w:anchor="_heading=h.3o3bkpnub82g">
            <w:r>
              <w:rPr>
                <w:color w:val="000000"/>
              </w:rPr>
              <w:t>5. Conclusion</w:t>
            </w:r>
            <w:r>
              <w:rPr>
                <w:color w:val="000000"/>
              </w:rPr>
              <w:tab/>
              <w:t>16</w:t>
            </w:r>
          </w:hyperlink>
        </w:p>
        <w:p w14:paraId="11412DD9" w14:textId="77777777" w:rsidR="00AB160D" w:rsidRDefault="00AE4FCE">
          <w:pPr>
            <w:pBdr>
              <w:top w:val="nil"/>
              <w:left w:val="nil"/>
              <w:bottom w:val="nil"/>
              <w:right w:val="nil"/>
              <w:between w:val="nil"/>
            </w:pBdr>
            <w:tabs>
              <w:tab w:val="right" w:leader="dot" w:pos="9016"/>
            </w:tabs>
            <w:spacing w:after="100"/>
            <w:rPr>
              <w:color w:val="000000"/>
            </w:rPr>
          </w:pPr>
          <w:hyperlink w:anchor="_heading=h.fkbpc9njd8j5">
            <w:r>
              <w:rPr>
                <w:color w:val="000000"/>
              </w:rPr>
              <w:t>Part 2</w:t>
            </w:r>
            <w:r>
              <w:rPr>
                <w:color w:val="000000"/>
              </w:rPr>
              <w:tab/>
              <w:t>17</w:t>
            </w:r>
          </w:hyperlink>
        </w:p>
        <w:p w14:paraId="0C889BE0" w14:textId="77777777" w:rsidR="00AB160D" w:rsidRDefault="00AE4FCE">
          <w:pPr>
            <w:pBdr>
              <w:top w:val="nil"/>
              <w:left w:val="nil"/>
              <w:bottom w:val="nil"/>
              <w:right w:val="nil"/>
              <w:between w:val="nil"/>
            </w:pBdr>
            <w:tabs>
              <w:tab w:val="right" w:leader="dot" w:pos="9016"/>
            </w:tabs>
            <w:spacing w:after="100"/>
            <w:rPr>
              <w:color w:val="000000"/>
            </w:rPr>
          </w:pPr>
          <w:hyperlink w:anchor="_heading=h.sw3qmntic1xc">
            <w:r>
              <w:rPr>
                <w:color w:val="000000"/>
              </w:rPr>
              <w:t>1. Investment Options</w:t>
            </w:r>
            <w:r>
              <w:rPr>
                <w:color w:val="000000"/>
              </w:rPr>
              <w:tab/>
              <w:t>17</w:t>
            </w:r>
          </w:hyperlink>
        </w:p>
        <w:p w14:paraId="6FD0A322" w14:textId="77777777" w:rsidR="00AB160D" w:rsidRDefault="00AE4FCE">
          <w:pPr>
            <w:pBdr>
              <w:top w:val="nil"/>
              <w:left w:val="nil"/>
              <w:bottom w:val="nil"/>
              <w:right w:val="nil"/>
              <w:between w:val="nil"/>
            </w:pBdr>
            <w:tabs>
              <w:tab w:val="right" w:leader="dot" w:pos="9016"/>
            </w:tabs>
            <w:spacing w:after="100"/>
            <w:rPr>
              <w:color w:val="000000"/>
            </w:rPr>
          </w:pPr>
          <w:hyperlink w:anchor="_heading=h.v1i925iakpyy">
            <w:r>
              <w:rPr>
                <w:color w:val="000000"/>
              </w:rPr>
              <w:t>2. Investment Appraisal Techniques</w:t>
            </w:r>
            <w:r>
              <w:rPr>
                <w:color w:val="000000"/>
              </w:rPr>
              <w:tab/>
              <w:t>18</w:t>
            </w:r>
          </w:hyperlink>
        </w:p>
        <w:p w14:paraId="320F497C" w14:textId="77777777" w:rsidR="00AB160D" w:rsidRDefault="00AE4FCE">
          <w:pPr>
            <w:pBdr>
              <w:top w:val="nil"/>
              <w:left w:val="nil"/>
              <w:bottom w:val="nil"/>
              <w:right w:val="nil"/>
              <w:between w:val="nil"/>
            </w:pBdr>
            <w:tabs>
              <w:tab w:val="right" w:leader="dot" w:pos="9016"/>
            </w:tabs>
            <w:spacing w:after="100"/>
            <w:ind w:left="240"/>
            <w:rPr>
              <w:color w:val="000000"/>
            </w:rPr>
          </w:pPr>
          <w:hyperlink w:anchor="_heading=h.8owumvv7hu8h">
            <w:r>
              <w:rPr>
                <w:color w:val="000000"/>
              </w:rPr>
              <w:t>2.1 Net Present Value (NPV)</w:t>
            </w:r>
            <w:r>
              <w:rPr>
                <w:color w:val="000000"/>
              </w:rPr>
              <w:tab/>
              <w:t>18</w:t>
            </w:r>
          </w:hyperlink>
        </w:p>
        <w:p w14:paraId="0F82F6BD" w14:textId="77777777" w:rsidR="00AB160D" w:rsidRDefault="00AE4FCE">
          <w:pPr>
            <w:pBdr>
              <w:top w:val="nil"/>
              <w:left w:val="nil"/>
              <w:bottom w:val="nil"/>
              <w:right w:val="nil"/>
              <w:between w:val="nil"/>
            </w:pBdr>
            <w:tabs>
              <w:tab w:val="right" w:leader="dot" w:pos="9016"/>
            </w:tabs>
            <w:spacing w:after="100"/>
            <w:ind w:left="240"/>
            <w:rPr>
              <w:color w:val="000000"/>
            </w:rPr>
          </w:pPr>
          <w:hyperlink w:anchor="_heading=h.854fn49qcmls">
            <w:r>
              <w:rPr>
                <w:color w:val="000000"/>
              </w:rPr>
              <w:t>2.2 Internal Rate of Return (IRR)</w:t>
            </w:r>
            <w:r>
              <w:rPr>
                <w:color w:val="000000"/>
              </w:rPr>
              <w:tab/>
              <w:t>19</w:t>
            </w:r>
          </w:hyperlink>
        </w:p>
        <w:p w14:paraId="2E405839" w14:textId="77777777" w:rsidR="00AB160D" w:rsidRDefault="00AE4FCE">
          <w:pPr>
            <w:pBdr>
              <w:top w:val="nil"/>
              <w:left w:val="nil"/>
              <w:bottom w:val="nil"/>
              <w:right w:val="nil"/>
              <w:between w:val="nil"/>
            </w:pBdr>
            <w:tabs>
              <w:tab w:val="right" w:leader="dot" w:pos="9016"/>
            </w:tabs>
            <w:spacing w:after="100"/>
            <w:rPr>
              <w:color w:val="000000"/>
            </w:rPr>
          </w:pPr>
          <w:hyperlink w:anchor="_heading=h.t5evmkt31zo0">
            <w:r>
              <w:rPr>
                <w:color w:val="000000"/>
              </w:rPr>
              <w:t>3. NPV Calculations and Results</w:t>
            </w:r>
            <w:r>
              <w:rPr>
                <w:color w:val="000000"/>
              </w:rPr>
              <w:tab/>
              <w:t>19</w:t>
            </w:r>
          </w:hyperlink>
        </w:p>
        <w:p w14:paraId="758558F2" w14:textId="77777777" w:rsidR="00AB160D" w:rsidRDefault="00AE4FCE">
          <w:pPr>
            <w:pBdr>
              <w:top w:val="nil"/>
              <w:left w:val="nil"/>
              <w:bottom w:val="nil"/>
              <w:right w:val="nil"/>
              <w:between w:val="nil"/>
            </w:pBdr>
            <w:tabs>
              <w:tab w:val="right" w:leader="dot" w:pos="9016"/>
            </w:tabs>
            <w:spacing w:after="100"/>
            <w:rPr>
              <w:color w:val="000000"/>
            </w:rPr>
          </w:pPr>
          <w:hyperlink w:anchor="_heading=h.wiiaz9frais1">
            <w:r>
              <w:rPr>
                <w:color w:val="000000"/>
              </w:rPr>
              <w:t>4. Evaluation and Selection of Best Option</w:t>
            </w:r>
            <w:r>
              <w:rPr>
                <w:color w:val="000000"/>
              </w:rPr>
              <w:tab/>
              <w:t>21</w:t>
            </w:r>
          </w:hyperlink>
        </w:p>
        <w:p w14:paraId="17B23EBE" w14:textId="77777777" w:rsidR="00AB160D" w:rsidRDefault="00AE4FCE">
          <w:pPr>
            <w:pBdr>
              <w:top w:val="nil"/>
              <w:left w:val="nil"/>
              <w:bottom w:val="nil"/>
              <w:right w:val="nil"/>
              <w:between w:val="nil"/>
            </w:pBdr>
            <w:tabs>
              <w:tab w:val="right" w:leader="dot" w:pos="9016"/>
            </w:tabs>
            <w:spacing w:after="100"/>
            <w:ind w:left="240"/>
            <w:rPr>
              <w:color w:val="000000"/>
            </w:rPr>
          </w:pPr>
          <w:hyperlink w:anchor="_heading=h.yy00i18lbsmb">
            <w:r>
              <w:rPr>
                <w:color w:val="000000"/>
              </w:rPr>
              <w:t>4.1 Comparative Evaluation of Investment Options</w:t>
            </w:r>
            <w:r>
              <w:rPr>
                <w:color w:val="000000"/>
              </w:rPr>
              <w:tab/>
              <w:t>21</w:t>
            </w:r>
          </w:hyperlink>
        </w:p>
        <w:p w14:paraId="2C1DB80C" w14:textId="77777777" w:rsidR="00AB160D" w:rsidRDefault="00AE4FCE">
          <w:pPr>
            <w:pBdr>
              <w:top w:val="nil"/>
              <w:left w:val="nil"/>
              <w:bottom w:val="nil"/>
              <w:right w:val="nil"/>
              <w:between w:val="nil"/>
            </w:pBdr>
            <w:tabs>
              <w:tab w:val="right" w:leader="dot" w:pos="9016"/>
            </w:tabs>
            <w:spacing w:after="100"/>
            <w:ind w:left="240"/>
            <w:rPr>
              <w:color w:val="000000"/>
            </w:rPr>
          </w:pPr>
          <w:hyperlink w:anchor="_heading=h.fc6uwiq29cs2">
            <w:r>
              <w:rPr>
                <w:color w:val="000000"/>
              </w:rPr>
              <w:t>4.2 Justification for Selection of the Proper Option</w:t>
            </w:r>
            <w:r>
              <w:rPr>
                <w:color w:val="000000"/>
              </w:rPr>
              <w:tab/>
              <w:t>22</w:t>
            </w:r>
          </w:hyperlink>
        </w:p>
        <w:p w14:paraId="0B2A609B" w14:textId="77777777" w:rsidR="00AB160D" w:rsidRDefault="00AE4FCE">
          <w:pPr>
            <w:pBdr>
              <w:top w:val="nil"/>
              <w:left w:val="nil"/>
              <w:bottom w:val="nil"/>
              <w:right w:val="nil"/>
              <w:between w:val="nil"/>
            </w:pBdr>
            <w:tabs>
              <w:tab w:val="right" w:leader="dot" w:pos="9016"/>
            </w:tabs>
            <w:spacing w:after="100"/>
            <w:rPr>
              <w:color w:val="000000"/>
            </w:rPr>
          </w:pPr>
          <w:hyperlink w:anchor="_heading=h.rrksw0waj6m2">
            <w:r>
              <w:rPr>
                <w:color w:val="000000"/>
              </w:rPr>
              <w:t>5. Internal Rate of Return (IRR)</w:t>
            </w:r>
            <w:r>
              <w:rPr>
                <w:color w:val="000000"/>
              </w:rPr>
              <w:tab/>
              <w:t>22</w:t>
            </w:r>
          </w:hyperlink>
        </w:p>
        <w:p w14:paraId="73C8CF48" w14:textId="77777777" w:rsidR="00AB160D" w:rsidRDefault="00AE4FCE">
          <w:pPr>
            <w:pBdr>
              <w:top w:val="nil"/>
              <w:left w:val="nil"/>
              <w:bottom w:val="nil"/>
              <w:right w:val="nil"/>
              <w:between w:val="nil"/>
            </w:pBdr>
            <w:tabs>
              <w:tab w:val="right" w:leader="dot" w:pos="9016"/>
            </w:tabs>
            <w:spacing w:after="100"/>
            <w:ind w:left="240"/>
            <w:rPr>
              <w:color w:val="000000"/>
            </w:rPr>
          </w:pPr>
          <w:hyperlink w:anchor="_heading=h.r1h8raj6e38">
            <w:r>
              <w:rPr>
                <w:color w:val="000000"/>
              </w:rPr>
              <w:t>5.1 IRR Calculation</w:t>
            </w:r>
            <w:r>
              <w:rPr>
                <w:color w:val="000000"/>
              </w:rPr>
              <w:tab/>
            </w:r>
            <w:r>
              <w:rPr>
                <w:color w:val="000000"/>
              </w:rPr>
              <w:t>22</w:t>
            </w:r>
          </w:hyperlink>
        </w:p>
        <w:p w14:paraId="79C4E71A" w14:textId="77777777" w:rsidR="00AB160D" w:rsidRDefault="00AE4FCE">
          <w:pPr>
            <w:pBdr>
              <w:top w:val="nil"/>
              <w:left w:val="nil"/>
              <w:bottom w:val="nil"/>
              <w:right w:val="nil"/>
              <w:between w:val="nil"/>
            </w:pBdr>
            <w:tabs>
              <w:tab w:val="right" w:leader="dot" w:pos="9016"/>
            </w:tabs>
            <w:spacing w:after="100"/>
            <w:ind w:left="240"/>
            <w:rPr>
              <w:color w:val="000000"/>
            </w:rPr>
          </w:pPr>
          <w:hyperlink w:anchor="_heading=h.swg3f6wr2znr">
            <w:r>
              <w:rPr>
                <w:color w:val="000000"/>
              </w:rPr>
              <w:t>5.2 Interpretation Relative to Cost of Capital and Limitations</w:t>
            </w:r>
            <w:r>
              <w:rPr>
                <w:color w:val="000000"/>
              </w:rPr>
              <w:tab/>
              <w:t>23</w:t>
            </w:r>
          </w:hyperlink>
        </w:p>
        <w:p w14:paraId="11E2CA82" w14:textId="77777777" w:rsidR="00AB160D" w:rsidRDefault="00AE4FCE">
          <w:pPr>
            <w:pBdr>
              <w:top w:val="nil"/>
              <w:left w:val="nil"/>
              <w:bottom w:val="nil"/>
              <w:right w:val="nil"/>
              <w:between w:val="nil"/>
            </w:pBdr>
            <w:tabs>
              <w:tab w:val="right" w:leader="dot" w:pos="9016"/>
            </w:tabs>
            <w:spacing w:after="100"/>
            <w:rPr>
              <w:color w:val="000000"/>
            </w:rPr>
          </w:pPr>
          <w:hyperlink w:anchor="_heading=h.ib1xv04i8pjb">
            <w:r>
              <w:rPr>
                <w:color w:val="000000"/>
              </w:rPr>
              <w:t>6. Interpretation of Investment Appraisal Methods</w:t>
            </w:r>
            <w:r>
              <w:rPr>
                <w:color w:val="000000"/>
              </w:rPr>
              <w:tab/>
              <w:t>23</w:t>
            </w:r>
          </w:hyperlink>
        </w:p>
        <w:p w14:paraId="447F8CA8" w14:textId="77777777" w:rsidR="00AB160D" w:rsidRDefault="00AE4FCE">
          <w:pPr>
            <w:pBdr>
              <w:top w:val="nil"/>
              <w:left w:val="nil"/>
              <w:bottom w:val="nil"/>
              <w:right w:val="nil"/>
              <w:between w:val="nil"/>
            </w:pBdr>
            <w:tabs>
              <w:tab w:val="right" w:leader="dot" w:pos="9016"/>
            </w:tabs>
            <w:spacing w:after="100"/>
            <w:rPr>
              <w:color w:val="000000"/>
            </w:rPr>
          </w:pPr>
          <w:hyperlink w:anchor="_heading=h.ytal0mnpqtjj">
            <w:r>
              <w:rPr>
                <w:color w:val="000000"/>
              </w:rPr>
              <w:t>7. Non-Financial Considerations in Investment Appraisal</w:t>
            </w:r>
            <w:r>
              <w:rPr>
                <w:color w:val="000000"/>
              </w:rPr>
              <w:tab/>
              <w:t>24</w:t>
            </w:r>
          </w:hyperlink>
        </w:p>
        <w:p w14:paraId="6C43E20B" w14:textId="77777777" w:rsidR="00AB160D" w:rsidRDefault="00AE4FCE">
          <w:pPr>
            <w:pBdr>
              <w:top w:val="nil"/>
              <w:left w:val="nil"/>
              <w:bottom w:val="nil"/>
              <w:right w:val="nil"/>
              <w:between w:val="nil"/>
            </w:pBdr>
            <w:tabs>
              <w:tab w:val="right" w:leader="dot" w:pos="9016"/>
            </w:tabs>
            <w:spacing w:after="100"/>
            <w:rPr>
              <w:color w:val="000000"/>
            </w:rPr>
          </w:pPr>
          <w:hyperlink w:anchor="_heading=h.b1j2b7exsncn">
            <w:r>
              <w:rPr>
                <w:color w:val="000000"/>
              </w:rPr>
              <w:t>8. Optimal Investment Policy</w:t>
            </w:r>
            <w:r>
              <w:rPr>
                <w:color w:val="000000"/>
              </w:rPr>
              <w:tab/>
              <w:t>24</w:t>
            </w:r>
          </w:hyperlink>
        </w:p>
        <w:p w14:paraId="0343B81C" w14:textId="77777777" w:rsidR="00AB160D" w:rsidRDefault="00AE4FCE">
          <w:pPr>
            <w:pBdr>
              <w:top w:val="nil"/>
              <w:left w:val="nil"/>
              <w:bottom w:val="nil"/>
              <w:right w:val="nil"/>
              <w:between w:val="nil"/>
            </w:pBdr>
            <w:tabs>
              <w:tab w:val="right" w:leader="dot" w:pos="9016"/>
            </w:tabs>
            <w:spacing w:after="100"/>
            <w:ind w:left="240"/>
            <w:rPr>
              <w:color w:val="000000"/>
            </w:rPr>
          </w:pPr>
          <w:hyperlink w:anchor="_heading=h.8dbhd7vkfmuf">
            <w:r>
              <w:rPr>
                <w:color w:val="000000"/>
              </w:rPr>
              <w:t>8.1 Approach</w:t>
            </w:r>
            <w:r>
              <w:rPr>
                <w:color w:val="000000"/>
              </w:rPr>
              <w:tab/>
              <w:t>25</w:t>
            </w:r>
          </w:hyperlink>
        </w:p>
        <w:p w14:paraId="57FAC43D" w14:textId="77777777" w:rsidR="00AB160D" w:rsidRDefault="00AE4FCE">
          <w:pPr>
            <w:pBdr>
              <w:top w:val="nil"/>
              <w:left w:val="nil"/>
              <w:bottom w:val="nil"/>
              <w:right w:val="nil"/>
              <w:between w:val="nil"/>
            </w:pBdr>
            <w:tabs>
              <w:tab w:val="right" w:leader="dot" w:pos="9016"/>
            </w:tabs>
            <w:spacing w:after="100"/>
            <w:ind w:left="240"/>
            <w:rPr>
              <w:color w:val="000000"/>
            </w:rPr>
          </w:pPr>
          <w:hyperlink w:anchor="_heading=h.xexw9swknxj1">
            <w:r>
              <w:rPr>
                <w:color w:val="000000"/>
              </w:rPr>
              <w:t>8.2 Results and recommendations</w:t>
            </w:r>
            <w:r>
              <w:rPr>
                <w:color w:val="000000"/>
              </w:rPr>
              <w:tab/>
              <w:t>25</w:t>
            </w:r>
          </w:hyperlink>
        </w:p>
        <w:p w14:paraId="4A474F99" w14:textId="77777777" w:rsidR="00AB160D" w:rsidRDefault="00AE4FCE">
          <w:pPr>
            <w:pBdr>
              <w:top w:val="nil"/>
              <w:left w:val="nil"/>
              <w:bottom w:val="nil"/>
              <w:right w:val="nil"/>
              <w:between w:val="nil"/>
            </w:pBdr>
            <w:tabs>
              <w:tab w:val="right" w:leader="dot" w:pos="9016"/>
            </w:tabs>
            <w:spacing w:after="100"/>
            <w:rPr>
              <w:color w:val="000000"/>
            </w:rPr>
          </w:pPr>
          <w:hyperlink w:anchor="_heading=h.v4g9ulsjxtvd">
            <w:r>
              <w:rPr>
                <w:color w:val="000000"/>
              </w:rPr>
              <w:t>9. Financing the Investment Programme</w:t>
            </w:r>
            <w:r>
              <w:rPr>
                <w:color w:val="000000"/>
              </w:rPr>
              <w:tab/>
              <w:t>26</w:t>
            </w:r>
          </w:hyperlink>
        </w:p>
        <w:p w14:paraId="2CC57F98" w14:textId="77777777" w:rsidR="00AB160D" w:rsidRDefault="00AE4FCE">
          <w:pPr>
            <w:pBdr>
              <w:top w:val="nil"/>
              <w:left w:val="nil"/>
              <w:bottom w:val="nil"/>
              <w:right w:val="nil"/>
              <w:between w:val="nil"/>
            </w:pBdr>
            <w:tabs>
              <w:tab w:val="right" w:leader="dot" w:pos="9016"/>
            </w:tabs>
            <w:spacing w:after="100"/>
            <w:ind w:left="240"/>
            <w:rPr>
              <w:color w:val="000000"/>
            </w:rPr>
          </w:pPr>
          <w:hyperlink w:anchor="_heading=h.e5yi0uacas4n">
            <w:r>
              <w:rPr>
                <w:color w:val="000000"/>
              </w:rPr>
              <w:t>9.1 Main sources of finance</w:t>
            </w:r>
            <w:r>
              <w:rPr>
                <w:color w:val="000000"/>
              </w:rPr>
              <w:tab/>
              <w:t>26</w:t>
            </w:r>
          </w:hyperlink>
        </w:p>
        <w:p w14:paraId="2FBCA9FC" w14:textId="77777777" w:rsidR="00AB160D" w:rsidRDefault="00AE4FCE">
          <w:pPr>
            <w:pBdr>
              <w:top w:val="nil"/>
              <w:left w:val="nil"/>
              <w:bottom w:val="nil"/>
              <w:right w:val="nil"/>
              <w:between w:val="nil"/>
            </w:pBdr>
            <w:tabs>
              <w:tab w:val="right" w:leader="dot" w:pos="9016"/>
            </w:tabs>
            <w:spacing w:after="100"/>
            <w:ind w:left="240"/>
            <w:rPr>
              <w:color w:val="000000"/>
            </w:rPr>
          </w:pPr>
          <w:hyperlink w:anchor="_heading=h.q9azyhm8hfk8">
            <w:r>
              <w:rPr>
                <w:color w:val="000000"/>
              </w:rPr>
              <w:t>9.2 Recommended Financing Mix</w:t>
            </w:r>
            <w:r>
              <w:rPr>
                <w:color w:val="000000"/>
              </w:rPr>
              <w:tab/>
              <w:t>26</w:t>
            </w:r>
          </w:hyperlink>
        </w:p>
        <w:p w14:paraId="73D1F220" w14:textId="77777777" w:rsidR="00AB160D" w:rsidRDefault="00AE4FCE">
          <w:pPr>
            <w:pBdr>
              <w:top w:val="nil"/>
              <w:left w:val="nil"/>
              <w:bottom w:val="nil"/>
              <w:right w:val="nil"/>
              <w:between w:val="nil"/>
            </w:pBdr>
            <w:tabs>
              <w:tab w:val="right" w:leader="dot" w:pos="9016"/>
            </w:tabs>
            <w:spacing w:after="100"/>
            <w:rPr>
              <w:color w:val="000000"/>
            </w:rPr>
          </w:pPr>
          <w:hyperlink w:anchor="_heading=h.5cabbb8htkiu">
            <w:r>
              <w:rPr>
                <w:color w:val="000000"/>
              </w:rPr>
              <w:t>Conclusion</w:t>
            </w:r>
            <w:r>
              <w:rPr>
                <w:color w:val="000000"/>
              </w:rPr>
              <w:tab/>
              <w:t>26</w:t>
            </w:r>
          </w:hyperlink>
        </w:p>
        <w:p w14:paraId="58429DB3" w14:textId="77777777" w:rsidR="00AB160D" w:rsidRDefault="00AE4FCE">
          <w:pPr>
            <w:pBdr>
              <w:top w:val="nil"/>
              <w:left w:val="nil"/>
              <w:bottom w:val="nil"/>
              <w:right w:val="nil"/>
              <w:between w:val="nil"/>
            </w:pBdr>
            <w:tabs>
              <w:tab w:val="right" w:leader="dot" w:pos="9016"/>
            </w:tabs>
            <w:spacing w:after="100"/>
            <w:rPr>
              <w:color w:val="000000"/>
            </w:rPr>
          </w:pPr>
          <w:hyperlink w:anchor="_heading=h.oozhm7w1zcew">
            <w:r>
              <w:rPr>
                <w:color w:val="000000"/>
              </w:rPr>
              <w:t>Reference List</w:t>
            </w:r>
            <w:r>
              <w:rPr>
                <w:color w:val="000000"/>
              </w:rPr>
              <w:tab/>
              <w:t>28</w:t>
            </w:r>
          </w:hyperlink>
        </w:p>
        <w:p w14:paraId="0EA8C169" w14:textId="77777777" w:rsidR="00AB160D" w:rsidRDefault="00AE4FCE">
          <w:pPr>
            <w:pBdr>
              <w:top w:val="nil"/>
              <w:left w:val="nil"/>
              <w:bottom w:val="nil"/>
              <w:right w:val="nil"/>
              <w:between w:val="nil"/>
            </w:pBdr>
            <w:tabs>
              <w:tab w:val="right" w:leader="dot" w:pos="9016"/>
            </w:tabs>
            <w:spacing w:after="100"/>
            <w:rPr>
              <w:color w:val="000000"/>
            </w:rPr>
          </w:pPr>
          <w:hyperlink w:anchor="_heading=h.ywrmi1ca7ciu">
            <w:r>
              <w:rPr>
                <w:color w:val="000000"/>
              </w:rPr>
              <w:t>Appendices</w:t>
            </w:r>
            <w:r>
              <w:rPr>
                <w:color w:val="000000"/>
              </w:rPr>
              <w:tab/>
              <w:t>31</w:t>
            </w:r>
          </w:hyperlink>
        </w:p>
        <w:p w14:paraId="7B108367" w14:textId="77777777" w:rsidR="00AB160D" w:rsidRDefault="00AE4FCE">
          <w:pPr>
            <w:pBdr>
              <w:top w:val="nil"/>
              <w:left w:val="nil"/>
              <w:bottom w:val="nil"/>
              <w:right w:val="nil"/>
              <w:between w:val="nil"/>
            </w:pBdr>
            <w:tabs>
              <w:tab w:val="right" w:leader="dot" w:pos="9016"/>
            </w:tabs>
            <w:spacing w:after="100"/>
            <w:ind w:left="240"/>
            <w:rPr>
              <w:color w:val="000000"/>
            </w:rPr>
          </w:pPr>
          <w:hyperlink w:anchor="_heading=h.zenq9hljm72w">
            <w:r>
              <w:rPr>
                <w:color w:val="000000"/>
              </w:rPr>
              <w:t>Appendix A: FINANCIAL STATEMENTS</w:t>
            </w:r>
            <w:r>
              <w:rPr>
                <w:color w:val="000000"/>
              </w:rPr>
              <w:tab/>
              <w:t>31</w:t>
            </w:r>
          </w:hyperlink>
        </w:p>
        <w:p w14:paraId="438DF157" w14:textId="77777777" w:rsidR="00AB160D" w:rsidRDefault="00AE4FCE">
          <w:pPr>
            <w:pBdr>
              <w:top w:val="nil"/>
              <w:left w:val="nil"/>
              <w:bottom w:val="nil"/>
              <w:right w:val="nil"/>
              <w:between w:val="nil"/>
            </w:pBdr>
            <w:tabs>
              <w:tab w:val="right" w:leader="dot" w:pos="9016"/>
            </w:tabs>
            <w:spacing w:after="100"/>
            <w:ind w:left="240"/>
            <w:rPr>
              <w:color w:val="000000"/>
            </w:rPr>
          </w:pPr>
          <w:hyperlink w:anchor="_heading=h.scnzxay4rozh">
            <w:r>
              <w:rPr>
                <w:color w:val="000000"/>
              </w:rPr>
              <w:t>Appendix B: RATIO CALCULATIONS</w:t>
            </w:r>
            <w:r>
              <w:rPr>
                <w:color w:val="000000"/>
              </w:rPr>
              <w:tab/>
              <w:t>31</w:t>
            </w:r>
          </w:hyperlink>
        </w:p>
        <w:p w14:paraId="3770783D" w14:textId="77777777" w:rsidR="00AB160D" w:rsidRDefault="00AE4FCE">
          <w:r>
            <w:fldChar w:fldCharType="end"/>
          </w:r>
        </w:p>
      </w:sdtContent>
    </w:sdt>
    <w:p w14:paraId="70C189A2" w14:textId="77777777" w:rsidR="00AB160D" w:rsidRDefault="00AE4FCE">
      <w:pPr>
        <w:spacing w:after="160" w:line="278" w:lineRule="auto"/>
        <w:jc w:val="left"/>
        <w:rPr>
          <w:b/>
          <w:bCs/>
          <w:color w:val="215E99"/>
          <w:sz w:val="28"/>
          <w:szCs w:val="28"/>
        </w:rPr>
      </w:pPr>
      <w:r>
        <w:br w:type="page"/>
      </w:r>
    </w:p>
    <w:p w14:paraId="4BCA0503" w14:textId="77777777" w:rsidR="00AB160D" w:rsidRDefault="00AE4FCE">
      <w:pPr>
        <w:pStyle w:val="Heading1"/>
      </w:pPr>
      <w:bookmarkStart w:id="0" w:name="_heading=h.g38nzjqicm39" w:colFirst="0" w:colLast="0"/>
      <w:bookmarkEnd w:id="0"/>
      <w:r>
        <w:lastRenderedPageBreak/>
        <w:t>Introduction</w:t>
      </w:r>
    </w:p>
    <w:p w14:paraId="202F12FE" w14:textId="77777777" w:rsidR="00AB160D" w:rsidRDefault="00AE4FCE">
      <w:pPr>
        <w:rPr>
          <w:b/>
          <w:bCs/>
        </w:rPr>
      </w:pPr>
      <w:r>
        <w:t>The report is an analysis of the financial performance and investment choices of two businesses in a business finance setting. Part 1 discusses Tesco plc in terms of ratio analysis to determine profitability, liquidity, efficiency, gearing and investor returns in the period 2024 to 2025. Part 2 will look at the capital investment opportunities of Beard Plc based on the appraisal methods of Net Present Value (NPV) and Internal Rate of Return (IRR), to come up with the most financially viable approach towards</w:t>
      </w:r>
      <w:r>
        <w:t xml:space="preserve"> sustainable growth and value creation.</w:t>
      </w:r>
    </w:p>
    <w:p w14:paraId="48F85804" w14:textId="77777777" w:rsidR="00AB160D" w:rsidRDefault="00AE4FCE">
      <w:pPr>
        <w:pStyle w:val="Heading1"/>
      </w:pPr>
      <w:bookmarkStart w:id="1" w:name="_heading=h.mhavek2frn6o" w:colFirst="0" w:colLast="0"/>
      <w:bookmarkEnd w:id="1"/>
      <w:r>
        <w:t xml:space="preserve">TASK 1 </w:t>
      </w:r>
    </w:p>
    <w:p w14:paraId="7A555EB3" w14:textId="77777777" w:rsidR="00AB160D" w:rsidRDefault="00AE4FCE">
      <w:pPr>
        <w:pStyle w:val="Heading1"/>
      </w:pPr>
      <w:bookmarkStart w:id="2" w:name="_heading=h.amh0yqbu2vo5" w:colFirst="0" w:colLast="0"/>
      <w:bookmarkEnd w:id="2"/>
      <w:r>
        <w:t xml:space="preserve">1. Introduction </w:t>
      </w:r>
    </w:p>
    <w:p w14:paraId="381F03A5" w14:textId="77777777" w:rsidR="00AB160D" w:rsidRPr="00D9605D" w:rsidRDefault="00AE4FCE">
      <w:pPr>
        <w:rPr>
          <w:color w:val="000000" w:themeColor="text1"/>
        </w:rPr>
      </w:pPr>
      <w:r w:rsidRPr="00D9605D">
        <w:rPr>
          <w:color w:val="000000" w:themeColor="text1"/>
        </w:rPr>
        <w:t>Tesco plc is a giant retail organisation in the United Kingdom and operates within the groceries, clothing and general merchandise industry with a large market share in the ever-competitive retail food markets. The company is a key component of the UK economy, as it serves millions of customers every week in the stores and online. Statista reports that Tesco has always occupied the top spot in the UK grocery market and it controls around 27% of the market share in the UK in 2024 (Statista Research Departmen</w:t>
      </w:r>
      <w:r w:rsidRPr="00D9605D">
        <w:rPr>
          <w:color w:val="000000" w:themeColor="text1"/>
        </w:rPr>
        <w:t>t; 2025).</w:t>
      </w:r>
    </w:p>
    <w:p w14:paraId="18DBAC22" w14:textId="77777777" w:rsidR="00AB160D" w:rsidRPr="00D9605D" w:rsidRDefault="00AE4FCE">
      <w:pPr>
        <w:rPr>
          <w:color w:val="000000" w:themeColor="text1"/>
        </w:rPr>
      </w:pPr>
      <w:r w:rsidRPr="00D9605D">
        <w:rPr>
          <w:color w:val="000000" w:themeColor="text1"/>
        </w:rPr>
        <w:t>Recently, the UK retail sector has been experiencing a lot of challenges especially with the increase in inflation and the cost-of-living crisis, which has been greatly affecting the consumer purchasing behaviour (Meadows,</w:t>
      </w:r>
      <w:r w:rsidRPr="00D9605D">
        <w:rPr>
          <w:i/>
          <w:iCs/>
          <w:color w:val="000000" w:themeColor="text1"/>
        </w:rPr>
        <w:t>et al</w:t>
      </w:r>
      <w:r w:rsidRPr="00D9605D">
        <w:rPr>
          <w:color w:val="000000" w:themeColor="text1"/>
        </w:rPr>
        <w:t>., 2024). Inflation of food prices reached high levels of more than 15% in 2023 and this has put the consumers and retailers in a position to control their costs and remain profitable (Matthews, 2023). This has been an environment that has necessitated companies like Tesco to embrace the use of strategic pricing and cost-control strategies to maintain financial performance.</w:t>
      </w:r>
    </w:p>
    <w:p w14:paraId="3E674A00" w14:textId="77777777" w:rsidR="00AB160D" w:rsidRPr="00D9605D" w:rsidRDefault="00AE4FCE">
      <w:pPr>
        <w:rPr>
          <w:color w:val="000000" w:themeColor="text1"/>
        </w:rPr>
      </w:pPr>
      <w:r w:rsidRPr="00D9605D">
        <w:rPr>
          <w:color w:val="000000" w:themeColor="text1"/>
        </w:rPr>
        <w:t>Managers, investors, creditors and other stakeholders use financial statement analysis as an essential tool to assess the performance and financial stability of an organisation. The study of financial statements helps stakeholders evaluate profitability, liquidity, operational efficiency, financial risk, and more, which aids in informed decision making. Atrill (2019) states that ratio analysis can be used to make meaningful comparisons between accounting periods, and also highlight trends that may not be im</w:t>
      </w:r>
      <w:r w:rsidRPr="00D9605D">
        <w:rPr>
          <w:color w:val="000000" w:themeColor="text1"/>
        </w:rPr>
        <w:t xml:space="preserve">mediately apparent from the financial statements. As a result, ratio </w:t>
      </w:r>
      <w:r w:rsidRPr="00D9605D">
        <w:rPr>
          <w:color w:val="000000" w:themeColor="text1"/>
        </w:rPr>
        <w:lastRenderedPageBreak/>
        <w:t>analysis is popularly applied to evaluate the effectiveness of management decisions and to gain an overall view of the financial well-being of an organisation.</w:t>
      </w:r>
    </w:p>
    <w:p w14:paraId="1B8EBDF1" w14:textId="77777777" w:rsidR="00AB160D" w:rsidRPr="00D9605D" w:rsidRDefault="00AE4FCE">
      <w:pPr>
        <w:rPr>
          <w:color w:val="000000" w:themeColor="text1"/>
        </w:rPr>
      </w:pPr>
      <w:r w:rsidRPr="00D9605D">
        <w:rPr>
          <w:color w:val="000000" w:themeColor="text1"/>
        </w:rPr>
        <w:t>There are several types of financial ratios, which can be used to measure the performance of a company in a comprehensive way. Profitability ratios will indicate the organisation's profit-making ability and will indicate the organisation's ability to settle short-term financial obligations. Efficiency ratios look at the effectiveness of the use of resources and assets, while gearing ratios look at the amount of financial risk by using credit. Investor ratios concentrate on the returns to shareholders and th</w:t>
      </w:r>
      <w:r w:rsidRPr="00D9605D">
        <w:rPr>
          <w:color w:val="000000" w:themeColor="text1"/>
        </w:rPr>
        <w:t>e investment appeal. These measures offer a thorough evaluation of Tesco plc's financial performance in a tough UK retail market.</w:t>
      </w:r>
    </w:p>
    <w:p w14:paraId="4E197528" w14:textId="77777777" w:rsidR="00AB160D" w:rsidRPr="00D9605D" w:rsidRDefault="00AE4FCE">
      <w:pPr>
        <w:rPr>
          <w:color w:val="000000" w:themeColor="text1"/>
        </w:rPr>
      </w:pPr>
      <w:r w:rsidRPr="00D9605D">
        <w:rPr>
          <w:color w:val="000000" w:themeColor="text1"/>
        </w:rPr>
        <w:t>The retail sector is of particular significance in terms of financial ratio analysis, due to the low profit margin and high level of competition. Profitability, working capital management and financing decisions are constantly under a retail firm's radar to keep its sustainability and shareholder value going. Hence, a proper evaluation of a business's financial performance should take into account the efficiency of the operation and the general economic circumstances that impact the sector.</w:t>
      </w:r>
    </w:p>
    <w:p w14:paraId="41B0589F" w14:textId="77777777" w:rsidR="00AB160D" w:rsidRPr="00D9605D" w:rsidRDefault="00AE4FCE">
      <w:pPr>
        <w:pStyle w:val="Heading1"/>
        <w:rPr>
          <w:color w:val="000000" w:themeColor="text1"/>
        </w:rPr>
      </w:pPr>
      <w:bookmarkStart w:id="3" w:name="_heading=h.7ih35nujyhrw" w:colFirst="0" w:colLast="0"/>
      <w:bookmarkEnd w:id="3"/>
      <w:r w:rsidRPr="00D9605D">
        <w:rPr>
          <w:color w:val="000000" w:themeColor="text1"/>
        </w:rPr>
        <w:t xml:space="preserve">2. Ratio Analysis &amp; Interpretation </w:t>
      </w:r>
    </w:p>
    <w:p w14:paraId="2544A47B" w14:textId="77777777" w:rsidR="00AB160D" w:rsidRPr="00D9605D" w:rsidRDefault="00AE4FCE">
      <w:pPr>
        <w:pStyle w:val="Heading2"/>
        <w:rPr>
          <w:color w:val="000000" w:themeColor="text1"/>
        </w:rPr>
      </w:pPr>
      <w:bookmarkStart w:id="4" w:name="_heading=h.iq9a5bm3zisw" w:colFirst="0" w:colLast="0"/>
      <w:bookmarkEnd w:id="4"/>
      <w:r w:rsidRPr="00D9605D">
        <w:rPr>
          <w:rFonts w:ascii="Quattrocento Sans" w:eastAsia="Quattrocento Sans" w:hAnsi="Quattrocento Sans" w:cs="Quattrocento Sans"/>
          <w:color w:val="000000" w:themeColor="text1"/>
        </w:rPr>
        <w:t>2</w:t>
      </w:r>
      <w:r w:rsidRPr="00D9605D">
        <w:rPr>
          <w:color w:val="000000" w:themeColor="text1"/>
        </w:rPr>
        <w:t>.1 Profitability Ratios</w:t>
      </w:r>
    </w:p>
    <w:p w14:paraId="5566B88E" w14:textId="77777777" w:rsidR="00AB160D" w:rsidRPr="00D9605D" w:rsidRDefault="00AE4FCE">
      <w:pPr>
        <w:rPr>
          <w:color w:val="000000" w:themeColor="text1"/>
        </w:rPr>
      </w:pPr>
      <w:r w:rsidRPr="00D9605D">
        <w:rPr>
          <w:color w:val="000000" w:themeColor="text1"/>
        </w:rPr>
        <w:t xml:space="preserve">The profitability ratios are needed to determine the capability of Tesco plc to earn profits in a very competitive retail market. Table 1 indicates that Tesco has seen an </w:t>
      </w:r>
      <w:r w:rsidRPr="00D9605D">
        <w:rPr>
          <w:b/>
          <w:bCs/>
          <w:color w:val="000000" w:themeColor="text1"/>
        </w:rPr>
        <w:t>improvement in operating profit margin, which was</w:t>
      </w:r>
      <w:r w:rsidRPr="00D9605D">
        <w:rPr>
          <w:color w:val="000000" w:themeColor="text1"/>
        </w:rPr>
        <w:t xml:space="preserve"> </w:t>
      </w:r>
      <w:r w:rsidRPr="00D9605D">
        <w:rPr>
          <w:b/>
          <w:bCs/>
          <w:color w:val="000000" w:themeColor="text1"/>
        </w:rPr>
        <w:t>4.59% in 2024 to 4.92% in 2025, and ROCE which was 11.5% in 2024 to 12.5% in 2025</w:t>
      </w:r>
      <w:r w:rsidRPr="00D9605D">
        <w:rPr>
          <w:color w:val="000000" w:themeColor="text1"/>
        </w:rPr>
        <w:t xml:space="preserve">, reflecting better efficiency in its ability to generate returns on the capital employed. </w:t>
      </w:r>
      <w:r w:rsidRPr="00D9605D">
        <w:rPr>
          <w:color w:val="000000" w:themeColor="text1"/>
        </w:rPr>
        <w:t>Operating profit margin is a key measure of operational efficiency which is the proportion of revenue that becomes operating profit (Atrill, 2019). The food retail industry in the UK has low profit margins of around 3% to 5% in general, and is highly competitive..</w:t>
      </w:r>
    </w:p>
    <w:p w14:paraId="60C3106D" w14:textId="77777777" w:rsidR="00AB160D" w:rsidRPr="00D9605D" w:rsidRDefault="00AB160D">
      <w:pPr>
        <w:rPr>
          <w:color w:val="000000" w:themeColor="text1"/>
        </w:rPr>
      </w:pPr>
    </w:p>
    <w:p w14:paraId="365A1491" w14:textId="77777777" w:rsidR="00AB160D" w:rsidRPr="00D9605D" w:rsidRDefault="00AB160D">
      <w:pPr>
        <w:rPr>
          <w:color w:val="000000" w:themeColor="text1"/>
        </w:rPr>
      </w:pPr>
    </w:p>
    <w:tbl>
      <w:tblPr>
        <w:tblStyle w:val="a"/>
        <w:tblW w:w="8630" w:type="dxa"/>
        <w:tblInd w:w="0" w:type="dxa"/>
        <w:tblBorders>
          <w:top w:val="single" w:sz="4" w:space="0" w:color="45B0E1"/>
          <w:left w:val="single" w:sz="4" w:space="0" w:color="45B0E1"/>
          <w:bottom w:val="single" w:sz="4" w:space="0" w:color="45B0E1"/>
          <w:right w:val="single" w:sz="4" w:space="0" w:color="45B0E1"/>
          <w:insideH w:val="single" w:sz="4" w:space="0" w:color="45B0E1"/>
          <w:insideV w:val="single" w:sz="4" w:space="0" w:color="45B0E1"/>
        </w:tblBorders>
        <w:tblLayout w:type="fixed"/>
        <w:tblLook w:val="04A0" w:firstRow="1" w:lastRow="0" w:firstColumn="1" w:lastColumn="0" w:noHBand="0" w:noVBand="1"/>
      </w:tblPr>
      <w:tblGrid>
        <w:gridCol w:w="2876"/>
        <w:gridCol w:w="2877"/>
        <w:gridCol w:w="2877"/>
      </w:tblGrid>
      <w:tr w:rsidR="00AB160D" w:rsidRPr="00D9605D" w14:paraId="323470FB" w14:textId="77777777" w:rsidTr="00AB16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gridSpan w:val="3"/>
          </w:tcPr>
          <w:p w14:paraId="38D3D8E4" w14:textId="77777777" w:rsidR="00AB160D" w:rsidRPr="00D9605D" w:rsidRDefault="00AE4FCE">
            <w:pPr>
              <w:jc w:val="center"/>
              <w:rPr>
                <w:color w:val="000000" w:themeColor="text1"/>
              </w:rPr>
            </w:pPr>
            <w:r w:rsidRPr="00D9605D">
              <w:rPr>
                <w:color w:val="000000" w:themeColor="text1"/>
              </w:rPr>
              <w:t>Operating Profit Margin</w:t>
            </w:r>
          </w:p>
        </w:tc>
      </w:tr>
      <w:tr w:rsidR="00AB160D" w:rsidRPr="00D9605D" w14:paraId="2433A5BE" w14:textId="77777777" w:rsidTr="00AB16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14:paraId="20DF11F8" w14:textId="77777777" w:rsidR="00AB160D" w:rsidRPr="00D9605D" w:rsidRDefault="00AB160D">
            <w:pPr>
              <w:rPr>
                <w:color w:val="000000" w:themeColor="text1"/>
              </w:rPr>
            </w:pPr>
          </w:p>
        </w:tc>
        <w:tc>
          <w:tcPr>
            <w:tcW w:w="2877" w:type="dxa"/>
          </w:tcPr>
          <w:p w14:paraId="28C12732" w14:textId="77777777" w:rsidR="00AB160D" w:rsidRPr="00D9605D" w:rsidRDefault="00AE4FCE">
            <w:pPr>
              <w:cnfStyle w:val="000000100000" w:firstRow="0" w:lastRow="0" w:firstColumn="0" w:lastColumn="0" w:oddVBand="0" w:evenVBand="0" w:oddHBand="1" w:evenHBand="0" w:firstRowFirstColumn="0" w:firstRowLastColumn="0" w:lastRowFirstColumn="0" w:lastRowLastColumn="0"/>
              <w:rPr>
                <w:b/>
                <w:bCs/>
                <w:color w:val="000000" w:themeColor="text1"/>
              </w:rPr>
            </w:pPr>
            <w:r w:rsidRPr="00D9605D">
              <w:rPr>
                <w:b/>
                <w:bCs/>
                <w:color w:val="000000" w:themeColor="text1"/>
              </w:rPr>
              <w:t>2025</w:t>
            </w:r>
          </w:p>
        </w:tc>
        <w:tc>
          <w:tcPr>
            <w:tcW w:w="2877" w:type="dxa"/>
          </w:tcPr>
          <w:p w14:paraId="15096350" w14:textId="77777777" w:rsidR="00AB160D" w:rsidRPr="00D9605D" w:rsidRDefault="00AE4FCE">
            <w:pPr>
              <w:cnfStyle w:val="000000100000" w:firstRow="0" w:lastRow="0" w:firstColumn="0" w:lastColumn="0" w:oddVBand="0" w:evenVBand="0" w:oddHBand="1" w:evenHBand="0" w:firstRowFirstColumn="0" w:firstRowLastColumn="0" w:lastRowFirstColumn="0" w:lastRowLastColumn="0"/>
              <w:rPr>
                <w:b/>
                <w:bCs/>
                <w:color w:val="000000" w:themeColor="text1"/>
              </w:rPr>
            </w:pPr>
            <w:r w:rsidRPr="00D9605D">
              <w:rPr>
                <w:b/>
                <w:bCs/>
                <w:color w:val="000000" w:themeColor="text1"/>
              </w:rPr>
              <w:t>2024</w:t>
            </w:r>
          </w:p>
        </w:tc>
      </w:tr>
      <w:tr w:rsidR="00AB160D" w:rsidRPr="00D9605D" w14:paraId="7E174B60" w14:textId="77777777" w:rsidTr="00AB160D">
        <w:trPr>
          <w:trHeight w:val="838"/>
        </w:trPr>
        <w:tc>
          <w:tcPr>
            <w:cnfStyle w:val="001000000000" w:firstRow="0" w:lastRow="0" w:firstColumn="1" w:lastColumn="0" w:oddVBand="0" w:evenVBand="0" w:oddHBand="0" w:evenHBand="0" w:firstRowFirstColumn="0" w:firstRowLastColumn="0" w:lastRowFirstColumn="0" w:lastRowLastColumn="0"/>
            <w:tcW w:w="2876" w:type="dxa"/>
          </w:tcPr>
          <w:p w14:paraId="6C6A2DE8" w14:textId="77777777" w:rsidR="00AB160D" w:rsidRPr="00D9605D" w:rsidRDefault="00AE4FCE">
            <w:pPr>
              <w:rPr>
                <w:color w:val="000000" w:themeColor="text1"/>
              </w:rPr>
            </w:pPr>
            <w:r w:rsidRPr="00D9605D">
              <w:rPr>
                <w:color w:val="000000" w:themeColor="text1"/>
              </w:rPr>
              <w:t>(Operating Profit / Revenue) × 100</w:t>
            </w:r>
          </w:p>
        </w:tc>
        <w:tc>
          <w:tcPr>
            <w:tcW w:w="2877" w:type="dxa"/>
          </w:tcPr>
          <w:p w14:paraId="40700CDA" w14:textId="77777777" w:rsidR="00AB160D" w:rsidRPr="00D9605D" w:rsidRDefault="00AE4FCE">
            <w:pPr>
              <w:cnfStyle w:val="000000000000" w:firstRow="0" w:lastRow="0" w:firstColumn="0" w:lastColumn="0" w:oddVBand="0" w:evenVBand="0" w:oddHBand="0" w:evenHBand="0" w:firstRowFirstColumn="0" w:firstRowLastColumn="0" w:lastRowFirstColumn="0" w:lastRowLastColumn="0"/>
              <w:rPr>
                <w:b/>
                <w:bCs/>
                <w:color w:val="000000" w:themeColor="text1"/>
              </w:rPr>
            </w:pPr>
            <w:r w:rsidRPr="00D9605D">
              <w:rPr>
                <w:b/>
                <w:bCs/>
                <w:color w:val="000000" w:themeColor="text1"/>
              </w:rPr>
              <w:t>4.92%</w:t>
            </w:r>
          </w:p>
        </w:tc>
        <w:tc>
          <w:tcPr>
            <w:tcW w:w="2877" w:type="dxa"/>
          </w:tcPr>
          <w:p w14:paraId="25A9CC82" w14:textId="77777777" w:rsidR="00AB160D" w:rsidRPr="00D9605D" w:rsidRDefault="00AE4FCE">
            <w:pPr>
              <w:cnfStyle w:val="000000000000" w:firstRow="0" w:lastRow="0" w:firstColumn="0" w:lastColumn="0" w:oddVBand="0" w:evenVBand="0" w:oddHBand="0" w:evenHBand="0" w:firstRowFirstColumn="0" w:firstRowLastColumn="0" w:lastRowFirstColumn="0" w:lastRowLastColumn="0"/>
              <w:rPr>
                <w:b/>
                <w:bCs/>
                <w:color w:val="000000" w:themeColor="text1"/>
              </w:rPr>
            </w:pPr>
            <w:r w:rsidRPr="00D9605D">
              <w:rPr>
                <w:b/>
                <w:bCs/>
                <w:color w:val="000000" w:themeColor="text1"/>
              </w:rPr>
              <w:t>4.59%</w:t>
            </w:r>
          </w:p>
        </w:tc>
      </w:tr>
      <w:tr w:rsidR="00AB160D" w:rsidRPr="00D9605D" w14:paraId="290AD14B" w14:textId="77777777" w:rsidTr="00AB160D">
        <w:trPr>
          <w:cnfStyle w:val="000000100000" w:firstRow="0" w:lastRow="0" w:firstColumn="0" w:lastColumn="0" w:oddVBand="0" w:evenVBand="0" w:oddHBand="1"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8630" w:type="dxa"/>
            <w:gridSpan w:val="3"/>
          </w:tcPr>
          <w:p w14:paraId="5EB38BE6" w14:textId="77777777" w:rsidR="00AB160D" w:rsidRPr="00D9605D" w:rsidRDefault="00AE4FCE">
            <w:pPr>
              <w:jc w:val="center"/>
              <w:rPr>
                <w:color w:val="000000" w:themeColor="text1"/>
              </w:rPr>
            </w:pPr>
            <w:r w:rsidRPr="00D9605D">
              <w:rPr>
                <w:color w:val="000000" w:themeColor="text1"/>
              </w:rPr>
              <w:lastRenderedPageBreak/>
              <w:t>Operating Profit Margin</w:t>
            </w:r>
          </w:p>
        </w:tc>
      </w:tr>
      <w:tr w:rsidR="00AB160D" w:rsidRPr="00D9605D" w14:paraId="02AB2C96" w14:textId="77777777" w:rsidTr="00AB160D">
        <w:trPr>
          <w:trHeight w:val="530"/>
        </w:trPr>
        <w:tc>
          <w:tcPr>
            <w:cnfStyle w:val="001000000000" w:firstRow="0" w:lastRow="0" w:firstColumn="1" w:lastColumn="0" w:oddVBand="0" w:evenVBand="0" w:oddHBand="0" w:evenHBand="0" w:firstRowFirstColumn="0" w:firstRowLastColumn="0" w:lastRowFirstColumn="0" w:lastRowLastColumn="0"/>
            <w:tcW w:w="2876" w:type="dxa"/>
          </w:tcPr>
          <w:p w14:paraId="1F0C02D0" w14:textId="77777777" w:rsidR="00AB160D" w:rsidRPr="00D9605D" w:rsidRDefault="00AB160D">
            <w:pPr>
              <w:rPr>
                <w:color w:val="000000" w:themeColor="text1"/>
              </w:rPr>
            </w:pPr>
          </w:p>
        </w:tc>
        <w:tc>
          <w:tcPr>
            <w:tcW w:w="2877" w:type="dxa"/>
          </w:tcPr>
          <w:p w14:paraId="2AD4B3DD" w14:textId="77777777" w:rsidR="00AB160D" w:rsidRPr="00D9605D" w:rsidRDefault="00AE4FCE">
            <w:pPr>
              <w:cnfStyle w:val="000000000000" w:firstRow="0" w:lastRow="0" w:firstColumn="0" w:lastColumn="0" w:oddVBand="0" w:evenVBand="0" w:oddHBand="0" w:evenHBand="0" w:firstRowFirstColumn="0" w:firstRowLastColumn="0" w:lastRowFirstColumn="0" w:lastRowLastColumn="0"/>
              <w:rPr>
                <w:b/>
                <w:bCs/>
                <w:color w:val="000000" w:themeColor="text1"/>
              </w:rPr>
            </w:pPr>
            <w:r w:rsidRPr="00D9605D">
              <w:rPr>
                <w:b/>
                <w:bCs/>
                <w:color w:val="000000" w:themeColor="text1"/>
              </w:rPr>
              <w:t>4.92%</w:t>
            </w:r>
          </w:p>
        </w:tc>
        <w:tc>
          <w:tcPr>
            <w:tcW w:w="2877" w:type="dxa"/>
          </w:tcPr>
          <w:p w14:paraId="3D04F802" w14:textId="77777777" w:rsidR="00AB160D" w:rsidRPr="00D9605D" w:rsidRDefault="00AE4FCE">
            <w:pPr>
              <w:cnfStyle w:val="000000000000" w:firstRow="0" w:lastRow="0" w:firstColumn="0" w:lastColumn="0" w:oddVBand="0" w:evenVBand="0" w:oddHBand="0" w:evenHBand="0" w:firstRowFirstColumn="0" w:firstRowLastColumn="0" w:lastRowFirstColumn="0" w:lastRowLastColumn="0"/>
              <w:rPr>
                <w:b/>
                <w:bCs/>
                <w:color w:val="000000" w:themeColor="text1"/>
              </w:rPr>
            </w:pPr>
            <w:r w:rsidRPr="00D9605D">
              <w:rPr>
                <w:b/>
                <w:bCs/>
                <w:color w:val="000000" w:themeColor="text1"/>
              </w:rPr>
              <w:t>4.59%</w:t>
            </w:r>
          </w:p>
        </w:tc>
      </w:tr>
      <w:tr w:rsidR="00AB160D" w:rsidRPr="00D9605D" w14:paraId="7CA573F6" w14:textId="77777777" w:rsidTr="00AB160D">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8630" w:type="dxa"/>
            <w:gridSpan w:val="3"/>
          </w:tcPr>
          <w:p w14:paraId="7BDA3162" w14:textId="77777777" w:rsidR="00AB160D" w:rsidRPr="00D9605D" w:rsidRDefault="00AE4FCE">
            <w:pPr>
              <w:jc w:val="center"/>
              <w:rPr>
                <w:color w:val="000000" w:themeColor="text1"/>
              </w:rPr>
            </w:pPr>
            <w:r w:rsidRPr="00D9605D">
              <w:rPr>
                <w:color w:val="000000" w:themeColor="text1"/>
              </w:rPr>
              <w:t>ROCE</w:t>
            </w:r>
          </w:p>
        </w:tc>
      </w:tr>
      <w:tr w:rsidR="00AB160D" w:rsidRPr="00D9605D" w14:paraId="1E104759" w14:textId="77777777" w:rsidTr="00AB160D">
        <w:trPr>
          <w:trHeight w:val="838"/>
        </w:trPr>
        <w:tc>
          <w:tcPr>
            <w:cnfStyle w:val="001000000000" w:firstRow="0" w:lastRow="0" w:firstColumn="1" w:lastColumn="0" w:oddVBand="0" w:evenVBand="0" w:oddHBand="0" w:evenHBand="0" w:firstRowFirstColumn="0" w:firstRowLastColumn="0" w:lastRowFirstColumn="0" w:lastRowLastColumn="0"/>
            <w:tcW w:w="2876" w:type="dxa"/>
          </w:tcPr>
          <w:p w14:paraId="725EA2C5" w14:textId="77777777" w:rsidR="00AB160D" w:rsidRPr="00D9605D" w:rsidRDefault="00AE4FCE">
            <w:pPr>
              <w:rPr>
                <w:color w:val="000000" w:themeColor="text1"/>
              </w:rPr>
            </w:pPr>
            <w:r w:rsidRPr="00D9605D">
              <w:rPr>
                <w:color w:val="000000" w:themeColor="text1"/>
              </w:rPr>
              <w:t>Operating Profit / Capital Employed × 100</w:t>
            </w:r>
          </w:p>
        </w:tc>
        <w:tc>
          <w:tcPr>
            <w:tcW w:w="2877" w:type="dxa"/>
          </w:tcPr>
          <w:p w14:paraId="339749E4" w14:textId="77777777" w:rsidR="00AB160D" w:rsidRPr="00D9605D" w:rsidRDefault="00AE4FCE">
            <w:pPr>
              <w:cnfStyle w:val="000000000000" w:firstRow="0" w:lastRow="0" w:firstColumn="0" w:lastColumn="0" w:oddVBand="0" w:evenVBand="0" w:oddHBand="0" w:evenHBand="0" w:firstRowFirstColumn="0" w:firstRowLastColumn="0" w:lastRowFirstColumn="0" w:lastRowLastColumn="0"/>
              <w:rPr>
                <w:b/>
                <w:bCs/>
                <w:color w:val="000000" w:themeColor="text1"/>
              </w:rPr>
            </w:pPr>
            <w:r w:rsidRPr="00D9605D">
              <w:rPr>
                <w:b/>
                <w:bCs/>
                <w:color w:val="000000" w:themeColor="text1"/>
              </w:rPr>
              <w:t>12.5%</w:t>
            </w:r>
          </w:p>
        </w:tc>
        <w:tc>
          <w:tcPr>
            <w:tcW w:w="2877" w:type="dxa"/>
          </w:tcPr>
          <w:p w14:paraId="4DFA8013" w14:textId="77777777" w:rsidR="00AB160D" w:rsidRPr="00D9605D" w:rsidRDefault="00AE4FCE">
            <w:pPr>
              <w:cnfStyle w:val="000000000000" w:firstRow="0" w:lastRow="0" w:firstColumn="0" w:lastColumn="0" w:oddVBand="0" w:evenVBand="0" w:oddHBand="0" w:evenHBand="0" w:firstRowFirstColumn="0" w:firstRowLastColumn="0" w:lastRowFirstColumn="0" w:lastRowLastColumn="0"/>
              <w:rPr>
                <w:b/>
                <w:bCs/>
                <w:color w:val="000000" w:themeColor="text1"/>
              </w:rPr>
            </w:pPr>
            <w:r w:rsidRPr="00D9605D">
              <w:rPr>
                <w:b/>
                <w:bCs/>
                <w:color w:val="000000" w:themeColor="text1"/>
              </w:rPr>
              <w:t>11.5%</w:t>
            </w:r>
          </w:p>
        </w:tc>
      </w:tr>
    </w:tbl>
    <w:p w14:paraId="718DF121" w14:textId="77777777" w:rsidR="00AB160D" w:rsidRPr="00D9605D" w:rsidRDefault="00AB160D">
      <w:pPr>
        <w:rPr>
          <w:color w:val="000000" w:themeColor="text1"/>
        </w:rPr>
      </w:pPr>
    </w:p>
    <w:p w14:paraId="6D6869FC" w14:textId="77777777" w:rsidR="00AB160D" w:rsidRPr="00D9605D" w:rsidRDefault="00AE4FCE">
      <w:pPr>
        <w:rPr>
          <w:color w:val="000000" w:themeColor="text1"/>
        </w:rPr>
      </w:pPr>
      <w:r w:rsidRPr="00D9605D">
        <w:rPr>
          <w:color w:val="000000" w:themeColor="text1"/>
        </w:rPr>
        <w:t>This enhancement implies that Tesco has consolidated its cost control as compared to revenue. This can be explained by the effective pricing policies and business efficiencies especially in reacting to the inflationary pressures. Tesco seems to have managed to strike the right balance between price growth and retaining customer demand, which is essential in the UK retail market where the level of price sensitivity is high. The increase in operating profit shows that cost-control initiatives, such as the opt</w:t>
      </w:r>
      <w:r w:rsidRPr="00D9605D">
        <w:rPr>
          <w:color w:val="000000" w:themeColor="text1"/>
        </w:rPr>
        <w:t xml:space="preserve">imisation of the supply chain, have worked. </w:t>
      </w:r>
      <w:r w:rsidRPr="00D9605D">
        <w:rPr>
          <w:color w:val="000000" w:themeColor="text1"/>
        </w:rPr>
        <w:t>Thus the company's operating profit margin of 4.92% is at the top end of the industry average. There can be other reasons for the increase, however, not all of the increase will be an improvement in internal efficiencies. Inflation has also allowed many retailers to be able to shift the cost of the increase to the consumer, which could also be helping profit margins (Brigham and Ehrhardt, 2022; Ross et al., 2022).</w:t>
      </w:r>
    </w:p>
    <w:p w14:paraId="59B6D112" w14:textId="77777777" w:rsidR="00AB160D" w:rsidRPr="00D9605D" w:rsidRDefault="00AE4FCE">
      <w:pPr>
        <w:rPr>
          <w:color w:val="000000" w:themeColor="text1"/>
        </w:rPr>
      </w:pPr>
      <w:r w:rsidRPr="00D9605D">
        <w:rPr>
          <w:color w:val="000000" w:themeColor="text1"/>
        </w:rPr>
        <w:t>Nevertheless, this is also indicative of the larger inflationary environment, in which the increased input and food prices in 2024-2025 affected the pricing policies throughout the industry. The fact that Tesco could transfer some of these costs to consumers led to an improvement in margin although this is to an extent externally forced.</w:t>
      </w:r>
    </w:p>
    <w:p w14:paraId="557F885D" w14:textId="77777777" w:rsidR="00AB160D" w:rsidRPr="00D9605D" w:rsidRDefault="00AE4FCE">
      <w:pPr>
        <w:rPr>
          <w:color w:val="000000" w:themeColor="text1"/>
        </w:rPr>
      </w:pPr>
      <w:r w:rsidRPr="00D9605D">
        <w:rPr>
          <w:color w:val="000000" w:themeColor="text1"/>
        </w:rPr>
        <w:t xml:space="preserve">ROCE measures the efficiency of the management in leveraging the long-term investments to earn operating profit. ROCE above 10% is considered to be good in the retail industry. Tesco's ROCE stands at 12.5% which is higher than the accepted figure and it shows that the company is using the shareholder funds and long term funds effectively. However, it may be difficult to sustain this performance because of the economic threat of competitive pricing and higher operating expenses. </w:t>
      </w:r>
      <w:r w:rsidRPr="00D9605D">
        <w:rPr>
          <w:color w:val="000000" w:themeColor="text1"/>
        </w:rPr>
        <w:t xml:space="preserve">It should be noted though that retail profit margins are fairly low, at any rate, between </w:t>
      </w:r>
      <w:r w:rsidRPr="00D9605D">
        <w:rPr>
          <w:b/>
          <w:bCs/>
          <w:color w:val="000000" w:themeColor="text1"/>
        </w:rPr>
        <w:t>2% and 5%</w:t>
      </w:r>
      <w:r w:rsidRPr="00D9605D">
        <w:rPr>
          <w:color w:val="000000" w:themeColor="text1"/>
        </w:rPr>
        <w:t xml:space="preserve"> in the supermarket sector as a result of stiff price competition and high operating expenses (MOFSL; 2026). This implies that Tesco is still under tight margin operation, </w:t>
      </w:r>
      <w:r w:rsidRPr="00D9605D">
        <w:rPr>
          <w:color w:val="000000" w:themeColor="text1"/>
        </w:rPr>
        <w:lastRenderedPageBreak/>
        <w:t>as its profitability has been boosted, and this is significant in the implementation of cost control and volume-enhanced growth.</w:t>
      </w:r>
    </w:p>
    <w:p w14:paraId="189F360C" w14:textId="77777777" w:rsidR="00AB160D" w:rsidRPr="00D9605D" w:rsidRDefault="00AE4FCE">
      <w:pPr>
        <w:pStyle w:val="Heading2"/>
        <w:rPr>
          <w:color w:val="000000" w:themeColor="text1"/>
        </w:rPr>
      </w:pPr>
      <w:bookmarkStart w:id="5" w:name="_heading=h.szhmnamrs2le" w:colFirst="0" w:colLast="0"/>
      <w:bookmarkEnd w:id="5"/>
      <w:r w:rsidRPr="00D9605D">
        <w:rPr>
          <w:color w:val="000000" w:themeColor="text1"/>
        </w:rPr>
        <w:t>2.2 Liquidity Ratios</w:t>
      </w:r>
    </w:p>
    <w:p w14:paraId="2EE9312B" w14:textId="77777777" w:rsidR="00AB160D" w:rsidRPr="00D9605D" w:rsidRDefault="00AE4FCE">
      <w:pPr>
        <w:rPr>
          <w:color w:val="000000" w:themeColor="text1"/>
        </w:rPr>
      </w:pPr>
      <w:r w:rsidRPr="00D9605D">
        <w:rPr>
          <w:color w:val="000000" w:themeColor="text1"/>
        </w:rPr>
        <w:t xml:space="preserve">Liquidity ratios are used to evaluate the capacity of Tesco plc to fulfil its short-term obligations. According to Table 2, Tesco current ratio has slightly improved from </w:t>
      </w:r>
      <w:r w:rsidRPr="00D9605D">
        <w:rPr>
          <w:b/>
          <w:bCs/>
          <w:color w:val="000000" w:themeColor="text1"/>
        </w:rPr>
        <w:t>0.74 in 2024 to 0.75 in 2025</w:t>
      </w:r>
      <w:r w:rsidRPr="00D9605D">
        <w:rPr>
          <w:color w:val="000000" w:themeColor="text1"/>
        </w:rPr>
        <w:t xml:space="preserve">, whereas the </w:t>
      </w:r>
      <w:r w:rsidRPr="00D9605D">
        <w:rPr>
          <w:b/>
          <w:bCs/>
          <w:color w:val="000000" w:themeColor="text1"/>
        </w:rPr>
        <w:t>quick ratio has improved 0.55 to 0.58</w:t>
      </w:r>
      <w:r w:rsidRPr="00D9605D">
        <w:rPr>
          <w:color w:val="000000" w:themeColor="text1"/>
        </w:rPr>
        <w:t xml:space="preserve">, which means that the short-term liquidity was slightly strengthened. </w:t>
      </w:r>
      <w:r w:rsidRPr="00D9605D">
        <w:rPr>
          <w:color w:val="000000" w:themeColor="text1"/>
        </w:rPr>
        <w:t>Current ratio is used to see how an organisation can pay short term debts with current assets. Generally, 1.0 is considered the minimum criteria and 1.5-2.0 is considered desirable in financial management literature.</w:t>
      </w:r>
    </w:p>
    <w:p w14:paraId="43100B0C" w14:textId="77777777" w:rsidR="00AB160D" w:rsidRPr="00D9605D" w:rsidRDefault="00AE4FCE">
      <w:pPr>
        <w:rPr>
          <w:color w:val="000000" w:themeColor="text1"/>
        </w:rPr>
      </w:pPr>
      <w:r w:rsidRPr="00D9605D">
        <w:rPr>
          <w:color w:val="000000" w:themeColor="text1"/>
        </w:rPr>
        <w:t>The current ratio of Tesco is 0.75, which is less than the industry average. This means that current liabilities are greater than current assets. In the supermarket sector, however, it is normal to have low current ratios because the goods are turned over quickly and cash flow is high.</w:t>
      </w:r>
    </w:p>
    <w:tbl>
      <w:tblPr>
        <w:tblStyle w:val="a0"/>
        <w:tblW w:w="8630" w:type="dxa"/>
        <w:tblInd w:w="-5" w:type="dxa"/>
        <w:tblBorders>
          <w:top w:val="single" w:sz="4" w:space="0" w:color="F1A984"/>
          <w:left w:val="single" w:sz="4" w:space="0" w:color="F1A984"/>
          <w:bottom w:val="single" w:sz="4" w:space="0" w:color="F1A984"/>
          <w:right w:val="single" w:sz="4" w:space="0" w:color="F1A984"/>
          <w:insideH w:val="single" w:sz="4" w:space="0" w:color="F1A984"/>
          <w:insideV w:val="single" w:sz="4" w:space="0" w:color="F1A984"/>
        </w:tblBorders>
        <w:tblLayout w:type="fixed"/>
        <w:tblLook w:val="04A0" w:firstRow="1" w:lastRow="0" w:firstColumn="1" w:lastColumn="0" w:noHBand="0" w:noVBand="1"/>
      </w:tblPr>
      <w:tblGrid>
        <w:gridCol w:w="3145"/>
        <w:gridCol w:w="2608"/>
        <w:gridCol w:w="2877"/>
      </w:tblGrid>
      <w:tr w:rsidR="00AB160D" w:rsidRPr="00D9605D" w14:paraId="5254D518" w14:textId="77777777" w:rsidTr="00AB16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gridSpan w:val="3"/>
          </w:tcPr>
          <w:p w14:paraId="5984AFB0" w14:textId="77777777" w:rsidR="00AB160D" w:rsidRPr="00D9605D" w:rsidRDefault="00AE4FCE">
            <w:pPr>
              <w:jc w:val="center"/>
              <w:rPr>
                <w:color w:val="000000" w:themeColor="text1"/>
              </w:rPr>
            </w:pPr>
            <w:r w:rsidRPr="00D9605D">
              <w:rPr>
                <w:color w:val="000000" w:themeColor="text1"/>
              </w:rPr>
              <w:t>Current Ratio</w:t>
            </w:r>
          </w:p>
        </w:tc>
      </w:tr>
      <w:tr w:rsidR="00AB160D" w:rsidRPr="00D9605D" w14:paraId="7A10F01E" w14:textId="77777777" w:rsidTr="00AB16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45" w:type="dxa"/>
          </w:tcPr>
          <w:p w14:paraId="1B7FD19D" w14:textId="77777777" w:rsidR="00AB160D" w:rsidRPr="00D9605D" w:rsidRDefault="00AB160D">
            <w:pPr>
              <w:rPr>
                <w:color w:val="000000" w:themeColor="text1"/>
              </w:rPr>
            </w:pPr>
          </w:p>
        </w:tc>
        <w:tc>
          <w:tcPr>
            <w:tcW w:w="2608" w:type="dxa"/>
          </w:tcPr>
          <w:p w14:paraId="119929FD" w14:textId="77777777" w:rsidR="00AB160D" w:rsidRPr="00D9605D" w:rsidRDefault="00AE4FCE">
            <w:pPr>
              <w:cnfStyle w:val="000000100000" w:firstRow="0" w:lastRow="0" w:firstColumn="0" w:lastColumn="0" w:oddVBand="0" w:evenVBand="0" w:oddHBand="1" w:evenHBand="0" w:firstRowFirstColumn="0" w:firstRowLastColumn="0" w:lastRowFirstColumn="0" w:lastRowLastColumn="0"/>
              <w:rPr>
                <w:b/>
                <w:bCs/>
                <w:color w:val="000000" w:themeColor="text1"/>
              </w:rPr>
            </w:pPr>
            <w:r w:rsidRPr="00D9605D">
              <w:rPr>
                <w:b/>
                <w:bCs/>
                <w:color w:val="000000" w:themeColor="text1"/>
              </w:rPr>
              <w:t>2025</w:t>
            </w:r>
          </w:p>
        </w:tc>
        <w:tc>
          <w:tcPr>
            <w:tcW w:w="2877" w:type="dxa"/>
          </w:tcPr>
          <w:p w14:paraId="3BEC79FF" w14:textId="77777777" w:rsidR="00AB160D" w:rsidRPr="00D9605D" w:rsidRDefault="00AE4FCE">
            <w:pPr>
              <w:cnfStyle w:val="000000100000" w:firstRow="0" w:lastRow="0" w:firstColumn="0" w:lastColumn="0" w:oddVBand="0" w:evenVBand="0" w:oddHBand="1" w:evenHBand="0" w:firstRowFirstColumn="0" w:firstRowLastColumn="0" w:lastRowFirstColumn="0" w:lastRowLastColumn="0"/>
              <w:rPr>
                <w:b/>
                <w:bCs/>
                <w:color w:val="000000" w:themeColor="text1"/>
              </w:rPr>
            </w:pPr>
            <w:r w:rsidRPr="00D9605D">
              <w:rPr>
                <w:b/>
                <w:bCs/>
                <w:color w:val="000000" w:themeColor="text1"/>
              </w:rPr>
              <w:t>2024</w:t>
            </w:r>
          </w:p>
        </w:tc>
      </w:tr>
      <w:tr w:rsidR="00AB160D" w:rsidRPr="00D9605D" w14:paraId="0AE762FA" w14:textId="77777777" w:rsidTr="00AB160D">
        <w:trPr>
          <w:trHeight w:val="440"/>
        </w:trPr>
        <w:tc>
          <w:tcPr>
            <w:cnfStyle w:val="001000000000" w:firstRow="0" w:lastRow="0" w:firstColumn="1" w:lastColumn="0" w:oddVBand="0" w:evenVBand="0" w:oddHBand="0" w:evenHBand="0" w:firstRowFirstColumn="0" w:firstRowLastColumn="0" w:lastRowFirstColumn="0" w:lastRowLastColumn="0"/>
            <w:tcW w:w="3145" w:type="dxa"/>
          </w:tcPr>
          <w:p w14:paraId="76D8AFD9" w14:textId="77777777" w:rsidR="00AB160D" w:rsidRPr="00D9605D" w:rsidRDefault="00AB160D">
            <w:pPr>
              <w:rPr>
                <w:color w:val="000000" w:themeColor="text1"/>
              </w:rPr>
            </w:pPr>
          </w:p>
        </w:tc>
        <w:tc>
          <w:tcPr>
            <w:tcW w:w="2608" w:type="dxa"/>
          </w:tcPr>
          <w:p w14:paraId="71DF08E5" w14:textId="77777777" w:rsidR="00AB160D" w:rsidRPr="00D9605D" w:rsidRDefault="00AE4FCE">
            <w:pPr>
              <w:cnfStyle w:val="000000000000" w:firstRow="0" w:lastRow="0" w:firstColumn="0" w:lastColumn="0" w:oddVBand="0" w:evenVBand="0" w:oddHBand="0" w:evenHBand="0" w:firstRowFirstColumn="0" w:firstRowLastColumn="0" w:lastRowFirstColumn="0" w:lastRowLastColumn="0"/>
              <w:rPr>
                <w:b/>
                <w:bCs/>
                <w:color w:val="000000" w:themeColor="text1"/>
              </w:rPr>
            </w:pPr>
            <w:r w:rsidRPr="00D9605D">
              <w:rPr>
                <w:b/>
                <w:bCs/>
                <w:color w:val="000000" w:themeColor="text1"/>
              </w:rPr>
              <w:t>0.75</w:t>
            </w:r>
          </w:p>
        </w:tc>
        <w:tc>
          <w:tcPr>
            <w:tcW w:w="2877" w:type="dxa"/>
          </w:tcPr>
          <w:p w14:paraId="14653D25" w14:textId="77777777" w:rsidR="00AB160D" w:rsidRPr="00D9605D" w:rsidRDefault="00AE4FCE">
            <w:pPr>
              <w:cnfStyle w:val="000000000000" w:firstRow="0" w:lastRow="0" w:firstColumn="0" w:lastColumn="0" w:oddVBand="0" w:evenVBand="0" w:oddHBand="0" w:evenHBand="0" w:firstRowFirstColumn="0" w:firstRowLastColumn="0" w:lastRowFirstColumn="0" w:lastRowLastColumn="0"/>
              <w:rPr>
                <w:b/>
                <w:bCs/>
                <w:color w:val="000000" w:themeColor="text1"/>
              </w:rPr>
            </w:pPr>
            <w:r w:rsidRPr="00D9605D">
              <w:rPr>
                <w:b/>
                <w:bCs/>
                <w:color w:val="000000" w:themeColor="text1"/>
              </w:rPr>
              <w:t>0.74</w:t>
            </w:r>
          </w:p>
        </w:tc>
      </w:tr>
      <w:tr w:rsidR="00AB160D" w:rsidRPr="00D9605D" w14:paraId="6E6B5699" w14:textId="77777777" w:rsidTr="00AB160D">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8630" w:type="dxa"/>
            <w:gridSpan w:val="3"/>
          </w:tcPr>
          <w:p w14:paraId="69CCBC94" w14:textId="77777777" w:rsidR="00AB160D" w:rsidRPr="00D9605D" w:rsidRDefault="00AE4FCE">
            <w:pPr>
              <w:jc w:val="center"/>
              <w:rPr>
                <w:color w:val="000000" w:themeColor="text1"/>
              </w:rPr>
            </w:pPr>
            <w:r w:rsidRPr="00D9605D">
              <w:rPr>
                <w:color w:val="000000" w:themeColor="text1"/>
              </w:rPr>
              <w:t>Quick Ratio</w:t>
            </w:r>
          </w:p>
        </w:tc>
      </w:tr>
      <w:tr w:rsidR="00AB160D" w:rsidRPr="00D9605D" w14:paraId="46989400" w14:textId="77777777" w:rsidTr="00AB160D">
        <w:trPr>
          <w:trHeight w:val="1115"/>
        </w:trPr>
        <w:tc>
          <w:tcPr>
            <w:cnfStyle w:val="001000000000" w:firstRow="0" w:lastRow="0" w:firstColumn="1" w:lastColumn="0" w:oddVBand="0" w:evenVBand="0" w:oddHBand="0" w:evenHBand="0" w:firstRowFirstColumn="0" w:firstRowLastColumn="0" w:lastRowFirstColumn="0" w:lastRowLastColumn="0"/>
            <w:tcW w:w="3145" w:type="dxa"/>
          </w:tcPr>
          <w:p w14:paraId="26E62DCF" w14:textId="77777777" w:rsidR="00AB160D" w:rsidRPr="00D9605D" w:rsidRDefault="00AE4FCE">
            <w:pPr>
              <w:rPr>
                <w:color w:val="000000" w:themeColor="text1"/>
              </w:rPr>
            </w:pPr>
            <w:r w:rsidRPr="00D9605D">
              <w:rPr>
                <w:color w:val="000000" w:themeColor="text1"/>
              </w:rPr>
              <w:t>(Current Assets – Inventory) / Current Liabilities</w:t>
            </w:r>
          </w:p>
        </w:tc>
        <w:tc>
          <w:tcPr>
            <w:tcW w:w="2608" w:type="dxa"/>
          </w:tcPr>
          <w:p w14:paraId="67782C33" w14:textId="77777777" w:rsidR="00AB160D" w:rsidRPr="00D9605D" w:rsidRDefault="00AE4FCE">
            <w:pPr>
              <w:cnfStyle w:val="000000000000" w:firstRow="0" w:lastRow="0" w:firstColumn="0" w:lastColumn="0" w:oddVBand="0" w:evenVBand="0" w:oddHBand="0" w:evenHBand="0" w:firstRowFirstColumn="0" w:firstRowLastColumn="0" w:lastRowFirstColumn="0" w:lastRowLastColumn="0"/>
              <w:rPr>
                <w:b/>
                <w:bCs/>
                <w:color w:val="000000" w:themeColor="text1"/>
              </w:rPr>
            </w:pPr>
            <w:r w:rsidRPr="00D9605D">
              <w:rPr>
                <w:b/>
                <w:bCs/>
                <w:color w:val="000000" w:themeColor="text1"/>
              </w:rPr>
              <w:t>0.58</w:t>
            </w:r>
          </w:p>
        </w:tc>
        <w:tc>
          <w:tcPr>
            <w:tcW w:w="2877" w:type="dxa"/>
          </w:tcPr>
          <w:p w14:paraId="08447DBE" w14:textId="77777777" w:rsidR="00AB160D" w:rsidRPr="00D9605D" w:rsidRDefault="00AE4FCE">
            <w:pPr>
              <w:cnfStyle w:val="000000000000" w:firstRow="0" w:lastRow="0" w:firstColumn="0" w:lastColumn="0" w:oddVBand="0" w:evenVBand="0" w:oddHBand="0" w:evenHBand="0" w:firstRowFirstColumn="0" w:firstRowLastColumn="0" w:lastRowFirstColumn="0" w:lastRowLastColumn="0"/>
              <w:rPr>
                <w:b/>
                <w:bCs/>
                <w:color w:val="000000" w:themeColor="text1"/>
              </w:rPr>
            </w:pPr>
            <w:r w:rsidRPr="00D9605D">
              <w:rPr>
                <w:b/>
                <w:bCs/>
                <w:color w:val="000000" w:themeColor="text1"/>
              </w:rPr>
              <w:t>0.55</w:t>
            </w:r>
          </w:p>
        </w:tc>
      </w:tr>
    </w:tbl>
    <w:p w14:paraId="6672A3C2" w14:textId="77777777" w:rsidR="00AB160D" w:rsidRPr="00D9605D" w:rsidRDefault="00AE4FCE">
      <w:pPr>
        <w:rPr>
          <w:color w:val="000000" w:themeColor="text1"/>
        </w:rPr>
      </w:pPr>
      <w:r w:rsidRPr="00D9605D">
        <w:rPr>
          <w:color w:val="000000" w:themeColor="text1"/>
        </w:rPr>
        <w:t>Although there is this improvement, both ratios still fall below the traditional level of 1 indicating that there is limited coverage of current liabilities by liquid assets. But this does not necessarily signify financial weakness. Retailers in the UK have lower liquidity ratios because the turnover of inventory is high and daily sales flow in cash. Tesco enjoys the advantage of a high inventory turnover, and good cash inflows due to daily sales, so they do not need to maintain a high liquid asset level. S</w:t>
      </w:r>
      <w:r w:rsidRPr="00D9605D">
        <w:rPr>
          <w:color w:val="000000" w:themeColor="text1"/>
        </w:rPr>
        <w:t>tatista reports that big UK supermarkets enjoy high levels of sales and effective stock turnover that enable them to keep generating cash (Statista Research Department; 2025).</w:t>
      </w:r>
    </w:p>
    <w:p w14:paraId="5701288F" w14:textId="77777777" w:rsidR="00AB160D" w:rsidRPr="00D9605D" w:rsidRDefault="00AE4FCE">
      <w:pPr>
        <w:rPr>
          <w:color w:val="000000" w:themeColor="text1"/>
        </w:rPr>
      </w:pPr>
      <w:bookmarkStart w:id="6" w:name="_heading=h.jsnqaphiuml4" w:colFirst="0" w:colLast="0"/>
      <w:bookmarkEnd w:id="6"/>
      <w:r w:rsidRPr="00D9605D">
        <w:rPr>
          <w:color w:val="000000" w:themeColor="text1"/>
        </w:rPr>
        <w:t>Quick ratio is actually a somewhat more conservative measure of liquidity because inventory does not count in the current assets. Retail companies often have quick ratios ranging from 0.5 to 1.0. Tesco's quick ratio (0.58) is in the expected range for a retail business. Despite this, the company continues to rely on the ability to turn over its stock and generate adequate operating cash flows to pay its bills.</w:t>
      </w:r>
    </w:p>
    <w:p w14:paraId="627DE30B" w14:textId="77777777" w:rsidR="00AB160D" w:rsidRPr="00D9605D" w:rsidRDefault="00AE4FCE">
      <w:pPr>
        <w:rPr>
          <w:b/>
          <w:bCs/>
          <w:color w:val="000000" w:themeColor="text1"/>
        </w:rPr>
      </w:pPr>
      <w:r w:rsidRPr="00D9605D">
        <w:rPr>
          <w:color w:val="000000" w:themeColor="text1"/>
        </w:rPr>
        <w:t>While lower liquidity ratios are typical in the food retailing industry, persistence in the use of inventory turnover and cash generation may make firms more vulnerable in times of economic contraction or disruption in the supply chain.</w:t>
      </w:r>
    </w:p>
    <w:p w14:paraId="127C08D2" w14:textId="77777777" w:rsidR="00AB160D" w:rsidRPr="00D9605D" w:rsidRDefault="00AE4FCE">
      <w:pPr>
        <w:pStyle w:val="Heading2"/>
        <w:rPr>
          <w:color w:val="000000" w:themeColor="text1"/>
        </w:rPr>
      </w:pPr>
      <w:r w:rsidRPr="00D9605D">
        <w:rPr>
          <w:color w:val="000000" w:themeColor="text1"/>
        </w:rPr>
        <w:t>2.3 Efficiency Ratios</w:t>
      </w:r>
    </w:p>
    <w:p w14:paraId="3B6B2260" w14:textId="77777777" w:rsidR="00AB160D" w:rsidRPr="00D9605D" w:rsidRDefault="00AE4FCE">
      <w:pPr>
        <w:rPr>
          <w:color w:val="000000" w:themeColor="text1"/>
        </w:rPr>
      </w:pPr>
      <w:r w:rsidRPr="00D9605D">
        <w:rPr>
          <w:color w:val="000000" w:themeColor="text1"/>
        </w:rPr>
        <w:t xml:space="preserve">The efficiency ratios are used to assess the efficiency of Tesco plc in the utilization of its assets and working capital. </w:t>
      </w:r>
      <w:r w:rsidRPr="00D9605D">
        <w:rPr>
          <w:color w:val="000000" w:themeColor="text1"/>
        </w:rPr>
        <w:t>Inventories turnover is a ratio that indicates how efficiently a business uses its inventory. Typically, UK supermarkets have an inventory turnover rate of 15 to 20 times per year. In 2024 and 2025, Tesco turned its stock over 18.5 and 19.2 times, respectively, as can be seen in Table 3, indicating that the company was turning over its inventory at a better rate, and making better use of it. Tesco's inventory turn is 19.2 times, which is towards the high end of the industry average and suggests good invento</w:t>
      </w:r>
      <w:r w:rsidRPr="00D9605D">
        <w:rPr>
          <w:color w:val="000000" w:themeColor="text1"/>
        </w:rPr>
        <w:t>ry control and lower holding costs.</w:t>
      </w:r>
    </w:p>
    <w:tbl>
      <w:tblPr>
        <w:tblStyle w:val="a1"/>
        <w:tblW w:w="8630" w:type="dxa"/>
        <w:tblInd w:w="-5" w:type="dxa"/>
        <w:tblBorders>
          <w:top w:val="single" w:sz="4" w:space="0" w:color="60CBF3"/>
          <w:left w:val="single" w:sz="4" w:space="0" w:color="60CBF3"/>
          <w:bottom w:val="single" w:sz="4" w:space="0" w:color="60CBF3"/>
          <w:right w:val="single" w:sz="4" w:space="0" w:color="60CBF3"/>
          <w:insideH w:val="single" w:sz="4" w:space="0" w:color="60CBF3"/>
          <w:insideV w:val="single" w:sz="4" w:space="0" w:color="60CBF3"/>
        </w:tblBorders>
        <w:tblLayout w:type="fixed"/>
        <w:tblLook w:val="04A0" w:firstRow="1" w:lastRow="0" w:firstColumn="1" w:lastColumn="0" w:noHBand="0" w:noVBand="1"/>
      </w:tblPr>
      <w:tblGrid>
        <w:gridCol w:w="3055"/>
        <w:gridCol w:w="2698"/>
        <w:gridCol w:w="2877"/>
      </w:tblGrid>
      <w:tr w:rsidR="00AB160D" w:rsidRPr="00D9605D" w14:paraId="1D5D6E72" w14:textId="77777777" w:rsidTr="00AB16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gridSpan w:val="3"/>
          </w:tcPr>
          <w:p w14:paraId="18129EA9" w14:textId="77777777" w:rsidR="00AB160D" w:rsidRPr="00D9605D" w:rsidRDefault="00AE4FCE">
            <w:pPr>
              <w:jc w:val="center"/>
              <w:rPr>
                <w:color w:val="000000" w:themeColor="text1"/>
              </w:rPr>
            </w:pPr>
            <w:r w:rsidRPr="00D9605D">
              <w:rPr>
                <w:color w:val="000000" w:themeColor="text1"/>
              </w:rPr>
              <w:t>Inventory Turnover</w:t>
            </w:r>
          </w:p>
        </w:tc>
      </w:tr>
      <w:tr w:rsidR="00AB160D" w:rsidRPr="00D9605D" w14:paraId="2EF99495" w14:textId="77777777" w:rsidTr="00AB16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5" w:type="dxa"/>
          </w:tcPr>
          <w:p w14:paraId="2462D5F8" w14:textId="77777777" w:rsidR="00AB160D" w:rsidRPr="00D9605D" w:rsidRDefault="00AB160D">
            <w:pPr>
              <w:rPr>
                <w:color w:val="000000" w:themeColor="text1"/>
              </w:rPr>
            </w:pPr>
          </w:p>
        </w:tc>
        <w:tc>
          <w:tcPr>
            <w:tcW w:w="2698" w:type="dxa"/>
          </w:tcPr>
          <w:p w14:paraId="7EB75AAA" w14:textId="77777777" w:rsidR="00AB160D" w:rsidRPr="00D9605D" w:rsidRDefault="00AE4FCE">
            <w:pPr>
              <w:cnfStyle w:val="000000100000" w:firstRow="0" w:lastRow="0" w:firstColumn="0" w:lastColumn="0" w:oddVBand="0" w:evenVBand="0" w:oddHBand="1" w:evenHBand="0" w:firstRowFirstColumn="0" w:firstRowLastColumn="0" w:lastRowFirstColumn="0" w:lastRowLastColumn="0"/>
              <w:rPr>
                <w:b/>
                <w:bCs/>
                <w:color w:val="000000" w:themeColor="text1"/>
              </w:rPr>
            </w:pPr>
            <w:r w:rsidRPr="00D9605D">
              <w:rPr>
                <w:b/>
                <w:bCs/>
                <w:color w:val="000000" w:themeColor="text1"/>
              </w:rPr>
              <w:t>2025</w:t>
            </w:r>
          </w:p>
        </w:tc>
        <w:tc>
          <w:tcPr>
            <w:tcW w:w="2877" w:type="dxa"/>
          </w:tcPr>
          <w:p w14:paraId="5B1E2836" w14:textId="77777777" w:rsidR="00AB160D" w:rsidRPr="00D9605D" w:rsidRDefault="00AE4FCE">
            <w:pPr>
              <w:cnfStyle w:val="000000100000" w:firstRow="0" w:lastRow="0" w:firstColumn="0" w:lastColumn="0" w:oddVBand="0" w:evenVBand="0" w:oddHBand="1" w:evenHBand="0" w:firstRowFirstColumn="0" w:firstRowLastColumn="0" w:lastRowFirstColumn="0" w:lastRowLastColumn="0"/>
              <w:rPr>
                <w:b/>
                <w:bCs/>
                <w:color w:val="000000" w:themeColor="text1"/>
              </w:rPr>
            </w:pPr>
            <w:r w:rsidRPr="00D9605D">
              <w:rPr>
                <w:b/>
                <w:bCs/>
                <w:color w:val="000000" w:themeColor="text1"/>
              </w:rPr>
              <w:t>2024</w:t>
            </w:r>
          </w:p>
        </w:tc>
      </w:tr>
      <w:tr w:rsidR="00AB160D" w:rsidRPr="00D9605D" w14:paraId="1A6F15CC" w14:textId="77777777" w:rsidTr="00AB160D">
        <w:trPr>
          <w:trHeight w:val="665"/>
        </w:trPr>
        <w:tc>
          <w:tcPr>
            <w:cnfStyle w:val="001000000000" w:firstRow="0" w:lastRow="0" w:firstColumn="1" w:lastColumn="0" w:oddVBand="0" w:evenVBand="0" w:oddHBand="0" w:evenHBand="0" w:firstRowFirstColumn="0" w:firstRowLastColumn="0" w:lastRowFirstColumn="0" w:lastRowLastColumn="0"/>
            <w:tcW w:w="3055" w:type="dxa"/>
          </w:tcPr>
          <w:p w14:paraId="37C5E05C" w14:textId="77777777" w:rsidR="00AB160D" w:rsidRPr="00D9605D" w:rsidRDefault="00AE4FCE">
            <w:pPr>
              <w:rPr>
                <w:color w:val="000000" w:themeColor="text1"/>
              </w:rPr>
            </w:pPr>
            <w:r w:rsidRPr="00D9605D">
              <w:rPr>
                <w:color w:val="000000" w:themeColor="text1"/>
              </w:rPr>
              <w:t>Cost of Sales / Inventory</w:t>
            </w:r>
          </w:p>
        </w:tc>
        <w:tc>
          <w:tcPr>
            <w:tcW w:w="2698" w:type="dxa"/>
          </w:tcPr>
          <w:p w14:paraId="3D3D0728" w14:textId="77777777" w:rsidR="00AB160D" w:rsidRPr="00D9605D" w:rsidRDefault="00AE4FCE">
            <w:pPr>
              <w:cnfStyle w:val="000000000000" w:firstRow="0" w:lastRow="0" w:firstColumn="0" w:lastColumn="0" w:oddVBand="0" w:evenVBand="0" w:oddHBand="0" w:evenHBand="0" w:firstRowFirstColumn="0" w:firstRowLastColumn="0" w:lastRowFirstColumn="0" w:lastRowLastColumn="0"/>
              <w:rPr>
                <w:b/>
                <w:bCs/>
                <w:color w:val="000000" w:themeColor="text1"/>
              </w:rPr>
            </w:pPr>
            <w:r w:rsidRPr="00D9605D">
              <w:rPr>
                <w:b/>
                <w:bCs/>
                <w:color w:val="000000" w:themeColor="text1"/>
              </w:rPr>
              <w:t>19.2 times</w:t>
            </w:r>
          </w:p>
        </w:tc>
        <w:tc>
          <w:tcPr>
            <w:tcW w:w="2877" w:type="dxa"/>
          </w:tcPr>
          <w:p w14:paraId="69486C49" w14:textId="77777777" w:rsidR="00AB160D" w:rsidRPr="00D9605D" w:rsidRDefault="00AE4FCE">
            <w:pPr>
              <w:cnfStyle w:val="000000000000" w:firstRow="0" w:lastRow="0" w:firstColumn="0" w:lastColumn="0" w:oddVBand="0" w:evenVBand="0" w:oddHBand="0" w:evenHBand="0" w:firstRowFirstColumn="0" w:firstRowLastColumn="0" w:lastRowFirstColumn="0" w:lastRowLastColumn="0"/>
              <w:rPr>
                <w:b/>
                <w:bCs/>
                <w:color w:val="000000" w:themeColor="text1"/>
              </w:rPr>
            </w:pPr>
            <w:r w:rsidRPr="00D9605D">
              <w:rPr>
                <w:b/>
                <w:bCs/>
                <w:color w:val="000000" w:themeColor="text1"/>
              </w:rPr>
              <w:t>18.5 times</w:t>
            </w:r>
          </w:p>
        </w:tc>
      </w:tr>
      <w:tr w:rsidR="00AB160D" w:rsidRPr="00D9605D" w14:paraId="55FFAC95" w14:textId="77777777" w:rsidTr="00AB160D">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8630" w:type="dxa"/>
            <w:gridSpan w:val="3"/>
          </w:tcPr>
          <w:p w14:paraId="32A3EE74" w14:textId="77777777" w:rsidR="00AB160D" w:rsidRPr="00D9605D" w:rsidRDefault="00AE4FCE">
            <w:pPr>
              <w:jc w:val="center"/>
              <w:rPr>
                <w:color w:val="000000" w:themeColor="text1"/>
              </w:rPr>
            </w:pPr>
            <w:r w:rsidRPr="00D9605D">
              <w:rPr>
                <w:color w:val="000000" w:themeColor="text1"/>
              </w:rPr>
              <w:t>Receivables Days</w:t>
            </w:r>
          </w:p>
        </w:tc>
      </w:tr>
      <w:tr w:rsidR="00AB160D" w:rsidRPr="00D9605D" w14:paraId="1E54070D" w14:textId="77777777" w:rsidTr="00AB160D">
        <w:trPr>
          <w:trHeight w:val="838"/>
        </w:trPr>
        <w:tc>
          <w:tcPr>
            <w:cnfStyle w:val="001000000000" w:firstRow="0" w:lastRow="0" w:firstColumn="1" w:lastColumn="0" w:oddVBand="0" w:evenVBand="0" w:oddHBand="0" w:evenHBand="0" w:firstRowFirstColumn="0" w:firstRowLastColumn="0" w:lastRowFirstColumn="0" w:lastRowLastColumn="0"/>
            <w:tcW w:w="3055" w:type="dxa"/>
          </w:tcPr>
          <w:p w14:paraId="4C8CC52B" w14:textId="77777777" w:rsidR="00AB160D" w:rsidRPr="00D9605D" w:rsidRDefault="00AE4FCE">
            <w:pPr>
              <w:rPr>
                <w:color w:val="000000" w:themeColor="text1"/>
              </w:rPr>
            </w:pPr>
            <w:r w:rsidRPr="00D9605D">
              <w:rPr>
                <w:color w:val="000000" w:themeColor="text1"/>
              </w:rPr>
              <w:t>(Receivables / Revenue) × 365</w:t>
            </w:r>
          </w:p>
        </w:tc>
        <w:tc>
          <w:tcPr>
            <w:tcW w:w="2698" w:type="dxa"/>
          </w:tcPr>
          <w:p w14:paraId="4F74D1D2" w14:textId="77777777" w:rsidR="00AB160D" w:rsidRPr="00D9605D" w:rsidRDefault="00AE4FCE">
            <w:pPr>
              <w:cnfStyle w:val="000000000000" w:firstRow="0" w:lastRow="0" w:firstColumn="0" w:lastColumn="0" w:oddVBand="0" w:evenVBand="0" w:oddHBand="0" w:evenHBand="0" w:firstRowFirstColumn="0" w:firstRowLastColumn="0" w:lastRowFirstColumn="0" w:lastRowLastColumn="0"/>
              <w:rPr>
                <w:b/>
                <w:bCs/>
                <w:color w:val="000000" w:themeColor="text1"/>
              </w:rPr>
            </w:pPr>
            <w:r w:rsidRPr="00D9605D">
              <w:rPr>
                <w:b/>
                <w:bCs/>
                <w:color w:val="000000" w:themeColor="text1"/>
              </w:rPr>
              <w:t>4 days</w:t>
            </w:r>
          </w:p>
        </w:tc>
        <w:tc>
          <w:tcPr>
            <w:tcW w:w="2877" w:type="dxa"/>
          </w:tcPr>
          <w:p w14:paraId="4FA23EE7" w14:textId="77777777" w:rsidR="00AB160D" w:rsidRPr="00D9605D" w:rsidRDefault="00AE4FCE">
            <w:pPr>
              <w:cnfStyle w:val="000000000000" w:firstRow="0" w:lastRow="0" w:firstColumn="0" w:lastColumn="0" w:oddVBand="0" w:evenVBand="0" w:oddHBand="0" w:evenHBand="0" w:firstRowFirstColumn="0" w:firstRowLastColumn="0" w:lastRowFirstColumn="0" w:lastRowLastColumn="0"/>
              <w:rPr>
                <w:b/>
                <w:bCs/>
                <w:color w:val="000000" w:themeColor="text1"/>
              </w:rPr>
            </w:pPr>
            <w:r w:rsidRPr="00D9605D">
              <w:rPr>
                <w:b/>
                <w:bCs/>
                <w:color w:val="000000" w:themeColor="text1"/>
              </w:rPr>
              <w:t>5 days</w:t>
            </w:r>
          </w:p>
        </w:tc>
      </w:tr>
      <w:tr w:rsidR="00AB160D" w:rsidRPr="00D9605D" w14:paraId="2FF84EA3" w14:textId="77777777" w:rsidTr="00AB160D">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8630" w:type="dxa"/>
            <w:gridSpan w:val="3"/>
          </w:tcPr>
          <w:p w14:paraId="189F3D1D" w14:textId="77777777" w:rsidR="00AB160D" w:rsidRPr="00D9605D" w:rsidRDefault="00AE4FCE">
            <w:pPr>
              <w:jc w:val="center"/>
              <w:rPr>
                <w:color w:val="000000" w:themeColor="text1"/>
              </w:rPr>
            </w:pPr>
            <w:r w:rsidRPr="00D9605D">
              <w:rPr>
                <w:color w:val="000000" w:themeColor="text1"/>
              </w:rPr>
              <w:t>Payables Days</w:t>
            </w:r>
          </w:p>
        </w:tc>
      </w:tr>
      <w:tr w:rsidR="00AB160D" w:rsidRPr="00D9605D" w14:paraId="6C0B8357" w14:textId="77777777" w:rsidTr="00AB160D">
        <w:trPr>
          <w:trHeight w:val="838"/>
        </w:trPr>
        <w:tc>
          <w:tcPr>
            <w:cnfStyle w:val="001000000000" w:firstRow="0" w:lastRow="0" w:firstColumn="1" w:lastColumn="0" w:oddVBand="0" w:evenVBand="0" w:oddHBand="0" w:evenHBand="0" w:firstRowFirstColumn="0" w:firstRowLastColumn="0" w:lastRowFirstColumn="0" w:lastRowLastColumn="0"/>
            <w:tcW w:w="3055" w:type="dxa"/>
          </w:tcPr>
          <w:p w14:paraId="63ED9988" w14:textId="77777777" w:rsidR="00AB160D" w:rsidRPr="00D9605D" w:rsidRDefault="00AE4FCE">
            <w:pPr>
              <w:rPr>
                <w:color w:val="000000" w:themeColor="text1"/>
              </w:rPr>
            </w:pPr>
            <w:r w:rsidRPr="00D9605D">
              <w:rPr>
                <w:color w:val="000000" w:themeColor="text1"/>
              </w:rPr>
              <w:t>(Payables / Cost of Sales) × 365</w:t>
            </w:r>
          </w:p>
        </w:tc>
        <w:tc>
          <w:tcPr>
            <w:tcW w:w="2698" w:type="dxa"/>
          </w:tcPr>
          <w:p w14:paraId="2D27D9D6" w14:textId="77777777" w:rsidR="00AB160D" w:rsidRPr="00D9605D" w:rsidRDefault="00AE4FCE">
            <w:pPr>
              <w:cnfStyle w:val="000000000000" w:firstRow="0" w:lastRow="0" w:firstColumn="0" w:lastColumn="0" w:oddVBand="0" w:evenVBand="0" w:oddHBand="0" w:evenHBand="0" w:firstRowFirstColumn="0" w:firstRowLastColumn="0" w:lastRowFirstColumn="0" w:lastRowLastColumn="0"/>
              <w:rPr>
                <w:b/>
                <w:bCs/>
                <w:color w:val="000000" w:themeColor="text1"/>
              </w:rPr>
            </w:pPr>
            <w:r w:rsidRPr="00D9605D">
              <w:rPr>
                <w:b/>
                <w:bCs/>
                <w:color w:val="000000" w:themeColor="text1"/>
              </w:rPr>
              <w:t>58 days</w:t>
            </w:r>
          </w:p>
        </w:tc>
        <w:tc>
          <w:tcPr>
            <w:tcW w:w="2877" w:type="dxa"/>
          </w:tcPr>
          <w:p w14:paraId="6CDCC201" w14:textId="77777777" w:rsidR="00AB160D" w:rsidRPr="00D9605D" w:rsidRDefault="00AE4FCE">
            <w:pPr>
              <w:cnfStyle w:val="000000000000" w:firstRow="0" w:lastRow="0" w:firstColumn="0" w:lastColumn="0" w:oddVBand="0" w:evenVBand="0" w:oddHBand="0" w:evenHBand="0" w:firstRowFirstColumn="0" w:firstRowLastColumn="0" w:lastRowFirstColumn="0" w:lastRowLastColumn="0"/>
              <w:rPr>
                <w:b/>
                <w:bCs/>
                <w:color w:val="000000" w:themeColor="text1"/>
              </w:rPr>
            </w:pPr>
            <w:r w:rsidRPr="00D9605D">
              <w:rPr>
                <w:b/>
                <w:bCs/>
                <w:color w:val="000000" w:themeColor="text1"/>
              </w:rPr>
              <w:t>55 days</w:t>
            </w:r>
          </w:p>
        </w:tc>
      </w:tr>
    </w:tbl>
    <w:p w14:paraId="10BA9EDD" w14:textId="77777777" w:rsidR="00AB160D" w:rsidRPr="00D9605D" w:rsidRDefault="00AB160D">
      <w:pPr>
        <w:rPr>
          <w:color w:val="000000" w:themeColor="text1"/>
        </w:rPr>
      </w:pPr>
    </w:p>
    <w:p w14:paraId="626D3A4F" w14:textId="77777777" w:rsidR="00AB160D" w:rsidRPr="00D9605D" w:rsidRDefault="00AE4FCE">
      <w:pPr>
        <w:rPr>
          <w:color w:val="000000" w:themeColor="text1"/>
        </w:rPr>
      </w:pPr>
      <w:r w:rsidRPr="00D9605D">
        <w:rPr>
          <w:color w:val="000000" w:themeColor="text1"/>
        </w:rPr>
        <w:t xml:space="preserve">Receivable days measure the efficiency of customer credit collection. A collection period below 10 days is generally considered effective. </w:t>
      </w:r>
      <w:r w:rsidRPr="00D9605D">
        <w:rPr>
          <w:color w:val="000000" w:themeColor="text1"/>
        </w:rPr>
        <w:t xml:space="preserve">Moreover, the number of days outstanding also </w:t>
      </w:r>
      <w:r w:rsidRPr="00D9605D">
        <w:rPr>
          <w:b/>
          <w:bCs/>
          <w:color w:val="000000" w:themeColor="text1"/>
        </w:rPr>
        <w:t>went down to 4 days instead of 5</w:t>
      </w:r>
      <w:r w:rsidRPr="00D9605D">
        <w:rPr>
          <w:color w:val="000000" w:themeColor="text1"/>
        </w:rPr>
        <w:t xml:space="preserve"> days, indicating faster cash turnaround, though this is not surprising in retail activities since most of the transactions are instantaneous. </w:t>
      </w:r>
      <w:r w:rsidRPr="00D9605D">
        <w:rPr>
          <w:color w:val="000000" w:themeColor="text1"/>
        </w:rPr>
        <w:t>Tesco's receivable period of four days demonstrates excellent cash collection efficiency and supports strong working capital management.</w:t>
      </w:r>
    </w:p>
    <w:p w14:paraId="1362C11E" w14:textId="77777777" w:rsidR="00AB160D" w:rsidRPr="00D9605D" w:rsidRDefault="00AE4FCE">
      <w:pPr>
        <w:rPr>
          <w:color w:val="000000" w:themeColor="text1"/>
        </w:rPr>
      </w:pPr>
      <w:r w:rsidRPr="00D9605D">
        <w:rPr>
          <w:color w:val="000000" w:themeColor="text1"/>
        </w:rPr>
        <w:t xml:space="preserve">Payable days indicate the average time taken to settle supplier obligations. Retail businesses commonly operate between 30 and 60 days. </w:t>
      </w:r>
      <w:r w:rsidRPr="00D9605D">
        <w:rPr>
          <w:color w:val="000000" w:themeColor="text1"/>
        </w:rPr>
        <w:t xml:space="preserve">On the other hand, the payables days were extended </w:t>
      </w:r>
      <w:r w:rsidRPr="00D9605D">
        <w:rPr>
          <w:b/>
          <w:bCs/>
          <w:color w:val="000000" w:themeColor="text1"/>
        </w:rPr>
        <w:t>55 to 58 days</w:t>
      </w:r>
      <w:r w:rsidRPr="00D9605D">
        <w:rPr>
          <w:color w:val="000000" w:themeColor="text1"/>
        </w:rPr>
        <w:t xml:space="preserve">, which means that Tesco is now taking more days to pay its suppliers. </w:t>
      </w:r>
      <w:r w:rsidRPr="00D9605D">
        <w:rPr>
          <w:color w:val="000000" w:themeColor="text1"/>
        </w:rPr>
        <w:t>Tesco's payable period of 58 days remains within the accepted industry range and supports cash flow management</w:t>
      </w:r>
      <w:r w:rsidRPr="00D9605D">
        <w:rPr>
          <w:color w:val="000000" w:themeColor="text1"/>
        </w:rPr>
        <w:t>.</w:t>
      </w:r>
    </w:p>
    <w:p w14:paraId="4E975C43" w14:textId="77777777" w:rsidR="00AB160D" w:rsidRPr="00D9605D" w:rsidRDefault="00AE4FCE">
      <w:pPr>
        <w:rPr>
          <w:color w:val="000000" w:themeColor="text1"/>
        </w:rPr>
      </w:pPr>
      <w:r w:rsidRPr="00D9605D">
        <w:rPr>
          <w:color w:val="000000" w:themeColor="text1"/>
        </w:rPr>
        <w:t>This trend means that Tesco has an effective working capital cycle whereby it converts inventory into cash fast whilst delaying cash outflow. Statista states that in the UK, the supermarkets have a high stock turnover because of the frequent buying by consumers and perishable goods (Statista Research Department; 2025). This shows that the efficiency of Tesco is directly connected with the high level of supply chain management and the scale of operations, but the use of supplier credit can be a risky situati</w:t>
      </w:r>
      <w:r w:rsidRPr="00D9605D">
        <w:rPr>
          <w:color w:val="000000" w:themeColor="text1"/>
        </w:rPr>
        <w:t xml:space="preserve">on in case of the tightening of the market conditions. </w:t>
      </w:r>
      <w:r w:rsidRPr="00D9605D">
        <w:rPr>
          <w:color w:val="000000" w:themeColor="text1"/>
        </w:rPr>
        <w:t>While extending payment periods improves working capital efficiency, excessive dependence on supplier credit could weaken supplier relationships and reduce future negotiating power</w:t>
      </w:r>
      <w:r w:rsidRPr="00D9605D">
        <w:rPr>
          <w:color w:val="000000" w:themeColor="text1"/>
        </w:rPr>
        <w:t>.</w:t>
      </w:r>
    </w:p>
    <w:p w14:paraId="1FBB514E" w14:textId="77777777" w:rsidR="00AB160D" w:rsidRPr="00D9605D" w:rsidRDefault="00AE4FCE">
      <w:pPr>
        <w:pStyle w:val="Heading2"/>
        <w:rPr>
          <w:color w:val="000000" w:themeColor="text1"/>
        </w:rPr>
      </w:pPr>
      <w:bookmarkStart w:id="7" w:name="_heading=h.akysciyh5q51" w:colFirst="0" w:colLast="0"/>
      <w:bookmarkEnd w:id="7"/>
      <w:r w:rsidRPr="00D9605D">
        <w:rPr>
          <w:color w:val="000000" w:themeColor="text1"/>
        </w:rPr>
        <w:t>2.4 Gearing Ratios</w:t>
      </w:r>
    </w:p>
    <w:p w14:paraId="702AE471" w14:textId="77777777" w:rsidR="00AB160D" w:rsidRPr="00D9605D" w:rsidRDefault="00AE4FCE">
      <w:pPr>
        <w:rPr>
          <w:color w:val="000000" w:themeColor="text1"/>
        </w:rPr>
      </w:pPr>
      <w:r w:rsidRPr="00D9605D">
        <w:rPr>
          <w:color w:val="000000" w:themeColor="text1"/>
        </w:rPr>
        <w:t xml:space="preserve">Gearing ratios determine the degree to which Tesco plc uses debt financing. </w:t>
      </w:r>
      <w:r w:rsidRPr="00D9605D">
        <w:rPr>
          <w:color w:val="000000" w:themeColor="text1"/>
        </w:rPr>
        <w:t>Debt-to-equity ratio is the ratio of debt financing to shareholder's equity. If the ratio is less than 1.0, the financial condition is likely to be healthy. Table 4 shows the financial leverage of Tesco had a slight decrease in 2024 and 2025, as the debt-equity ratio decreased from 0.85 to 0.82. Tesco has a capital structure ratio of 0.82, which means they are fairly at risk of financial risk, but have a good balance of capital.</w:t>
      </w:r>
    </w:p>
    <w:tbl>
      <w:tblPr>
        <w:tblStyle w:val="a2"/>
        <w:tblW w:w="8630" w:type="dxa"/>
        <w:tblInd w:w="-5" w:type="dxa"/>
        <w:tblBorders>
          <w:top w:val="single" w:sz="4" w:space="0" w:color="47D45A"/>
          <w:left w:val="single" w:sz="4" w:space="0" w:color="47D45A"/>
          <w:bottom w:val="single" w:sz="4" w:space="0" w:color="47D45A"/>
          <w:right w:val="single" w:sz="4" w:space="0" w:color="47D45A"/>
          <w:insideH w:val="single" w:sz="4" w:space="0" w:color="47D45A"/>
          <w:insideV w:val="single" w:sz="4" w:space="0" w:color="47D45A"/>
        </w:tblBorders>
        <w:tblLayout w:type="fixed"/>
        <w:tblLook w:val="04A0" w:firstRow="1" w:lastRow="0" w:firstColumn="1" w:lastColumn="0" w:noHBand="0" w:noVBand="1"/>
      </w:tblPr>
      <w:tblGrid>
        <w:gridCol w:w="2876"/>
        <w:gridCol w:w="2877"/>
        <w:gridCol w:w="2877"/>
      </w:tblGrid>
      <w:tr w:rsidR="00AB160D" w:rsidRPr="00D9605D" w14:paraId="3ADC6F8A" w14:textId="77777777" w:rsidTr="00AB16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gridSpan w:val="3"/>
          </w:tcPr>
          <w:p w14:paraId="388AAB5A" w14:textId="77777777" w:rsidR="00AB160D" w:rsidRPr="00D9605D" w:rsidRDefault="00AE4FCE">
            <w:pPr>
              <w:jc w:val="center"/>
              <w:rPr>
                <w:color w:val="000000" w:themeColor="text1"/>
              </w:rPr>
            </w:pPr>
            <w:r w:rsidRPr="00D9605D">
              <w:rPr>
                <w:color w:val="000000" w:themeColor="text1"/>
              </w:rPr>
              <w:t>Debt-to-Equity</w:t>
            </w:r>
          </w:p>
        </w:tc>
      </w:tr>
      <w:tr w:rsidR="00AB160D" w:rsidRPr="00D9605D" w14:paraId="1CF71507" w14:textId="77777777" w:rsidTr="00AB16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14:paraId="35AFE4CA" w14:textId="77777777" w:rsidR="00AB160D" w:rsidRPr="00D9605D" w:rsidRDefault="00AB160D">
            <w:pPr>
              <w:rPr>
                <w:color w:val="000000" w:themeColor="text1"/>
              </w:rPr>
            </w:pPr>
          </w:p>
        </w:tc>
        <w:tc>
          <w:tcPr>
            <w:tcW w:w="2877" w:type="dxa"/>
          </w:tcPr>
          <w:p w14:paraId="37E8E330" w14:textId="77777777" w:rsidR="00AB160D" w:rsidRPr="00D9605D" w:rsidRDefault="00AE4FCE">
            <w:pPr>
              <w:cnfStyle w:val="000000100000" w:firstRow="0" w:lastRow="0" w:firstColumn="0" w:lastColumn="0" w:oddVBand="0" w:evenVBand="0" w:oddHBand="1" w:evenHBand="0" w:firstRowFirstColumn="0" w:firstRowLastColumn="0" w:lastRowFirstColumn="0" w:lastRowLastColumn="0"/>
              <w:rPr>
                <w:b/>
                <w:bCs/>
                <w:color w:val="000000" w:themeColor="text1"/>
              </w:rPr>
            </w:pPr>
            <w:r w:rsidRPr="00D9605D">
              <w:rPr>
                <w:b/>
                <w:bCs/>
                <w:color w:val="000000" w:themeColor="text1"/>
              </w:rPr>
              <w:t>2025</w:t>
            </w:r>
          </w:p>
        </w:tc>
        <w:tc>
          <w:tcPr>
            <w:tcW w:w="2877" w:type="dxa"/>
          </w:tcPr>
          <w:p w14:paraId="7C607F0D" w14:textId="77777777" w:rsidR="00AB160D" w:rsidRPr="00D9605D" w:rsidRDefault="00AE4FCE">
            <w:pPr>
              <w:cnfStyle w:val="000000100000" w:firstRow="0" w:lastRow="0" w:firstColumn="0" w:lastColumn="0" w:oddVBand="0" w:evenVBand="0" w:oddHBand="1" w:evenHBand="0" w:firstRowFirstColumn="0" w:firstRowLastColumn="0" w:lastRowFirstColumn="0" w:lastRowLastColumn="0"/>
              <w:rPr>
                <w:b/>
                <w:bCs/>
                <w:color w:val="000000" w:themeColor="text1"/>
              </w:rPr>
            </w:pPr>
            <w:r w:rsidRPr="00D9605D">
              <w:rPr>
                <w:b/>
                <w:bCs/>
                <w:color w:val="000000" w:themeColor="text1"/>
              </w:rPr>
              <w:t>2024</w:t>
            </w:r>
          </w:p>
        </w:tc>
      </w:tr>
      <w:tr w:rsidR="00AB160D" w:rsidRPr="00D9605D" w14:paraId="4FC1C7F6" w14:textId="77777777" w:rsidTr="00AB160D">
        <w:trPr>
          <w:trHeight w:val="512"/>
        </w:trPr>
        <w:tc>
          <w:tcPr>
            <w:cnfStyle w:val="001000000000" w:firstRow="0" w:lastRow="0" w:firstColumn="1" w:lastColumn="0" w:oddVBand="0" w:evenVBand="0" w:oddHBand="0" w:evenHBand="0" w:firstRowFirstColumn="0" w:firstRowLastColumn="0" w:lastRowFirstColumn="0" w:lastRowLastColumn="0"/>
            <w:tcW w:w="2876" w:type="dxa"/>
          </w:tcPr>
          <w:p w14:paraId="4DEE7865" w14:textId="77777777" w:rsidR="00AB160D" w:rsidRPr="00D9605D" w:rsidRDefault="00AB160D">
            <w:pPr>
              <w:rPr>
                <w:color w:val="000000" w:themeColor="text1"/>
              </w:rPr>
            </w:pPr>
          </w:p>
        </w:tc>
        <w:tc>
          <w:tcPr>
            <w:tcW w:w="2877" w:type="dxa"/>
          </w:tcPr>
          <w:p w14:paraId="508DA623" w14:textId="77777777" w:rsidR="00AB160D" w:rsidRPr="00D9605D" w:rsidRDefault="00AE4FCE">
            <w:pPr>
              <w:cnfStyle w:val="000000000000" w:firstRow="0" w:lastRow="0" w:firstColumn="0" w:lastColumn="0" w:oddVBand="0" w:evenVBand="0" w:oddHBand="0" w:evenHBand="0" w:firstRowFirstColumn="0" w:firstRowLastColumn="0" w:lastRowFirstColumn="0" w:lastRowLastColumn="0"/>
              <w:rPr>
                <w:b/>
                <w:bCs/>
                <w:color w:val="000000" w:themeColor="text1"/>
              </w:rPr>
            </w:pPr>
            <w:r w:rsidRPr="00D9605D">
              <w:rPr>
                <w:b/>
                <w:bCs/>
                <w:color w:val="000000" w:themeColor="text1"/>
              </w:rPr>
              <w:t>0.82</w:t>
            </w:r>
          </w:p>
        </w:tc>
        <w:tc>
          <w:tcPr>
            <w:tcW w:w="2877" w:type="dxa"/>
          </w:tcPr>
          <w:p w14:paraId="652B78AF" w14:textId="77777777" w:rsidR="00AB160D" w:rsidRPr="00D9605D" w:rsidRDefault="00AE4FCE">
            <w:pPr>
              <w:cnfStyle w:val="000000000000" w:firstRow="0" w:lastRow="0" w:firstColumn="0" w:lastColumn="0" w:oddVBand="0" w:evenVBand="0" w:oddHBand="0" w:evenHBand="0" w:firstRowFirstColumn="0" w:firstRowLastColumn="0" w:lastRowFirstColumn="0" w:lastRowLastColumn="0"/>
              <w:rPr>
                <w:b/>
                <w:bCs/>
                <w:color w:val="000000" w:themeColor="text1"/>
              </w:rPr>
            </w:pPr>
            <w:r w:rsidRPr="00D9605D">
              <w:rPr>
                <w:b/>
                <w:bCs/>
                <w:color w:val="000000" w:themeColor="text1"/>
              </w:rPr>
              <w:t>0.85</w:t>
            </w:r>
          </w:p>
        </w:tc>
      </w:tr>
      <w:tr w:rsidR="00AB160D" w:rsidRPr="00D9605D" w14:paraId="0552FD72" w14:textId="77777777" w:rsidTr="00AB160D">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8630" w:type="dxa"/>
            <w:gridSpan w:val="3"/>
          </w:tcPr>
          <w:p w14:paraId="582101E8" w14:textId="77777777" w:rsidR="00AB160D" w:rsidRPr="00D9605D" w:rsidRDefault="00AE4FCE">
            <w:pPr>
              <w:jc w:val="center"/>
              <w:rPr>
                <w:color w:val="000000" w:themeColor="text1"/>
              </w:rPr>
            </w:pPr>
            <w:r w:rsidRPr="00D9605D">
              <w:rPr>
                <w:color w:val="000000" w:themeColor="text1"/>
              </w:rPr>
              <w:t>Interest Cover</w:t>
            </w:r>
          </w:p>
        </w:tc>
      </w:tr>
      <w:tr w:rsidR="00AB160D" w:rsidRPr="00D9605D" w14:paraId="04F6E073" w14:textId="77777777" w:rsidTr="00AB160D">
        <w:trPr>
          <w:trHeight w:val="838"/>
        </w:trPr>
        <w:tc>
          <w:tcPr>
            <w:cnfStyle w:val="001000000000" w:firstRow="0" w:lastRow="0" w:firstColumn="1" w:lastColumn="0" w:oddVBand="0" w:evenVBand="0" w:oddHBand="0" w:evenHBand="0" w:firstRowFirstColumn="0" w:firstRowLastColumn="0" w:lastRowFirstColumn="0" w:lastRowLastColumn="0"/>
            <w:tcW w:w="2876" w:type="dxa"/>
          </w:tcPr>
          <w:p w14:paraId="5BD1C1EC" w14:textId="77777777" w:rsidR="00AB160D" w:rsidRPr="00D9605D" w:rsidRDefault="00AE4FCE">
            <w:pPr>
              <w:rPr>
                <w:color w:val="000000" w:themeColor="text1"/>
              </w:rPr>
            </w:pPr>
            <w:r w:rsidRPr="00D9605D">
              <w:rPr>
                <w:color w:val="000000" w:themeColor="text1"/>
              </w:rPr>
              <w:t>(Operating Profit / Finance Cost</w:t>
            </w:r>
          </w:p>
        </w:tc>
        <w:tc>
          <w:tcPr>
            <w:tcW w:w="2877" w:type="dxa"/>
          </w:tcPr>
          <w:p w14:paraId="19096DD4" w14:textId="77777777" w:rsidR="00AB160D" w:rsidRPr="00D9605D" w:rsidRDefault="00AE4FCE">
            <w:pPr>
              <w:cnfStyle w:val="000000000000" w:firstRow="0" w:lastRow="0" w:firstColumn="0" w:lastColumn="0" w:oddVBand="0" w:evenVBand="0" w:oddHBand="0" w:evenHBand="0" w:firstRowFirstColumn="0" w:firstRowLastColumn="0" w:lastRowFirstColumn="0" w:lastRowLastColumn="0"/>
              <w:rPr>
                <w:b/>
                <w:bCs/>
                <w:color w:val="000000" w:themeColor="text1"/>
              </w:rPr>
            </w:pPr>
            <w:r w:rsidRPr="00D9605D">
              <w:rPr>
                <w:b/>
                <w:bCs/>
                <w:color w:val="000000" w:themeColor="text1"/>
              </w:rPr>
              <w:t>7.2 times</w:t>
            </w:r>
          </w:p>
        </w:tc>
        <w:tc>
          <w:tcPr>
            <w:tcW w:w="2877" w:type="dxa"/>
          </w:tcPr>
          <w:p w14:paraId="19C7117E" w14:textId="77777777" w:rsidR="00AB160D" w:rsidRPr="00D9605D" w:rsidRDefault="00AE4FCE">
            <w:pPr>
              <w:cnfStyle w:val="000000000000" w:firstRow="0" w:lastRow="0" w:firstColumn="0" w:lastColumn="0" w:oddVBand="0" w:evenVBand="0" w:oddHBand="0" w:evenHBand="0" w:firstRowFirstColumn="0" w:firstRowLastColumn="0" w:lastRowFirstColumn="0" w:lastRowLastColumn="0"/>
              <w:rPr>
                <w:b/>
                <w:bCs/>
                <w:color w:val="000000" w:themeColor="text1"/>
              </w:rPr>
            </w:pPr>
            <w:r w:rsidRPr="00D9605D">
              <w:rPr>
                <w:b/>
                <w:bCs/>
                <w:color w:val="000000" w:themeColor="text1"/>
              </w:rPr>
              <w:t>6.5 times</w:t>
            </w:r>
          </w:p>
        </w:tc>
      </w:tr>
    </w:tbl>
    <w:p w14:paraId="0E0D4ECF" w14:textId="77777777" w:rsidR="00AB160D" w:rsidRPr="00D9605D" w:rsidRDefault="00AB160D">
      <w:pPr>
        <w:rPr>
          <w:color w:val="000000" w:themeColor="text1"/>
        </w:rPr>
      </w:pPr>
    </w:p>
    <w:p w14:paraId="2F950310" w14:textId="77777777" w:rsidR="00AB160D" w:rsidRPr="00D9605D" w:rsidRDefault="00AE4FCE">
      <w:pPr>
        <w:rPr>
          <w:color w:val="000000" w:themeColor="text1"/>
        </w:rPr>
      </w:pPr>
      <w:r w:rsidRPr="00D9605D">
        <w:rPr>
          <w:color w:val="000000" w:themeColor="text1"/>
        </w:rPr>
        <w:t xml:space="preserve">Interest cover indicates how well the organisation can service the interest payments from operating profits. A ratio of more than three times is acceptable and over five times is considered strong. Moreover, the interest cover ratio was also increased by 6.5 times to 7.2 times indicating that operating profits are becoming adequate to cover interest payments. This equates with increased financial stability and reduced risk exposure. Tesco is able to service its interest obligations as its interest cover is </w:t>
      </w:r>
      <w:r w:rsidRPr="00D9605D">
        <w:rPr>
          <w:color w:val="000000" w:themeColor="text1"/>
        </w:rPr>
        <w:t xml:space="preserve">7.2 times. </w:t>
      </w:r>
      <w:r w:rsidRPr="00D9605D">
        <w:rPr>
          <w:color w:val="000000" w:themeColor="text1"/>
        </w:rPr>
        <w:t>This is indicative of a consistent performance in terms of earnings and proper management of funds. Statista indicates that big retailers in the UK generally rely on debt financing to finance expansion and operational investments, especially during times of economic uncertainty (Statista Research Department; 2025).</w:t>
      </w:r>
    </w:p>
    <w:p w14:paraId="02A34892" w14:textId="77777777" w:rsidR="00AB160D" w:rsidRPr="00D9605D" w:rsidRDefault="00AE4FCE">
      <w:pPr>
        <w:rPr>
          <w:color w:val="000000" w:themeColor="text1"/>
        </w:rPr>
      </w:pPr>
      <w:r w:rsidRPr="00D9605D">
        <w:rPr>
          <w:color w:val="000000" w:themeColor="text1"/>
        </w:rPr>
        <w:t xml:space="preserve">It means that the application of debt by Tesco is justified by the growth-oriented strategy, which allows investing in such aspects as the development of stores and digital infrastructure. </w:t>
      </w:r>
      <w:r w:rsidRPr="00D9605D">
        <w:rPr>
          <w:color w:val="000000" w:themeColor="text1"/>
        </w:rPr>
        <w:t>Although Tesco's gearing position remains stable, future increases in interest rates could increase borrowing costs and reduce financial flexibility.</w:t>
      </w:r>
    </w:p>
    <w:p w14:paraId="4D23AEA7" w14:textId="77777777" w:rsidR="00AB160D" w:rsidRPr="00D9605D" w:rsidRDefault="00AE4FCE">
      <w:pPr>
        <w:pStyle w:val="Heading2"/>
        <w:rPr>
          <w:color w:val="000000" w:themeColor="text1"/>
        </w:rPr>
      </w:pPr>
      <w:bookmarkStart w:id="8" w:name="_heading=h.72be7hk79df1" w:colFirst="0" w:colLast="0"/>
      <w:bookmarkEnd w:id="8"/>
      <w:r w:rsidRPr="00D9605D">
        <w:rPr>
          <w:color w:val="000000" w:themeColor="text1"/>
        </w:rPr>
        <w:t>2.5 Investor Ratios</w:t>
      </w:r>
    </w:p>
    <w:p w14:paraId="6CF01D8D" w14:textId="77777777" w:rsidR="00AB160D" w:rsidRPr="00D9605D" w:rsidRDefault="00AE4FCE">
      <w:pPr>
        <w:rPr>
          <w:color w:val="000000" w:themeColor="text1"/>
        </w:rPr>
      </w:pPr>
      <w:r w:rsidRPr="00D9605D">
        <w:rPr>
          <w:color w:val="000000" w:themeColor="text1"/>
        </w:rPr>
        <w:t>The investor ratios are employed to determine the attractiveness of Tesco plc to its investors. Earnings per Share (EPS) is a ratio that indicates the profit per ordinary share, and is a common gauge of a shareholder's return on investment. Table 5 demonstrates that the earnings per share (EPS) rose in 2024 and 2025 to 23.5p and 26.8p, respectively, which means a better profitability and shareholder returns. The 23.5p up to 26.8p is due to better profitability and shareholder value.</w:t>
      </w:r>
    </w:p>
    <w:tbl>
      <w:tblPr>
        <w:tblStyle w:val="a3"/>
        <w:tblW w:w="5754" w:type="dxa"/>
        <w:jc w:val="center"/>
        <w:tblInd w:w="0" w:type="dxa"/>
        <w:tblBorders>
          <w:top w:val="single" w:sz="4" w:space="0" w:color="D76DCC"/>
          <w:left w:val="single" w:sz="4" w:space="0" w:color="D76DCC"/>
          <w:bottom w:val="single" w:sz="4" w:space="0" w:color="D76DCC"/>
          <w:right w:val="single" w:sz="4" w:space="0" w:color="D76DCC"/>
          <w:insideH w:val="single" w:sz="4" w:space="0" w:color="D76DCC"/>
          <w:insideV w:val="single" w:sz="4" w:space="0" w:color="D76DCC"/>
        </w:tblBorders>
        <w:tblLayout w:type="fixed"/>
        <w:tblLook w:val="04A0" w:firstRow="1" w:lastRow="0" w:firstColumn="1" w:lastColumn="0" w:noHBand="0" w:noVBand="1"/>
      </w:tblPr>
      <w:tblGrid>
        <w:gridCol w:w="2877"/>
        <w:gridCol w:w="2877"/>
      </w:tblGrid>
      <w:tr w:rsidR="00AB160D" w:rsidRPr="00D9605D" w14:paraId="753F8D09" w14:textId="77777777" w:rsidTr="00AB160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4" w:type="dxa"/>
            <w:gridSpan w:val="2"/>
          </w:tcPr>
          <w:p w14:paraId="52AA95BE" w14:textId="77777777" w:rsidR="00AB160D" w:rsidRPr="00D9605D" w:rsidRDefault="00AE4FCE">
            <w:pPr>
              <w:jc w:val="center"/>
              <w:rPr>
                <w:color w:val="000000" w:themeColor="text1"/>
              </w:rPr>
            </w:pPr>
            <w:r w:rsidRPr="00D9605D">
              <w:rPr>
                <w:color w:val="000000" w:themeColor="text1"/>
              </w:rPr>
              <w:t>EPS</w:t>
            </w:r>
          </w:p>
        </w:tc>
      </w:tr>
      <w:tr w:rsidR="00AB160D" w:rsidRPr="00D9605D" w14:paraId="623F6B0B" w14:textId="77777777" w:rsidTr="00AB160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77" w:type="dxa"/>
          </w:tcPr>
          <w:p w14:paraId="22128B81" w14:textId="77777777" w:rsidR="00AB160D" w:rsidRPr="00D9605D" w:rsidRDefault="00AE4FCE">
            <w:pPr>
              <w:jc w:val="center"/>
              <w:rPr>
                <w:color w:val="000000" w:themeColor="text1"/>
              </w:rPr>
            </w:pPr>
            <w:r w:rsidRPr="00D9605D">
              <w:rPr>
                <w:b w:val="0"/>
                <w:bCs w:val="0"/>
                <w:color w:val="000000" w:themeColor="text1"/>
              </w:rPr>
              <w:t>2025</w:t>
            </w:r>
          </w:p>
        </w:tc>
        <w:tc>
          <w:tcPr>
            <w:tcW w:w="2877" w:type="dxa"/>
          </w:tcPr>
          <w:p w14:paraId="3C7EA9A8"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b/>
                <w:bCs/>
                <w:color w:val="000000" w:themeColor="text1"/>
              </w:rPr>
            </w:pPr>
            <w:r w:rsidRPr="00D9605D">
              <w:rPr>
                <w:b/>
                <w:bCs/>
                <w:color w:val="000000" w:themeColor="text1"/>
              </w:rPr>
              <w:t>2024</w:t>
            </w:r>
          </w:p>
        </w:tc>
      </w:tr>
      <w:tr w:rsidR="00AB160D" w:rsidRPr="00D9605D" w14:paraId="06361CBB" w14:textId="77777777" w:rsidTr="00AB160D">
        <w:trPr>
          <w:trHeight w:val="503"/>
          <w:jc w:val="center"/>
        </w:trPr>
        <w:tc>
          <w:tcPr>
            <w:cnfStyle w:val="001000000000" w:firstRow="0" w:lastRow="0" w:firstColumn="1" w:lastColumn="0" w:oddVBand="0" w:evenVBand="0" w:oddHBand="0" w:evenHBand="0" w:firstRowFirstColumn="0" w:firstRowLastColumn="0" w:lastRowFirstColumn="0" w:lastRowLastColumn="0"/>
            <w:tcW w:w="2877" w:type="dxa"/>
          </w:tcPr>
          <w:p w14:paraId="35FA7D1B" w14:textId="77777777" w:rsidR="00AB160D" w:rsidRPr="00D9605D" w:rsidRDefault="00AE4FCE">
            <w:pPr>
              <w:jc w:val="center"/>
              <w:rPr>
                <w:color w:val="000000" w:themeColor="text1"/>
              </w:rPr>
            </w:pPr>
            <w:r w:rsidRPr="00D9605D">
              <w:rPr>
                <w:color w:val="000000" w:themeColor="text1"/>
              </w:rPr>
              <w:t>26.8p</w:t>
            </w:r>
          </w:p>
        </w:tc>
        <w:tc>
          <w:tcPr>
            <w:tcW w:w="2877" w:type="dxa"/>
          </w:tcPr>
          <w:p w14:paraId="659E552A"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b/>
                <w:bCs/>
                <w:color w:val="000000" w:themeColor="text1"/>
              </w:rPr>
            </w:pPr>
            <w:r w:rsidRPr="00D9605D">
              <w:rPr>
                <w:b/>
                <w:bCs/>
                <w:color w:val="000000" w:themeColor="text1"/>
              </w:rPr>
              <w:t>23.5p</w:t>
            </w:r>
          </w:p>
        </w:tc>
      </w:tr>
      <w:tr w:rsidR="00AB160D" w:rsidRPr="00D9605D" w14:paraId="3977B67C" w14:textId="77777777" w:rsidTr="00AB160D">
        <w:trPr>
          <w:cnfStyle w:val="000000100000" w:firstRow="0" w:lastRow="0" w:firstColumn="0" w:lastColumn="0" w:oddVBand="0" w:evenVBand="0" w:oddHBand="1" w:evenHBand="0" w:firstRowFirstColumn="0" w:firstRowLastColumn="0" w:lastRowFirstColumn="0" w:lastRowLastColumn="0"/>
          <w:trHeight w:val="503"/>
          <w:jc w:val="center"/>
        </w:trPr>
        <w:tc>
          <w:tcPr>
            <w:cnfStyle w:val="001000000000" w:firstRow="0" w:lastRow="0" w:firstColumn="1" w:lastColumn="0" w:oddVBand="0" w:evenVBand="0" w:oddHBand="0" w:evenHBand="0" w:firstRowFirstColumn="0" w:firstRowLastColumn="0" w:lastRowFirstColumn="0" w:lastRowLastColumn="0"/>
            <w:tcW w:w="5754" w:type="dxa"/>
            <w:gridSpan w:val="2"/>
          </w:tcPr>
          <w:p w14:paraId="64F8D7B2" w14:textId="77777777" w:rsidR="00AB160D" w:rsidRPr="00D9605D" w:rsidRDefault="00AE4FCE">
            <w:pPr>
              <w:jc w:val="center"/>
              <w:rPr>
                <w:color w:val="000000" w:themeColor="text1"/>
              </w:rPr>
            </w:pPr>
            <w:r w:rsidRPr="00D9605D">
              <w:rPr>
                <w:color w:val="000000" w:themeColor="text1"/>
              </w:rPr>
              <w:t>Dividend Yield</w:t>
            </w:r>
          </w:p>
        </w:tc>
      </w:tr>
      <w:tr w:rsidR="00AB160D" w:rsidRPr="00D9605D" w14:paraId="307AE3E5" w14:textId="77777777" w:rsidTr="00AB160D">
        <w:trPr>
          <w:trHeight w:val="575"/>
          <w:jc w:val="center"/>
        </w:trPr>
        <w:tc>
          <w:tcPr>
            <w:cnfStyle w:val="001000000000" w:firstRow="0" w:lastRow="0" w:firstColumn="1" w:lastColumn="0" w:oddVBand="0" w:evenVBand="0" w:oddHBand="0" w:evenHBand="0" w:firstRowFirstColumn="0" w:firstRowLastColumn="0" w:lastRowFirstColumn="0" w:lastRowLastColumn="0"/>
            <w:tcW w:w="2877" w:type="dxa"/>
          </w:tcPr>
          <w:p w14:paraId="40A07F53" w14:textId="77777777" w:rsidR="00AB160D" w:rsidRPr="00D9605D" w:rsidRDefault="00AE4FCE">
            <w:pPr>
              <w:jc w:val="center"/>
              <w:rPr>
                <w:color w:val="000000" w:themeColor="text1"/>
              </w:rPr>
            </w:pPr>
            <w:r w:rsidRPr="00D9605D">
              <w:rPr>
                <w:color w:val="000000" w:themeColor="text1"/>
              </w:rPr>
              <w:t>4.1%</w:t>
            </w:r>
          </w:p>
        </w:tc>
        <w:tc>
          <w:tcPr>
            <w:tcW w:w="2877" w:type="dxa"/>
          </w:tcPr>
          <w:p w14:paraId="6841698B"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b/>
                <w:bCs/>
                <w:color w:val="000000" w:themeColor="text1"/>
              </w:rPr>
            </w:pPr>
            <w:r w:rsidRPr="00D9605D">
              <w:rPr>
                <w:b/>
                <w:bCs/>
                <w:color w:val="000000" w:themeColor="text1"/>
              </w:rPr>
              <w:t>3.8%</w:t>
            </w:r>
          </w:p>
        </w:tc>
      </w:tr>
    </w:tbl>
    <w:p w14:paraId="75859F54" w14:textId="77777777" w:rsidR="00AB160D" w:rsidRPr="00D9605D" w:rsidRDefault="00AB160D">
      <w:pPr>
        <w:rPr>
          <w:color w:val="000000" w:themeColor="text1"/>
        </w:rPr>
      </w:pPr>
    </w:p>
    <w:p w14:paraId="223E633C" w14:textId="77777777" w:rsidR="00AB160D" w:rsidRPr="00D9605D" w:rsidRDefault="00AE4FCE">
      <w:pPr>
        <w:rPr>
          <w:color w:val="000000" w:themeColor="text1"/>
        </w:rPr>
      </w:pPr>
      <w:r w:rsidRPr="00D9605D">
        <w:rPr>
          <w:color w:val="000000" w:themeColor="text1"/>
        </w:rPr>
        <w:t>Moreover, dividend yield indicates the dividend income on a share of the market. Dividend yield in the UK retail sector ranged from 3% to 5%, which was actually a 3.8% rise and thus showed that the sector had a consistent and slightly better return on investment for the dividend investors. The dividend yield of 4.1% falls in the sweet spot for retail investors, and is also supportive of Tesco's investment appeal.</w:t>
      </w:r>
      <w:r w:rsidRPr="00D9605D">
        <w:rPr>
          <w:color w:val="000000" w:themeColor="text1"/>
        </w:rPr>
        <w:t>This implies that Tesco has a sustainable dividend policy which is backed by good cash flow generation. Statista reports that major UK retailers are focusing on stable dividend policies to maintain investor trust, especially at a time when the economy is facing uncertainty (Statista, 2024).</w:t>
      </w:r>
    </w:p>
    <w:p w14:paraId="4E71C917" w14:textId="77777777" w:rsidR="00AB160D" w:rsidRPr="00D9605D" w:rsidRDefault="00AE4FCE">
      <w:pPr>
        <w:rPr>
          <w:color w:val="000000" w:themeColor="text1"/>
        </w:rPr>
      </w:pPr>
      <w:r w:rsidRPr="00D9605D">
        <w:rPr>
          <w:color w:val="000000" w:themeColor="text1"/>
        </w:rPr>
        <w:t xml:space="preserve">This implies that Tesco will continue to be a good investment choice because of its consistent revenue stream and its relatively low risk portfolio. </w:t>
      </w:r>
      <w:r w:rsidRPr="00D9605D">
        <w:rPr>
          <w:color w:val="000000" w:themeColor="text1"/>
        </w:rPr>
        <w:t>More dividend payouts boost investor confidence, but too many could mean less money to invest in the future, in innovation and digital transformation.</w:t>
      </w:r>
    </w:p>
    <w:p w14:paraId="7E3C5E74" w14:textId="77777777" w:rsidR="00AB160D" w:rsidRPr="00D9605D" w:rsidRDefault="00AE4FCE">
      <w:pPr>
        <w:pStyle w:val="Heading1"/>
        <w:rPr>
          <w:color w:val="000000" w:themeColor="text1"/>
        </w:rPr>
      </w:pPr>
      <w:r w:rsidRPr="00D9605D">
        <w:rPr>
          <w:color w:val="000000" w:themeColor="text1"/>
        </w:rPr>
        <w:t xml:space="preserve">3. Critical Evaluation </w:t>
      </w:r>
    </w:p>
    <w:p w14:paraId="6D0085F1" w14:textId="77777777" w:rsidR="00AB160D" w:rsidRPr="00D9605D" w:rsidRDefault="00AE4FCE">
      <w:pPr>
        <w:rPr>
          <w:color w:val="000000" w:themeColor="text1"/>
        </w:rPr>
      </w:pPr>
      <w:r w:rsidRPr="00D9605D">
        <w:rPr>
          <w:color w:val="000000" w:themeColor="text1"/>
        </w:rPr>
        <w:t>The financial performance of Tesco provides evidence to show a number of positive aspects, in terms of profitability, efficiency, gearing and measures relating to investors. Both operating profit margin and the return on capital employed (ROCE) for the company have improved from 2024 to 2025, reflecting better financial performance and making the company's resources more efficient. In general, an increase in the profitability ratios would indicate better operational efficiency and cost and revenue managemen</w:t>
      </w:r>
      <w:r w:rsidRPr="00D9605D">
        <w:rPr>
          <w:color w:val="000000" w:themeColor="text1"/>
        </w:rPr>
        <w:t>t (Atrill, 2019). Likewise, Brigham and Ehrhardt (2022) suggest that profitability increases can be associated with effective strategic decisions and value added for multiple stakeholders. Thus, it can be concluded that Tesco is able to remain profitable in a very competitive retail market, which indicates that they are well-managed and have implemented cost control measures successfully.</w:t>
      </w:r>
    </w:p>
    <w:p w14:paraId="481F6DDB" w14:textId="77777777" w:rsidR="00AB160D" w:rsidRPr="00D9605D" w:rsidRDefault="00AE4FCE">
      <w:pPr>
        <w:rPr>
          <w:color w:val="000000" w:themeColor="text1"/>
        </w:rPr>
      </w:pPr>
      <w:r w:rsidRPr="00D9605D">
        <w:rPr>
          <w:color w:val="000000" w:themeColor="text1"/>
        </w:rPr>
        <w:t>But a rise in profitability should be considered as the outcome of managerial efficiency alone. Ross et al. (2022) suggest that times of high inflation can artificially improve profit margins as organisations may pass on the rising costs to consumers by increases in price. During the review period, inflationary pressure and food inflation rates were high in the UK retail sector and this could have helped Tesco's financial performance. Therefore, management actions were clearly a major factor but there may h</w:t>
      </w:r>
      <w:r w:rsidRPr="00D9605D">
        <w:rPr>
          <w:color w:val="000000" w:themeColor="text1"/>
        </w:rPr>
        <w:t>ave been some favourable external market conditions as well. As a result, an increase in the profit of Tesco is most likely to be a result of both internal efficiency and overall economic conditions.</w:t>
      </w:r>
    </w:p>
    <w:p w14:paraId="78C63569" w14:textId="77777777" w:rsidR="00AB160D" w:rsidRPr="00D9605D" w:rsidRDefault="00AE4FCE">
      <w:pPr>
        <w:rPr>
          <w:color w:val="000000" w:themeColor="text1"/>
        </w:rPr>
      </w:pPr>
      <w:r w:rsidRPr="00D9605D">
        <w:rPr>
          <w:color w:val="000000" w:themeColor="text1"/>
        </w:rPr>
        <w:t>The poorest part of Tesco's finances continues to be liquidity. The current ratio and quick ratio showed a slight improvement but they are still below the conventional financial management standards (Watson, and Head 2022). Liquidity ratios below the recommended levels could mean more risk in the short term and less flexibility for the organisation in times of uncertainty, according to Brigham and Ehrhardt (2022). In this sense, Tesco's liquidity situation could be considered as a potential problem as curre</w:t>
      </w:r>
      <w:r w:rsidRPr="00D9605D">
        <w:rPr>
          <w:color w:val="000000" w:themeColor="text1"/>
        </w:rPr>
        <w:t>nt assets are still insufficient to cover current liabilities. However, other theories propose that the traditional measures of liquidity do not really apply to large supermarket retailers. The high turnover in the inventory means that a business can move out its goods quickly, and the high number of transactions with customers means that the business has many opportunities to receive cash in a relatively short time, enabling them to run with lower liquidity ratios than other businesses (Arnold, 2024). So w</w:t>
      </w:r>
      <w:r w:rsidRPr="00D9605D">
        <w:rPr>
          <w:color w:val="000000" w:themeColor="text1"/>
        </w:rPr>
        <w:t>hile Tesco is to be judged by traditional liquidity indicators, the picture is not as gloomy as it would be for other businesses, and they have a business model which means that they are less likely to face serious liquidity problems. But ongoing working capital tracking is still important, especially in this period of economic instability and shifting consumer buying habits.</w:t>
      </w:r>
    </w:p>
    <w:p w14:paraId="66FBE897" w14:textId="77777777" w:rsidR="00AB160D" w:rsidRPr="00D9605D" w:rsidRDefault="00AE4FCE">
      <w:pPr>
        <w:rPr>
          <w:color w:val="000000" w:themeColor="text1"/>
        </w:rPr>
      </w:pPr>
      <w:r w:rsidRPr="00D9605D">
        <w:rPr>
          <w:color w:val="000000" w:themeColor="text1"/>
        </w:rPr>
        <w:t>The efficiency ratios confirm that Tesco is continuing to manage its operational resources well. High inventory turnover and receivable days indicates good inventory management and cash conversion performance. According to Atrill (2019) effective working capital management can have a great impact on the profitability of an organisation as it reduces any unnecessary investment in capital and enhances cash flow generation. With a stock turnover ratio that falls within the top half of the industry's range, Tes</w:t>
      </w:r>
      <w:r w:rsidRPr="00D9605D">
        <w:rPr>
          <w:color w:val="000000" w:themeColor="text1"/>
        </w:rPr>
        <w:t>co's stock management system seems to be working well, and that they are not holding onto too much stock for too long, with the result of lower stockholding expenses. Moreover, the decrease of the receivable days is due to the company's high collection efficiency and shows its liquidity situation.</w:t>
      </w:r>
    </w:p>
    <w:p w14:paraId="6916D4D3" w14:textId="77777777" w:rsidR="00AB160D" w:rsidRPr="00D9605D" w:rsidRDefault="00AE4FCE">
      <w:pPr>
        <w:rPr>
          <w:color w:val="000000" w:themeColor="text1"/>
        </w:rPr>
      </w:pPr>
      <w:r w:rsidRPr="00D9605D">
        <w:rPr>
          <w:color w:val="000000" w:themeColor="text1"/>
        </w:rPr>
        <w:t xml:space="preserve">While these successes are welcome, there are some issues to consider around Tesco's working capital approach. The rise in the number of days for which payables are outstanding suggests that Tesco is taking longer to pay suppliers. Increasing the length of payment terms with suppliers can benefit cash flow and have a positive effect on short-term financial flexibility, but too much supplier credit can have a negative impact on supplier relations and the future ability to bargain. In the financial management </w:t>
      </w:r>
      <w:r w:rsidRPr="00D9605D">
        <w:rPr>
          <w:color w:val="000000" w:themeColor="text1"/>
        </w:rPr>
        <w:t xml:space="preserve">literature, it is seen that the effective working capital management is the balance between liquidity goals and relationship goals along the value chain (Gitman </w:t>
      </w:r>
      <w:r w:rsidRPr="00D9605D">
        <w:rPr>
          <w:i/>
          <w:iCs/>
          <w:color w:val="000000" w:themeColor="text1"/>
        </w:rPr>
        <w:t>et al</w:t>
      </w:r>
      <w:r w:rsidRPr="00D9605D">
        <w:rPr>
          <w:color w:val="000000" w:themeColor="text1"/>
        </w:rPr>
        <w:t>., 2023). Tesco's efficiency performance, therefore, should be looked positively, but management must be careful in optimizing working capital without jeopardizing long-term supplier relationships.</w:t>
      </w:r>
    </w:p>
    <w:p w14:paraId="2BEF990A" w14:textId="77777777" w:rsidR="00AB160D" w:rsidRPr="00D9605D" w:rsidRDefault="00AE4FCE">
      <w:pPr>
        <w:rPr>
          <w:color w:val="000000" w:themeColor="text1"/>
        </w:rPr>
      </w:pPr>
      <w:r w:rsidRPr="00D9605D">
        <w:rPr>
          <w:color w:val="000000" w:themeColor="text1"/>
        </w:rPr>
        <w:t>The gearing and investor ratios of Tesco indicate a fairly balanced and attractive financial stability and investment appeal. Debt to equity is less than 1.0, suggesting a balanced capital structure and not too much financial risk. Furthermore, the increase in interest cover indicates a greater capacity to cover financing needs using operating profits. According to Ross et al. (2022), there is an association between the ability of an organisation to withstand economic uncertainty and its gearing ratio and i</w:t>
      </w:r>
      <w:r w:rsidRPr="00D9605D">
        <w:rPr>
          <w:color w:val="000000" w:themeColor="text1"/>
        </w:rPr>
        <w:t xml:space="preserve">nterest coverage ratio.Ross et al. (2022) suggest that there is a link between the ability of an organisation to resist economic uncertainty and their interest coverage ratio and gearing ratio. To the investor, the higher EPS and dividend yield signify better returns for investors and higher attractiveness for investment (Brealey </w:t>
      </w:r>
      <w:r w:rsidRPr="00D9605D">
        <w:rPr>
          <w:i/>
          <w:iCs/>
          <w:color w:val="000000" w:themeColor="text1"/>
        </w:rPr>
        <w:t>et al</w:t>
      </w:r>
      <w:r w:rsidRPr="00D9605D">
        <w:rPr>
          <w:color w:val="000000" w:themeColor="text1"/>
        </w:rPr>
        <w:t>., 2023). These findings are expected to boost investor confidence and help create shareholder value.</w:t>
      </w:r>
    </w:p>
    <w:p w14:paraId="21CEEE2D" w14:textId="77777777" w:rsidR="00AB160D" w:rsidRPr="00D9605D" w:rsidRDefault="00AE4FCE">
      <w:pPr>
        <w:rPr>
          <w:color w:val="000000" w:themeColor="text1"/>
        </w:rPr>
      </w:pPr>
      <w:r w:rsidRPr="00D9605D">
        <w:rPr>
          <w:color w:val="000000" w:themeColor="text1"/>
        </w:rPr>
        <w:t>However, there are still some future challenges to be faced. Sustaining investments for digital transformation, technology infrastructure and sustainability projects can be significant. Raising dividends would boost investor confidence, but too many dividends might leave less money for future strategic investments (</w:t>
      </w:r>
      <w:r w:rsidRPr="00D9605D">
        <w:rPr>
          <w:color w:val="000000" w:themeColor="text1"/>
        </w:rPr>
        <w:t>Damodaran, 2024</w:t>
      </w:r>
      <w:r w:rsidRPr="00D9605D">
        <w:rPr>
          <w:color w:val="000000" w:themeColor="text1"/>
        </w:rPr>
        <w:t>). Also, profitability and cash flows may be further stressed by further rises in interest rates or shifts in consumer demand. So, it will be a key strategic focus of Tesco to ensure it is rewarding shareholders and funding long-term growth plans at an appropriate level.</w:t>
      </w:r>
    </w:p>
    <w:p w14:paraId="1A93EA26" w14:textId="77777777" w:rsidR="00AB160D" w:rsidRPr="00D9605D" w:rsidRDefault="00AE4FCE">
      <w:pPr>
        <w:rPr>
          <w:color w:val="000000" w:themeColor="text1"/>
        </w:rPr>
      </w:pPr>
      <w:r w:rsidRPr="00D9605D">
        <w:rPr>
          <w:color w:val="000000" w:themeColor="text1"/>
        </w:rPr>
        <w:t>Overall, Tesco has good financial performance with a positive trend of improvement in profitability, efficient operation, stable gearing and good returns to the shareholders. But liquidity is still not at levels deemed conventional and will need attention going forward. Furthermore, a variety of external economic factors, such as inflation and market dynamics, could have affected some of the financial enhancements noted. Tesco is therefore financially strong and is well-situated in the British retail market</w:t>
      </w:r>
      <w:r w:rsidRPr="00D9605D">
        <w:rPr>
          <w:color w:val="000000" w:themeColor="text1"/>
        </w:rPr>
        <w:t>, but it will need to remain efficient and tactically smart in its finances and flexible to the changing economic and competitive landscape if it is to be a success going forward.</w:t>
      </w:r>
    </w:p>
    <w:p w14:paraId="378A7751" w14:textId="77777777" w:rsidR="00AB160D" w:rsidRPr="00D9605D" w:rsidRDefault="00AE4FCE">
      <w:pPr>
        <w:pStyle w:val="Heading1"/>
        <w:rPr>
          <w:color w:val="000000" w:themeColor="text1"/>
        </w:rPr>
      </w:pPr>
      <w:r w:rsidRPr="00D9605D">
        <w:rPr>
          <w:color w:val="000000" w:themeColor="text1"/>
        </w:rPr>
        <w:t>4. Main Findings</w:t>
      </w:r>
    </w:p>
    <w:p w14:paraId="56102B27" w14:textId="77777777" w:rsidR="00AB160D" w:rsidRPr="00D9605D" w:rsidRDefault="00AE4FCE">
      <w:pPr>
        <w:pStyle w:val="Heading2"/>
        <w:rPr>
          <w:color w:val="000000" w:themeColor="text1"/>
        </w:rPr>
      </w:pPr>
      <w:r w:rsidRPr="00D9605D">
        <w:rPr>
          <w:color w:val="000000" w:themeColor="text1"/>
        </w:rPr>
        <w:t>4.1 Key Strengths</w:t>
      </w:r>
    </w:p>
    <w:p w14:paraId="45545102" w14:textId="77777777" w:rsidR="00AB160D" w:rsidRPr="00D9605D" w:rsidRDefault="00AE4FCE">
      <w:pPr>
        <w:rPr>
          <w:color w:val="000000" w:themeColor="text1"/>
        </w:rPr>
      </w:pPr>
      <w:r w:rsidRPr="00D9605D">
        <w:rPr>
          <w:color w:val="000000" w:themeColor="text1"/>
        </w:rPr>
        <w:t>The financial analysis reveals that Tesco had exhibited a number of strengths over the stated period. The operating profit margin rose from 4.59% in 2024 to 4.92% in 2025, highlighting the company's growing profitability and successful cost control measures. Likewise, the Return on Capital Employed rose from 11.5% to 12.5%, indicating better capital use of long-term assets. There was also a boost in the operational efficiency, with inventory turnover rising from 18.5 to 19.2 times, reflecting improved inven</w:t>
      </w:r>
      <w:r w:rsidRPr="00D9605D">
        <w:rPr>
          <w:color w:val="000000" w:themeColor="text1"/>
        </w:rPr>
        <w:t>tory management practices and lower holding costs. Moreover, the interest cover ratio improved from around 6.5 times to 7.2 times, reflecting the company's improved debt-servicing capacity. From an investor perspective, earnings per share (EPS) increased from 23.5p to 26.8p, highlighting enhanced shareholder value and improved financial performance.</w:t>
      </w:r>
    </w:p>
    <w:p w14:paraId="4EB48B66" w14:textId="77777777" w:rsidR="00AB160D" w:rsidRPr="00D9605D" w:rsidRDefault="00AE4FCE">
      <w:pPr>
        <w:pStyle w:val="Heading2"/>
        <w:rPr>
          <w:color w:val="000000" w:themeColor="text1"/>
        </w:rPr>
      </w:pPr>
      <w:r w:rsidRPr="00D9605D">
        <w:rPr>
          <w:color w:val="000000" w:themeColor="text1"/>
        </w:rPr>
        <w:t>4.2 Key Weaknesses</w:t>
      </w:r>
    </w:p>
    <w:p w14:paraId="7F54A171" w14:textId="77777777" w:rsidR="00AB160D" w:rsidRPr="00D9605D" w:rsidRDefault="00AE4FCE">
      <w:pPr>
        <w:rPr>
          <w:color w:val="000000" w:themeColor="text1"/>
        </w:rPr>
      </w:pPr>
      <w:r w:rsidRPr="00D9605D">
        <w:rPr>
          <w:color w:val="000000" w:themeColor="text1"/>
        </w:rPr>
        <w:t>Although overall progress has been good, there are some weaknesses apparent. Tesco's current ratio only marginally improved from 0.74 to 0.75 and is below the generally accepted value of 1.0, reflecting relatively weak short-term liquidity. The quick ratio went up to 0.58, however, cash generation and inventory turnover will still play a critical role in liquidity. Its operating cash flow is important to the company's business model, making it more susceptible to financial requirements during economic downt</w:t>
      </w:r>
      <w:r w:rsidRPr="00D9605D">
        <w:rPr>
          <w:color w:val="000000" w:themeColor="text1"/>
        </w:rPr>
        <w:t>urns or disruption in the supply chain. Also, Tesco is operating in a fiercely competitive retail market that is a highly competitive market with lots of price competition from major competitors and discount stores. Therefore, operational efficiency, innovation and strategic financial management will need to be a focus going forward to maintain profitability and market share.</w:t>
      </w:r>
    </w:p>
    <w:p w14:paraId="6CC260A3" w14:textId="77777777" w:rsidR="00AB160D" w:rsidRPr="00D9605D" w:rsidRDefault="00AE4FCE">
      <w:pPr>
        <w:pStyle w:val="Heading1"/>
        <w:rPr>
          <w:color w:val="000000" w:themeColor="text1"/>
        </w:rPr>
      </w:pPr>
      <w:r w:rsidRPr="00D9605D">
        <w:rPr>
          <w:color w:val="000000" w:themeColor="text1"/>
        </w:rPr>
        <w:t xml:space="preserve">5. Recommendations </w:t>
      </w:r>
    </w:p>
    <w:p w14:paraId="78023F54" w14:textId="77777777" w:rsidR="00AB160D" w:rsidRPr="00D9605D" w:rsidRDefault="00AE4FCE">
      <w:pPr>
        <w:pStyle w:val="Heading2"/>
        <w:rPr>
          <w:color w:val="000000" w:themeColor="text1"/>
        </w:rPr>
      </w:pPr>
      <w:r w:rsidRPr="00D9605D">
        <w:rPr>
          <w:color w:val="000000" w:themeColor="text1"/>
        </w:rPr>
        <w:t>5.1 Improve Liquidity Management</w:t>
      </w:r>
    </w:p>
    <w:p w14:paraId="09446BEF" w14:textId="77777777" w:rsidR="00AB160D" w:rsidRPr="00D9605D" w:rsidRDefault="00AE4FCE">
      <w:pPr>
        <w:rPr>
          <w:color w:val="000000" w:themeColor="text1"/>
        </w:rPr>
      </w:pPr>
      <w:r w:rsidRPr="00D9605D">
        <w:rPr>
          <w:color w:val="000000" w:themeColor="text1"/>
        </w:rPr>
        <w:t>Tesco needs to further develop its liquidity management by building up cash reserves, efficient working capital and short term asset management. The analysis of the financial data showed that the current ratio of Tesco was only slightly higher, rising from 0.74 to 0.75, and is still below the generally accepted figure of 1.0. The low liquidity ratios are typical in the retail industry, but having continually high inventory turnover and operating cash flows can leave the business vulnerable in the short term</w:t>
      </w:r>
      <w:r w:rsidRPr="00D9605D">
        <w:rPr>
          <w:color w:val="000000" w:themeColor="text1"/>
        </w:rPr>
        <w:t xml:space="preserve"> in times of economic volatility or disruption in the supply chain. Tesco would have better liquidity management, which would lead to their financial stability, ability to pay off their short-term debt and greater flexibility. This would also offer a more liquid environment for the protection against unforeseen changes in the market and sustainable long-term growth.</w:t>
      </w:r>
    </w:p>
    <w:p w14:paraId="20ED7164" w14:textId="77777777" w:rsidR="00AB160D" w:rsidRPr="00D9605D" w:rsidRDefault="00AE4FCE">
      <w:pPr>
        <w:pStyle w:val="Heading2"/>
        <w:rPr>
          <w:color w:val="000000" w:themeColor="text1"/>
        </w:rPr>
      </w:pPr>
      <w:r w:rsidRPr="00D9605D">
        <w:rPr>
          <w:color w:val="000000" w:themeColor="text1"/>
        </w:rPr>
        <w:t>5.2 the efficient and cost-effective operation of the business</w:t>
      </w:r>
    </w:p>
    <w:p w14:paraId="5023BA55" w14:textId="77777777" w:rsidR="00AB160D" w:rsidRPr="00D9605D" w:rsidRDefault="00AE4FCE">
      <w:pPr>
        <w:rPr>
          <w:color w:val="000000" w:themeColor="text1"/>
        </w:rPr>
      </w:pPr>
      <w:r w:rsidRPr="00D9605D">
        <w:rPr>
          <w:color w:val="000000" w:themeColor="text1"/>
        </w:rPr>
        <w:t xml:space="preserve">Tesco needs to maintain its investments in operational efficiency projects, supply chain optimisation and cost control projects to continue to grow profitability. The analysis revealed that the current operating profit margin, ROCE and inventory turnover have improved, which are good signs of the effectiveness of the current efficiency strategies. But stiff competition from the larger supermarkets and discount stores still restricts profits. Operating well will enable Tesco to continue to be profitable and </w:t>
      </w:r>
      <w:r w:rsidRPr="00D9605D">
        <w:rPr>
          <w:color w:val="000000" w:themeColor="text1"/>
        </w:rPr>
        <w:t>also competitive. Moreover, greater efficiency could mean lower running costs, better use of resources and bolster the firm's competitive edge in the UK retail sector. Meanwhile, further investment in technology and data-driven decision making may continue to help contribute to productivity benefits and continue to create value over time.</w:t>
      </w:r>
    </w:p>
    <w:p w14:paraId="05B020C8" w14:textId="77777777" w:rsidR="00AB160D" w:rsidRPr="00D9605D" w:rsidRDefault="00AE4FCE">
      <w:pPr>
        <w:pStyle w:val="Heading2"/>
        <w:rPr>
          <w:color w:val="000000" w:themeColor="text1"/>
        </w:rPr>
      </w:pPr>
      <w:r w:rsidRPr="00D9605D">
        <w:rPr>
          <w:color w:val="000000" w:themeColor="text1"/>
        </w:rPr>
        <w:t>5.3 Strive to balance shareholder return with investment strategy</w:t>
      </w:r>
    </w:p>
    <w:p w14:paraId="50E63A39" w14:textId="77777777" w:rsidR="00AB160D" w:rsidRPr="00D9605D" w:rsidRDefault="00AE4FCE">
      <w:pPr>
        <w:rPr>
          <w:color w:val="000000" w:themeColor="text1"/>
        </w:rPr>
      </w:pPr>
      <w:r w:rsidRPr="00D9605D">
        <w:rPr>
          <w:color w:val="000000" w:themeColor="text1"/>
        </w:rPr>
        <w:t>Tesco needs to strike an appropriate balance between paying dividends to shareholders and investing in future strategic projects. The analysis revealed that earnings per share and dividend yield had improved, suggesting that the company provided better returns to its shareholders and that investors had higher confidence in the company. But too many dividend payouts could result in a decline in money available for the digital transformation, sustainability projects and future growth potential. Keeping adequa</w:t>
      </w:r>
      <w:r w:rsidRPr="00D9605D">
        <w:rPr>
          <w:color w:val="000000" w:themeColor="text1"/>
        </w:rPr>
        <w:t>te capital to invest strategically will facilitate innovation, reinforce the competitiveness of the enterprise, and enable it to cope with consumers' changing tastes. The balanced approach would allow Tesco to generate good returns to shareholders with sufficient investment for future growth and business development.</w:t>
      </w:r>
    </w:p>
    <w:p w14:paraId="2B5484EF" w14:textId="77777777" w:rsidR="00AB160D" w:rsidRPr="00D9605D" w:rsidRDefault="00AE4FCE">
      <w:pPr>
        <w:pStyle w:val="Heading1"/>
        <w:rPr>
          <w:color w:val="000000" w:themeColor="text1"/>
        </w:rPr>
      </w:pPr>
      <w:r w:rsidRPr="00D9605D">
        <w:rPr>
          <w:color w:val="000000" w:themeColor="text1"/>
        </w:rPr>
        <w:t>5. Conclusion</w:t>
      </w:r>
    </w:p>
    <w:p w14:paraId="647C91B3" w14:textId="77777777" w:rsidR="00AB160D" w:rsidRPr="00D9605D" w:rsidRDefault="00AE4FCE">
      <w:pPr>
        <w:rPr>
          <w:color w:val="000000" w:themeColor="text1"/>
        </w:rPr>
      </w:pPr>
      <w:r w:rsidRPr="00D9605D">
        <w:rPr>
          <w:color w:val="000000" w:themeColor="text1"/>
        </w:rPr>
        <w:t>In spite of the difficult retail marketing environment, which had the influence of inflation, increasing operating costs and tough competition, the financial analysis shows that Tesco plc maintained a strong overall financial position during the period under review. The company remains a significant player in the UK grocery market, and has proven to be a resilient business due to its financial management and operational efficiency. In conclusion, Tesco is a financially stable and competitively strong compan</w:t>
      </w:r>
      <w:r w:rsidRPr="00D9605D">
        <w:rPr>
          <w:color w:val="000000" w:themeColor="text1"/>
        </w:rPr>
        <w:t>y with a ratio analysis that indicates several areas that need attention to ensure long-term sustainability.</w:t>
      </w:r>
    </w:p>
    <w:p w14:paraId="19EE67CE" w14:textId="77777777" w:rsidR="00AB160D" w:rsidRPr="00D9605D" w:rsidRDefault="00AE4FCE">
      <w:pPr>
        <w:rPr>
          <w:color w:val="000000" w:themeColor="text1"/>
        </w:rPr>
      </w:pPr>
      <w:r w:rsidRPr="00D9605D">
        <w:rPr>
          <w:color w:val="000000" w:themeColor="text1"/>
        </w:rPr>
        <w:t>Operating profit margin and Return on Capital Employed (ROCE) were positive contributors to profitability for both Tesco and ASOS. The results indicate that the company has done a good job in controlling its cost, utilising its resources and providing better returns on invested capital. The profitability ratios are competitive with the retail industry standards, which suggests that Tesco has been able to operate effectively despite the economic pressures. The analysis also indicates, however, that some of t</w:t>
      </w:r>
      <w:r w:rsidRPr="00D9605D">
        <w:rPr>
          <w:color w:val="000000" w:themeColor="text1"/>
        </w:rPr>
        <w:t>he improvement may not have been due to management initiatives, but to broader market conditions, such as inflationary pricing effects. Therefore, it is crucial to continue efforts in efficiency and strategic cost management to sustain profitability growth.</w:t>
      </w:r>
    </w:p>
    <w:p w14:paraId="6A111343" w14:textId="77777777" w:rsidR="00AB160D" w:rsidRPr="00D9605D" w:rsidRDefault="00AE4FCE">
      <w:pPr>
        <w:rPr>
          <w:color w:val="000000" w:themeColor="text1"/>
        </w:rPr>
      </w:pPr>
      <w:r w:rsidRPr="00D9605D">
        <w:rPr>
          <w:color w:val="000000" w:themeColor="text1"/>
        </w:rPr>
        <w:t>The gap in liquidity is the least satisfactory financial performance area for Tesco Limited. The current ratio and quick ratio improved somewhat in the period but continue to be below the conventional financial management standards. This means that the current liabilities are still larger than the current assets and that there is a certain reliance on the ability to turn over the inventory and to generate cash flow in the operation. However, the retail industry should always be taken into account, because t</w:t>
      </w:r>
      <w:r w:rsidRPr="00D9605D">
        <w:rPr>
          <w:color w:val="000000" w:themeColor="text1"/>
        </w:rPr>
        <w:t>here is a high liquidity demand in this sector and the turnover of stocks is fast, with customers coming and going every day, so that the liquidity ratios of the retail companies can be lower than other industries. This notwithstanding, the improvement of liquidity management would increase Tesco's financial flexibility and boost its resilience in the face of future economic uncertainty.</w:t>
      </w:r>
    </w:p>
    <w:p w14:paraId="2C1CF1D8" w14:textId="77777777" w:rsidR="00AB160D" w:rsidRPr="00D9605D" w:rsidRDefault="00AE4FCE">
      <w:pPr>
        <w:rPr>
          <w:color w:val="000000" w:themeColor="text1"/>
        </w:rPr>
      </w:pPr>
      <w:r w:rsidRPr="00D9605D">
        <w:rPr>
          <w:color w:val="000000" w:themeColor="text1"/>
        </w:rPr>
        <w:t>The efficiency ratios and gearing ratios are also indicators of the financial strength of Tesco. Each ratio showed that the working capital management and the efficient utilization of resources was effective as the inventory turnover was maintained at a good level and the collection period of receivables was low. The ratio is within the accepted industry ranges with payable days having increased, which helps manage cash flow. In addition, Tesco's debt to equity and interest cover ratios show a suitable bala</w:t>
      </w:r>
      <w:r w:rsidRPr="00D9605D">
        <w:rPr>
          <w:color w:val="000000" w:themeColor="text1"/>
        </w:rPr>
        <w:t>nce between debt and equity and the financial risk that the company faces. The findings indicate that the company is well-positioned to satisfy its funding requirements and has adequate funding flexibility to sustain their future investment and growth plans.</w:t>
      </w:r>
    </w:p>
    <w:p w14:paraId="6D76B2A6" w14:textId="77777777" w:rsidR="00AB160D" w:rsidRPr="00D9605D" w:rsidRDefault="00AE4FCE">
      <w:pPr>
        <w:rPr>
          <w:color w:val="000000" w:themeColor="text1"/>
        </w:rPr>
      </w:pPr>
      <w:r w:rsidRPr="00D9605D">
        <w:rPr>
          <w:color w:val="000000" w:themeColor="text1"/>
        </w:rPr>
        <w:t>Investors will be pleased to see Tesco's performance hasn't been disappointing. The higher level of EPS and dividend yield indicates higher profitability and better returns to shareholders. They will likely help to build investor confidence and to further strengthen Tesco's appeal as an investment opportunity. But management will have to keep the balance between making payouts to the shareholders and investing in digital transformation, innovation in operations and sustainability efforts to remain competiti</w:t>
      </w:r>
      <w:r w:rsidRPr="00D9605D">
        <w:rPr>
          <w:color w:val="000000" w:themeColor="text1"/>
        </w:rPr>
        <w:t>ve in the long-term.</w:t>
      </w:r>
    </w:p>
    <w:p w14:paraId="7DB07992" w14:textId="77777777" w:rsidR="00AB160D" w:rsidRPr="00D9605D" w:rsidRDefault="00AE4FCE">
      <w:pPr>
        <w:rPr>
          <w:color w:val="000000" w:themeColor="text1"/>
        </w:rPr>
      </w:pPr>
      <w:r w:rsidRPr="00D9605D">
        <w:rPr>
          <w:color w:val="000000" w:themeColor="text1"/>
        </w:rPr>
        <w:t>Overall, the analysis reveals that Tesco is a highly profitable, efficient, stable and value-creating company for shareholders. Overall, the financial performance of the company is positive, although the liquidity is not as high as usual and competitive pressures are still a challenge. Success in the future will be hinged on Tesco's cost efficiency, improved liquidity management, investment in strategic growth and being flexible in market conditions. Thus, Tesco looks well prepared to maintain its market do</w:t>
      </w:r>
      <w:r w:rsidRPr="00D9605D">
        <w:rPr>
          <w:color w:val="000000" w:themeColor="text1"/>
        </w:rPr>
        <w:t>minance and create value to shareholders and stakeholders in the long-term..</w:t>
      </w:r>
    </w:p>
    <w:p w14:paraId="7634CC33" w14:textId="77777777" w:rsidR="00AB160D" w:rsidRPr="00D9605D" w:rsidRDefault="00AE4FCE">
      <w:pPr>
        <w:pStyle w:val="Heading1"/>
        <w:rPr>
          <w:color w:val="000000" w:themeColor="text1"/>
        </w:rPr>
      </w:pPr>
      <w:bookmarkStart w:id="9" w:name="_heading=h.fkbpc9njd8j5" w:colFirst="0" w:colLast="0"/>
      <w:bookmarkEnd w:id="9"/>
      <w:r w:rsidRPr="00D9605D">
        <w:rPr>
          <w:color w:val="000000" w:themeColor="text1"/>
        </w:rPr>
        <w:t>Part 2</w:t>
      </w:r>
    </w:p>
    <w:p w14:paraId="628AAB99" w14:textId="77777777" w:rsidR="00AB160D" w:rsidRPr="00D9605D" w:rsidRDefault="00AE4FCE">
      <w:pPr>
        <w:pStyle w:val="Heading1"/>
        <w:spacing w:before="0"/>
        <w:jc w:val="both"/>
        <w:rPr>
          <w:color w:val="000000" w:themeColor="text1"/>
        </w:rPr>
      </w:pPr>
      <w:bookmarkStart w:id="10" w:name="_heading=h.sw3qmntic1xc" w:colFirst="0" w:colLast="0"/>
      <w:bookmarkEnd w:id="10"/>
      <w:r w:rsidRPr="00D9605D">
        <w:rPr>
          <w:color w:val="000000" w:themeColor="text1"/>
        </w:rPr>
        <w:t>1. Investment Options</w:t>
      </w:r>
    </w:p>
    <w:p w14:paraId="7CE5FC26" w14:textId="77777777" w:rsidR="00AB160D" w:rsidRPr="00D9605D" w:rsidRDefault="00AE4FCE">
      <w:pPr>
        <w:rPr>
          <w:color w:val="000000" w:themeColor="text1"/>
        </w:rPr>
      </w:pPr>
      <w:r w:rsidRPr="00D9605D">
        <w:rPr>
          <w:color w:val="000000" w:themeColor="text1"/>
        </w:rPr>
        <w:t>Beard Plc is contemplating three investment strategies that would help facilitate its growth over a period of four years. These three options involve different amounts of investment in the beginning and have anticipated cash flows.</w:t>
      </w:r>
    </w:p>
    <w:p w14:paraId="1E072967" w14:textId="77777777" w:rsidR="00AB160D" w:rsidRPr="00D9605D" w:rsidRDefault="00AE4FCE">
      <w:pPr>
        <w:spacing w:after="0"/>
        <w:rPr>
          <w:b/>
          <w:bCs/>
          <w:color w:val="000000" w:themeColor="text1"/>
          <w:u w:val="single"/>
        </w:rPr>
      </w:pPr>
      <w:r w:rsidRPr="00D9605D">
        <w:rPr>
          <w:b/>
          <w:bCs/>
          <w:color w:val="000000" w:themeColor="text1"/>
          <w:u w:val="single"/>
        </w:rPr>
        <w:t>Option A: Expanding Retail Outlets</w:t>
      </w:r>
    </w:p>
    <w:p w14:paraId="13CC27F7" w14:textId="77777777" w:rsidR="00AB160D" w:rsidRPr="00D9605D" w:rsidRDefault="00AE4FCE">
      <w:pPr>
        <w:numPr>
          <w:ilvl w:val="0"/>
          <w:numId w:val="8"/>
        </w:numPr>
        <w:pBdr>
          <w:top w:val="nil"/>
          <w:left w:val="nil"/>
          <w:bottom w:val="nil"/>
          <w:right w:val="nil"/>
          <w:between w:val="nil"/>
        </w:pBdr>
        <w:spacing w:after="0"/>
        <w:rPr>
          <w:color w:val="000000" w:themeColor="text1"/>
        </w:rPr>
      </w:pPr>
      <w:r w:rsidRPr="00D9605D">
        <w:rPr>
          <w:color w:val="000000" w:themeColor="text1"/>
        </w:rPr>
        <w:t>Focusing on developing the current retail network of the firm.</w:t>
      </w:r>
    </w:p>
    <w:p w14:paraId="1A25F684" w14:textId="77777777" w:rsidR="00AB160D" w:rsidRPr="00D9605D" w:rsidRDefault="00AE4FCE">
      <w:pPr>
        <w:numPr>
          <w:ilvl w:val="0"/>
          <w:numId w:val="8"/>
        </w:numPr>
        <w:pBdr>
          <w:top w:val="nil"/>
          <w:left w:val="nil"/>
          <w:bottom w:val="nil"/>
          <w:right w:val="nil"/>
          <w:between w:val="nil"/>
        </w:pBdr>
        <w:spacing w:after="0"/>
        <w:rPr>
          <w:color w:val="000000" w:themeColor="text1"/>
        </w:rPr>
      </w:pPr>
      <w:r w:rsidRPr="00D9605D">
        <w:rPr>
          <w:color w:val="000000" w:themeColor="text1"/>
        </w:rPr>
        <w:t>Involving a start-up cost of £600,000.</w:t>
      </w:r>
    </w:p>
    <w:p w14:paraId="3D6ED9E1" w14:textId="77777777" w:rsidR="00AB160D" w:rsidRPr="00D9605D" w:rsidRDefault="00AE4FCE">
      <w:pPr>
        <w:numPr>
          <w:ilvl w:val="0"/>
          <w:numId w:val="8"/>
        </w:numPr>
        <w:pBdr>
          <w:top w:val="nil"/>
          <w:left w:val="nil"/>
          <w:bottom w:val="nil"/>
          <w:right w:val="nil"/>
          <w:between w:val="nil"/>
        </w:pBdr>
        <w:rPr>
          <w:color w:val="000000" w:themeColor="text1"/>
        </w:rPr>
      </w:pPr>
      <w:r w:rsidRPr="00D9605D">
        <w:rPr>
          <w:color w:val="000000" w:themeColor="text1"/>
        </w:rPr>
        <w:t>Striving to boost customer interaction and sales within the stores.</w:t>
      </w:r>
    </w:p>
    <w:p w14:paraId="60A961DB" w14:textId="77777777" w:rsidR="00AB160D" w:rsidRPr="00D9605D" w:rsidRDefault="00AE4FCE">
      <w:pPr>
        <w:spacing w:after="0"/>
        <w:rPr>
          <w:b/>
          <w:bCs/>
          <w:color w:val="000000" w:themeColor="text1"/>
          <w:u w:val="single"/>
        </w:rPr>
      </w:pPr>
      <w:r w:rsidRPr="00D9605D">
        <w:rPr>
          <w:b/>
          <w:bCs/>
          <w:color w:val="000000" w:themeColor="text1"/>
          <w:u w:val="single"/>
        </w:rPr>
        <w:t>Option B: Online Sales Strategy</w:t>
      </w:r>
    </w:p>
    <w:p w14:paraId="5D1BF595" w14:textId="77777777" w:rsidR="00AB160D" w:rsidRPr="00D9605D" w:rsidRDefault="00AE4FCE">
      <w:pPr>
        <w:numPr>
          <w:ilvl w:val="0"/>
          <w:numId w:val="1"/>
        </w:numPr>
        <w:pBdr>
          <w:top w:val="nil"/>
          <w:left w:val="nil"/>
          <w:bottom w:val="nil"/>
          <w:right w:val="nil"/>
          <w:between w:val="nil"/>
        </w:pBdr>
        <w:spacing w:after="0"/>
        <w:rPr>
          <w:color w:val="000000" w:themeColor="text1"/>
        </w:rPr>
      </w:pPr>
      <w:r w:rsidRPr="00D9605D">
        <w:rPr>
          <w:color w:val="000000" w:themeColor="text1"/>
        </w:rPr>
        <w:t>Focusing on building up online sales capabilities.</w:t>
      </w:r>
    </w:p>
    <w:p w14:paraId="14A94BF8" w14:textId="77777777" w:rsidR="00AB160D" w:rsidRPr="00D9605D" w:rsidRDefault="00AE4FCE">
      <w:pPr>
        <w:numPr>
          <w:ilvl w:val="0"/>
          <w:numId w:val="1"/>
        </w:numPr>
        <w:pBdr>
          <w:top w:val="nil"/>
          <w:left w:val="nil"/>
          <w:bottom w:val="nil"/>
          <w:right w:val="nil"/>
          <w:between w:val="nil"/>
        </w:pBdr>
        <w:spacing w:after="0"/>
        <w:rPr>
          <w:color w:val="000000" w:themeColor="text1"/>
        </w:rPr>
      </w:pPr>
      <w:r w:rsidRPr="00D9605D">
        <w:rPr>
          <w:color w:val="000000" w:themeColor="text1"/>
        </w:rPr>
        <w:t>Involving a start-up cost of £900,000.</w:t>
      </w:r>
    </w:p>
    <w:p w14:paraId="3DD41FB8" w14:textId="77777777" w:rsidR="00AB160D" w:rsidRPr="00D9605D" w:rsidRDefault="00AE4FCE">
      <w:pPr>
        <w:numPr>
          <w:ilvl w:val="0"/>
          <w:numId w:val="1"/>
        </w:numPr>
        <w:pBdr>
          <w:top w:val="nil"/>
          <w:left w:val="nil"/>
          <w:bottom w:val="nil"/>
          <w:right w:val="nil"/>
          <w:between w:val="nil"/>
        </w:pBdr>
        <w:rPr>
          <w:color w:val="000000" w:themeColor="text1"/>
        </w:rPr>
      </w:pPr>
      <w:r w:rsidRPr="00D9605D">
        <w:rPr>
          <w:color w:val="000000" w:themeColor="text1"/>
        </w:rPr>
        <w:t>Striving to reach out to more customers through the internet.</w:t>
      </w:r>
    </w:p>
    <w:p w14:paraId="0DD19948" w14:textId="77777777" w:rsidR="00AB160D" w:rsidRPr="00D9605D" w:rsidRDefault="00AE4FCE">
      <w:pPr>
        <w:spacing w:after="0"/>
        <w:rPr>
          <w:b/>
          <w:bCs/>
          <w:color w:val="000000" w:themeColor="text1"/>
          <w:u w:val="single"/>
        </w:rPr>
      </w:pPr>
      <w:r w:rsidRPr="00D9605D">
        <w:rPr>
          <w:b/>
          <w:bCs/>
          <w:color w:val="000000" w:themeColor="text1"/>
          <w:u w:val="single"/>
        </w:rPr>
        <w:t>Option C: Manufacturing of Purses and Wallets</w:t>
      </w:r>
    </w:p>
    <w:p w14:paraId="3CF224EA" w14:textId="77777777" w:rsidR="00AB160D" w:rsidRPr="00D9605D" w:rsidRDefault="00AE4FCE">
      <w:pPr>
        <w:numPr>
          <w:ilvl w:val="0"/>
          <w:numId w:val="9"/>
        </w:numPr>
        <w:pBdr>
          <w:top w:val="nil"/>
          <w:left w:val="nil"/>
          <w:bottom w:val="nil"/>
          <w:right w:val="nil"/>
          <w:between w:val="nil"/>
        </w:pBdr>
        <w:spacing w:after="0"/>
        <w:rPr>
          <w:color w:val="000000" w:themeColor="text1"/>
        </w:rPr>
      </w:pPr>
      <w:r w:rsidRPr="00D9605D">
        <w:rPr>
          <w:color w:val="000000" w:themeColor="text1"/>
        </w:rPr>
        <w:t>Involving the diversification of products into purses and wallets.</w:t>
      </w:r>
    </w:p>
    <w:p w14:paraId="307F02F8" w14:textId="77777777" w:rsidR="00AB160D" w:rsidRPr="00D9605D" w:rsidRDefault="00AE4FCE">
      <w:pPr>
        <w:numPr>
          <w:ilvl w:val="0"/>
          <w:numId w:val="9"/>
        </w:numPr>
        <w:pBdr>
          <w:top w:val="nil"/>
          <w:left w:val="nil"/>
          <w:bottom w:val="nil"/>
          <w:right w:val="nil"/>
          <w:between w:val="nil"/>
        </w:pBdr>
        <w:spacing w:after="0"/>
        <w:rPr>
          <w:color w:val="000000" w:themeColor="text1"/>
        </w:rPr>
      </w:pPr>
      <w:r w:rsidRPr="00D9605D">
        <w:rPr>
          <w:color w:val="000000" w:themeColor="text1"/>
        </w:rPr>
        <w:t>Involving a start-up cost of £1,000,000.</w:t>
      </w:r>
    </w:p>
    <w:p w14:paraId="13A1B565" w14:textId="77777777" w:rsidR="00AB160D" w:rsidRPr="00D9605D" w:rsidRDefault="00AE4FCE">
      <w:pPr>
        <w:numPr>
          <w:ilvl w:val="0"/>
          <w:numId w:val="9"/>
        </w:numPr>
        <w:pBdr>
          <w:top w:val="nil"/>
          <w:left w:val="nil"/>
          <w:bottom w:val="nil"/>
          <w:right w:val="nil"/>
          <w:between w:val="nil"/>
        </w:pBdr>
        <w:rPr>
          <w:color w:val="000000" w:themeColor="text1"/>
        </w:rPr>
      </w:pPr>
      <w:r w:rsidRPr="00D9605D">
        <w:rPr>
          <w:color w:val="000000" w:themeColor="text1"/>
        </w:rPr>
        <w:t>Aiming to tap into new market segments and increase revenue streams.</w:t>
      </w:r>
    </w:p>
    <w:p w14:paraId="3DB89A3D" w14:textId="77777777" w:rsidR="00AB160D" w:rsidRPr="00D9605D" w:rsidRDefault="00AE4FCE">
      <w:pPr>
        <w:rPr>
          <w:color w:val="000000" w:themeColor="text1"/>
        </w:rPr>
      </w:pPr>
      <w:r w:rsidRPr="00D9605D">
        <w:rPr>
          <w:color w:val="000000" w:themeColor="text1"/>
        </w:rPr>
        <w:t>A thorough analysis of all three options would follow in order to choose the most feasible and profitable option.</w:t>
      </w:r>
    </w:p>
    <w:p w14:paraId="6E01F8FD" w14:textId="77777777" w:rsidR="00AB160D" w:rsidRPr="00D9605D" w:rsidRDefault="00AE4FCE">
      <w:pPr>
        <w:pStyle w:val="Heading1"/>
        <w:rPr>
          <w:color w:val="000000" w:themeColor="text1"/>
        </w:rPr>
      </w:pPr>
      <w:bookmarkStart w:id="11" w:name="_heading=h.v1i925iakpyy" w:colFirst="0" w:colLast="0"/>
      <w:bookmarkEnd w:id="11"/>
      <w:r w:rsidRPr="00D9605D">
        <w:rPr>
          <w:color w:val="000000" w:themeColor="text1"/>
        </w:rPr>
        <w:t>2. Investment Appraisal Techniques</w:t>
      </w:r>
    </w:p>
    <w:p w14:paraId="5CB9F227" w14:textId="77777777" w:rsidR="00AB160D" w:rsidRPr="00D9605D" w:rsidRDefault="00AE4FCE">
      <w:pPr>
        <w:pStyle w:val="Heading2"/>
        <w:rPr>
          <w:color w:val="000000" w:themeColor="text1"/>
        </w:rPr>
      </w:pPr>
      <w:bookmarkStart w:id="12" w:name="_heading=h.8owumvv7hu8h" w:colFirst="0" w:colLast="0"/>
      <w:bookmarkEnd w:id="12"/>
      <w:r w:rsidRPr="00D9605D">
        <w:rPr>
          <w:color w:val="000000" w:themeColor="text1"/>
        </w:rPr>
        <w:t>2.1 Net Present Value (NPV)</w:t>
      </w:r>
    </w:p>
    <w:p w14:paraId="648B9FC0" w14:textId="77777777" w:rsidR="00AB160D" w:rsidRPr="00D9605D" w:rsidRDefault="00AE4FCE">
      <w:pPr>
        <w:rPr>
          <w:color w:val="000000" w:themeColor="text1"/>
        </w:rPr>
      </w:pPr>
      <w:r w:rsidRPr="00D9605D">
        <w:rPr>
          <w:color w:val="000000" w:themeColor="text1"/>
        </w:rPr>
        <w:t>The Net Present Value (NPV) is an essential investment evaluation approach where the current value of the cash flows generated by the project in the future period is estimated compared to the investment made. In determining the net present value, the time value of money is taken into consideration through discounting the future cash flows at a particular rate of return, in this case, 5%. A project is considered to be financially viable when the NPV is positive since the cash flows exceed the cost of the inv</w:t>
      </w:r>
      <w:r w:rsidRPr="00D9605D">
        <w:rPr>
          <w:color w:val="000000" w:themeColor="text1"/>
        </w:rPr>
        <w:t xml:space="preserve">estment (Hai </w:t>
      </w:r>
      <w:r w:rsidRPr="00D9605D">
        <w:rPr>
          <w:i/>
          <w:iCs/>
          <w:color w:val="000000" w:themeColor="text1"/>
        </w:rPr>
        <w:t xml:space="preserve">et al., </w:t>
      </w:r>
      <w:r w:rsidRPr="00D9605D">
        <w:rPr>
          <w:color w:val="000000" w:themeColor="text1"/>
        </w:rPr>
        <w:t xml:space="preserve">2024). Net Present Value (NPV) continues to be the best investment approach on theoretical grounds as it evaluates the value created by the investment (Lin, 2023). It also enables comparisons of different projects and investment decisions for the management. </w:t>
      </w:r>
      <w:r w:rsidRPr="00D9605D">
        <w:rPr>
          <w:color w:val="000000" w:themeColor="text1"/>
        </w:rPr>
        <w:t>Moreover, NPV is considered as the most theoretically sound among the capital budgeting methods as it explains the time value of money, includes all cash flows of the project and directly measures the creation of shareholder wealth (Lin, 2023; Lilford, 2023; Singh and Chatterjee, 2025; Sekhar, 2025). NPV calculations are much more accurate than simpler appraisal methods and they give a direct measure of the value added by a project, which means they are helpful for strategic decision-making. The reliability</w:t>
      </w:r>
      <w:r w:rsidRPr="00D9605D">
        <w:rPr>
          <w:color w:val="000000" w:themeColor="text1"/>
        </w:rPr>
        <w:t xml:space="preserve"> of cash flow projections, however, and the choice of discount rate are significant factors that affect the accuracy of NPV.</w:t>
      </w:r>
    </w:p>
    <w:p w14:paraId="5B7C83EE" w14:textId="77777777" w:rsidR="00AB160D" w:rsidRPr="00D9605D" w:rsidRDefault="00AE4FCE">
      <w:pPr>
        <w:pStyle w:val="Heading2"/>
        <w:rPr>
          <w:color w:val="000000" w:themeColor="text1"/>
        </w:rPr>
      </w:pPr>
      <w:bookmarkStart w:id="13" w:name="_heading=h.854fn49qcmls" w:colFirst="0" w:colLast="0"/>
      <w:bookmarkEnd w:id="13"/>
      <w:r w:rsidRPr="00D9605D">
        <w:rPr>
          <w:color w:val="000000" w:themeColor="text1"/>
        </w:rPr>
        <w:t>2.2 Internal Rate of Return (IRR)</w:t>
      </w:r>
    </w:p>
    <w:p w14:paraId="52DE32FA" w14:textId="77777777" w:rsidR="00AB160D" w:rsidRPr="00D9605D" w:rsidRDefault="00AE4FCE">
      <w:pPr>
        <w:rPr>
          <w:color w:val="000000" w:themeColor="text1"/>
        </w:rPr>
      </w:pPr>
      <w:r w:rsidRPr="00D9605D">
        <w:rPr>
          <w:color w:val="000000" w:themeColor="text1"/>
        </w:rPr>
        <w:t xml:space="preserve">The Internal Rate of Return (IRR) is the discount rate that makes the NPV of the investment equal to zero. In simple terms, the internal rate of return is the rate of return earned on the investment. An investment can be said to be feasible if its internal rate of return is greater than the cost of capital (Hai </w:t>
      </w:r>
      <w:r w:rsidRPr="00D9605D">
        <w:rPr>
          <w:i/>
          <w:iCs/>
          <w:color w:val="000000" w:themeColor="text1"/>
        </w:rPr>
        <w:t xml:space="preserve">et al., </w:t>
      </w:r>
      <w:r w:rsidRPr="00D9605D">
        <w:rPr>
          <w:color w:val="000000" w:themeColor="text1"/>
        </w:rPr>
        <w:t xml:space="preserve">2024). While the internal rate of return (IRR) method is popularly used because of its percentage basis, there could be inconsistencies in its findings, especially when making comparisons between mutually exclusive investments (Sokolov, 2024). Notwithstanding its weaknesses, the internal rate of return (IRR) is still a useful supplementary technique to the NPV approach. </w:t>
      </w:r>
      <w:r w:rsidRPr="00D9605D">
        <w:rPr>
          <w:color w:val="000000" w:themeColor="text1"/>
        </w:rPr>
        <w:t>While IRR is widely used by managers for its ability to present profitability in terms of a percentage return, some researchers stated that it can lead to misleading comparisons when two mutually exclusive projects are compared (Sokolov, 2024; Magni and Martin, 2025). Also, IRR assumes that the cash flows between the point of the investment and the point of the withdrawal can be invested at the IRR, but this may not be the case. So, IRR is normally recommended to be used in addition to NPV and not as a subs</w:t>
      </w:r>
      <w:r w:rsidRPr="00D9605D">
        <w:rPr>
          <w:color w:val="000000" w:themeColor="text1"/>
        </w:rPr>
        <w:t>titute for NPV in making the decision.</w:t>
      </w:r>
    </w:p>
    <w:p w14:paraId="315681C7" w14:textId="77777777" w:rsidR="00AB160D" w:rsidRPr="00D9605D" w:rsidRDefault="00AE4FCE">
      <w:pPr>
        <w:rPr>
          <w:i/>
          <w:iCs/>
          <w:color w:val="000000" w:themeColor="text1"/>
        </w:rPr>
      </w:pPr>
      <w:r w:rsidRPr="00D9605D">
        <w:rPr>
          <w:i/>
          <w:iCs/>
          <w:color w:val="000000" w:themeColor="text1"/>
        </w:rPr>
        <w:t>For this evaluation, the following assumptions and methodology apply:</w:t>
      </w:r>
    </w:p>
    <w:p w14:paraId="5EBD8AC7" w14:textId="77777777" w:rsidR="00AB160D" w:rsidRPr="00D9605D" w:rsidRDefault="00AE4FCE">
      <w:pPr>
        <w:numPr>
          <w:ilvl w:val="0"/>
          <w:numId w:val="3"/>
        </w:numPr>
        <w:pBdr>
          <w:top w:val="nil"/>
          <w:left w:val="nil"/>
          <w:bottom w:val="nil"/>
          <w:right w:val="nil"/>
          <w:between w:val="nil"/>
        </w:pBdr>
        <w:spacing w:after="0"/>
        <w:rPr>
          <w:color w:val="000000" w:themeColor="text1"/>
        </w:rPr>
      </w:pPr>
      <w:r w:rsidRPr="00D9605D">
        <w:rPr>
          <w:b/>
          <w:bCs/>
          <w:i/>
          <w:iCs/>
          <w:color w:val="000000" w:themeColor="text1"/>
        </w:rPr>
        <w:t>Cost of Capital (Discount Rate):</w:t>
      </w:r>
      <w:r w:rsidRPr="00D9605D">
        <w:rPr>
          <w:color w:val="000000" w:themeColor="text1"/>
        </w:rPr>
        <w:t> 5%, as provided in the brief.</w:t>
      </w:r>
    </w:p>
    <w:p w14:paraId="2881EC2E" w14:textId="77777777" w:rsidR="00AB160D" w:rsidRPr="00D9605D" w:rsidRDefault="00AE4FCE">
      <w:pPr>
        <w:numPr>
          <w:ilvl w:val="0"/>
          <w:numId w:val="3"/>
        </w:numPr>
        <w:pBdr>
          <w:top w:val="nil"/>
          <w:left w:val="nil"/>
          <w:bottom w:val="nil"/>
          <w:right w:val="nil"/>
          <w:between w:val="nil"/>
        </w:pBdr>
        <w:spacing w:after="0"/>
        <w:rPr>
          <w:color w:val="000000" w:themeColor="text1"/>
        </w:rPr>
      </w:pPr>
      <w:r w:rsidRPr="00D9605D">
        <w:rPr>
          <w:b/>
          <w:bCs/>
          <w:i/>
          <w:iCs/>
          <w:color w:val="000000" w:themeColor="text1"/>
        </w:rPr>
        <w:t>Corporation Tax:</w:t>
      </w:r>
      <w:r w:rsidRPr="00D9605D">
        <w:rPr>
          <w:color w:val="000000" w:themeColor="text1"/>
        </w:rPr>
        <w:t> 25% on taxable profits.</w:t>
      </w:r>
    </w:p>
    <w:p w14:paraId="1B4E6C2B" w14:textId="77777777" w:rsidR="00AB160D" w:rsidRPr="00D9605D" w:rsidRDefault="00AE4FCE">
      <w:pPr>
        <w:numPr>
          <w:ilvl w:val="0"/>
          <w:numId w:val="3"/>
        </w:numPr>
        <w:pBdr>
          <w:top w:val="nil"/>
          <w:left w:val="nil"/>
          <w:bottom w:val="nil"/>
          <w:right w:val="nil"/>
          <w:between w:val="nil"/>
        </w:pBdr>
        <w:spacing w:after="0"/>
        <w:rPr>
          <w:color w:val="000000" w:themeColor="text1"/>
        </w:rPr>
      </w:pPr>
      <w:r w:rsidRPr="00D9605D">
        <w:rPr>
          <w:b/>
          <w:bCs/>
          <w:i/>
          <w:iCs/>
          <w:color w:val="000000" w:themeColor="text1"/>
        </w:rPr>
        <w:t>Capital Allowances:</w:t>
      </w:r>
      <w:r w:rsidRPr="00D9605D">
        <w:rPr>
          <w:color w:val="000000" w:themeColor="text1"/>
        </w:rPr>
        <w:t> 20% on a straight-line basis, reducing the initial investment evenly over 5 years. Given the 4-year project horizon, unclaimed allowances are assumed to be released in Year 4.</w:t>
      </w:r>
    </w:p>
    <w:p w14:paraId="2A985DBA" w14:textId="77777777" w:rsidR="00AB160D" w:rsidRPr="00D9605D" w:rsidRDefault="00AE4FCE">
      <w:pPr>
        <w:numPr>
          <w:ilvl w:val="0"/>
          <w:numId w:val="3"/>
        </w:numPr>
        <w:pBdr>
          <w:top w:val="nil"/>
          <w:left w:val="nil"/>
          <w:bottom w:val="nil"/>
          <w:right w:val="nil"/>
          <w:between w:val="nil"/>
        </w:pBdr>
        <w:spacing w:after="0"/>
        <w:rPr>
          <w:color w:val="000000" w:themeColor="text1"/>
        </w:rPr>
      </w:pPr>
      <w:r w:rsidRPr="00D9605D">
        <w:rPr>
          <w:b/>
          <w:bCs/>
          <w:i/>
          <w:iCs/>
          <w:color w:val="000000" w:themeColor="text1"/>
        </w:rPr>
        <w:t>Timing:</w:t>
      </w:r>
      <w:r w:rsidRPr="00D9605D">
        <w:rPr>
          <w:color w:val="000000" w:themeColor="text1"/>
        </w:rPr>
        <w:t> All cash flows occur at year-end.</w:t>
      </w:r>
    </w:p>
    <w:p w14:paraId="32507393" w14:textId="77777777" w:rsidR="00AB160D" w:rsidRPr="00D9605D" w:rsidRDefault="00AE4FCE">
      <w:pPr>
        <w:numPr>
          <w:ilvl w:val="0"/>
          <w:numId w:val="3"/>
        </w:numPr>
        <w:pBdr>
          <w:top w:val="nil"/>
          <w:left w:val="nil"/>
          <w:bottom w:val="nil"/>
          <w:right w:val="nil"/>
          <w:between w:val="nil"/>
        </w:pBdr>
        <w:rPr>
          <w:color w:val="000000" w:themeColor="text1"/>
        </w:rPr>
      </w:pPr>
      <w:r w:rsidRPr="00D9605D">
        <w:rPr>
          <w:b/>
          <w:bCs/>
          <w:i/>
          <w:iCs/>
          <w:color w:val="000000" w:themeColor="text1"/>
        </w:rPr>
        <w:t>Tax Payment:</w:t>
      </w:r>
      <w:r w:rsidRPr="00D9605D">
        <w:rPr>
          <w:color w:val="000000" w:themeColor="text1"/>
        </w:rPr>
        <w:t> Assumed to occur in the same year as the taxable profit (simplifying assumption).</w:t>
      </w:r>
    </w:p>
    <w:p w14:paraId="536EA16C" w14:textId="77777777" w:rsidR="00AB160D" w:rsidRPr="00D9605D" w:rsidRDefault="00AE4FCE">
      <w:pPr>
        <w:pStyle w:val="Heading1"/>
        <w:rPr>
          <w:color w:val="000000" w:themeColor="text1"/>
        </w:rPr>
      </w:pPr>
      <w:bookmarkStart w:id="14" w:name="_heading=h.t5evmkt31zo0" w:colFirst="0" w:colLast="0"/>
      <w:bookmarkEnd w:id="14"/>
      <w:r w:rsidRPr="00D9605D">
        <w:rPr>
          <w:color w:val="000000" w:themeColor="text1"/>
        </w:rPr>
        <w:t>3. NPV Calculations and Results</w:t>
      </w:r>
    </w:p>
    <w:p w14:paraId="56338FF7" w14:textId="77777777" w:rsidR="00AB160D" w:rsidRPr="00D9605D" w:rsidRDefault="00AE4FCE">
      <w:pPr>
        <w:rPr>
          <w:color w:val="000000" w:themeColor="text1"/>
        </w:rPr>
      </w:pPr>
      <w:r w:rsidRPr="00D9605D">
        <w:rPr>
          <w:color w:val="000000" w:themeColor="text1"/>
        </w:rPr>
        <w:t xml:space="preserve">In order to determine the financial feasibility of the three investments, the NPV approach is being used at a discount rate of 5%. NPV determines the present value of future cash flows less the initial investment cost (Prismanda </w:t>
      </w:r>
      <w:r w:rsidRPr="00D9605D">
        <w:rPr>
          <w:i/>
          <w:iCs/>
          <w:color w:val="000000" w:themeColor="text1"/>
        </w:rPr>
        <w:t xml:space="preserve">et al., </w:t>
      </w:r>
      <w:r w:rsidRPr="00D9605D">
        <w:rPr>
          <w:color w:val="000000" w:themeColor="text1"/>
        </w:rPr>
        <w:t>2023). The following analysis will help in making a determination on whether value is being created.</w:t>
      </w:r>
    </w:p>
    <w:p w14:paraId="1326C782" w14:textId="77777777" w:rsidR="00AB160D" w:rsidRPr="00D9605D" w:rsidRDefault="00AE4FCE">
      <w:pPr>
        <w:spacing w:after="0"/>
        <w:rPr>
          <w:b/>
          <w:bCs/>
          <w:color w:val="000000" w:themeColor="text1"/>
          <w:u w:val="single"/>
        </w:rPr>
      </w:pPr>
      <w:r w:rsidRPr="00D9605D">
        <w:rPr>
          <w:b/>
          <w:bCs/>
          <w:color w:val="000000" w:themeColor="text1"/>
          <w:u w:val="single"/>
        </w:rPr>
        <w:t>Capital Allowances (20% Straight-Line on Original Cost)</w:t>
      </w:r>
    </w:p>
    <w:tbl>
      <w:tblPr>
        <w:tblStyle w:val="a4"/>
        <w:tblW w:w="9074" w:type="dxa"/>
        <w:tblInd w:w="0" w:type="dxa"/>
        <w:tblBorders>
          <w:top w:val="single" w:sz="4" w:space="0" w:color="0A3041"/>
          <w:left w:val="single" w:sz="4" w:space="0" w:color="0A3041"/>
          <w:bottom w:val="single" w:sz="4" w:space="0" w:color="0A3041"/>
          <w:right w:val="single" w:sz="4" w:space="0" w:color="0A3041"/>
          <w:insideH w:val="single" w:sz="4" w:space="0" w:color="0A3041"/>
          <w:insideV w:val="single" w:sz="4" w:space="0" w:color="0A3041"/>
        </w:tblBorders>
        <w:tblLayout w:type="fixed"/>
        <w:tblLook w:val="04A0" w:firstRow="1" w:lastRow="0" w:firstColumn="1" w:lastColumn="0" w:noHBand="0" w:noVBand="1"/>
      </w:tblPr>
      <w:tblGrid>
        <w:gridCol w:w="1339"/>
        <w:gridCol w:w="3433"/>
        <w:gridCol w:w="4302"/>
      </w:tblGrid>
      <w:tr w:rsidR="00AB160D" w:rsidRPr="00D9605D" w14:paraId="4A29883F" w14:textId="77777777" w:rsidTr="00AB160D">
        <w:trPr>
          <w:cnfStyle w:val="100000000000" w:firstRow="1" w:lastRow="0" w:firstColumn="0" w:lastColumn="0" w:oddVBand="0" w:evenVBand="0" w:oddHBand="0"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339" w:type="dxa"/>
            <w:tcBorders>
              <w:top w:val="nil"/>
              <w:left w:val="nil"/>
            </w:tcBorders>
          </w:tcPr>
          <w:p w14:paraId="51C0725C" w14:textId="77777777" w:rsidR="00AB160D" w:rsidRPr="00D9605D" w:rsidRDefault="00AE4FCE">
            <w:pPr>
              <w:jc w:val="center"/>
              <w:rPr>
                <w:color w:val="000000" w:themeColor="text1"/>
              </w:rPr>
            </w:pPr>
            <w:r w:rsidRPr="00D9605D">
              <w:rPr>
                <w:color w:val="000000" w:themeColor="text1"/>
              </w:rPr>
              <w:t>Option</w:t>
            </w:r>
          </w:p>
        </w:tc>
        <w:tc>
          <w:tcPr>
            <w:tcW w:w="3433" w:type="dxa"/>
            <w:tcBorders>
              <w:top w:val="nil"/>
            </w:tcBorders>
          </w:tcPr>
          <w:p w14:paraId="5EF00CBC" w14:textId="77777777" w:rsidR="00AB160D" w:rsidRPr="00D9605D" w:rsidRDefault="00AE4FCE">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Initial Investment (£)</w:t>
            </w:r>
          </w:p>
        </w:tc>
        <w:tc>
          <w:tcPr>
            <w:tcW w:w="4302" w:type="dxa"/>
            <w:tcBorders>
              <w:top w:val="nil"/>
              <w:right w:val="nil"/>
            </w:tcBorders>
          </w:tcPr>
          <w:p w14:paraId="3A2575EB" w14:textId="77777777" w:rsidR="00AB160D" w:rsidRPr="00D9605D" w:rsidRDefault="00AE4FCE">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Annual CA (Years 1-4) (£)</w:t>
            </w:r>
          </w:p>
        </w:tc>
      </w:tr>
      <w:tr w:rsidR="00AB160D" w:rsidRPr="00D9605D" w14:paraId="664882B5" w14:textId="77777777" w:rsidTr="00AB160D">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339" w:type="dxa"/>
            <w:tcBorders>
              <w:left w:val="nil"/>
            </w:tcBorders>
          </w:tcPr>
          <w:p w14:paraId="365CA47E" w14:textId="77777777" w:rsidR="00AB160D" w:rsidRPr="00D9605D" w:rsidRDefault="00AE4FCE">
            <w:pPr>
              <w:jc w:val="center"/>
              <w:rPr>
                <w:color w:val="000000" w:themeColor="text1"/>
              </w:rPr>
            </w:pPr>
            <w:r w:rsidRPr="00D9605D">
              <w:rPr>
                <w:color w:val="000000" w:themeColor="text1"/>
              </w:rPr>
              <w:t>A</w:t>
            </w:r>
          </w:p>
        </w:tc>
        <w:tc>
          <w:tcPr>
            <w:tcW w:w="3433" w:type="dxa"/>
          </w:tcPr>
          <w:p w14:paraId="1B1F33D1"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600,000</w:t>
            </w:r>
          </w:p>
        </w:tc>
        <w:tc>
          <w:tcPr>
            <w:tcW w:w="4302" w:type="dxa"/>
          </w:tcPr>
          <w:p w14:paraId="17139BB1"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600,000 × 20% = 120,000</w:t>
            </w:r>
          </w:p>
        </w:tc>
      </w:tr>
      <w:tr w:rsidR="00AB160D" w:rsidRPr="00D9605D" w14:paraId="5C0FE546" w14:textId="77777777" w:rsidTr="00AB160D">
        <w:trPr>
          <w:trHeight w:val="70"/>
        </w:trPr>
        <w:tc>
          <w:tcPr>
            <w:cnfStyle w:val="001000000000" w:firstRow="0" w:lastRow="0" w:firstColumn="1" w:lastColumn="0" w:oddVBand="0" w:evenVBand="0" w:oddHBand="0" w:evenHBand="0" w:firstRowFirstColumn="0" w:firstRowLastColumn="0" w:lastRowFirstColumn="0" w:lastRowLastColumn="0"/>
            <w:tcW w:w="1339" w:type="dxa"/>
            <w:tcBorders>
              <w:left w:val="nil"/>
            </w:tcBorders>
          </w:tcPr>
          <w:p w14:paraId="06CB3672" w14:textId="77777777" w:rsidR="00AB160D" w:rsidRPr="00D9605D" w:rsidRDefault="00AE4FCE">
            <w:pPr>
              <w:jc w:val="center"/>
              <w:rPr>
                <w:color w:val="000000" w:themeColor="text1"/>
              </w:rPr>
            </w:pPr>
            <w:r w:rsidRPr="00D9605D">
              <w:rPr>
                <w:color w:val="000000" w:themeColor="text1"/>
              </w:rPr>
              <w:t>B</w:t>
            </w:r>
          </w:p>
        </w:tc>
        <w:tc>
          <w:tcPr>
            <w:tcW w:w="3433" w:type="dxa"/>
          </w:tcPr>
          <w:p w14:paraId="3CF45AFA"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900,000</w:t>
            </w:r>
          </w:p>
        </w:tc>
        <w:tc>
          <w:tcPr>
            <w:tcW w:w="4302" w:type="dxa"/>
          </w:tcPr>
          <w:p w14:paraId="0552FF11"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900,000 × 20% = 180,000</w:t>
            </w:r>
          </w:p>
        </w:tc>
      </w:tr>
      <w:tr w:rsidR="00AB160D" w:rsidRPr="00D9605D" w14:paraId="65DAFBF3" w14:textId="77777777" w:rsidTr="00AB160D">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339" w:type="dxa"/>
            <w:tcBorders>
              <w:left w:val="nil"/>
              <w:bottom w:val="nil"/>
            </w:tcBorders>
          </w:tcPr>
          <w:p w14:paraId="68DB8DD0" w14:textId="77777777" w:rsidR="00AB160D" w:rsidRPr="00D9605D" w:rsidRDefault="00AE4FCE">
            <w:pPr>
              <w:jc w:val="center"/>
              <w:rPr>
                <w:color w:val="000000" w:themeColor="text1"/>
              </w:rPr>
            </w:pPr>
            <w:r w:rsidRPr="00D9605D">
              <w:rPr>
                <w:color w:val="000000" w:themeColor="text1"/>
              </w:rPr>
              <w:t>C</w:t>
            </w:r>
          </w:p>
        </w:tc>
        <w:tc>
          <w:tcPr>
            <w:tcW w:w="3433" w:type="dxa"/>
          </w:tcPr>
          <w:p w14:paraId="49DC472B"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1,000,000</w:t>
            </w:r>
          </w:p>
        </w:tc>
        <w:tc>
          <w:tcPr>
            <w:tcW w:w="4302" w:type="dxa"/>
          </w:tcPr>
          <w:p w14:paraId="22A317F6"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1,000,000 × 20% = 200,000</w:t>
            </w:r>
          </w:p>
        </w:tc>
      </w:tr>
    </w:tbl>
    <w:p w14:paraId="1D009357" w14:textId="77777777" w:rsidR="00AB160D" w:rsidRPr="00D9605D" w:rsidRDefault="00AE4FCE">
      <w:pPr>
        <w:spacing w:before="240" w:after="0"/>
        <w:rPr>
          <w:color w:val="000000" w:themeColor="text1"/>
        </w:rPr>
      </w:pPr>
      <w:r w:rsidRPr="00D9605D">
        <w:rPr>
          <w:color w:val="000000" w:themeColor="text1"/>
        </w:rPr>
        <w:t>Over 4 years, total capital allowances claimed = 80% of investment. The remaining 20% is ignored for simplicity, as the project ends.</w:t>
      </w:r>
    </w:p>
    <w:p w14:paraId="3A211FF6" w14:textId="77777777" w:rsidR="00AB160D" w:rsidRPr="00D9605D" w:rsidRDefault="00AE4FCE">
      <w:pPr>
        <w:spacing w:before="240" w:after="0"/>
        <w:rPr>
          <w:b/>
          <w:bCs/>
          <w:color w:val="000000" w:themeColor="text1"/>
          <w:u w:val="single"/>
        </w:rPr>
      </w:pPr>
      <w:r w:rsidRPr="00D9605D">
        <w:rPr>
          <w:b/>
          <w:bCs/>
          <w:color w:val="000000" w:themeColor="text1"/>
          <w:u w:val="single"/>
        </w:rPr>
        <w:t>NPV Formula</w:t>
      </w:r>
    </w:p>
    <w:p w14:paraId="23D3F26A" w14:textId="77777777" w:rsidR="00AB160D" w:rsidRPr="00D9605D" w:rsidRDefault="00AE4FCE">
      <w:pPr>
        <w:spacing w:after="0"/>
        <w:rPr>
          <w:color w:val="000000" w:themeColor="text1"/>
        </w:rPr>
      </w:pPr>
      <w:r w:rsidRPr="00D9605D">
        <w:rPr>
          <w:color w:val="000000" w:themeColor="text1"/>
        </w:rPr>
        <w:t>The standard NPV formula used is:</w:t>
      </w:r>
    </w:p>
    <w:p w14:paraId="1507A261" w14:textId="77777777" w:rsidR="00AB160D" w:rsidRPr="00D9605D" w:rsidRDefault="00AE4FCE">
      <w:pPr>
        <w:spacing w:after="0"/>
        <w:jc w:val="center"/>
        <w:rPr>
          <w:b/>
          <w:bCs/>
          <w:color w:val="000000" w:themeColor="text1"/>
          <w:u w:val="single"/>
        </w:rPr>
      </w:pPr>
      <w:r w:rsidRPr="00D9605D">
        <w:rPr>
          <w:noProof/>
          <w:color w:val="000000" w:themeColor="text1"/>
        </w:rPr>
        <w:drawing>
          <wp:inline distT="0" distB="0" distL="0" distR="0" wp14:anchorId="3D7B6401" wp14:editId="41B85BD8">
            <wp:extent cx="3483469" cy="6615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31742" b="63878"/>
                    <a:stretch>
                      <a:fillRect/>
                    </a:stretch>
                  </pic:blipFill>
                  <pic:spPr>
                    <a:xfrm>
                      <a:off x="0" y="0"/>
                      <a:ext cx="3483469" cy="661525"/>
                    </a:xfrm>
                    <a:prstGeom prst="rect">
                      <a:avLst/>
                    </a:prstGeom>
                    <a:ln/>
                  </pic:spPr>
                </pic:pic>
              </a:graphicData>
            </a:graphic>
          </wp:inline>
        </w:drawing>
      </w:r>
    </w:p>
    <w:p w14:paraId="60ED1CDB" w14:textId="77777777" w:rsidR="00AB160D" w:rsidRPr="00D9605D" w:rsidRDefault="00AE4FCE">
      <w:pPr>
        <w:spacing w:after="0"/>
        <w:jc w:val="center"/>
        <w:rPr>
          <w:b/>
          <w:bCs/>
          <w:color w:val="000000" w:themeColor="text1"/>
          <w:u w:val="single"/>
        </w:rPr>
      </w:pPr>
      <w:r w:rsidRPr="00D9605D">
        <w:rPr>
          <w:noProof/>
          <w:color w:val="000000" w:themeColor="text1"/>
        </w:rPr>
        <w:drawing>
          <wp:inline distT="0" distB="0" distL="0" distR="0" wp14:anchorId="58A8535F" wp14:editId="4C933E8D">
            <wp:extent cx="5569023" cy="136911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t="31491"/>
                    <a:stretch>
                      <a:fillRect/>
                    </a:stretch>
                  </pic:blipFill>
                  <pic:spPr>
                    <a:xfrm>
                      <a:off x="0" y="0"/>
                      <a:ext cx="5569023" cy="1369118"/>
                    </a:xfrm>
                    <a:prstGeom prst="rect">
                      <a:avLst/>
                    </a:prstGeom>
                    <a:ln/>
                  </pic:spPr>
                </pic:pic>
              </a:graphicData>
            </a:graphic>
          </wp:inline>
        </w:drawing>
      </w:r>
    </w:p>
    <w:p w14:paraId="0378F18D" w14:textId="77777777" w:rsidR="00AB160D" w:rsidRPr="00D9605D" w:rsidRDefault="00AE4FCE">
      <w:pPr>
        <w:rPr>
          <w:color w:val="000000" w:themeColor="text1"/>
        </w:rPr>
      </w:pPr>
      <w:r w:rsidRPr="00D9605D">
        <w:rPr>
          <w:color w:val="000000" w:themeColor="text1"/>
        </w:rPr>
        <w:t>This formula discounts future cash flows to present value, reflecting the time value of money.</w:t>
      </w:r>
    </w:p>
    <w:p w14:paraId="51D76897" w14:textId="77777777" w:rsidR="00AB160D" w:rsidRPr="00D9605D" w:rsidRDefault="00AE4FCE">
      <w:pPr>
        <w:spacing w:after="0"/>
        <w:rPr>
          <w:b/>
          <w:bCs/>
          <w:color w:val="000000" w:themeColor="text1"/>
          <w:u w:val="single"/>
        </w:rPr>
      </w:pPr>
      <w:r w:rsidRPr="00D9605D">
        <w:rPr>
          <w:b/>
          <w:bCs/>
          <w:color w:val="000000" w:themeColor="text1"/>
          <w:u w:val="single"/>
        </w:rPr>
        <w:t>Option A: Retail Outlet Expansion</w:t>
      </w:r>
    </w:p>
    <w:tbl>
      <w:tblPr>
        <w:tblStyle w:val="a5"/>
        <w:tblW w:w="9016" w:type="dxa"/>
        <w:tblInd w:w="0" w:type="dxa"/>
        <w:tblBorders>
          <w:top w:val="single" w:sz="4" w:space="0" w:color="275317"/>
          <w:left w:val="single" w:sz="4" w:space="0" w:color="275317"/>
          <w:bottom w:val="single" w:sz="4" w:space="0" w:color="275317"/>
          <w:right w:val="single" w:sz="4" w:space="0" w:color="275317"/>
          <w:insideH w:val="single" w:sz="4" w:space="0" w:color="275317"/>
          <w:insideV w:val="single" w:sz="4" w:space="0" w:color="275317"/>
        </w:tblBorders>
        <w:tblLayout w:type="fixed"/>
        <w:tblLook w:val="04A0" w:firstRow="1" w:lastRow="0" w:firstColumn="1" w:lastColumn="0" w:noHBand="0" w:noVBand="1"/>
      </w:tblPr>
      <w:tblGrid>
        <w:gridCol w:w="682"/>
        <w:gridCol w:w="1146"/>
        <w:gridCol w:w="1428"/>
        <w:gridCol w:w="1207"/>
        <w:gridCol w:w="1055"/>
        <w:gridCol w:w="1258"/>
        <w:gridCol w:w="1056"/>
        <w:gridCol w:w="1184"/>
      </w:tblGrid>
      <w:tr w:rsidR="00AB160D" w:rsidRPr="00D9605D" w14:paraId="3D39CCD1" w14:textId="77777777" w:rsidTr="00AB16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2" w:type="dxa"/>
            <w:tcBorders>
              <w:top w:val="nil"/>
              <w:left w:val="nil"/>
            </w:tcBorders>
          </w:tcPr>
          <w:p w14:paraId="4FD455CD" w14:textId="77777777" w:rsidR="00AB160D" w:rsidRPr="00D9605D" w:rsidRDefault="00AE4FCE">
            <w:pPr>
              <w:jc w:val="center"/>
              <w:rPr>
                <w:color w:val="000000" w:themeColor="text1"/>
                <w:sz w:val="22"/>
                <w:szCs w:val="22"/>
              </w:rPr>
            </w:pPr>
            <w:r w:rsidRPr="00D9605D">
              <w:rPr>
                <w:color w:val="000000" w:themeColor="text1"/>
                <w:sz w:val="22"/>
                <w:szCs w:val="22"/>
              </w:rPr>
              <w:t>Year</w:t>
            </w:r>
          </w:p>
        </w:tc>
        <w:tc>
          <w:tcPr>
            <w:tcW w:w="1146" w:type="dxa"/>
            <w:tcBorders>
              <w:top w:val="nil"/>
            </w:tcBorders>
          </w:tcPr>
          <w:p w14:paraId="1FEC775C" w14:textId="77777777" w:rsidR="00AB160D" w:rsidRPr="00D9605D" w:rsidRDefault="00AE4FCE">
            <w:pPr>
              <w:jc w:val="center"/>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D9605D">
              <w:rPr>
                <w:color w:val="000000" w:themeColor="text1"/>
                <w:sz w:val="22"/>
                <w:szCs w:val="22"/>
              </w:rPr>
              <w:t>Cash Flow (£)</w:t>
            </w:r>
          </w:p>
        </w:tc>
        <w:tc>
          <w:tcPr>
            <w:tcW w:w="1428" w:type="dxa"/>
            <w:tcBorders>
              <w:top w:val="nil"/>
            </w:tcBorders>
          </w:tcPr>
          <w:p w14:paraId="4DABCEC0" w14:textId="77777777" w:rsidR="00AB160D" w:rsidRPr="00D9605D" w:rsidRDefault="00AE4FCE">
            <w:pPr>
              <w:jc w:val="center"/>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D9605D">
              <w:rPr>
                <w:color w:val="000000" w:themeColor="text1"/>
                <w:sz w:val="22"/>
                <w:szCs w:val="22"/>
              </w:rPr>
              <w:t>Capital Allowance (£)</w:t>
            </w:r>
          </w:p>
        </w:tc>
        <w:tc>
          <w:tcPr>
            <w:tcW w:w="1207" w:type="dxa"/>
            <w:tcBorders>
              <w:top w:val="nil"/>
            </w:tcBorders>
          </w:tcPr>
          <w:p w14:paraId="53277CC8" w14:textId="77777777" w:rsidR="00AB160D" w:rsidRPr="00D9605D" w:rsidRDefault="00AE4FCE">
            <w:pPr>
              <w:jc w:val="center"/>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D9605D">
              <w:rPr>
                <w:color w:val="000000" w:themeColor="text1"/>
                <w:sz w:val="22"/>
                <w:szCs w:val="22"/>
              </w:rPr>
              <w:t>Taxable Profit (£)</w:t>
            </w:r>
          </w:p>
        </w:tc>
        <w:tc>
          <w:tcPr>
            <w:tcW w:w="1055" w:type="dxa"/>
            <w:tcBorders>
              <w:top w:val="nil"/>
            </w:tcBorders>
          </w:tcPr>
          <w:p w14:paraId="2CEAE71D" w14:textId="77777777" w:rsidR="00AB160D" w:rsidRPr="00D9605D" w:rsidRDefault="00AE4FCE">
            <w:pPr>
              <w:jc w:val="center"/>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D9605D">
              <w:rPr>
                <w:color w:val="000000" w:themeColor="text1"/>
                <w:sz w:val="22"/>
                <w:szCs w:val="22"/>
              </w:rPr>
              <w:t>Tax @ 25% (£)</w:t>
            </w:r>
          </w:p>
        </w:tc>
        <w:tc>
          <w:tcPr>
            <w:tcW w:w="1258" w:type="dxa"/>
            <w:tcBorders>
              <w:top w:val="nil"/>
            </w:tcBorders>
          </w:tcPr>
          <w:p w14:paraId="4AB110F0" w14:textId="77777777" w:rsidR="00AB160D" w:rsidRPr="00D9605D" w:rsidRDefault="00AE4FCE">
            <w:pPr>
              <w:jc w:val="center"/>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D9605D">
              <w:rPr>
                <w:color w:val="000000" w:themeColor="text1"/>
                <w:sz w:val="22"/>
                <w:szCs w:val="22"/>
              </w:rPr>
              <w:t>After-Tax Cash Flow (£)</w:t>
            </w:r>
          </w:p>
        </w:tc>
        <w:tc>
          <w:tcPr>
            <w:tcW w:w="1056" w:type="dxa"/>
            <w:tcBorders>
              <w:top w:val="nil"/>
            </w:tcBorders>
          </w:tcPr>
          <w:p w14:paraId="05E39305" w14:textId="77777777" w:rsidR="00AB160D" w:rsidRPr="00D9605D" w:rsidRDefault="00AE4FCE">
            <w:pPr>
              <w:jc w:val="center"/>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D9605D">
              <w:rPr>
                <w:color w:val="000000" w:themeColor="text1"/>
                <w:sz w:val="22"/>
                <w:szCs w:val="22"/>
              </w:rPr>
              <w:t>PV Factor @ 5%</w:t>
            </w:r>
          </w:p>
        </w:tc>
        <w:tc>
          <w:tcPr>
            <w:tcW w:w="1184" w:type="dxa"/>
            <w:tcBorders>
              <w:top w:val="nil"/>
              <w:right w:val="nil"/>
            </w:tcBorders>
          </w:tcPr>
          <w:p w14:paraId="068BD367" w14:textId="77777777" w:rsidR="00AB160D" w:rsidRPr="00D9605D" w:rsidRDefault="00AE4FCE">
            <w:pPr>
              <w:jc w:val="center"/>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D9605D">
              <w:rPr>
                <w:color w:val="000000" w:themeColor="text1"/>
                <w:sz w:val="22"/>
                <w:szCs w:val="22"/>
              </w:rPr>
              <w:t>Present Value (£)</w:t>
            </w:r>
          </w:p>
        </w:tc>
      </w:tr>
      <w:tr w:rsidR="00AB160D" w:rsidRPr="00D9605D" w14:paraId="37AF4AF1" w14:textId="77777777" w:rsidTr="00AB16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2" w:type="dxa"/>
            <w:tcBorders>
              <w:left w:val="nil"/>
            </w:tcBorders>
          </w:tcPr>
          <w:p w14:paraId="6D7342D1" w14:textId="77777777" w:rsidR="00AB160D" w:rsidRPr="00D9605D" w:rsidRDefault="00AE4FCE">
            <w:pPr>
              <w:jc w:val="center"/>
              <w:rPr>
                <w:color w:val="000000" w:themeColor="text1"/>
              </w:rPr>
            </w:pPr>
            <w:r w:rsidRPr="00D9605D">
              <w:rPr>
                <w:color w:val="000000" w:themeColor="text1"/>
              </w:rPr>
              <w:t>1</w:t>
            </w:r>
          </w:p>
        </w:tc>
        <w:tc>
          <w:tcPr>
            <w:tcW w:w="1146" w:type="dxa"/>
          </w:tcPr>
          <w:p w14:paraId="79D74468"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100,000</w:t>
            </w:r>
          </w:p>
        </w:tc>
        <w:tc>
          <w:tcPr>
            <w:tcW w:w="1428" w:type="dxa"/>
          </w:tcPr>
          <w:p w14:paraId="52684CFB"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120,000</w:t>
            </w:r>
          </w:p>
        </w:tc>
        <w:tc>
          <w:tcPr>
            <w:tcW w:w="1207" w:type="dxa"/>
          </w:tcPr>
          <w:p w14:paraId="065E1520"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(20,000)</w:t>
            </w:r>
          </w:p>
        </w:tc>
        <w:tc>
          <w:tcPr>
            <w:tcW w:w="1055" w:type="dxa"/>
          </w:tcPr>
          <w:p w14:paraId="625D1B3B"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(5,000)</w:t>
            </w:r>
          </w:p>
        </w:tc>
        <w:tc>
          <w:tcPr>
            <w:tcW w:w="1258" w:type="dxa"/>
          </w:tcPr>
          <w:p w14:paraId="28EA7F86"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105,000</w:t>
            </w:r>
          </w:p>
        </w:tc>
        <w:tc>
          <w:tcPr>
            <w:tcW w:w="1056" w:type="dxa"/>
          </w:tcPr>
          <w:p w14:paraId="472B1065"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0.9524</w:t>
            </w:r>
          </w:p>
        </w:tc>
        <w:tc>
          <w:tcPr>
            <w:tcW w:w="1184" w:type="dxa"/>
          </w:tcPr>
          <w:p w14:paraId="5A20CEED"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100,002</w:t>
            </w:r>
          </w:p>
        </w:tc>
      </w:tr>
      <w:tr w:rsidR="00AB160D" w:rsidRPr="00D9605D" w14:paraId="08B3B705" w14:textId="77777777" w:rsidTr="00AB160D">
        <w:tc>
          <w:tcPr>
            <w:cnfStyle w:val="001000000000" w:firstRow="0" w:lastRow="0" w:firstColumn="1" w:lastColumn="0" w:oddVBand="0" w:evenVBand="0" w:oddHBand="0" w:evenHBand="0" w:firstRowFirstColumn="0" w:firstRowLastColumn="0" w:lastRowFirstColumn="0" w:lastRowLastColumn="0"/>
            <w:tcW w:w="682" w:type="dxa"/>
            <w:tcBorders>
              <w:left w:val="nil"/>
            </w:tcBorders>
          </w:tcPr>
          <w:p w14:paraId="5ADAC828" w14:textId="77777777" w:rsidR="00AB160D" w:rsidRPr="00D9605D" w:rsidRDefault="00AE4FCE">
            <w:pPr>
              <w:jc w:val="center"/>
              <w:rPr>
                <w:color w:val="000000" w:themeColor="text1"/>
              </w:rPr>
            </w:pPr>
            <w:r w:rsidRPr="00D9605D">
              <w:rPr>
                <w:color w:val="000000" w:themeColor="text1"/>
              </w:rPr>
              <w:t>2</w:t>
            </w:r>
          </w:p>
        </w:tc>
        <w:tc>
          <w:tcPr>
            <w:tcW w:w="1146" w:type="dxa"/>
          </w:tcPr>
          <w:p w14:paraId="163D80BF"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180,000</w:t>
            </w:r>
          </w:p>
        </w:tc>
        <w:tc>
          <w:tcPr>
            <w:tcW w:w="1428" w:type="dxa"/>
          </w:tcPr>
          <w:p w14:paraId="5080ED89"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120,000</w:t>
            </w:r>
          </w:p>
        </w:tc>
        <w:tc>
          <w:tcPr>
            <w:tcW w:w="1207" w:type="dxa"/>
          </w:tcPr>
          <w:p w14:paraId="7D258BEA"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60,000</w:t>
            </w:r>
          </w:p>
        </w:tc>
        <w:tc>
          <w:tcPr>
            <w:tcW w:w="1055" w:type="dxa"/>
          </w:tcPr>
          <w:p w14:paraId="24758679"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15,000</w:t>
            </w:r>
          </w:p>
        </w:tc>
        <w:tc>
          <w:tcPr>
            <w:tcW w:w="1258" w:type="dxa"/>
          </w:tcPr>
          <w:p w14:paraId="4BB48A2D"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165,000</w:t>
            </w:r>
          </w:p>
        </w:tc>
        <w:tc>
          <w:tcPr>
            <w:tcW w:w="1056" w:type="dxa"/>
          </w:tcPr>
          <w:p w14:paraId="6825BF5B"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0.9070</w:t>
            </w:r>
          </w:p>
        </w:tc>
        <w:tc>
          <w:tcPr>
            <w:tcW w:w="1184" w:type="dxa"/>
          </w:tcPr>
          <w:p w14:paraId="0B2AEC30"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149,655</w:t>
            </w:r>
          </w:p>
        </w:tc>
      </w:tr>
      <w:tr w:rsidR="00AB160D" w:rsidRPr="00D9605D" w14:paraId="639BBA29" w14:textId="77777777" w:rsidTr="00AB16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2" w:type="dxa"/>
            <w:tcBorders>
              <w:left w:val="nil"/>
            </w:tcBorders>
          </w:tcPr>
          <w:p w14:paraId="7180FC87" w14:textId="77777777" w:rsidR="00AB160D" w:rsidRPr="00D9605D" w:rsidRDefault="00AE4FCE">
            <w:pPr>
              <w:jc w:val="center"/>
              <w:rPr>
                <w:color w:val="000000" w:themeColor="text1"/>
              </w:rPr>
            </w:pPr>
            <w:r w:rsidRPr="00D9605D">
              <w:rPr>
                <w:color w:val="000000" w:themeColor="text1"/>
              </w:rPr>
              <w:t>3</w:t>
            </w:r>
          </w:p>
        </w:tc>
        <w:tc>
          <w:tcPr>
            <w:tcW w:w="1146" w:type="dxa"/>
          </w:tcPr>
          <w:p w14:paraId="7C64AC58"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210,000</w:t>
            </w:r>
          </w:p>
        </w:tc>
        <w:tc>
          <w:tcPr>
            <w:tcW w:w="1428" w:type="dxa"/>
          </w:tcPr>
          <w:p w14:paraId="3D349BFD"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120,000</w:t>
            </w:r>
          </w:p>
        </w:tc>
        <w:tc>
          <w:tcPr>
            <w:tcW w:w="1207" w:type="dxa"/>
          </w:tcPr>
          <w:p w14:paraId="265101AB"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90,000</w:t>
            </w:r>
          </w:p>
        </w:tc>
        <w:tc>
          <w:tcPr>
            <w:tcW w:w="1055" w:type="dxa"/>
          </w:tcPr>
          <w:p w14:paraId="0CB9BEE9"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22,500</w:t>
            </w:r>
          </w:p>
        </w:tc>
        <w:tc>
          <w:tcPr>
            <w:tcW w:w="1258" w:type="dxa"/>
          </w:tcPr>
          <w:p w14:paraId="4CDDB68D"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187,500</w:t>
            </w:r>
          </w:p>
        </w:tc>
        <w:tc>
          <w:tcPr>
            <w:tcW w:w="1056" w:type="dxa"/>
          </w:tcPr>
          <w:p w14:paraId="70B12B1E"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0.8638</w:t>
            </w:r>
          </w:p>
        </w:tc>
        <w:tc>
          <w:tcPr>
            <w:tcW w:w="1184" w:type="dxa"/>
          </w:tcPr>
          <w:p w14:paraId="57D00D51"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161,963</w:t>
            </w:r>
          </w:p>
        </w:tc>
      </w:tr>
      <w:tr w:rsidR="00AB160D" w:rsidRPr="00D9605D" w14:paraId="39F03C9A" w14:textId="77777777" w:rsidTr="00AB160D">
        <w:tc>
          <w:tcPr>
            <w:cnfStyle w:val="001000000000" w:firstRow="0" w:lastRow="0" w:firstColumn="1" w:lastColumn="0" w:oddVBand="0" w:evenVBand="0" w:oddHBand="0" w:evenHBand="0" w:firstRowFirstColumn="0" w:firstRowLastColumn="0" w:lastRowFirstColumn="0" w:lastRowLastColumn="0"/>
            <w:tcW w:w="682" w:type="dxa"/>
            <w:tcBorders>
              <w:left w:val="nil"/>
              <w:bottom w:val="nil"/>
            </w:tcBorders>
          </w:tcPr>
          <w:p w14:paraId="684199A6" w14:textId="77777777" w:rsidR="00AB160D" w:rsidRPr="00D9605D" w:rsidRDefault="00AE4FCE">
            <w:pPr>
              <w:jc w:val="center"/>
              <w:rPr>
                <w:color w:val="000000" w:themeColor="text1"/>
              </w:rPr>
            </w:pPr>
            <w:r w:rsidRPr="00D9605D">
              <w:rPr>
                <w:color w:val="000000" w:themeColor="text1"/>
              </w:rPr>
              <w:t>4</w:t>
            </w:r>
          </w:p>
        </w:tc>
        <w:tc>
          <w:tcPr>
            <w:tcW w:w="1146" w:type="dxa"/>
          </w:tcPr>
          <w:p w14:paraId="37B05E94"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260,000</w:t>
            </w:r>
          </w:p>
        </w:tc>
        <w:tc>
          <w:tcPr>
            <w:tcW w:w="1428" w:type="dxa"/>
          </w:tcPr>
          <w:p w14:paraId="0429357A"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120,000</w:t>
            </w:r>
          </w:p>
        </w:tc>
        <w:tc>
          <w:tcPr>
            <w:tcW w:w="1207" w:type="dxa"/>
          </w:tcPr>
          <w:p w14:paraId="3BF53767"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140,000</w:t>
            </w:r>
          </w:p>
        </w:tc>
        <w:tc>
          <w:tcPr>
            <w:tcW w:w="1055" w:type="dxa"/>
          </w:tcPr>
          <w:p w14:paraId="495B3918"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35,000</w:t>
            </w:r>
          </w:p>
        </w:tc>
        <w:tc>
          <w:tcPr>
            <w:tcW w:w="1258" w:type="dxa"/>
          </w:tcPr>
          <w:p w14:paraId="4BAA1CEB"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225,000</w:t>
            </w:r>
          </w:p>
        </w:tc>
        <w:tc>
          <w:tcPr>
            <w:tcW w:w="1056" w:type="dxa"/>
          </w:tcPr>
          <w:p w14:paraId="58243CFC"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0.8227</w:t>
            </w:r>
          </w:p>
        </w:tc>
        <w:tc>
          <w:tcPr>
            <w:tcW w:w="1184" w:type="dxa"/>
          </w:tcPr>
          <w:p w14:paraId="014472AE"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185,108</w:t>
            </w:r>
          </w:p>
        </w:tc>
      </w:tr>
    </w:tbl>
    <w:p w14:paraId="5051AD0C" w14:textId="77777777" w:rsidR="00AB160D" w:rsidRPr="00D9605D" w:rsidRDefault="00AE4FCE">
      <w:pPr>
        <w:spacing w:before="240"/>
        <w:rPr>
          <w:color w:val="000000" w:themeColor="text1"/>
        </w:rPr>
      </w:pPr>
      <w:r w:rsidRPr="00D9605D">
        <w:rPr>
          <w:color w:val="000000" w:themeColor="text1"/>
        </w:rPr>
        <w:t>Total Present Value of After-Tax Cash Flows = £596,728</w:t>
      </w:r>
    </w:p>
    <w:p w14:paraId="68688723" w14:textId="77777777" w:rsidR="00AB160D" w:rsidRPr="00D9605D" w:rsidRDefault="00AE4FCE">
      <w:pPr>
        <w:numPr>
          <w:ilvl w:val="0"/>
          <w:numId w:val="4"/>
        </w:numPr>
        <w:pBdr>
          <w:top w:val="nil"/>
          <w:left w:val="nil"/>
          <w:bottom w:val="nil"/>
          <w:right w:val="nil"/>
          <w:between w:val="nil"/>
        </w:pBdr>
        <w:rPr>
          <w:color w:val="000000" w:themeColor="text1"/>
        </w:rPr>
      </w:pPr>
      <w:r w:rsidRPr="00D9605D">
        <w:rPr>
          <w:b/>
          <w:bCs/>
          <w:color w:val="000000" w:themeColor="text1"/>
        </w:rPr>
        <w:t xml:space="preserve">NPV </w:t>
      </w:r>
      <w:r w:rsidRPr="00D9605D">
        <w:rPr>
          <w:color w:val="000000" w:themeColor="text1"/>
        </w:rPr>
        <w:t>= £596,728 – £600,000 =</w:t>
      </w:r>
      <w:r w:rsidRPr="00D9605D">
        <w:rPr>
          <w:b/>
          <w:bCs/>
          <w:color w:val="000000" w:themeColor="text1"/>
        </w:rPr>
        <w:t xml:space="preserve"> (£3,272)</w:t>
      </w:r>
      <w:r w:rsidRPr="00D9605D">
        <w:rPr>
          <w:color w:val="000000" w:themeColor="text1"/>
        </w:rPr>
        <w:t> </w:t>
      </w:r>
      <w:r w:rsidRPr="00D9605D">
        <w:rPr>
          <w:b/>
          <w:bCs/>
          <w:color w:val="000000" w:themeColor="text1"/>
        </w:rPr>
        <w:t>(Negative)</w:t>
      </w:r>
    </w:p>
    <w:p w14:paraId="0D154B7E" w14:textId="77777777" w:rsidR="00AB160D" w:rsidRPr="00D9605D" w:rsidRDefault="00AE4FCE">
      <w:pPr>
        <w:spacing w:after="0"/>
        <w:rPr>
          <w:b/>
          <w:bCs/>
          <w:color w:val="000000" w:themeColor="text1"/>
          <w:u w:val="single"/>
        </w:rPr>
      </w:pPr>
      <w:r w:rsidRPr="00D9605D">
        <w:rPr>
          <w:b/>
          <w:bCs/>
          <w:color w:val="000000" w:themeColor="text1"/>
          <w:u w:val="single"/>
        </w:rPr>
        <w:t>Option B: Internet Sales Development</w:t>
      </w:r>
    </w:p>
    <w:tbl>
      <w:tblPr>
        <w:tblStyle w:val="a6"/>
        <w:tblW w:w="9016" w:type="dxa"/>
        <w:tblInd w:w="0" w:type="dxa"/>
        <w:tblBorders>
          <w:top w:val="single" w:sz="4" w:space="0" w:color="275317"/>
          <w:left w:val="single" w:sz="4" w:space="0" w:color="275317"/>
          <w:bottom w:val="single" w:sz="4" w:space="0" w:color="275317"/>
          <w:right w:val="single" w:sz="4" w:space="0" w:color="275317"/>
          <w:insideH w:val="single" w:sz="4" w:space="0" w:color="275317"/>
          <w:insideV w:val="single" w:sz="4" w:space="0" w:color="275317"/>
        </w:tblBorders>
        <w:tblLayout w:type="fixed"/>
        <w:tblLook w:val="04A0" w:firstRow="1" w:lastRow="0" w:firstColumn="1" w:lastColumn="0" w:noHBand="0" w:noVBand="1"/>
      </w:tblPr>
      <w:tblGrid>
        <w:gridCol w:w="682"/>
        <w:gridCol w:w="1150"/>
        <w:gridCol w:w="1436"/>
        <w:gridCol w:w="1190"/>
        <w:gridCol w:w="1037"/>
        <w:gridCol w:w="1269"/>
        <w:gridCol w:w="1062"/>
        <w:gridCol w:w="1190"/>
      </w:tblGrid>
      <w:tr w:rsidR="00AB160D" w:rsidRPr="00D9605D" w14:paraId="16C7D169" w14:textId="77777777" w:rsidTr="00AB16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2" w:type="dxa"/>
            <w:tcBorders>
              <w:top w:val="nil"/>
              <w:left w:val="nil"/>
            </w:tcBorders>
          </w:tcPr>
          <w:p w14:paraId="04FDEB55" w14:textId="77777777" w:rsidR="00AB160D" w:rsidRPr="00D9605D" w:rsidRDefault="00AE4FCE">
            <w:pPr>
              <w:jc w:val="center"/>
              <w:rPr>
                <w:color w:val="000000" w:themeColor="text1"/>
                <w:sz w:val="22"/>
                <w:szCs w:val="22"/>
              </w:rPr>
            </w:pPr>
            <w:r w:rsidRPr="00D9605D">
              <w:rPr>
                <w:color w:val="000000" w:themeColor="text1"/>
                <w:sz w:val="22"/>
                <w:szCs w:val="22"/>
              </w:rPr>
              <w:t>Year</w:t>
            </w:r>
          </w:p>
        </w:tc>
        <w:tc>
          <w:tcPr>
            <w:tcW w:w="1150" w:type="dxa"/>
            <w:tcBorders>
              <w:top w:val="nil"/>
            </w:tcBorders>
          </w:tcPr>
          <w:p w14:paraId="1C39C518" w14:textId="77777777" w:rsidR="00AB160D" w:rsidRPr="00D9605D" w:rsidRDefault="00AE4FCE">
            <w:pPr>
              <w:jc w:val="center"/>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D9605D">
              <w:rPr>
                <w:color w:val="000000" w:themeColor="text1"/>
                <w:sz w:val="22"/>
                <w:szCs w:val="22"/>
              </w:rPr>
              <w:t>Cash Flow (£)</w:t>
            </w:r>
          </w:p>
        </w:tc>
        <w:tc>
          <w:tcPr>
            <w:tcW w:w="1436" w:type="dxa"/>
            <w:tcBorders>
              <w:top w:val="nil"/>
            </w:tcBorders>
          </w:tcPr>
          <w:p w14:paraId="6F4AD972" w14:textId="77777777" w:rsidR="00AB160D" w:rsidRPr="00D9605D" w:rsidRDefault="00AE4FCE">
            <w:pPr>
              <w:jc w:val="center"/>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D9605D">
              <w:rPr>
                <w:color w:val="000000" w:themeColor="text1"/>
                <w:sz w:val="22"/>
                <w:szCs w:val="22"/>
              </w:rPr>
              <w:t>Capital Allowance (£)</w:t>
            </w:r>
          </w:p>
        </w:tc>
        <w:tc>
          <w:tcPr>
            <w:tcW w:w="1190" w:type="dxa"/>
            <w:tcBorders>
              <w:top w:val="nil"/>
            </w:tcBorders>
          </w:tcPr>
          <w:p w14:paraId="2584DF4E" w14:textId="77777777" w:rsidR="00AB160D" w:rsidRPr="00D9605D" w:rsidRDefault="00AE4FCE">
            <w:pPr>
              <w:jc w:val="center"/>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D9605D">
              <w:rPr>
                <w:color w:val="000000" w:themeColor="text1"/>
                <w:sz w:val="22"/>
                <w:szCs w:val="22"/>
              </w:rPr>
              <w:t>Taxable Profit (£)</w:t>
            </w:r>
          </w:p>
        </w:tc>
        <w:tc>
          <w:tcPr>
            <w:tcW w:w="1037" w:type="dxa"/>
            <w:tcBorders>
              <w:top w:val="nil"/>
            </w:tcBorders>
          </w:tcPr>
          <w:p w14:paraId="75777498" w14:textId="77777777" w:rsidR="00AB160D" w:rsidRPr="00D9605D" w:rsidRDefault="00AE4FCE">
            <w:pPr>
              <w:jc w:val="center"/>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D9605D">
              <w:rPr>
                <w:color w:val="000000" w:themeColor="text1"/>
                <w:sz w:val="22"/>
                <w:szCs w:val="22"/>
              </w:rPr>
              <w:t>Tax @ 25% (£)</w:t>
            </w:r>
          </w:p>
        </w:tc>
        <w:tc>
          <w:tcPr>
            <w:tcW w:w="1269" w:type="dxa"/>
            <w:tcBorders>
              <w:top w:val="nil"/>
            </w:tcBorders>
          </w:tcPr>
          <w:p w14:paraId="02C0F371" w14:textId="77777777" w:rsidR="00AB160D" w:rsidRPr="00D9605D" w:rsidRDefault="00AE4FCE">
            <w:pPr>
              <w:jc w:val="center"/>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D9605D">
              <w:rPr>
                <w:color w:val="000000" w:themeColor="text1"/>
                <w:sz w:val="22"/>
                <w:szCs w:val="22"/>
              </w:rPr>
              <w:t>After-Tax Cash Flow (£)</w:t>
            </w:r>
          </w:p>
        </w:tc>
        <w:tc>
          <w:tcPr>
            <w:tcW w:w="1062" w:type="dxa"/>
            <w:tcBorders>
              <w:top w:val="nil"/>
            </w:tcBorders>
          </w:tcPr>
          <w:p w14:paraId="3F47F212" w14:textId="77777777" w:rsidR="00AB160D" w:rsidRPr="00D9605D" w:rsidRDefault="00AE4FCE">
            <w:pPr>
              <w:jc w:val="center"/>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D9605D">
              <w:rPr>
                <w:color w:val="000000" w:themeColor="text1"/>
                <w:sz w:val="22"/>
                <w:szCs w:val="22"/>
              </w:rPr>
              <w:t>PV Factor @ 5%</w:t>
            </w:r>
          </w:p>
        </w:tc>
        <w:tc>
          <w:tcPr>
            <w:tcW w:w="1190" w:type="dxa"/>
            <w:tcBorders>
              <w:top w:val="nil"/>
              <w:right w:val="nil"/>
            </w:tcBorders>
          </w:tcPr>
          <w:p w14:paraId="461E62F9" w14:textId="77777777" w:rsidR="00AB160D" w:rsidRPr="00D9605D" w:rsidRDefault="00AE4FCE">
            <w:pPr>
              <w:jc w:val="center"/>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D9605D">
              <w:rPr>
                <w:color w:val="000000" w:themeColor="text1"/>
                <w:sz w:val="22"/>
                <w:szCs w:val="22"/>
              </w:rPr>
              <w:t>Present Value (£)</w:t>
            </w:r>
          </w:p>
        </w:tc>
      </w:tr>
      <w:tr w:rsidR="00AB160D" w:rsidRPr="00D9605D" w14:paraId="05076543" w14:textId="77777777" w:rsidTr="00AB16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2" w:type="dxa"/>
            <w:tcBorders>
              <w:left w:val="nil"/>
            </w:tcBorders>
          </w:tcPr>
          <w:p w14:paraId="0AB972A7" w14:textId="77777777" w:rsidR="00AB160D" w:rsidRPr="00D9605D" w:rsidRDefault="00AE4FCE">
            <w:pPr>
              <w:jc w:val="center"/>
              <w:rPr>
                <w:color w:val="000000" w:themeColor="text1"/>
              </w:rPr>
            </w:pPr>
            <w:r w:rsidRPr="00D9605D">
              <w:rPr>
                <w:color w:val="000000" w:themeColor="text1"/>
              </w:rPr>
              <w:t>1</w:t>
            </w:r>
          </w:p>
        </w:tc>
        <w:tc>
          <w:tcPr>
            <w:tcW w:w="1150" w:type="dxa"/>
          </w:tcPr>
          <w:p w14:paraId="07702B6A"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220,000</w:t>
            </w:r>
          </w:p>
        </w:tc>
        <w:tc>
          <w:tcPr>
            <w:tcW w:w="1436" w:type="dxa"/>
          </w:tcPr>
          <w:p w14:paraId="753E4491"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180,000</w:t>
            </w:r>
          </w:p>
        </w:tc>
        <w:tc>
          <w:tcPr>
            <w:tcW w:w="1190" w:type="dxa"/>
          </w:tcPr>
          <w:p w14:paraId="70D95E51"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40,000</w:t>
            </w:r>
          </w:p>
        </w:tc>
        <w:tc>
          <w:tcPr>
            <w:tcW w:w="1037" w:type="dxa"/>
          </w:tcPr>
          <w:p w14:paraId="5E043BFD"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10,000</w:t>
            </w:r>
          </w:p>
        </w:tc>
        <w:tc>
          <w:tcPr>
            <w:tcW w:w="1269" w:type="dxa"/>
          </w:tcPr>
          <w:p w14:paraId="637E4EC5"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210,000</w:t>
            </w:r>
          </w:p>
        </w:tc>
        <w:tc>
          <w:tcPr>
            <w:tcW w:w="1062" w:type="dxa"/>
          </w:tcPr>
          <w:p w14:paraId="7FA0D10D"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0.9524</w:t>
            </w:r>
          </w:p>
        </w:tc>
        <w:tc>
          <w:tcPr>
            <w:tcW w:w="1190" w:type="dxa"/>
          </w:tcPr>
          <w:p w14:paraId="5780D8BB"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200,004</w:t>
            </w:r>
          </w:p>
        </w:tc>
      </w:tr>
      <w:tr w:rsidR="00AB160D" w:rsidRPr="00D9605D" w14:paraId="655F85ED" w14:textId="77777777" w:rsidTr="00AB160D">
        <w:tc>
          <w:tcPr>
            <w:cnfStyle w:val="001000000000" w:firstRow="0" w:lastRow="0" w:firstColumn="1" w:lastColumn="0" w:oddVBand="0" w:evenVBand="0" w:oddHBand="0" w:evenHBand="0" w:firstRowFirstColumn="0" w:firstRowLastColumn="0" w:lastRowFirstColumn="0" w:lastRowLastColumn="0"/>
            <w:tcW w:w="682" w:type="dxa"/>
            <w:tcBorders>
              <w:left w:val="nil"/>
            </w:tcBorders>
          </w:tcPr>
          <w:p w14:paraId="07C48154" w14:textId="77777777" w:rsidR="00AB160D" w:rsidRPr="00D9605D" w:rsidRDefault="00AE4FCE">
            <w:pPr>
              <w:jc w:val="center"/>
              <w:rPr>
                <w:color w:val="000000" w:themeColor="text1"/>
              </w:rPr>
            </w:pPr>
            <w:r w:rsidRPr="00D9605D">
              <w:rPr>
                <w:color w:val="000000" w:themeColor="text1"/>
              </w:rPr>
              <w:t>2</w:t>
            </w:r>
          </w:p>
        </w:tc>
        <w:tc>
          <w:tcPr>
            <w:tcW w:w="1150" w:type="dxa"/>
          </w:tcPr>
          <w:p w14:paraId="18A219A8"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270,000</w:t>
            </w:r>
          </w:p>
        </w:tc>
        <w:tc>
          <w:tcPr>
            <w:tcW w:w="1436" w:type="dxa"/>
          </w:tcPr>
          <w:p w14:paraId="1DBF06F8"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180,000</w:t>
            </w:r>
          </w:p>
        </w:tc>
        <w:tc>
          <w:tcPr>
            <w:tcW w:w="1190" w:type="dxa"/>
          </w:tcPr>
          <w:p w14:paraId="447B0FC4"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90,000</w:t>
            </w:r>
          </w:p>
        </w:tc>
        <w:tc>
          <w:tcPr>
            <w:tcW w:w="1037" w:type="dxa"/>
          </w:tcPr>
          <w:p w14:paraId="4018AA78"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22,500</w:t>
            </w:r>
          </w:p>
        </w:tc>
        <w:tc>
          <w:tcPr>
            <w:tcW w:w="1269" w:type="dxa"/>
          </w:tcPr>
          <w:p w14:paraId="0D509663"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247,500</w:t>
            </w:r>
          </w:p>
        </w:tc>
        <w:tc>
          <w:tcPr>
            <w:tcW w:w="1062" w:type="dxa"/>
          </w:tcPr>
          <w:p w14:paraId="67A610CE"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0.9070</w:t>
            </w:r>
          </w:p>
        </w:tc>
        <w:tc>
          <w:tcPr>
            <w:tcW w:w="1190" w:type="dxa"/>
          </w:tcPr>
          <w:p w14:paraId="68DF9B8E"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224,483</w:t>
            </w:r>
          </w:p>
        </w:tc>
      </w:tr>
      <w:tr w:rsidR="00AB160D" w:rsidRPr="00D9605D" w14:paraId="77522E57" w14:textId="77777777" w:rsidTr="00AB16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2" w:type="dxa"/>
            <w:tcBorders>
              <w:left w:val="nil"/>
            </w:tcBorders>
          </w:tcPr>
          <w:p w14:paraId="1CA1D228" w14:textId="77777777" w:rsidR="00AB160D" w:rsidRPr="00D9605D" w:rsidRDefault="00AE4FCE">
            <w:pPr>
              <w:jc w:val="center"/>
              <w:rPr>
                <w:color w:val="000000" w:themeColor="text1"/>
              </w:rPr>
            </w:pPr>
            <w:r w:rsidRPr="00D9605D">
              <w:rPr>
                <w:color w:val="000000" w:themeColor="text1"/>
              </w:rPr>
              <w:t>3</w:t>
            </w:r>
          </w:p>
        </w:tc>
        <w:tc>
          <w:tcPr>
            <w:tcW w:w="1150" w:type="dxa"/>
          </w:tcPr>
          <w:p w14:paraId="07080214"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350,000</w:t>
            </w:r>
          </w:p>
        </w:tc>
        <w:tc>
          <w:tcPr>
            <w:tcW w:w="1436" w:type="dxa"/>
          </w:tcPr>
          <w:p w14:paraId="59447FEC"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180,000</w:t>
            </w:r>
          </w:p>
        </w:tc>
        <w:tc>
          <w:tcPr>
            <w:tcW w:w="1190" w:type="dxa"/>
          </w:tcPr>
          <w:p w14:paraId="33EC6597"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170,000</w:t>
            </w:r>
          </w:p>
        </w:tc>
        <w:tc>
          <w:tcPr>
            <w:tcW w:w="1037" w:type="dxa"/>
          </w:tcPr>
          <w:p w14:paraId="0F021811"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42,500</w:t>
            </w:r>
          </w:p>
        </w:tc>
        <w:tc>
          <w:tcPr>
            <w:tcW w:w="1269" w:type="dxa"/>
          </w:tcPr>
          <w:p w14:paraId="5E61FF38"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307,500</w:t>
            </w:r>
          </w:p>
        </w:tc>
        <w:tc>
          <w:tcPr>
            <w:tcW w:w="1062" w:type="dxa"/>
          </w:tcPr>
          <w:p w14:paraId="7088E646"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0.8638</w:t>
            </w:r>
          </w:p>
        </w:tc>
        <w:tc>
          <w:tcPr>
            <w:tcW w:w="1190" w:type="dxa"/>
          </w:tcPr>
          <w:p w14:paraId="4EF710F4"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265,619</w:t>
            </w:r>
          </w:p>
        </w:tc>
      </w:tr>
      <w:tr w:rsidR="00AB160D" w:rsidRPr="00D9605D" w14:paraId="13E08228" w14:textId="77777777" w:rsidTr="00AB160D">
        <w:tc>
          <w:tcPr>
            <w:cnfStyle w:val="001000000000" w:firstRow="0" w:lastRow="0" w:firstColumn="1" w:lastColumn="0" w:oddVBand="0" w:evenVBand="0" w:oddHBand="0" w:evenHBand="0" w:firstRowFirstColumn="0" w:firstRowLastColumn="0" w:lastRowFirstColumn="0" w:lastRowLastColumn="0"/>
            <w:tcW w:w="682" w:type="dxa"/>
            <w:tcBorders>
              <w:left w:val="nil"/>
              <w:bottom w:val="nil"/>
            </w:tcBorders>
          </w:tcPr>
          <w:p w14:paraId="26C8A74F" w14:textId="77777777" w:rsidR="00AB160D" w:rsidRPr="00D9605D" w:rsidRDefault="00AE4FCE">
            <w:pPr>
              <w:jc w:val="center"/>
              <w:rPr>
                <w:color w:val="000000" w:themeColor="text1"/>
              </w:rPr>
            </w:pPr>
            <w:r w:rsidRPr="00D9605D">
              <w:rPr>
                <w:color w:val="000000" w:themeColor="text1"/>
              </w:rPr>
              <w:t>4</w:t>
            </w:r>
          </w:p>
        </w:tc>
        <w:tc>
          <w:tcPr>
            <w:tcW w:w="1150" w:type="dxa"/>
          </w:tcPr>
          <w:p w14:paraId="7AC74428"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400,000</w:t>
            </w:r>
          </w:p>
        </w:tc>
        <w:tc>
          <w:tcPr>
            <w:tcW w:w="1436" w:type="dxa"/>
          </w:tcPr>
          <w:p w14:paraId="498EB727"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180,000</w:t>
            </w:r>
          </w:p>
        </w:tc>
        <w:tc>
          <w:tcPr>
            <w:tcW w:w="1190" w:type="dxa"/>
          </w:tcPr>
          <w:p w14:paraId="03154058"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220,000</w:t>
            </w:r>
          </w:p>
        </w:tc>
        <w:tc>
          <w:tcPr>
            <w:tcW w:w="1037" w:type="dxa"/>
          </w:tcPr>
          <w:p w14:paraId="61521608"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55,000</w:t>
            </w:r>
          </w:p>
        </w:tc>
        <w:tc>
          <w:tcPr>
            <w:tcW w:w="1269" w:type="dxa"/>
          </w:tcPr>
          <w:p w14:paraId="2524153D"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345,000</w:t>
            </w:r>
          </w:p>
        </w:tc>
        <w:tc>
          <w:tcPr>
            <w:tcW w:w="1062" w:type="dxa"/>
          </w:tcPr>
          <w:p w14:paraId="744F97F4"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0.8227</w:t>
            </w:r>
          </w:p>
        </w:tc>
        <w:tc>
          <w:tcPr>
            <w:tcW w:w="1190" w:type="dxa"/>
          </w:tcPr>
          <w:p w14:paraId="2C8560D4"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283,832</w:t>
            </w:r>
          </w:p>
        </w:tc>
      </w:tr>
    </w:tbl>
    <w:p w14:paraId="26EDE38B" w14:textId="77777777" w:rsidR="00AB160D" w:rsidRPr="00D9605D" w:rsidRDefault="00AE4FCE">
      <w:pPr>
        <w:spacing w:before="240"/>
        <w:rPr>
          <w:color w:val="000000" w:themeColor="text1"/>
        </w:rPr>
      </w:pPr>
      <w:r w:rsidRPr="00D9605D">
        <w:rPr>
          <w:color w:val="000000" w:themeColor="text1"/>
        </w:rPr>
        <w:t>Total Present Value of After-Tax Cash Flows = £973,938</w:t>
      </w:r>
    </w:p>
    <w:p w14:paraId="0F3F0904" w14:textId="77777777" w:rsidR="00AB160D" w:rsidRPr="00D9605D" w:rsidRDefault="00AE4FCE">
      <w:pPr>
        <w:numPr>
          <w:ilvl w:val="0"/>
          <w:numId w:val="4"/>
        </w:numPr>
        <w:pBdr>
          <w:top w:val="nil"/>
          <w:left w:val="nil"/>
          <w:bottom w:val="nil"/>
          <w:right w:val="nil"/>
          <w:between w:val="nil"/>
        </w:pBdr>
        <w:rPr>
          <w:b/>
          <w:bCs/>
          <w:color w:val="000000" w:themeColor="text1"/>
        </w:rPr>
      </w:pPr>
      <w:r w:rsidRPr="00D9605D">
        <w:rPr>
          <w:b/>
          <w:bCs/>
          <w:color w:val="000000" w:themeColor="text1"/>
        </w:rPr>
        <w:t>NPV</w:t>
      </w:r>
      <w:r w:rsidRPr="00D9605D">
        <w:rPr>
          <w:color w:val="000000" w:themeColor="text1"/>
        </w:rPr>
        <w:t xml:space="preserve"> = £973,938 – £900,000 = </w:t>
      </w:r>
      <w:r w:rsidRPr="00D9605D">
        <w:rPr>
          <w:b/>
          <w:bCs/>
          <w:color w:val="000000" w:themeColor="text1"/>
        </w:rPr>
        <w:t>£73,938 (Positive)</w:t>
      </w:r>
    </w:p>
    <w:p w14:paraId="004996CE" w14:textId="77777777" w:rsidR="00AB160D" w:rsidRPr="00D9605D" w:rsidRDefault="00AE4FCE">
      <w:pPr>
        <w:spacing w:after="0"/>
        <w:rPr>
          <w:b/>
          <w:bCs/>
          <w:color w:val="000000" w:themeColor="text1"/>
          <w:u w:val="single"/>
        </w:rPr>
      </w:pPr>
      <w:r w:rsidRPr="00D9605D">
        <w:rPr>
          <w:b/>
          <w:bCs/>
          <w:color w:val="000000" w:themeColor="text1"/>
          <w:u w:val="single"/>
        </w:rPr>
        <w:t>Option C: Produce Purses and Wallets</w:t>
      </w:r>
    </w:p>
    <w:tbl>
      <w:tblPr>
        <w:tblStyle w:val="a7"/>
        <w:tblW w:w="9016" w:type="dxa"/>
        <w:jc w:val="center"/>
        <w:tblInd w:w="0" w:type="dxa"/>
        <w:tblBorders>
          <w:top w:val="single" w:sz="4" w:space="0" w:color="275317"/>
          <w:left w:val="single" w:sz="4" w:space="0" w:color="275317"/>
          <w:bottom w:val="single" w:sz="4" w:space="0" w:color="275317"/>
          <w:right w:val="single" w:sz="4" w:space="0" w:color="275317"/>
          <w:insideH w:val="single" w:sz="4" w:space="0" w:color="275317"/>
          <w:insideV w:val="single" w:sz="4" w:space="0" w:color="275317"/>
        </w:tblBorders>
        <w:tblLayout w:type="fixed"/>
        <w:tblLook w:val="04A0" w:firstRow="1" w:lastRow="0" w:firstColumn="1" w:lastColumn="0" w:noHBand="0" w:noVBand="1"/>
      </w:tblPr>
      <w:tblGrid>
        <w:gridCol w:w="682"/>
        <w:gridCol w:w="1150"/>
        <w:gridCol w:w="1436"/>
        <w:gridCol w:w="1190"/>
        <w:gridCol w:w="1037"/>
        <w:gridCol w:w="1269"/>
        <w:gridCol w:w="1062"/>
        <w:gridCol w:w="1190"/>
      </w:tblGrid>
      <w:tr w:rsidR="00AB160D" w:rsidRPr="00D9605D" w14:paraId="20C8EE72" w14:textId="77777777" w:rsidTr="00AB160D">
        <w:trPr>
          <w:cnfStyle w:val="100000000000" w:firstRow="1" w:lastRow="0" w:firstColumn="0" w:lastColumn="0" w:oddVBand="0" w:evenVBand="0" w:oddHBand="0" w:evenHBand="0" w:firstRowFirstColumn="0" w:firstRowLastColumn="0" w:lastRowFirstColumn="0" w:lastRowLastColumn="0"/>
          <w:trHeight w:val="558"/>
          <w:jc w:val="center"/>
        </w:trPr>
        <w:tc>
          <w:tcPr>
            <w:cnfStyle w:val="001000000000" w:firstRow="0" w:lastRow="0" w:firstColumn="1" w:lastColumn="0" w:oddVBand="0" w:evenVBand="0" w:oddHBand="0" w:evenHBand="0" w:firstRowFirstColumn="0" w:firstRowLastColumn="0" w:lastRowFirstColumn="0" w:lastRowLastColumn="0"/>
            <w:tcW w:w="682" w:type="dxa"/>
            <w:tcBorders>
              <w:top w:val="nil"/>
              <w:left w:val="nil"/>
            </w:tcBorders>
          </w:tcPr>
          <w:p w14:paraId="222B00BB" w14:textId="77777777" w:rsidR="00AB160D" w:rsidRPr="00D9605D" w:rsidRDefault="00AE4FCE">
            <w:pPr>
              <w:jc w:val="center"/>
              <w:rPr>
                <w:color w:val="000000" w:themeColor="text1"/>
                <w:sz w:val="22"/>
                <w:szCs w:val="22"/>
              </w:rPr>
            </w:pPr>
            <w:r w:rsidRPr="00D9605D">
              <w:rPr>
                <w:color w:val="000000" w:themeColor="text1"/>
                <w:sz w:val="22"/>
                <w:szCs w:val="22"/>
              </w:rPr>
              <w:t>Year</w:t>
            </w:r>
          </w:p>
        </w:tc>
        <w:tc>
          <w:tcPr>
            <w:tcW w:w="1150" w:type="dxa"/>
            <w:tcBorders>
              <w:top w:val="nil"/>
            </w:tcBorders>
          </w:tcPr>
          <w:p w14:paraId="66C7B9A2" w14:textId="77777777" w:rsidR="00AB160D" w:rsidRPr="00D9605D" w:rsidRDefault="00AE4FCE">
            <w:pPr>
              <w:jc w:val="center"/>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D9605D">
              <w:rPr>
                <w:color w:val="000000" w:themeColor="text1"/>
                <w:sz w:val="22"/>
                <w:szCs w:val="22"/>
              </w:rPr>
              <w:t>Cash Flow (£)</w:t>
            </w:r>
          </w:p>
        </w:tc>
        <w:tc>
          <w:tcPr>
            <w:tcW w:w="1436" w:type="dxa"/>
            <w:tcBorders>
              <w:top w:val="nil"/>
            </w:tcBorders>
          </w:tcPr>
          <w:p w14:paraId="172970D1" w14:textId="77777777" w:rsidR="00AB160D" w:rsidRPr="00D9605D" w:rsidRDefault="00AE4FCE">
            <w:pPr>
              <w:jc w:val="center"/>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D9605D">
              <w:rPr>
                <w:color w:val="000000" w:themeColor="text1"/>
                <w:sz w:val="22"/>
                <w:szCs w:val="22"/>
              </w:rPr>
              <w:t>Capital Allowance (£)</w:t>
            </w:r>
          </w:p>
        </w:tc>
        <w:tc>
          <w:tcPr>
            <w:tcW w:w="1190" w:type="dxa"/>
            <w:tcBorders>
              <w:top w:val="nil"/>
            </w:tcBorders>
          </w:tcPr>
          <w:p w14:paraId="2BD9CA29" w14:textId="77777777" w:rsidR="00AB160D" w:rsidRPr="00D9605D" w:rsidRDefault="00AE4FCE">
            <w:pPr>
              <w:jc w:val="center"/>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D9605D">
              <w:rPr>
                <w:color w:val="000000" w:themeColor="text1"/>
                <w:sz w:val="22"/>
                <w:szCs w:val="22"/>
              </w:rPr>
              <w:t>Taxable Profit (£)</w:t>
            </w:r>
          </w:p>
        </w:tc>
        <w:tc>
          <w:tcPr>
            <w:tcW w:w="1037" w:type="dxa"/>
            <w:tcBorders>
              <w:top w:val="nil"/>
            </w:tcBorders>
          </w:tcPr>
          <w:p w14:paraId="5D2D3E44" w14:textId="77777777" w:rsidR="00AB160D" w:rsidRPr="00D9605D" w:rsidRDefault="00AE4FCE">
            <w:pPr>
              <w:jc w:val="center"/>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D9605D">
              <w:rPr>
                <w:color w:val="000000" w:themeColor="text1"/>
                <w:sz w:val="22"/>
                <w:szCs w:val="22"/>
              </w:rPr>
              <w:t>Tax @ 25% (£)</w:t>
            </w:r>
          </w:p>
        </w:tc>
        <w:tc>
          <w:tcPr>
            <w:tcW w:w="1269" w:type="dxa"/>
            <w:tcBorders>
              <w:top w:val="nil"/>
            </w:tcBorders>
          </w:tcPr>
          <w:p w14:paraId="2BBA9976" w14:textId="77777777" w:rsidR="00AB160D" w:rsidRPr="00D9605D" w:rsidRDefault="00AE4FCE">
            <w:pPr>
              <w:jc w:val="center"/>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D9605D">
              <w:rPr>
                <w:color w:val="000000" w:themeColor="text1"/>
                <w:sz w:val="22"/>
                <w:szCs w:val="22"/>
              </w:rPr>
              <w:t>After-Tax Cash Flow (£)</w:t>
            </w:r>
          </w:p>
        </w:tc>
        <w:tc>
          <w:tcPr>
            <w:tcW w:w="1062" w:type="dxa"/>
            <w:tcBorders>
              <w:top w:val="nil"/>
            </w:tcBorders>
          </w:tcPr>
          <w:p w14:paraId="309E06C8" w14:textId="77777777" w:rsidR="00AB160D" w:rsidRPr="00D9605D" w:rsidRDefault="00AE4FCE">
            <w:pPr>
              <w:jc w:val="center"/>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D9605D">
              <w:rPr>
                <w:color w:val="000000" w:themeColor="text1"/>
                <w:sz w:val="22"/>
                <w:szCs w:val="22"/>
              </w:rPr>
              <w:t>PV Factor @ 5%</w:t>
            </w:r>
          </w:p>
        </w:tc>
        <w:tc>
          <w:tcPr>
            <w:tcW w:w="1190" w:type="dxa"/>
            <w:tcBorders>
              <w:top w:val="nil"/>
              <w:right w:val="nil"/>
            </w:tcBorders>
          </w:tcPr>
          <w:p w14:paraId="3976E200" w14:textId="77777777" w:rsidR="00AB160D" w:rsidRPr="00D9605D" w:rsidRDefault="00AE4FCE">
            <w:pPr>
              <w:jc w:val="center"/>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D9605D">
              <w:rPr>
                <w:color w:val="000000" w:themeColor="text1"/>
                <w:sz w:val="22"/>
                <w:szCs w:val="22"/>
              </w:rPr>
              <w:t>Present Value (£)</w:t>
            </w:r>
          </w:p>
        </w:tc>
      </w:tr>
      <w:tr w:rsidR="00AB160D" w:rsidRPr="00D9605D" w14:paraId="25B08A6E" w14:textId="77777777" w:rsidTr="00AB160D">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682" w:type="dxa"/>
            <w:tcBorders>
              <w:left w:val="nil"/>
            </w:tcBorders>
          </w:tcPr>
          <w:p w14:paraId="57705A16" w14:textId="77777777" w:rsidR="00AB160D" w:rsidRPr="00D9605D" w:rsidRDefault="00AE4FCE">
            <w:pPr>
              <w:jc w:val="center"/>
              <w:rPr>
                <w:color w:val="000000" w:themeColor="text1"/>
              </w:rPr>
            </w:pPr>
            <w:r w:rsidRPr="00D9605D">
              <w:rPr>
                <w:color w:val="000000" w:themeColor="text1"/>
              </w:rPr>
              <w:t>1</w:t>
            </w:r>
          </w:p>
        </w:tc>
        <w:tc>
          <w:tcPr>
            <w:tcW w:w="1150" w:type="dxa"/>
          </w:tcPr>
          <w:p w14:paraId="0C3CF38F"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250,000</w:t>
            </w:r>
          </w:p>
        </w:tc>
        <w:tc>
          <w:tcPr>
            <w:tcW w:w="1436" w:type="dxa"/>
          </w:tcPr>
          <w:p w14:paraId="19586834"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200,000</w:t>
            </w:r>
          </w:p>
        </w:tc>
        <w:tc>
          <w:tcPr>
            <w:tcW w:w="1190" w:type="dxa"/>
          </w:tcPr>
          <w:p w14:paraId="6FA24FA8"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50,000</w:t>
            </w:r>
          </w:p>
        </w:tc>
        <w:tc>
          <w:tcPr>
            <w:tcW w:w="1037" w:type="dxa"/>
          </w:tcPr>
          <w:p w14:paraId="40D6C5C9"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12,500</w:t>
            </w:r>
          </w:p>
        </w:tc>
        <w:tc>
          <w:tcPr>
            <w:tcW w:w="1269" w:type="dxa"/>
          </w:tcPr>
          <w:p w14:paraId="0A6E7D20"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237,500</w:t>
            </w:r>
          </w:p>
        </w:tc>
        <w:tc>
          <w:tcPr>
            <w:tcW w:w="1062" w:type="dxa"/>
          </w:tcPr>
          <w:p w14:paraId="4BC2E494"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0.9524</w:t>
            </w:r>
          </w:p>
        </w:tc>
        <w:tc>
          <w:tcPr>
            <w:tcW w:w="1190" w:type="dxa"/>
          </w:tcPr>
          <w:p w14:paraId="0EC7E533"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226,195</w:t>
            </w:r>
          </w:p>
        </w:tc>
      </w:tr>
      <w:tr w:rsidR="00AB160D" w:rsidRPr="00D9605D" w14:paraId="56161D5F" w14:textId="77777777" w:rsidTr="00AB160D">
        <w:trPr>
          <w:trHeight w:val="70"/>
          <w:jc w:val="center"/>
        </w:trPr>
        <w:tc>
          <w:tcPr>
            <w:cnfStyle w:val="001000000000" w:firstRow="0" w:lastRow="0" w:firstColumn="1" w:lastColumn="0" w:oddVBand="0" w:evenVBand="0" w:oddHBand="0" w:evenHBand="0" w:firstRowFirstColumn="0" w:firstRowLastColumn="0" w:lastRowFirstColumn="0" w:lastRowLastColumn="0"/>
            <w:tcW w:w="682" w:type="dxa"/>
            <w:tcBorders>
              <w:left w:val="nil"/>
            </w:tcBorders>
          </w:tcPr>
          <w:p w14:paraId="00BB5A95" w14:textId="77777777" w:rsidR="00AB160D" w:rsidRPr="00D9605D" w:rsidRDefault="00AE4FCE">
            <w:pPr>
              <w:jc w:val="center"/>
              <w:rPr>
                <w:color w:val="000000" w:themeColor="text1"/>
              </w:rPr>
            </w:pPr>
            <w:r w:rsidRPr="00D9605D">
              <w:rPr>
                <w:color w:val="000000" w:themeColor="text1"/>
              </w:rPr>
              <w:t>2</w:t>
            </w:r>
          </w:p>
        </w:tc>
        <w:tc>
          <w:tcPr>
            <w:tcW w:w="1150" w:type="dxa"/>
          </w:tcPr>
          <w:p w14:paraId="2E8EB795"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310,000</w:t>
            </w:r>
          </w:p>
        </w:tc>
        <w:tc>
          <w:tcPr>
            <w:tcW w:w="1436" w:type="dxa"/>
          </w:tcPr>
          <w:p w14:paraId="3425A479"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200,000</w:t>
            </w:r>
          </w:p>
        </w:tc>
        <w:tc>
          <w:tcPr>
            <w:tcW w:w="1190" w:type="dxa"/>
          </w:tcPr>
          <w:p w14:paraId="23239707"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110,000</w:t>
            </w:r>
          </w:p>
        </w:tc>
        <w:tc>
          <w:tcPr>
            <w:tcW w:w="1037" w:type="dxa"/>
          </w:tcPr>
          <w:p w14:paraId="2765BA4E"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27,500</w:t>
            </w:r>
          </w:p>
        </w:tc>
        <w:tc>
          <w:tcPr>
            <w:tcW w:w="1269" w:type="dxa"/>
          </w:tcPr>
          <w:p w14:paraId="04A8FA80"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282,500</w:t>
            </w:r>
          </w:p>
        </w:tc>
        <w:tc>
          <w:tcPr>
            <w:tcW w:w="1062" w:type="dxa"/>
          </w:tcPr>
          <w:p w14:paraId="619EA626"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0.9070</w:t>
            </w:r>
          </w:p>
        </w:tc>
        <w:tc>
          <w:tcPr>
            <w:tcW w:w="1190" w:type="dxa"/>
          </w:tcPr>
          <w:p w14:paraId="1E58F75B"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256,228</w:t>
            </w:r>
          </w:p>
        </w:tc>
      </w:tr>
      <w:tr w:rsidR="00AB160D" w:rsidRPr="00D9605D" w14:paraId="5B996FAF" w14:textId="77777777" w:rsidTr="00AB160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82" w:type="dxa"/>
            <w:tcBorders>
              <w:left w:val="nil"/>
            </w:tcBorders>
          </w:tcPr>
          <w:p w14:paraId="2971B202" w14:textId="77777777" w:rsidR="00AB160D" w:rsidRPr="00D9605D" w:rsidRDefault="00AE4FCE">
            <w:pPr>
              <w:jc w:val="center"/>
              <w:rPr>
                <w:color w:val="000000" w:themeColor="text1"/>
              </w:rPr>
            </w:pPr>
            <w:r w:rsidRPr="00D9605D">
              <w:rPr>
                <w:color w:val="000000" w:themeColor="text1"/>
              </w:rPr>
              <w:t>3</w:t>
            </w:r>
          </w:p>
        </w:tc>
        <w:tc>
          <w:tcPr>
            <w:tcW w:w="1150" w:type="dxa"/>
          </w:tcPr>
          <w:p w14:paraId="09C6D12B"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400,000</w:t>
            </w:r>
          </w:p>
        </w:tc>
        <w:tc>
          <w:tcPr>
            <w:tcW w:w="1436" w:type="dxa"/>
          </w:tcPr>
          <w:p w14:paraId="2B531B51"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200,000</w:t>
            </w:r>
          </w:p>
        </w:tc>
        <w:tc>
          <w:tcPr>
            <w:tcW w:w="1190" w:type="dxa"/>
          </w:tcPr>
          <w:p w14:paraId="2E4BAAD9"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200,000</w:t>
            </w:r>
          </w:p>
        </w:tc>
        <w:tc>
          <w:tcPr>
            <w:tcW w:w="1037" w:type="dxa"/>
          </w:tcPr>
          <w:p w14:paraId="27E6180E"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50,000</w:t>
            </w:r>
          </w:p>
        </w:tc>
        <w:tc>
          <w:tcPr>
            <w:tcW w:w="1269" w:type="dxa"/>
          </w:tcPr>
          <w:p w14:paraId="4135A707"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350,000</w:t>
            </w:r>
          </w:p>
        </w:tc>
        <w:tc>
          <w:tcPr>
            <w:tcW w:w="1062" w:type="dxa"/>
          </w:tcPr>
          <w:p w14:paraId="42559E7F"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0.8638</w:t>
            </w:r>
          </w:p>
        </w:tc>
        <w:tc>
          <w:tcPr>
            <w:tcW w:w="1190" w:type="dxa"/>
          </w:tcPr>
          <w:p w14:paraId="69AE37A4"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302,330</w:t>
            </w:r>
          </w:p>
        </w:tc>
      </w:tr>
      <w:tr w:rsidR="00AB160D" w:rsidRPr="00D9605D" w14:paraId="3773A351" w14:textId="77777777" w:rsidTr="00AB160D">
        <w:trPr>
          <w:jc w:val="center"/>
        </w:trPr>
        <w:tc>
          <w:tcPr>
            <w:cnfStyle w:val="001000000000" w:firstRow="0" w:lastRow="0" w:firstColumn="1" w:lastColumn="0" w:oddVBand="0" w:evenVBand="0" w:oddHBand="0" w:evenHBand="0" w:firstRowFirstColumn="0" w:firstRowLastColumn="0" w:lastRowFirstColumn="0" w:lastRowLastColumn="0"/>
            <w:tcW w:w="682" w:type="dxa"/>
            <w:tcBorders>
              <w:left w:val="nil"/>
              <w:bottom w:val="nil"/>
            </w:tcBorders>
          </w:tcPr>
          <w:p w14:paraId="285E7600" w14:textId="77777777" w:rsidR="00AB160D" w:rsidRPr="00D9605D" w:rsidRDefault="00AE4FCE">
            <w:pPr>
              <w:jc w:val="center"/>
              <w:rPr>
                <w:color w:val="000000" w:themeColor="text1"/>
              </w:rPr>
            </w:pPr>
            <w:r w:rsidRPr="00D9605D">
              <w:rPr>
                <w:color w:val="000000" w:themeColor="text1"/>
              </w:rPr>
              <w:t>4</w:t>
            </w:r>
          </w:p>
        </w:tc>
        <w:tc>
          <w:tcPr>
            <w:tcW w:w="1150" w:type="dxa"/>
          </w:tcPr>
          <w:p w14:paraId="4AE1A748"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430,000</w:t>
            </w:r>
          </w:p>
        </w:tc>
        <w:tc>
          <w:tcPr>
            <w:tcW w:w="1436" w:type="dxa"/>
          </w:tcPr>
          <w:p w14:paraId="4DDB415C"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200,000</w:t>
            </w:r>
          </w:p>
        </w:tc>
        <w:tc>
          <w:tcPr>
            <w:tcW w:w="1190" w:type="dxa"/>
          </w:tcPr>
          <w:p w14:paraId="6F6735D8"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230,000</w:t>
            </w:r>
          </w:p>
        </w:tc>
        <w:tc>
          <w:tcPr>
            <w:tcW w:w="1037" w:type="dxa"/>
          </w:tcPr>
          <w:p w14:paraId="65898DFC"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57,500</w:t>
            </w:r>
          </w:p>
        </w:tc>
        <w:tc>
          <w:tcPr>
            <w:tcW w:w="1269" w:type="dxa"/>
          </w:tcPr>
          <w:p w14:paraId="6918F9C0"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372,500</w:t>
            </w:r>
          </w:p>
        </w:tc>
        <w:tc>
          <w:tcPr>
            <w:tcW w:w="1062" w:type="dxa"/>
          </w:tcPr>
          <w:p w14:paraId="7E322897"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0.8227</w:t>
            </w:r>
          </w:p>
        </w:tc>
        <w:tc>
          <w:tcPr>
            <w:tcW w:w="1190" w:type="dxa"/>
          </w:tcPr>
          <w:p w14:paraId="654C33FF"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306,456</w:t>
            </w:r>
          </w:p>
        </w:tc>
      </w:tr>
    </w:tbl>
    <w:p w14:paraId="6A4D208E" w14:textId="77777777" w:rsidR="00AB160D" w:rsidRPr="00D9605D" w:rsidRDefault="00AE4FCE">
      <w:pPr>
        <w:spacing w:before="240"/>
        <w:rPr>
          <w:color w:val="000000" w:themeColor="text1"/>
        </w:rPr>
      </w:pPr>
      <w:r w:rsidRPr="00D9605D">
        <w:rPr>
          <w:color w:val="000000" w:themeColor="text1"/>
        </w:rPr>
        <w:t>Total Present Value of After-Tax Cash Flows = £1,091,209</w:t>
      </w:r>
    </w:p>
    <w:p w14:paraId="2BE6E864" w14:textId="77777777" w:rsidR="00AB160D" w:rsidRPr="00D9605D" w:rsidRDefault="00AE4FCE">
      <w:pPr>
        <w:numPr>
          <w:ilvl w:val="0"/>
          <w:numId w:val="2"/>
        </w:numPr>
        <w:pBdr>
          <w:top w:val="nil"/>
          <w:left w:val="nil"/>
          <w:bottom w:val="nil"/>
          <w:right w:val="nil"/>
          <w:between w:val="nil"/>
        </w:pBdr>
        <w:rPr>
          <w:b/>
          <w:bCs/>
          <w:color w:val="000000" w:themeColor="text1"/>
        </w:rPr>
      </w:pPr>
      <w:r w:rsidRPr="00D9605D">
        <w:rPr>
          <w:b/>
          <w:bCs/>
          <w:color w:val="000000" w:themeColor="text1"/>
        </w:rPr>
        <w:t>NPV</w:t>
      </w:r>
      <w:r w:rsidRPr="00D9605D">
        <w:rPr>
          <w:color w:val="000000" w:themeColor="text1"/>
        </w:rPr>
        <w:t xml:space="preserve"> = £1,091,209 – £1,000,000 = </w:t>
      </w:r>
      <w:r w:rsidRPr="00D9605D">
        <w:rPr>
          <w:b/>
          <w:bCs/>
          <w:color w:val="000000" w:themeColor="text1"/>
        </w:rPr>
        <w:t>£91,209 (Positive)</w:t>
      </w:r>
    </w:p>
    <w:p w14:paraId="546E0105" w14:textId="77777777" w:rsidR="00AB160D" w:rsidRPr="00D9605D" w:rsidRDefault="00AE4FCE">
      <w:pPr>
        <w:rPr>
          <w:color w:val="000000" w:themeColor="text1"/>
        </w:rPr>
      </w:pPr>
      <w:bookmarkStart w:id="15" w:name="_heading=h.fc6uwiq29cs2" w:colFirst="0" w:colLast="0"/>
      <w:bookmarkEnd w:id="15"/>
      <w:r w:rsidRPr="00D9605D">
        <w:rPr>
          <w:color w:val="000000" w:themeColor="text1"/>
        </w:rPr>
        <w:t>Option A yields a negative NPV (£3,272), which means that it is a bad investment for the company and should be rejected. Options B and C both have positive NPVs and are profitable investments. The highest NPV (£91,209) is achieved for Option C, but the biggest initial investment (£1,000,000) is also for Option C. By contrast, Option B has a lesser capital requirement (of £900,000) and a slightly lower NPV (£73,938). Based on capital budgeting theory, the project that generates the greatest economic value fo</w:t>
      </w:r>
      <w:r w:rsidRPr="00D9605D">
        <w:rPr>
          <w:color w:val="000000" w:themeColor="text1"/>
        </w:rPr>
        <w:t>r shareholders, namely, the project with the highest positive NPV, should be preferred, in normal cases (Singh and Chatterjee, 2025; Sekhar, 2025).</w:t>
      </w:r>
    </w:p>
    <w:p w14:paraId="1B29FB9A" w14:textId="77777777" w:rsidR="00AB160D" w:rsidRPr="00D9605D" w:rsidRDefault="00AE4FCE">
      <w:pPr>
        <w:pStyle w:val="Heading1"/>
        <w:rPr>
          <w:color w:val="000000" w:themeColor="text1"/>
        </w:rPr>
      </w:pPr>
      <w:r w:rsidRPr="00D9605D">
        <w:rPr>
          <w:color w:val="000000" w:themeColor="text1"/>
        </w:rPr>
        <w:t>4. Evaluation and Selection of Best Option</w:t>
      </w:r>
    </w:p>
    <w:p w14:paraId="34A6142B" w14:textId="77777777" w:rsidR="00AB160D" w:rsidRPr="00D9605D" w:rsidRDefault="00AE4FCE">
      <w:pPr>
        <w:pStyle w:val="Heading2"/>
        <w:rPr>
          <w:color w:val="000000" w:themeColor="text1"/>
        </w:rPr>
      </w:pPr>
      <w:r w:rsidRPr="00D9605D">
        <w:rPr>
          <w:color w:val="000000" w:themeColor="text1"/>
        </w:rPr>
        <w:t>4.1 Comparative Evaluation of Investment Options</w:t>
      </w:r>
    </w:p>
    <w:p w14:paraId="62608B90" w14:textId="77777777" w:rsidR="00AB160D" w:rsidRPr="00D9605D" w:rsidRDefault="00AE4FCE">
      <w:pPr>
        <w:rPr>
          <w:b/>
          <w:bCs/>
          <w:color w:val="000000" w:themeColor="text1"/>
        </w:rPr>
      </w:pPr>
      <w:r w:rsidRPr="00D9605D">
        <w:rPr>
          <w:color w:val="000000" w:themeColor="text1"/>
        </w:rPr>
        <w:t xml:space="preserve">The analysis of the three investment options illustrates significant differences in the various investments in both terms of financial return and strategic benefit. Option A is not financially attractive as it has a negative NPV and does not recover the cost of capital. Thus, it is certainly not to be continued. Options B and C are both cash flow positive and hence both are viable financially. Option B enables the digital transformation and growth of online sales channels as consumers' purchasing behaviour </w:t>
      </w:r>
      <w:r w:rsidRPr="00D9605D">
        <w:rPr>
          <w:color w:val="000000" w:themeColor="text1"/>
        </w:rPr>
        <w:t>evolves. But, option C has the highest NPV (£91,209) signifying better value creation. Option C will require a bigger initial investment however, the extra value generated will exceed the extra capital commitment. If it is just a matter of money, then Option C is the most appealing investment opportunity.</w:t>
      </w:r>
    </w:p>
    <w:p w14:paraId="2CD6FA44" w14:textId="77777777" w:rsidR="00AB160D" w:rsidRPr="00D9605D" w:rsidRDefault="00AE4FCE">
      <w:pPr>
        <w:pStyle w:val="Heading2"/>
        <w:rPr>
          <w:color w:val="000000" w:themeColor="text1"/>
        </w:rPr>
      </w:pPr>
      <w:r w:rsidRPr="00D9605D">
        <w:rPr>
          <w:color w:val="000000" w:themeColor="text1"/>
        </w:rPr>
        <w:t>4.2 Justification for Selection of the Proper Option</w:t>
      </w:r>
    </w:p>
    <w:p w14:paraId="4E4BCC35" w14:textId="77777777" w:rsidR="00AB160D" w:rsidRPr="00D9605D" w:rsidRDefault="00AE4FCE">
      <w:pPr>
        <w:rPr>
          <w:color w:val="000000" w:themeColor="text1"/>
        </w:rPr>
      </w:pPr>
      <w:r w:rsidRPr="00D9605D">
        <w:rPr>
          <w:color w:val="000000" w:themeColor="text1"/>
        </w:rPr>
        <w:t>Option C is the best choice after evaluating all the options. NPV is widely recognised as the preferred investment appraisal technique because it incorporates risk-adjusted future cash flows and directly measures value creation (Lin, 2023; Singh and Chatterjee, 2025; Sekhar, 2025). Consequently, Option C should be preferred because it delivers the highest positive NPV and maximises shareholder wealth. Although Option B offers strong growth opportunities through digital expansion, it generates less financial</w:t>
      </w:r>
      <w:r w:rsidRPr="00D9605D">
        <w:rPr>
          <w:color w:val="000000" w:themeColor="text1"/>
        </w:rPr>
        <w:t xml:space="preserve"> value than Option C.</w:t>
      </w:r>
    </w:p>
    <w:p w14:paraId="4CE5EE5C" w14:textId="77777777" w:rsidR="00AB160D" w:rsidRPr="00D9605D" w:rsidRDefault="00AE4FCE">
      <w:pPr>
        <w:pStyle w:val="Heading1"/>
        <w:rPr>
          <w:color w:val="000000" w:themeColor="text1"/>
        </w:rPr>
      </w:pPr>
      <w:bookmarkStart w:id="16" w:name="_heading=h.rrksw0waj6m2" w:colFirst="0" w:colLast="0"/>
      <w:bookmarkEnd w:id="16"/>
      <w:r w:rsidRPr="00D9605D">
        <w:rPr>
          <w:color w:val="000000" w:themeColor="text1"/>
        </w:rPr>
        <w:t>5. Internal Rate of Return (IRR)</w:t>
      </w:r>
    </w:p>
    <w:p w14:paraId="2BF628D9" w14:textId="77777777" w:rsidR="00AB160D" w:rsidRPr="00D9605D" w:rsidRDefault="00AE4FCE">
      <w:pPr>
        <w:rPr>
          <w:color w:val="000000" w:themeColor="text1"/>
        </w:rPr>
      </w:pPr>
      <w:r w:rsidRPr="00D9605D">
        <w:rPr>
          <w:color w:val="000000" w:themeColor="text1"/>
        </w:rPr>
        <w:t>The Internal Rate of Return (IRR) refers to the discount rate where the net present value (NPV) of an investment project is equal to zero (Wangchuk, 2022). This is the cost of capital that results in breakeven for the project. In this case, the criteria for decision-making are simple, whereby a project is accepted if its IRR is higher than the cost of capital (Fan, 2025).</w:t>
      </w:r>
    </w:p>
    <w:p w14:paraId="1D89D61D" w14:textId="77777777" w:rsidR="00AB160D" w:rsidRPr="00D9605D" w:rsidRDefault="00AE4FCE">
      <w:pPr>
        <w:pStyle w:val="Heading2"/>
        <w:rPr>
          <w:color w:val="000000" w:themeColor="text1"/>
        </w:rPr>
      </w:pPr>
      <w:bookmarkStart w:id="17" w:name="_heading=h.r1h8raj6e38" w:colFirst="0" w:colLast="0"/>
      <w:bookmarkEnd w:id="17"/>
      <w:r w:rsidRPr="00D9605D">
        <w:rPr>
          <w:color w:val="000000" w:themeColor="text1"/>
        </w:rPr>
        <w:t>5.1 IRR Calculation</w:t>
      </w:r>
    </w:p>
    <w:p w14:paraId="4BE7E2BD" w14:textId="77777777" w:rsidR="00AB160D" w:rsidRPr="00D9605D" w:rsidRDefault="00AE4FCE">
      <w:pPr>
        <w:rPr>
          <w:color w:val="000000" w:themeColor="text1"/>
        </w:rPr>
      </w:pPr>
      <w:r w:rsidRPr="00D9605D">
        <w:rPr>
          <w:color w:val="000000" w:themeColor="text1"/>
        </w:rPr>
        <w:t>For Option C, the NPV at 5% (cost of capital) is £91,209 (positive). A higher discount rate is tested to obtain a negative NPV to find the IRR. At a discount rate of 12%, the NPV of Option C becomes approximately –£8,500 (see Appendix B for detailed workings).</w:t>
      </w:r>
    </w:p>
    <w:p w14:paraId="19F23C16" w14:textId="77777777" w:rsidR="00AB160D" w:rsidRPr="00D9605D" w:rsidRDefault="00AE4FCE">
      <w:pPr>
        <w:spacing w:after="0"/>
        <w:rPr>
          <w:i/>
          <w:iCs/>
          <w:color w:val="000000" w:themeColor="text1"/>
        </w:rPr>
      </w:pPr>
      <w:r w:rsidRPr="00D9605D">
        <w:rPr>
          <w:i/>
          <w:iCs/>
          <w:color w:val="000000" w:themeColor="text1"/>
        </w:rPr>
        <w:t>Using linear interpolation:</w:t>
      </w:r>
    </w:p>
    <w:p w14:paraId="7CF7E025" w14:textId="77777777" w:rsidR="00AB160D" w:rsidRPr="00D9605D" w:rsidRDefault="00AE4FCE">
      <w:pPr>
        <w:numPr>
          <w:ilvl w:val="0"/>
          <w:numId w:val="2"/>
        </w:numPr>
        <w:pBdr>
          <w:top w:val="nil"/>
          <w:left w:val="nil"/>
          <w:bottom w:val="nil"/>
          <w:right w:val="nil"/>
          <w:between w:val="nil"/>
        </w:pBdr>
        <w:spacing w:after="0"/>
        <w:rPr>
          <w:color w:val="000000" w:themeColor="text1"/>
        </w:rPr>
      </w:pPr>
      <w:r w:rsidRPr="00D9605D">
        <w:rPr>
          <w:b/>
          <w:bCs/>
          <w:i/>
          <w:iCs/>
          <w:color w:val="000000" w:themeColor="text1"/>
        </w:rPr>
        <w:t>Lower rate (R</w:t>
      </w:r>
      <w:r w:rsidRPr="00D9605D">
        <w:rPr>
          <w:rFonts w:ascii="Cambria Math" w:eastAsia="Cambria Math" w:hAnsi="Cambria Math" w:cs="Cambria Math"/>
          <w:b/>
          <w:bCs/>
          <w:i/>
          <w:iCs/>
          <w:color w:val="000000" w:themeColor="text1"/>
        </w:rPr>
        <w:t>₁</w:t>
      </w:r>
      <w:r w:rsidRPr="00D9605D">
        <w:rPr>
          <w:b/>
          <w:bCs/>
          <w:i/>
          <w:iCs/>
          <w:color w:val="000000" w:themeColor="text1"/>
        </w:rPr>
        <w:t>)</w:t>
      </w:r>
      <w:r w:rsidRPr="00D9605D">
        <w:rPr>
          <w:color w:val="000000" w:themeColor="text1"/>
        </w:rPr>
        <w:t xml:space="preserve"> = 5%, NPV</w:t>
      </w:r>
      <w:r w:rsidRPr="00D9605D">
        <w:rPr>
          <w:rFonts w:ascii="Cambria Math" w:eastAsia="Cambria Math" w:hAnsi="Cambria Math" w:cs="Cambria Math"/>
          <w:color w:val="000000" w:themeColor="text1"/>
        </w:rPr>
        <w:t>₁</w:t>
      </w:r>
      <w:r w:rsidRPr="00D9605D">
        <w:rPr>
          <w:color w:val="000000" w:themeColor="text1"/>
        </w:rPr>
        <w:t xml:space="preserve"> = £91,209</w:t>
      </w:r>
    </w:p>
    <w:p w14:paraId="4C5EE892" w14:textId="77777777" w:rsidR="00AB160D" w:rsidRPr="00D9605D" w:rsidRDefault="00AE4FCE">
      <w:pPr>
        <w:numPr>
          <w:ilvl w:val="0"/>
          <w:numId w:val="2"/>
        </w:numPr>
        <w:pBdr>
          <w:top w:val="nil"/>
          <w:left w:val="nil"/>
          <w:bottom w:val="nil"/>
          <w:right w:val="nil"/>
          <w:between w:val="nil"/>
        </w:pBdr>
        <w:rPr>
          <w:color w:val="000000" w:themeColor="text1"/>
        </w:rPr>
      </w:pPr>
      <w:r w:rsidRPr="00D9605D">
        <w:rPr>
          <w:b/>
          <w:bCs/>
          <w:i/>
          <w:iCs/>
          <w:color w:val="000000" w:themeColor="text1"/>
        </w:rPr>
        <w:t>Higher rate (R</w:t>
      </w:r>
      <w:r w:rsidRPr="00D9605D">
        <w:rPr>
          <w:rFonts w:ascii="Cambria Math" w:eastAsia="Cambria Math" w:hAnsi="Cambria Math" w:cs="Cambria Math"/>
          <w:b/>
          <w:bCs/>
          <w:i/>
          <w:iCs/>
          <w:color w:val="000000" w:themeColor="text1"/>
        </w:rPr>
        <w:t>₂</w:t>
      </w:r>
      <w:r w:rsidRPr="00D9605D">
        <w:rPr>
          <w:b/>
          <w:bCs/>
          <w:i/>
          <w:iCs/>
          <w:color w:val="000000" w:themeColor="text1"/>
        </w:rPr>
        <w:t>)</w:t>
      </w:r>
      <w:r w:rsidRPr="00D9605D">
        <w:rPr>
          <w:color w:val="000000" w:themeColor="text1"/>
        </w:rPr>
        <w:t xml:space="preserve"> = 12%, NPV</w:t>
      </w:r>
      <w:r w:rsidRPr="00D9605D">
        <w:rPr>
          <w:rFonts w:ascii="Cambria Math" w:eastAsia="Cambria Math" w:hAnsi="Cambria Math" w:cs="Cambria Math"/>
          <w:color w:val="000000" w:themeColor="text1"/>
        </w:rPr>
        <w:t>₂</w:t>
      </w:r>
      <w:r w:rsidRPr="00D9605D">
        <w:rPr>
          <w:color w:val="000000" w:themeColor="text1"/>
        </w:rPr>
        <w:t xml:space="preserve"> = –£8,500</w:t>
      </w:r>
    </w:p>
    <w:p w14:paraId="700D0FEA" w14:textId="77777777" w:rsidR="00AB160D" w:rsidRPr="00D9605D" w:rsidRDefault="00AE4FCE">
      <w:pPr>
        <w:spacing w:after="0"/>
        <w:rPr>
          <w:b/>
          <w:bCs/>
          <w:color w:val="000000" w:themeColor="text1"/>
          <w:u w:val="single"/>
        </w:rPr>
      </w:pPr>
      <w:r w:rsidRPr="00D9605D">
        <w:rPr>
          <w:b/>
          <w:bCs/>
          <w:color w:val="000000" w:themeColor="text1"/>
          <w:u w:val="single"/>
        </w:rPr>
        <w:t>IRR Formula</w:t>
      </w:r>
    </w:p>
    <w:p w14:paraId="40286CE8" w14:textId="77777777" w:rsidR="00AB160D" w:rsidRPr="00D9605D" w:rsidRDefault="00AE4FCE">
      <w:pPr>
        <w:jc w:val="center"/>
        <w:rPr>
          <w:color w:val="000000" w:themeColor="text1"/>
        </w:rPr>
      </w:pPr>
      <w:sdt>
        <w:sdtPr>
          <w:rPr>
            <w:color w:val="000000" w:themeColor="text1"/>
          </w:rPr>
          <w:tag w:val="goog_rdk_0"/>
          <w:id w:val="1870487124"/>
        </w:sdtPr>
        <w:sdtEndPr/>
        <w:sdtContent>
          <w:r w:rsidRPr="00D9605D">
            <w:rPr>
              <w:rFonts w:ascii="Arial Unicode MS" w:eastAsia="Arial Unicode MS" w:hAnsi="Arial Unicode MS" w:cs="Arial Unicode MS"/>
              <w:color w:val="000000" w:themeColor="text1"/>
            </w:rPr>
            <w:t>IRR ≈ R</w:t>
          </w:r>
        </w:sdtContent>
      </w:sdt>
      <w:r w:rsidRPr="00D9605D">
        <w:rPr>
          <w:rFonts w:ascii="Cambria Math" w:eastAsia="Cambria Math" w:hAnsi="Cambria Math" w:cs="Cambria Math"/>
          <w:color w:val="000000" w:themeColor="text1"/>
        </w:rPr>
        <w:t>₁</w:t>
      </w:r>
      <w:r w:rsidRPr="00D9605D">
        <w:rPr>
          <w:color w:val="000000" w:themeColor="text1"/>
        </w:rPr>
        <w:t xml:space="preserve"> + [NPV</w:t>
      </w:r>
      <w:r w:rsidRPr="00D9605D">
        <w:rPr>
          <w:rFonts w:ascii="Cambria Math" w:eastAsia="Cambria Math" w:hAnsi="Cambria Math" w:cs="Cambria Math"/>
          <w:color w:val="000000" w:themeColor="text1"/>
        </w:rPr>
        <w:t>₁</w:t>
      </w:r>
      <w:r w:rsidRPr="00D9605D">
        <w:rPr>
          <w:color w:val="000000" w:themeColor="text1"/>
        </w:rPr>
        <w:t xml:space="preserve"> / (NPV</w:t>
      </w:r>
      <w:r w:rsidRPr="00D9605D">
        <w:rPr>
          <w:rFonts w:ascii="Cambria Math" w:eastAsia="Cambria Math" w:hAnsi="Cambria Math" w:cs="Cambria Math"/>
          <w:color w:val="000000" w:themeColor="text1"/>
        </w:rPr>
        <w:t>₁</w:t>
      </w:r>
      <w:r w:rsidRPr="00D9605D">
        <w:rPr>
          <w:color w:val="000000" w:themeColor="text1"/>
        </w:rPr>
        <w:t xml:space="preserve"> – NPV</w:t>
      </w:r>
      <w:r w:rsidRPr="00D9605D">
        <w:rPr>
          <w:rFonts w:ascii="Cambria Math" w:eastAsia="Cambria Math" w:hAnsi="Cambria Math" w:cs="Cambria Math"/>
          <w:color w:val="000000" w:themeColor="text1"/>
        </w:rPr>
        <w:t>₂</w:t>
      </w:r>
      <w:r w:rsidRPr="00D9605D">
        <w:rPr>
          <w:color w:val="000000" w:themeColor="text1"/>
        </w:rPr>
        <w:t>)] × (R</w:t>
      </w:r>
      <w:r w:rsidRPr="00D9605D">
        <w:rPr>
          <w:rFonts w:ascii="Cambria Math" w:eastAsia="Cambria Math" w:hAnsi="Cambria Math" w:cs="Cambria Math"/>
          <w:color w:val="000000" w:themeColor="text1"/>
        </w:rPr>
        <w:t>₂</w:t>
      </w:r>
      <w:r w:rsidRPr="00D9605D">
        <w:rPr>
          <w:color w:val="000000" w:themeColor="text1"/>
        </w:rPr>
        <w:t xml:space="preserve"> – R</w:t>
      </w:r>
      <w:r w:rsidRPr="00D9605D">
        <w:rPr>
          <w:rFonts w:ascii="Cambria Math" w:eastAsia="Cambria Math" w:hAnsi="Cambria Math" w:cs="Cambria Math"/>
          <w:color w:val="000000" w:themeColor="text1"/>
        </w:rPr>
        <w:t>₁</w:t>
      </w:r>
      <w:r w:rsidRPr="00D9605D">
        <w:rPr>
          <w:color w:val="000000" w:themeColor="text1"/>
        </w:rPr>
        <w:t>)</w:t>
      </w:r>
    </w:p>
    <w:p w14:paraId="69E6E582" w14:textId="77777777" w:rsidR="00AB160D" w:rsidRPr="00D9605D" w:rsidRDefault="00AE4FCE">
      <w:pPr>
        <w:rPr>
          <w:color w:val="000000" w:themeColor="text1"/>
        </w:rPr>
      </w:pPr>
      <w:sdt>
        <w:sdtPr>
          <w:rPr>
            <w:color w:val="000000" w:themeColor="text1"/>
          </w:rPr>
          <w:tag w:val="goog_rdk_1"/>
          <w:id w:val="-1153865444"/>
        </w:sdtPr>
        <w:sdtEndPr/>
        <w:sdtContent>
          <w:r w:rsidRPr="00D9605D">
            <w:rPr>
              <w:rFonts w:ascii="Arial Unicode MS" w:eastAsia="Arial Unicode MS" w:hAnsi="Arial Unicode MS" w:cs="Arial Unicode MS"/>
              <w:color w:val="000000" w:themeColor="text1"/>
            </w:rPr>
            <w:t xml:space="preserve">Therefore, IRR ≈ 5% + [91,209 / (91,209 + 8,500)] × 7% </w:t>
          </w:r>
        </w:sdtContent>
      </w:sdt>
    </w:p>
    <w:p w14:paraId="59FF9546" w14:textId="77777777" w:rsidR="00AB160D" w:rsidRPr="00D9605D" w:rsidRDefault="00AE4FCE">
      <w:pPr>
        <w:rPr>
          <w:color w:val="000000" w:themeColor="text1"/>
        </w:rPr>
      </w:pPr>
      <w:sdt>
        <w:sdtPr>
          <w:rPr>
            <w:color w:val="000000" w:themeColor="text1"/>
          </w:rPr>
          <w:tag w:val="goog_rdk_2"/>
          <w:id w:val="-600558841"/>
        </w:sdtPr>
        <w:sdtEndPr/>
        <w:sdtContent>
          <w:r w:rsidRPr="00D9605D">
            <w:rPr>
              <w:rFonts w:ascii="Arial Unicode MS" w:eastAsia="Arial Unicode MS" w:hAnsi="Arial Unicode MS" w:cs="Arial Unicode MS"/>
              <w:color w:val="000000" w:themeColor="text1"/>
            </w:rPr>
            <w:t>≈ 5% + [91,209 / 99,709] × 7%</w:t>
          </w:r>
        </w:sdtContent>
      </w:sdt>
    </w:p>
    <w:p w14:paraId="3D0E9198" w14:textId="77777777" w:rsidR="00AB160D" w:rsidRPr="00D9605D" w:rsidRDefault="00AE4FCE">
      <w:pPr>
        <w:rPr>
          <w:color w:val="000000" w:themeColor="text1"/>
        </w:rPr>
      </w:pPr>
      <w:sdt>
        <w:sdtPr>
          <w:rPr>
            <w:color w:val="000000" w:themeColor="text1"/>
          </w:rPr>
          <w:tag w:val="goog_rdk_3"/>
          <w:id w:val="1365998184"/>
        </w:sdtPr>
        <w:sdtEndPr/>
        <w:sdtContent>
          <w:r w:rsidRPr="00D9605D">
            <w:rPr>
              <w:rFonts w:ascii="Arial Unicode MS" w:eastAsia="Arial Unicode MS" w:hAnsi="Arial Unicode MS" w:cs="Arial Unicode MS"/>
              <w:color w:val="000000" w:themeColor="text1"/>
            </w:rPr>
            <w:t>≈ 5% + (0.915 × 7%)</w:t>
          </w:r>
        </w:sdtContent>
      </w:sdt>
    </w:p>
    <w:p w14:paraId="72F45506" w14:textId="77777777" w:rsidR="00AB160D" w:rsidRPr="00D9605D" w:rsidRDefault="00AE4FCE">
      <w:pPr>
        <w:rPr>
          <w:color w:val="000000" w:themeColor="text1"/>
        </w:rPr>
      </w:pPr>
      <w:sdt>
        <w:sdtPr>
          <w:rPr>
            <w:color w:val="000000" w:themeColor="text1"/>
          </w:rPr>
          <w:tag w:val="goog_rdk_4"/>
          <w:id w:val="-1317042482"/>
        </w:sdtPr>
        <w:sdtEndPr/>
        <w:sdtContent>
          <w:r w:rsidRPr="00D9605D">
            <w:rPr>
              <w:rFonts w:ascii="Arial Unicode MS" w:eastAsia="Arial Unicode MS" w:hAnsi="Arial Unicode MS" w:cs="Arial Unicode MS"/>
              <w:color w:val="000000" w:themeColor="text1"/>
            </w:rPr>
            <w:t>≈ 5% + 6.41%</w:t>
          </w:r>
        </w:sdtContent>
      </w:sdt>
    </w:p>
    <w:p w14:paraId="226EBB19" w14:textId="77777777" w:rsidR="00AB160D" w:rsidRPr="00D9605D" w:rsidRDefault="00AE4FCE">
      <w:pPr>
        <w:rPr>
          <w:b/>
          <w:bCs/>
          <w:i/>
          <w:iCs/>
          <w:color w:val="000000" w:themeColor="text1"/>
        </w:rPr>
      </w:pPr>
      <w:sdt>
        <w:sdtPr>
          <w:rPr>
            <w:color w:val="000000" w:themeColor="text1"/>
          </w:rPr>
          <w:tag w:val="goog_rdk_5"/>
          <w:id w:val="1639148073"/>
        </w:sdtPr>
        <w:sdtEndPr/>
        <w:sdtContent>
          <w:r w:rsidRPr="00D9605D">
            <w:rPr>
              <w:rFonts w:ascii="Arial Unicode MS" w:eastAsia="Arial Unicode MS" w:hAnsi="Arial Unicode MS" w:cs="Arial Unicode MS"/>
              <w:b/>
              <w:bCs/>
              <w:i/>
              <w:iCs/>
              <w:color w:val="000000" w:themeColor="text1"/>
            </w:rPr>
            <w:t>IRR ≈ 11.41%</w:t>
          </w:r>
        </w:sdtContent>
      </w:sdt>
    </w:p>
    <w:p w14:paraId="0D0C6190" w14:textId="77777777" w:rsidR="00AB160D" w:rsidRPr="00D9605D" w:rsidRDefault="00AE4FCE">
      <w:pPr>
        <w:rPr>
          <w:b/>
          <w:bCs/>
          <w:color w:val="000000" w:themeColor="text1"/>
        </w:rPr>
      </w:pPr>
      <w:bookmarkStart w:id="18" w:name="_heading=h.swg3f6wr2znr" w:colFirst="0" w:colLast="0"/>
      <w:bookmarkEnd w:id="18"/>
      <w:r w:rsidRPr="00D9605D">
        <w:rPr>
          <w:color w:val="000000" w:themeColor="text1"/>
        </w:rPr>
        <w:t>However, IRR should not be used exclusively to analyze investments by managers. The results indicate that not all projects with high IRRs create the highest shareholder value, especially if investments vary greatly (Magni and Martin, 2025; Sokolov, 2024). Hence, the IRR result must be taken into consideration with the NPV result and used together for better reliability in the decision making.</w:t>
      </w:r>
    </w:p>
    <w:p w14:paraId="2F077C9F" w14:textId="77777777" w:rsidR="00AB160D" w:rsidRPr="00D9605D" w:rsidRDefault="00AE4FCE">
      <w:pPr>
        <w:pStyle w:val="Heading2"/>
        <w:rPr>
          <w:color w:val="000000" w:themeColor="text1"/>
        </w:rPr>
      </w:pPr>
      <w:r w:rsidRPr="00D9605D">
        <w:rPr>
          <w:color w:val="000000" w:themeColor="text1"/>
        </w:rPr>
        <w:t>5.2 Interpretation Relative to Cost of Capital and Limitations</w:t>
      </w:r>
    </w:p>
    <w:p w14:paraId="4D44B927" w14:textId="77777777" w:rsidR="00AB160D" w:rsidRPr="00D9605D" w:rsidRDefault="00AE4FCE">
      <w:pPr>
        <w:rPr>
          <w:color w:val="000000" w:themeColor="text1"/>
        </w:rPr>
      </w:pPr>
      <w:r w:rsidRPr="00D9605D">
        <w:rPr>
          <w:color w:val="000000" w:themeColor="text1"/>
        </w:rPr>
        <w:t>The IRR of 11.41% is noticeably greater than the cost of capital of 5% for Beard Plc. The acceptance of Option C will result in a high return compared to the minimum requirement of the organisation. Even though IRR appears straightforward, it is not without its drawbacks. It assumes that interim cash flows are reinvested at the IRR, an assumption that might be impractical (Magni and Martin, 2025). In the case of mutually exclusive investments, IRR does not necessarily yield the same ranking as NPV. Moreover</w:t>
      </w:r>
      <w:r w:rsidRPr="00D9605D">
        <w:rPr>
          <w:color w:val="000000" w:themeColor="text1"/>
        </w:rPr>
        <w:t>, in cases of unconventional cash flows, IRR could yield more than one value.</w:t>
      </w:r>
    </w:p>
    <w:p w14:paraId="607FDB64" w14:textId="77777777" w:rsidR="00AB160D" w:rsidRPr="00D9605D" w:rsidRDefault="00AE4FCE">
      <w:pPr>
        <w:pStyle w:val="Heading1"/>
        <w:rPr>
          <w:color w:val="000000" w:themeColor="text1"/>
        </w:rPr>
      </w:pPr>
      <w:bookmarkStart w:id="19" w:name="_heading=h.ib1xv04i8pjb" w:colFirst="0" w:colLast="0"/>
      <w:bookmarkEnd w:id="19"/>
      <w:r w:rsidRPr="00D9605D">
        <w:rPr>
          <w:color w:val="000000" w:themeColor="text1"/>
        </w:rPr>
        <w:t>6. Interpretation of Investment Appraisal Methods</w:t>
      </w:r>
    </w:p>
    <w:p w14:paraId="24107D72" w14:textId="77777777" w:rsidR="00AB160D" w:rsidRPr="00D9605D" w:rsidRDefault="00AE4FCE">
      <w:pPr>
        <w:rPr>
          <w:color w:val="000000" w:themeColor="text1"/>
        </w:rPr>
      </w:pPr>
      <w:bookmarkStart w:id="20" w:name="_heading=h.ytal0mnpqtjj" w:colFirst="0" w:colLast="0"/>
      <w:bookmarkEnd w:id="20"/>
      <w:r w:rsidRPr="00D9605D">
        <w:rPr>
          <w:color w:val="000000" w:themeColor="text1"/>
        </w:rPr>
        <w:t xml:space="preserve">Because all project cash flows were taken into account, and it included the time value of money, NPV is considered the most reliable technique of investment appraisal as it measured the creation of value for the shareholders directly (Prasad, 2025; Lilford, 2023; Singh and Chatterjee, 2025). Unlike conventional approaches, the NPV offers a financial measurement of the value added by a project, and is especially valuable to making strategic investment decisions. The method is, however, much dependent on the </w:t>
      </w:r>
      <w:r w:rsidRPr="00D9605D">
        <w:rPr>
          <w:color w:val="000000" w:themeColor="text1"/>
        </w:rPr>
        <w:t>accuracy of the projected cash flows and the application of an appropriate discount rate. This can therefore lead to misinformation of the result if there are errors in the predictions (Lin, 2023).</w:t>
      </w:r>
    </w:p>
    <w:p w14:paraId="27A94A65" w14:textId="77777777" w:rsidR="00AB160D" w:rsidRPr="00D9605D" w:rsidRDefault="00AE4FCE">
      <w:pPr>
        <w:rPr>
          <w:b/>
          <w:bCs/>
          <w:color w:val="000000" w:themeColor="text1"/>
        </w:rPr>
      </w:pPr>
      <w:r w:rsidRPr="00D9605D">
        <w:rPr>
          <w:color w:val="000000" w:themeColor="text1"/>
        </w:rPr>
        <w:t>There are other investment appraisal techniques that are still widely used despite the benefits of using NPV. The payback period method is the most popular method because it is easy to compute and it concentrates on liquidity and investment recovery (Cotter, 2023; Prasad, 2025). This can be particularly important for organisations operating under financial constraints. The time value of money and cash flows after the payback period are not taken into consideration, however, which may make it useful only for</w:t>
      </w:r>
      <w:r w:rsidRPr="00D9605D">
        <w:rPr>
          <w:color w:val="000000" w:themeColor="text1"/>
        </w:rPr>
        <w:t xml:space="preserve"> short-term investment decisions. So many organisations, therefore, employ a variety of appraisal techniques rather than just one.</w:t>
      </w:r>
    </w:p>
    <w:p w14:paraId="2497BF36" w14:textId="77777777" w:rsidR="00AB160D" w:rsidRPr="00D9605D" w:rsidRDefault="00AE4FCE">
      <w:pPr>
        <w:pStyle w:val="Heading1"/>
        <w:rPr>
          <w:color w:val="000000" w:themeColor="text1"/>
        </w:rPr>
      </w:pPr>
      <w:r w:rsidRPr="00D9605D">
        <w:rPr>
          <w:color w:val="000000" w:themeColor="text1"/>
        </w:rPr>
        <w:t>7. Non-Financial Considerations</w:t>
      </w:r>
      <w:r w:rsidRPr="00D9605D">
        <w:rPr>
          <w:color w:val="000000" w:themeColor="text1"/>
        </w:rPr>
        <w:t xml:space="preserve"> </w:t>
      </w:r>
      <w:r w:rsidRPr="00D9605D">
        <w:rPr>
          <w:color w:val="000000" w:themeColor="text1"/>
          <w:sz w:val="24"/>
          <w:szCs w:val="24"/>
        </w:rPr>
        <w:t>in</w:t>
      </w:r>
      <w:r w:rsidRPr="00D9605D">
        <w:rPr>
          <w:color w:val="000000" w:themeColor="text1"/>
          <w:sz w:val="24"/>
          <w:szCs w:val="24"/>
        </w:rPr>
        <w:t xml:space="preserve"> </w:t>
      </w:r>
      <w:r w:rsidRPr="00D9605D">
        <w:rPr>
          <w:color w:val="000000" w:themeColor="text1"/>
        </w:rPr>
        <w:t>Investment Appraisal</w:t>
      </w:r>
    </w:p>
    <w:p w14:paraId="6C8F4F22" w14:textId="77777777" w:rsidR="00AB160D" w:rsidRPr="00D9605D" w:rsidRDefault="00AE4FCE">
      <w:pPr>
        <w:rPr>
          <w:color w:val="000000" w:themeColor="text1"/>
        </w:rPr>
      </w:pPr>
      <w:r w:rsidRPr="00D9605D">
        <w:rPr>
          <w:color w:val="000000" w:themeColor="text1"/>
        </w:rPr>
        <w:t>In addition to the above quantitative aspects, other qualitative considerations should determine the final choice. The strategic fit favours Option C, since it relies on the company's experience with leather goods, while Option B entails creating additional digital skills. The market environment suggests that e-commerce will be profitable, although Option C enjoys an already developed network of wholesale customers. Option C does not have problems with operational capacity because its production can be perf</w:t>
      </w:r>
      <w:r w:rsidRPr="00D9605D">
        <w:rPr>
          <w:color w:val="000000" w:themeColor="text1"/>
        </w:rPr>
        <w:t>ormed using existing production lines (Čamaj, Bulková and Gašparík, 2025). However, Option B would entail substantial logistical costs.  Regarding risk, the technology risks are greater for Option B and the risk of cyber-attacks is even greater. On the contrary, there are moderate competitive risks for Option C because of the presence of accessory brands. As far as ESG issues go, Option C is more suitable due to the lower carbon footprint in local production (Quaranta, 2024). In contrast, internet sales ent</w:t>
      </w:r>
      <w:r w:rsidRPr="00D9605D">
        <w:rPr>
          <w:color w:val="000000" w:themeColor="text1"/>
        </w:rPr>
        <w:t xml:space="preserve">ail more complex transportation networks. Option C is also favoured by management expertise since the existing management team is experienced in producing leather goods. Conversely, Option B would entail recruitment/training difficulties. </w:t>
      </w:r>
      <w:r w:rsidRPr="00D9605D">
        <w:rPr>
          <w:color w:val="000000" w:themeColor="text1"/>
        </w:rPr>
        <w:t>Furthermore, the strategies and organizational capacity play a significant role in determining the success of investments. Implementing projects that are aligned with existing competencies often result in lower implementation risk and better operational performance (Čamaj et al., 2025; Quaranta, 2024). Additionally, ESG factors are gaining significance as they appeal to investors and stakeholders who are increasingly looking for companies that exhibit environmental responsibility and sustainable business pr</w:t>
      </w:r>
      <w:r w:rsidRPr="00D9605D">
        <w:rPr>
          <w:color w:val="000000" w:themeColor="text1"/>
        </w:rPr>
        <w:t>actices ( Hai et al., 2024; Quaranta, 2024). So, financial appraisal techniques must be used in conjunction with non-financial factors when making investment decisions.</w:t>
      </w:r>
    </w:p>
    <w:p w14:paraId="50DBC75B" w14:textId="77777777" w:rsidR="00AB160D" w:rsidRPr="00D9605D" w:rsidRDefault="00AE4FCE">
      <w:pPr>
        <w:pStyle w:val="Heading1"/>
        <w:rPr>
          <w:color w:val="000000" w:themeColor="text1"/>
        </w:rPr>
      </w:pPr>
      <w:bookmarkStart w:id="21" w:name="_heading=h.b1j2b7exsncn" w:colFirst="0" w:colLast="0"/>
      <w:bookmarkEnd w:id="21"/>
      <w:r w:rsidRPr="00D9605D">
        <w:rPr>
          <w:color w:val="000000" w:themeColor="text1"/>
        </w:rPr>
        <w:t>8. Optimal Investment Policy</w:t>
      </w:r>
    </w:p>
    <w:p w14:paraId="1A7BDF94" w14:textId="77777777" w:rsidR="00AB160D" w:rsidRPr="00D9605D" w:rsidRDefault="00AE4FCE">
      <w:pPr>
        <w:rPr>
          <w:color w:val="000000" w:themeColor="text1"/>
        </w:rPr>
      </w:pPr>
      <w:r w:rsidRPr="00D9605D">
        <w:rPr>
          <w:color w:val="000000" w:themeColor="text1"/>
        </w:rPr>
        <w:t xml:space="preserve">Capital requirement for Beard Plc is £1,500,000. It implies that not all three projects can be accepted at the same time due to the capital limit imposed by the firm. </w:t>
      </w:r>
      <w:r w:rsidRPr="00D9605D">
        <w:rPr>
          <w:color w:val="000000" w:themeColor="text1"/>
        </w:rPr>
        <w:t>Only Options B and C are financially feasible because they generate positive NPVs. Option A is excluded from the capital rationing analysis because its negative NPV indicates value destruction.</w:t>
      </w:r>
    </w:p>
    <w:p w14:paraId="1D3CEB5D" w14:textId="77777777" w:rsidR="00AB160D" w:rsidRPr="00D9605D" w:rsidRDefault="00AE4FCE">
      <w:pPr>
        <w:pStyle w:val="Heading2"/>
        <w:rPr>
          <w:color w:val="000000" w:themeColor="text1"/>
        </w:rPr>
      </w:pPr>
      <w:bookmarkStart w:id="22" w:name="_heading=h.8dbhd7vkfmuf" w:colFirst="0" w:colLast="0"/>
      <w:bookmarkEnd w:id="22"/>
      <w:r w:rsidRPr="00D9605D">
        <w:rPr>
          <w:color w:val="000000" w:themeColor="text1"/>
        </w:rPr>
        <w:t>8.1 Approach</w:t>
      </w:r>
    </w:p>
    <w:p w14:paraId="451E03E9" w14:textId="77777777" w:rsidR="00AB160D" w:rsidRPr="00D9605D" w:rsidRDefault="00AE4FCE">
      <w:pPr>
        <w:rPr>
          <w:color w:val="000000" w:themeColor="text1"/>
        </w:rPr>
      </w:pPr>
      <w:r w:rsidRPr="00D9605D">
        <w:rPr>
          <w:color w:val="000000" w:themeColor="text1"/>
        </w:rPr>
        <w:t>Under capital rationing using divisible projects, the right thing to do is order them according to the Profitability Index (PI), also referred to as the value for money ratio (Drury, 2020). PI is determined through:</w:t>
      </w:r>
    </w:p>
    <w:p w14:paraId="2B88D32B" w14:textId="77777777" w:rsidR="00AB160D" w:rsidRPr="00D9605D" w:rsidRDefault="00AE4FCE">
      <w:pPr>
        <w:jc w:val="center"/>
        <w:rPr>
          <w:color w:val="000000" w:themeColor="text1"/>
        </w:rPr>
      </w:pPr>
      <w:r w:rsidRPr="00D9605D">
        <w:rPr>
          <w:b/>
          <w:bCs/>
          <w:color w:val="000000" w:themeColor="text1"/>
        </w:rPr>
        <w:t>PI = NPV / Initial Investment</w:t>
      </w:r>
    </w:p>
    <w:p w14:paraId="3B19E413" w14:textId="77777777" w:rsidR="00AB160D" w:rsidRPr="00D9605D" w:rsidRDefault="00AE4FCE">
      <w:pPr>
        <w:rPr>
          <w:color w:val="000000" w:themeColor="text1"/>
        </w:rPr>
      </w:pPr>
      <w:r w:rsidRPr="00D9605D">
        <w:rPr>
          <w:color w:val="000000" w:themeColor="text1"/>
        </w:rPr>
        <w:t xml:space="preserve">The projects with higher PI yield more NPV for each pound of investment and deserve consideration. Budget allocation is done from higher PI to lower PI projects until the constraint of £1,500,000 is met. </w:t>
      </w:r>
      <w:r w:rsidRPr="00D9605D">
        <w:rPr>
          <w:color w:val="000000" w:themeColor="text1"/>
        </w:rPr>
        <w:t>The capital rationing theory suggests that profitability index can be especially informative for organisations when budget constraints are present to invest in new projects, as it represents the value of the project per pound invested (Drury, 2020; Prasad, 2025). Thus, the projects with better profitability index should be given higher priority to maximise the total value of the shareholders.</w:t>
      </w:r>
    </w:p>
    <w:p w14:paraId="6B4F835E" w14:textId="77777777" w:rsidR="00AB160D" w:rsidRPr="00D9605D" w:rsidRDefault="00AE4FCE">
      <w:pPr>
        <w:pStyle w:val="Heading2"/>
        <w:rPr>
          <w:color w:val="000000" w:themeColor="text1"/>
        </w:rPr>
      </w:pPr>
      <w:bookmarkStart w:id="23" w:name="_heading=h.xexw9swknxj1" w:colFirst="0" w:colLast="0"/>
      <w:bookmarkEnd w:id="23"/>
      <w:r w:rsidRPr="00D9605D">
        <w:rPr>
          <w:color w:val="000000" w:themeColor="text1"/>
        </w:rPr>
        <w:t>8.2 Results and recommendations</w:t>
      </w:r>
    </w:p>
    <w:p w14:paraId="646F9E83" w14:textId="77777777" w:rsidR="00AB160D" w:rsidRPr="00D9605D" w:rsidRDefault="00AE4FCE">
      <w:pPr>
        <w:spacing w:after="0"/>
        <w:rPr>
          <w:b/>
          <w:bCs/>
          <w:color w:val="000000" w:themeColor="text1"/>
          <w:u w:val="single"/>
        </w:rPr>
      </w:pPr>
      <w:r w:rsidRPr="00D9605D">
        <w:rPr>
          <w:b/>
          <w:bCs/>
          <w:color w:val="000000" w:themeColor="text1"/>
          <w:u w:val="single"/>
        </w:rPr>
        <w:t>Calculate PI for Each Option</w:t>
      </w:r>
    </w:p>
    <w:tbl>
      <w:tblPr>
        <w:tblStyle w:val="a8"/>
        <w:tblW w:w="9043" w:type="dxa"/>
        <w:tblInd w:w="-5" w:type="dxa"/>
        <w:tblBorders>
          <w:top w:val="single" w:sz="4" w:space="0" w:color="80350D"/>
          <w:left w:val="single" w:sz="4" w:space="0" w:color="80350D"/>
          <w:bottom w:val="single" w:sz="4" w:space="0" w:color="80350D"/>
          <w:right w:val="single" w:sz="4" w:space="0" w:color="80350D"/>
          <w:insideH w:val="single" w:sz="4" w:space="0" w:color="80350D"/>
          <w:insideV w:val="single" w:sz="4" w:space="0" w:color="80350D"/>
        </w:tblBorders>
        <w:tblLayout w:type="fixed"/>
        <w:tblLook w:val="04A0" w:firstRow="1" w:lastRow="0" w:firstColumn="1" w:lastColumn="0" w:noHBand="0" w:noVBand="1"/>
      </w:tblPr>
      <w:tblGrid>
        <w:gridCol w:w="1207"/>
        <w:gridCol w:w="1305"/>
        <w:gridCol w:w="3094"/>
        <w:gridCol w:w="3437"/>
      </w:tblGrid>
      <w:tr w:rsidR="00AB160D" w:rsidRPr="00D9605D" w14:paraId="10C58118" w14:textId="77777777" w:rsidTr="00AB160D">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1207" w:type="dxa"/>
          </w:tcPr>
          <w:p w14:paraId="2921010D" w14:textId="77777777" w:rsidR="00AB160D" w:rsidRPr="00D9605D" w:rsidRDefault="00AE4FCE">
            <w:pPr>
              <w:jc w:val="center"/>
              <w:rPr>
                <w:color w:val="000000" w:themeColor="text1"/>
              </w:rPr>
            </w:pPr>
            <w:r w:rsidRPr="00D9605D">
              <w:rPr>
                <w:color w:val="000000" w:themeColor="text1"/>
              </w:rPr>
              <w:t>Option</w:t>
            </w:r>
          </w:p>
        </w:tc>
        <w:tc>
          <w:tcPr>
            <w:tcW w:w="1305" w:type="dxa"/>
          </w:tcPr>
          <w:p w14:paraId="7232140E" w14:textId="77777777" w:rsidR="00AB160D" w:rsidRPr="00D9605D" w:rsidRDefault="00AE4FCE">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NPV (£)</w:t>
            </w:r>
          </w:p>
        </w:tc>
        <w:tc>
          <w:tcPr>
            <w:tcW w:w="3094" w:type="dxa"/>
          </w:tcPr>
          <w:p w14:paraId="0638501B" w14:textId="77777777" w:rsidR="00AB160D" w:rsidRPr="00D9605D" w:rsidRDefault="00AE4FCE">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Initial Investment (£)</w:t>
            </w:r>
          </w:p>
        </w:tc>
        <w:tc>
          <w:tcPr>
            <w:tcW w:w="3437" w:type="dxa"/>
          </w:tcPr>
          <w:p w14:paraId="3965C864" w14:textId="77777777" w:rsidR="00AB160D" w:rsidRPr="00D9605D" w:rsidRDefault="00AE4FCE">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Profitability Index (PI)</w:t>
            </w:r>
          </w:p>
        </w:tc>
      </w:tr>
      <w:tr w:rsidR="00AB160D" w:rsidRPr="00D9605D" w14:paraId="20A7882B" w14:textId="77777777" w:rsidTr="00AB160D">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1207" w:type="dxa"/>
          </w:tcPr>
          <w:p w14:paraId="03F62441" w14:textId="77777777" w:rsidR="00AB160D" w:rsidRPr="00D9605D" w:rsidRDefault="00AE4FCE">
            <w:pPr>
              <w:jc w:val="center"/>
              <w:rPr>
                <w:color w:val="000000" w:themeColor="text1"/>
              </w:rPr>
            </w:pPr>
            <w:r w:rsidRPr="00D9605D">
              <w:rPr>
                <w:color w:val="000000" w:themeColor="text1"/>
              </w:rPr>
              <w:t>A</w:t>
            </w:r>
          </w:p>
        </w:tc>
        <w:tc>
          <w:tcPr>
            <w:tcW w:w="1305" w:type="dxa"/>
          </w:tcPr>
          <w:p w14:paraId="14D97D60"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(3,272)</w:t>
            </w:r>
          </w:p>
        </w:tc>
        <w:tc>
          <w:tcPr>
            <w:tcW w:w="3094" w:type="dxa"/>
          </w:tcPr>
          <w:p w14:paraId="76AB8258"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600,000</w:t>
            </w:r>
          </w:p>
        </w:tc>
        <w:tc>
          <w:tcPr>
            <w:tcW w:w="3437" w:type="dxa"/>
          </w:tcPr>
          <w:p w14:paraId="2CB46C32"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(0.005) - negative, reject</w:t>
            </w:r>
          </w:p>
        </w:tc>
      </w:tr>
      <w:tr w:rsidR="00AB160D" w:rsidRPr="00D9605D" w14:paraId="53C16AB6" w14:textId="77777777" w:rsidTr="00AB160D">
        <w:trPr>
          <w:trHeight w:val="376"/>
        </w:trPr>
        <w:tc>
          <w:tcPr>
            <w:cnfStyle w:val="001000000000" w:firstRow="0" w:lastRow="0" w:firstColumn="1" w:lastColumn="0" w:oddVBand="0" w:evenVBand="0" w:oddHBand="0" w:evenHBand="0" w:firstRowFirstColumn="0" w:firstRowLastColumn="0" w:lastRowFirstColumn="0" w:lastRowLastColumn="0"/>
            <w:tcW w:w="1207" w:type="dxa"/>
          </w:tcPr>
          <w:p w14:paraId="561F9078" w14:textId="77777777" w:rsidR="00AB160D" w:rsidRPr="00D9605D" w:rsidRDefault="00AE4FCE">
            <w:pPr>
              <w:jc w:val="center"/>
              <w:rPr>
                <w:color w:val="000000" w:themeColor="text1"/>
              </w:rPr>
            </w:pPr>
            <w:r w:rsidRPr="00D9605D">
              <w:rPr>
                <w:color w:val="000000" w:themeColor="text1"/>
              </w:rPr>
              <w:t>B</w:t>
            </w:r>
          </w:p>
        </w:tc>
        <w:tc>
          <w:tcPr>
            <w:tcW w:w="1305" w:type="dxa"/>
          </w:tcPr>
          <w:p w14:paraId="13F623F0"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73,938</w:t>
            </w:r>
          </w:p>
        </w:tc>
        <w:tc>
          <w:tcPr>
            <w:tcW w:w="3094" w:type="dxa"/>
          </w:tcPr>
          <w:p w14:paraId="64CD6795"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900,000</w:t>
            </w:r>
          </w:p>
        </w:tc>
        <w:tc>
          <w:tcPr>
            <w:tcW w:w="3437" w:type="dxa"/>
          </w:tcPr>
          <w:p w14:paraId="370B9E37"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0.082</w:t>
            </w:r>
          </w:p>
        </w:tc>
      </w:tr>
      <w:tr w:rsidR="00AB160D" w:rsidRPr="00D9605D" w14:paraId="38C30347" w14:textId="77777777" w:rsidTr="00AB160D">
        <w:trPr>
          <w:cnfStyle w:val="000000100000" w:firstRow="0" w:lastRow="0" w:firstColumn="0" w:lastColumn="0" w:oddVBand="0" w:evenVBand="0" w:oddHBand="1"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1207" w:type="dxa"/>
          </w:tcPr>
          <w:p w14:paraId="3E27B3F0" w14:textId="77777777" w:rsidR="00AB160D" w:rsidRPr="00D9605D" w:rsidRDefault="00AE4FCE">
            <w:pPr>
              <w:jc w:val="center"/>
              <w:rPr>
                <w:color w:val="000000" w:themeColor="text1"/>
              </w:rPr>
            </w:pPr>
            <w:r w:rsidRPr="00D9605D">
              <w:rPr>
                <w:color w:val="000000" w:themeColor="text1"/>
              </w:rPr>
              <w:t>C</w:t>
            </w:r>
          </w:p>
        </w:tc>
        <w:tc>
          <w:tcPr>
            <w:tcW w:w="1305" w:type="dxa"/>
          </w:tcPr>
          <w:p w14:paraId="142EE6A4"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91,209</w:t>
            </w:r>
          </w:p>
        </w:tc>
        <w:tc>
          <w:tcPr>
            <w:tcW w:w="3094" w:type="dxa"/>
          </w:tcPr>
          <w:p w14:paraId="6652DCFF"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1,000,000</w:t>
            </w:r>
          </w:p>
        </w:tc>
        <w:tc>
          <w:tcPr>
            <w:tcW w:w="3437" w:type="dxa"/>
          </w:tcPr>
          <w:p w14:paraId="13F4FE0D"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0.091</w:t>
            </w:r>
          </w:p>
        </w:tc>
      </w:tr>
    </w:tbl>
    <w:p w14:paraId="2C618A5E" w14:textId="77777777" w:rsidR="00AB160D" w:rsidRPr="00D9605D" w:rsidRDefault="00AE4FCE">
      <w:pPr>
        <w:spacing w:before="240"/>
        <w:rPr>
          <w:color w:val="000000" w:themeColor="text1"/>
        </w:rPr>
      </w:pPr>
      <w:r w:rsidRPr="00D9605D">
        <w:rPr>
          <w:color w:val="000000" w:themeColor="text1"/>
        </w:rPr>
        <w:t>Option A has a negative PI and is excluded entirely. Option C has the highest PI (0.091), followed by Option B (0.082).</w:t>
      </w:r>
    </w:p>
    <w:p w14:paraId="35060E3E" w14:textId="77777777" w:rsidR="00AB160D" w:rsidRPr="00D9605D" w:rsidRDefault="00AE4FCE">
      <w:pPr>
        <w:spacing w:after="0"/>
        <w:rPr>
          <w:color w:val="000000" w:themeColor="text1"/>
          <w:u w:val="single"/>
        </w:rPr>
      </w:pPr>
      <w:r w:rsidRPr="00D9605D">
        <w:rPr>
          <w:b/>
          <w:bCs/>
          <w:color w:val="000000" w:themeColor="text1"/>
          <w:u w:val="single"/>
        </w:rPr>
        <w:t>Allocate Budget to Maximise Total NPV</w:t>
      </w:r>
    </w:p>
    <w:p w14:paraId="445D2F0C" w14:textId="77777777" w:rsidR="00AB160D" w:rsidRPr="00D9605D" w:rsidRDefault="00AE4FCE">
      <w:pPr>
        <w:spacing w:after="0"/>
        <w:rPr>
          <w:color w:val="000000" w:themeColor="text1"/>
        </w:rPr>
      </w:pPr>
      <w:r w:rsidRPr="00D9605D">
        <w:rPr>
          <w:color w:val="000000" w:themeColor="text1"/>
        </w:rPr>
        <w:t>Since Option C offers more value per pound, it receives full funding first:</w:t>
      </w:r>
    </w:p>
    <w:p w14:paraId="45E2C6FC" w14:textId="77777777" w:rsidR="00AB160D" w:rsidRPr="00D9605D" w:rsidRDefault="00AE4FCE">
      <w:pPr>
        <w:numPr>
          <w:ilvl w:val="0"/>
          <w:numId w:val="5"/>
        </w:numPr>
        <w:pBdr>
          <w:top w:val="nil"/>
          <w:left w:val="nil"/>
          <w:bottom w:val="nil"/>
          <w:right w:val="nil"/>
          <w:between w:val="nil"/>
        </w:pBdr>
        <w:spacing w:after="0"/>
        <w:rPr>
          <w:color w:val="000000" w:themeColor="text1"/>
        </w:rPr>
      </w:pPr>
      <w:r w:rsidRPr="00D9605D">
        <w:rPr>
          <w:b/>
          <w:bCs/>
          <w:i/>
          <w:iCs/>
          <w:color w:val="000000" w:themeColor="text1"/>
        </w:rPr>
        <w:t>Fund Option C Fully:</w:t>
      </w:r>
      <w:sdt>
        <w:sdtPr>
          <w:rPr>
            <w:color w:val="000000" w:themeColor="text1"/>
          </w:rPr>
          <w:tag w:val="goog_rdk_6"/>
          <w:id w:val="-912747723"/>
        </w:sdtPr>
        <w:sdtEndPr/>
        <w:sdtContent>
          <w:r w:rsidRPr="00D9605D">
            <w:rPr>
              <w:rFonts w:ascii="Arial Unicode MS" w:eastAsia="Arial Unicode MS" w:hAnsi="Arial Unicode MS" w:cs="Arial Unicode MS"/>
              <w:color w:val="000000" w:themeColor="text1"/>
            </w:rPr>
            <w:t xml:space="preserve"> £1,000,000 invested → </w:t>
          </w:r>
        </w:sdtContent>
      </w:sdt>
      <w:r w:rsidRPr="00D9605D">
        <w:rPr>
          <w:b/>
          <w:bCs/>
          <w:color w:val="000000" w:themeColor="text1"/>
        </w:rPr>
        <w:t>NPV of £91,209</w:t>
      </w:r>
    </w:p>
    <w:p w14:paraId="27F89368" w14:textId="77777777" w:rsidR="00AB160D" w:rsidRPr="00D9605D" w:rsidRDefault="00AE4FCE">
      <w:pPr>
        <w:numPr>
          <w:ilvl w:val="0"/>
          <w:numId w:val="5"/>
        </w:numPr>
        <w:pBdr>
          <w:top w:val="nil"/>
          <w:left w:val="nil"/>
          <w:bottom w:val="nil"/>
          <w:right w:val="nil"/>
          <w:between w:val="nil"/>
        </w:pBdr>
        <w:rPr>
          <w:color w:val="000000" w:themeColor="text1"/>
        </w:rPr>
      </w:pPr>
      <w:r w:rsidRPr="00D9605D">
        <w:rPr>
          <w:b/>
          <w:bCs/>
          <w:i/>
          <w:iCs/>
          <w:color w:val="000000" w:themeColor="text1"/>
        </w:rPr>
        <w:t>Remaining Budget:</w:t>
      </w:r>
      <w:r w:rsidRPr="00D9605D">
        <w:rPr>
          <w:color w:val="000000" w:themeColor="text1"/>
        </w:rPr>
        <w:t xml:space="preserve"> £1,500,000 – £1,000,000 = </w:t>
      </w:r>
      <w:r w:rsidRPr="00D9605D">
        <w:rPr>
          <w:b/>
          <w:bCs/>
          <w:color w:val="000000" w:themeColor="text1"/>
        </w:rPr>
        <w:t>£500,000</w:t>
      </w:r>
    </w:p>
    <w:p w14:paraId="063BB8CD" w14:textId="77777777" w:rsidR="00AB160D" w:rsidRPr="00D9605D" w:rsidRDefault="00AE4FCE">
      <w:pPr>
        <w:rPr>
          <w:color w:val="000000" w:themeColor="text1"/>
        </w:rPr>
      </w:pPr>
      <w:r w:rsidRPr="00D9605D">
        <w:rPr>
          <w:color w:val="000000" w:themeColor="text1"/>
        </w:rPr>
        <w:t>With the remaining £500,000, Option B is funded partially. Option B requires £900,000 for full investment, so the fraction possible is £500,000 / £900,000 = 55.6%.</w:t>
      </w:r>
    </w:p>
    <w:p w14:paraId="3C2D56E8" w14:textId="77777777" w:rsidR="00AB160D" w:rsidRPr="00D9605D" w:rsidRDefault="00AE4FCE">
      <w:pPr>
        <w:numPr>
          <w:ilvl w:val="0"/>
          <w:numId w:val="6"/>
        </w:numPr>
        <w:pBdr>
          <w:top w:val="nil"/>
          <w:left w:val="nil"/>
          <w:bottom w:val="nil"/>
          <w:right w:val="nil"/>
          <w:between w:val="nil"/>
        </w:pBdr>
        <w:rPr>
          <w:color w:val="000000" w:themeColor="text1"/>
        </w:rPr>
      </w:pPr>
      <w:r w:rsidRPr="00D9605D">
        <w:rPr>
          <w:b/>
          <w:bCs/>
          <w:i/>
          <w:iCs/>
          <w:color w:val="000000" w:themeColor="text1"/>
        </w:rPr>
        <w:t>Fractional NPV from Option B:</w:t>
      </w:r>
      <w:r w:rsidRPr="00D9605D">
        <w:rPr>
          <w:color w:val="000000" w:themeColor="text1"/>
        </w:rPr>
        <w:t xml:space="preserve"> £73,938 × 0.556 = </w:t>
      </w:r>
      <w:r w:rsidRPr="00D9605D">
        <w:rPr>
          <w:b/>
          <w:bCs/>
          <w:color w:val="000000" w:themeColor="text1"/>
        </w:rPr>
        <w:t>£41,109</w:t>
      </w:r>
    </w:p>
    <w:p w14:paraId="326BD23B" w14:textId="77777777" w:rsidR="00AB160D" w:rsidRPr="00D9605D" w:rsidRDefault="00AE4FCE">
      <w:pPr>
        <w:spacing w:after="0"/>
        <w:rPr>
          <w:color w:val="000000" w:themeColor="text1"/>
          <w:u w:val="single"/>
        </w:rPr>
      </w:pPr>
      <w:r w:rsidRPr="00D9605D">
        <w:rPr>
          <w:b/>
          <w:bCs/>
          <w:color w:val="000000" w:themeColor="text1"/>
          <w:u w:val="single"/>
        </w:rPr>
        <w:t>Calculate Total NPV</w:t>
      </w:r>
    </w:p>
    <w:p w14:paraId="6D6CF401" w14:textId="77777777" w:rsidR="00AB160D" w:rsidRPr="00D9605D" w:rsidRDefault="00AE4FCE">
      <w:pPr>
        <w:numPr>
          <w:ilvl w:val="0"/>
          <w:numId w:val="6"/>
        </w:numPr>
        <w:pBdr>
          <w:top w:val="nil"/>
          <w:left w:val="nil"/>
          <w:bottom w:val="nil"/>
          <w:right w:val="nil"/>
          <w:between w:val="nil"/>
        </w:pBdr>
        <w:rPr>
          <w:color w:val="000000" w:themeColor="text1"/>
        </w:rPr>
      </w:pPr>
      <w:r w:rsidRPr="00D9605D">
        <w:rPr>
          <w:b/>
          <w:bCs/>
          <w:i/>
          <w:iCs/>
          <w:color w:val="000000" w:themeColor="text1"/>
        </w:rPr>
        <w:t>Total NPV</w:t>
      </w:r>
      <w:r w:rsidRPr="00D9605D">
        <w:rPr>
          <w:color w:val="000000" w:themeColor="text1"/>
        </w:rPr>
        <w:t xml:space="preserve"> = £91,209 (full C) + £41,109 (partial B) = </w:t>
      </w:r>
      <w:r w:rsidRPr="00D9605D">
        <w:rPr>
          <w:b/>
          <w:bCs/>
          <w:color w:val="000000" w:themeColor="text1"/>
        </w:rPr>
        <w:t>£132,318</w:t>
      </w:r>
    </w:p>
    <w:p w14:paraId="07D9AAA6" w14:textId="77777777" w:rsidR="00AB160D" w:rsidRPr="00D9605D" w:rsidRDefault="00AE4FCE">
      <w:pPr>
        <w:spacing w:after="0"/>
        <w:rPr>
          <w:i/>
          <w:iCs/>
          <w:color w:val="000000" w:themeColor="text1"/>
        </w:rPr>
      </w:pPr>
      <w:r w:rsidRPr="00D9605D">
        <w:rPr>
          <w:i/>
          <w:iCs/>
          <w:color w:val="000000" w:themeColor="text1"/>
        </w:rPr>
        <w:t>Comparison with single-project selection:</w:t>
      </w:r>
    </w:p>
    <w:tbl>
      <w:tblPr>
        <w:tblStyle w:val="a9"/>
        <w:tblW w:w="9361" w:type="dxa"/>
        <w:tblInd w:w="-5" w:type="dxa"/>
        <w:tblBorders>
          <w:top w:val="single" w:sz="4" w:space="0" w:color="0A3041"/>
          <w:left w:val="single" w:sz="4" w:space="0" w:color="0A3041"/>
          <w:bottom w:val="single" w:sz="4" w:space="0" w:color="0A3041"/>
          <w:right w:val="single" w:sz="4" w:space="0" w:color="0A3041"/>
          <w:insideH w:val="single" w:sz="4" w:space="0" w:color="0A3041"/>
          <w:insideV w:val="single" w:sz="4" w:space="0" w:color="0A3041"/>
        </w:tblBorders>
        <w:tblLayout w:type="fixed"/>
        <w:tblLook w:val="04A0" w:firstRow="1" w:lastRow="0" w:firstColumn="1" w:lastColumn="0" w:noHBand="0" w:noVBand="1"/>
      </w:tblPr>
      <w:tblGrid>
        <w:gridCol w:w="6690"/>
        <w:gridCol w:w="2671"/>
      </w:tblGrid>
      <w:tr w:rsidR="00AB160D" w:rsidRPr="00D9605D" w14:paraId="567B6BF1" w14:textId="77777777" w:rsidTr="00AB16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90" w:type="dxa"/>
          </w:tcPr>
          <w:p w14:paraId="44746584" w14:textId="77777777" w:rsidR="00AB160D" w:rsidRPr="00D9605D" w:rsidRDefault="00AE4FCE">
            <w:pPr>
              <w:jc w:val="left"/>
              <w:rPr>
                <w:color w:val="000000" w:themeColor="text1"/>
              </w:rPr>
            </w:pPr>
            <w:r w:rsidRPr="00D9605D">
              <w:rPr>
                <w:color w:val="000000" w:themeColor="text1"/>
              </w:rPr>
              <w:t>Strategy</w:t>
            </w:r>
          </w:p>
        </w:tc>
        <w:tc>
          <w:tcPr>
            <w:tcW w:w="2671" w:type="dxa"/>
          </w:tcPr>
          <w:p w14:paraId="4067502C" w14:textId="77777777" w:rsidR="00AB160D" w:rsidRPr="00D9605D" w:rsidRDefault="00AE4FCE">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Total NPV (£)</w:t>
            </w:r>
          </w:p>
        </w:tc>
      </w:tr>
      <w:tr w:rsidR="00AB160D" w:rsidRPr="00D9605D" w14:paraId="25E12184" w14:textId="77777777" w:rsidTr="00AB16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90" w:type="dxa"/>
          </w:tcPr>
          <w:p w14:paraId="57E8F316" w14:textId="77777777" w:rsidR="00AB160D" w:rsidRPr="00D9605D" w:rsidRDefault="00AE4FCE">
            <w:pPr>
              <w:jc w:val="left"/>
              <w:rPr>
                <w:color w:val="000000" w:themeColor="text1"/>
              </w:rPr>
            </w:pPr>
            <w:r w:rsidRPr="00D9605D">
              <w:rPr>
                <w:color w:val="000000" w:themeColor="text1"/>
              </w:rPr>
              <w:t>Option C only</w:t>
            </w:r>
          </w:p>
        </w:tc>
        <w:tc>
          <w:tcPr>
            <w:tcW w:w="2671" w:type="dxa"/>
          </w:tcPr>
          <w:p w14:paraId="1EC27A78"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color w:val="000000" w:themeColor="text1"/>
              </w:rPr>
              <w:t>91,209</w:t>
            </w:r>
          </w:p>
        </w:tc>
      </w:tr>
      <w:tr w:rsidR="00AB160D" w:rsidRPr="00D9605D" w14:paraId="2A51F8C0" w14:textId="77777777" w:rsidTr="00AB160D">
        <w:tc>
          <w:tcPr>
            <w:cnfStyle w:val="001000000000" w:firstRow="0" w:lastRow="0" w:firstColumn="1" w:lastColumn="0" w:oddVBand="0" w:evenVBand="0" w:oddHBand="0" w:evenHBand="0" w:firstRowFirstColumn="0" w:firstRowLastColumn="0" w:lastRowFirstColumn="0" w:lastRowLastColumn="0"/>
            <w:tcW w:w="6690" w:type="dxa"/>
          </w:tcPr>
          <w:p w14:paraId="48CF8936" w14:textId="77777777" w:rsidR="00AB160D" w:rsidRPr="00D9605D" w:rsidRDefault="00AE4FCE">
            <w:pPr>
              <w:jc w:val="left"/>
              <w:rPr>
                <w:color w:val="000000" w:themeColor="text1"/>
              </w:rPr>
            </w:pPr>
            <w:r w:rsidRPr="00D9605D">
              <w:rPr>
                <w:color w:val="000000" w:themeColor="text1"/>
              </w:rPr>
              <w:t>Option B only</w:t>
            </w:r>
          </w:p>
        </w:tc>
        <w:tc>
          <w:tcPr>
            <w:tcW w:w="2671" w:type="dxa"/>
          </w:tcPr>
          <w:p w14:paraId="5CCFC8AA" w14:textId="77777777" w:rsidR="00AB160D" w:rsidRPr="00D9605D" w:rsidRDefault="00AE4FC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9605D">
              <w:rPr>
                <w:color w:val="000000" w:themeColor="text1"/>
              </w:rPr>
              <w:t>73,938</w:t>
            </w:r>
          </w:p>
        </w:tc>
      </w:tr>
      <w:tr w:rsidR="00AB160D" w:rsidRPr="00D9605D" w14:paraId="441DC5E2" w14:textId="77777777" w:rsidTr="00AB16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90" w:type="dxa"/>
          </w:tcPr>
          <w:p w14:paraId="25C0B32C" w14:textId="77777777" w:rsidR="00AB160D" w:rsidRPr="00D9605D" w:rsidRDefault="00AE4FCE">
            <w:pPr>
              <w:jc w:val="left"/>
              <w:rPr>
                <w:color w:val="000000" w:themeColor="text1"/>
              </w:rPr>
            </w:pPr>
            <w:r w:rsidRPr="00D9605D">
              <w:rPr>
                <w:color w:val="000000" w:themeColor="text1"/>
              </w:rPr>
              <w:t>Optimal combination (C + partial B)</w:t>
            </w:r>
          </w:p>
        </w:tc>
        <w:tc>
          <w:tcPr>
            <w:tcW w:w="2671" w:type="dxa"/>
          </w:tcPr>
          <w:p w14:paraId="6CA65528" w14:textId="77777777" w:rsidR="00AB160D" w:rsidRPr="00D9605D" w:rsidRDefault="00AE4FCE">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9605D">
              <w:rPr>
                <w:b/>
                <w:bCs/>
                <w:color w:val="000000" w:themeColor="text1"/>
              </w:rPr>
              <w:t>132,318</w:t>
            </w:r>
          </w:p>
        </w:tc>
      </w:tr>
    </w:tbl>
    <w:p w14:paraId="453D4D96" w14:textId="77777777" w:rsidR="00AB160D" w:rsidRPr="00D9605D" w:rsidRDefault="00AE4FCE">
      <w:pPr>
        <w:spacing w:before="240"/>
        <w:rPr>
          <w:color w:val="000000" w:themeColor="text1"/>
        </w:rPr>
      </w:pPr>
      <w:r w:rsidRPr="00D9605D">
        <w:rPr>
          <w:color w:val="000000" w:themeColor="text1"/>
        </w:rPr>
        <w:t>The best policy earns a total of £132,318 from NPV, which is much better than choosing only one of the projects. Hence, Beard Plc must fully fund Option C and use the other £500,000 to finance 55.6% of Option B.</w:t>
      </w:r>
    </w:p>
    <w:p w14:paraId="5BD64F34" w14:textId="77777777" w:rsidR="00AB160D" w:rsidRPr="00D9605D" w:rsidRDefault="00AE4FCE">
      <w:pPr>
        <w:pStyle w:val="Heading1"/>
        <w:rPr>
          <w:color w:val="000000" w:themeColor="text1"/>
        </w:rPr>
      </w:pPr>
      <w:bookmarkStart w:id="24" w:name="_heading=h.v4g9ulsjxtvd" w:colFirst="0" w:colLast="0"/>
      <w:bookmarkEnd w:id="24"/>
      <w:r w:rsidRPr="00D9605D">
        <w:rPr>
          <w:color w:val="000000" w:themeColor="text1"/>
        </w:rPr>
        <w:t>9. Financing the</w:t>
      </w:r>
      <w:r w:rsidRPr="00D9605D">
        <w:rPr>
          <w:color w:val="000000" w:themeColor="text1"/>
          <w:sz w:val="24"/>
          <w:szCs w:val="24"/>
        </w:rPr>
        <w:t xml:space="preserve"> </w:t>
      </w:r>
      <w:r w:rsidRPr="00D9605D">
        <w:rPr>
          <w:color w:val="000000" w:themeColor="text1"/>
        </w:rPr>
        <w:t>Investment Programme</w:t>
      </w:r>
    </w:p>
    <w:p w14:paraId="47A96451" w14:textId="77777777" w:rsidR="00AB160D" w:rsidRPr="00D9605D" w:rsidRDefault="00AE4FCE">
      <w:pPr>
        <w:pStyle w:val="Heading2"/>
        <w:rPr>
          <w:color w:val="000000" w:themeColor="text1"/>
        </w:rPr>
      </w:pPr>
      <w:bookmarkStart w:id="25" w:name="_heading=h.e5yi0uacas4n" w:colFirst="0" w:colLast="0"/>
      <w:bookmarkEnd w:id="25"/>
      <w:r w:rsidRPr="00D9605D">
        <w:rPr>
          <w:color w:val="000000" w:themeColor="text1"/>
        </w:rPr>
        <w:t>9.1 Main sources of finance</w:t>
      </w:r>
    </w:p>
    <w:p w14:paraId="487A5CE1" w14:textId="77777777" w:rsidR="00AB160D" w:rsidRPr="00D9605D" w:rsidRDefault="00AE4FCE">
      <w:pPr>
        <w:numPr>
          <w:ilvl w:val="0"/>
          <w:numId w:val="7"/>
        </w:numPr>
        <w:rPr>
          <w:color w:val="000000" w:themeColor="text1"/>
        </w:rPr>
      </w:pPr>
      <w:r w:rsidRPr="00D9605D">
        <w:rPr>
          <w:b/>
          <w:bCs/>
          <w:i/>
          <w:iCs/>
          <w:color w:val="000000" w:themeColor="text1"/>
        </w:rPr>
        <w:t>Debt:</w:t>
      </w:r>
      <w:r w:rsidRPr="00D9605D">
        <w:rPr>
          <w:color w:val="000000" w:themeColor="text1"/>
        </w:rPr>
        <w:t> Interest is tax-deductible, thereby lowering the cost of borrowing. Nonetheless, debt leads to financial gearing and fixed repayments, making insolvency more likely in case the cash flows diminish (Naomi, 2023).</w:t>
      </w:r>
    </w:p>
    <w:p w14:paraId="1949FB55" w14:textId="77777777" w:rsidR="00AB160D" w:rsidRPr="00D9605D" w:rsidRDefault="00AE4FCE">
      <w:pPr>
        <w:numPr>
          <w:ilvl w:val="0"/>
          <w:numId w:val="7"/>
        </w:numPr>
        <w:rPr>
          <w:color w:val="000000" w:themeColor="text1"/>
        </w:rPr>
      </w:pPr>
      <w:r w:rsidRPr="00D9605D">
        <w:rPr>
          <w:b/>
          <w:bCs/>
          <w:i/>
          <w:iCs/>
          <w:color w:val="000000" w:themeColor="text1"/>
        </w:rPr>
        <w:t>Equity:</w:t>
      </w:r>
      <w:r w:rsidRPr="00D9605D">
        <w:rPr>
          <w:color w:val="000000" w:themeColor="text1"/>
        </w:rPr>
        <w:t> No repayments required, thus maintaining cash flow for operations. The downside is dilution of the existing owners’ equity and control (Rejison, 2024).</w:t>
      </w:r>
    </w:p>
    <w:p w14:paraId="463BAC51" w14:textId="77777777" w:rsidR="00AB160D" w:rsidRPr="00D9605D" w:rsidRDefault="00AE4FCE">
      <w:pPr>
        <w:numPr>
          <w:ilvl w:val="0"/>
          <w:numId w:val="7"/>
        </w:numPr>
        <w:rPr>
          <w:color w:val="000000" w:themeColor="text1"/>
        </w:rPr>
      </w:pPr>
      <w:r w:rsidRPr="00D9605D">
        <w:rPr>
          <w:b/>
          <w:bCs/>
          <w:i/>
          <w:iCs/>
          <w:color w:val="000000" w:themeColor="text1"/>
        </w:rPr>
        <w:t>Leasing:</w:t>
      </w:r>
      <w:r w:rsidRPr="00D9605D">
        <w:rPr>
          <w:color w:val="000000" w:themeColor="text1"/>
        </w:rPr>
        <w:t> Protects working capital by not having high initial spending. It has the disadvantage of being more expensive overall than purchasing it outright (Yuxiu, 2025).</w:t>
      </w:r>
    </w:p>
    <w:p w14:paraId="7A4E815B" w14:textId="77777777" w:rsidR="00AB160D" w:rsidRPr="00D9605D" w:rsidRDefault="00AE4FCE">
      <w:pPr>
        <w:numPr>
          <w:ilvl w:val="0"/>
          <w:numId w:val="7"/>
        </w:numPr>
        <w:rPr>
          <w:color w:val="000000" w:themeColor="text1"/>
        </w:rPr>
      </w:pPr>
      <w:r w:rsidRPr="00D9605D">
        <w:rPr>
          <w:b/>
          <w:bCs/>
          <w:i/>
          <w:iCs/>
          <w:color w:val="000000" w:themeColor="text1"/>
        </w:rPr>
        <w:t>Retained Earnings:</w:t>
      </w:r>
      <w:r w:rsidRPr="00D9605D">
        <w:rPr>
          <w:color w:val="000000" w:themeColor="text1"/>
        </w:rPr>
        <w:t xml:space="preserve"> Issuance cost-free and non-dilutive, making it the least expensive form. Limited availability due to past earnings and present cash on hand.</w:t>
      </w:r>
    </w:p>
    <w:p w14:paraId="30C56969" w14:textId="77777777" w:rsidR="00AB160D" w:rsidRPr="00D9605D" w:rsidRDefault="00AE4FCE">
      <w:pPr>
        <w:pStyle w:val="Heading2"/>
        <w:rPr>
          <w:color w:val="000000" w:themeColor="text1"/>
        </w:rPr>
      </w:pPr>
      <w:bookmarkStart w:id="26" w:name="_heading=h.q9azyhm8hfk8" w:colFirst="0" w:colLast="0"/>
      <w:bookmarkEnd w:id="26"/>
      <w:r w:rsidRPr="00D9605D">
        <w:rPr>
          <w:color w:val="000000" w:themeColor="text1"/>
        </w:rPr>
        <w:t>9.2 Recommended Financing Mix</w:t>
      </w:r>
    </w:p>
    <w:p w14:paraId="2069A375" w14:textId="77777777" w:rsidR="00AB160D" w:rsidRPr="00D9605D" w:rsidRDefault="00AE4FCE">
      <w:pPr>
        <w:rPr>
          <w:color w:val="000000" w:themeColor="text1"/>
        </w:rPr>
      </w:pPr>
      <w:r w:rsidRPr="00D9605D">
        <w:rPr>
          <w:color w:val="000000" w:themeColor="text1"/>
        </w:rPr>
        <w:t>Based on the economic climate and funding needed of £1.5m, 60 per cent debt and 40 per cent retained earnings is recommended. Debt financing offers tax benefits due to the interest deductibility and can help lower the overall cost of capital (Naomi, 2023). However, retained earnings do not dilute ownership and result in no extra repayment needs (Rejison, 2024). The balanced financing structure enables Beard Plc to enjoy financial leverage and still maintain financial flexibility and risk control.</w:t>
      </w:r>
    </w:p>
    <w:p w14:paraId="0FB08FD5" w14:textId="77777777" w:rsidR="00AB160D" w:rsidRPr="00D9605D" w:rsidRDefault="00AE4FCE">
      <w:pPr>
        <w:pStyle w:val="Heading1"/>
        <w:rPr>
          <w:color w:val="000000" w:themeColor="text1"/>
        </w:rPr>
      </w:pPr>
      <w:bookmarkStart w:id="27" w:name="_heading=h.5cabbb8htkiu" w:colFirst="0" w:colLast="0"/>
      <w:bookmarkEnd w:id="27"/>
      <w:r w:rsidRPr="00D9605D">
        <w:rPr>
          <w:color w:val="000000" w:themeColor="text1"/>
        </w:rPr>
        <w:t xml:space="preserve">Conclusion </w:t>
      </w:r>
    </w:p>
    <w:p w14:paraId="038A8712" w14:textId="77777777" w:rsidR="00AB160D" w:rsidRPr="00D9605D" w:rsidRDefault="00AE4FCE">
      <w:pPr>
        <w:rPr>
          <w:color w:val="000000" w:themeColor="text1"/>
        </w:rPr>
      </w:pPr>
      <w:r w:rsidRPr="00D9605D">
        <w:rPr>
          <w:color w:val="000000" w:themeColor="text1"/>
        </w:rPr>
        <w:t>To sum up Tesco plc shows enhanced profitability, efficiency and returns to investors but the liquidity is not so good and it needs to be observed. In general, the company enjoys a stable financial position due to good cost management and operational performance. In the case of Beard Plc, the outcomes of the investment appraisal show that the value of Option C is the greatest one through the NPV and IRR analysis. Thus, this option would maximise the shareholder wealth and allow long-term financial sustainab</w:t>
      </w:r>
      <w:r w:rsidRPr="00D9605D">
        <w:rPr>
          <w:color w:val="000000" w:themeColor="text1"/>
        </w:rPr>
        <w:t>ility with the primary emphasis on this option along with an optimal financing mix.</w:t>
      </w:r>
    </w:p>
    <w:p w14:paraId="746C62DA" w14:textId="77777777" w:rsidR="00AB160D" w:rsidRPr="00D9605D" w:rsidRDefault="00AE4FCE">
      <w:pPr>
        <w:spacing w:after="160" w:line="278" w:lineRule="auto"/>
        <w:jc w:val="left"/>
        <w:rPr>
          <w:color w:val="000000" w:themeColor="text1"/>
        </w:rPr>
      </w:pPr>
      <w:r w:rsidRPr="00D9605D">
        <w:rPr>
          <w:color w:val="000000" w:themeColor="text1"/>
        </w:rPr>
        <w:br w:type="page"/>
      </w:r>
    </w:p>
    <w:p w14:paraId="7D193090" w14:textId="77777777" w:rsidR="00AB160D" w:rsidRPr="00D9605D" w:rsidRDefault="00AE4FCE">
      <w:pPr>
        <w:pStyle w:val="Heading1"/>
        <w:rPr>
          <w:color w:val="000000" w:themeColor="text1"/>
        </w:rPr>
      </w:pPr>
      <w:bookmarkStart w:id="28" w:name="_heading=h.oozhm7w1zcew" w:colFirst="0" w:colLast="0"/>
      <w:bookmarkEnd w:id="28"/>
      <w:r w:rsidRPr="00D9605D">
        <w:rPr>
          <w:color w:val="000000" w:themeColor="text1"/>
        </w:rPr>
        <w:t>Reference List</w:t>
      </w:r>
    </w:p>
    <w:p w14:paraId="4A690FC1" w14:textId="77777777" w:rsidR="00AB160D" w:rsidRPr="00D9605D" w:rsidRDefault="00AE4FCE">
      <w:pPr>
        <w:spacing w:after="160"/>
        <w:rPr>
          <w:color w:val="000000" w:themeColor="text1"/>
        </w:rPr>
      </w:pPr>
      <w:r w:rsidRPr="00D9605D">
        <w:rPr>
          <w:color w:val="000000" w:themeColor="text1"/>
        </w:rPr>
        <w:t xml:space="preserve">Arnold, G. (2024) </w:t>
      </w:r>
      <w:r w:rsidRPr="00D9605D">
        <w:rPr>
          <w:i/>
          <w:iCs/>
          <w:color w:val="000000" w:themeColor="text1"/>
        </w:rPr>
        <w:t>Corporate Financial Management</w:t>
      </w:r>
      <w:r w:rsidRPr="00D9605D">
        <w:rPr>
          <w:color w:val="000000" w:themeColor="text1"/>
        </w:rPr>
        <w:t>. 7th edn. Harlow: Pearson Education.</w:t>
      </w:r>
    </w:p>
    <w:p w14:paraId="3B8E3A4D" w14:textId="77777777" w:rsidR="00AB160D" w:rsidRPr="00D9605D" w:rsidRDefault="00AE4FCE">
      <w:pPr>
        <w:spacing w:after="160"/>
        <w:rPr>
          <w:color w:val="000000" w:themeColor="text1"/>
        </w:rPr>
      </w:pPr>
      <w:r w:rsidRPr="00D9605D">
        <w:rPr>
          <w:color w:val="000000" w:themeColor="text1"/>
        </w:rPr>
        <w:t xml:space="preserve">Atrill, P. and McLaney, E. (2022) </w:t>
      </w:r>
      <w:r w:rsidRPr="00D9605D">
        <w:rPr>
          <w:i/>
          <w:iCs/>
          <w:color w:val="000000" w:themeColor="text1"/>
        </w:rPr>
        <w:t>Accounting and Finance for Non-Specialists</w:t>
      </w:r>
      <w:r w:rsidRPr="00D9605D">
        <w:rPr>
          <w:color w:val="000000" w:themeColor="text1"/>
        </w:rPr>
        <w:t>. 12th edn. Harlow: Pearson.</w:t>
      </w:r>
    </w:p>
    <w:p w14:paraId="5A5F77FC" w14:textId="77777777" w:rsidR="00AB160D" w:rsidRPr="00D9605D" w:rsidRDefault="00AE4FCE">
      <w:pPr>
        <w:spacing w:after="160"/>
        <w:rPr>
          <w:color w:val="000000" w:themeColor="text1"/>
        </w:rPr>
      </w:pPr>
      <w:r w:rsidRPr="00D9605D">
        <w:rPr>
          <w:color w:val="000000" w:themeColor="text1"/>
        </w:rPr>
        <w:t xml:space="preserve">Berk, J. and DeMarzo, P. (2023) </w:t>
      </w:r>
      <w:r w:rsidRPr="00D9605D">
        <w:rPr>
          <w:i/>
          <w:iCs/>
          <w:color w:val="000000" w:themeColor="text1"/>
        </w:rPr>
        <w:t>Corporate Finance</w:t>
      </w:r>
      <w:r w:rsidRPr="00D9605D">
        <w:rPr>
          <w:color w:val="000000" w:themeColor="text1"/>
        </w:rPr>
        <w:t>. 6th edn. Harlow: Pearson.</w:t>
      </w:r>
    </w:p>
    <w:p w14:paraId="1B8ADA7D" w14:textId="77777777" w:rsidR="00AB160D" w:rsidRPr="00D9605D" w:rsidRDefault="00AE4FCE">
      <w:pPr>
        <w:spacing w:after="160"/>
        <w:rPr>
          <w:color w:val="000000" w:themeColor="text1"/>
        </w:rPr>
      </w:pPr>
      <w:r w:rsidRPr="00D9605D">
        <w:rPr>
          <w:color w:val="000000" w:themeColor="text1"/>
        </w:rPr>
        <w:t xml:space="preserve">Brealey, R.A., Myers, S.C. and Allen, F. (2023) </w:t>
      </w:r>
      <w:r w:rsidRPr="00D9605D">
        <w:rPr>
          <w:i/>
          <w:iCs/>
          <w:color w:val="000000" w:themeColor="text1"/>
        </w:rPr>
        <w:t>Principles of Corporate Finance</w:t>
      </w:r>
      <w:r w:rsidRPr="00D9605D">
        <w:rPr>
          <w:color w:val="000000" w:themeColor="text1"/>
        </w:rPr>
        <w:t>. 14th edn. New York: McGraw-Hill Education.</w:t>
      </w:r>
    </w:p>
    <w:p w14:paraId="38EC9C04" w14:textId="77777777" w:rsidR="00AB160D" w:rsidRPr="00D9605D" w:rsidRDefault="00AE4FCE">
      <w:pPr>
        <w:spacing w:after="160"/>
        <w:rPr>
          <w:color w:val="000000" w:themeColor="text1"/>
        </w:rPr>
      </w:pPr>
      <w:r w:rsidRPr="00D9605D">
        <w:rPr>
          <w:color w:val="000000" w:themeColor="text1"/>
        </w:rPr>
        <w:t xml:space="preserve">Brigham, E.F. and Ehrhardt, M.C. (2023) </w:t>
      </w:r>
      <w:r w:rsidRPr="00D9605D">
        <w:rPr>
          <w:i/>
          <w:iCs/>
          <w:color w:val="000000" w:themeColor="text1"/>
        </w:rPr>
        <w:t>Financial Management: Theory and Practice</w:t>
      </w:r>
      <w:r w:rsidRPr="00D9605D">
        <w:rPr>
          <w:color w:val="000000" w:themeColor="text1"/>
        </w:rPr>
        <w:t>. 17th edn. Boston: Cengage Learning.</w:t>
      </w:r>
    </w:p>
    <w:p w14:paraId="682A1E8A" w14:textId="77777777" w:rsidR="00AB160D" w:rsidRPr="00D9605D" w:rsidRDefault="00AE4FCE">
      <w:pPr>
        <w:rPr>
          <w:color w:val="000000" w:themeColor="text1"/>
        </w:rPr>
      </w:pPr>
      <w:r w:rsidRPr="00D9605D">
        <w:rPr>
          <w:color w:val="000000" w:themeColor="text1"/>
        </w:rPr>
        <w:t>Čamaj, J., Bulková, Z. and Gašparík, J., 2025. Material flow optimization as a tool for improving logistics processes in the company. </w:t>
      </w:r>
      <w:r w:rsidRPr="00D9605D">
        <w:rPr>
          <w:i/>
          <w:iCs/>
          <w:color w:val="000000" w:themeColor="text1"/>
        </w:rPr>
        <w:t>Applied Sciences</w:t>
      </w:r>
      <w:r w:rsidRPr="00D9605D">
        <w:rPr>
          <w:color w:val="000000" w:themeColor="text1"/>
        </w:rPr>
        <w:t>, </w:t>
      </w:r>
      <w:r w:rsidRPr="00D9605D">
        <w:rPr>
          <w:i/>
          <w:iCs/>
          <w:color w:val="000000" w:themeColor="text1"/>
        </w:rPr>
        <w:t>15</w:t>
      </w:r>
      <w:r w:rsidRPr="00D9605D">
        <w:rPr>
          <w:color w:val="000000" w:themeColor="text1"/>
        </w:rPr>
        <w:t>(6), p.3116.</w:t>
      </w:r>
    </w:p>
    <w:p w14:paraId="32E29336" w14:textId="77777777" w:rsidR="00AB160D" w:rsidRPr="00D9605D" w:rsidRDefault="00AE4FCE">
      <w:pPr>
        <w:rPr>
          <w:color w:val="000000" w:themeColor="text1"/>
        </w:rPr>
      </w:pPr>
      <w:r w:rsidRPr="00D9605D">
        <w:rPr>
          <w:color w:val="000000" w:themeColor="text1"/>
        </w:rPr>
        <w:t>Catalão, I.D.P., 2022. Equity research-Tesco PLC.</w:t>
      </w:r>
    </w:p>
    <w:p w14:paraId="39365ADB" w14:textId="77777777" w:rsidR="00AB160D" w:rsidRPr="00D9605D" w:rsidRDefault="00AE4FCE">
      <w:pPr>
        <w:spacing w:before="240"/>
        <w:rPr>
          <w:color w:val="000000" w:themeColor="text1"/>
        </w:rPr>
      </w:pPr>
      <w:r w:rsidRPr="00D9605D">
        <w:rPr>
          <w:color w:val="000000" w:themeColor="text1"/>
        </w:rPr>
        <w:t>Cotter, E., 2023. Net Present Value and Payback Period: An Analysis.</w:t>
      </w:r>
    </w:p>
    <w:p w14:paraId="75484E09" w14:textId="77777777" w:rsidR="00AB160D" w:rsidRPr="00D9605D" w:rsidRDefault="00AE4FCE">
      <w:pPr>
        <w:spacing w:after="160"/>
        <w:rPr>
          <w:color w:val="000000" w:themeColor="text1"/>
        </w:rPr>
      </w:pPr>
      <w:r w:rsidRPr="00D9605D">
        <w:rPr>
          <w:color w:val="000000" w:themeColor="text1"/>
        </w:rPr>
        <w:t xml:space="preserve">Damodaran, A. (2024) </w:t>
      </w:r>
      <w:r w:rsidRPr="00D9605D">
        <w:rPr>
          <w:i/>
          <w:iCs/>
          <w:color w:val="000000" w:themeColor="text1"/>
        </w:rPr>
        <w:t>Applied Corporate Finance</w:t>
      </w:r>
      <w:r w:rsidRPr="00D9605D">
        <w:rPr>
          <w:color w:val="000000" w:themeColor="text1"/>
        </w:rPr>
        <w:t>. 5th edn. Hoboken: John Wiley &amp; Sons.</w:t>
      </w:r>
    </w:p>
    <w:p w14:paraId="71E69E3C" w14:textId="77777777" w:rsidR="00AB160D" w:rsidRPr="00D9605D" w:rsidRDefault="00AE4FCE">
      <w:pPr>
        <w:spacing w:after="160"/>
        <w:rPr>
          <w:color w:val="000000" w:themeColor="text1"/>
        </w:rPr>
      </w:pPr>
      <w:r w:rsidRPr="00D9605D">
        <w:rPr>
          <w:color w:val="000000" w:themeColor="text1"/>
        </w:rPr>
        <w:t xml:space="preserve">Drury, C. (2020) </w:t>
      </w:r>
      <w:r w:rsidRPr="00D9605D">
        <w:rPr>
          <w:i/>
          <w:iCs/>
          <w:color w:val="000000" w:themeColor="text1"/>
        </w:rPr>
        <w:t>Management and Cost Accounting</w:t>
      </w:r>
      <w:r w:rsidRPr="00D9605D">
        <w:rPr>
          <w:color w:val="000000" w:themeColor="text1"/>
        </w:rPr>
        <w:t>. 11th edn. Andover: Cengage Learning.</w:t>
      </w:r>
    </w:p>
    <w:p w14:paraId="37516473" w14:textId="77777777" w:rsidR="00AB160D" w:rsidRPr="00D9605D" w:rsidRDefault="00AE4FCE">
      <w:pPr>
        <w:spacing w:before="240"/>
        <w:rPr>
          <w:color w:val="000000" w:themeColor="text1"/>
        </w:rPr>
      </w:pPr>
      <w:r w:rsidRPr="00D9605D">
        <w:rPr>
          <w:color w:val="000000" w:themeColor="text1"/>
        </w:rPr>
        <w:t>Fan, J., 2025. Beyond NPV and IRR: An Integrated Capital Budgeting Rule for Real-World Investment Decisions. </w:t>
      </w:r>
      <w:r w:rsidRPr="00D9605D">
        <w:rPr>
          <w:i/>
          <w:iCs/>
          <w:color w:val="000000" w:themeColor="text1"/>
        </w:rPr>
        <w:t>Transactions on Economics, Business and Management Research</w:t>
      </w:r>
      <w:r w:rsidRPr="00D9605D">
        <w:rPr>
          <w:color w:val="000000" w:themeColor="text1"/>
        </w:rPr>
        <w:t>, </w:t>
      </w:r>
      <w:r w:rsidRPr="00D9605D">
        <w:rPr>
          <w:i/>
          <w:iCs/>
          <w:color w:val="000000" w:themeColor="text1"/>
        </w:rPr>
        <w:t>16</w:t>
      </w:r>
      <w:r w:rsidRPr="00D9605D">
        <w:rPr>
          <w:color w:val="000000" w:themeColor="text1"/>
        </w:rPr>
        <w:t>, pp.161-165.</w:t>
      </w:r>
    </w:p>
    <w:p w14:paraId="488764F8" w14:textId="77777777" w:rsidR="00AB160D" w:rsidRPr="00D9605D" w:rsidRDefault="00AE4FCE">
      <w:pPr>
        <w:spacing w:after="160"/>
        <w:rPr>
          <w:color w:val="000000" w:themeColor="text1"/>
        </w:rPr>
      </w:pPr>
      <w:r w:rsidRPr="00D9605D">
        <w:rPr>
          <w:color w:val="000000" w:themeColor="text1"/>
        </w:rPr>
        <w:t xml:space="preserve">Gitman, L.J., Juchau, R. and Flanagan, J. (2023) </w:t>
      </w:r>
      <w:r w:rsidRPr="00D9605D">
        <w:rPr>
          <w:i/>
          <w:iCs/>
          <w:color w:val="000000" w:themeColor="text1"/>
        </w:rPr>
        <w:t>Principles of Managerial Finance</w:t>
      </w:r>
      <w:r w:rsidRPr="00D9605D">
        <w:rPr>
          <w:color w:val="000000" w:themeColor="text1"/>
        </w:rPr>
        <w:t>. 9th Asia-Pacific edn. Melbourne: Pearson.</w:t>
      </w:r>
    </w:p>
    <w:p w14:paraId="0D396C18" w14:textId="77777777" w:rsidR="00AB160D" w:rsidRPr="00D9605D" w:rsidRDefault="00AE4FCE">
      <w:pPr>
        <w:spacing w:before="240"/>
        <w:rPr>
          <w:color w:val="000000" w:themeColor="text1"/>
        </w:rPr>
      </w:pPr>
      <w:r w:rsidRPr="00D9605D">
        <w:rPr>
          <w:color w:val="000000" w:themeColor="text1"/>
        </w:rPr>
        <w:t>Hai, T., Jaffar, H.A., Taher, H.H., Al-Rubaye, A.H., Said, E.A., Hussein, A.H.A., Alhaidry, W.A.A.H., Idan, A.H. and Salehi, A., 2024. Techno-economic and environmental analysis of a grid-connected rooftop solar photovoltaic system in three climate zones. </w:t>
      </w:r>
      <w:r w:rsidRPr="00D9605D">
        <w:rPr>
          <w:i/>
          <w:iCs/>
          <w:color w:val="000000" w:themeColor="text1"/>
        </w:rPr>
        <w:t>International Journal of Low-Carbon Technologies</w:t>
      </w:r>
      <w:r w:rsidRPr="00D9605D">
        <w:rPr>
          <w:color w:val="000000" w:themeColor="text1"/>
        </w:rPr>
        <w:t>, </w:t>
      </w:r>
      <w:r w:rsidRPr="00D9605D">
        <w:rPr>
          <w:i/>
          <w:iCs/>
          <w:color w:val="000000" w:themeColor="text1"/>
        </w:rPr>
        <w:t>19</w:t>
      </w:r>
      <w:r w:rsidRPr="00D9605D">
        <w:rPr>
          <w:color w:val="000000" w:themeColor="text1"/>
        </w:rPr>
        <w:t>, pp.1725-1739.</w:t>
      </w:r>
    </w:p>
    <w:p w14:paraId="6EF47AB4" w14:textId="77777777" w:rsidR="00AB160D" w:rsidRPr="00D9605D" w:rsidRDefault="00AE4FCE">
      <w:pPr>
        <w:spacing w:before="240"/>
        <w:rPr>
          <w:color w:val="000000" w:themeColor="text1"/>
        </w:rPr>
      </w:pPr>
      <w:r w:rsidRPr="00D9605D">
        <w:rPr>
          <w:color w:val="000000" w:themeColor="text1"/>
        </w:rPr>
        <w:t>Lilford, E., 2023. Natural resources: Cost of capital and discounting–Risk and uncertainty. </w:t>
      </w:r>
      <w:r w:rsidRPr="00D9605D">
        <w:rPr>
          <w:i/>
          <w:iCs/>
          <w:color w:val="000000" w:themeColor="text1"/>
        </w:rPr>
        <w:t>Resources Policy</w:t>
      </w:r>
      <w:r w:rsidRPr="00D9605D">
        <w:rPr>
          <w:color w:val="000000" w:themeColor="text1"/>
        </w:rPr>
        <w:t>, </w:t>
      </w:r>
      <w:r w:rsidRPr="00D9605D">
        <w:rPr>
          <w:i/>
          <w:iCs/>
          <w:color w:val="000000" w:themeColor="text1"/>
        </w:rPr>
        <w:t>80</w:t>
      </w:r>
      <w:r w:rsidRPr="00D9605D">
        <w:rPr>
          <w:color w:val="000000" w:themeColor="text1"/>
        </w:rPr>
        <w:t>, p.103242.</w:t>
      </w:r>
    </w:p>
    <w:p w14:paraId="34144F1E" w14:textId="77777777" w:rsidR="00AB160D" w:rsidRPr="00D9605D" w:rsidRDefault="00AE4FCE">
      <w:pPr>
        <w:spacing w:before="240"/>
        <w:rPr>
          <w:color w:val="000000" w:themeColor="text1"/>
        </w:rPr>
      </w:pPr>
      <w:r w:rsidRPr="00D9605D">
        <w:rPr>
          <w:color w:val="000000" w:themeColor="text1"/>
        </w:rPr>
        <w:t>Lin, J., 2023. A comparative study on the application of NPV and IRR in financial market investment decisions. </w:t>
      </w:r>
      <w:r w:rsidRPr="00D9605D">
        <w:rPr>
          <w:i/>
          <w:iCs/>
          <w:color w:val="000000" w:themeColor="text1"/>
        </w:rPr>
        <w:t>Academic Journal of Business &amp; Management</w:t>
      </w:r>
      <w:r w:rsidRPr="00D9605D">
        <w:rPr>
          <w:color w:val="000000" w:themeColor="text1"/>
        </w:rPr>
        <w:t>, </w:t>
      </w:r>
      <w:r w:rsidRPr="00D9605D">
        <w:rPr>
          <w:i/>
          <w:iCs/>
          <w:color w:val="000000" w:themeColor="text1"/>
        </w:rPr>
        <w:t>5</w:t>
      </w:r>
      <w:r w:rsidRPr="00D9605D">
        <w:rPr>
          <w:color w:val="000000" w:themeColor="text1"/>
        </w:rPr>
        <w:t>(4), pp.51-54.</w:t>
      </w:r>
    </w:p>
    <w:p w14:paraId="0A2BF1D1" w14:textId="77777777" w:rsidR="00AB160D" w:rsidRPr="00D9605D" w:rsidRDefault="00AE4FCE">
      <w:pPr>
        <w:spacing w:before="240"/>
        <w:rPr>
          <w:color w:val="000000" w:themeColor="text1"/>
        </w:rPr>
      </w:pPr>
      <w:r w:rsidRPr="00D9605D">
        <w:rPr>
          <w:color w:val="000000" w:themeColor="text1"/>
        </w:rPr>
        <w:t>Magni, C.A. and Martin, J.D., 2025. The two sides of the reinvestment assumption fallacy in IRR and NPV. </w:t>
      </w:r>
      <w:r w:rsidRPr="00D9605D">
        <w:rPr>
          <w:i/>
          <w:iCs/>
          <w:color w:val="000000" w:themeColor="text1"/>
        </w:rPr>
        <w:t>The Engineering Economist</w:t>
      </w:r>
      <w:r w:rsidRPr="00D9605D">
        <w:rPr>
          <w:color w:val="000000" w:themeColor="text1"/>
        </w:rPr>
        <w:t>, </w:t>
      </w:r>
      <w:r w:rsidRPr="00D9605D">
        <w:rPr>
          <w:i/>
          <w:iCs/>
          <w:color w:val="000000" w:themeColor="text1"/>
        </w:rPr>
        <w:t>70</w:t>
      </w:r>
      <w:r w:rsidRPr="00D9605D">
        <w:rPr>
          <w:color w:val="000000" w:themeColor="text1"/>
        </w:rPr>
        <w:t>(3), pp.122-151.</w:t>
      </w:r>
    </w:p>
    <w:p w14:paraId="52E89014" w14:textId="77777777" w:rsidR="00AB160D" w:rsidRPr="00D9605D" w:rsidRDefault="00AE4FCE">
      <w:pPr>
        <w:rPr>
          <w:color w:val="000000" w:themeColor="text1"/>
        </w:rPr>
      </w:pPr>
      <w:r w:rsidRPr="00D9605D">
        <w:rPr>
          <w:color w:val="000000" w:themeColor="text1"/>
        </w:rPr>
        <w:t>Matthews, A., 2023. Food price situation in Europe. </w:t>
      </w:r>
      <w:r w:rsidRPr="00D9605D">
        <w:rPr>
          <w:i/>
          <w:iCs/>
          <w:color w:val="000000" w:themeColor="text1"/>
        </w:rPr>
        <w:t>Studies in Agricultural Economics</w:t>
      </w:r>
      <w:r w:rsidRPr="00D9605D">
        <w:rPr>
          <w:color w:val="000000" w:themeColor="text1"/>
        </w:rPr>
        <w:t>, </w:t>
      </w:r>
      <w:r w:rsidRPr="00D9605D">
        <w:rPr>
          <w:i/>
          <w:iCs/>
          <w:color w:val="000000" w:themeColor="text1"/>
        </w:rPr>
        <w:t>125</w:t>
      </w:r>
      <w:r w:rsidRPr="00D9605D">
        <w:rPr>
          <w:color w:val="000000" w:themeColor="text1"/>
        </w:rPr>
        <w:t>(2), pp.60-68.</w:t>
      </w:r>
    </w:p>
    <w:p w14:paraId="3EEC2F19" w14:textId="77777777" w:rsidR="00AB160D" w:rsidRPr="00D9605D" w:rsidRDefault="00AE4FCE">
      <w:pPr>
        <w:rPr>
          <w:color w:val="000000" w:themeColor="text1"/>
        </w:rPr>
      </w:pPr>
      <w:r w:rsidRPr="00D9605D">
        <w:rPr>
          <w:color w:val="000000" w:themeColor="text1"/>
        </w:rPr>
        <w:t>Meadows, J., Montano, M., Alfar, A.J., Başkan, Ö.Y., De Brún, C., Hill, J., McClatchey, R., Kallfa, N. and Fernandes, G.S., 2024. The impact of the cost-of-living crisis on population health in the UK: rapid evidence review. </w:t>
      </w:r>
      <w:r w:rsidRPr="00D9605D">
        <w:rPr>
          <w:i/>
          <w:iCs/>
          <w:color w:val="000000" w:themeColor="text1"/>
        </w:rPr>
        <w:t>BMC Public Health</w:t>
      </w:r>
      <w:r w:rsidRPr="00D9605D">
        <w:rPr>
          <w:color w:val="000000" w:themeColor="text1"/>
        </w:rPr>
        <w:t>, </w:t>
      </w:r>
      <w:r w:rsidRPr="00D9605D">
        <w:rPr>
          <w:i/>
          <w:iCs/>
          <w:color w:val="000000" w:themeColor="text1"/>
        </w:rPr>
        <w:t>24</w:t>
      </w:r>
      <w:r w:rsidRPr="00D9605D">
        <w:rPr>
          <w:color w:val="000000" w:themeColor="text1"/>
        </w:rPr>
        <w:t>(1), p.561.</w:t>
      </w:r>
    </w:p>
    <w:p w14:paraId="05D7B823" w14:textId="77777777" w:rsidR="00AB160D" w:rsidRPr="00D9605D" w:rsidRDefault="00AE4FCE">
      <w:pPr>
        <w:rPr>
          <w:color w:val="000000" w:themeColor="text1"/>
        </w:rPr>
      </w:pPr>
      <w:r w:rsidRPr="00D9605D">
        <w:rPr>
          <w:color w:val="000000" w:themeColor="text1"/>
        </w:rPr>
        <w:t xml:space="preserve">MOFSL; 2026. </w:t>
      </w:r>
      <w:r w:rsidRPr="00D9605D">
        <w:rPr>
          <w:i/>
          <w:iCs/>
          <w:color w:val="000000" w:themeColor="text1"/>
        </w:rPr>
        <w:t>MORE Retail Plans 2000 Cr IPO in 2026, Targets 3000 Stores by 2030</w:t>
      </w:r>
      <w:r w:rsidRPr="00D9605D">
        <w:rPr>
          <w:color w:val="000000" w:themeColor="text1"/>
        </w:rPr>
        <w:t xml:space="preserve"> [Online] Available At: </w:t>
      </w:r>
      <w:hyperlink r:id="rId9" w:anchor=":~">
        <w:r w:rsidRPr="00D9605D">
          <w:rPr>
            <w:color w:val="000000" w:themeColor="text1"/>
            <w:u w:val="single"/>
          </w:rPr>
          <w:t>https://www.motilaloswal.com/learning-centre/2026/3/more-retail-plans-rs-2000-cr-ipo-in-2026-targets-3000-stores-by-2030#:~</w:t>
        </w:r>
      </w:hyperlink>
      <w:r w:rsidRPr="00D9605D">
        <w:rPr>
          <w:color w:val="000000" w:themeColor="text1"/>
        </w:rPr>
        <w:t>:  [Accessed On: 9/04/2026]</w:t>
      </w:r>
    </w:p>
    <w:p w14:paraId="3FBFD954" w14:textId="77777777" w:rsidR="00AB160D" w:rsidRPr="00D9605D" w:rsidRDefault="00AE4FCE">
      <w:pPr>
        <w:spacing w:before="240"/>
        <w:rPr>
          <w:color w:val="000000" w:themeColor="text1"/>
        </w:rPr>
      </w:pPr>
      <w:r w:rsidRPr="00D9605D">
        <w:rPr>
          <w:color w:val="000000" w:themeColor="text1"/>
        </w:rPr>
        <w:t>Naomi, I.W., 2023. Effects of Debt Financing on Financial Performance of Manufacturing Firms in Kenya. </w:t>
      </w:r>
      <w:r w:rsidRPr="00D9605D">
        <w:rPr>
          <w:i/>
          <w:iCs/>
          <w:color w:val="000000" w:themeColor="text1"/>
        </w:rPr>
        <w:t>African Journal of Commercial Studies</w:t>
      </w:r>
      <w:r w:rsidRPr="00D9605D">
        <w:rPr>
          <w:color w:val="000000" w:themeColor="text1"/>
        </w:rPr>
        <w:t>, </w:t>
      </w:r>
      <w:r w:rsidRPr="00D9605D">
        <w:rPr>
          <w:i/>
          <w:iCs/>
          <w:color w:val="000000" w:themeColor="text1"/>
        </w:rPr>
        <w:t>3</w:t>
      </w:r>
      <w:r w:rsidRPr="00D9605D">
        <w:rPr>
          <w:color w:val="000000" w:themeColor="text1"/>
        </w:rPr>
        <w:t>(2), pp.86-95.</w:t>
      </w:r>
    </w:p>
    <w:p w14:paraId="3E013159" w14:textId="77777777" w:rsidR="00AB160D" w:rsidRPr="00D9605D" w:rsidRDefault="00AE4FCE">
      <w:pPr>
        <w:spacing w:before="240"/>
        <w:rPr>
          <w:color w:val="000000" w:themeColor="text1"/>
        </w:rPr>
      </w:pPr>
      <w:r w:rsidRPr="00D9605D">
        <w:rPr>
          <w:color w:val="000000" w:themeColor="text1"/>
        </w:rPr>
        <w:t>Prasad, N.N., 2025. </w:t>
      </w:r>
      <w:r w:rsidRPr="00D9605D">
        <w:rPr>
          <w:i/>
          <w:iCs/>
          <w:color w:val="000000" w:themeColor="text1"/>
        </w:rPr>
        <w:t>Financial Management and Macroeconomics</w:t>
      </w:r>
      <w:r w:rsidRPr="00D9605D">
        <w:rPr>
          <w:color w:val="000000" w:themeColor="text1"/>
        </w:rPr>
        <w:t>. Shineeks Publishers.</w:t>
      </w:r>
    </w:p>
    <w:p w14:paraId="4ECF0843" w14:textId="77777777" w:rsidR="00AB160D" w:rsidRPr="00D9605D" w:rsidRDefault="00AE4FCE">
      <w:pPr>
        <w:spacing w:before="240"/>
        <w:rPr>
          <w:color w:val="000000" w:themeColor="text1"/>
        </w:rPr>
      </w:pPr>
      <w:r w:rsidRPr="00D9605D">
        <w:rPr>
          <w:color w:val="000000" w:themeColor="text1"/>
        </w:rPr>
        <w:t>Prismanda, B.S., Witono, Y., Belgis, M. and Afriliana, A., 2023. Financial Feasibility Analysis of the Inferior Robusta Coffee Beans Selling Using the Fermentation Method with Kefir Starter at CV. Asmak Kopi. </w:t>
      </w:r>
      <w:r w:rsidRPr="00D9605D">
        <w:rPr>
          <w:i/>
          <w:iCs/>
          <w:color w:val="000000" w:themeColor="text1"/>
        </w:rPr>
        <w:t>Asian Journal of Agricultural Extension, Economics &amp; Sociology</w:t>
      </w:r>
      <w:r w:rsidRPr="00D9605D">
        <w:rPr>
          <w:color w:val="000000" w:themeColor="text1"/>
        </w:rPr>
        <w:t>, </w:t>
      </w:r>
      <w:r w:rsidRPr="00D9605D">
        <w:rPr>
          <w:i/>
          <w:iCs/>
          <w:color w:val="000000" w:themeColor="text1"/>
        </w:rPr>
        <w:t>41</w:t>
      </w:r>
      <w:r w:rsidRPr="00D9605D">
        <w:rPr>
          <w:color w:val="000000" w:themeColor="text1"/>
        </w:rPr>
        <w:t>(9), pp.900-908.</w:t>
      </w:r>
    </w:p>
    <w:p w14:paraId="777CBF83" w14:textId="77777777" w:rsidR="00AB160D" w:rsidRPr="00D9605D" w:rsidRDefault="00AE4FCE">
      <w:pPr>
        <w:spacing w:before="240"/>
        <w:rPr>
          <w:color w:val="000000" w:themeColor="text1"/>
        </w:rPr>
      </w:pPr>
      <w:r w:rsidRPr="00D9605D">
        <w:rPr>
          <w:color w:val="000000" w:themeColor="text1"/>
        </w:rPr>
        <w:t>Quaranta, D., 2024. Strategies to improve the carbon footprint of industrial zones and their competitiveness: Implications of the adoption of an ESG framework to measure performances of industrial zones and identify potential interventions. A study of two industrial zones in Morocco.</w:t>
      </w:r>
    </w:p>
    <w:p w14:paraId="07CC083E" w14:textId="77777777" w:rsidR="00AB160D" w:rsidRPr="00D9605D" w:rsidRDefault="00AE4FCE">
      <w:pPr>
        <w:spacing w:before="240"/>
        <w:rPr>
          <w:color w:val="000000" w:themeColor="text1"/>
        </w:rPr>
      </w:pPr>
      <w:r w:rsidRPr="00D9605D">
        <w:rPr>
          <w:color w:val="000000" w:themeColor="text1"/>
        </w:rPr>
        <w:t>Rejison, P., 2024. Alternative financing options available to businesses. </w:t>
      </w:r>
      <w:r w:rsidRPr="00D9605D">
        <w:rPr>
          <w:i/>
          <w:iCs/>
          <w:color w:val="000000" w:themeColor="text1"/>
        </w:rPr>
        <w:t>Available at SSRN 5063815</w:t>
      </w:r>
      <w:r w:rsidRPr="00D9605D">
        <w:rPr>
          <w:color w:val="000000" w:themeColor="text1"/>
        </w:rPr>
        <w:t>.</w:t>
      </w:r>
    </w:p>
    <w:p w14:paraId="3964EB8B" w14:textId="77777777" w:rsidR="00AB160D" w:rsidRPr="00D9605D" w:rsidRDefault="00AE4FCE">
      <w:pPr>
        <w:spacing w:after="160"/>
        <w:rPr>
          <w:color w:val="000000" w:themeColor="text1"/>
        </w:rPr>
      </w:pPr>
      <w:r w:rsidRPr="00D9605D">
        <w:rPr>
          <w:color w:val="000000" w:themeColor="text1"/>
        </w:rPr>
        <w:t xml:space="preserve">Ross, S.A., Westerfield, R.W. and Jordan, B.D. (2022) </w:t>
      </w:r>
      <w:r w:rsidRPr="00D9605D">
        <w:rPr>
          <w:i/>
          <w:iCs/>
          <w:color w:val="000000" w:themeColor="text1"/>
        </w:rPr>
        <w:t>Fundamentals of Corporate Finance</w:t>
      </w:r>
      <w:r w:rsidRPr="00D9605D">
        <w:rPr>
          <w:color w:val="000000" w:themeColor="text1"/>
        </w:rPr>
        <w:t>. 13th edn. New York: McGraw-Hill Education.</w:t>
      </w:r>
    </w:p>
    <w:p w14:paraId="6FAD1619" w14:textId="77777777" w:rsidR="00AB160D" w:rsidRPr="00D9605D" w:rsidRDefault="00AE4FCE">
      <w:pPr>
        <w:spacing w:before="240"/>
        <w:rPr>
          <w:color w:val="000000" w:themeColor="text1"/>
        </w:rPr>
      </w:pPr>
      <w:r w:rsidRPr="00D9605D">
        <w:rPr>
          <w:color w:val="000000" w:themeColor="text1"/>
        </w:rPr>
        <w:t>Sekhar, S.C., 2025. Reassessing The Role Of Net Present Value In Capital Budgeting Decisions. </w:t>
      </w:r>
      <w:r w:rsidRPr="00D9605D">
        <w:rPr>
          <w:i/>
          <w:iCs/>
          <w:color w:val="000000" w:themeColor="text1"/>
        </w:rPr>
        <w:t>International Journal of Research and Analytical Reviews</w:t>
      </w:r>
      <w:r w:rsidRPr="00D9605D">
        <w:rPr>
          <w:color w:val="000000" w:themeColor="text1"/>
        </w:rPr>
        <w:t>.</w:t>
      </w:r>
    </w:p>
    <w:p w14:paraId="5E35BEC8" w14:textId="77777777" w:rsidR="00AB160D" w:rsidRPr="00D9605D" w:rsidRDefault="00AE4FCE">
      <w:pPr>
        <w:spacing w:before="240"/>
        <w:rPr>
          <w:color w:val="000000" w:themeColor="text1"/>
        </w:rPr>
      </w:pPr>
      <w:r w:rsidRPr="00D9605D">
        <w:rPr>
          <w:color w:val="000000" w:themeColor="text1"/>
        </w:rPr>
        <w:t>Singh, A.D. and Chatterjee, V., 2025. Capital Budgeting Decisions Using Net Present Value and Internal Rate of Return Techniques. </w:t>
      </w:r>
      <w:r w:rsidRPr="00D9605D">
        <w:rPr>
          <w:i/>
          <w:iCs/>
          <w:color w:val="000000" w:themeColor="text1"/>
        </w:rPr>
        <w:t>Global Perspectives in Management</w:t>
      </w:r>
      <w:r w:rsidRPr="00D9605D">
        <w:rPr>
          <w:color w:val="000000" w:themeColor="text1"/>
        </w:rPr>
        <w:t>, </w:t>
      </w:r>
      <w:r w:rsidRPr="00D9605D">
        <w:rPr>
          <w:i/>
          <w:iCs/>
          <w:color w:val="000000" w:themeColor="text1"/>
        </w:rPr>
        <w:t>3</w:t>
      </w:r>
      <w:r w:rsidRPr="00D9605D">
        <w:rPr>
          <w:color w:val="000000" w:themeColor="text1"/>
        </w:rPr>
        <w:t>(1), pp.48-59.</w:t>
      </w:r>
    </w:p>
    <w:p w14:paraId="4EE4E8AE" w14:textId="77777777" w:rsidR="00AB160D" w:rsidRPr="00D9605D" w:rsidRDefault="00AE4FCE">
      <w:pPr>
        <w:spacing w:before="240"/>
        <w:rPr>
          <w:color w:val="000000" w:themeColor="text1"/>
        </w:rPr>
      </w:pPr>
      <w:r w:rsidRPr="00D9605D">
        <w:rPr>
          <w:color w:val="000000" w:themeColor="text1"/>
        </w:rPr>
        <w:t>Sokolov, M.V., 2024. Npv, irr, pi, pp, and dpp: a unified view. </w:t>
      </w:r>
      <w:r w:rsidRPr="00D9605D">
        <w:rPr>
          <w:i/>
          <w:iCs/>
          <w:color w:val="000000" w:themeColor="text1"/>
        </w:rPr>
        <w:t>Journal of Mathematical Economics</w:t>
      </w:r>
      <w:r w:rsidRPr="00D9605D">
        <w:rPr>
          <w:color w:val="000000" w:themeColor="text1"/>
        </w:rPr>
        <w:t>, </w:t>
      </w:r>
      <w:r w:rsidRPr="00D9605D">
        <w:rPr>
          <w:i/>
          <w:iCs/>
          <w:color w:val="000000" w:themeColor="text1"/>
        </w:rPr>
        <w:t>114</w:t>
      </w:r>
      <w:r w:rsidRPr="00D9605D">
        <w:rPr>
          <w:color w:val="000000" w:themeColor="text1"/>
        </w:rPr>
        <w:t>, p.102992.</w:t>
      </w:r>
    </w:p>
    <w:p w14:paraId="3EBF35E0" w14:textId="77777777" w:rsidR="00AB160D" w:rsidRPr="00D9605D" w:rsidRDefault="00AE4FCE">
      <w:pPr>
        <w:rPr>
          <w:color w:val="000000" w:themeColor="text1"/>
        </w:rPr>
      </w:pPr>
      <w:hyperlink r:id="rId10">
        <w:r w:rsidRPr="00D9605D">
          <w:rPr>
            <w:color w:val="000000" w:themeColor="text1"/>
          </w:rPr>
          <w:t>Statista Research Department</w:t>
        </w:r>
      </w:hyperlink>
      <w:r w:rsidRPr="00D9605D">
        <w:rPr>
          <w:color w:val="000000" w:themeColor="text1"/>
        </w:rPr>
        <w:t xml:space="preserve">; 2025. </w:t>
      </w:r>
      <w:r w:rsidRPr="00D9605D">
        <w:rPr>
          <w:i/>
          <w:iCs/>
          <w:color w:val="000000" w:themeColor="text1"/>
        </w:rPr>
        <w:t>Tesco PLC</w:t>
      </w:r>
      <w:r w:rsidRPr="00D9605D">
        <w:rPr>
          <w:color w:val="000000" w:themeColor="text1"/>
        </w:rPr>
        <w:t xml:space="preserve"> [Online] Available At: </w:t>
      </w:r>
      <w:hyperlink r:id="rId11" w:anchor="topicOverview">
        <w:r w:rsidRPr="00D9605D">
          <w:rPr>
            <w:color w:val="000000" w:themeColor="text1"/>
            <w:u w:val="single"/>
          </w:rPr>
          <w:t>https://www.statista.com/topics/3807/tesco-plc/#topicOverview</w:t>
        </w:r>
      </w:hyperlink>
      <w:r w:rsidRPr="00D9605D">
        <w:rPr>
          <w:color w:val="000000" w:themeColor="text1"/>
        </w:rPr>
        <w:t xml:space="preserve"> [Accessed On: 9/04/2026]</w:t>
      </w:r>
    </w:p>
    <w:p w14:paraId="4882A3F9" w14:textId="77777777" w:rsidR="00AB160D" w:rsidRPr="00D9605D" w:rsidRDefault="00AE4FCE">
      <w:pPr>
        <w:spacing w:before="240"/>
        <w:rPr>
          <w:color w:val="000000" w:themeColor="text1"/>
        </w:rPr>
      </w:pPr>
      <w:r w:rsidRPr="00D9605D">
        <w:rPr>
          <w:color w:val="000000" w:themeColor="text1"/>
        </w:rPr>
        <w:t>Wangchuk, P., 2022. Application of depreciation net present value and internal rate of return in engineering projects a brief literature review. </w:t>
      </w:r>
      <w:r w:rsidRPr="00D9605D">
        <w:rPr>
          <w:i/>
          <w:iCs/>
          <w:color w:val="000000" w:themeColor="text1"/>
        </w:rPr>
        <w:t>Journal of Applied Engineering, Technology and Management</w:t>
      </w:r>
      <w:r w:rsidRPr="00D9605D">
        <w:rPr>
          <w:color w:val="000000" w:themeColor="text1"/>
        </w:rPr>
        <w:t>, </w:t>
      </w:r>
      <w:r w:rsidRPr="00D9605D">
        <w:rPr>
          <w:i/>
          <w:iCs/>
          <w:color w:val="000000" w:themeColor="text1"/>
        </w:rPr>
        <w:t>2</w:t>
      </w:r>
      <w:r w:rsidRPr="00D9605D">
        <w:rPr>
          <w:color w:val="000000" w:themeColor="text1"/>
        </w:rPr>
        <w:t>(1), pp.25-30.</w:t>
      </w:r>
    </w:p>
    <w:p w14:paraId="56D959E1" w14:textId="77777777" w:rsidR="00AB160D" w:rsidRPr="00D9605D" w:rsidRDefault="00AE4FCE">
      <w:pPr>
        <w:spacing w:after="160"/>
        <w:rPr>
          <w:color w:val="000000" w:themeColor="text1"/>
        </w:rPr>
      </w:pPr>
      <w:r w:rsidRPr="00D9605D">
        <w:rPr>
          <w:color w:val="000000" w:themeColor="text1"/>
        </w:rPr>
        <w:t xml:space="preserve">Watson, D. and Head, A. (2022) </w:t>
      </w:r>
      <w:r w:rsidRPr="00D9605D">
        <w:rPr>
          <w:i/>
          <w:iCs/>
          <w:color w:val="000000" w:themeColor="text1"/>
        </w:rPr>
        <w:t>Corporate Finance: Principles and Practice</w:t>
      </w:r>
      <w:r w:rsidRPr="00D9605D">
        <w:rPr>
          <w:color w:val="000000" w:themeColor="text1"/>
        </w:rPr>
        <w:t>. 9th edn. Harlow: Pearson.</w:t>
      </w:r>
    </w:p>
    <w:p w14:paraId="6B59DF15" w14:textId="77777777" w:rsidR="00AB160D" w:rsidRPr="00D9605D" w:rsidRDefault="00AE4FCE">
      <w:pPr>
        <w:spacing w:before="240"/>
        <w:rPr>
          <w:color w:val="000000" w:themeColor="text1"/>
        </w:rPr>
      </w:pPr>
      <w:r w:rsidRPr="00D9605D">
        <w:rPr>
          <w:color w:val="000000" w:themeColor="text1"/>
        </w:rPr>
        <w:t>Yuxiu, Z., 2025. Financial Leasing Company. In </w:t>
      </w:r>
      <w:r w:rsidRPr="00D9605D">
        <w:rPr>
          <w:i/>
          <w:iCs/>
          <w:color w:val="000000" w:themeColor="text1"/>
        </w:rPr>
        <w:t>Dictionary of Contemporary Chinese Economics</w:t>
      </w:r>
      <w:r w:rsidRPr="00D9605D">
        <w:rPr>
          <w:color w:val="000000" w:themeColor="text1"/>
        </w:rPr>
        <w:t> (pp. 1739-1741). Singapore: Springer Nature Singapore.</w:t>
      </w:r>
    </w:p>
    <w:p w14:paraId="71D01A5E" w14:textId="77777777" w:rsidR="00AB160D" w:rsidRPr="00D9605D" w:rsidRDefault="00AB160D">
      <w:pPr>
        <w:rPr>
          <w:color w:val="000000" w:themeColor="text1"/>
        </w:rPr>
      </w:pPr>
    </w:p>
    <w:p w14:paraId="57907E02" w14:textId="77777777" w:rsidR="00AB160D" w:rsidRPr="00D9605D" w:rsidRDefault="00AB160D">
      <w:pPr>
        <w:spacing w:before="240"/>
        <w:rPr>
          <w:color w:val="000000" w:themeColor="text1"/>
        </w:rPr>
      </w:pPr>
    </w:p>
    <w:p w14:paraId="5D3F084A" w14:textId="77777777" w:rsidR="00AB160D" w:rsidRPr="00D9605D" w:rsidRDefault="00AE4FCE">
      <w:pPr>
        <w:spacing w:after="160" w:line="278" w:lineRule="auto"/>
        <w:jc w:val="left"/>
        <w:rPr>
          <w:color w:val="000000" w:themeColor="text1"/>
        </w:rPr>
      </w:pPr>
      <w:r w:rsidRPr="00D9605D">
        <w:rPr>
          <w:color w:val="000000" w:themeColor="text1"/>
        </w:rPr>
        <w:br w:type="page"/>
      </w:r>
    </w:p>
    <w:p w14:paraId="562DD87F" w14:textId="77777777" w:rsidR="00AB160D" w:rsidRPr="00D9605D" w:rsidRDefault="00AE4FCE">
      <w:pPr>
        <w:pStyle w:val="Heading1"/>
        <w:rPr>
          <w:color w:val="000000" w:themeColor="text1"/>
        </w:rPr>
      </w:pPr>
      <w:bookmarkStart w:id="29" w:name="_heading=h.ywrmi1ca7ciu" w:colFirst="0" w:colLast="0"/>
      <w:bookmarkEnd w:id="29"/>
      <w:r w:rsidRPr="00D9605D">
        <w:rPr>
          <w:color w:val="000000" w:themeColor="text1"/>
        </w:rPr>
        <w:t>Appendices</w:t>
      </w:r>
    </w:p>
    <w:p w14:paraId="37D76345" w14:textId="77777777" w:rsidR="00AB160D" w:rsidRPr="00D9605D" w:rsidRDefault="00AE4FCE">
      <w:pPr>
        <w:pStyle w:val="Heading2"/>
        <w:rPr>
          <w:color w:val="000000" w:themeColor="text1"/>
        </w:rPr>
      </w:pPr>
      <w:bookmarkStart w:id="30" w:name="_heading=h.zenq9hljm72w" w:colFirst="0" w:colLast="0"/>
      <w:bookmarkEnd w:id="30"/>
      <w:r w:rsidRPr="00D9605D">
        <w:rPr>
          <w:color w:val="000000" w:themeColor="text1"/>
        </w:rPr>
        <w:t>Appendix A: FINANCIAL STATEMENTS</w:t>
      </w:r>
    </w:p>
    <w:p w14:paraId="5D080D74" w14:textId="77777777" w:rsidR="00AB160D" w:rsidRPr="00D9605D" w:rsidRDefault="00AE4FCE">
      <w:pPr>
        <w:rPr>
          <w:b/>
          <w:bCs/>
          <w:color w:val="000000" w:themeColor="text1"/>
        </w:rPr>
      </w:pPr>
      <w:r w:rsidRPr="00D9605D">
        <w:rPr>
          <w:b/>
          <w:bCs/>
          <w:color w:val="000000" w:themeColor="text1"/>
        </w:rPr>
        <w:t>Appendix A1: Income Statement</w:t>
      </w:r>
    </w:p>
    <w:tbl>
      <w:tblPr>
        <w:tblStyle w:val="aa"/>
        <w:tblW w:w="525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9"/>
        <w:gridCol w:w="1708"/>
        <w:gridCol w:w="1708"/>
      </w:tblGrid>
      <w:tr w:rsidR="00AB160D" w:rsidRPr="00D9605D" w14:paraId="694241D9" w14:textId="77777777">
        <w:trPr>
          <w:jc w:val="center"/>
        </w:trPr>
        <w:tc>
          <w:tcPr>
            <w:tcW w:w="1839" w:type="dxa"/>
          </w:tcPr>
          <w:p w14:paraId="18F90E9C" w14:textId="77777777" w:rsidR="00AB160D" w:rsidRPr="00D9605D" w:rsidRDefault="00AE4FCE">
            <w:pPr>
              <w:spacing w:after="160"/>
              <w:rPr>
                <w:b/>
                <w:bCs/>
                <w:color w:val="000000" w:themeColor="text1"/>
              </w:rPr>
            </w:pPr>
            <w:r w:rsidRPr="00D9605D">
              <w:rPr>
                <w:b/>
                <w:bCs/>
                <w:color w:val="000000" w:themeColor="text1"/>
              </w:rPr>
              <w:t>(£ million)</w:t>
            </w:r>
          </w:p>
        </w:tc>
        <w:tc>
          <w:tcPr>
            <w:tcW w:w="1708" w:type="dxa"/>
          </w:tcPr>
          <w:p w14:paraId="25B226A1" w14:textId="77777777" w:rsidR="00AB160D" w:rsidRPr="00D9605D" w:rsidRDefault="00AE4FCE">
            <w:pPr>
              <w:spacing w:after="160"/>
              <w:rPr>
                <w:b/>
                <w:bCs/>
                <w:color w:val="000000" w:themeColor="text1"/>
              </w:rPr>
            </w:pPr>
            <w:r w:rsidRPr="00D9605D">
              <w:rPr>
                <w:b/>
                <w:bCs/>
                <w:color w:val="000000" w:themeColor="text1"/>
              </w:rPr>
              <w:t>2024</w:t>
            </w:r>
          </w:p>
        </w:tc>
        <w:tc>
          <w:tcPr>
            <w:tcW w:w="1708" w:type="dxa"/>
          </w:tcPr>
          <w:p w14:paraId="3E80AB8E" w14:textId="77777777" w:rsidR="00AB160D" w:rsidRPr="00D9605D" w:rsidRDefault="00AE4FCE">
            <w:pPr>
              <w:spacing w:after="160"/>
              <w:rPr>
                <w:b/>
                <w:bCs/>
                <w:color w:val="000000" w:themeColor="text1"/>
              </w:rPr>
            </w:pPr>
            <w:r w:rsidRPr="00D9605D">
              <w:rPr>
                <w:b/>
                <w:bCs/>
                <w:color w:val="000000" w:themeColor="text1"/>
              </w:rPr>
              <w:t>2025</w:t>
            </w:r>
          </w:p>
        </w:tc>
      </w:tr>
      <w:tr w:rsidR="00AB160D" w:rsidRPr="00D9605D" w14:paraId="3166BEB3" w14:textId="77777777">
        <w:trPr>
          <w:jc w:val="center"/>
        </w:trPr>
        <w:tc>
          <w:tcPr>
            <w:tcW w:w="1839" w:type="dxa"/>
          </w:tcPr>
          <w:p w14:paraId="2DE504D0" w14:textId="77777777" w:rsidR="00AB160D" w:rsidRPr="00D9605D" w:rsidRDefault="00AE4FCE">
            <w:pPr>
              <w:spacing w:after="160"/>
              <w:rPr>
                <w:color w:val="000000" w:themeColor="text1"/>
              </w:rPr>
            </w:pPr>
            <w:r w:rsidRPr="00D9605D">
              <w:rPr>
                <w:color w:val="000000" w:themeColor="text1"/>
              </w:rPr>
              <w:t>Revenue</w:t>
            </w:r>
          </w:p>
        </w:tc>
        <w:tc>
          <w:tcPr>
            <w:tcW w:w="1708" w:type="dxa"/>
          </w:tcPr>
          <w:p w14:paraId="45F67761" w14:textId="77777777" w:rsidR="00AB160D" w:rsidRPr="00D9605D" w:rsidRDefault="00AE4FCE">
            <w:pPr>
              <w:spacing w:after="160"/>
              <w:rPr>
                <w:color w:val="000000" w:themeColor="text1"/>
              </w:rPr>
            </w:pPr>
            <w:r w:rsidRPr="00D9605D">
              <w:rPr>
                <w:color w:val="000000" w:themeColor="text1"/>
              </w:rPr>
              <w:t>61,476</w:t>
            </w:r>
          </w:p>
        </w:tc>
        <w:tc>
          <w:tcPr>
            <w:tcW w:w="1708" w:type="dxa"/>
          </w:tcPr>
          <w:p w14:paraId="1B4E9996" w14:textId="77777777" w:rsidR="00AB160D" w:rsidRPr="00D9605D" w:rsidRDefault="00AE4FCE">
            <w:pPr>
              <w:spacing w:after="160"/>
              <w:rPr>
                <w:color w:val="000000" w:themeColor="text1"/>
              </w:rPr>
            </w:pPr>
            <w:r w:rsidRPr="00D9605D">
              <w:rPr>
                <w:color w:val="000000" w:themeColor="text1"/>
              </w:rPr>
              <w:t>63,940</w:t>
            </w:r>
          </w:p>
        </w:tc>
      </w:tr>
      <w:tr w:rsidR="00AB160D" w:rsidRPr="00D9605D" w14:paraId="6EDB4F22" w14:textId="77777777">
        <w:trPr>
          <w:jc w:val="center"/>
        </w:trPr>
        <w:tc>
          <w:tcPr>
            <w:tcW w:w="1839" w:type="dxa"/>
          </w:tcPr>
          <w:p w14:paraId="4DAE9D23" w14:textId="77777777" w:rsidR="00AB160D" w:rsidRPr="00D9605D" w:rsidRDefault="00AE4FCE">
            <w:pPr>
              <w:spacing w:after="160"/>
              <w:rPr>
                <w:color w:val="000000" w:themeColor="text1"/>
              </w:rPr>
            </w:pPr>
            <w:r w:rsidRPr="00D9605D">
              <w:rPr>
                <w:color w:val="000000" w:themeColor="text1"/>
              </w:rPr>
              <w:t>Operating Profit</w:t>
            </w:r>
          </w:p>
        </w:tc>
        <w:tc>
          <w:tcPr>
            <w:tcW w:w="1708" w:type="dxa"/>
          </w:tcPr>
          <w:p w14:paraId="3ECF25D3" w14:textId="77777777" w:rsidR="00AB160D" w:rsidRPr="00D9605D" w:rsidRDefault="00AE4FCE">
            <w:pPr>
              <w:spacing w:after="160"/>
              <w:rPr>
                <w:color w:val="000000" w:themeColor="text1"/>
              </w:rPr>
            </w:pPr>
            <w:r w:rsidRPr="00D9605D">
              <w:rPr>
                <w:color w:val="000000" w:themeColor="text1"/>
              </w:rPr>
              <w:t>2,825</w:t>
            </w:r>
          </w:p>
        </w:tc>
        <w:tc>
          <w:tcPr>
            <w:tcW w:w="1708" w:type="dxa"/>
          </w:tcPr>
          <w:p w14:paraId="2BEAEEE3" w14:textId="77777777" w:rsidR="00AB160D" w:rsidRPr="00D9605D" w:rsidRDefault="00AE4FCE">
            <w:pPr>
              <w:spacing w:after="160"/>
              <w:rPr>
                <w:color w:val="000000" w:themeColor="text1"/>
              </w:rPr>
            </w:pPr>
            <w:r w:rsidRPr="00D9605D">
              <w:rPr>
                <w:color w:val="000000" w:themeColor="text1"/>
              </w:rPr>
              <w:t>3,147</w:t>
            </w:r>
          </w:p>
        </w:tc>
      </w:tr>
      <w:tr w:rsidR="00AB160D" w:rsidRPr="00D9605D" w14:paraId="05FEC1AF" w14:textId="77777777">
        <w:trPr>
          <w:jc w:val="center"/>
        </w:trPr>
        <w:tc>
          <w:tcPr>
            <w:tcW w:w="1839" w:type="dxa"/>
          </w:tcPr>
          <w:p w14:paraId="6E77AEEE" w14:textId="77777777" w:rsidR="00AB160D" w:rsidRPr="00D9605D" w:rsidRDefault="00AE4FCE">
            <w:pPr>
              <w:spacing w:after="160"/>
              <w:rPr>
                <w:color w:val="000000" w:themeColor="text1"/>
              </w:rPr>
            </w:pPr>
            <w:r w:rsidRPr="00D9605D">
              <w:rPr>
                <w:color w:val="000000" w:themeColor="text1"/>
              </w:rPr>
              <w:t>Profit Before Tax</w:t>
            </w:r>
          </w:p>
        </w:tc>
        <w:tc>
          <w:tcPr>
            <w:tcW w:w="1708" w:type="dxa"/>
          </w:tcPr>
          <w:p w14:paraId="007EC9BD" w14:textId="77777777" w:rsidR="00AB160D" w:rsidRPr="00D9605D" w:rsidRDefault="00AE4FCE">
            <w:pPr>
              <w:spacing w:after="160"/>
              <w:rPr>
                <w:color w:val="000000" w:themeColor="text1"/>
              </w:rPr>
            </w:pPr>
            <w:r w:rsidRPr="00D9605D">
              <w:rPr>
                <w:color w:val="000000" w:themeColor="text1"/>
              </w:rPr>
              <w:t>2,289</w:t>
            </w:r>
          </w:p>
        </w:tc>
        <w:tc>
          <w:tcPr>
            <w:tcW w:w="1708" w:type="dxa"/>
          </w:tcPr>
          <w:p w14:paraId="1B0E1315" w14:textId="77777777" w:rsidR="00AB160D" w:rsidRPr="00D9605D" w:rsidRDefault="00AE4FCE">
            <w:pPr>
              <w:spacing w:after="160"/>
              <w:rPr>
                <w:color w:val="000000" w:themeColor="text1"/>
              </w:rPr>
            </w:pPr>
            <w:r w:rsidRPr="00D9605D">
              <w:rPr>
                <w:color w:val="000000" w:themeColor="text1"/>
              </w:rPr>
              <w:t>2,736</w:t>
            </w:r>
          </w:p>
        </w:tc>
      </w:tr>
      <w:tr w:rsidR="00AB160D" w:rsidRPr="00D9605D" w14:paraId="62EDC39D" w14:textId="77777777">
        <w:trPr>
          <w:jc w:val="center"/>
        </w:trPr>
        <w:tc>
          <w:tcPr>
            <w:tcW w:w="1839" w:type="dxa"/>
          </w:tcPr>
          <w:p w14:paraId="19590645" w14:textId="77777777" w:rsidR="00AB160D" w:rsidRPr="00D9605D" w:rsidRDefault="00AE4FCE">
            <w:pPr>
              <w:spacing w:after="160"/>
              <w:rPr>
                <w:color w:val="000000" w:themeColor="text1"/>
              </w:rPr>
            </w:pPr>
            <w:r w:rsidRPr="00D9605D">
              <w:rPr>
                <w:color w:val="000000" w:themeColor="text1"/>
              </w:rPr>
              <w:t>Net Profit</w:t>
            </w:r>
          </w:p>
        </w:tc>
        <w:tc>
          <w:tcPr>
            <w:tcW w:w="1708" w:type="dxa"/>
          </w:tcPr>
          <w:p w14:paraId="07523CEE" w14:textId="77777777" w:rsidR="00AB160D" w:rsidRPr="00D9605D" w:rsidRDefault="00AE4FCE">
            <w:pPr>
              <w:spacing w:after="160"/>
              <w:rPr>
                <w:color w:val="000000" w:themeColor="text1"/>
              </w:rPr>
            </w:pPr>
            <w:r w:rsidRPr="00D9605D">
              <w:rPr>
                <w:color w:val="000000" w:themeColor="text1"/>
              </w:rPr>
              <w:t>1,900 (approx.)</w:t>
            </w:r>
          </w:p>
        </w:tc>
        <w:tc>
          <w:tcPr>
            <w:tcW w:w="1708" w:type="dxa"/>
          </w:tcPr>
          <w:p w14:paraId="78F82699" w14:textId="77777777" w:rsidR="00AB160D" w:rsidRPr="00D9605D" w:rsidRDefault="00AE4FCE">
            <w:pPr>
              <w:spacing w:after="160"/>
              <w:rPr>
                <w:color w:val="000000" w:themeColor="text1"/>
              </w:rPr>
            </w:pPr>
            <w:r w:rsidRPr="00D9605D">
              <w:rPr>
                <w:color w:val="000000" w:themeColor="text1"/>
              </w:rPr>
              <w:t>2,200 (approx.)</w:t>
            </w:r>
          </w:p>
        </w:tc>
      </w:tr>
    </w:tbl>
    <w:p w14:paraId="56764237" w14:textId="77777777" w:rsidR="00AB160D" w:rsidRPr="00D9605D" w:rsidRDefault="00AB160D">
      <w:pPr>
        <w:rPr>
          <w:color w:val="000000" w:themeColor="text1"/>
        </w:rPr>
      </w:pPr>
    </w:p>
    <w:p w14:paraId="11D70C34" w14:textId="77777777" w:rsidR="00AB160D" w:rsidRPr="00D9605D" w:rsidRDefault="00AE4FCE">
      <w:pPr>
        <w:rPr>
          <w:b/>
          <w:bCs/>
          <w:color w:val="000000" w:themeColor="text1"/>
        </w:rPr>
      </w:pPr>
      <w:r w:rsidRPr="00D9605D">
        <w:rPr>
          <w:b/>
          <w:bCs/>
          <w:color w:val="000000" w:themeColor="text1"/>
        </w:rPr>
        <w:t xml:space="preserve">Appendix A2: Balance Sheet </w:t>
      </w:r>
    </w:p>
    <w:tbl>
      <w:tblPr>
        <w:tblStyle w:val="ab"/>
        <w:tblW w:w="557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16"/>
        <w:gridCol w:w="1831"/>
        <w:gridCol w:w="1831"/>
      </w:tblGrid>
      <w:tr w:rsidR="00AB160D" w:rsidRPr="00D9605D" w14:paraId="1B365779" w14:textId="77777777">
        <w:trPr>
          <w:jc w:val="center"/>
        </w:trPr>
        <w:tc>
          <w:tcPr>
            <w:tcW w:w="1916" w:type="dxa"/>
          </w:tcPr>
          <w:p w14:paraId="01FBE0AA" w14:textId="77777777" w:rsidR="00AB160D" w:rsidRPr="00D9605D" w:rsidRDefault="00AE4FCE">
            <w:pPr>
              <w:spacing w:after="160"/>
              <w:rPr>
                <w:b/>
                <w:bCs/>
                <w:color w:val="000000" w:themeColor="text1"/>
              </w:rPr>
            </w:pPr>
            <w:r w:rsidRPr="00D9605D">
              <w:rPr>
                <w:b/>
                <w:bCs/>
                <w:color w:val="000000" w:themeColor="text1"/>
              </w:rPr>
              <w:t>(£ million)</w:t>
            </w:r>
          </w:p>
        </w:tc>
        <w:tc>
          <w:tcPr>
            <w:tcW w:w="1831" w:type="dxa"/>
          </w:tcPr>
          <w:p w14:paraId="36E68EF5" w14:textId="77777777" w:rsidR="00AB160D" w:rsidRPr="00D9605D" w:rsidRDefault="00AE4FCE">
            <w:pPr>
              <w:spacing w:after="160"/>
              <w:rPr>
                <w:b/>
                <w:bCs/>
                <w:color w:val="000000" w:themeColor="text1"/>
              </w:rPr>
            </w:pPr>
            <w:r w:rsidRPr="00D9605D">
              <w:rPr>
                <w:b/>
                <w:bCs/>
                <w:color w:val="000000" w:themeColor="text1"/>
              </w:rPr>
              <w:t>2024</w:t>
            </w:r>
          </w:p>
        </w:tc>
        <w:tc>
          <w:tcPr>
            <w:tcW w:w="1831" w:type="dxa"/>
          </w:tcPr>
          <w:p w14:paraId="4607257F" w14:textId="77777777" w:rsidR="00AB160D" w:rsidRPr="00D9605D" w:rsidRDefault="00AE4FCE">
            <w:pPr>
              <w:spacing w:after="160"/>
              <w:rPr>
                <w:b/>
                <w:bCs/>
                <w:color w:val="000000" w:themeColor="text1"/>
              </w:rPr>
            </w:pPr>
            <w:r w:rsidRPr="00D9605D">
              <w:rPr>
                <w:b/>
                <w:bCs/>
                <w:color w:val="000000" w:themeColor="text1"/>
              </w:rPr>
              <w:t>2025</w:t>
            </w:r>
          </w:p>
        </w:tc>
      </w:tr>
      <w:tr w:rsidR="00AB160D" w:rsidRPr="00D9605D" w14:paraId="0D031CF1" w14:textId="77777777">
        <w:trPr>
          <w:jc w:val="center"/>
        </w:trPr>
        <w:tc>
          <w:tcPr>
            <w:tcW w:w="1916" w:type="dxa"/>
          </w:tcPr>
          <w:p w14:paraId="0EC68ABC" w14:textId="77777777" w:rsidR="00AB160D" w:rsidRPr="00D9605D" w:rsidRDefault="00AE4FCE">
            <w:pPr>
              <w:spacing w:after="160"/>
              <w:rPr>
                <w:color w:val="000000" w:themeColor="text1"/>
              </w:rPr>
            </w:pPr>
            <w:r w:rsidRPr="00D9605D">
              <w:rPr>
                <w:color w:val="000000" w:themeColor="text1"/>
              </w:rPr>
              <w:t>Total Assets</w:t>
            </w:r>
          </w:p>
        </w:tc>
        <w:tc>
          <w:tcPr>
            <w:tcW w:w="1831" w:type="dxa"/>
          </w:tcPr>
          <w:p w14:paraId="71C5169A" w14:textId="77777777" w:rsidR="00AB160D" w:rsidRPr="00D9605D" w:rsidRDefault="00AE4FCE">
            <w:pPr>
              <w:spacing w:after="160"/>
              <w:rPr>
                <w:color w:val="000000" w:themeColor="text1"/>
              </w:rPr>
            </w:pPr>
            <w:r w:rsidRPr="00D9605D">
              <w:rPr>
                <w:color w:val="000000" w:themeColor="text1"/>
              </w:rPr>
              <w:t>46,000 (approx.)</w:t>
            </w:r>
          </w:p>
        </w:tc>
        <w:tc>
          <w:tcPr>
            <w:tcW w:w="1831" w:type="dxa"/>
          </w:tcPr>
          <w:p w14:paraId="3100F6A6" w14:textId="77777777" w:rsidR="00AB160D" w:rsidRPr="00D9605D" w:rsidRDefault="00AE4FCE">
            <w:pPr>
              <w:spacing w:after="160"/>
              <w:rPr>
                <w:color w:val="000000" w:themeColor="text1"/>
              </w:rPr>
            </w:pPr>
            <w:r w:rsidRPr="00D9605D">
              <w:rPr>
                <w:color w:val="000000" w:themeColor="text1"/>
              </w:rPr>
              <w:t>47,500 (approx.)</w:t>
            </w:r>
          </w:p>
        </w:tc>
      </w:tr>
      <w:tr w:rsidR="00AB160D" w:rsidRPr="00D9605D" w14:paraId="35E7BF86" w14:textId="77777777">
        <w:trPr>
          <w:jc w:val="center"/>
        </w:trPr>
        <w:tc>
          <w:tcPr>
            <w:tcW w:w="1916" w:type="dxa"/>
          </w:tcPr>
          <w:p w14:paraId="4B7A0CD6" w14:textId="77777777" w:rsidR="00AB160D" w:rsidRPr="00D9605D" w:rsidRDefault="00AE4FCE">
            <w:pPr>
              <w:spacing w:after="160"/>
              <w:rPr>
                <w:color w:val="000000" w:themeColor="text1"/>
              </w:rPr>
            </w:pPr>
            <w:r w:rsidRPr="00D9605D">
              <w:rPr>
                <w:color w:val="000000" w:themeColor="text1"/>
              </w:rPr>
              <w:t>Current Assets</w:t>
            </w:r>
          </w:p>
        </w:tc>
        <w:tc>
          <w:tcPr>
            <w:tcW w:w="1831" w:type="dxa"/>
          </w:tcPr>
          <w:p w14:paraId="244B4BEE" w14:textId="77777777" w:rsidR="00AB160D" w:rsidRPr="00D9605D" w:rsidRDefault="00AE4FCE">
            <w:pPr>
              <w:spacing w:after="160"/>
              <w:rPr>
                <w:color w:val="000000" w:themeColor="text1"/>
              </w:rPr>
            </w:pPr>
            <w:r w:rsidRPr="00D9605D">
              <w:rPr>
                <w:color w:val="000000" w:themeColor="text1"/>
              </w:rPr>
              <w:t>16,000 (approx.)</w:t>
            </w:r>
          </w:p>
        </w:tc>
        <w:tc>
          <w:tcPr>
            <w:tcW w:w="1831" w:type="dxa"/>
          </w:tcPr>
          <w:p w14:paraId="77ACA94C" w14:textId="77777777" w:rsidR="00AB160D" w:rsidRPr="00D9605D" w:rsidRDefault="00AE4FCE">
            <w:pPr>
              <w:spacing w:after="160"/>
              <w:rPr>
                <w:color w:val="000000" w:themeColor="text1"/>
              </w:rPr>
            </w:pPr>
            <w:r w:rsidRPr="00D9605D">
              <w:rPr>
                <w:color w:val="000000" w:themeColor="text1"/>
              </w:rPr>
              <w:t>16,800 (approx.)</w:t>
            </w:r>
          </w:p>
        </w:tc>
      </w:tr>
      <w:tr w:rsidR="00AB160D" w:rsidRPr="00D9605D" w14:paraId="33BEEEF5" w14:textId="77777777">
        <w:trPr>
          <w:jc w:val="center"/>
        </w:trPr>
        <w:tc>
          <w:tcPr>
            <w:tcW w:w="1916" w:type="dxa"/>
          </w:tcPr>
          <w:p w14:paraId="16AB3559" w14:textId="77777777" w:rsidR="00AB160D" w:rsidRPr="00D9605D" w:rsidRDefault="00AE4FCE">
            <w:pPr>
              <w:spacing w:after="160"/>
              <w:rPr>
                <w:color w:val="000000" w:themeColor="text1"/>
              </w:rPr>
            </w:pPr>
            <w:r w:rsidRPr="00D9605D">
              <w:rPr>
                <w:color w:val="000000" w:themeColor="text1"/>
              </w:rPr>
              <w:t>Current Liabilities</w:t>
            </w:r>
          </w:p>
        </w:tc>
        <w:tc>
          <w:tcPr>
            <w:tcW w:w="1831" w:type="dxa"/>
          </w:tcPr>
          <w:p w14:paraId="412A5D9D" w14:textId="77777777" w:rsidR="00AB160D" w:rsidRPr="00D9605D" w:rsidRDefault="00AE4FCE">
            <w:pPr>
              <w:spacing w:after="160"/>
              <w:rPr>
                <w:color w:val="000000" w:themeColor="text1"/>
              </w:rPr>
            </w:pPr>
            <w:r w:rsidRPr="00D9605D">
              <w:rPr>
                <w:color w:val="000000" w:themeColor="text1"/>
              </w:rPr>
              <w:t>21,500 (approx.)</w:t>
            </w:r>
          </w:p>
        </w:tc>
        <w:tc>
          <w:tcPr>
            <w:tcW w:w="1831" w:type="dxa"/>
          </w:tcPr>
          <w:p w14:paraId="1156386A" w14:textId="77777777" w:rsidR="00AB160D" w:rsidRPr="00D9605D" w:rsidRDefault="00AE4FCE">
            <w:pPr>
              <w:spacing w:after="160"/>
              <w:rPr>
                <w:color w:val="000000" w:themeColor="text1"/>
              </w:rPr>
            </w:pPr>
            <w:r w:rsidRPr="00D9605D">
              <w:rPr>
                <w:color w:val="000000" w:themeColor="text1"/>
              </w:rPr>
              <w:t>22,300 (approx.)</w:t>
            </w:r>
          </w:p>
        </w:tc>
      </w:tr>
      <w:tr w:rsidR="00AB160D" w:rsidRPr="00D9605D" w14:paraId="649FED3A" w14:textId="77777777">
        <w:trPr>
          <w:jc w:val="center"/>
        </w:trPr>
        <w:tc>
          <w:tcPr>
            <w:tcW w:w="1916" w:type="dxa"/>
          </w:tcPr>
          <w:p w14:paraId="3EE20C8A" w14:textId="77777777" w:rsidR="00AB160D" w:rsidRPr="00D9605D" w:rsidRDefault="00AE4FCE">
            <w:pPr>
              <w:spacing w:after="160"/>
              <w:rPr>
                <w:color w:val="000000" w:themeColor="text1"/>
              </w:rPr>
            </w:pPr>
            <w:r w:rsidRPr="00D9605D">
              <w:rPr>
                <w:color w:val="000000" w:themeColor="text1"/>
              </w:rPr>
              <w:t>Total Equity</w:t>
            </w:r>
          </w:p>
        </w:tc>
        <w:tc>
          <w:tcPr>
            <w:tcW w:w="1831" w:type="dxa"/>
          </w:tcPr>
          <w:p w14:paraId="0107D451" w14:textId="77777777" w:rsidR="00AB160D" w:rsidRPr="00D9605D" w:rsidRDefault="00AE4FCE">
            <w:pPr>
              <w:spacing w:after="160"/>
              <w:rPr>
                <w:color w:val="000000" w:themeColor="text1"/>
              </w:rPr>
            </w:pPr>
            <w:r w:rsidRPr="00D9605D">
              <w:rPr>
                <w:color w:val="000000" w:themeColor="text1"/>
              </w:rPr>
              <w:t>10,800 (approx.)</w:t>
            </w:r>
          </w:p>
        </w:tc>
        <w:tc>
          <w:tcPr>
            <w:tcW w:w="1831" w:type="dxa"/>
          </w:tcPr>
          <w:p w14:paraId="2468D429" w14:textId="77777777" w:rsidR="00AB160D" w:rsidRPr="00D9605D" w:rsidRDefault="00AE4FCE">
            <w:pPr>
              <w:spacing w:after="160"/>
              <w:rPr>
                <w:color w:val="000000" w:themeColor="text1"/>
              </w:rPr>
            </w:pPr>
            <w:r w:rsidRPr="00D9605D">
              <w:rPr>
                <w:color w:val="000000" w:themeColor="text1"/>
              </w:rPr>
              <w:t>11,500 (approx.)</w:t>
            </w:r>
          </w:p>
        </w:tc>
      </w:tr>
      <w:tr w:rsidR="00AB160D" w:rsidRPr="00D9605D" w14:paraId="00A4075B" w14:textId="77777777">
        <w:trPr>
          <w:jc w:val="center"/>
        </w:trPr>
        <w:tc>
          <w:tcPr>
            <w:tcW w:w="1916" w:type="dxa"/>
          </w:tcPr>
          <w:p w14:paraId="665CC896" w14:textId="77777777" w:rsidR="00AB160D" w:rsidRPr="00D9605D" w:rsidRDefault="00AE4FCE">
            <w:pPr>
              <w:spacing w:after="160"/>
              <w:rPr>
                <w:color w:val="000000" w:themeColor="text1"/>
              </w:rPr>
            </w:pPr>
            <w:r w:rsidRPr="00D9605D">
              <w:rPr>
                <w:color w:val="000000" w:themeColor="text1"/>
              </w:rPr>
              <w:t>Total Debt</w:t>
            </w:r>
          </w:p>
        </w:tc>
        <w:tc>
          <w:tcPr>
            <w:tcW w:w="1831" w:type="dxa"/>
          </w:tcPr>
          <w:p w14:paraId="1088040D" w14:textId="77777777" w:rsidR="00AB160D" w:rsidRPr="00D9605D" w:rsidRDefault="00AE4FCE">
            <w:pPr>
              <w:spacing w:after="160"/>
              <w:rPr>
                <w:color w:val="000000" w:themeColor="text1"/>
              </w:rPr>
            </w:pPr>
            <w:r w:rsidRPr="00D9605D">
              <w:rPr>
                <w:color w:val="000000" w:themeColor="text1"/>
              </w:rPr>
              <w:t>9,200 (approx.)</w:t>
            </w:r>
          </w:p>
        </w:tc>
        <w:tc>
          <w:tcPr>
            <w:tcW w:w="1831" w:type="dxa"/>
          </w:tcPr>
          <w:p w14:paraId="4D102D3B" w14:textId="77777777" w:rsidR="00AB160D" w:rsidRPr="00D9605D" w:rsidRDefault="00AE4FCE">
            <w:pPr>
              <w:spacing w:after="160"/>
              <w:rPr>
                <w:color w:val="000000" w:themeColor="text1"/>
              </w:rPr>
            </w:pPr>
            <w:r w:rsidRPr="00D9605D">
              <w:rPr>
                <w:color w:val="000000" w:themeColor="text1"/>
              </w:rPr>
              <w:t>9,400 (approx.)</w:t>
            </w:r>
          </w:p>
        </w:tc>
      </w:tr>
    </w:tbl>
    <w:p w14:paraId="2FBAD626" w14:textId="77777777" w:rsidR="00AB160D" w:rsidRPr="00D9605D" w:rsidRDefault="00AB160D">
      <w:pPr>
        <w:rPr>
          <w:color w:val="000000" w:themeColor="text1"/>
        </w:rPr>
      </w:pPr>
    </w:p>
    <w:p w14:paraId="2DB62A1A" w14:textId="77777777" w:rsidR="00AB160D" w:rsidRPr="00D9605D" w:rsidRDefault="00AE4FCE">
      <w:pPr>
        <w:rPr>
          <w:b/>
          <w:bCs/>
          <w:color w:val="000000" w:themeColor="text1"/>
        </w:rPr>
      </w:pPr>
      <w:r w:rsidRPr="00D9605D">
        <w:rPr>
          <w:b/>
          <w:bCs/>
          <w:color w:val="000000" w:themeColor="text1"/>
        </w:rPr>
        <w:t xml:space="preserve">Appendix A3. Liabilities &amp; Equity </w:t>
      </w:r>
    </w:p>
    <w:tbl>
      <w:tblPr>
        <w:tblStyle w:val="ac"/>
        <w:tblW w:w="481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15"/>
        <w:gridCol w:w="1048"/>
        <w:gridCol w:w="1048"/>
      </w:tblGrid>
      <w:tr w:rsidR="00AB160D" w:rsidRPr="00D9605D" w14:paraId="1CA92A1F" w14:textId="77777777">
        <w:trPr>
          <w:jc w:val="center"/>
        </w:trPr>
        <w:tc>
          <w:tcPr>
            <w:tcW w:w="2715" w:type="dxa"/>
          </w:tcPr>
          <w:p w14:paraId="4079F290" w14:textId="77777777" w:rsidR="00AB160D" w:rsidRPr="00D9605D" w:rsidRDefault="00AE4FCE">
            <w:pPr>
              <w:spacing w:after="160"/>
              <w:rPr>
                <w:b/>
                <w:bCs/>
                <w:color w:val="000000" w:themeColor="text1"/>
              </w:rPr>
            </w:pPr>
            <w:r w:rsidRPr="00D9605D">
              <w:rPr>
                <w:b/>
                <w:bCs/>
                <w:color w:val="000000" w:themeColor="text1"/>
              </w:rPr>
              <w:t>(£ million)</w:t>
            </w:r>
          </w:p>
        </w:tc>
        <w:tc>
          <w:tcPr>
            <w:tcW w:w="1048" w:type="dxa"/>
          </w:tcPr>
          <w:p w14:paraId="215B489B" w14:textId="77777777" w:rsidR="00AB160D" w:rsidRPr="00D9605D" w:rsidRDefault="00AE4FCE">
            <w:pPr>
              <w:spacing w:after="160"/>
              <w:rPr>
                <w:b/>
                <w:bCs/>
                <w:color w:val="000000" w:themeColor="text1"/>
              </w:rPr>
            </w:pPr>
            <w:r w:rsidRPr="00D9605D">
              <w:rPr>
                <w:b/>
                <w:bCs/>
                <w:color w:val="000000" w:themeColor="text1"/>
              </w:rPr>
              <w:t>2024</w:t>
            </w:r>
          </w:p>
        </w:tc>
        <w:tc>
          <w:tcPr>
            <w:tcW w:w="1048" w:type="dxa"/>
          </w:tcPr>
          <w:p w14:paraId="45FD2CB6" w14:textId="77777777" w:rsidR="00AB160D" w:rsidRPr="00D9605D" w:rsidRDefault="00AE4FCE">
            <w:pPr>
              <w:spacing w:after="160"/>
              <w:rPr>
                <w:b/>
                <w:bCs/>
                <w:color w:val="000000" w:themeColor="text1"/>
              </w:rPr>
            </w:pPr>
            <w:r w:rsidRPr="00D9605D">
              <w:rPr>
                <w:b/>
                <w:bCs/>
                <w:color w:val="000000" w:themeColor="text1"/>
              </w:rPr>
              <w:t>2025</w:t>
            </w:r>
          </w:p>
        </w:tc>
      </w:tr>
      <w:tr w:rsidR="00AB160D" w:rsidRPr="00D9605D" w14:paraId="6682B575" w14:textId="77777777">
        <w:trPr>
          <w:jc w:val="center"/>
        </w:trPr>
        <w:tc>
          <w:tcPr>
            <w:tcW w:w="2715" w:type="dxa"/>
          </w:tcPr>
          <w:p w14:paraId="20C19F3C" w14:textId="77777777" w:rsidR="00AB160D" w:rsidRPr="00D9605D" w:rsidRDefault="00AE4FCE">
            <w:pPr>
              <w:spacing w:after="160"/>
              <w:rPr>
                <w:color w:val="000000" w:themeColor="text1"/>
              </w:rPr>
            </w:pPr>
            <w:r w:rsidRPr="00D9605D">
              <w:rPr>
                <w:b/>
                <w:bCs/>
                <w:color w:val="000000" w:themeColor="text1"/>
              </w:rPr>
              <w:t>Current Liabilities</w:t>
            </w:r>
          </w:p>
        </w:tc>
        <w:tc>
          <w:tcPr>
            <w:tcW w:w="1048" w:type="dxa"/>
          </w:tcPr>
          <w:p w14:paraId="3F068E93" w14:textId="77777777" w:rsidR="00AB160D" w:rsidRPr="00D9605D" w:rsidRDefault="00AE4FCE">
            <w:pPr>
              <w:spacing w:after="160"/>
              <w:rPr>
                <w:color w:val="000000" w:themeColor="text1"/>
              </w:rPr>
            </w:pPr>
            <w:r w:rsidRPr="00D9605D">
              <w:rPr>
                <w:color w:val="000000" w:themeColor="text1"/>
              </w:rPr>
              <w:t>21,500</w:t>
            </w:r>
          </w:p>
        </w:tc>
        <w:tc>
          <w:tcPr>
            <w:tcW w:w="1048" w:type="dxa"/>
          </w:tcPr>
          <w:p w14:paraId="799865B4" w14:textId="77777777" w:rsidR="00AB160D" w:rsidRPr="00D9605D" w:rsidRDefault="00AE4FCE">
            <w:pPr>
              <w:spacing w:after="160"/>
              <w:rPr>
                <w:color w:val="000000" w:themeColor="text1"/>
              </w:rPr>
            </w:pPr>
            <w:r w:rsidRPr="00D9605D">
              <w:rPr>
                <w:color w:val="000000" w:themeColor="text1"/>
              </w:rPr>
              <w:t>22,300</w:t>
            </w:r>
          </w:p>
        </w:tc>
      </w:tr>
      <w:tr w:rsidR="00AB160D" w:rsidRPr="00D9605D" w14:paraId="03BEB960" w14:textId="77777777">
        <w:trPr>
          <w:jc w:val="center"/>
        </w:trPr>
        <w:tc>
          <w:tcPr>
            <w:tcW w:w="2715" w:type="dxa"/>
          </w:tcPr>
          <w:p w14:paraId="3F782824" w14:textId="77777777" w:rsidR="00AB160D" w:rsidRPr="00D9605D" w:rsidRDefault="00AE4FCE">
            <w:pPr>
              <w:spacing w:after="160"/>
              <w:rPr>
                <w:color w:val="000000" w:themeColor="text1"/>
              </w:rPr>
            </w:pPr>
            <w:r w:rsidRPr="00D9605D">
              <w:rPr>
                <w:color w:val="000000" w:themeColor="text1"/>
              </w:rPr>
              <w:t>Trade Payables (Approx.)</w:t>
            </w:r>
          </w:p>
        </w:tc>
        <w:tc>
          <w:tcPr>
            <w:tcW w:w="1048" w:type="dxa"/>
          </w:tcPr>
          <w:p w14:paraId="7FA8B05C" w14:textId="77777777" w:rsidR="00AB160D" w:rsidRPr="00D9605D" w:rsidRDefault="00AE4FCE">
            <w:pPr>
              <w:spacing w:after="160"/>
              <w:rPr>
                <w:color w:val="000000" w:themeColor="text1"/>
              </w:rPr>
            </w:pPr>
            <w:r w:rsidRPr="00D9605D">
              <w:rPr>
                <w:color w:val="000000" w:themeColor="text1"/>
              </w:rPr>
              <w:t>9,000</w:t>
            </w:r>
          </w:p>
        </w:tc>
        <w:tc>
          <w:tcPr>
            <w:tcW w:w="1048" w:type="dxa"/>
          </w:tcPr>
          <w:p w14:paraId="0582BDF9" w14:textId="77777777" w:rsidR="00AB160D" w:rsidRPr="00D9605D" w:rsidRDefault="00AE4FCE">
            <w:pPr>
              <w:spacing w:after="160"/>
              <w:rPr>
                <w:color w:val="000000" w:themeColor="text1"/>
              </w:rPr>
            </w:pPr>
            <w:r w:rsidRPr="00D9605D">
              <w:rPr>
                <w:color w:val="000000" w:themeColor="text1"/>
              </w:rPr>
              <w:t>9,500</w:t>
            </w:r>
          </w:p>
        </w:tc>
      </w:tr>
      <w:tr w:rsidR="00AB160D" w:rsidRPr="00D9605D" w14:paraId="3F307160" w14:textId="77777777">
        <w:trPr>
          <w:jc w:val="center"/>
        </w:trPr>
        <w:tc>
          <w:tcPr>
            <w:tcW w:w="4811" w:type="dxa"/>
            <w:gridSpan w:val="3"/>
          </w:tcPr>
          <w:p w14:paraId="46DA4907" w14:textId="77777777" w:rsidR="00AB160D" w:rsidRPr="00D9605D" w:rsidRDefault="00AE4FCE">
            <w:pPr>
              <w:spacing w:after="160"/>
              <w:jc w:val="center"/>
              <w:rPr>
                <w:color w:val="000000" w:themeColor="text1"/>
              </w:rPr>
            </w:pPr>
            <w:r w:rsidRPr="00D9605D">
              <w:rPr>
                <w:b/>
                <w:bCs/>
                <w:color w:val="000000" w:themeColor="text1"/>
              </w:rPr>
              <w:t>Non-Current Liabilities</w:t>
            </w:r>
          </w:p>
        </w:tc>
      </w:tr>
      <w:tr w:rsidR="00AB160D" w:rsidRPr="00D9605D" w14:paraId="1193B53A" w14:textId="77777777">
        <w:trPr>
          <w:jc w:val="center"/>
        </w:trPr>
        <w:tc>
          <w:tcPr>
            <w:tcW w:w="2715" w:type="dxa"/>
          </w:tcPr>
          <w:p w14:paraId="407A55ED" w14:textId="77777777" w:rsidR="00AB160D" w:rsidRPr="00D9605D" w:rsidRDefault="00AE4FCE">
            <w:pPr>
              <w:spacing w:after="160"/>
              <w:rPr>
                <w:color w:val="000000" w:themeColor="text1"/>
              </w:rPr>
            </w:pPr>
            <w:r w:rsidRPr="00D9605D">
              <w:rPr>
                <w:color w:val="000000" w:themeColor="text1"/>
              </w:rPr>
              <w:t>Long-term Debt</w:t>
            </w:r>
          </w:p>
        </w:tc>
        <w:tc>
          <w:tcPr>
            <w:tcW w:w="1048" w:type="dxa"/>
          </w:tcPr>
          <w:p w14:paraId="303F4E13" w14:textId="77777777" w:rsidR="00AB160D" w:rsidRPr="00D9605D" w:rsidRDefault="00AE4FCE">
            <w:pPr>
              <w:spacing w:after="160"/>
              <w:rPr>
                <w:color w:val="000000" w:themeColor="text1"/>
              </w:rPr>
            </w:pPr>
            <w:r w:rsidRPr="00D9605D">
              <w:rPr>
                <w:color w:val="000000" w:themeColor="text1"/>
              </w:rPr>
              <w:t>Included</w:t>
            </w:r>
          </w:p>
        </w:tc>
        <w:tc>
          <w:tcPr>
            <w:tcW w:w="1048" w:type="dxa"/>
          </w:tcPr>
          <w:p w14:paraId="07A2F4BD" w14:textId="77777777" w:rsidR="00AB160D" w:rsidRPr="00D9605D" w:rsidRDefault="00AE4FCE">
            <w:pPr>
              <w:spacing w:after="160"/>
              <w:rPr>
                <w:color w:val="000000" w:themeColor="text1"/>
              </w:rPr>
            </w:pPr>
            <w:r w:rsidRPr="00D9605D">
              <w:rPr>
                <w:color w:val="000000" w:themeColor="text1"/>
              </w:rPr>
              <w:t>Included</w:t>
            </w:r>
          </w:p>
        </w:tc>
      </w:tr>
      <w:tr w:rsidR="00AB160D" w:rsidRPr="00D9605D" w14:paraId="5632CCE2" w14:textId="77777777">
        <w:trPr>
          <w:jc w:val="center"/>
        </w:trPr>
        <w:tc>
          <w:tcPr>
            <w:tcW w:w="2715" w:type="dxa"/>
          </w:tcPr>
          <w:p w14:paraId="6A9C3F3F" w14:textId="77777777" w:rsidR="00AB160D" w:rsidRPr="00D9605D" w:rsidRDefault="00AE4FCE">
            <w:pPr>
              <w:spacing w:after="160"/>
              <w:rPr>
                <w:color w:val="000000" w:themeColor="text1"/>
              </w:rPr>
            </w:pPr>
            <w:r w:rsidRPr="00D9605D">
              <w:rPr>
                <w:b/>
                <w:bCs/>
                <w:color w:val="000000" w:themeColor="text1"/>
              </w:rPr>
              <w:t>Total Debt (Approx.)</w:t>
            </w:r>
          </w:p>
        </w:tc>
        <w:tc>
          <w:tcPr>
            <w:tcW w:w="1048" w:type="dxa"/>
          </w:tcPr>
          <w:p w14:paraId="0733312D" w14:textId="77777777" w:rsidR="00AB160D" w:rsidRPr="00D9605D" w:rsidRDefault="00AE4FCE">
            <w:pPr>
              <w:spacing w:after="160"/>
              <w:rPr>
                <w:color w:val="000000" w:themeColor="text1"/>
              </w:rPr>
            </w:pPr>
            <w:r w:rsidRPr="00D9605D">
              <w:rPr>
                <w:color w:val="000000" w:themeColor="text1"/>
              </w:rPr>
              <w:t>9,200</w:t>
            </w:r>
          </w:p>
        </w:tc>
        <w:tc>
          <w:tcPr>
            <w:tcW w:w="1048" w:type="dxa"/>
          </w:tcPr>
          <w:p w14:paraId="51F2444B" w14:textId="77777777" w:rsidR="00AB160D" w:rsidRPr="00D9605D" w:rsidRDefault="00AE4FCE">
            <w:pPr>
              <w:spacing w:after="160"/>
              <w:rPr>
                <w:color w:val="000000" w:themeColor="text1"/>
              </w:rPr>
            </w:pPr>
            <w:r w:rsidRPr="00D9605D">
              <w:rPr>
                <w:color w:val="000000" w:themeColor="text1"/>
              </w:rPr>
              <w:t>9,400</w:t>
            </w:r>
          </w:p>
        </w:tc>
      </w:tr>
      <w:tr w:rsidR="00AB160D" w:rsidRPr="00D9605D" w14:paraId="0C590664" w14:textId="77777777">
        <w:trPr>
          <w:jc w:val="center"/>
        </w:trPr>
        <w:tc>
          <w:tcPr>
            <w:tcW w:w="2715" w:type="dxa"/>
          </w:tcPr>
          <w:p w14:paraId="75EAD98F" w14:textId="77777777" w:rsidR="00AB160D" w:rsidRPr="00D9605D" w:rsidRDefault="00AE4FCE">
            <w:pPr>
              <w:spacing w:after="160"/>
              <w:rPr>
                <w:color w:val="000000" w:themeColor="text1"/>
              </w:rPr>
            </w:pPr>
            <w:r w:rsidRPr="00D9605D">
              <w:rPr>
                <w:b/>
                <w:bCs/>
                <w:color w:val="000000" w:themeColor="text1"/>
              </w:rPr>
              <w:t>Equity</w:t>
            </w:r>
          </w:p>
        </w:tc>
        <w:tc>
          <w:tcPr>
            <w:tcW w:w="1048" w:type="dxa"/>
          </w:tcPr>
          <w:p w14:paraId="4DA92C86" w14:textId="77777777" w:rsidR="00AB160D" w:rsidRPr="00D9605D" w:rsidRDefault="00AE4FCE">
            <w:pPr>
              <w:spacing w:after="160"/>
              <w:rPr>
                <w:color w:val="000000" w:themeColor="text1"/>
              </w:rPr>
            </w:pPr>
            <w:r w:rsidRPr="00D9605D">
              <w:rPr>
                <w:color w:val="000000" w:themeColor="text1"/>
              </w:rPr>
              <w:t>10,800</w:t>
            </w:r>
          </w:p>
        </w:tc>
        <w:tc>
          <w:tcPr>
            <w:tcW w:w="1048" w:type="dxa"/>
          </w:tcPr>
          <w:p w14:paraId="6E1DE7F8" w14:textId="77777777" w:rsidR="00AB160D" w:rsidRPr="00D9605D" w:rsidRDefault="00AE4FCE">
            <w:pPr>
              <w:spacing w:after="160"/>
              <w:rPr>
                <w:color w:val="000000" w:themeColor="text1"/>
              </w:rPr>
            </w:pPr>
            <w:r w:rsidRPr="00D9605D">
              <w:rPr>
                <w:color w:val="000000" w:themeColor="text1"/>
              </w:rPr>
              <w:t>11,500</w:t>
            </w:r>
          </w:p>
        </w:tc>
      </w:tr>
    </w:tbl>
    <w:p w14:paraId="4E56D004" w14:textId="77777777" w:rsidR="00AB160D" w:rsidRPr="00D9605D" w:rsidRDefault="00AB160D">
      <w:pPr>
        <w:rPr>
          <w:color w:val="000000" w:themeColor="text1"/>
        </w:rPr>
      </w:pPr>
    </w:p>
    <w:p w14:paraId="7377114D" w14:textId="77777777" w:rsidR="00AB160D" w:rsidRPr="00D9605D" w:rsidRDefault="00AE4FCE">
      <w:pPr>
        <w:pStyle w:val="Heading2"/>
        <w:rPr>
          <w:color w:val="000000" w:themeColor="text1"/>
        </w:rPr>
      </w:pPr>
      <w:bookmarkStart w:id="31" w:name="_heading=h.scnzxay4rozh" w:colFirst="0" w:colLast="0"/>
      <w:bookmarkEnd w:id="31"/>
      <w:r w:rsidRPr="00D9605D">
        <w:rPr>
          <w:color w:val="000000" w:themeColor="text1"/>
        </w:rPr>
        <w:t>Appendix B: RATIO CALCULATIONS</w:t>
      </w:r>
    </w:p>
    <w:p w14:paraId="39DFADBC" w14:textId="77777777" w:rsidR="00AB160D" w:rsidRPr="00D9605D" w:rsidRDefault="00AE4FCE">
      <w:pPr>
        <w:rPr>
          <w:b/>
          <w:bCs/>
          <w:color w:val="000000" w:themeColor="text1"/>
        </w:rPr>
      </w:pPr>
      <w:r w:rsidRPr="00D9605D">
        <w:rPr>
          <w:b/>
          <w:bCs/>
          <w:color w:val="000000" w:themeColor="text1"/>
        </w:rPr>
        <w:t>B1. Profitability Ratios</w:t>
      </w:r>
    </w:p>
    <w:tbl>
      <w:tblPr>
        <w:tblStyle w:val="ad"/>
        <w:tblW w:w="901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27"/>
        <w:gridCol w:w="2099"/>
        <w:gridCol w:w="1661"/>
        <w:gridCol w:w="1034"/>
        <w:gridCol w:w="1661"/>
        <w:gridCol w:w="1034"/>
      </w:tblGrid>
      <w:tr w:rsidR="00AB160D" w:rsidRPr="00D9605D" w14:paraId="77AEBAF0" w14:textId="77777777">
        <w:tc>
          <w:tcPr>
            <w:tcW w:w="1527" w:type="dxa"/>
          </w:tcPr>
          <w:p w14:paraId="5518DB63" w14:textId="77777777" w:rsidR="00AB160D" w:rsidRPr="00D9605D" w:rsidRDefault="00AE4FCE">
            <w:pPr>
              <w:spacing w:after="160"/>
              <w:rPr>
                <w:b/>
                <w:bCs/>
                <w:color w:val="000000" w:themeColor="text1"/>
              </w:rPr>
            </w:pPr>
            <w:r w:rsidRPr="00D9605D">
              <w:rPr>
                <w:b/>
                <w:bCs/>
                <w:color w:val="000000" w:themeColor="text1"/>
              </w:rPr>
              <w:t>Ratio</w:t>
            </w:r>
          </w:p>
        </w:tc>
        <w:tc>
          <w:tcPr>
            <w:tcW w:w="2099" w:type="dxa"/>
          </w:tcPr>
          <w:p w14:paraId="35A559DB" w14:textId="77777777" w:rsidR="00AB160D" w:rsidRPr="00D9605D" w:rsidRDefault="00AE4FCE">
            <w:pPr>
              <w:spacing w:after="160"/>
              <w:rPr>
                <w:b/>
                <w:bCs/>
                <w:color w:val="000000" w:themeColor="text1"/>
              </w:rPr>
            </w:pPr>
            <w:r w:rsidRPr="00D9605D">
              <w:rPr>
                <w:b/>
                <w:bCs/>
                <w:color w:val="000000" w:themeColor="text1"/>
              </w:rPr>
              <w:t>Formula</w:t>
            </w:r>
          </w:p>
        </w:tc>
        <w:tc>
          <w:tcPr>
            <w:tcW w:w="1661" w:type="dxa"/>
          </w:tcPr>
          <w:p w14:paraId="2374E7D3" w14:textId="77777777" w:rsidR="00AB160D" w:rsidRPr="00D9605D" w:rsidRDefault="00AE4FCE">
            <w:pPr>
              <w:spacing w:after="160"/>
              <w:rPr>
                <w:b/>
                <w:bCs/>
                <w:color w:val="000000" w:themeColor="text1"/>
              </w:rPr>
            </w:pPr>
            <w:r w:rsidRPr="00D9605D">
              <w:rPr>
                <w:b/>
                <w:bCs/>
                <w:color w:val="000000" w:themeColor="text1"/>
              </w:rPr>
              <w:t>2024 Calculation</w:t>
            </w:r>
          </w:p>
        </w:tc>
        <w:tc>
          <w:tcPr>
            <w:tcW w:w="1034" w:type="dxa"/>
          </w:tcPr>
          <w:p w14:paraId="56EE4525" w14:textId="77777777" w:rsidR="00AB160D" w:rsidRPr="00D9605D" w:rsidRDefault="00AE4FCE">
            <w:pPr>
              <w:spacing w:after="160"/>
              <w:rPr>
                <w:b/>
                <w:bCs/>
                <w:color w:val="000000" w:themeColor="text1"/>
              </w:rPr>
            </w:pPr>
            <w:r w:rsidRPr="00D9605D">
              <w:rPr>
                <w:b/>
                <w:bCs/>
                <w:color w:val="000000" w:themeColor="text1"/>
              </w:rPr>
              <w:t>2024 Result</w:t>
            </w:r>
          </w:p>
        </w:tc>
        <w:tc>
          <w:tcPr>
            <w:tcW w:w="1661" w:type="dxa"/>
          </w:tcPr>
          <w:p w14:paraId="0DDF7ED3" w14:textId="77777777" w:rsidR="00AB160D" w:rsidRPr="00D9605D" w:rsidRDefault="00AE4FCE">
            <w:pPr>
              <w:spacing w:after="160"/>
              <w:rPr>
                <w:b/>
                <w:bCs/>
                <w:color w:val="000000" w:themeColor="text1"/>
              </w:rPr>
            </w:pPr>
            <w:r w:rsidRPr="00D9605D">
              <w:rPr>
                <w:b/>
                <w:bCs/>
                <w:color w:val="000000" w:themeColor="text1"/>
              </w:rPr>
              <w:t>2025 Calculation</w:t>
            </w:r>
          </w:p>
        </w:tc>
        <w:tc>
          <w:tcPr>
            <w:tcW w:w="1034" w:type="dxa"/>
          </w:tcPr>
          <w:p w14:paraId="52112B16" w14:textId="77777777" w:rsidR="00AB160D" w:rsidRPr="00D9605D" w:rsidRDefault="00AE4FCE">
            <w:pPr>
              <w:spacing w:after="160"/>
              <w:rPr>
                <w:b/>
                <w:bCs/>
                <w:color w:val="000000" w:themeColor="text1"/>
              </w:rPr>
            </w:pPr>
            <w:r w:rsidRPr="00D9605D">
              <w:rPr>
                <w:b/>
                <w:bCs/>
                <w:color w:val="000000" w:themeColor="text1"/>
              </w:rPr>
              <w:t>2025 Result</w:t>
            </w:r>
          </w:p>
        </w:tc>
      </w:tr>
      <w:tr w:rsidR="00AB160D" w:rsidRPr="00D9605D" w14:paraId="6D6EE407" w14:textId="77777777">
        <w:tc>
          <w:tcPr>
            <w:tcW w:w="1527" w:type="dxa"/>
          </w:tcPr>
          <w:p w14:paraId="05468220" w14:textId="77777777" w:rsidR="00AB160D" w:rsidRPr="00D9605D" w:rsidRDefault="00AE4FCE">
            <w:pPr>
              <w:spacing w:after="160"/>
              <w:rPr>
                <w:color w:val="000000" w:themeColor="text1"/>
              </w:rPr>
            </w:pPr>
            <w:r w:rsidRPr="00D9605D">
              <w:rPr>
                <w:color w:val="000000" w:themeColor="text1"/>
              </w:rPr>
              <w:t>Operating Profit Margin</w:t>
            </w:r>
          </w:p>
        </w:tc>
        <w:tc>
          <w:tcPr>
            <w:tcW w:w="2099" w:type="dxa"/>
          </w:tcPr>
          <w:p w14:paraId="7CFABF8B" w14:textId="77777777" w:rsidR="00AB160D" w:rsidRPr="00D9605D" w:rsidRDefault="00AE4FCE">
            <w:pPr>
              <w:spacing w:after="160"/>
              <w:rPr>
                <w:color w:val="000000" w:themeColor="text1"/>
              </w:rPr>
            </w:pPr>
            <w:r w:rsidRPr="00D9605D">
              <w:rPr>
                <w:color w:val="000000" w:themeColor="text1"/>
              </w:rPr>
              <w:t>(Operating Profit / Revenue) × 100</w:t>
            </w:r>
          </w:p>
        </w:tc>
        <w:tc>
          <w:tcPr>
            <w:tcW w:w="1661" w:type="dxa"/>
          </w:tcPr>
          <w:p w14:paraId="3A9320FF" w14:textId="77777777" w:rsidR="00AB160D" w:rsidRPr="00D9605D" w:rsidRDefault="00AE4FCE">
            <w:pPr>
              <w:spacing w:after="160"/>
              <w:rPr>
                <w:color w:val="000000" w:themeColor="text1"/>
              </w:rPr>
            </w:pPr>
            <w:r w:rsidRPr="00D9605D">
              <w:rPr>
                <w:color w:val="000000" w:themeColor="text1"/>
              </w:rPr>
              <w:t>(2,825 / 61,476) × 100</w:t>
            </w:r>
          </w:p>
        </w:tc>
        <w:tc>
          <w:tcPr>
            <w:tcW w:w="1034" w:type="dxa"/>
          </w:tcPr>
          <w:p w14:paraId="3965A6E3" w14:textId="77777777" w:rsidR="00AB160D" w:rsidRPr="00D9605D" w:rsidRDefault="00AE4FCE">
            <w:pPr>
              <w:spacing w:after="160"/>
              <w:rPr>
                <w:color w:val="000000" w:themeColor="text1"/>
              </w:rPr>
            </w:pPr>
            <w:r w:rsidRPr="00D9605D">
              <w:rPr>
                <w:color w:val="000000" w:themeColor="text1"/>
              </w:rPr>
              <w:t>4.59%</w:t>
            </w:r>
          </w:p>
        </w:tc>
        <w:tc>
          <w:tcPr>
            <w:tcW w:w="1661" w:type="dxa"/>
          </w:tcPr>
          <w:p w14:paraId="0BC01A8D" w14:textId="77777777" w:rsidR="00AB160D" w:rsidRPr="00D9605D" w:rsidRDefault="00AE4FCE">
            <w:pPr>
              <w:spacing w:after="160"/>
              <w:rPr>
                <w:color w:val="000000" w:themeColor="text1"/>
              </w:rPr>
            </w:pPr>
            <w:r w:rsidRPr="00D9605D">
              <w:rPr>
                <w:color w:val="000000" w:themeColor="text1"/>
              </w:rPr>
              <w:t>(3,147 / 63,940) × 100</w:t>
            </w:r>
          </w:p>
        </w:tc>
        <w:tc>
          <w:tcPr>
            <w:tcW w:w="1034" w:type="dxa"/>
          </w:tcPr>
          <w:p w14:paraId="63C73CA8" w14:textId="77777777" w:rsidR="00AB160D" w:rsidRPr="00D9605D" w:rsidRDefault="00AE4FCE">
            <w:pPr>
              <w:spacing w:after="160"/>
              <w:rPr>
                <w:color w:val="000000" w:themeColor="text1"/>
              </w:rPr>
            </w:pPr>
            <w:r w:rsidRPr="00D9605D">
              <w:rPr>
                <w:color w:val="000000" w:themeColor="text1"/>
              </w:rPr>
              <w:t>4.92%</w:t>
            </w:r>
          </w:p>
        </w:tc>
      </w:tr>
      <w:tr w:rsidR="00AB160D" w:rsidRPr="00D9605D" w14:paraId="1B063D00" w14:textId="77777777">
        <w:tc>
          <w:tcPr>
            <w:tcW w:w="1527" w:type="dxa"/>
          </w:tcPr>
          <w:p w14:paraId="522EC911" w14:textId="77777777" w:rsidR="00AB160D" w:rsidRPr="00D9605D" w:rsidRDefault="00AE4FCE">
            <w:pPr>
              <w:spacing w:after="160"/>
              <w:rPr>
                <w:color w:val="000000" w:themeColor="text1"/>
              </w:rPr>
            </w:pPr>
            <w:r w:rsidRPr="00D9605D">
              <w:rPr>
                <w:color w:val="000000" w:themeColor="text1"/>
              </w:rPr>
              <w:t>ROCE</w:t>
            </w:r>
          </w:p>
        </w:tc>
        <w:tc>
          <w:tcPr>
            <w:tcW w:w="2099" w:type="dxa"/>
          </w:tcPr>
          <w:p w14:paraId="67E47A00" w14:textId="77777777" w:rsidR="00AB160D" w:rsidRPr="00D9605D" w:rsidRDefault="00AE4FCE">
            <w:pPr>
              <w:spacing w:after="160"/>
              <w:rPr>
                <w:color w:val="000000" w:themeColor="text1"/>
              </w:rPr>
            </w:pPr>
            <w:r w:rsidRPr="00D9605D">
              <w:rPr>
                <w:color w:val="000000" w:themeColor="text1"/>
              </w:rPr>
              <w:t>(Operating Profit / Capital Employed) × 100</w:t>
            </w:r>
          </w:p>
        </w:tc>
        <w:tc>
          <w:tcPr>
            <w:tcW w:w="1661" w:type="dxa"/>
          </w:tcPr>
          <w:p w14:paraId="43293043" w14:textId="77777777" w:rsidR="00AB160D" w:rsidRPr="00D9605D" w:rsidRDefault="00AE4FCE">
            <w:pPr>
              <w:spacing w:after="160"/>
              <w:rPr>
                <w:color w:val="000000" w:themeColor="text1"/>
              </w:rPr>
            </w:pPr>
            <w:r w:rsidRPr="00D9605D">
              <w:rPr>
                <w:color w:val="000000" w:themeColor="text1"/>
              </w:rPr>
              <w:t>(2,825 / 24,500) × 100</w:t>
            </w:r>
          </w:p>
        </w:tc>
        <w:tc>
          <w:tcPr>
            <w:tcW w:w="1034" w:type="dxa"/>
          </w:tcPr>
          <w:p w14:paraId="1E2D4126" w14:textId="77777777" w:rsidR="00AB160D" w:rsidRPr="00D9605D" w:rsidRDefault="00AE4FCE">
            <w:pPr>
              <w:spacing w:after="160"/>
              <w:rPr>
                <w:color w:val="000000" w:themeColor="text1"/>
              </w:rPr>
            </w:pPr>
            <w:r w:rsidRPr="00D9605D">
              <w:rPr>
                <w:color w:val="000000" w:themeColor="text1"/>
              </w:rPr>
              <w:t>11.5%</w:t>
            </w:r>
          </w:p>
        </w:tc>
        <w:tc>
          <w:tcPr>
            <w:tcW w:w="1661" w:type="dxa"/>
          </w:tcPr>
          <w:p w14:paraId="49291B3B" w14:textId="77777777" w:rsidR="00AB160D" w:rsidRPr="00D9605D" w:rsidRDefault="00AE4FCE">
            <w:pPr>
              <w:spacing w:after="160"/>
              <w:rPr>
                <w:color w:val="000000" w:themeColor="text1"/>
              </w:rPr>
            </w:pPr>
            <w:r w:rsidRPr="00D9605D">
              <w:rPr>
                <w:color w:val="000000" w:themeColor="text1"/>
              </w:rPr>
              <w:t>(3,147 / 25,200) × 100</w:t>
            </w:r>
          </w:p>
        </w:tc>
        <w:tc>
          <w:tcPr>
            <w:tcW w:w="1034" w:type="dxa"/>
          </w:tcPr>
          <w:p w14:paraId="49068AC3" w14:textId="77777777" w:rsidR="00AB160D" w:rsidRPr="00D9605D" w:rsidRDefault="00AE4FCE">
            <w:pPr>
              <w:spacing w:after="160"/>
              <w:rPr>
                <w:color w:val="000000" w:themeColor="text1"/>
              </w:rPr>
            </w:pPr>
            <w:r w:rsidRPr="00D9605D">
              <w:rPr>
                <w:color w:val="000000" w:themeColor="text1"/>
              </w:rPr>
              <w:t>12.5%</w:t>
            </w:r>
          </w:p>
        </w:tc>
      </w:tr>
    </w:tbl>
    <w:p w14:paraId="595EDA87" w14:textId="77777777" w:rsidR="00AB160D" w:rsidRPr="00D9605D" w:rsidRDefault="00AB160D">
      <w:pPr>
        <w:rPr>
          <w:color w:val="000000" w:themeColor="text1"/>
        </w:rPr>
      </w:pPr>
    </w:p>
    <w:p w14:paraId="26F2495B" w14:textId="77777777" w:rsidR="00AB160D" w:rsidRPr="00D9605D" w:rsidRDefault="00AE4FCE">
      <w:pPr>
        <w:rPr>
          <w:b/>
          <w:bCs/>
          <w:color w:val="000000" w:themeColor="text1"/>
        </w:rPr>
      </w:pPr>
      <w:r w:rsidRPr="00D9605D">
        <w:rPr>
          <w:b/>
          <w:bCs/>
          <w:color w:val="000000" w:themeColor="text1"/>
        </w:rPr>
        <w:t>B2. Liquidity Ratios</w:t>
      </w:r>
    </w:p>
    <w:tbl>
      <w:tblPr>
        <w:tblStyle w:val="ae"/>
        <w:tblW w:w="901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56"/>
        <w:gridCol w:w="2494"/>
        <w:gridCol w:w="1598"/>
        <w:gridCol w:w="1085"/>
        <w:gridCol w:w="1598"/>
        <w:gridCol w:w="1085"/>
      </w:tblGrid>
      <w:tr w:rsidR="00AB160D" w:rsidRPr="00D9605D" w14:paraId="1FB50669" w14:textId="77777777">
        <w:tc>
          <w:tcPr>
            <w:tcW w:w="1156" w:type="dxa"/>
          </w:tcPr>
          <w:p w14:paraId="37F4F982" w14:textId="77777777" w:rsidR="00AB160D" w:rsidRPr="00D9605D" w:rsidRDefault="00AE4FCE">
            <w:pPr>
              <w:spacing w:after="160"/>
              <w:rPr>
                <w:b/>
                <w:bCs/>
                <w:color w:val="000000" w:themeColor="text1"/>
              </w:rPr>
            </w:pPr>
            <w:r w:rsidRPr="00D9605D">
              <w:rPr>
                <w:b/>
                <w:bCs/>
                <w:color w:val="000000" w:themeColor="text1"/>
              </w:rPr>
              <w:t>Ratio</w:t>
            </w:r>
          </w:p>
        </w:tc>
        <w:tc>
          <w:tcPr>
            <w:tcW w:w="2494" w:type="dxa"/>
          </w:tcPr>
          <w:p w14:paraId="4C14B4B6" w14:textId="77777777" w:rsidR="00AB160D" w:rsidRPr="00D9605D" w:rsidRDefault="00AE4FCE">
            <w:pPr>
              <w:spacing w:after="160"/>
              <w:rPr>
                <w:b/>
                <w:bCs/>
                <w:color w:val="000000" w:themeColor="text1"/>
              </w:rPr>
            </w:pPr>
            <w:r w:rsidRPr="00D9605D">
              <w:rPr>
                <w:b/>
                <w:bCs/>
                <w:color w:val="000000" w:themeColor="text1"/>
              </w:rPr>
              <w:t>Formula</w:t>
            </w:r>
          </w:p>
        </w:tc>
        <w:tc>
          <w:tcPr>
            <w:tcW w:w="1598" w:type="dxa"/>
          </w:tcPr>
          <w:p w14:paraId="516584B4" w14:textId="77777777" w:rsidR="00AB160D" w:rsidRPr="00D9605D" w:rsidRDefault="00AE4FCE">
            <w:pPr>
              <w:spacing w:after="160"/>
              <w:rPr>
                <w:b/>
                <w:bCs/>
                <w:color w:val="000000" w:themeColor="text1"/>
              </w:rPr>
            </w:pPr>
            <w:r w:rsidRPr="00D9605D">
              <w:rPr>
                <w:b/>
                <w:bCs/>
                <w:color w:val="000000" w:themeColor="text1"/>
              </w:rPr>
              <w:t>2024 Calculation</w:t>
            </w:r>
          </w:p>
        </w:tc>
        <w:tc>
          <w:tcPr>
            <w:tcW w:w="1085" w:type="dxa"/>
          </w:tcPr>
          <w:p w14:paraId="3EA0DE62" w14:textId="77777777" w:rsidR="00AB160D" w:rsidRPr="00D9605D" w:rsidRDefault="00AE4FCE">
            <w:pPr>
              <w:spacing w:after="160"/>
              <w:rPr>
                <w:b/>
                <w:bCs/>
                <w:color w:val="000000" w:themeColor="text1"/>
              </w:rPr>
            </w:pPr>
            <w:r w:rsidRPr="00D9605D">
              <w:rPr>
                <w:b/>
                <w:bCs/>
                <w:color w:val="000000" w:themeColor="text1"/>
              </w:rPr>
              <w:t>2024 Result</w:t>
            </w:r>
          </w:p>
        </w:tc>
        <w:tc>
          <w:tcPr>
            <w:tcW w:w="1598" w:type="dxa"/>
          </w:tcPr>
          <w:p w14:paraId="3C802C25" w14:textId="77777777" w:rsidR="00AB160D" w:rsidRPr="00D9605D" w:rsidRDefault="00AE4FCE">
            <w:pPr>
              <w:spacing w:after="160"/>
              <w:rPr>
                <w:b/>
                <w:bCs/>
                <w:color w:val="000000" w:themeColor="text1"/>
              </w:rPr>
            </w:pPr>
            <w:r w:rsidRPr="00D9605D">
              <w:rPr>
                <w:b/>
                <w:bCs/>
                <w:color w:val="000000" w:themeColor="text1"/>
              </w:rPr>
              <w:t>2025 Calculation</w:t>
            </w:r>
          </w:p>
        </w:tc>
        <w:tc>
          <w:tcPr>
            <w:tcW w:w="1085" w:type="dxa"/>
          </w:tcPr>
          <w:p w14:paraId="1C2A596A" w14:textId="77777777" w:rsidR="00AB160D" w:rsidRPr="00D9605D" w:rsidRDefault="00AE4FCE">
            <w:pPr>
              <w:spacing w:after="160"/>
              <w:rPr>
                <w:b/>
                <w:bCs/>
                <w:color w:val="000000" w:themeColor="text1"/>
              </w:rPr>
            </w:pPr>
            <w:r w:rsidRPr="00D9605D">
              <w:rPr>
                <w:b/>
                <w:bCs/>
                <w:color w:val="000000" w:themeColor="text1"/>
              </w:rPr>
              <w:t>2025 Result</w:t>
            </w:r>
          </w:p>
        </w:tc>
      </w:tr>
      <w:tr w:rsidR="00AB160D" w:rsidRPr="00D9605D" w14:paraId="7B0D1583" w14:textId="77777777">
        <w:tc>
          <w:tcPr>
            <w:tcW w:w="1156" w:type="dxa"/>
          </w:tcPr>
          <w:p w14:paraId="7EC3A7E2" w14:textId="77777777" w:rsidR="00AB160D" w:rsidRPr="00D9605D" w:rsidRDefault="00AE4FCE">
            <w:pPr>
              <w:spacing w:after="160"/>
              <w:rPr>
                <w:color w:val="000000" w:themeColor="text1"/>
              </w:rPr>
            </w:pPr>
            <w:r w:rsidRPr="00D9605D">
              <w:rPr>
                <w:color w:val="000000" w:themeColor="text1"/>
              </w:rPr>
              <w:t>Current Ratio</w:t>
            </w:r>
          </w:p>
        </w:tc>
        <w:tc>
          <w:tcPr>
            <w:tcW w:w="2494" w:type="dxa"/>
          </w:tcPr>
          <w:p w14:paraId="330C7CB8" w14:textId="77777777" w:rsidR="00AB160D" w:rsidRPr="00D9605D" w:rsidRDefault="00AE4FCE">
            <w:pPr>
              <w:spacing w:after="160"/>
              <w:rPr>
                <w:color w:val="000000" w:themeColor="text1"/>
              </w:rPr>
            </w:pPr>
            <w:r w:rsidRPr="00D9605D">
              <w:rPr>
                <w:color w:val="000000" w:themeColor="text1"/>
              </w:rPr>
              <w:t>Current Assets / Current Liabilities</w:t>
            </w:r>
          </w:p>
        </w:tc>
        <w:tc>
          <w:tcPr>
            <w:tcW w:w="1598" w:type="dxa"/>
          </w:tcPr>
          <w:p w14:paraId="01195CD0" w14:textId="77777777" w:rsidR="00AB160D" w:rsidRPr="00D9605D" w:rsidRDefault="00AE4FCE">
            <w:pPr>
              <w:spacing w:after="160"/>
              <w:rPr>
                <w:color w:val="000000" w:themeColor="text1"/>
              </w:rPr>
            </w:pPr>
            <w:r w:rsidRPr="00D9605D">
              <w:rPr>
                <w:color w:val="000000" w:themeColor="text1"/>
              </w:rPr>
              <w:t>16,000 / 21,500</w:t>
            </w:r>
          </w:p>
        </w:tc>
        <w:tc>
          <w:tcPr>
            <w:tcW w:w="1085" w:type="dxa"/>
          </w:tcPr>
          <w:p w14:paraId="450A535B" w14:textId="77777777" w:rsidR="00AB160D" w:rsidRPr="00D9605D" w:rsidRDefault="00AE4FCE">
            <w:pPr>
              <w:spacing w:after="160"/>
              <w:rPr>
                <w:color w:val="000000" w:themeColor="text1"/>
              </w:rPr>
            </w:pPr>
            <w:r w:rsidRPr="00D9605D">
              <w:rPr>
                <w:color w:val="000000" w:themeColor="text1"/>
              </w:rPr>
              <w:t>0.74</w:t>
            </w:r>
          </w:p>
        </w:tc>
        <w:tc>
          <w:tcPr>
            <w:tcW w:w="1598" w:type="dxa"/>
          </w:tcPr>
          <w:p w14:paraId="382CA1F4" w14:textId="77777777" w:rsidR="00AB160D" w:rsidRPr="00D9605D" w:rsidRDefault="00AE4FCE">
            <w:pPr>
              <w:spacing w:after="160"/>
              <w:rPr>
                <w:color w:val="000000" w:themeColor="text1"/>
              </w:rPr>
            </w:pPr>
            <w:r w:rsidRPr="00D9605D">
              <w:rPr>
                <w:color w:val="000000" w:themeColor="text1"/>
              </w:rPr>
              <w:t>16,800 / 22,300</w:t>
            </w:r>
          </w:p>
        </w:tc>
        <w:tc>
          <w:tcPr>
            <w:tcW w:w="1085" w:type="dxa"/>
          </w:tcPr>
          <w:p w14:paraId="234DCF0E" w14:textId="77777777" w:rsidR="00AB160D" w:rsidRPr="00D9605D" w:rsidRDefault="00AE4FCE">
            <w:pPr>
              <w:spacing w:after="160"/>
              <w:rPr>
                <w:color w:val="000000" w:themeColor="text1"/>
              </w:rPr>
            </w:pPr>
            <w:r w:rsidRPr="00D9605D">
              <w:rPr>
                <w:color w:val="000000" w:themeColor="text1"/>
              </w:rPr>
              <w:t>0.75</w:t>
            </w:r>
          </w:p>
        </w:tc>
      </w:tr>
      <w:tr w:rsidR="00AB160D" w:rsidRPr="00D9605D" w14:paraId="7E35C1AA" w14:textId="77777777">
        <w:tc>
          <w:tcPr>
            <w:tcW w:w="1156" w:type="dxa"/>
          </w:tcPr>
          <w:p w14:paraId="3FFF4318" w14:textId="77777777" w:rsidR="00AB160D" w:rsidRPr="00D9605D" w:rsidRDefault="00AE4FCE">
            <w:pPr>
              <w:spacing w:after="160"/>
              <w:rPr>
                <w:color w:val="000000" w:themeColor="text1"/>
              </w:rPr>
            </w:pPr>
            <w:r w:rsidRPr="00D9605D">
              <w:rPr>
                <w:color w:val="000000" w:themeColor="text1"/>
              </w:rPr>
              <w:t>Quick Ratio</w:t>
            </w:r>
          </w:p>
        </w:tc>
        <w:tc>
          <w:tcPr>
            <w:tcW w:w="2494" w:type="dxa"/>
          </w:tcPr>
          <w:p w14:paraId="3EBDB6FA" w14:textId="77777777" w:rsidR="00AB160D" w:rsidRPr="00D9605D" w:rsidRDefault="00AE4FCE">
            <w:pPr>
              <w:spacing w:after="160"/>
              <w:rPr>
                <w:color w:val="000000" w:themeColor="text1"/>
              </w:rPr>
            </w:pPr>
            <w:r w:rsidRPr="00D9605D">
              <w:rPr>
                <w:color w:val="000000" w:themeColor="text1"/>
              </w:rPr>
              <w:t>(Current Assets – Inventory) / Current Liabilities</w:t>
            </w:r>
          </w:p>
        </w:tc>
        <w:tc>
          <w:tcPr>
            <w:tcW w:w="1598" w:type="dxa"/>
          </w:tcPr>
          <w:p w14:paraId="0F2164B2" w14:textId="77777777" w:rsidR="00AB160D" w:rsidRPr="00D9605D" w:rsidRDefault="00AE4FCE">
            <w:pPr>
              <w:spacing w:after="160"/>
              <w:rPr>
                <w:color w:val="000000" w:themeColor="text1"/>
              </w:rPr>
            </w:pPr>
            <w:r w:rsidRPr="00D9605D">
              <w:rPr>
                <w:color w:val="000000" w:themeColor="text1"/>
              </w:rPr>
              <w:t>Approx.</w:t>
            </w:r>
          </w:p>
        </w:tc>
        <w:tc>
          <w:tcPr>
            <w:tcW w:w="1085" w:type="dxa"/>
          </w:tcPr>
          <w:p w14:paraId="0F20CC45" w14:textId="77777777" w:rsidR="00AB160D" w:rsidRPr="00D9605D" w:rsidRDefault="00AE4FCE">
            <w:pPr>
              <w:spacing w:after="160"/>
              <w:rPr>
                <w:color w:val="000000" w:themeColor="text1"/>
              </w:rPr>
            </w:pPr>
            <w:r w:rsidRPr="00D9605D">
              <w:rPr>
                <w:color w:val="000000" w:themeColor="text1"/>
              </w:rPr>
              <w:t>0.55</w:t>
            </w:r>
          </w:p>
        </w:tc>
        <w:tc>
          <w:tcPr>
            <w:tcW w:w="1598" w:type="dxa"/>
          </w:tcPr>
          <w:p w14:paraId="7849311B" w14:textId="77777777" w:rsidR="00AB160D" w:rsidRPr="00D9605D" w:rsidRDefault="00AE4FCE">
            <w:pPr>
              <w:spacing w:after="160"/>
              <w:rPr>
                <w:color w:val="000000" w:themeColor="text1"/>
              </w:rPr>
            </w:pPr>
            <w:r w:rsidRPr="00D9605D">
              <w:rPr>
                <w:color w:val="000000" w:themeColor="text1"/>
              </w:rPr>
              <w:t>Approx.</w:t>
            </w:r>
          </w:p>
        </w:tc>
        <w:tc>
          <w:tcPr>
            <w:tcW w:w="1085" w:type="dxa"/>
          </w:tcPr>
          <w:p w14:paraId="2AEDC1EF" w14:textId="77777777" w:rsidR="00AB160D" w:rsidRPr="00D9605D" w:rsidRDefault="00AE4FCE">
            <w:pPr>
              <w:spacing w:after="160"/>
              <w:rPr>
                <w:color w:val="000000" w:themeColor="text1"/>
              </w:rPr>
            </w:pPr>
            <w:r w:rsidRPr="00D9605D">
              <w:rPr>
                <w:color w:val="000000" w:themeColor="text1"/>
              </w:rPr>
              <w:t>0.58</w:t>
            </w:r>
          </w:p>
        </w:tc>
      </w:tr>
    </w:tbl>
    <w:p w14:paraId="6F53A0C6" w14:textId="77777777" w:rsidR="00AB160D" w:rsidRPr="00D9605D" w:rsidRDefault="00AB160D">
      <w:pPr>
        <w:rPr>
          <w:color w:val="000000" w:themeColor="text1"/>
        </w:rPr>
      </w:pPr>
    </w:p>
    <w:p w14:paraId="764BBC18" w14:textId="77777777" w:rsidR="00AB160D" w:rsidRPr="00D9605D" w:rsidRDefault="00AE4FCE">
      <w:pPr>
        <w:rPr>
          <w:b/>
          <w:bCs/>
          <w:color w:val="000000" w:themeColor="text1"/>
        </w:rPr>
      </w:pPr>
      <w:r w:rsidRPr="00D9605D">
        <w:rPr>
          <w:b/>
          <w:bCs/>
          <w:color w:val="000000" w:themeColor="text1"/>
        </w:rPr>
        <w:t>B3. Efficiency Ratios</w:t>
      </w:r>
    </w:p>
    <w:tbl>
      <w:tblPr>
        <w:tblStyle w:val="af"/>
        <w:tblW w:w="830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51"/>
        <w:gridCol w:w="3378"/>
        <w:gridCol w:w="1439"/>
        <w:gridCol w:w="1439"/>
      </w:tblGrid>
      <w:tr w:rsidR="00AB160D" w:rsidRPr="00D9605D" w14:paraId="70FE2212" w14:textId="77777777">
        <w:tc>
          <w:tcPr>
            <w:tcW w:w="2051" w:type="dxa"/>
          </w:tcPr>
          <w:p w14:paraId="527BE1C6" w14:textId="77777777" w:rsidR="00AB160D" w:rsidRPr="00D9605D" w:rsidRDefault="00AE4FCE">
            <w:pPr>
              <w:spacing w:after="160"/>
              <w:rPr>
                <w:b/>
                <w:bCs/>
                <w:color w:val="000000" w:themeColor="text1"/>
              </w:rPr>
            </w:pPr>
            <w:r w:rsidRPr="00D9605D">
              <w:rPr>
                <w:b/>
                <w:bCs/>
                <w:color w:val="000000" w:themeColor="text1"/>
              </w:rPr>
              <w:t>Ratio</w:t>
            </w:r>
          </w:p>
        </w:tc>
        <w:tc>
          <w:tcPr>
            <w:tcW w:w="3378" w:type="dxa"/>
          </w:tcPr>
          <w:p w14:paraId="759148E9" w14:textId="77777777" w:rsidR="00AB160D" w:rsidRPr="00D9605D" w:rsidRDefault="00AE4FCE">
            <w:pPr>
              <w:spacing w:after="160"/>
              <w:rPr>
                <w:b/>
                <w:bCs/>
                <w:color w:val="000000" w:themeColor="text1"/>
              </w:rPr>
            </w:pPr>
            <w:r w:rsidRPr="00D9605D">
              <w:rPr>
                <w:b/>
                <w:bCs/>
                <w:color w:val="000000" w:themeColor="text1"/>
              </w:rPr>
              <w:t>Formula</w:t>
            </w:r>
          </w:p>
        </w:tc>
        <w:tc>
          <w:tcPr>
            <w:tcW w:w="1439" w:type="dxa"/>
          </w:tcPr>
          <w:p w14:paraId="61A706A2" w14:textId="77777777" w:rsidR="00AB160D" w:rsidRPr="00D9605D" w:rsidRDefault="00AE4FCE">
            <w:pPr>
              <w:spacing w:after="160"/>
              <w:rPr>
                <w:b/>
                <w:bCs/>
                <w:color w:val="000000" w:themeColor="text1"/>
              </w:rPr>
            </w:pPr>
            <w:r w:rsidRPr="00D9605D">
              <w:rPr>
                <w:b/>
                <w:bCs/>
                <w:color w:val="000000" w:themeColor="text1"/>
              </w:rPr>
              <w:t>2024 Result</w:t>
            </w:r>
          </w:p>
        </w:tc>
        <w:tc>
          <w:tcPr>
            <w:tcW w:w="1439" w:type="dxa"/>
          </w:tcPr>
          <w:p w14:paraId="5FB65595" w14:textId="77777777" w:rsidR="00AB160D" w:rsidRPr="00D9605D" w:rsidRDefault="00AE4FCE">
            <w:pPr>
              <w:spacing w:after="160"/>
              <w:rPr>
                <w:b/>
                <w:bCs/>
                <w:color w:val="000000" w:themeColor="text1"/>
              </w:rPr>
            </w:pPr>
            <w:r w:rsidRPr="00D9605D">
              <w:rPr>
                <w:b/>
                <w:bCs/>
                <w:color w:val="000000" w:themeColor="text1"/>
              </w:rPr>
              <w:t>2025 Result</w:t>
            </w:r>
          </w:p>
        </w:tc>
      </w:tr>
      <w:tr w:rsidR="00AB160D" w:rsidRPr="00D9605D" w14:paraId="5146E5F1" w14:textId="77777777">
        <w:tc>
          <w:tcPr>
            <w:tcW w:w="2051" w:type="dxa"/>
          </w:tcPr>
          <w:p w14:paraId="606E10C9" w14:textId="77777777" w:rsidR="00AB160D" w:rsidRPr="00D9605D" w:rsidRDefault="00AE4FCE">
            <w:pPr>
              <w:spacing w:after="160"/>
              <w:rPr>
                <w:color w:val="000000" w:themeColor="text1"/>
              </w:rPr>
            </w:pPr>
            <w:r w:rsidRPr="00D9605D">
              <w:rPr>
                <w:color w:val="000000" w:themeColor="text1"/>
              </w:rPr>
              <w:t>Inventory Turnover</w:t>
            </w:r>
          </w:p>
        </w:tc>
        <w:tc>
          <w:tcPr>
            <w:tcW w:w="3378" w:type="dxa"/>
          </w:tcPr>
          <w:p w14:paraId="7986DFC9" w14:textId="77777777" w:rsidR="00AB160D" w:rsidRPr="00D9605D" w:rsidRDefault="00AE4FCE">
            <w:pPr>
              <w:spacing w:after="160"/>
              <w:rPr>
                <w:color w:val="000000" w:themeColor="text1"/>
              </w:rPr>
            </w:pPr>
            <w:r w:rsidRPr="00D9605D">
              <w:rPr>
                <w:color w:val="000000" w:themeColor="text1"/>
              </w:rPr>
              <w:t>Cost of Sales / Inventory</w:t>
            </w:r>
          </w:p>
        </w:tc>
        <w:tc>
          <w:tcPr>
            <w:tcW w:w="1439" w:type="dxa"/>
          </w:tcPr>
          <w:p w14:paraId="46440A05" w14:textId="77777777" w:rsidR="00AB160D" w:rsidRPr="00D9605D" w:rsidRDefault="00AE4FCE">
            <w:pPr>
              <w:spacing w:after="160"/>
              <w:rPr>
                <w:color w:val="000000" w:themeColor="text1"/>
              </w:rPr>
            </w:pPr>
            <w:r w:rsidRPr="00D9605D">
              <w:rPr>
                <w:color w:val="000000" w:themeColor="text1"/>
              </w:rPr>
              <w:t>18.5 times</w:t>
            </w:r>
          </w:p>
        </w:tc>
        <w:tc>
          <w:tcPr>
            <w:tcW w:w="1439" w:type="dxa"/>
          </w:tcPr>
          <w:p w14:paraId="3B414027" w14:textId="77777777" w:rsidR="00AB160D" w:rsidRPr="00D9605D" w:rsidRDefault="00AE4FCE">
            <w:pPr>
              <w:spacing w:after="160"/>
              <w:rPr>
                <w:color w:val="000000" w:themeColor="text1"/>
              </w:rPr>
            </w:pPr>
            <w:r w:rsidRPr="00D9605D">
              <w:rPr>
                <w:color w:val="000000" w:themeColor="text1"/>
              </w:rPr>
              <w:t>19.2 times</w:t>
            </w:r>
          </w:p>
        </w:tc>
      </w:tr>
      <w:tr w:rsidR="00AB160D" w:rsidRPr="00D9605D" w14:paraId="2CCF64EC" w14:textId="77777777">
        <w:tc>
          <w:tcPr>
            <w:tcW w:w="2051" w:type="dxa"/>
          </w:tcPr>
          <w:p w14:paraId="27F03D39" w14:textId="77777777" w:rsidR="00AB160D" w:rsidRPr="00D9605D" w:rsidRDefault="00AE4FCE">
            <w:pPr>
              <w:spacing w:after="160"/>
              <w:rPr>
                <w:color w:val="000000" w:themeColor="text1"/>
              </w:rPr>
            </w:pPr>
            <w:r w:rsidRPr="00D9605D">
              <w:rPr>
                <w:color w:val="000000" w:themeColor="text1"/>
              </w:rPr>
              <w:t>Receivables Days</w:t>
            </w:r>
          </w:p>
        </w:tc>
        <w:tc>
          <w:tcPr>
            <w:tcW w:w="3378" w:type="dxa"/>
          </w:tcPr>
          <w:p w14:paraId="4669720C" w14:textId="77777777" w:rsidR="00AB160D" w:rsidRPr="00D9605D" w:rsidRDefault="00AE4FCE">
            <w:pPr>
              <w:spacing w:after="160"/>
              <w:rPr>
                <w:color w:val="000000" w:themeColor="text1"/>
              </w:rPr>
            </w:pPr>
            <w:r w:rsidRPr="00D9605D">
              <w:rPr>
                <w:color w:val="000000" w:themeColor="text1"/>
              </w:rPr>
              <w:t>(Receivables / Revenue) × 365</w:t>
            </w:r>
          </w:p>
        </w:tc>
        <w:tc>
          <w:tcPr>
            <w:tcW w:w="1439" w:type="dxa"/>
          </w:tcPr>
          <w:p w14:paraId="564914FE" w14:textId="77777777" w:rsidR="00AB160D" w:rsidRPr="00D9605D" w:rsidRDefault="00AE4FCE">
            <w:pPr>
              <w:spacing w:after="160"/>
              <w:rPr>
                <w:color w:val="000000" w:themeColor="text1"/>
              </w:rPr>
            </w:pPr>
            <w:r w:rsidRPr="00D9605D">
              <w:rPr>
                <w:color w:val="000000" w:themeColor="text1"/>
              </w:rPr>
              <w:t>5 days</w:t>
            </w:r>
          </w:p>
        </w:tc>
        <w:tc>
          <w:tcPr>
            <w:tcW w:w="1439" w:type="dxa"/>
          </w:tcPr>
          <w:p w14:paraId="4CB73DEC" w14:textId="77777777" w:rsidR="00AB160D" w:rsidRPr="00D9605D" w:rsidRDefault="00AE4FCE">
            <w:pPr>
              <w:spacing w:after="160"/>
              <w:rPr>
                <w:color w:val="000000" w:themeColor="text1"/>
              </w:rPr>
            </w:pPr>
            <w:r w:rsidRPr="00D9605D">
              <w:rPr>
                <w:color w:val="000000" w:themeColor="text1"/>
              </w:rPr>
              <w:t>4 days</w:t>
            </w:r>
          </w:p>
        </w:tc>
      </w:tr>
      <w:tr w:rsidR="00AB160D" w:rsidRPr="00D9605D" w14:paraId="025979BF" w14:textId="77777777">
        <w:tc>
          <w:tcPr>
            <w:tcW w:w="2051" w:type="dxa"/>
          </w:tcPr>
          <w:p w14:paraId="2B5F7193" w14:textId="77777777" w:rsidR="00AB160D" w:rsidRPr="00D9605D" w:rsidRDefault="00AE4FCE">
            <w:pPr>
              <w:spacing w:after="160"/>
              <w:rPr>
                <w:color w:val="000000" w:themeColor="text1"/>
              </w:rPr>
            </w:pPr>
            <w:r w:rsidRPr="00D9605D">
              <w:rPr>
                <w:color w:val="000000" w:themeColor="text1"/>
              </w:rPr>
              <w:t>Payables Days</w:t>
            </w:r>
          </w:p>
        </w:tc>
        <w:tc>
          <w:tcPr>
            <w:tcW w:w="3378" w:type="dxa"/>
          </w:tcPr>
          <w:p w14:paraId="0794E4F4" w14:textId="77777777" w:rsidR="00AB160D" w:rsidRPr="00D9605D" w:rsidRDefault="00AE4FCE">
            <w:pPr>
              <w:spacing w:after="160"/>
              <w:rPr>
                <w:color w:val="000000" w:themeColor="text1"/>
              </w:rPr>
            </w:pPr>
            <w:r w:rsidRPr="00D9605D">
              <w:rPr>
                <w:color w:val="000000" w:themeColor="text1"/>
              </w:rPr>
              <w:t>(Payables / Cost of Sales) × 365</w:t>
            </w:r>
          </w:p>
        </w:tc>
        <w:tc>
          <w:tcPr>
            <w:tcW w:w="1439" w:type="dxa"/>
          </w:tcPr>
          <w:p w14:paraId="7620223B" w14:textId="77777777" w:rsidR="00AB160D" w:rsidRPr="00D9605D" w:rsidRDefault="00AE4FCE">
            <w:pPr>
              <w:spacing w:after="160"/>
              <w:rPr>
                <w:color w:val="000000" w:themeColor="text1"/>
              </w:rPr>
            </w:pPr>
            <w:r w:rsidRPr="00D9605D">
              <w:rPr>
                <w:color w:val="000000" w:themeColor="text1"/>
              </w:rPr>
              <w:t>55 days</w:t>
            </w:r>
          </w:p>
        </w:tc>
        <w:tc>
          <w:tcPr>
            <w:tcW w:w="1439" w:type="dxa"/>
          </w:tcPr>
          <w:p w14:paraId="49CE171C" w14:textId="77777777" w:rsidR="00AB160D" w:rsidRPr="00D9605D" w:rsidRDefault="00AE4FCE">
            <w:pPr>
              <w:spacing w:after="160"/>
              <w:rPr>
                <w:color w:val="000000" w:themeColor="text1"/>
              </w:rPr>
            </w:pPr>
            <w:r w:rsidRPr="00D9605D">
              <w:rPr>
                <w:color w:val="000000" w:themeColor="text1"/>
              </w:rPr>
              <w:t>58 days</w:t>
            </w:r>
          </w:p>
        </w:tc>
      </w:tr>
    </w:tbl>
    <w:p w14:paraId="3DA04F6E" w14:textId="77777777" w:rsidR="00AB160D" w:rsidRPr="00D9605D" w:rsidRDefault="00AB160D">
      <w:pPr>
        <w:rPr>
          <w:color w:val="000000" w:themeColor="text1"/>
        </w:rPr>
      </w:pPr>
    </w:p>
    <w:p w14:paraId="4A140DE6" w14:textId="77777777" w:rsidR="00AB160D" w:rsidRPr="00D9605D" w:rsidRDefault="00AE4FCE">
      <w:pPr>
        <w:rPr>
          <w:b/>
          <w:bCs/>
          <w:color w:val="000000" w:themeColor="text1"/>
        </w:rPr>
      </w:pPr>
      <w:r w:rsidRPr="00D9605D">
        <w:rPr>
          <w:b/>
          <w:bCs/>
          <w:color w:val="000000" w:themeColor="text1"/>
        </w:rPr>
        <w:t>B4. Gearing Ratios</w:t>
      </w:r>
    </w:p>
    <w:tbl>
      <w:tblPr>
        <w:tblStyle w:val="af0"/>
        <w:tblW w:w="901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64"/>
        <w:gridCol w:w="2142"/>
        <w:gridCol w:w="1659"/>
        <w:gridCol w:w="1146"/>
        <w:gridCol w:w="1659"/>
        <w:gridCol w:w="1146"/>
      </w:tblGrid>
      <w:tr w:rsidR="00AB160D" w:rsidRPr="00D9605D" w14:paraId="61D88769" w14:textId="77777777">
        <w:tc>
          <w:tcPr>
            <w:tcW w:w="1264" w:type="dxa"/>
          </w:tcPr>
          <w:p w14:paraId="7E66005A" w14:textId="77777777" w:rsidR="00AB160D" w:rsidRPr="00D9605D" w:rsidRDefault="00AE4FCE">
            <w:pPr>
              <w:spacing w:after="160"/>
              <w:rPr>
                <w:b/>
                <w:bCs/>
                <w:color w:val="000000" w:themeColor="text1"/>
              </w:rPr>
            </w:pPr>
            <w:r w:rsidRPr="00D9605D">
              <w:rPr>
                <w:b/>
                <w:bCs/>
                <w:color w:val="000000" w:themeColor="text1"/>
              </w:rPr>
              <w:t>Ratio</w:t>
            </w:r>
          </w:p>
        </w:tc>
        <w:tc>
          <w:tcPr>
            <w:tcW w:w="2142" w:type="dxa"/>
          </w:tcPr>
          <w:p w14:paraId="2A2867B2" w14:textId="77777777" w:rsidR="00AB160D" w:rsidRPr="00D9605D" w:rsidRDefault="00AE4FCE">
            <w:pPr>
              <w:spacing w:after="160"/>
              <w:rPr>
                <w:b/>
                <w:bCs/>
                <w:color w:val="000000" w:themeColor="text1"/>
              </w:rPr>
            </w:pPr>
            <w:r w:rsidRPr="00D9605D">
              <w:rPr>
                <w:b/>
                <w:bCs/>
                <w:color w:val="000000" w:themeColor="text1"/>
              </w:rPr>
              <w:t>Formula</w:t>
            </w:r>
          </w:p>
        </w:tc>
        <w:tc>
          <w:tcPr>
            <w:tcW w:w="1659" w:type="dxa"/>
          </w:tcPr>
          <w:p w14:paraId="6B1ED9D3" w14:textId="77777777" w:rsidR="00AB160D" w:rsidRPr="00D9605D" w:rsidRDefault="00AE4FCE">
            <w:pPr>
              <w:spacing w:after="160"/>
              <w:rPr>
                <w:b/>
                <w:bCs/>
                <w:color w:val="000000" w:themeColor="text1"/>
              </w:rPr>
            </w:pPr>
            <w:r w:rsidRPr="00D9605D">
              <w:rPr>
                <w:b/>
                <w:bCs/>
                <w:color w:val="000000" w:themeColor="text1"/>
              </w:rPr>
              <w:t>2024 Calculation</w:t>
            </w:r>
          </w:p>
        </w:tc>
        <w:tc>
          <w:tcPr>
            <w:tcW w:w="1146" w:type="dxa"/>
          </w:tcPr>
          <w:p w14:paraId="19975C68" w14:textId="77777777" w:rsidR="00AB160D" w:rsidRPr="00D9605D" w:rsidRDefault="00AE4FCE">
            <w:pPr>
              <w:spacing w:after="160"/>
              <w:rPr>
                <w:b/>
                <w:bCs/>
                <w:color w:val="000000" w:themeColor="text1"/>
              </w:rPr>
            </w:pPr>
            <w:r w:rsidRPr="00D9605D">
              <w:rPr>
                <w:b/>
                <w:bCs/>
                <w:color w:val="000000" w:themeColor="text1"/>
              </w:rPr>
              <w:t>2024 Result</w:t>
            </w:r>
          </w:p>
        </w:tc>
        <w:tc>
          <w:tcPr>
            <w:tcW w:w="1659" w:type="dxa"/>
          </w:tcPr>
          <w:p w14:paraId="5EC0B2B5" w14:textId="77777777" w:rsidR="00AB160D" w:rsidRPr="00D9605D" w:rsidRDefault="00AE4FCE">
            <w:pPr>
              <w:spacing w:after="160"/>
              <w:rPr>
                <w:b/>
                <w:bCs/>
                <w:color w:val="000000" w:themeColor="text1"/>
              </w:rPr>
            </w:pPr>
            <w:r w:rsidRPr="00D9605D">
              <w:rPr>
                <w:b/>
                <w:bCs/>
                <w:color w:val="000000" w:themeColor="text1"/>
              </w:rPr>
              <w:t>2025 Calculation</w:t>
            </w:r>
          </w:p>
        </w:tc>
        <w:tc>
          <w:tcPr>
            <w:tcW w:w="1146" w:type="dxa"/>
          </w:tcPr>
          <w:p w14:paraId="2194BB0C" w14:textId="77777777" w:rsidR="00AB160D" w:rsidRPr="00D9605D" w:rsidRDefault="00AE4FCE">
            <w:pPr>
              <w:spacing w:after="160"/>
              <w:rPr>
                <w:b/>
                <w:bCs/>
                <w:color w:val="000000" w:themeColor="text1"/>
              </w:rPr>
            </w:pPr>
            <w:r w:rsidRPr="00D9605D">
              <w:rPr>
                <w:b/>
                <w:bCs/>
                <w:color w:val="000000" w:themeColor="text1"/>
              </w:rPr>
              <w:t>2025 Result</w:t>
            </w:r>
          </w:p>
        </w:tc>
      </w:tr>
      <w:tr w:rsidR="00AB160D" w:rsidRPr="00D9605D" w14:paraId="764147A0" w14:textId="77777777">
        <w:tc>
          <w:tcPr>
            <w:tcW w:w="1264" w:type="dxa"/>
          </w:tcPr>
          <w:p w14:paraId="4ACFAEFF" w14:textId="77777777" w:rsidR="00AB160D" w:rsidRPr="00D9605D" w:rsidRDefault="00AE4FCE">
            <w:pPr>
              <w:spacing w:after="160"/>
              <w:rPr>
                <w:color w:val="000000" w:themeColor="text1"/>
              </w:rPr>
            </w:pPr>
            <w:r w:rsidRPr="00D9605D">
              <w:rPr>
                <w:color w:val="000000" w:themeColor="text1"/>
              </w:rPr>
              <w:t>Debt-to-Equity</w:t>
            </w:r>
          </w:p>
        </w:tc>
        <w:tc>
          <w:tcPr>
            <w:tcW w:w="2142" w:type="dxa"/>
          </w:tcPr>
          <w:p w14:paraId="1C793D0A" w14:textId="77777777" w:rsidR="00AB160D" w:rsidRPr="00D9605D" w:rsidRDefault="00AE4FCE">
            <w:pPr>
              <w:spacing w:after="160"/>
              <w:rPr>
                <w:color w:val="000000" w:themeColor="text1"/>
              </w:rPr>
            </w:pPr>
            <w:r w:rsidRPr="00D9605D">
              <w:rPr>
                <w:color w:val="000000" w:themeColor="text1"/>
              </w:rPr>
              <w:t>Total Debt / Total Equity</w:t>
            </w:r>
          </w:p>
        </w:tc>
        <w:tc>
          <w:tcPr>
            <w:tcW w:w="1659" w:type="dxa"/>
          </w:tcPr>
          <w:p w14:paraId="72275849" w14:textId="77777777" w:rsidR="00AB160D" w:rsidRPr="00D9605D" w:rsidRDefault="00AE4FCE">
            <w:pPr>
              <w:spacing w:after="160"/>
              <w:rPr>
                <w:color w:val="000000" w:themeColor="text1"/>
              </w:rPr>
            </w:pPr>
            <w:r w:rsidRPr="00D9605D">
              <w:rPr>
                <w:color w:val="000000" w:themeColor="text1"/>
              </w:rPr>
              <w:t>9,200 / 10,800</w:t>
            </w:r>
          </w:p>
        </w:tc>
        <w:tc>
          <w:tcPr>
            <w:tcW w:w="1146" w:type="dxa"/>
          </w:tcPr>
          <w:p w14:paraId="6A72D670" w14:textId="77777777" w:rsidR="00AB160D" w:rsidRPr="00D9605D" w:rsidRDefault="00AE4FCE">
            <w:pPr>
              <w:spacing w:after="160"/>
              <w:rPr>
                <w:color w:val="000000" w:themeColor="text1"/>
              </w:rPr>
            </w:pPr>
            <w:r w:rsidRPr="00D9605D">
              <w:rPr>
                <w:color w:val="000000" w:themeColor="text1"/>
              </w:rPr>
              <w:t>0.85</w:t>
            </w:r>
          </w:p>
        </w:tc>
        <w:tc>
          <w:tcPr>
            <w:tcW w:w="1659" w:type="dxa"/>
          </w:tcPr>
          <w:p w14:paraId="52997282" w14:textId="77777777" w:rsidR="00AB160D" w:rsidRPr="00D9605D" w:rsidRDefault="00AE4FCE">
            <w:pPr>
              <w:spacing w:after="160"/>
              <w:rPr>
                <w:color w:val="000000" w:themeColor="text1"/>
              </w:rPr>
            </w:pPr>
            <w:r w:rsidRPr="00D9605D">
              <w:rPr>
                <w:color w:val="000000" w:themeColor="text1"/>
              </w:rPr>
              <w:t>9,400 / 11,500</w:t>
            </w:r>
          </w:p>
        </w:tc>
        <w:tc>
          <w:tcPr>
            <w:tcW w:w="1146" w:type="dxa"/>
          </w:tcPr>
          <w:p w14:paraId="63CACDAD" w14:textId="77777777" w:rsidR="00AB160D" w:rsidRPr="00D9605D" w:rsidRDefault="00AE4FCE">
            <w:pPr>
              <w:spacing w:after="160"/>
              <w:rPr>
                <w:color w:val="000000" w:themeColor="text1"/>
              </w:rPr>
            </w:pPr>
            <w:r w:rsidRPr="00D9605D">
              <w:rPr>
                <w:color w:val="000000" w:themeColor="text1"/>
              </w:rPr>
              <w:t>0.82</w:t>
            </w:r>
          </w:p>
        </w:tc>
      </w:tr>
      <w:tr w:rsidR="00AB160D" w:rsidRPr="00D9605D" w14:paraId="4C6F50B1" w14:textId="77777777">
        <w:tc>
          <w:tcPr>
            <w:tcW w:w="1264" w:type="dxa"/>
          </w:tcPr>
          <w:p w14:paraId="4165C6E7" w14:textId="77777777" w:rsidR="00AB160D" w:rsidRPr="00D9605D" w:rsidRDefault="00AE4FCE">
            <w:pPr>
              <w:spacing w:after="160"/>
              <w:rPr>
                <w:color w:val="000000" w:themeColor="text1"/>
              </w:rPr>
            </w:pPr>
            <w:r w:rsidRPr="00D9605D">
              <w:rPr>
                <w:color w:val="000000" w:themeColor="text1"/>
              </w:rPr>
              <w:t>Interest Cover</w:t>
            </w:r>
          </w:p>
        </w:tc>
        <w:tc>
          <w:tcPr>
            <w:tcW w:w="2142" w:type="dxa"/>
          </w:tcPr>
          <w:p w14:paraId="788C5678" w14:textId="77777777" w:rsidR="00AB160D" w:rsidRPr="00D9605D" w:rsidRDefault="00AE4FCE">
            <w:pPr>
              <w:spacing w:after="160"/>
              <w:rPr>
                <w:color w:val="000000" w:themeColor="text1"/>
              </w:rPr>
            </w:pPr>
            <w:r w:rsidRPr="00D9605D">
              <w:rPr>
                <w:color w:val="000000" w:themeColor="text1"/>
              </w:rPr>
              <w:t>Operating Profit / Finance Cost</w:t>
            </w:r>
          </w:p>
        </w:tc>
        <w:tc>
          <w:tcPr>
            <w:tcW w:w="1659" w:type="dxa"/>
          </w:tcPr>
          <w:p w14:paraId="3ADE2F88" w14:textId="77777777" w:rsidR="00AB160D" w:rsidRPr="00D9605D" w:rsidRDefault="00AE4FCE">
            <w:pPr>
              <w:spacing w:after="160"/>
              <w:rPr>
                <w:color w:val="000000" w:themeColor="text1"/>
              </w:rPr>
            </w:pPr>
            <w:r w:rsidRPr="00D9605D">
              <w:rPr>
                <w:color w:val="000000" w:themeColor="text1"/>
              </w:rPr>
              <w:t>Approx.</w:t>
            </w:r>
          </w:p>
        </w:tc>
        <w:tc>
          <w:tcPr>
            <w:tcW w:w="1146" w:type="dxa"/>
          </w:tcPr>
          <w:p w14:paraId="78D24A7F" w14:textId="77777777" w:rsidR="00AB160D" w:rsidRPr="00D9605D" w:rsidRDefault="00AE4FCE">
            <w:pPr>
              <w:spacing w:after="160"/>
              <w:rPr>
                <w:color w:val="000000" w:themeColor="text1"/>
              </w:rPr>
            </w:pPr>
            <w:r w:rsidRPr="00D9605D">
              <w:rPr>
                <w:color w:val="000000" w:themeColor="text1"/>
              </w:rPr>
              <w:t>6.5 times</w:t>
            </w:r>
          </w:p>
        </w:tc>
        <w:tc>
          <w:tcPr>
            <w:tcW w:w="1659" w:type="dxa"/>
          </w:tcPr>
          <w:p w14:paraId="3680DF07" w14:textId="77777777" w:rsidR="00AB160D" w:rsidRPr="00D9605D" w:rsidRDefault="00AE4FCE">
            <w:pPr>
              <w:spacing w:after="160"/>
              <w:rPr>
                <w:color w:val="000000" w:themeColor="text1"/>
              </w:rPr>
            </w:pPr>
            <w:r w:rsidRPr="00D9605D">
              <w:rPr>
                <w:color w:val="000000" w:themeColor="text1"/>
              </w:rPr>
              <w:t>Approx.</w:t>
            </w:r>
          </w:p>
        </w:tc>
        <w:tc>
          <w:tcPr>
            <w:tcW w:w="1146" w:type="dxa"/>
          </w:tcPr>
          <w:p w14:paraId="08F8D0CF" w14:textId="77777777" w:rsidR="00AB160D" w:rsidRPr="00D9605D" w:rsidRDefault="00AE4FCE">
            <w:pPr>
              <w:spacing w:after="160"/>
              <w:rPr>
                <w:color w:val="000000" w:themeColor="text1"/>
              </w:rPr>
            </w:pPr>
            <w:r w:rsidRPr="00D9605D">
              <w:rPr>
                <w:color w:val="000000" w:themeColor="text1"/>
              </w:rPr>
              <w:t>7.2 times</w:t>
            </w:r>
          </w:p>
        </w:tc>
      </w:tr>
    </w:tbl>
    <w:p w14:paraId="657778AE" w14:textId="77777777" w:rsidR="00AB160D" w:rsidRPr="00D9605D" w:rsidRDefault="00AB160D">
      <w:pPr>
        <w:rPr>
          <w:color w:val="000000" w:themeColor="text1"/>
        </w:rPr>
      </w:pPr>
    </w:p>
    <w:p w14:paraId="335D9802" w14:textId="77777777" w:rsidR="00AB160D" w:rsidRPr="00D9605D" w:rsidRDefault="00AE4FCE">
      <w:pPr>
        <w:rPr>
          <w:b/>
          <w:bCs/>
          <w:color w:val="000000" w:themeColor="text1"/>
        </w:rPr>
      </w:pPr>
      <w:r w:rsidRPr="00D9605D">
        <w:rPr>
          <w:b/>
          <w:bCs/>
          <w:color w:val="000000" w:themeColor="text1"/>
        </w:rPr>
        <w:t>B5. Investor Ratios</w:t>
      </w:r>
    </w:p>
    <w:tbl>
      <w:tblPr>
        <w:tblStyle w:val="af1"/>
        <w:tblW w:w="866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60"/>
        <w:gridCol w:w="3023"/>
        <w:gridCol w:w="1439"/>
        <w:gridCol w:w="1439"/>
      </w:tblGrid>
      <w:tr w:rsidR="00AB160D" w:rsidRPr="00D9605D" w14:paraId="618BCD5E" w14:textId="77777777">
        <w:tc>
          <w:tcPr>
            <w:tcW w:w="2760" w:type="dxa"/>
          </w:tcPr>
          <w:p w14:paraId="289D54AD" w14:textId="77777777" w:rsidR="00AB160D" w:rsidRPr="00D9605D" w:rsidRDefault="00AE4FCE">
            <w:pPr>
              <w:spacing w:after="160"/>
              <w:rPr>
                <w:b/>
                <w:bCs/>
                <w:color w:val="000000" w:themeColor="text1"/>
              </w:rPr>
            </w:pPr>
            <w:r w:rsidRPr="00D9605D">
              <w:rPr>
                <w:b/>
                <w:bCs/>
                <w:color w:val="000000" w:themeColor="text1"/>
              </w:rPr>
              <w:t>Ratio</w:t>
            </w:r>
          </w:p>
        </w:tc>
        <w:tc>
          <w:tcPr>
            <w:tcW w:w="3023" w:type="dxa"/>
          </w:tcPr>
          <w:p w14:paraId="36C6436B" w14:textId="77777777" w:rsidR="00AB160D" w:rsidRPr="00D9605D" w:rsidRDefault="00AE4FCE">
            <w:pPr>
              <w:spacing w:after="160"/>
              <w:rPr>
                <w:b/>
                <w:bCs/>
                <w:color w:val="000000" w:themeColor="text1"/>
              </w:rPr>
            </w:pPr>
            <w:r w:rsidRPr="00D9605D">
              <w:rPr>
                <w:b/>
                <w:bCs/>
                <w:color w:val="000000" w:themeColor="text1"/>
              </w:rPr>
              <w:t>Formula</w:t>
            </w:r>
          </w:p>
        </w:tc>
        <w:tc>
          <w:tcPr>
            <w:tcW w:w="1439" w:type="dxa"/>
          </w:tcPr>
          <w:p w14:paraId="6F154027" w14:textId="77777777" w:rsidR="00AB160D" w:rsidRPr="00D9605D" w:rsidRDefault="00AE4FCE">
            <w:pPr>
              <w:spacing w:after="160"/>
              <w:rPr>
                <w:b/>
                <w:bCs/>
                <w:color w:val="000000" w:themeColor="text1"/>
              </w:rPr>
            </w:pPr>
            <w:r w:rsidRPr="00D9605D">
              <w:rPr>
                <w:b/>
                <w:bCs/>
                <w:color w:val="000000" w:themeColor="text1"/>
              </w:rPr>
              <w:t>2024 Result</w:t>
            </w:r>
          </w:p>
        </w:tc>
        <w:tc>
          <w:tcPr>
            <w:tcW w:w="1439" w:type="dxa"/>
          </w:tcPr>
          <w:p w14:paraId="1D4B01AB" w14:textId="77777777" w:rsidR="00AB160D" w:rsidRPr="00D9605D" w:rsidRDefault="00AE4FCE">
            <w:pPr>
              <w:spacing w:after="160"/>
              <w:rPr>
                <w:b/>
                <w:bCs/>
                <w:color w:val="000000" w:themeColor="text1"/>
              </w:rPr>
            </w:pPr>
            <w:r w:rsidRPr="00D9605D">
              <w:rPr>
                <w:b/>
                <w:bCs/>
                <w:color w:val="000000" w:themeColor="text1"/>
              </w:rPr>
              <w:t>2025 Result</w:t>
            </w:r>
          </w:p>
        </w:tc>
      </w:tr>
      <w:tr w:rsidR="00AB160D" w:rsidRPr="00D9605D" w14:paraId="3BC12AB9" w14:textId="77777777">
        <w:tc>
          <w:tcPr>
            <w:tcW w:w="2760" w:type="dxa"/>
          </w:tcPr>
          <w:p w14:paraId="4B527D98" w14:textId="77777777" w:rsidR="00AB160D" w:rsidRPr="00D9605D" w:rsidRDefault="00AE4FCE">
            <w:pPr>
              <w:spacing w:after="160"/>
              <w:rPr>
                <w:color w:val="000000" w:themeColor="text1"/>
              </w:rPr>
            </w:pPr>
            <w:r w:rsidRPr="00D9605D">
              <w:rPr>
                <w:color w:val="000000" w:themeColor="text1"/>
              </w:rPr>
              <w:t>Earnings per Share (EPS)</w:t>
            </w:r>
          </w:p>
        </w:tc>
        <w:tc>
          <w:tcPr>
            <w:tcW w:w="3023" w:type="dxa"/>
          </w:tcPr>
          <w:p w14:paraId="36A90005" w14:textId="77777777" w:rsidR="00AB160D" w:rsidRPr="00D9605D" w:rsidRDefault="00AE4FCE">
            <w:pPr>
              <w:spacing w:after="160"/>
              <w:rPr>
                <w:color w:val="000000" w:themeColor="text1"/>
              </w:rPr>
            </w:pPr>
            <w:r w:rsidRPr="00D9605D">
              <w:rPr>
                <w:color w:val="000000" w:themeColor="text1"/>
              </w:rPr>
              <w:t>Profit / No. of Shares</w:t>
            </w:r>
          </w:p>
        </w:tc>
        <w:tc>
          <w:tcPr>
            <w:tcW w:w="1439" w:type="dxa"/>
          </w:tcPr>
          <w:p w14:paraId="0C728474" w14:textId="77777777" w:rsidR="00AB160D" w:rsidRPr="00D9605D" w:rsidRDefault="00AE4FCE">
            <w:pPr>
              <w:spacing w:after="160"/>
              <w:rPr>
                <w:color w:val="000000" w:themeColor="text1"/>
              </w:rPr>
            </w:pPr>
            <w:r w:rsidRPr="00D9605D">
              <w:rPr>
                <w:color w:val="000000" w:themeColor="text1"/>
              </w:rPr>
              <w:t>23.5p</w:t>
            </w:r>
          </w:p>
        </w:tc>
        <w:tc>
          <w:tcPr>
            <w:tcW w:w="1439" w:type="dxa"/>
          </w:tcPr>
          <w:p w14:paraId="2050184E" w14:textId="77777777" w:rsidR="00AB160D" w:rsidRPr="00D9605D" w:rsidRDefault="00AE4FCE">
            <w:pPr>
              <w:spacing w:after="160"/>
              <w:rPr>
                <w:color w:val="000000" w:themeColor="text1"/>
              </w:rPr>
            </w:pPr>
            <w:r w:rsidRPr="00D9605D">
              <w:rPr>
                <w:color w:val="000000" w:themeColor="text1"/>
              </w:rPr>
              <w:t>26.8p</w:t>
            </w:r>
          </w:p>
        </w:tc>
      </w:tr>
      <w:tr w:rsidR="00AB160D" w:rsidRPr="00D9605D" w14:paraId="7E6D76F2" w14:textId="77777777">
        <w:tc>
          <w:tcPr>
            <w:tcW w:w="2760" w:type="dxa"/>
          </w:tcPr>
          <w:p w14:paraId="7C90D27F" w14:textId="77777777" w:rsidR="00AB160D" w:rsidRPr="00D9605D" w:rsidRDefault="00AE4FCE">
            <w:pPr>
              <w:spacing w:after="160"/>
              <w:rPr>
                <w:color w:val="000000" w:themeColor="text1"/>
              </w:rPr>
            </w:pPr>
            <w:r w:rsidRPr="00D9605D">
              <w:rPr>
                <w:color w:val="000000" w:themeColor="text1"/>
              </w:rPr>
              <w:t>Dividend Yield</w:t>
            </w:r>
          </w:p>
        </w:tc>
        <w:tc>
          <w:tcPr>
            <w:tcW w:w="3023" w:type="dxa"/>
          </w:tcPr>
          <w:p w14:paraId="5AE8436D" w14:textId="77777777" w:rsidR="00AB160D" w:rsidRPr="00D9605D" w:rsidRDefault="00AE4FCE">
            <w:pPr>
              <w:spacing w:after="160"/>
              <w:rPr>
                <w:color w:val="000000" w:themeColor="text1"/>
              </w:rPr>
            </w:pPr>
            <w:r w:rsidRPr="00D9605D">
              <w:rPr>
                <w:color w:val="000000" w:themeColor="text1"/>
              </w:rPr>
              <w:t>Dividend / Share Price × 100</w:t>
            </w:r>
          </w:p>
        </w:tc>
        <w:tc>
          <w:tcPr>
            <w:tcW w:w="1439" w:type="dxa"/>
          </w:tcPr>
          <w:p w14:paraId="1B6F9F04" w14:textId="77777777" w:rsidR="00AB160D" w:rsidRPr="00D9605D" w:rsidRDefault="00AE4FCE">
            <w:pPr>
              <w:spacing w:after="160"/>
              <w:rPr>
                <w:color w:val="000000" w:themeColor="text1"/>
              </w:rPr>
            </w:pPr>
            <w:r w:rsidRPr="00D9605D">
              <w:rPr>
                <w:color w:val="000000" w:themeColor="text1"/>
              </w:rPr>
              <w:t>3.8%</w:t>
            </w:r>
          </w:p>
        </w:tc>
        <w:tc>
          <w:tcPr>
            <w:tcW w:w="1439" w:type="dxa"/>
          </w:tcPr>
          <w:p w14:paraId="24341DF1" w14:textId="77777777" w:rsidR="00AB160D" w:rsidRPr="00D9605D" w:rsidRDefault="00AE4FCE">
            <w:pPr>
              <w:spacing w:after="160"/>
              <w:rPr>
                <w:color w:val="000000" w:themeColor="text1"/>
              </w:rPr>
            </w:pPr>
            <w:r w:rsidRPr="00D9605D">
              <w:rPr>
                <w:color w:val="000000" w:themeColor="text1"/>
              </w:rPr>
              <w:t>4.1%</w:t>
            </w:r>
          </w:p>
        </w:tc>
      </w:tr>
    </w:tbl>
    <w:p w14:paraId="48791E4B" w14:textId="77777777" w:rsidR="00AB160D" w:rsidRPr="00D9605D" w:rsidRDefault="00AB160D">
      <w:pPr>
        <w:spacing w:before="240"/>
        <w:rPr>
          <w:color w:val="000000" w:themeColor="text1"/>
        </w:rPr>
      </w:pPr>
    </w:p>
    <w:p w14:paraId="698C112A" w14:textId="77777777" w:rsidR="00AB160D" w:rsidRPr="00D9605D" w:rsidRDefault="00AB160D">
      <w:pPr>
        <w:spacing w:before="240"/>
        <w:rPr>
          <w:color w:val="000000" w:themeColor="text1"/>
        </w:rPr>
      </w:pPr>
    </w:p>
    <w:sectPr w:rsidR="00AB160D" w:rsidRPr="00D9605D">
      <w:footerReference w:type="default" r:id="rId12"/>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9EDCAA2" w14:textId="77777777" w:rsidR="00AE4FCE" w:rsidRDefault="00AE4FCE">
      <w:pPr>
        <w:spacing w:after="0" w:line="240" w:lineRule="auto"/>
      </w:pPr>
      <w:r>
        <w:separator/>
      </w:r>
    </w:p>
  </w:endnote>
  <w:endnote w:type="continuationSeparator" w:id="0">
    <w:p w14:paraId="5AD1EB1E" w14:textId="77777777" w:rsidR="00AE4FCE" w:rsidRDefault="00AE4F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Noto Sans Symbols">
    <w:charset w:val="00"/>
    <w:family w:val="auto"/>
    <w:pitch w:val="default"/>
    <w:embedRegular r:id="rId1" w:fontKey="{B2179C09-A9E5-4747-9A24-99E922C893C1}"/>
    <w:embedBold r:id="rId2" w:fontKey="{518C6FF2-B645-9641-9C9E-973740D5E8C6}"/>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embedRegular r:id="rId3" w:fontKey="{AEC6E822-E5BC-E04D-A7F5-712ED4D85D35}"/>
    <w:embedBold r:id="rId4" w:fontKey="{D6FF60E0-8C7A-0143-97EA-61DC03632232}"/>
  </w:font>
  <w:font w:name="Quattrocento Sans">
    <w:panose1 w:val="020B0502050000020003"/>
    <w:charset w:val="00"/>
    <w:family w:val="swiss"/>
    <w:pitch w:val="variable"/>
    <w:sig w:usb0="800000BF" w:usb1="4000005B" w:usb2="00000000" w:usb3="00000000" w:csb0="00000001" w:csb1="00000000"/>
    <w:embedRegular r:id="rId5" w:fontKey="{5D564609-5499-DF44-AD38-5A67D109635F}"/>
    <w:embedBold r:id="rId6" w:fontKey="{1CD943D7-DFB5-3041-9052-5D986A5434FC}"/>
    <w:embedItalic r:id="rId7" w:fontKey="{C523D99B-BAA0-1D4C-93C8-314CBD71CADB}"/>
    <w:embedBoldItalic r:id="rId8" w:fontKey="{7C4868C4-3DF4-CE44-B1CC-0E87618824BB}"/>
  </w:font>
  <w:font w:name="Cambria Math">
    <w:panose1 w:val="02040503050406030204"/>
    <w:charset w:val="00"/>
    <w:family w:val="roman"/>
    <w:pitch w:val="variable"/>
    <w:sig w:usb0="E00006FF" w:usb1="420024FF" w:usb2="02000000" w:usb3="00000000" w:csb0="0000019F" w:csb1="00000000"/>
    <w:embedRegular r:id="rId9" w:fontKey="{65A45847-C361-134E-BCE5-49BB1E0AC2CF}"/>
  </w:font>
  <w:font w:name="Arial Unicode MS">
    <w:altName w:val="Arial"/>
    <w:panose1 w:val="020B0604020202020204"/>
    <w:charset w:val="00"/>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388ABCE" w14:textId="55F8BF9E" w:rsidR="00AB160D" w:rsidRDefault="00AE4FCE">
    <w:pPr>
      <w:pBdr>
        <w:top w:val="single" w:sz="4" w:space="1" w:color="D9D9D9"/>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7943EB">
      <w:rPr>
        <w:noProof/>
        <w:color w:val="000000"/>
      </w:rPr>
      <w:t>2</w:t>
    </w:r>
    <w:r>
      <w:rPr>
        <w:color w:val="000000"/>
      </w:rPr>
      <w:fldChar w:fldCharType="end"/>
    </w:r>
    <w:r>
      <w:rPr>
        <w:color w:val="000000"/>
      </w:rPr>
      <w:t xml:space="preserve"> | </w:t>
    </w:r>
    <w:r>
      <w:rPr>
        <w:color w:val="7F7F7F"/>
      </w:rPr>
      <w:t>Page</w:t>
    </w:r>
  </w:p>
  <w:p w14:paraId="4D33CEC2" w14:textId="77777777" w:rsidR="00AB160D" w:rsidRDefault="00AB160D">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AEEC19A" w14:textId="77777777" w:rsidR="00AE4FCE" w:rsidRDefault="00AE4FCE">
      <w:pPr>
        <w:spacing w:after="0" w:line="240" w:lineRule="auto"/>
      </w:pPr>
      <w:r>
        <w:separator/>
      </w:r>
    </w:p>
  </w:footnote>
  <w:footnote w:type="continuationSeparator" w:id="0">
    <w:p w14:paraId="764A07D3" w14:textId="77777777" w:rsidR="00AE4FCE" w:rsidRDefault="00AE4F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0CE62C3"/>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1896F51"/>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21C71F4"/>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6E714E5"/>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9182C59"/>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4381803"/>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B0E4583"/>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AAD3FAF"/>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BC407DE"/>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600605895">
    <w:abstractNumId w:val="6"/>
  </w:num>
  <w:num w:numId="2" w16cid:durableId="2053336298">
    <w:abstractNumId w:val="7"/>
  </w:num>
  <w:num w:numId="3" w16cid:durableId="116873781">
    <w:abstractNumId w:val="1"/>
  </w:num>
  <w:num w:numId="4" w16cid:durableId="1643581388">
    <w:abstractNumId w:val="8"/>
  </w:num>
  <w:num w:numId="5" w16cid:durableId="239141060">
    <w:abstractNumId w:val="2"/>
  </w:num>
  <w:num w:numId="6" w16cid:durableId="1380323842">
    <w:abstractNumId w:val="5"/>
  </w:num>
  <w:num w:numId="7" w16cid:durableId="1418669194">
    <w:abstractNumId w:val="0"/>
  </w:num>
  <w:num w:numId="8" w16cid:durableId="1871870536">
    <w:abstractNumId w:val="4"/>
  </w:num>
  <w:num w:numId="9" w16cid:durableId="1935358005">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160D"/>
    <w:rsid w:val="003A7750"/>
    <w:rsid w:val="007943EB"/>
    <w:rsid w:val="00866071"/>
    <w:rsid w:val="00AB160D"/>
    <w:rsid w:val="00AE4FCE"/>
    <w:rsid w:val="00AF2930"/>
    <w:rsid w:val="00D27E9C"/>
    <w:rsid w:val="00D55448"/>
    <w:rsid w:val="00D96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5B55D7"/>
  <w15:docId w15:val="{8F9D01CA-24B1-E343-80DE-3C9B7F9D3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4"/>
        <w:szCs w:val="24"/>
        <w:lang w:val="en-IN" w:eastAsia="en-GB"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120" w:after="0"/>
      <w:jc w:val="left"/>
      <w:outlineLvl w:val="0"/>
    </w:pPr>
    <w:rPr>
      <w:b/>
      <w:bCs/>
      <w:color w:val="215E99"/>
      <w:sz w:val="28"/>
      <w:szCs w:val="28"/>
    </w:rPr>
  </w:style>
  <w:style w:type="paragraph" w:styleId="Heading2">
    <w:name w:val="heading 2"/>
    <w:basedOn w:val="Normal"/>
    <w:next w:val="Normal"/>
    <w:uiPriority w:val="9"/>
    <w:unhideWhenUsed/>
    <w:qFormat/>
    <w:pPr>
      <w:keepNext/>
      <w:keepLines/>
      <w:spacing w:after="0"/>
      <w:jc w:val="left"/>
      <w:outlineLvl w:val="1"/>
    </w:pPr>
    <w:rPr>
      <w:b/>
      <w:bCs/>
      <w:color w:val="3A7D22"/>
      <w:sz w:val="26"/>
      <w:szCs w:val="26"/>
    </w:rPr>
  </w:style>
  <w:style w:type="paragraph" w:styleId="Heading3">
    <w:name w:val="heading 3"/>
    <w:basedOn w:val="Normal"/>
    <w:next w:val="Normal"/>
    <w:uiPriority w:val="9"/>
    <w:semiHidden/>
    <w:unhideWhenUsed/>
    <w:qFormat/>
    <w:pPr>
      <w:keepNext/>
      <w:keepLines/>
      <w:spacing w:after="0"/>
      <w:jc w:val="left"/>
      <w:outlineLvl w:val="2"/>
    </w:pPr>
    <w:rPr>
      <w:b/>
      <w:bCs/>
      <w:color w:val="BF4F14"/>
    </w:rPr>
  </w:style>
  <w:style w:type="paragraph" w:styleId="Heading4">
    <w:name w:val="heading 4"/>
    <w:basedOn w:val="Normal"/>
    <w:next w:val="Normal"/>
    <w:uiPriority w:val="9"/>
    <w:semiHidden/>
    <w:unhideWhenUsed/>
    <w:qFormat/>
    <w:pPr>
      <w:keepNext/>
      <w:keepLines/>
      <w:spacing w:after="0"/>
      <w:jc w:val="left"/>
      <w:outlineLvl w:val="3"/>
    </w:pPr>
    <w:rPr>
      <w:b/>
      <w:bCs/>
      <w:i/>
      <w:iCs/>
      <w:color w:val="77206E"/>
    </w:rPr>
  </w:style>
  <w:style w:type="paragraph" w:styleId="Heading5">
    <w:name w:val="heading 5"/>
    <w:basedOn w:val="Normal"/>
    <w:next w:val="Normal"/>
    <w:uiPriority w:val="9"/>
    <w:semiHidden/>
    <w:unhideWhenUsed/>
    <w:qFormat/>
    <w:pPr>
      <w:keepNext/>
      <w:keepLines/>
      <w:spacing w:before="80" w:after="40"/>
      <w:outlineLvl w:val="4"/>
    </w:pPr>
    <w:rPr>
      <w:rFonts w:ascii="Aptos" w:eastAsia="Aptos" w:hAnsi="Aptos" w:cs="Aptos"/>
      <w:color w:val="0F4761"/>
    </w:rPr>
  </w:style>
  <w:style w:type="paragraph" w:styleId="Heading6">
    <w:name w:val="heading 6"/>
    <w:basedOn w:val="Normal"/>
    <w:next w:val="Normal"/>
    <w:uiPriority w:val="9"/>
    <w:semiHidden/>
    <w:unhideWhenUsed/>
    <w:qFormat/>
    <w:pPr>
      <w:keepNext/>
      <w:keepLines/>
      <w:spacing w:before="40" w:after="0"/>
      <w:outlineLvl w:val="5"/>
    </w:pPr>
    <w:rPr>
      <w:rFonts w:ascii="Aptos" w:eastAsia="Aptos" w:hAnsi="Aptos" w:cs="Aptos"/>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pPr>
      <w:spacing w:after="160"/>
    </w:pPr>
    <w:rPr>
      <w:rFonts w:ascii="Aptos" w:eastAsia="Aptos" w:hAnsi="Aptos" w:cs="Aptos"/>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color w:val="FFFFFF"/>
      </w:rPr>
      <w:tblPr/>
      <w:tcPr>
        <w:tcBorders>
          <w:top w:val="single" w:sz="4" w:space="0" w:color="156082"/>
          <w:left w:val="single" w:sz="4" w:space="0" w:color="156082"/>
          <w:bottom w:val="single" w:sz="4" w:space="0" w:color="156082"/>
          <w:right w:val="single" w:sz="4" w:space="0" w:color="156082"/>
          <w:insideH w:val="nil"/>
          <w:insideV w:val="nil"/>
        </w:tcBorders>
        <w:shd w:val="clear" w:color="auto" w:fill="156082"/>
      </w:tcPr>
    </w:tblStylePr>
    <w:tblStylePr w:type="lastRow">
      <w:rPr>
        <w:b/>
        <w:bCs/>
      </w:rPr>
      <w:tblPr/>
      <w:tcPr>
        <w:tcBorders>
          <w:top w:val="single" w:sz="4" w:space="0" w:color="156082"/>
        </w:tcBorders>
      </w:tcPr>
    </w:tblStylePr>
    <w:tblStylePr w:type="firstCol">
      <w:rPr>
        <w:b/>
        <w:bCs/>
      </w:rPr>
    </w:tblStylePr>
    <w:tblStylePr w:type="lastCol">
      <w:rPr>
        <w:b/>
        <w:bCs/>
      </w:rPr>
    </w:tblStylePr>
    <w:tblStylePr w:type="band1Vert">
      <w:tblPr/>
      <w:tcPr>
        <w:shd w:val="clear" w:color="auto" w:fill="C1E4F5"/>
      </w:tcPr>
    </w:tblStylePr>
    <w:tblStylePr w:type="band1Horz">
      <w:tblPr/>
      <w:tcPr>
        <w:shd w:val="clear" w:color="auto" w:fill="C1E4F5"/>
      </w:tcPr>
    </w:tblStyle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color w:val="FFFFFF"/>
      </w:rPr>
      <w:tblPr/>
      <w:tcPr>
        <w:tcBorders>
          <w:top w:val="single" w:sz="4" w:space="0" w:color="E97132"/>
          <w:left w:val="single" w:sz="4" w:space="0" w:color="E97132"/>
          <w:bottom w:val="single" w:sz="4" w:space="0" w:color="E97132"/>
          <w:right w:val="single" w:sz="4" w:space="0" w:color="E97132"/>
          <w:insideH w:val="nil"/>
          <w:insideV w:val="nil"/>
        </w:tcBorders>
        <w:shd w:val="clear" w:color="auto" w:fill="E97132"/>
      </w:tcPr>
    </w:tblStylePr>
    <w:tblStylePr w:type="lastRow">
      <w:rPr>
        <w:b/>
        <w:bCs/>
      </w:rPr>
      <w:tblPr/>
      <w:tcPr>
        <w:tcBorders>
          <w:top w:val="single" w:sz="4" w:space="0" w:color="E97132"/>
        </w:tcBorders>
      </w:tcPr>
    </w:tblStylePr>
    <w:tblStylePr w:type="firstCol">
      <w:rPr>
        <w:b/>
        <w:bCs/>
      </w:rPr>
    </w:tblStylePr>
    <w:tblStylePr w:type="lastCol">
      <w:rPr>
        <w:b/>
        <w:bCs/>
      </w:rPr>
    </w:tblStylePr>
    <w:tblStylePr w:type="band1Vert">
      <w:tblPr/>
      <w:tcPr>
        <w:shd w:val="clear" w:color="auto" w:fill="FAE2D6"/>
      </w:tcPr>
    </w:tblStylePr>
    <w:tblStylePr w:type="band1Horz">
      <w:tblPr/>
      <w:tcPr>
        <w:shd w:val="clear" w:color="auto" w:fill="FAE2D6"/>
      </w:tcPr>
    </w:tblStyle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color w:val="FFFFFF"/>
      </w:rPr>
      <w:tblPr/>
      <w:tcPr>
        <w:tcBorders>
          <w:top w:val="single" w:sz="4" w:space="0" w:color="0F9ED5"/>
          <w:left w:val="single" w:sz="4" w:space="0" w:color="0F9ED5"/>
          <w:bottom w:val="single" w:sz="4" w:space="0" w:color="0F9ED5"/>
          <w:right w:val="single" w:sz="4" w:space="0" w:color="0F9ED5"/>
          <w:insideH w:val="nil"/>
          <w:insideV w:val="nil"/>
        </w:tcBorders>
        <w:shd w:val="clear" w:color="auto" w:fill="0F9ED5"/>
      </w:tcPr>
    </w:tblStylePr>
    <w:tblStylePr w:type="lastRow">
      <w:rPr>
        <w:b/>
        <w:bCs/>
      </w:rPr>
      <w:tblPr/>
      <w:tcPr>
        <w:tcBorders>
          <w:top w:val="single" w:sz="4" w:space="0" w:color="0F9ED5"/>
        </w:tcBorders>
      </w:tcPr>
    </w:tblStylePr>
    <w:tblStylePr w:type="firstCol">
      <w:rPr>
        <w:b/>
        <w:bCs/>
      </w:rPr>
    </w:tblStylePr>
    <w:tblStylePr w:type="lastCol">
      <w:rPr>
        <w:b/>
        <w:bCs/>
      </w:rPr>
    </w:tblStylePr>
    <w:tblStylePr w:type="band1Vert">
      <w:tblPr/>
      <w:tcPr>
        <w:shd w:val="clear" w:color="auto" w:fill="CAEDFB"/>
      </w:tcPr>
    </w:tblStylePr>
    <w:tblStylePr w:type="band1Horz">
      <w:tblPr/>
      <w:tcPr>
        <w:shd w:val="clear" w:color="auto" w:fill="CAEDFB"/>
      </w:tcPr>
    </w:tblStyle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color w:val="FFFFFF"/>
      </w:rPr>
      <w:tblPr/>
      <w:tcPr>
        <w:tcBorders>
          <w:top w:val="single" w:sz="4" w:space="0" w:color="196B24"/>
          <w:left w:val="single" w:sz="4" w:space="0" w:color="196B24"/>
          <w:bottom w:val="single" w:sz="4" w:space="0" w:color="196B24"/>
          <w:right w:val="single" w:sz="4" w:space="0" w:color="196B24"/>
          <w:insideH w:val="nil"/>
          <w:insideV w:val="nil"/>
        </w:tcBorders>
        <w:shd w:val="clear" w:color="auto" w:fill="196B24"/>
      </w:tcPr>
    </w:tblStylePr>
    <w:tblStylePr w:type="lastRow">
      <w:rPr>
        <w:b/>
        <w:bCs/>
      </w:rPr>
      <w:tblPr/>
      <w:tcPr>
        <w:tcBorders>
          <w:top w:val="single" w:sz="4" w:space="0" w:color="196B24"/>
        </w:tcBorders>
      </w:tcPr>
    </w:tblStylePr>
    <w:tblStylePr w:type="firstCol">
      <w:rPr>
        <w:b/>
        <w:bCs/>
      </w:rPr>
    </w:tblStylePr>
    <w:tblStylePr w:type="lastCol">
      <w:rPr>
        <w:b/>
        <w:bCs/>
      </w:rPr>
    </w:tblStylePr>
    <w:tblStylePr w:type="band1Vert">
      <w:tblPr/>
      <w:tcPr>
        <w:shd w:val="clear" w:color="auto" w:fill="C1F0C8"/>
      </w:tcPr>
    </w:tblStylePr>
    <w:tblStylePr w:type="band1Horz">
      <w:tblPr/>
      <w:tcPr>
        <w:shd w:val="clear" w:color="auto" w:fill="C1F0C8"/>
      </w:tcPr>
    </w:tblStyle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color w:val="FFFFFF"/>
      </w:rPr>
      <w:tblPr/>
      <w:tcPr>
        <w:tcBorders>
          <w:top w:val="single" w:sz="4" w:space="0" w:color="A02B93"/>
          <w:left w:val="single" w:sz="4" w:space="0" w:color="A02B93"/>
          <w:bottom w:val="single" w:sz="4" w:space="0" w:color="A02B93"/>
          <w:right w:val="single" w:sz="4" w:space="0" w:color="A02B93"/>
          <w:insideH w:val="nil"/>
          <w:insideV w:val="nil"/>
        </w:tcBorders>
        <w:shd w:val="clear" w:color="auto" w:fill="A02B93"/>
      </w:tcPr>
    </w:tblStylePr>
    <w:tblStylePr w:type="lastRow">
      <w:rPr>
        <w:b/>
        <w:bCs/>
      </w:rPr>
      <w:tblPr/>
      <w:tcPr>
        <w:tcBorders>
          <w:top w:val="single" w:sz="4" w:space="0" w:color="A02B93"/>
        </w:tcBorders>
      </w:tcPr>
    </w:tblStylePr>
    <w:tblStylePr w:type="firstCol">
      <w:rPr>
        <w:b/>
        <w:bCs/>
      </w:rPr>
    </w:tblStylePr>
    <w:tblStylePr w:type="lastCol">
      <w:rPr>
        <w:b/>
        <w:bCs/>
      </w:rPr>
    </w:tblStylePr>
    <w:tblStylePr w:type="band1Vert">
      <w:tblPr/>
      <w:tcPr>
        <w:shd w:val="clear" w:color="auto" w:fill="F1CEEE"/>
      </w:tcPr>
    </w:tblStylePr>
    <w:tblStylePr w:type="band1Horz">
      <w:tblPr/>
      <w:tcPr>
        <w:shd w:val="clear" w:color="auto" w:fill="F1CEEE"/>
      </w:tcPr>
    </w:tblStylePr>
  </w:style>
  <w:style w:type="table" w:customStyle="1" w:styleId="a4">
    <w:basedOn w:val="TableNormal0"/>
    <w:pPr>
      <w:spacing w:after="0" w:line="240" w:lineRule="auto"/>
    </w:pPr>
    <w:tblPr>
      <w:tblStyleRowBandSize w:val="1"/>
      <w:tblStyleColBandSize w:val="1"/>
      <w:tblCellMar>
        <w:top w:w="0" w:type="dxa"/>
        <w:left w:w="115" w:type="dxa"/>
        <w:bottom w:w="0" w:type="dxa"/>
        <w:right w:w="115" w:type="dxa"/>
      </w:tblCellMar>
    </w:tblPr>
    <w:tcPr>
      <w:shd w:val="clear" w:color="auto" w:fill="CAEDF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F9E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F9E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F9E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F9ED5"/>
      </w:tcPr>
    </w:tblStylePr>
    <w:tblStylePr w:type="band1Vert">
      <w:tblPr/>
      <w:tcPr>
        <w:shd w:val="clear" w:color="auto" w:fill="95DCF7"/>
      </w:tcPr>
    </w:tblStylePr>
    <w:tblStylePr w:type="band1Horz">
      <w:tblPr/>
      <w:tcPr>
        <w:shd w:val="clear" w:color="auto" w:fill="95DCF7"/>
      </w:tcPr>
    </w:tblStylePr>
  </w:style>
  <w:style w:type="table" w:customStyle="1" w:styleId="a5">
    <w:basedOn w:val="TableNormal0"/>
    <w:pPr>
      <w:spacing w:after="0" w:line="240" w:lineRule="auto"/>
    </w:pPr>
    <w:tblPr>
      <w:tblStyleRowBandSize w:val="1"/>
      <w:tblStyleColBandSize w:val="1"/>
      <w:tblCellMar>
        <w:top w:w="0" w:type="dxa"/>
        <w:left w:w="115" w:type="dxa"/>
        <w:bottom w:w="0" w:type="dxa"/>
        <w:right w:w="115" w:type="dxa"/>
      </w:tblCellMar>
    </w:tblPr>
    <w:tcPr>
      <w:shd w:val="clear" w:color="auto" w:fill="D9F2D0"/>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EA72E"/>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EA72E"/>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EA72E"/>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EA72E"/>
      </w:tcPr>
    </w:tblStylePr>
    <w:tblStylePr w:type="band1Vert">
      <w:tblPr/>
      <w:tcPr>
        <w:shd w:val="clear" w:color="auto" w:fill="B3E5A1"/>
      </w:tcPr>
    </w:tblStylePr>
    <w:tblStylePr w:type="band1Horz">
      <w:tblPr/>
      <w:tcPr>
        <w:shd w:val="clear" w:color="auto" w:fill="B3E5A1"/>
      </w:tcPr>
    </w:tblStylePr>
  </w:style>
  <w:style w:type="table" w:customStyle="1" w:styleId="a6">
    <w:basedOn w:val="TableNormal0"/>
    <w:pPr>
      <w:spacing w:after="0" w:line="240" w:lineRule="auto"/>
    </w:pPr>
    <w:tblPr>
      <w:tblStyleRowBandSize w:val="1"/>
      <w:tblStyleColBandSize w:val="1"/>
      <w:tblCellMar>
        <w:top w:w="0" w:type="dxa"/>
        <w:left w:w="115" w:type="dxa"/>
        <w:bottom w:w="0" w:type="dxa"/>
        <w:right w:w="115" w:type="dxa"/>
      </w:tblCellMar>
    </w:tblPr>
    <w:tcPr>
      <w:shd w:val="clear" w:color="auto" w:fill="D9F2D0"/>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EA72E"/>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EA72E"/>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EA72E"/>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EA72E"/>
      </w:tcPr>
    </w:tblStylePr>
    <w:tblStylePr w:type="band1Vert">
      <w:tblPr/>
      <w:tcPr>
        <w:shd w:val="clear" w:color="auto" w:fill="B3E5A1"/>
      </w:tcPr>
    </w:tblStylePr>
    <w:tblStylePr w:type="band1Horz">
      <w:tblPr/>
      <w:tcPr>
        <w:shd w:val="clear" w:color="auto" w:fill="B3E5A1"/>
      </w:tcPr>
    </w:tblStylePr>
  </w:style>
  <w:style w:type="table" w:customStyle="1" w:styleId="a7">
    <w:basedOn w:val="TableNormal0"/>
    <w:pPr>
      <w:spacing w:after="0" w:line="240" w:lineRule="auto"/>
    </w:pPr>
    <w:tblPr>
      <w:tblStyleRowBandSize w:val="1"/>
      <w:tblStyleColBandSize w:val="1"/>
      <w:tblCellMar>
        <w:top w:w="0" w:type="dxa"/>
        <w:left w:w="115" w:type="dxa"/>
        <w:bottom w:w="0" w:type="dxa"/>
        <w:right w:w="115" w:type="dxa"/>
      </w:tblCellMar>
    </w:tblPr>
    <w:tcPr>
      <w:shd w:val="clear" w:color="auto" w:fill="D9F2D0"/>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EA72E"/>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EA72E"/>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EA72E"/>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EA72E"/>
      </w:tcPr>
    </w:tblStylePr>
    <w:tblStylePr w:type="band1Vert">
      <w:tblPr/>
      <w:tcPr>
        <w:shd w:val="clear" w:color="auto" w:fill="B3E5A1"/>
      </w:tcPr>
    </w:tblStylePr>
    <w:tblStylePr w:type="band1Horz">
      <w:tblPr/>
      <w:tcPr>
        <w:shd w:val="clear" w:color="auto" w:fill="B3E5A1"/>
      </w:tcPr>
    </w:tblStylePr>
  </w:style>
  <w:style w:type="table" w:customStyle="1" w:styleId="a8">
    <w:basedOn w:val="TableNormal0"/>
    <w:pPr>
      <w:spacing w:after="0" w:line="240" w:lineRule="auto"/>
    </w:pPr>
    <w:tblPr>
      <w:tblStyleRowBandSize w:val="1"/>
      <w:tblStyleColBandSize w:val="1"/>
      <w:tblCellMar>
        <w:top w:w="0" w:type="dxa"/>
        <w:left w:w="115" w:type="dxa"/>
        <w:bottom w:w="0" w:type="dxa"/>
        <w:right w:w="115" w:type="dxa"/>
      </w:tblCellMar>
    </w:tblPr>
    <w:tcPr>
      <w:shd w:val="clear" w:color="auto" w:fill="FAE2D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9713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9713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9713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97132"/>
      </w:tcPr>
    </w:tblStylePr>
    <w:tblStylePr w:type="band1Vert">
      <w:tblPr/>
      <w:tcPr>
        <w:shd w:val="clear" w:color="auto" w:fill="F6C6AC"/>
      </w:tcPr>
    </w:tblStylePr>
    <w:tblStylePr w:type="band1Horz">
      <w:tblPr/>
      <w:tcPr>
        <w:shd w:val="clear" w:color="auto" w:fill="F6C6AC"/>
      </w:tcPr>
    </w:tblStylePr>
  </w:style>
  <w:style w:type="table" w:customStyle="1" w:styleId="a9">
    <w:basedOn w:val="TableNormal0"/>
    <w:pPr>
      <w:spacing w:after="0" w:line="240" w:lineRule="auto"/>
    </w:pPr>
    <w:tblPr>
      <w:tblStyleRowBandSize w:val="1"/>
      <w:tblStyleColBandSize w:val="1"/>
      <w:tblCellMar>
        <w:top w:w="0" w:type="dxa"/>
        <w:left w:w="115" w:type="dxa"/>
        <w:bottom w:w="0" w:type="dxa"/>
        <w:right w:w="115" w:type="dxa"/>
      </w:tblCellMar>
    </w:tblPr>
    <w:tcPr>
      <w:shd w:val="clear" w:color="auto" w:fill="C1E4F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15608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15608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15608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156082"/>
      </w:tcPr>
    </w:tblStylePr>
    <w:tblStylePr w:type="band1Vert">
      <w:tblPr/>
      <w:tcPr>
        <w:shd w:val="clear" w:color="auto" w:fill="83CAEB"/>
      </w:tcPr>
    </w:tblStylePr>
    <w:tblStylePr w:type="band1Horz">
      <w:tblPr/>
      <w:tcPr>
        <w:shd w:val="clear" w:color="auto" w:fill="83CAEB"/>
      </w:tcPr>
    </w:tblStylePr>
  </w:style>
  <w:style w:type="table" w:customStyle="1" w:styleId="aa">
    <w:basedOn w:val="TableNormal0"/>
    <w:pPr>
      <w:spacing w:after="0" w:line="240" w:lineRule="auto"/>
    </w:pPr>
    <w:rPr>
      <w:sz w:val="22"/>
      <w:szCs w:val="22"/>
    </w:rPr>
    <w:tblPr>
      <w:tblStyleRowBandSize w:val="1"/>
      <w:tblStyleColBandSize w:val="1"/>
      <w:tblCellMar>
        <w:top w:w="0" w:type="dxa"/>
        <w:left w:w="108" w:type="dxa"/>
        <w:bottom w:w="0" w:type="dxa"/>
        <w:right w:w="108" w:type="dxa"/>
      </w:tblCellMar>
    </w:tblPr>
  </w:style>
  <w:style w:type="table" w:customStyle="1" w:styleId="ab">
    <w:basedOn w:val="TableNormal0"/>
    <w:pPr>
      <w:spacing w:after="0" w:line="240" w:lineRule="auto"/>
    </w:pPr>
    <w:rPr>
      <w:sz w:val="22"/>
      <w:szCs w:val="22"/>
    </w:rPr>
    <w:tblPr>
      <w:tblStyleRowBandSize w:val="1"/>
      <w:tblStyleColBandSize w:val="1"/>
      <w:tblCellMar>
        <w:top w:w="0" w:type="dxa"/>
        <w:left w:w="108" w:type="dxa"/>
        <w:bottom w:w="0" w:type="dxa"/>
        <w:right w:w="108" w:type="dxa"/>
      </w:tblCellMar>
    </w:tblPr>
  </w:style>
  <w:style w:type="table" w:customStyle="1" w:styleId="ac">
    <w:basedOn w:val="TableNormal0"/>
    <w:pPr>
      <w:spacing w:after="0" w:line="240" w:lineRule="auto"/>
    </w:pPr>
    <w:rPr>
      <w:sz w:val="22"/>
      <w:szCs w:val="22"/>
    </w:rPr>
    <w:tblPr>
      <w:tblStyleRowBandSize w:val="1"/>
      <w:tblStyleColBandSize w:val="1"/>
      <w:tblCellMar>
        <w:top w:w="0" w:type="dxa"/>
        <w:left w:w="108" w:type="dxa"/>
        <w:bottom w:w="0" w:type="dxa"/>
        <w:right w:w="108" w:type="dxa"/>
      </w:tblCellMar>
    </w:tblPr>
  </w:style>
  <w:style w:type="table" w:customStyle="1" w:styleId="ad">
    <w:basedOn w:val="TableNormal0"/>
    <w:pPr>
      <w:spacing w:after="0" w:line="240" w:lineRule="auto"/>
    </w:pPr>
    <w:rPr>
      <w:sz w:val="22"/>
      <w:szCs w:val="22"/>
    </w:rPr>
    <w:tblPr>
      <w:tblStyleRowBandSize w:val="1"/>
      <w:tblStyleColBandSize w:val="1"/>
      <w:tblCellMar>
        <w:top w:w="0" w:type="dxa"/>
        <w:left w:w="108" w:type="dxa"/>
        <w:bottom w:w="0" w:type="dxa"/>
        <w:right w:w="108" w:type="dxa"/>
      </w:tblCellMar>
    </w:tblPr>
  </w:style>
  <w:style w:type="table" w:customStyle="1" w:styleId="ae">
    <w:basedOn w:val="TableNormal0"/>
    <w:pPr>
      <w:spacing w:after="0" w:line="240" w:lineRule="auto"/>
    </w:pPr>
    <w:rPr>
      <w:sz w:val="22"/>
      <w:szCs w:val="22"/>
    </w:rPr>
    <w:tblPr>
      <w:tblStyleRowBandSize w:val="1"/>
      <w:tblStyleColBandSize w:val="1"/>
      <w:tblCellMar>
        <w:top w:w="0" w:type="dxa"/>
        <w:left w:w="108" w:type="dxa"/>
        <w:bottom w:w="0" w:type="dxa"/>
        <w:right w:w="108" w:type="dxa"/>
      </w:tblCellMar>
    </w:tblPr>
  </w:style>
  <w:style w:type="table" w:customStyle="1" w:styleId="af">
    <w:basedOn w:val="TableNormal0"/>
    <w:pPr>
      <w:spacing w:after="0" w:line="240" w:lineRule="auto"/>
    </w:pPr>
    <w:rPr>
      <w:sz w:val="22"/>
      <w:szCs w:val="22"/>
    </w:rPr>
    <w:tblPr>
      <w:tblStyleRowBandSize w:val="1"/>
      <w:tblStyleColBandSize w:val="1"/>
      <w:tblCellMar>
        <w:top w:w="0" w:type="dxa"/>
        <w:left w:w="108" w:type="dxa"/>
        <w:bottom w:w="0" w:type="dxa"/>
        <w:right w:w="108" w:type="dxa"/>
      </w:tblCellMar>
    </w:tblPr>
  </w:style>
  <w:style w:type="table" w:customStyle="1" w:styleId="af0">
    <w:basedOn w:val="TableNormal0"/>
    <w:pPr>
      <w:spacing w:after="0" w:line="240" w:lineRule="auto"/>
    </w:pPr>
    <w:rPr>
      <w:sz w:val="22"/>
      <w:szCs w:val="22"/>
    </w:rPr>
    <w:tblPr>
      <w:tblStyleRowBandSize w:val="1"/>
      <w:tblStyleColBandSize w:val="1"/>
      <w:tblCellMar>
        <w:top w:w="0" w:type="dxa"/>
        <w:left w:w="108" w:type="dxa"/>
        <w:bottom w:w="0" w:type="dxa"/>
        <w:right w:w="108" w:type="dxa"/>
      </w:tblCellMar>
    </w:tblPr>
  </w:style>
  <w:style w:type="table" w:customStyle="1" w:styleId="af1">
    <w:basedOn w:val="TableNormal0"/>
    <w:pPr>
      <w:spacing w:after="0" w:line="240" w:lineRule="auto"/>
    </w:pPr>
    <w:rPr>
      <w:sz w:val="22"/>
      <w:szCs w:val="22"/>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topics/3807/tesco-plc/" TargetMode="External"/><Relationship Id="rId5" Type="http://schemas.openxmlformats.org/officeDocument/2006/relationships/webSettings" Target="webSettings.xml"/><Relationship Id="rId10" Type="http://schemas.openxmlformats.org/officeDocument/2006/relationships/hyperlink" Target="https://www.statista.com/aboutus/our-research-commitment" TargetMode="External"/><Relationship Id="rId4" Type="http://schemas.openxmlformats.org/officeDocument/2006/relationships/settings" Target="settings.xml"/><Relationship Id="rId9" Type="http://schemas.openxmlformats.org/officeDocument/2006/relationships/hyperlink" Target="https://www.motilaloswal.com/learning-centre/2026/3/more-retail-plans-rs-2000-cr-ipo-in-2026-targets-3000-stores-by-2030"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MaRikc86eebm1WdE9cW//zZIMg==">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8900</Words>
  <Characters>50733</Characters>
  <Application>Microsoft Office Word</Application>
  <DocSecurity>0</DocSecurity>
  <Lines>422</Lines>
  <Paragraphs>119</Paragraphs>
  <ScaleCrop>false</ScaleCrop>
  <Company/>
  <LinksUpToDate>false</LinksUpToDate>
  <CharactersWithSpaces>59514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Liviu Topala (1905828)</cp:lastModifiedBy>
  <cp:revision>2</cp:revision>
  <dcterms:created xsi:type="dcterms:W3CDTF">2026-07-23T17:52:00Z</dcterms:created>
  <dcterms:modified xsi:type="dcterms:W3CDTF">2026-07-23T17:52:00Z</dcterms:modified>
</cp:coreProperties>
</file>