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8F747" w14:textId="77777777" w:rsidR="00A74CDE" w:rsidRDefault="00A74CDE" w:rsidP="00683A17">
      <w:pPr>
        <w:spacing w:line="360" w:lineRule="auto"/>
        <w:jc w:val="both"/>
        <w:rPr>
          <w:rFonts w:ascii="Arial" w:hAnsi="Arial" w:cs="Arial"/>
          <w:b/>
          <w:szCs w:val="23"/>
        </w:rPr>
      </w:pPr>
    </w:p>
    <w:p w14:paraId="186EEED2" w14:textId="77777777" w:rsidR="00A74CDE" w:rsidRPr="00A74CDE" w:rsidRDefault="00A74CDE" w:rsidP="00A74CDE">
      <w:pPr>
        <w:spacing w:line="360" w:lineRule="auto"/>
        <w:jc w:val="both"/>
        <w:rPr>
          <w:rFonts w:ascii="Arial" w:hAnsi="Arial" w:cs="Arial"/>
          <w:b/>
          <w:sz w:val="22"/>
        </w:rPr>
      </w:pPr>
    </w:p>
    <w:p w14:paraId="2FD9A8B4" w14:textId="77777777" w:rsidR="00A74CDE" w:rsidRPr="00A74CDE" w:rsidRDefault="00A74CDE" w:rsidP="00A74CDE">
      <w:pPr>
        <w:spacing w:line="360" w:lineRule="auto"/>
        <w:jc w:val="both"/>
        <w:rPr>
          <w:rFonts w:ascii="Arial" w:hAnsi="Arial" w:cs="Arial"/>
          <w:b/>
          <w:sz w:val="22"/>
        </w:rPr>
      </w:pPr>
    </w:p>
    <w:p w14:paraId="7B0BCC47" w14:textId="77777777" w:rsidR="00A74CDE" w:rsidRPr="00A74CDE" w:rsidRDefault="00A74CDE" w:rsidP="00A74CDE">
      <w:pPr>
        <w:spacing w:line="360" w:lineRule="auto"/>
        <w:jc w:val="center"/>
        <w:rPr>
          <w:rFonts w:ascii="Arial" w:hAnsi="Arial" w:cs="Arial"/>
          <w:b/>
          <w:sz w:val="22"/>
        </w:rPr>
      </w:pPr>
    </w:p>
    <w:p w14:paraId="7964BC31" w14:textId="217C973F" w:rsidR="00A74CDE" w:rsidRPr="00A74CDE" w:rsidRDefault="00A74CDE" w:rsidP="00A74CDE">
      <w:pPr>
        <w:spacing w:line="360" w:lineRule="auto"/>
        <w:jc w:val="center"/>
        <w:rPr>
          <w:rFonts w:ascii="Arial" w:hAnsi="Arial" w:cs="Arial"/>
          <w:b/>
          <w:sz w:val="22"/>
        </w:rPr>
      </w:pPr>
      <w:r w:rsidRPr="00A74CDE">
        <w:rPr>
          <w:rFonts w:ascii="Arial" w:hAnsi="Arial" w:cs="Arial"/>
          <w:b/>
          <w:sz w:val="22"/>
        </w:rPr>
        <w:t>Sadia khan</w:t>
      </w:r>
    </w:p>
    <w:p w14:paraId="0026E607" w14:textId="17FEB543" w:rsidR="00A74CDE" w:rsidRPr="00A74CDE" w:rsidRDefault="00A74CDE" w:rsidP="00A74CDE">
      <w:pPr>
        <w:spacing w:line="360" w:lineRule="auto"/>
        <w:jc w:val="center"/>
        <w:rPr>
          <w:rFonts w:ascii="Arial" w:hAnsi="Arial" w:cs="Arial"/>
          <w:b/>
          <w:sz w:val="22"/>
        </w:rPr>
      </w:pPr>
      <w:r w:rsidRPr="00A74CDE">
        <w:rPr>
          <w:rFonts w:ascii="Arial" w:hAnsi="Arial" w:cs="Arial"/>
          <w:b/>
          <w:sz w:val="22"/>
        </w:rPr>
        <w:t>Student number :2221369</w:t>
      </w:r>
    </w:p>
    <w:p w14:paraId="2ACE4454" w14:textId="1D89ABC4" w:rsidR="00A74CDE" w:rsidRPr="00A74CDE" w:rsidRDefault="00A74CDE" w:rsidP="00A74CDE">
      <w:pPr>
        <w:spacing w:line="360" w:lineRule="auto"/>
        <w:jc w:val="center"/>
        <w:rPr>
          <w:rFonts w:ascii="Arial" w:hAnsi="Arial" w:cs="Arial"/>
          <w:b/>
          <w:sz w:val="22"/>
        </w:rPr>
      </w:pPr>
      <w:r w:rsidRPr="00A74CDE">
        <w:rPr>
          <w:rFonts w:ascii="Arial" w:hAnsi="Arial" w:cs="Arial"/>
          <w:b/>
          <w:sz w:val="22"/>
        </w:rPr>
        <w:t xml:space="preserve">Module </w:t>
      </w:r>
      <w:proofErr w:type="gramStart"/>
      <w:r w:rsidRPr="00A74CDE">
        <w:rPr>
          <w:rFonts w:ascii="Arial" w:hAnsi="Arial" w:cs="Arial"/>
          <w:b/>
          <w:sz w:val="22"/>
        </w:rPr>
        <w:t>code:BMHP</w:t>
      </w:r>
      <w:proofErr w:type="gramEnd"/>
      <w:r w:rsidRPr="00A74CDE">
        <w:rPr>
          <w:rFonts w:ascii="Arial" w:hAnsi="Arial" w:cs="Arial"/>
          <w:b/>
          <w:sz w:val="22"/>
        </w:rPr>
        <w:t>6030</w:t>
      </w:r>
    </w:p>
    <w:p w14:paraId="523A5FD0" w14:textId="3AE604A8" w:rsidR="00A74CDE" w:rsidRPr="00A74CDE" w:rsidRDefault="00A74CDE" w:rsidP="00A74CDE">
      <w:pPr>
        <w:spacing w:line="360" w:lineRule="auto"/>
        <w:jc w:val="center"/>
        <w:rPr>
          <w:rFonts w:ascii="Arial" w:hAnsi="Arial" w:cs="Arial"/>
          <w:b/>
          <w:sz w:val="22"/>
        </w:rPr>
      </w:pPr>
      <w:r w:rsidRPr="00A74CDE">
        <w:rPr>
          <w:rFonts w:ascii="Arial" w:hAnsi="Arial" w:cs="Arial"/>
          <w:b/>
          <w:sz w:val="22"/>
        </w:rPr>
        <w:t xml:space="preserve">Component </w:t>
      </w:r>
      <w:proofErr w:type="gramStart"/>
      <w:r w:rsidRPr="00A74CDE">
        <w:rPr>
          <w:rFonts w:ascii="Arial" w:hAnsi="Arial" w:cs="Arial"/>
          <w:b/>
          <w:sz w:val="22"/>
        </w:rPr>
        <w:t>2 :report</w:t>
      </w:r>
      <w:proofErr w:type="gramEnd"/>
    </w:p>
    <w:p w14:paraId="510AB182" w14:textId="520F3CCB" w:rsidR="00A74CDE" w:rsidRPr="00A74CDE" w:rsidRDefault="00A74CDE" w:rsidP="00A74CDE">
      <w:pPr>
        <w:spacing w:line="360" w:lineRule="auto"/>
        <w:jc w:val="center"/>
        <w:rPr>
          <w:rFonts w:ascii="Arial" w:hAnsi="Arial" w:cs="Arial"/>
          <w:b/>
          <w:sz w:val="22"/>
        </w:rPr>
      </w:pPr>
      <w:proofErr w:type="gramStart"/>
      <w:r w:rsidRPr="00A74CDE">
        <w:rPr>
          <w:rFonts w:ascii="Arial" w:hAnsi="Arial" w:cs="Arial"/>
          <w:b/>
          <w:sz w:val="22"/>
        </w:rPr>
        <w:t>Health ,wellbeing</w:t>
      </w:r>
      <w:proofErr w:type="gramEnd"/>
      <w:r w:rsidRPr="00A74CDE">
        <w:rPr>
          <w:rFonts w:ascii="Arial" w:hAnsi="Arial" w:cs="Arial"/>
          <w:b/>
          <w:sz w:val="22"/>
        </w:rPr>
        <w:t xml:space="preserve"> and sustainable development </w:t>
      </w:r>
    </w:p>
    <w:p w14:paraId="257C8354" w14:textId="24F0C756" w:rsidR="00A74CDE" w:rsidRPr="00A74CDE" w:rsidRDefault="00A74CDE" w:rsidP="00A74CDE">
      <w:pPr>
        <w:tabs>
          <w:tab w:val="center" w:pos="4680"/>
          <w:tab w:val="left" w:pos="6190"/>
        </w:tabs>
        <w:spacing w:line="360" w:lineRule="auto"/>
        <w:rPr>
          <w:rFonts w:ascii="Arial" w:hAnsi="Arial" w:cs="Arial"/>
          <w:b/>
          <w:sz w:val="22"/>
        </w:rPr>
      </w:pPr>
      <w:r w:rsidRPr="00A74CDE">
        <w:rPr>
          <w:rFonts w:ascii="Arial" w:hAnsi="Arial" w:cs="Arial"/>
          <w:b/>
          <w:sz w:val="22"/>
        </w:rPr>
        <w:tab/>
        <w:t xml:space="preserve">Lectures </w:t>
      </w:r>
      <w:proofErr w:type="gramStart"/>
      <w:r w:rsidRPr="00A74CDE">
        <w:rPr>
          <w:rFonts w:ascii="Arial" w:hAnsi="Arial" w:cs="Arial"/>
          <w:b/>
          <w:sz w:val="22"/>
        </w:rPr>
        <w:t>name :Paresa</w:t>
      </w:r>
      <w:proofErr w:type="gramEnd"/>
      <w:r w:rsidRPr="00A74CDE">
        <w:rPr>
          <w:rFonts w:ascii="Arial" w:hAnsi="Arial" w:cs="Arial"/>
          <w:b/>
          <w:sz w:val="22"/>
        </w:rPr>
        <w:t xml:space="preserve"> Ahmed</w:t>
      </w:r>
    </w:p>
    <w:p w14:paraId="5AC271FA" w14:textId="77777777" w:rsidR="00A74CDE" w:rsidRPr="00A74CDE" w:rsidRDefault="00A74CDE" w:rsidP="00A74CDE">
      <w:pPr>
        <w:spacing w:line="360" w:lineRule="auto"/>
        <w:jc w:val="center"/>
        <w:rPr>
          <w:rFonts w:ascii="Arial" w:hAnsi="Arial" w:cs="Arial"/>
          <w:b/>
          <w:sz w:val="22"/>
        </w:rPr>
      </w:pPr>
    </w:p>
    <w:p w14:paraId="2831C27B" w14:textId="77777777" w:rsidR="00A74CDE" w:rsidRPr="00A74CDE" w:rsidRDefault="00A74CDE" w:rsidP="00A74CDE">
      <w:pPr>
        <w:spacing w:line="360" w:lineRule="auto"/>
        <w:jc w:val="both"/>
        <w:rPr>
          <w:rFonts w:ascii="Arial" w:hAnsi="Arial" w:cs="Arial"/>
          <w:b/>
          <w:sz w:val="22"/>
        </w:rPr>
      </w:pPr>
    </w:p>
    <w:p w14:paraId="6A2AE31C" w14:textId="77777777" w:rsidR="00A74CDE" w:rsidRPr="00A74CDE" w:rsidRDefault="00A74CDE" w:rsidP="00A74CDE">
      <w:pPr>
        <w:spacing w:line="360" w:lineRule="auto"/>
        <w:jc w:val="both"/>
        <w:rPr>
          <w:rFonts w:ascii="Arial" w:hAnsi="Arial" w:cs="Arial"/>
          <w:b/>
          <w:sz w:val="22"/>
        </w:rPr>
      </w:pPr>
    </w:p>
    <w:p w14:paraId="5D99D59C" w14:textId="77777777" w:rsidR="00A74CDE" w:rsidRPr="00A74CDE" w:rsidRDefault="00A74CDE" w:rsidP="00A74CDE">
      <w:pPr>
        <w:spacing w:line="360" w:lineRule="auto"/>
        <w:jc w:val="both"/>
        <w:rPr>
          <w:rFonts w:ascii="Arial" w:hAnsi="Arial" w:cs="Arial"/>
          <w:b/>
          <w:sz w:val="22"/>
        </w:rPr>
      </w:pPr>
    </w:p>
    <w:p w14:paraId="54A68E79" w14:textId="77777777" w:rsidR="00A74CDE" w:rsidRPr="00A74CDE" w:rsidRDefault="00A74CDE" w:rsidP="00A74CDE">
      <w:pPr>
        <w:spacing w:line="360" w:lineRule="auto"/>
        <w:jc w:val="both"/>
        <w:rPr>
          <w:rFonts w:ascii="Arial" w:hAnsi="Arial" w:cs="Arial"/>
          <w:b/>
          <w:sz w:val="22"/>
        </w:rPr>
      </w:pPr>
    </w:p>
    <w:p w14:paraId="717A6C0D" w14:textId="77777777" w:rsidR="00A74CDE" w:rsidRPr="00A74CDE" w:rsidRDefault="00A74CDE" w:rsidP="00A74CDE">
      <w:pPr>
        <w:spacing w:line="360" w:lineRule="auto"/>
        <w:jc w:val="both"/>
        <w:rPr>
          <w:rFonts w:ascii="Arial" w:hAnsi="Arial" w:cs="Arial"/>
          <w:b/>
          <w:sz w:val="22"/>
        </w:rPr>
      </w:pPr>
    </w:p>
    <w:p w14:paraId="33686E3F" w14:textId="77777777" w:rsidR="00A74CDE" w:rsidRPr="00A74CDE" w:rsidRDefault="00A74CDE" w:rsidP="00A74CDE">
      <w:pPr>
        <w:spacing w:line="360" w:lineRule="auto"/>
        <w:jc w:val="both"/>
        <w:rPr>
          <w:rFonts w:ascii="Arial" w:hAnsi="Arial" w:cs="Arial"/>
          <w:b/>
          <w:sz w:val="22"/>
        </w:rPr>
      </w:pPr>
    </w:p>
    <w:p w14:paraId="47F96DAF" w14:textId="77777777" w:rsidR="00A74CDE" w:rsidRPr="00A74CDE" w:rsidRDefault="00A74CDE" w:rsidP="00A74CDE">
      <w:pPr>
        <w:spacing w:line="360" w:lineRule="auto"/>
        <w:jc w:val="both"/>
        <w:rPr>
          <w:rFonts w:ascii="Arial" w:hAnsi="Arial" w:cs="Arial"/>
          <w:b/>
          <w:sz w:val="22"/>
        </w:rPr>
      </w:pPr>
    </w:p>
    <w:p w14:paraId="42FCB2D3" w14:textId="77777777" w:rsidR="00A74CDE" w:rsidRPr="00A74CDE" w:rsidRDefault="00A74CDE" w:rsidP="00A74CDE">
      <w:pPr>
        <w:spacing w:line="360" w:lineRule="auto"/>
        <w:jc w:val="both"/>
        <w:rPr>
          <w:rFonts w:ascii="Arial" w:hAnsi="Arial" w:cs="Arial"/>
          <w:b/>
          <w:sz w:val="22"/>
        </w:rPr>
      </w:pPr>
    </w:p>
    <w:p w14:paraId="07A187B4" w14:textId="77777777" w:rsidR="00A74CDE" w:rsidRPr="00A74CDE" w:rsidRDefault="00A74CDE" w:rsidP="00A74CDE">
      <w:pPr>
        <w:spacing w:line="360" w:lineRule="auto"/>
        <w:jc w:val="both"/>
        <w:rPr>
          <w:rFonts w:ascii="Arial" w:hAnsi="Arial" w:cs="Arial"/>
          <w:b/>
          <w:sz w:val="22"/>
        </w:rPr>
      </w:pPr>
    </w:p>
    <w:p w14:paraId="52729EC5" w14:textId="77777777" w:rsidR="00A74CDE" w:rsidRPr="00A74CDE" w:rsidRDefault="00A74CDE" w:rsidP="00A74CDE">
      <w:pPr>
        <w:spacing w:line="360" w:lineRule="auto"/>
        <w:jc w:val="both"/>
        <w:rPr>
          <w:rFonts w:ascii="Arial" w:hAnsi="Arial" w:cs="Arial"/>
          <w:b/>
          <w:sz w:val="22"/>
        </w:rPr>
      </w:pPr>
    </w:p>
    <w:p w14:paraId="1E0E3102" w14:textId="77777777" w:rsidR="00A74CDE" w:rsidRPr="00A74CDE" w:rsidRDefault="00A74CDE" w:rsidP="00A74CDE">
      <w:pPr>
        <w:spacing w:line="360" w:lineRule="auto"/>
        <w:jc w:val="both"/>
        <w:rPr>
          <w:rFonts w:ascii="Arial" w:hAnsi="Arial" w:cs="Arial"/>
          <w:b/>
          <w:sz w:val="22"/>
        </w:rPr>
      </w:pPr>
    </w:p>
    <w:p w14:paraId="03FE9D70" w14:textId="77777777" w:rsidR="00A74CDE" w:rsidRPr="00A74CDE" w:rsidRDefault="00A74CDE" w:rsidP="00A74CDE">
      <w:pPr>
        <w:spacing w:line="360" w:lineRule="auto"/>
        <w:jc w:val="both"/>
        <w:rPr>
          <w:rFonts w:ascii="Arial" w:hAnsi="Arial" w:cs="Arial"/>
          <w:b/>
          <w:sz w:val="22"/>
        </w:rPr>
      </w:pPr>
    </w:p>
    <w:p w14:paraId="11EBDEEB" w14:textId="217AEDB9" w:rsidR="00683A17" w:rsidRPr="00A74CDE" w:rsidRDefault="00683A17" w:rsidP="00A74CDE">
      <w:pPr>
        <w:spacing w:line="360" w:lineRule="auto"/>
        <w:jc w:val="both"/>
        <w:rPr>
          <w:rFonts w:ascii="Arial" w:hAnsi="Arial" w:cs="Arial"/>
          <w:b/>
          <w:sz w:val="22"/>
        </w:rPr>
      </w:pPr>
      <w:r w:rsidRPr="00A74CDE">
        <w:rPr>
          <w:rFonts w:ascii="Arial" w:hAnsi="Arial" w:cs="Arial"/>
          <w:b/>
          <w:sz w:val="22"/>
        </w:rPr>
        <w:lastRenderedPageBreak/>
        <w:t>An analysis of how Sustainable Development (SDG) Goal 3 'Good He</w:t>
      </w:r>
      <w:r w:rsidR="00EC636F" w:rsidRPr="00A74CDE">
        <w:rPr>
          <w:rFonts w:ascii="Arial" w:hAnsi="Arial" w:cs="Arial"/>
          <w:b/>
          <w:sz w:val="22"/>
        </w:rPr>
        <w:t xml:space="preserve">alth and Wellbeing' and another </w:t>
      </w:r>
      <w:r w:rsidRPr="00A74CDE">
        <w:rPr>
          <w:rFonts w:ascii="Arial" w:hAnsi="Arial" w:cs="Arial"/>
          <w:b/>
          <w:sz w:val="22"/>
        </w:rPr>
        <w:t xml:space="preserve">SDG of your choice </w:t>
      </w:r>
      <w:r w:rsidR="00EC636F" w:rsidRPr="00A74CDE">
        <w:rPr>
          <w:rFonts w:ascii="Arial" w:hAnsi="Arial" w:cs="Arial"/>
          <w:b/>
          <w:sz w:val="22"/>
        </w:rPr>
        <w:t>impact</w:t>
      </w:r>
      <w:r w:rsidRPr="00A74CDE">
        <w:rPr>
          <w:rFonts w:ascii="Arial" w:hAnsi="Arial" w:cs="Arial"/>
          <w:b/>
          <w:sz w:val="22"/>
        </w:rPr>
        <w:t xml:space="preserve"> the health and </w:t>
      </w:r>
      <w:r w:rsidR="00EC636F" w:rsidRPr="00A74CDE">
        <w:rPr>
          <w:rFonts w:ascii="Arial" w:hAnsi="Arial" w:cs="Arial"/>
          <w:b/>
          <w:sz w:val="22"/>
        </w:rPr>
        <w:t>well-being</w:t>
      </w:r>
      <w:r w:rsidRPr="00A74CDE">
        <w:rPr>
          <w:rFonts w:ascii="Arial" w:hAnsi="Arial" w:cs="Arial"/>
          <w:b/>
          <w:sz w:val="22"/>
        </w:rPr>
        <w:t xml:space="preserve"> of citizens.</w:t>
      </w:r>
    </w:p>
    <w:p w14:paraId="20D39E09" w14:textId="77777777" w:rsidR="00270EC7" w:rsidRPr="00A74CDE" w:rsidRDefault="00270EC7" w:rsidP="00A74CDE">
      <w:pPr>
        <w:spacing w:line="360" w:lineRule="auto"/>
        <w:jc w:val="both"/>
        <w:rPr>
          <w:rFonts w:ascii="Arial" w:hAnsi="Arial" w:cs="Arial"/>
          <w:b/>
          <w:sz w:val="22"/>
          <w:u w:val="single"/>
        </w:rPr>
      </w:pPr>
      <w:r w:rsidRPr="00A74CDE">
        <w:rPr>
          <w:rFonts w:ascii="Arial" w:hAnsi="Arial" w:cs="Arial"/>
          <w:b/>
          <w:sz w:val="22"/>
          <w:u w:val="single"/>
        </w:rPr>
        <w:t>Introduction</w:t>
      </w:r>
    </w:p>
    <w:p w14:paraId="60ADB331" w14:textId="7E617B29" w:rsidR="00270EC7" w:rsidRPr="00A74CDE" w:rsidRDefault="00270EC7" w:rsidP="00A74CDE">
      <w:pPr>
        <w:spacing w:line="360" w:lineRule="auto"/>
        <w:jc w:val="both"/>
        <w:rPr>
          <w:rFonts w:ascii="Arial" w:hAnsi="Arial" w:cs="Arial"/>
          <w:sz w:val="22"/>
        </w:rPr>
      </w:pPr>
      <w:r w:rsidRPr="00A74CDE">
        <w:rPr>
          <w:rFonts w:ascii="Arial" w:hAnsi="Arial" w:cs="Arial"/>
          <w:sz w:val="22"/>
        </w:rPr>
        <w:t xml:space="preserve">Sustainable development has health and well-being at its core, which </w:t>
      </w:r>
      <w:r w:rsidR="00EC636F" w:rsidRPr="00A74CDE">
        <w:rPr>
          <w:rFonts w:ascii="Arial" w:hAnsi="Arial" w:cs="Arial"/>
          <w:sz w:val="22"/>
        </w:rPr>
        <w:t>defines</w:t>
      </w:r>
      <w:r w:rsidRPr="00A74CDE">
        <w:rPr>
          <w:rFonts w:ascii="Arial" w:hAnsi="Arial" w:cs="Arial"/>
          <w:sz w:val="22"/>
        </w:rPr>
        <w:t xml:space="preserve"> the core resilience of individuals and </w:t>
      </w:r>
      <w:proofErr w:type="gramStart"/>
      <w:r w:rsidRPr="00A74CDE">
        <w:rPr>
          <w:rFonts w:ascii="Arial" w:hAnsi="Arial" w:cs="Arial"/>
          <w:sz w:val="22"/>
        </w:rPr>
        <w:t>the human</w:t>
      </w:r>
      <w:proofErr w:type="gramEnd"/>
      <w:r w:rsidRPr="00A74CDE">
        <w:rPr>
          <w:rFonts w:ascii="Arial" w:hAnsi="Arial" w:cs="Arial"/>
          <w:sz w:val="22"/>
        </w:rPr>
        <w:t xml:space="preserve"> society. The United Nations Sustainable Development Goals (SDGs) offer a platform to the world to find a way to handle these challenges by the year 2030. United Nations (2015) SDG 3 (Good Health and Well-being) is a fundamental objective</w:t>
      </w:r>
      <w:r w:rsidR="00EC636F" w:rsidRPr="00A74CDE">
        <w:rPr>
          <w:rFonts w:ascii="Arial" w:hAnsi="Arial" w:cs="Arial"/>
          <w:sz w:val="22"/>
        </w:rPr>
        <w:t>,</w:t>
      </w:r>
      <w:r w:rsidRPr="00A74CDE">
        <w:rPr>
          <w:rFonts w:ascii="Arial" w:hAnsi="Arial" w:cs="Arial"/>
          <w:sz w:val="22"/>
        </w:rPr>
        <w:t xml:space="preserve"> and it is an effort to secure healthy lives and well-being </w:t>
      </w:r>
      <w:r w:rsidR="00EC636F" w:rsidRPr="00A74CDE">
        <w:rPr>
          <w:rFonts w:ascii="Arial" w:hAnsi="Arial" w:cs="Arial"/>
          <w:sz w:val="22"/>
        </w:rPr>
        <w:t>for</w:t>
      </w:r>
      <w:r w:rsidRPr="00A74CDE">
        <w:rPr>
          <w:rFonts w:ascii="Arial" w:hAnsi="Arial" w:cs="Arial"/>
          <w:sz w:val="22"/>
        </w:rPr>
        <w:t xml:space="preserve"> everyone. It deals with a wide range of priorities such as maternal and child health, communicable and non-communicable diseases, substance misuse, mental health</w:t>
      </w:r>
      <w:r w:rsidR="00EC636F" w:rsidRPr="00A74CDE">
        <w:rPr>
          <w:rFonts w:ascii="Arial" w:hAnsi="Arial" w:cs="Arial"/>
          <w:sz w:val="22"/>
        </w:rPr>
        <w:t>,</w:t>
      </w:r>
      <w:r w:rsidRPr="00A74CDE">
        <w:rPr>
          <w:rFonts w:ascii="Arial" w:hAnsi="Arial" w:cs="Arial"/>
          <w:sz w:val="22"/>
        </w:rPr>
        <w:t xml:space="preserve"> and the necessity of universal health coverage. As an illustration, water-borne pathogens, including cholera, hepatitis A, and </w:t>
      </w:r>
      <w:proofErr w:type="spellStart"/>
      <w:r w:rsidRPr="00A74CDE">
        <w:rPr>
          <w:rFonts w:ascii="Arial" w:hAnsi="Arial" w:cs="Arial"/>
          <w:sz w:val="22"/>
        </w:rPr>
        <w:t>diarrhoeal</w:t>
      </w:r>
      <w:proofErr w:type="spellEnd"/>
      <w:r w:rsidRPr="00A74CDE">
        <w:rPr>
          <w:rFonts w:ascii="Arial" w:hAnsi="Arial" w:cs="Arial"/>
          <w:sz w:val="22"/>
        </w:rPr>
        <w:t xml:space="preserve"> diseases</w:t>
      </w:r>
      <w:r w:rsidR="00EC636F" w:rsidRPr="00A74CDE">
        <w:rPr>
          <w:rFonts w:ascii="Arial" w:hAnsi="Arial" w:cs="Arial"/>
          <w:sz w:val="22"/>
        </w:rPr>
        <w:t>,</w:t>
      </w:r>
      <w:r w:rsidRPr="00A74CDE">
        <w:rPr>
          <w:rFonts w:ascii="Arial" w:hAnsi="Arial" w:cs="Arial"/>
          <w:sz w:val="22"/>
        </w:rPr>
        <w:t xml:space="preserve"> are evidence that the health outcomes and access to clean water and sanitation are fundamentally linked. (World Health Organization, 2022</w:t>
      </w:r>
      <w:proofErr w:type="gramStart"/>
      <w:r w:rsidRPr="00A74CDE">
        <w:rPr>
          <w:rFonts w:ascii="Arial" w:hAnsi="Arial" w:cs="Arial"/>
          <w:sz w:val="22"/>
        </w:rPr>
        <w:t>).Through</w:t>
      </w:r>
      <w:proofErr w:type="gramEnd"/>
      <w:r w:rsidRPr="00A74CDE">
        <w:rPr>
          <w:rFonts w:ascii="Arial" w:hAnsi="Arial" w:cs="Arial"/>
          <w:sz w:val="22"/>
        </w:rPr>
        <w:t xml:space="preserve"> this interconnection, SDG 3 is an important ally of SDG 6 (Clean Water and Sanitation). SDG 6 aims </w:t>
      </w:r>
      <w:proofErr w:type="gramStart"/>
      <w:r w:rsidRPr="00A74CDE">
        <w:rPr>
          <w:rFonts w:ascii="Arial" w:hAnsi="Arial" w:cs="Arial"/>
          <w:sz w:val="22"/>
        </w:rPr>
        <w:t>at guaranteeing</w:t>
      </w:r>
      <w:proofErr w:type="gramEnd"/>
      <w:r w:rsidRPr="00A74CDE">
        <w:rPr>
          <w:rFonts w:ascii="Arial" w:hAnsi="Arial" w:cs="Arial"/>
          <w:sz w:val="22"/>
        </w:rPr>
        <w:t xml:space="preserve"> access and sustainable use of water and sanitation to everyone, (UN-Water, 2023).</w:t>
      </w:r>
      <w:r w:rsidR="00FD2C9A">
        <w:rPr>
          <w:rFonts w:ascii="Arial" w:hAnsi="Arial" w:cs="Arial"/>
          <w:sz w:val="22"/>
        </w:rPr>
        <w:t xml:space="preserve"> </w:t>
      </w:r>
    </w:p>
    <w:p w14:paraId="02C052B8" w14:textId="77777777" w:rsidR="00270EC7" w:rsidRPr="00A74CDE" w:rsidRDefault="00270EC7" w:rsidP="00A74CDE">
      <w:pPr>
        <w:spacing w:line="360" w:lineRule="auto"/>
        <w:jc w:val="both"/>
        <w:rPr>
          <w:rFonts w:ascii="Arial" w:hAnsi="Arial" w:cs="Arial"/>
          <w:sz w:val="22"/>
        </w:rPr>
      </w:pPr>
      <w:r w:rsidRPr="00A74CDE">
        <w:rPr>
          <w:rFonts w:ascii="Arial" w:hAnsi="Arial" w:cs="Arial"/>
          <w:sz w:val="22"/>
        </w:rPr>
        <w:t xml:space="preserve">This report provides a critical analysis of the implementation of SDG 3 and SDG 6 on global, national, and local levels, especially </w:t>
      </w:r>
      <w:r w:rsidR="00EC636F" w:rsidRPr="00A74CDE">
        <w:rPr>
          <w:rFonts w:ascii="Arial" w:hAnsi="Arial" w:cs="Arial"/>
          <w:sz w:val="22"/>
        </w:rPr>
        <w:t>in</w:t>
      </w:r>
      <w:r w:rsidRPr="00A74CDE">
        <w:rPr>
          <w:rFonts w:ascii="Arial" w:hAnsi="Arial" w:cs="Arial"/>
          <w:sz w:val="22"/>
        </w:rPr>
        <w:t xml:space="preserve"> the UK. </w:t>
      </w:r>
      <w:proofErr w:type="gramStart"/>
      <w:r w:rsidRPr="00A74CDE">
        <w:rPr>
          <w:rFonts w:ascii="Arial" w:hAnsi="Arial" w:cs="Arial"/>
          <w:sz w:val="22"/>
        </w:rPr>
        <w:t>Part</w:t>
      </w:r>
      <w:proofErr w:type="gramEnd"/>
      <w:r w:rsidRPr="00A74CDE">
        <w:rPr>
          <w:rFonts w:ascii="Arial" w:hAnsi="Arial" w:cs="Arial"/>
          <w:sz w:val="22"/>
        </w:rPr>
        <w:t xml:space="preserve"> one assesses policies and programs that concern SDG 3</w:t>
      </w:r>
      <w:r w:rsidR="00EC636F" w:rsidRPr="00A74CDE">
        <w:rPr>
          <w:rFonts w:ascii="Arial" w:hAnsi="Arial" w:cs="Arial"/>
          <w:sz w:val="22"/>
        </w:rPr>
        <w:t>,</w:t>
      </w:r>
      <w:r w:rsidRPr="00A74CDE">
        <w:rPr>
          <w:rFonts w:ascii="Arial" w:hAnsi="Arial" w:cs="Arial"/>
          <w:sz w:val="22"/>
        </w:rPr>
        <w:t xml:space="preserve"> and part two examines SDG 6 by looking at </w:t>
      </w:r>
      <w:r w:rsidR="00EC636F" w:rsidRPr="00A74CDE">
        <w:rPr>
          <w:rFonts w:ascii="Arial" w:hAnsi="Arial" w:cs="Arial"/>
          <w:sz w:val="22"/>
        </w:rPr>
        <w:t>how</w:t>
      </w:r>
      <w:r w:rsidRPr="00A74CDE">
        <w:rPr>
          <w:rFonts w:ascii="Arial" w:hAnsi="Arial" w:cs="Arial"/>
          <w:sz w:val="22"/>
        </w:rPr>
        <w:t xml:space="preserve"> clean water and sanitation </w:t>
      </w:r>
      <w:r w:rsidR="00EC636F" w:rsidRPr="00A74CDE">
        <w:rPr>
          <w:rFonts w:ascii="Arial" w:hAnsi="Arial" w:cs="Arial"/>
          <w:sz w:val="22"/>
        </w:rPr>
        <w:t>policies</w:t>
      </w:r>
      <w:r w:rsidRPr="00A74CDE">
        <w:rPr>
          <w:rFonts w:ascii="Arial" w:hAnsi="Arial" w:cs="Arial"/>
          <w:sz w:val="22"/>
        </w:rPr>
        <w:t xml:space="preserve"> influence the health outcome. The conclusion brings together the insights </w:t>
      </w:r>
      <w:r w:rsidR="00EC636F" w:rsidRPr="00A74CDE">
        <w:rPr>
          <w:rFonts w:ascii="Arial" w:hAnsi="Arial" w:cs="Arial"/>
          <w:sz w:val="22"/>
        </w:rPr>
        <w:t>to</w:t>
      </w:r>
      <w:r w:rsidRPr="00A74CDE">
        <w:rPr>
          <w:rFonts w:ascii="Arial" w:hAnsi="Arial" w:cs="Arial"/>
          <w:sz w:val="22"/>
        </w:rPr>
        <w:t xml:space="preserve"> offer recommendations on how to enhance integrated approaches to sustainable health and wellbeing.</w:t>
      </w:r>
    </w:p>
    <w:p w14:paraId="2732103F" w14:textId="77777777" w:rsidR="00270EC7" w:rsidRPr="00A74CDE" w:rsidRDefault="00270EC7" w:rsidP="00A74CDE">
      <w:pPr>
        <w:spacing w:line="360" w:lineRule="auto"/>
        <w:jc w:val="both"/>
        <w:rPr>
          <w:rFonts w:ascii="Arial" w:hAnsi="Arial" w:cs="Arial"/>
          <w:sz w:val="22"/>
          <w:u w:val="single"/>
        </w:rPr>
      </w:pPr>
      <w:r w:rsidRPr="00A74CDE">
        <w:rPr>
          <w:rFonts w:ascii="Arial" w:hAnsi="Arial" w:cs="Arial"/>
          <w:b/>
          <w:bCs/>
          <w:sz w:val="22"/>
          <w:u w:val="single"/>
        </w:rPr>
        <w:t xml:space="preserve">SDG 3 - Good Health and </w:t>
      </w:r>
      <w:r w:rsidR="00EC636F" w:rsidRPr="00A74CDE">
        <w:rPr>
          <w:rFonts w:ascii="Arial" w:hAnsi="Arial" w:cs="Arial"/>
          <w:b/>
          <w:bCs/>
          <w:sz w:val="22"/>
          <w:u w:val="single"/>
        </w:rPr>
        <w:t>Well-being</w:t>
      </w:r>
    </w:p>
    <w:p w14:paraId="46A60B98" w14:textId="77777777" w:rsidR="007A5220" w:rsidRPr="00A74CDE" w:rsidRDefault="007A5220" w:rsidP="00A74CDE">
      <w:pPr>
        <w:spacing w:line="360" w:lineRule="auto"/>
        <w:jc w:val="both"/>
        <w:rPr>
          <w:rFonts w:ascii="Arial" w:eastAsia="Times New Roman" w:hAnsi="Arial" w:cs="Arial"/>
          <w:sz w:val="22"/>
        </w:rPr>
      </w:pPr>
      <w:r w:rsidRPr="00A74CDE">
        <w:rPr>
          <w:rFonts w:ascii="Arial" w:hAnsi="Arial" w:cs="Arial"/>
          <w:sz w:val="22"/>
        </w:rPr>
        <w:t xml:space="preserve">Achieving this requires Sustainable Development Goal 3 (SDG 3) requires making sure that there </w:t>
      </w:r>
      <w:proofErr w:type="gramStart"/>
      <w:r w:rsidRPr="00A74CDE">
        <w:rPr>
          <w:rFonts w:ascii="Arial" w:hAnsi="Arial" w:cs="Arial"/>
          <w:sz w:val="22"/>
        </w:rPr>
        <w:t>is</w:t>
      </w:r>
      <w:proofErr w:type="gramEnd"/>
      <w:r w:rsidRPr="00A74CDE">
        <w:rPr>
          <w:rFonts w:ascii="Arial" w:hAnsi="Arial" w:cs="Arial"/>
          <w:sz w:val="22"/>
        </w:rPr>
        <w:t xml:space="preserve"> healthy living and well-being for all ages by 2030. It targets the reduction of maternal mortality, preventing the mortality of children under the age of five, fighting the communicable conditions (AIDS, tuberculosis, malaria), minimizing deaths caused by non-communicable diseases, mental health, substance abuse, road injuries, and universal health coverage (UHC), among others. SDG 3 has 13 goals and 28 measures to track the progress. </w:t>
      </w:r>
      <w:r w:rsidRPr="00A74CDE">
        <w:rPr>
          <w:rFonts w:ascii="Arial" w:eastAsia="Times New Roman" w:hAnsi="Arial" w:cs="Arial"/>
          <w:sz w:val="22"/>
        </w:rPr>
        <w:t>(United Nations, 2025)</w:t>
      </w:r>
    </w:p>
    <w:p w14:paraId="6B17945E" w14:textId="77777777" w:rsidR="007A5220" w:rsidRPr="00A74CDE" w:rsidRDefault="007A5220" w:rsidP="00A74CDE">
      <w:pPr>
        <w:spacing w:line="360" w:lineRule="auto"/>
        <w:jc w:val="both"/>
        <w:rPr>
          <w:rFonts w:ascii="Arial" w:eastAsia="Times New Roman" w:hAnsi="Arial" w:cs="Arial"/>
          <w:sz w:val="22"/>
        </w:rPr>
      </w:pPr>
      <w:r w:rsidRPr="00A74CDE">
        <w:rPr>
          <w:rFonts w:ascii="Arial" w:hAnsi="Arial" w:cs="Arial"/>
          <w:sz w:val="22"/>
        </w:rPr>
        <w:t xml:space="preserve"> The essential areas of concern are attaining access to universal health care, lowering deaths due to hazardous chemicals, financing research, and access to vaccinations and medicines, enhancing tobacco management, and emergency preparedness. SDG 3 is valuing equal access </w:t>
      </w:r>
      <w:r w:rsidRPr="00A74CDE">
        <w:rPr>
          <w:rFonts w:ascii="Arial" w:hAnsi="Arial" w:cs="Arial"/>
          <w:sz w:val="22"/>
        </w:rPr>
        <w:lastRenderedPageBreak/>
        <w:t xml:space="preserve">to quality health care, and covers more extensive determinant factors such as urbanization, economic inequality, and new health challenges. </w:t>
      </w:r>
      <w:r w:rsidRPr="00A74CDE">
        <w:rPr>
          <w:rFonts w:ascii="Arial" w:eastAsia="Times New Roman" w:hAnsi="Arial" w:cs="Arial"/>
          <w:sz w:val="22"/>
        </w:rPr>
        <w:t>(WHO, 2022)</w:t>
      </w:r>
    </w:p>
    <w:p w14:paraId="02A3C54D" w14:textId="77777777" w:rsidR="00683A17" w:rsidRPr="00A74CDE" w:rsidRDefault="00683A17" w:rsidP="00A74CDE">
      <w:pPr>
        <w:spacing w:line="360" w:lineRule="auto"/>
        <w:jc w:val="both"/>
        <w:rPr>
          <w:rFonts w:ascii="Arial" w:eastAsia="Times New Roman" w:hAnsi="Arial" w:cs="Arial"/>
          <w:b/>
          <w:sz w:val="22"/>
          <w:u w:val="single"/>
        </w:rPr>
      </w:pPr>
      <w:r w:rsidRPr="00A74CDE">
        <w:rPr>
          <w:rFonts w:ascii="Arial" w:eastAsia="Times New Roman" w:hAnsi="Arial" w:cs="Arial"/>
          <w:b/>
          <w:sz w:val="22"/>
          <w:u w:val="single"/>
        </w:rPr>
        <w:t>Global policies and initiatives</w:t>
      </w:r>
    </w:p>
    <w:p w14:paraId="60B27A30" w14:textId="27E3304A" w:rsidR="00DF6FB0" w:rsidRPr="00A74CDE" w:rsidRDefault="007A5220" w:rsidP="00A74CDE">
      <w:pPr>
        <w:spacing w:line="360" w:lineRule="auto"/>
        <w:jc w:val="both"/>
        <w:rPr>
          <w:rFonts w:ascii="Arial" w:eastAsia="Times New Roman" w:hAnsi="Arial" w:cs="Arial"/>
          <w:sz w:val="22"/>
        </w:rPr>
      </w:pPr>
      <w:r w:rsidRPr="00A74CDE">
        <w:rPr>
          <w:rFonts w:ascii="Arial" w:eastAsia="Times New Roman" w:hAnsi="Arial" w:cs="Arial"/>
          <w:sz w:val="22"/>
        </w:rPr>
        <w:t xml:space="preserve">The implementation of the Thirteenth General </w:t>
      </w:r>
      <w:r w:rsidR="000E4714" w:rsidRPr="00A74CDE">
        <w:rPr>
          <w:rFonts w:ascii="Arial" w:eastAsia="Times New Roman" w:hAnsi="Arial" w:cs="Arial"/>
          <w:sz w:val="22"/>
        </w:rPr>
        <w:t>Program</w:t>
      </w:r>
      <w:r w:rsidRPr="00A74CDE">
        <w:rPr>
          <w:rFonts w:ascii="Arial" w:eastAsia="Times New Roman" w:hAnsi="Arial" w:cs="Arial"/>
          <w:sz w:val="22"/>
        </w:rPr>
        <w:t xml:space="preserve"> of Work (2019-2025) at the global level (</w:t>
      </w:r>
      <w:r w:rsidR="00A74CDE" w:rsidRPr="00A74CDE">
        <w:rPr>
          <w:rFonts w:ascii="Arial" w:hAnsi="Arial" w:cs="Arial"/>
          <w:sz w:val="22"/>
          <w:shd w:val="clear" w:color="auto" w:fill="FFFFFF"/>
        </w:rPr>
        <w:t>(World Health Organization, 2025)</w:t>
      </w:r>
      <w:r w:rsidRPr="00A74CDE">
        <w:rPr>
          <w:rFonts w:ascii="Arial" w:eastAsia="Times New Roman" w:hAnsi="Arial" w:cs="Arial"/>
          <w:sz w:val="22"/>
        </w:rPr>
        <w:t xml:space="preserve"> is in line with the targets of Sustainable Development Goal 3, i.e., the reduction of maternal mortality and the provision of access to essential medicines. Universal Health Coverage (UHC) 2030 Initiative facilitates equal access to quality health services without experiencing financial strains.</w:t>
      </w:r>
      <w:r w:rsidR="00DF6FB0" w:rsidRPr="00A74CDE">
        <w:rPr>
          <w:rFonts w:ascii="Arial" w:eastAsia="Times New Roman" w:hAnsi="Arial" w:cs="Arial"/>
          <w:sz w:val="22"/>
        </w:rPr>
        <w:t xml:space="preserve"> </w:t>
      </w:r>
      <w:r w:rsidRPr="00A74CDE">
        <w:rPr>
          <w:rFonts w:ascii="Arial" w:eastAsia="Times New Roman" w:hAnsi="Arial" w:cs="Arial"/>
          <w:sz w:val="22"/>
        </w:rPr>
        <w:t xml:space="preserve">In addition, global vaccination initiatives, the most prominent of which is Gavi, the Vaccine Alliance, have significantly decreased the death rates caused by avoidable illnesses by enhancing immunization rates in low- and middle-income economies </w:t>
      </w:r>
      <w:r w:rsidR="00DF6FB0" w:rsidRPr="00A74CDE">
        <w:rPr>
          <w:rFonts w:ascii="Arial" w:eastAsia="Times New Roman" w:hAnsi="Arial" w:cs="Arial"/>
          <w:sz w:val="22"/>
        </w:rPr>
        <w:t>(Gavi, 2016)</w:t>
      </w:r>
      <w:r w:rsidRPr="00A74CDE">
        <w:rPr>
          <w:rFonts w:ascii="Arial" w:eastAsia="Times New Roman" w:hAnsi="Arial" w:cs="Arial"/>
          <w:sz w:val="22"/>
        </w:rPr>
        <w:t xml:space="preserve">The opponents argue that although international alliances can increase access, </w:t>
      </w:r>
      <w:r w:rsidR="00DF6FB0" w:rsidRPr="00A74CDE">
        <w:rPr>
          <w:rFonts w:ascii="Arial" w:eastAsia="Times New Roman" w:hAnsi="Arial" w:cs="Arial"/>
          <w:sz w:val="22"/>
        </w:rPr>
        <w:t>they</w:t>
      </w:r>
      <w:r w:rsidRPr="00A74CDE">
        <w:rPr>
          <w:rFonts w:ascii="Arial" w:eastAsia="Times New Roman" w:hAnsi="Arial" w:cs="Arial"/>
          <w:sz w:val="22"/>
        </w:rPr>
        <w:t xml:space="preserve"> also may strengthen the reliance on donor</w:t>
      </w:r>
      <w:r w:rsidR="00DF6FB0" w:rsidRPr="00A74CDE">
        <w:rPr>
          <w:rFonts w:ascii="Arial" w:eastAsia="Times New Roman" w:hAnsi="Arial" w:cs="Arial"/>
          <w:sz w:val="22"/>
        </w:rPr>
        <w:t xml:space="preserve"> funding and foreign expertise (Buse and Hawkes, 2015)</w:t>
      </w:r>
    </w:p>
    <w:p w14:paraId="3A067840" w14:textId="77777777" w:rsidR="00683A17" w:rsidRPr="00A74CDE" w:rsidRDefault="00683A17" w:rsidP="00A74CDE">
      <w:pPr>
        <w:spacing w:line="360" w:lineRule="auto"/>
        <w:jc w:val="both"/>
        <w:rPr>
          <w:rFonts w:ascii="Arial" w:eastAsia="Times New Roman" w:hAnsi="Arial" w:cs="Arial"/>
          <w:b/>
          <w:sz w:val="22"/>
          <w:u w:val="single"/>
        </w:rPr>
      </w:pPr>
      <w:r w:rsidRPr="00A74CDE">
        <w:rPr>
          <w:rFonts w:ascii="Arial" w:eastAsia="Times New Roman" w:hAnsi="Arial" w:cs="Arial"/>
          <w:b/>
          <w:sz w:val="22"/>
          <w:u w:val="single"/>
        </w:rPr>
        <w:t>National policies and initiatives (United Kingdom)</w:t>
      </w:r>
    </w:p>
    <w:p w14:paraId="25AF1D43" w14:textId="5CF9C1C2" w:rsidR="002D6764" w:rsidRPr="00A74CDE" w:rsidRDefault="002D6764" w:rsidP="00A74CDE">
      <w:pPr>
        <w:spacing w:line="360" w:lineRule="auto"/>
        <w:jc w:val="both"/>
        <w:rPr>
          <w:rFonts w:ascii="Arial" w:eastAsia="Times New Roman" w:hAnsi="Arial" w:cs="Arial"/>
          <w:sz w:val="22"/>
        </w:rPr>
      </w:pPr>
      <w:r w:rsidRPr="00A74CDE">
        <w:rPr>
          <w:rFonts w:ascii="Arial" w:eastAsia="Times New Roman" w:hAnsi="Arial" w:cs="Arial"/>
          <w:sz w:val="22"/>
        </w:rPr>
        <w:t xml:space="preserve">In the UK, the tenets attested </w:t>
      </w:r>
      <w:proofErr w:type="gramStart"/>
      <w:r w:rsidRPr="00A74CDE">
        <w:rPr>
          <w:rFonts w:ascii="Arial" w:eastAsia="Times New Roman" w:hAnsi="Arial" w:cs="Arial"/>
          <w:sz w:val="22"/>
        </w:rPr>
        <w:t>to in</w:t>
      </w:r>
      <w:proofErr w:type="gramEnd"/>
      <w:r w:rsidRPr="00A74CDE">
        <w:rPr>
          <w:rFonts w:ascii="Arial" w:eastAsia="Times New Roman" w:hAnsi="Arial" w:cs="Arial"/>
          <w:sz w:val="22"/>
        </w:rPr>
        <w:t xml:space="preserve"> SDG 3 are woven into national health strategies such as the NHS Long Term Plan in England (2019), which concentrates on prevention, early diagnosis, and integrated care systems (NHS England, 2019). The integrated care systems approach in the NHS Long Term Plan seeks to address health inequalities by focusing on lifestyle diseases such as obesity and related metabolic disorders like cardiovascular disease and the consequences of type 2 diabetes at a population level. The report of the UK Government titled Health Inequalities in the Protection of Health report demonstrates that people living in the most deprived 20 % of areas have almost twice as high a rate of emergency admissions to hospitals for infectious diseases as people living in the least deprived areas (UK Health Security Agency, 2025)</w:t>
      </w:r>
      <w:r w:rsidR="00B9794A">
        <w:rPr>
          <w:rFonts w:ascii="Arial" w:eastAsia="Times New Roman" w:hAnsi="Arial" w:cs="Arial"/>
          <w:sz w:val="22"/>
        </w:rPr>
        <w:t>.</w:t>
      </w:r>
      <w:r w:rsidRPr="00A74CDE">
        <w:rPr>
          <w:rFonts w:ascii="Arial" w:eastAsia="Times New Roman" w:hAnsi="Arial" w:cs="Arial"/>
          <w:sz w:val="22"/>
        </w:rPr>
        <w:t xml:space="preserve"> Health inequalities persist over socioeconomic and ethnic groups, especially in life expectancy and the prevalence of chronic disease (The Health Foundation, 2024). </w:t>
      </w:r>
    </w:p>
    <w:p w14:paraId="4A024EFC" w14:textId="77777777" w:rsidR="00683A17" w:rsidRPr="00A74CDE" w:rsidRDefault="00683A17" w:rsidP="00A74CDE">
      <w:pPr>
        <w:spacing w:line="360" w:lineRule="auto"/>
        <w:jc w:val="both"/>
        <w:rPr>
          <w:rFonts w:ascii="Arial" w:eastAsia="Times New Roman" w:hAnsi="Arial" w:cs="Arial"/>
          <w:b/>
          <w:bCs/>
          <w:sz w:val="22"/>
          <w:u w:val="single"/>
        </w:rPr>
      </w:pPr>
      <w:r w:rsidRPr="00A74CDE">
        <w:rPr>
          <w:rFonts w:ascii="Arial" w:eastAsia="Times New Roman" w:hAnsi="Arial" w:cs="Arial"/>
          <w:b/>
          <w:bCs/>
          <w:sz w:val="22"/>
          <w:u w:val="single"/>
        </w:rPr>
        <w:t>Local Examples</w:t>
      </w:r>
    </w:p>
    <w:p w14:paraId="559CE380" w14:textId="77777777" w:rsidR="000E4714" w:rsidRPr="00A74CDE" w:rsidRDefault="000E4714" w:rsidP="00A74CDE">
      <w:pPr>
        <w:spacing w:line="360" w:lineRule="auto"/>
        <w:jc w:val="both"/>
        <w:rPr>
          <w:rFonts w:ascii="Arial" w:eastAsia="Times New Roman" w:hAnsi="Arial" w:cs="Arial"/>
          <w:sz w:val="22"/>
        </w:rPr>
      </w:pPr>
      <w:r w:rsidRPr="00A74CDE">
        <w:rPr>
          <w:rFonts w:ascii="Arial" w:eastAsia="Times New Roman" w:hAnsi="Arial" w:cs="Arial"/>
          <w:sz w:val="22"/>
        </w:rPr>
        <w:t>In the United Kingdom, local public health campaigns in support of SDG 3 have been effective through culturally sensitive and community engagement techniques. For example, local councils routinely pursue campaigns for tobacco cessation, improved nutrition, maternal and child health, and public vaccinations and infectious disease control, using tailored messages addressing the particular social and cultural composition of their populations.</w:t>
      </w:r>
    </w:p>
    <w:p w14:paraId="23C9E9A0" w14:textId="036A1319" w:rsidR="000E4714" w:rsidRPr="00A74CDE" w:rsidRDefault="000E4714" w:rsidP="00A74CDE">
      <w:pPr>
        <w:spacing w:line="360" w:lineRule="auto"/>
        <w:jc w:val="both"/>
        <w:rPr>
          <w:rFonts w:ascii="Arial" w:eastAsia="Times New Roman" w:hAnsi="Arial" w:cs="Arial"/>
          <w:sz w:val="22"/>
        </w:rPr>
      </w:pPr>
      <w:r w:rsidRPr="00A74CDE">
        <w:rPr>
          <w:rFonts w:ascii="Arial" w:eastAsia="Times New Roman" w:hAnsi="Arial" w:cs="Arial"/>
          <w:sz w:val="22"/>
        </w:rPr>
        <w:lastRenderedPageBreak/>
        <w:t xml:space="preserve">One of the most striking examples may be the public </w:t>
      </w:r>
      <w:r w:rsidR="00614810" w:rsidRPr="00A74CDE">
        <w:rPr>
          <w:rFonts w:ascii="Arial" w:eastAsia="Times New Roman" w:hAnsi="Arial" w:cs="Arial"/>
          <w:sz w:val="22"/>
        </w:rPr>
        <w:t>vaccination</w:t>
      </w:r>
      <w:r w:rsidRPr="00A74CDE">
        <w:rPr>
          <w:rFonts w:ascii="Arial" w:eastAsia="Times New Roman" w:hAnsi="Arial" w:cs="Arial"/>
          <w:sz w:val="22"/>
        </w:rPr>
        <w:t xml:space="preserve"> programs run by councils and health authorities, which change their communication policies to meet the needs of a region’s linguistic diversity. </w:t>
      </w:r>
      <w:r w:rsidR="00FD2C9A">
        <w:rPr>
          <w:rFonts w:ascii="Arial" w:eastAsia="Times New Roman" w:hAnsi="Arial" w:cs="Arial"/>
          <w:sz w:val="22"/>
        </w:rPr>
        <w:t>W</w:t>
      </w:r>
      <w:r w:rsidRPr="00A74CDE">
        <w:rPr>
          <w:rFonts w:ascii="Arial" w:eastAsia="Times New Roman" w:hAnsi="Arial" w:cs="Arial"/>
          <w:sz w:val="22"/>
        </w:rPr>
        <w:t>here the necessitates for Health systems strengthening, the control of health inequalities</w:t>
      </w:r>
      <w:r w:rsidR="00614810" w:rsidRPr="00A74CDE">
        <w:rPr>
          <w:rFonts w:ascii="Arial" w:eastAsia="Times New Roman" w:hAnsi="Arial" w:cs="Arial"/>
          <w:sz w:val="22"/>
        </w:rPr>
        <w:t>,</w:t>
      </w:r>
      <w:r w:rsidRPr="00A74CDE">
        <w:rPr>
          <w:rFonts w:ascii="Arial" w:eastAsia="Times New Roman" w:hAnsi="Arial" w:cs="Arial"/>
          <w:sz w:val="22"/>
        </w:rPr>
        <w:t xml:space="preserve"> and the development of </w:t>
      </w:r>
      <w:r w:rsidR="00614810" w:rsidRPr="00A74CDE">
        <w:rPr>
          <w:rFonts w:ascii="Arial" w:eastAsia="Times New Roman" w:hAnsi="Arial" w:cs="Arial"/>
          <w:sz w:val="22"/>
        </w:rPr>
        <w:t>community-led</w:t>
      </w:r>
      <w:r w:rsidRPr="00A74CDE">
        <w:rPr>
          <w:rFonts w:ascii="Arial" w:eastAsia="Times New Roman" w:hAnsi="Arial" w:cs="Arial"/>
          <w:sz w:val="22"/>
        </w:rPr>
        <w:t xml:space="preserve"> </w:t>
      </w:r>
      <w:proofErr w:type="spellStart"/>
      <w:r w:rsidRPr="00A74CDE">
        <w:rPr>
          <w:rFonts w:ascii="Arial" w:eastAsia="Times New Roman" w:hAnsi="Arial" w:cs="Arial"/>
          <w:sz w:val="22"/>
        </w:rPr>
        <w:t>programmes</w:t>
      </w:r>
      <w:proofErr w:type="spellEnd"/>
      <w:r w:rsidRPr="00A74CDE">
        <w:rPr>
          <w:rFonts w:ascii="Arial" w:eastAsia="Times New Roman" w:hAnsi="Arial" w:cs="Arial"/>
          <w:sz w:val="22"/>
        </w:rPr>
        <w:t xml:space="preserve"> for health provision both locally and internationally are </w:t>
      </w:r>
      <w:r w:rsidR="00614810" w:rsidRPr="00A74CDE">
        <w:rPr>
          <w:rFonts w:ascii="Arial" w:eastAsia="Times New Roman" w:hAnsi="Arial" w:cs="Arial"/>
          <w:sz w:val="22"/>
        </w:rPr>
        <w:t>emphasized</w:t>
      </w:r>
      <w:r w:rsidRPr="00A74CDE">
        <w:rPr>
          <w:rFonts w:ascii="Arial" w:eastAsia="Times New Roman" w:hAnsi="Arial" w:cs="Arial"/>
          <w:sz w:val="22"/>
        </w:rPr>
        <w:t>.</w:t>
      </w:r>
      <w:r w:rsidRPr="00A74CDE">
        <w:rPr>
          <w:rFonts w:ascii="Arial" w:hAnsi="Arial" w:cs="Arial"/>
          <w:sz w:val="22"/>
        </w:rPr>
        <w:t xml:space="preserve"> </w:t>
      </w:r>
      <w:r w:rsidRPr="00A74CDE">
        <w:rPr>
          <w:rFonts w:ascii="Arial" w:eastAsia="Times New Roman" w:hAnsi="Arial" w:cs="Arial"/>
          <w:sz w:val="22"/>
        </w:rPr>
        <w:t>(GOV.UK, 2023)</w:t>
      </w:r>
      <w:r w:rsidR="00B9794A">
        <w:rPr>
          <w:rFonts w:ascii="Arial" w:eastAsia="Times New Roman" w:hAnsi="Arial" w:cs="Arial"/>
          <w:sz w:val="22"/>
        </w:rPr>
        <w:t>.</w:t>
      </w:r>
    </w:p>
    <w:p w14:paraId="6C46FD61" w14:textId="77777777" w:rsidR="00683A17" w:rsidRPr="00A74CDE" w:rsidRDefault="00683A17" w:rsidP="00A74CDE">
      <w:pPr>
        <w:spacing w:line="360" w:lineRule="auto"/>
        <w:jc w:val="both"/>
        <w:rPr>
          <w:rFonts w:ascii="Arial" w:eastAsia="Times New Roman" w:hAnsi="Arial" w:cs="Arial"/>
          <w:b/>
          <w:sz w:val="22"/>
          <w:u w:val="single"/>
        </w:rPr>
      </w:pPr>
      <w:r w:rsidRPr="00A74CDE">
        <w:rPr>
          <w:rFonts w:ascii="Arial" w:eastAsia="Times New Roman" w:hAnsi="Arial" w:cs="Arial"/>
          <w:b/>
          <w:sz w:val="22"/>
          <w:u w:val="single"/>
        </w:rPr>
        <w:t>Theoretical perspectives</w:t>
      </w:r>
    </w:p>
    <w:p w14:paraId="7A736C5E" w14:textId="1E0D46CA" w:rsidR="00614810" w:rsidRPr="00A74CDE" w:rsidRDefault="00614810" w:rsidP="00A74CDE">
      <w:pPr>
        <w:spacing w:line="360" w:lineRule="auto"/>
        <w:jc w:val="both"/>
        <w:rPr>
          <w:rFonts w:ascii="Arial" w:eastAsia="Times New Roman" w:hAnsi="Arial" w:cs="Arial"/>
          <w:sz w:val="22"/>
        </w:rPr>
      </w:pPr>
      <w:r w:rsidRPr="00A74CDE">
        <w:rPr>
          <w:rFonts w:ascii="Arial" w:eastAsia="Times New Roman" w:hAnsi="Arial" w:cs="Arial"/>
          <w:sz w:val="22"/>
        </w:rPr>
        <w:t>The implementation of SDG 3 can be analyzed through the Social Determin</w:t>
      </w:r>
      <w:r w:rsidR="004D1852" w:rsidRPr="00A74CDE">
        <w:rPr>
          <w:rFonts w:ascii="Arial" w:eastAsia="Times New Roman" w:hAnsi="Arial" w:cs="Arial"/>
          <w:sz w:val="22"/>
        </w:rPr>
        <w:t>ants of Health (SDH) framework</w:t>
      </w:r>
      <w:r w:rsidR="00622E4B" w:rsidRPr="00A74CDE">
        <w:rPr>
          <w:rFonts w:ascii="Arial" w:eastAsia="Times New Roman" w:hAnsi="Arial" w:cs="Arial"/>
          <w:sz w:val="22"/>
        </w:rPr>
        <w:t>,</w:t>
      </w:r>
      <w:r w:rsidRPr="00A74CDE">
        <w:rPr>
          <w:rFonts w:ascii="Arial" w:eastAsia="Times New Roman" w:hAnsi="Arial" w:cs="Arial"/>
          <w:sz w:val="22"/>
        </w:rPr>
        <w:t xml:space="preserve"> </w:t>
      </w:r>
      <w:r w:rsidR="00622E4B" w:rsidRPr="00A74CDE">
        <w:rPr>
          <w:rFonts w:ascii="Arial" w:eastAsia="Times New Roman" w:hAnsi="Arial" w:cs="Arial"/>
          <w:sz w:val="22"/>
        </w:rPr>
        <w:t>which</w:t>
      </w:r>
      <w:r w:rsidRPr="00A74CDE">
        <w:rPr>
          <w:rFonts w:ascii="Arial" w:eastAsia="Times New Roman" w:hAnsi="Arial" w:cs="Arial"/>
          <w:sz w:val="22"/>
        </w:rPr>
        <w:t xml:space="preserve"> </w:t>
      </w:r>
      <w:r w:rsidR="004D1852" w:rsidRPr="00A74CDE">
        <w:rPr>
          <w:rFonts w:ascii="Arial" w:eastAsia="Times New Roman" w:hAnsi="Arial" w:cs="Arial"/>
          <w:sz w:val="22"/>
        </w:rPr>
        <w:t>explains how socioeconomic conditions, environmental factors, education, and employment affect health outcomes</w:t>
      </w:r>
      <w:r w:rsidRPr="00A74CDE">
        <w:rPr>
          <w:rFonts w:ascii="Arial" w:eastAsia="Times New Roman" w:hAnsi="Arial" w:cs="Arial"/>
          <w:sz w:val="22"/>
        </w:rPr>
        <w:t xml:space="preserve">.  This framework focuses on the fact that medical care itself cannot bring the health improvements experienced at the population level without </w:t>
      </w:r>
      <w:r w:rsidR="00622E4B" w:rsidRPr="00A74CDE">
        <w:rPr>
          <w:rFonts w:ascii="Arial" w:eastAsia="Times New Roman" w:hAnsi="Arial" w:cs="Arial"/>
          <w:sz w:val="22"/>
        </w:rPr>
        <w:t xml:space="preserve">simultaneously </w:t>
      </w:r>
      <w:r w:rsidRPr="00A74CDE">
        <w:rPr>
          <w:rFonts w:ascii="Arial" w:eastAsia="Times New Roman" w:hAnsi="Arial" w:cs="Arial"/>
          <w:sz w:val="22"/>
        </w:rPr>
        <w:t>addr</w:t>
      </w:r>
      <w:r w:rsidR="004D1852" w:rsidRPr="00A74CDE">
        <w:rPr>
          <w:rFonts w:ascii="Arial" w:eastAsia="Times New Roman" w:hAnsi="Arial" w:cs="Arial"/>
          <w:sz w:val="22"/>
        </w:rPr>
        <w:t xml:space="preserve">essing structural inequities.  </w:t>
      </w:r>
      <w:r w:rsidRPr="00A74CDE">
        <w:rPr>
          <w:rFonts w:ascii="Arial" w:eastAsia="Times New Roman" w:hAnsi="Arial" w:cs="Arial"/>
          <w:sz w:val="22"/>
        </w:rPr>
        <w:t xml:space="preserve">Health Belief Model (HBM) also helps to explain </w:t>
      </w:r>
      <w:proofErr w:type="spellStart"/>
      <w:r w:rsidRPr="00A74CDE">
        <w:rPr>
          <w:rFonts w:ascii="Arial" w:eastAsia="Times New Roman" w:hAnsi="Arial" w:cs="Arial"/>
          <w:sz w:val="22"/>
        </w:rPr>
        <w:t>behavioural</w:t>
      </w:r>
      <w:proofErr w:type="spellEnd"/>
      <w:r w:rsidRPr="00A74CDE">
        <w:rPr>
          <w:rFonts w:ascii="Arial" w:eastAsia="Times New Roman" w:hAnsi="Arial" w:cs="Arial"/>
          <w:sz w:val="22"/>
        </w:rPr>
        <w:t xml:space="preserve"> issues of preventive health intervention, </w:t>
      </w:r>
      <w:proofErr w:type="gramStart"/>
      <w:r w:rsidRPr="00A74CDE">
        <w:rPr>
          <w:rFonts w:ascii="Arial" w:eastAsia="Times New Roman" w:hAnsi="Arial" w:cs="Arial"/>
          <w:sz w:val="22"/>
        </w:rPr>
        <w:t>assuming that</w:t>
      </w:r>
      <w:proofErr w:type="gramEnd"/>
      <w:r w:rsidRPr="00A74CDE">
        <w:rPr>
          <w:rFonts w:ascii="Arial" w:eastAsia="Times New Roman" w:hAnsi="Arial" w:cs="Arial"/>
          <w:sz w:val="22"/>
        </w:rPr>
        <w:t xml:space="preserve"> people will tend to embrace health-promoting </w:t>
      </w:r>
      <w:proofErr w:type="spellStart"/>
      <w:proofErr w:type="gramStart"/>
      <w:r w:rsidRPr="00A74CDE">
        <w:rPr>
          <w:rFonts w:ascii="Arial" w:eastAsia="Times New Roman" w:hAnsi="Arial" w:cs="Arial"/>
          <w:sz w:val="22"/>
        </w:rPr>
        <w:t>behaviours</w:t>
      </w:r>
      <w:proofErr w:type="spellEnd"/>
      <w:r w:rsidRPr="00A74CDE">
        <w:rPr>
          <w:rFonts w:ascii="Arial" w:eastAsia="Times New Roman" w:hAnsi="Arial" w:cs="Arial"/>
          <w:sz w:val="22"/>
        </w:rPr>
        <w:t xml:space="preserve"> </w:t>
      </w:r>
      <w:r w:rsidR="00A74CDE">
        <w:rPr>
          <w:rFonts w:ascii="Arial" w:eastAsia="Times New Roman" w:hAnsi="Arial" w:cs="Arial"/>
          <w:sz w:val="22"/>
        </w:rPr>
        <w:t>.</w:t>
      </w:r>
      <w:r w:rsidRPr="00A74CDE">
        <w:rPr>
          <w:rFonts w:ascii="Arial" w:eastAsia="Times New Roman" w:hAnsi="Arial" w:cs="Arial"/>
          <w:sz w:val="22"/>
        </w:rPr>
        <w:t>The</w:t>
      </w:r>
      <w:proofErr w:type="gramEnd"/>
      <w:r w:rsidRPr="00A74CDE">
        <w:rPr>
          <w:rFonts w:ascii="Arial" w:eastAsia="Times New Roman" w:hAnsi="Arial" w:cs="Arial"/>
          <w:sz w:val="22"/>
        </w:rPr>
        <w:t xml:space="preserve"> SDH framework has been used to shape the policy of the United Kingdom</w:t>
      </w:r>
      <w:r w:rsidR="00B9794A">
        <w:rPr>
          <w:rFonts w:ascii="Arial" w:eastAsia="Times New Roman" w:hAnsi="Arial" w:cs="Arial"/>
          <w:sz w:val="22"/>
        </w:rPr>
        <w:t>.</w:t>
      </w:r>
    </w:p>
    <w:p w14:paraId="39115559" w14:textId="77777777" w:rsidR="00683A17" w:rsidRPr="00A74CDE" w:rsidRDefault="00683A17" w:rsidP="00A74CDE">
      <w:pPr>
        <w:spacing w:line="360" w:lineRule="auto"/>
        <w:jc w:val="both"/>
        <w:rPr>
          <w:rFonts w:ascii="Arial" w:eastAsia="Times New Roman" w:hAnsi="Arial" w:cs="Arial"/>
          <w:b/>
          <w:sz w:val="22"/>
          <w:u w:val="single"/>
        </w:rPr>
      </w:pPr>
      <w:r w:rsidRPr="00A74CDE">
        <w:rPr>
          <w:rFonts w:ascii="Arial" w:eastAsia="Times New Roman" w:hAnsi="Arial" w:cs="Arial"/>
          <w:b/>
          <w:sz w:val="22"/>
          <w:u w:val="single"/>
        </w:rPr>
        <w:t>Critical evaluation</w:t>
      </w:r>
    </w:p>
    <w:p w14:paraId="69041344" w14:textId="24CF9A19" w:rsidR="004D1852" w:rsidRPr="00A74CDE" w:rsidRDefault="004D1852" w:rsidP="00A74CDE">
      <w:pPr>
        <w:spacing w:line="360" w:lineRule="auto"/>
        <w:jc w:val="both"/>
        <w:rPr>
          <w:rFonts w:ascii="Arial" w:eastAsia="Times New Roman" w:hAnsi="Arial" w:cs="Arial"/>
          <w:sz w:val="22"/>
        </w:rPr>
      </w:pPr>
      <w:r w:rsidRPr="00A74CDE">
        <w:rPr>
          <w:rFonts w:ascii="Arial" w:eastAsia="Times New Roman" w:hAnsi="Arial" w:cs="Arial"/>
          <w:sz w:val="22"/>
        </w:rPr>
        <w:t xml:space="preserve">Health coverage WHO Universal health coverage </w:t>
      </w:r>
      <w:proofErr w:type="gramStart"/>
      <w:r w:rsidRPr="00A74CDE">
        <w:rPr>
          <w:rFonts w:ascii="Arial" w:eastAsia="Times New Roman" w:hAnsi="Arial" w:cs="Arial"/>
          <w:sz w:val="22"/>
        </w:rPr>
        <w:t>The</w:t>
      </w:r>
      <w:proofErr w:type="gramEnd"/>
      <w:r w:rsidRPr="00A74CDE">
        <w:rPr>
          <w:rFonts w:ascii="Arial" w:eastAsia="Times New Roman" w:hAnsi="Arial" w:cs="Arial"/>
          <w:sz w:val="22"/>
        </w:rPr>
        <w:t xml:space="preserve"> universal health coverage agenda of WHO has progressed globally: by 2021, approximately 68 percent of the global population had access to basic health services. However, more than 1 billion continue to incur disastrous healthcare spending every year. The fact that there is a difference between high-income and low-income nations shows that financing of healthcare is inequitable on a systemic level. In the UK, good governance and universal coverage via the NHS is a solid base, but austerity policies since 2010 </w:t>
      </w:r>
      <w:r w:rsidR="00EC636F" w:rsidRPr="00A74CDE">
        <w:rPr>
          <w:rFonts w:ascii="Arial" w:eastAsia="Times New Roman" w:hAnsi="Arial" w:cs="Arial"/>
          <w:sz w:val="22"/>
        </w:rPr>
        <w:t xml:space="preserve">have </w:t>
      </w:r>
      <w:r w:rsidRPr="00A74CDE">
        <w:rPr>
          <w:rFonts w:ascii="Arial" w:eastAsia="Times New Roman" w:hAnsi="Arial" w:cs="Arial"/>
          <w:sz w:val="22"/>
        </w:rPr>
        <w:t xml:space="preserve">undermined the preventative care and local public health budgets. According to the Health Inequalities Dashboard, the disparity in life expectancy between the poorest and the wealthiest parts of England increased to 9.7 years </w:t>
      </w:r>
      <w:r w:rsidR="00EC636F" w:rsidRPr="00A74CDE">
        <w:rPr>
          <w:rFonts w:ascii="Arial" w:eastAsia="Times New Roman" w:hAnsi="Arial" w:cs="Arial"/>
          <w:sz w:val="22"/>
        </w:rPr>
        <w:t>for</w:t>
      </w:r>
      <w:r w:rsidRPr="00A74CDE">
        <w:rPr>
          <w:rFonts w:ascii="Arial" w:eastAsia="Times New Roman" w:hAnsi="Arial" w:cs="Arial"/>
          <w:sz w:val="22"/>
        </w:rPr>
        <w:t xml:space="preserve"> males and 7.5 years </w:t>
      </w:r>
      <w:r w:rsidR="00EC636F" w:rsidRPr="00A74CDE">
        <w:rPr>
          <w:rFonts w:ascii="Arial" w:eastAsia="Times New Roman" w:hAnsi="Arial" w:cs="Arial"/>
          <w:sz w:val="22"/>
        </w:rPr>
        <w:t>for</w:t>
      </w:r>
      <w:r w:rsidRPr="00A74CDE">
        <w:rPr>
          <w:rFonts w:ascii="Arial" w:eastAsia="Times New Roman" w:hAnsi="Arial" w:cs="Arial"/>
          <w:sz w:val="22"/>
        </w:rPr>
        <w:t xml:space="preserve"> females (Office, 2025).</w:t>
      </w:r>
      <w:r w:rsidR="00EC636F" w:rsidRPr="00A74CDE">
        <w:rPr>
          <w:rFonts w:ascii="Arial" w:eastAsia="Times New Roman" w:hAnsi="Arial" w:cs="Arial"/>
          <w:sz w:val="22"/>
        </w:rPr>
        <w:t xml:space="preserve"> </w:t>
      </w:r>
    </w:p>
    <w:p w14:paraId="5C641309" w14:textId="77777777" w:rsidR="00683A17" w:rsidRPr="00A74CDE" w:rsidRDefault="00683A17" w:rsidP="00A74CDE">
      <w:pPr>
        <w:spacing w:line="360" w:lineRule="auto"/>
        <w:jc w:val="both"/>
        <w:rPr>
          <w:rFonts w:ascii="Arial" w:eastAsia="Times New Roman" w:hAnsi="Arial" w:cs="Arial"/>
          <w:b/>
          <w:sz w:val="22"/>
          <w:u w:val="single"/>
        </w:rPr>
      </w:pPr>
      <w:r w:rsidRPr="00A74CDE">
        <w:rPr>
          <w:rFonts w:ascii="Arial" w:eastAsia="Times New Roman" w:hAnsi="Arial" w:cs="Arial"/>
          <w:b/>
          <w:sz w:val="22"/>
          <w:u w:val="single"/>
        </w:rPr>
        <w:t>Recommendations</w:t>
      </w:r>
    </w:p>
    <w:p w14:paraId="063B195D" w14:textId="4A03ABAB" w:rsidR="00DF6FB0" w:rsidRDefault="004D1852" w:rsidP="00A74CDE">
      <w:pPr>
        <w:spacing w:line="360" w:lineRule="auto"/>
        <w:jc w:val="both"/>
        <w:rPr>
          <w:rFonts w:ascii="Arial" w:eastAsia="Times New Roman" w:hAnsi="Arial" w:cs="Arial"/>
          <w:sz w:val="22"/>
        </w:rPr>
      </w:pPr>
      <w:proofErr w:type="gramStart"/>
      <w:r w:rsidRPr="00A74CDE">
        <w:rPr>
          <w:rFonts w:ascii="Arial" w:eastAsia="Times New Roman" w:hAnsi="Arial" w:cs="Arial"/>
          <w:sz w:val="22"/>
        </w:rPr>
        <w:t>In order to</w:t>
      </w:r>
      <w:proofErr w:type="gramEnd"/>
      <w:r w:rsidRPr="00A74CDE">
        <w:rPr>
          <w:rFonts w:ascii="Arial" w:eastAsia="Times New Roman" w:hAnsi="Arial" w:cs="Arial"/>
          <w:sz w:val="22"/>
        </w:rPr>
        <w:t xml:space="preserve"> successfully achieve SDG3, we require a multi-level and </w:t>
      </w:r>
      <w:r w:rsidR="00EC636F" w:rsidRPr="00A74CDE">
        <w:rPr>
          <w:rFonts w:ascii="Arial" w:eastAsia="Times New Roman" w:hAnsi="Arial" w:cs="Arial"/>
          <w:sz w:val="22"/>
        </w:rPr>
        <w:t>multi-sectoral</w:t>
      </w:r>
      <w:r w:rsidRPr="00A74CDE">
        <w:rPr>
          <w:rFonts w:ascii="Arial" w:eastAsia="Times New Roman" w:hAnsi="Arial" w:cs="Arial"/>
          <w:sz w:val="22"/>
        </w:rPr>
        <w:t xml:space="preserve"> approach. On a Global level, better </w:t>
      </w:r>
      <w:r w:rsidR="00EC636F" w:rsidRPr="00A74CDE">
        <w:rPr>
          <w:rFonts w:ascii="Arial" w:eastAsia="Times New Roman" w:hAnsi="Arial" w:cs="Arial"/>
          <w:sz w:val="22"/>
        </w:rPr>
        <w:t>coordination</w:t>
      </w:r>
      <w:r w:rsidRPr="00A74CDE">
        <w:rPr>
          <w:rFonts w:ascii="Arial" w:eastAsia="Times New Roman" w:hAnsi="Arial" w:cs="Arial"/>
          <w:sz w:val="22"/>
        </w:rPr>
        <w:t xml:space="preserve"> of the WHO, Gavi, and the World Bank will ensure efficiencies, as well as sustainability of resource usage. Improvements need to be made in </w:t>
      </w:r>
      <w:proofErr w:type="gramStart"/>
      <w:r w:rsidRPr="00A74CDE">
        <w:rPr>
          <w:rFonts w:ascii="Arial" w:eastAsia="Times New Roman" w:hAnsi="Arial" w:cs="Arial"/>
          <w:sz w:val="22"/>
        </w:rPr>
        <w:t>the domestic</w:t>
      </w:r>
      <w:proofErr w:type="gramEnd"/>
      <w:r w:rsidRPr="00A74CDE">
        <w:rPr>
          <w:rFonts w:ascii="Arial" w:eastAsia="Times New Roman" w:hAnsi="Arial" w:cs="Arial"/>
          <w:sz w:val="22"/>
        </w:rPr>
        <w:t xml:space="preserve"> funding, for example</w:t>
      </w:r>
      <w:r w:rsidR="00EC636F" w:rsidRPr="00A74CDE">
        <w:rPr>
          <w:rFonts w:ascii="Arial" w:eastAsia="Times New Roman" w:hAnsi="Arial" w:cs="Arial"/>
          <w:sz w:val="22"/>
        </w:rPr>
        <w:t>,</w:t>
      </w:r>
      <w:r w:rsidRPr="00A74CDE">
        <w:rPr>
          <w:rFonts w:ascii="Arial" w:eastAsia="Times New Roman" w:hAnsi="Arial" w:cs="Arial"/>
          <w:sz w:val="22"/>
        </w:rPr>
        <w:t xml:space="preserve"> by countries</w:t>
      </w:r>
      <w:r w:rsidR="00EC636F" w:rsidRPr="00A74CDE">
        <w:rPr>
          <w:rFonts w:ascii="Arial" w:eastAsia="Times New Roman" w:hAnsi="Arial" w:cs="Arial"/>
          <w:sz w:val="22"/>
        </w:rPr>
        <w:t>,</w:t>
      </w:r>
      <w:r w:rsidRPr="00A74CDE">
        <w:rPr>
          <w:rFonts w:ascii="Arial" w:eastAsia="Times New Roman" w:hAnsi="Arial" w:cs="Arial"/>
          <w:sz w:val="22"/>
        </w:rPr>
        <w:t xml:space="preserve"> as this will help system efficacy and reduce reliance on overseas funding. Locally, public health services need greater re-investment in preventive health measures, such as nutrition and physical activity schemes</w:t>
      </w:r>
      <w:r w:rsidR="00EC636F" w:rsidRPr="00A74CDE">
        <w:rPr>
          <w:rFonts w:ascii="Arial" w:eastAsia="Times New Roman" w:hAnsi="Arial" w:cs="Arial"/>
          <w:sz w:val="22"/>
        </w:rPr>
        <w:t>,</w:t>
      </w:r>
      <w:r w:rsidRPr="00A74CDE">
        <w:rPr>
          <w:rFonts w:ascii="Arial" w:eastAsia="Times New Roman" w:hAnsi="Arial" w:cs="Arial"/>
          <w:sz w:val="22"/>
        </w:rPr>
        <w:t xml:space="preserve"> and embedding health equality impact </w:t>
      </w:r>
      <w:r w:rsidRPr="00A74CDE">
        <w:rPr>
          <w:rFonts w:ascii="Arial" w:eastAsia="Times New Roman" w:hAnsi="Arial" w:cs="Arial"/>
          <w:sz w:val="22"/>
        </w:rPr>
        <w:lastRenderedPageBreak/>
        <w:t>assessments on all aspects of policy (`Health in All Policies’ approach</w:t>
      </w:r>
      <w:proofErr w:type="gramStart"/>
      <w:r w:rsidRPr="00A74CDE">
        <w:rPr>
          <w:rFonts w:ascii="Arial" w:eastAsia="Times New Roman" w:hAnsi="Arial" w:cs="Arial"/>
          <w:sz w:val="22"/>
        </w:rPr>
        <w:t>).Citizen</w:t>
      </w:r>
      <w:proofErr w:type="gramEnd"/>
      <w:r w:rsidRPr="00A74CDE">
        <w:rPr>
          <w:rFonts w:ascii="Arial" w:eastAsia="Times New Roman" w:hAnsi="Arial" w:cs="Arial"/>
          <w:sz w:val="22"/>
        </w:rPr>
        <w:t xml:space="preserve"> involvement in the co-design of health </w:t>
      </w:r>
      <w:r w:rsidR="007F1860" w:rsidRPr="00A74CDE">
        <w:rPr>
          <w:rFonts w:ascii="Arial" w:eastAsia="Times New Roman" w:hAnsi="Arial" w:cs="Arial"/>
          <w:sz w:val="22"/>
        </w:rPr>
        <w:t>interventions</w:t>
      </w:r>
      <w:r w:rsidRPr="00A74CDE">
        <w:rPr>
          <w:rFonts w:ascii="Arial" w:eastAsia="Times New Roman" w:hAnsi="Arial" w:cs="Arial"/>
          <w:sz w:val="22"/>
        </w:rPr>
        <w:t xml:space="preserve"> could also increase trust and fidelity in results and improvement in numbers. Improvement of links between health, such as </w:t>
      </w:r>
      <w:r w:rsidR="00EC636F" w:rsidRPr="00A74CDE">
        <w:rPr>
          <w:rFonts w:ascii="Arial" w:eastAsia="Times New Roman" w:hAnsi="Arial" w:cs="Arial"/>
          <w:sz w:val="22"/>
        </w:rPr>
        <w:t xml:space="preserve">a </w:t>
      </w:r>
      <w:r w:rsidRPr="00A74CDE">
        <w:rPr>
          <w:rFonts w:ascii="Arial" w:eastAsia="Times New Roman" w:hAnsi="Arial" w:cs="Arial"/>
          <w:sz w:val="22"/>
        </w:rPr>
        <w:t xml:space="preserve">healthy </w:t>
      </w:r>
      <w:r w:rsidR="007F1860" w:rsidRPr="00A74CDE">
        <w:rPr>
          <w:rFonts w:ascii="Arial" w:eastAsia="Times New Roman" w:hAnsi="Arial" w:cs="Arial"/>
          <w:sz w:val="22"/>
        </w:rPr>
        <w:t>environment and</w:t>
      </w:r>
      <w:r w:rsidRPr="00A74CDE">
        <w:rPr>
          <w:rFonts w:ascii="Arial" w:eastAsia="Times New Roman" w:hAnsi="Arial" w:cs="Arial"/>
          <w:sz w:val="22"/>
        </w:rPr>
        <w:t xml:space="preserve"> health through safe housing, clean water</w:t>
      </w:r>
      <w:r w:rsidR="00EC636F" w:rsidRPr="00A74CDE">
        <w:rPr>
          <w:rFonts w:ascii="Arial" w:eastAsia="Times New Roman" w:hAnsi="Arial" w:cs="Arial"/>
          <w:sz w:val="22"/>
        </w:rPr>
        <w:t>,</w:t>
      </w:r>
      <w:r w:rsidRPr="00A74CDE">
        <w:rPr>
          <w:rFonts w:ascii="Arial" w:eastAsia="Times New Roman" w:hAnsi="Arial" w:cs="Arial"/>
          <w:sz w:val="22"/>
        </w:rPr>
        <w:t xml:space="preserve"> and air quality, would allow further linkage with </w:t>
      </w:r>
      <w:r w:rsidR="007F1860" w:rsidRPr="00A74CDE">
        <w:rPr>
          <w:rFonts w:ascii="Arial" w:eastAsia="Times New Roman" w:hAnsi="Arial" w:cs="Arial"/>
          <w:sz w:val="22"/>
        </w:rPr>
        <w:t>SDG6</w:t>
      </w:r>
      <w:r w:rsidR="00A74CDE">
        <w:rPr>
          <w:rFonts w:ascii="Arial" w:eastAsia="Times New Roman" w:hAnsi="Arial" w:cs="Arial"/>
          <w:sz w:val="22"/>
        </w:rPr>
        <w:t>.</w:t>
      </w:r>
    </w:p>
    <w:p w14:paraId="40E0D588" w14:textId="77777777" w:rsidR="00B9794A" w:rsidRPr="00A74CDE" w:rsidRDefault="00B9794A" w:rsidP="00A74CDE">
      <w:pPr>
        <w:spacing w:line="360" w:lineRule="auto"/>
        <w:jc w:val="both"/>
        <w:rPr>
          <w:rFonts w:ascii="Arial" w:eastAsia="Times New Roman" w:hAnsi="Arial" w:cs="Arial"/>
          <w:sz w:val="22"/>
        </w:rPr>
      </w:pPr>
    </w:p>
    <w:p w14:paraId="10BC5089" w14:textId="77777777" w:rsidR="00B9794A" w:rsidRPr="00B9794A" w:rsidRDefault="00EA304C" w:rsidP="00A74CDE">
      <w:pPr>
        <w:spacing w:line="360" w:lineRule="auto"/>
        <w:jc w:val="both"/>
        <w:rPr>
          <w:rFonts w:ascii="Arial" w:eastAsia="Times New Roman" w:hAnsi="Arial" w:cs="Arial"/>
          <w:b/>
          <w:sz w:val="22"/>
          <w:u w:val="single"/>
        </w:rPr>
      </w:pPr>
      <w:r w:rsidRPr="00B9794A">
        <w:rPr>
          <w:rFonts w:ascii="Arial" w:eastAsia="Times New Roman" w:hAnsi="Arial" w:cs="Arial"/>
          <w:b/>
          <w:sz w:val="22"/>
          <w:u w:val="single"/>
        </w:rPr>
        <w:t>SDG 6</w:t>
      </w:r>
      <w:r w:rsidR="00270EC7" w:rsidRPr="00B9794A">
        <w:rPr>
          <w:rFonts w:ascii="Arial" w:eastAsia="Times New Roman" w:hAnsi="Arial" w:cs="Arial"/>
          <w:b/>
          <w:sz w:val="22"/>
          <w:u w:val="single"/>
        </w:rPr>
        <w:t>-</w:t>
      </w:r>
      <w:r w:rsidR="00270EC7" w:rsidRPr="00B9794A">
        <w:rPr>
          <w:rFonts w:ascii="Arial" w:eastAsia="Times New Roman" w:hAnsi="Arial" w:cs="Arial"/>
          <w:sz w:val="22"/>
          <w:u w:val="single"/>
        </w:rPr>
        <w:t xml:space="preserve"> </w:t>
      </w:r>
      <w:r w:rsidR="00270EC7" w:rsidRPr="00B9794A">
        <w:rPr>
          <w:rFonts w:ascii="Arial" w:eastAsia="Times New Roman" w:hAnsi="Arial" w:cs="Arial"/>
          <w:b/>
          <w:sz w:val="22"/>
          <w:u w:val="single"/>
        </w:rPr>
        <w:t>Clean Water and Sanitation</w:t>
      </w:r>
    </w:p>
    <w:p w14:paraId="2D4D79DE" w14:textId="2CF831C6" w:rsidR="00EA304C" w:rsidRPr="000660A0" w:rsidRDefault="00EA304C" w:rsidP="00A74CDE">
      <w:pPr>
        <w:spacing w:line="360" w:lineRule="auto"/>
        <w:jc w:val="both"/>
        <w:rPr>
          <w:rFonts w:ascii="Arial" w:eastAsia="Times New Roman" w:hAnsi="Arial" w:cs="Arial"/>
          <w:b/>
          <w:sz w:val="22"/>
        </w:rPr>
      </w:pPr>
      <w:r w:rsidRPr="00A74CDE">
        <w:rPr>
          <w:rFonts w:ascii="Arial" w:eastAsia="Times New Roman" w:hAnsi="Arial" w:cs="Arial"/>
          <w:sz w:val="22"/>
        </w:rPr>
        <w:t xml:space="preserve">Sustainable Development Goal 6 (Clean Water and Sanitation) aims to ensure </w:t>
      </w:r>
      <w:r w:rsidR="00EC636F" w:rsidRPr="00A74CDE">
        <w:rPr>
          <w:rFonts w:ascii="Arial" w:eastAsia="Times New Roman" w:hAnsi="Arial" w:cs="Arial"/>
          <w:sz w:val="22"/>
        </w:rPr>
        <w:t xml:space="preserve">the </w:t>
      </w:r>
      <w:r w:rsidRPr="00A74CDE">
        <w:rPr>
          <w:rFonts w:ascii="Arial" w:eastAsia="Times New Roman" w:hAnsi="Arial" w:cs="Arial"/>
          <w:sz w:val="22"/>
        </w:rPr>
        <w:t>availability and sustainable management of water and sanitation for all. Safe water, adequate sanitation</w:t>
      </w:r>
      <w:r w:rsidR="00EC636F" w:rsidRPr="00A74CDE">
        <w:rPr>
          <w:rFonts w:ascii="Arial" w:eastAsia="Times New Roman" w:hAnsi="Arial" w:cs="Arial"/>
          <w:sz w:val="22"/>
        </w:rPr>
        <w:t>,</w:t>
      </w:r>
      <w:r w:rsidRPr="00A74CDE">
        <w:rPr>
          <w:rFonts w:ascii="Arial" w:eastAsia="Times New Roman" w:hAnsi="Arial" w:cs="Arial"/>
          <w:sz w:val="22"/>
        </w:rPr>
        <w:t xml:space="preserve"> and hygiene (WASH) are essential to human health, economic productivity</w:t>
      </w:r>
      <w:r w:rsidR="00EC636F" w:rsidRPr="00A74CDE">
        <w:rPr>
          <w:rFonts w:ascii="Arial" w:eastAsia="Times New Roman" w:hAnsi="Arial" w:cs="Arial"/>
          <w:sz w:val="22"/>
        </w:rPr>
        <w:t>,</w:t>
      </w:r>
      <w:r w:rsidRPr="00A74CDE">
        <w:rPr>
          <w:rFonts w:ascii="Arial" w:eastAsia="Times New Roman" w:hAnsi="Arial" w:cs="Arial"/>
          <w:sz w:val="22"/>
        </w:rPr>
        <w:t xml:space="preserve"> and environmental protection. Currently</w:t>
      </w:r>
      <w:r w:rsidR="00EC636F" w:rsidRPr="00A74CDE">
        <w:rPr>
          <w:rFonts w:ascii="Arial" w:eastAsia="Times New Roman" w:hAnsi="Arial" w:cs="Arial"/>
          <w:sz w:val="22"/>
        </w:rPr>
        <w:t>,</w:t>
      </w:r>
      <w:r w:rsidRPr="00A74CDE">
        <w:rPr>
          <w:rFonts w:ascii="Arial" w:eastAsia="Times New Roman" w:hAnsi="Arial" w:cs="Arial"/>
          <w:sz w:val="22"/>
        </w:rPr>
        <w:t xml:space="preserve"> around 2 billion people do not have safely managed drinking-water services around the world, while 3.5 billion have inadequate sanitation </w:t>
      </w:r>
      <w:r w:rsidR="007F1860" w:rsidRPr="00A74CDE">
        <w:rPr>
          <w:rFonts w:ascii="Arial" w:eastAsia="Times New Roman" w:hAnsi="Arial" w:cs="Arial"/>
          <w:sz w:val="22"/>
        </w:rPr>
        <w:t xml:space="preserve">(Geneva and Switzerland, </w:t>
      </w:r>
      <w:proofErr w:type="spellStart"/>
      <w:r w:rsidR="007F1860" w:rsidRPr="00A74CDE">
        <w:rPr>
          <w:rFonts w:ascii="Arial" w:eastAsia="Times New Roman" w:hAnsi="Arial" w:cs="Arial"/>
          <w:sz w:val="22"/>
        </w:rPr>
        <w:t>n.d</w:t>
      </w:r>
      <w:proofErr w:type="spellEnd"/>
      <w:r w:rsidR="00EC636F" w:rsidRPr="00A74CDE">
        <w:rPr>
          <w:rFonts w:ascii="Arial" w:eastAsia="Times New Roman" w:hAnsi="Arial" w:cs="Arial"/>
          <w:sz w:val="22"/>
        </w:rPr>
        <w:t>).</w:t>
      </w:r>
      <w:r w:rsidRPr="00A74CDE">
        <w:rPr>
          <w:rFonts w:ascii="Arial" w:eastAsia="Times New Roman" w:hAnsi="Arial" w:cs="Arial"/>
          <w:sz w:val="22"/>
        </w:rPr>
        <w:t xml:space="preserve">Unsafe water is responsible for </w:t>
      </w:r>
      <w:proofErr w:type="spellStart"/>
      <w:r w:rsidRPr="00A74CDE">
        <w:rPr>
          <w:rFonts w:ascii="Arial" w:eastAsia="Times New Roman" w:hAnsi="Arial" w:cs="Arial"/>
          <w:sz w:val="22"/>
        </w:rPr>
        <w:t>diarrhoeal</w:t>
      </w:r>
      <w:proofErr w:type="spellEnd"/>
      <w:r w:rsidRPr="00A74CDE">
        <w:rPr>
          <w:rFonts w:ascii="Arial" w:eastAsia="Times New Roman" w:hAnsi="Arial" w:cs="Arial"/>
          <w:sz w:val="22"/>
        </w:rPr>
        <w:t xml:space="preserve"> and parasitic diseases, which undermine SDG 3 on health and well-being</w:t>
      </w:r>
      <w:r w:rsidR="00B9794A">
        <w:rPr>
          <w:rFonts w:ascii="Arial" w:eastAsia="Times New Roman" w:hAnsi="Arial" w:cs="Arial"/>
          <w:sz w:val="22"/>
        </w:rPr>
        <w:t xml:space="preserve"> and </w:t>
      </w:r>
      <w:r w:rsidRPr="00A74CDE">
        <w:rPr>
          <w:rFonts w:ascii="Arial" w:eastAsia="Times New Roman" w:hAnsi="Arial" w:cs="Arial"/>
          <w:sz w:val="22"/>
        </w:rPr>
        <w:t xml:space="preserve"> effective sanitation prevents the transmission of infection and increases nutritional benefits (WHO, 2022).</w:t>
      </w:r>
    </w:p>
    <w:p w14:paraId="104913DE" w14:textId="77777777" w:rsidR="007F1860" w:rsidRPr="00A74CDE" w:rsidRDefault="00F541E1" w:rsidP="00A74CDE">
      <w:pPr>
        <w:spacing w:line="360" w:lineRule="auto"/>
        <w:jc w:val="both"/>
        <w:rPr>
          <w:rFonts w:ascii="Arial" w:eastAsia="Times New Roman" w:hAnsi="Arial" w:cs="Arial"/>
          <w:b/>
          <w:sz w:val="22"/>
          <w:u w:val="single"/>
        </w:rPr>
      </w:pPr>
      <w:r w:rsidRPr="00A74CDE">
        <w:rPr>
          <w:rFonts w:ascii="Arial" w:eastAsia="Times New Roman" w:hAnsi="Arial" w:cs="Arial"/>
          <w:b/>
          <w:sz w:val="22"/>
          <w:u w:val="single"/>
        </w:rPr>
        <w:t>Global policies and initiatives</w:t>
      </w:r>
    </w:p>
    <w:p w14:paraId="353B3479" w14:textId="3DB00EB0" w:rsidR="007F1860" w:rsidRPr="00B9794A" w:rsidRDefault="007F1860" w:rsidP="00A74CDE">
      <w:pPr>
        <w:spacing w:line="360" w:lineRule="auto"/>
        <w:jc w:val="both"/>
        <w:rPr>
          <w:rFonts w:ascii="Arial" w:eastAsia="Times New Roman" w:hAnsi="Arial" w:cs="Arial"/>
          <w:sz w:val="22"/>
        </w:rPr>
      </w:pPr>
      <w:r w:rsidRPr="00A74CDE">
        <w:rPr>
          <w:rFonts w:ascii="Arial" w:eastAsia="Times New Roman" w:hAnsi="Arial" w:cs="Arial"/>
          <w:sz w:val="22"/>
        </w:rPr>
        <w:t xml:space="preserve">On the international scale, </w:t>
      </w:r>
      <w:r w:rsidR="00EC636F" w:rsidRPr="00A74CDE">
        <w:rPr>
          <w:rFonts w:ascii="Arial" w:eastAsia="Times New Roman" w:hAnsi="Arial" w:cs="Arial"/>
          <w:sz w:val="22"/>
        </w:rPr>
        <w:t xml:space="preserve">the </w:t>
      </w:r>
      <w:r w:rsidRPr="00A74CDE">
        <w:rPr>
          <w:rFonts w:ascii="Arial" w:eastAsia="Times New Roman" w:hAnsi="Arial" w:cs="Arial"/>
          <w:sz w:val="22"/>
        </w:rPr>
        <w:t xml:space="preserve">WHO/UNICEF Joint Monitoring </w:t>
      </w:r>
      <w:proofErr w:type="spellStart"/>
      <w:r w:rsidRPr="00A74CDE">
        <w:rPr>
          <w:rFonts w:ascii="Arial" w:eastAsia="Times New Roman" w:hAnsi="Arial" w:cs="Arial"/>
          <w:sz w:val="22"/>
        </w:rPr>
        <w:t>Programme</w:t>
      </w:r>
      <w:proofErr w:type="spellEnd"/>
      <w:r w:rsidRPr="00A74CDE">
        <w:rPr>
          <w:rFonts w:ascii="Arial" w:eastAsia="Times New Roman" w:hAnsi="Arial" w:cs="Arial"/>
          <w:sz w:val="22"/>
        </w:rPr>
        <w:t xml:space="preserve"> (JMP) and </w:t>
      </w:r>
      <w:r w:rsidR="00EC636F" w:rsidRPr="00A74CDE">
        <w:rPr>
          <w:rFonts w:ascii="Arial" w:eastAsia="Times New Roman" w:hAnsi="Arial" w:cs="Arial"/>
          <w:sz w:val="22"/>
        </w:rPr>
        <w:t xml:space="preserve">the </w:t>
      </w:r>
      <w:r w:rsidRPr="00A74CDE">
        <w:rPr>
          <w:rFonts w:ascii="Arial" w:eastAsia="Times New Roman" w:hAnsi="Arial" w:cs="Arial"/>
          <w:sz w:val="22"/>
        </w:rPr>
        <w:t>UN-Water Integrated Monitoring Initiative monitor the SDG 6 targets. SDG 6 Global Acceleration Framework recommends action on five accelerators</w:t>
      </w:r>
      <w:r w:rsidR="00EC636F" w:rsidRPr="00A74CDE">
        <w:rPr>
          <w:rFonts w:ascii="Arial" w:eastAsia="Times New Roman" w:hAnsi="Arial" w:cs="Arial"/>
          <w:sz w:val="22"/>
        </w:rPr>
        <w:t>,</w:t>
      </w:r>
      <w:r w:rsidRPr="00A74CDE">
        <w:rPr>
          <w:rFonts w:ascii="Arial" w:eastAsia="Times New Roman" w:hAnsi="Arial" w:cs="Arial"/>
          <w:sz w:val="22"/>
        </w:rPr>
        <w:t xml:space="preserve"> namely, financing, data, capacity, innovation</w:t>
      </w:r>
      <w:r w:rsidR="00EC636F" w:rsidRPr="00A74CDE">
        <w:rPr>
          <w:rFonts w:ascii="Arial" w:eastAsia="Times New Roman" w:hAnsi="Arial" w:cs="Arial"/>
          <w:sz w:val="22"/>
        </w:rPr>
        <w:t>,</w:t>
      </w:r>
      <w:r w:rsidRPr="00A74CDE">
        <w:rPr>
          <w:rFonts w:ascii="Arial" w:eastAsia="Times New Roman" w:hAnsi="Arial" w:cs="Arial"/>
          <w:sz w:val="22"/>
        </w:rPr>
        <w:t xml:space="preserve"> and governance</w:t>
      </w:r>
      <w:r w:rsidR="00EC636F" w:rsidRPr="00A74CDE">
        <w:rPr>
          <w:rFonts w:ascii="Arial" w:eastAsia="Times New Roman" w:hAnsi="Arial" w:cs="Arial"/>
          <w:sz w:val="22"/>
        </w:rPr>
        <w:t>,</w:t>
      </w:r>
      <w:r w:rsidRPr="00A74CDE">
        <w:rPr>
          <w:rFonts w:ascii="Arial" w:eastAsia="Times New Roman" w:hAnsi="Arial" w:cs="Arial"/>
          <w:sz w:val="22"/>
        </w:rPr>
        <w:t xml:space="preserve"> to provide universal access by 2030. According to the WHO Water, Sanitation and Hygiene (WASH) Strategy 2025, health protection is considered part of water and sanitation policies (WHO, 2022). International financial agencies, including the World Bank, finance the infrastructure projects via the Water Global Practice, paying attention to equal access and climate-insulating </w:t>
      </w:r>
      <w:proofErr w:type="spellStart"/>
      <w:proofErr w:type="gramStart"/>
      <w:r w:rsidRPr="00A74CDE">
        <w:rPr>
          <w:rFonts w:ascii="Arial" w:eastAsia="Times New Roman" w:hAnsi="Arial" w:cs="Arial"/>
          <w:sz w:val="22"/>
        </w:rPr>
        <w:t>infrastructures.Moreover</w:t>
      </w:r>
      <w:proofErr w:type="spellEnd"/>
      <w:proofErr w:type="gramEnd"/>
      <w:r w:rsidRPr="00A74CDE">
        <w:rPr>
          <w:rFonts w:ascii="Arial" w:eastAsia="Times New Roman" w:hAnsi="Arial" w:cs="Arial"/>
          <w:sz w:val="22"/>
        </w:rPr>
        <w:t>, climate change is a threat to the availability and quality of water, exacerbating droughts and floods in susceptible areas. According to critics, global governance is still in fragments and lacks enough coordination between health, water, and climate spheres (UN-Water, 2023).</w:t>
      </w:r>
    </w:p>
    <w:p w14:paraId="3B58D60E" w14:textId="77777777" w:rsidR="00F541E1" w:rsidRPr="00A74CDE" w:rsidRDefault="00F541E1" w:rsidP="00A74CDE">
      <w:pPr>
        <w:spacing w:line="360" w:lineRule="auto"/>
        <w:jc w:val="both"/>
        <w:rPr>
          <w:rFonts w:ascii="Arial" w:eastAsia="Times New Roman" w:hAnsi="Arial" w:cs="Arial"/>
          <w:b/>
          <w:sz w:val="22"/>
          <w:u w:val="single"/>
        </w:rPr>
      </w:pPr>
      <w:r w:rsidRPr="00A74CDE">
        <w:rPr>
          <w:rFonts w:ascii="Arial" w:eastAsia="Times New Roman" w:hAnsi="Arial" w:cs="Arial"/>
          <w:b/>
          <w:sz w:val="22"/>
          <w:u w:val="single"/>
        </w:rPr>
        <w:t>National policies and initiatives (United Kingdom)</w:t>
      </w:r>
    </w:p>
    <w:p w14:paraId="01481A43" w14:textId="4D327A3B" w:rsidR="00F541E1" w:rsidRPr="00A74CDE" w:rsidRDefault="00F541E1" w:rsidP="00A74CDE">
      <w:pPr>
        <w:spacing w:line="360" w:lineRule="auto"/>
        <w:jc w:val="both"/>
        <w:rPr>
          <w:rFonts w:ascii="Arial" w:eastAsia="Times New Roman" w:hAnsi="Arial" w:cs="Arial"/>
          <w:sz w:val="22"/>
        </w:rPr>
      </w:pPr>
      <w:r w:rsidRPr="00A74CDE">
        <w:rPr>
          <w:rFonts w:ascii="Arial" w:eastAsia="Times New Roman" w:hAnsi="Arial" w:cs="Arial"/>
          <w:sz w:val="22"/>
        </w:rPr>
        <w:t>In the United Kingdom, the provision of qualifications in clean drinking water and sanitation is almost total. The problems of maintaining water quality</w:t>
      </w:r>
      <w:proofErr w:type="gramStart"/>
      <w:r w:rsidRPr="00A74CDE">
        <w:rPr>
          <w:rFonts w:ascii="Arial" w:eastAsia="Times New Roman" w:hAnsi="Arial" w:cs="Arial"/>
          <w:sz w:val="22"/>
        </w:rPr>
        <w:t>, of</w:t>
      </w:r>
      <w:proofErr w:type="gramEnd"/>
      <w:r w:rsidRPr="00A74CDE">
        <w:rPr>
          <w:rFonts w:ascii="Arial" w:eastAsia="Times New Roman" w:hAnsi="Arial" w:cs="Arial"/>
          <w:sz w:val="22"/>
        </w:rPr>
        <w:t xml:space="preserve"> pollution control</w:t>
      </w:r>
      <w:r w:rsidR="00EC636F" w:rsidRPr="00A74CDE">
        <w:rPr>
          <w:rFonts w:ascii="Arial" w:eastAsia="Times New Roman" w:hAnsi="Arial" w:cs="Arial"/>
          <w:sz w:val="22"/>
        </w:rPr>
        <w:t>,</w:t>
      </w:r>
      <w:r w:rsidRPr="00A74CDE">
        <w:rPr>
          <w:rFonts w:ascii="Arial" w:eastAsia="Times New Roman" w:hAnsi="Arial" w:cs="Arial"/>
          <w:sz w:val="22"/>
        </w:rPr>
        <w:t xml:space="preserve"> and upgrading of aged infrastructure </w:t>
      </w:r>
      <w:r w:rsidR="00EC636F" w:rsidRPr="00A74CDE">
        <w:rPr>
          <w:rFonts w:ascii="Arial" w:eastAsia="Times New Roman" w:hAnsi="Arial" w:cs="Arial"/>
          <w:sz w:val="22"/>
        </w:rPr>
        <w:t>present</w:t>
      </w:r>
      <w:r w:rsidRPr="00A74CDE">
        <w:rPr>
          <w:rFonts w:ascii="Arial" w:eastAsia="Times New Roman" w:hAnsi="Arial" w:cs="Arial"/>
          <w:sz w:val="22"/>
        </w:rPr>
        <w:t xml:space="preserve"> difficulties. In the Environment Act 2021</w:t>
      </w:r>
      <w:r w:rsidR="00EC636F" w:rsidRPr="00A74CDE">
        <w:rPr>
          <w:rFonts w:ascii="Arial" w:eastAsia="Times New Roman" w:hAnsi="Arial" w:cs="Arial"/>
          <w:sz w:val="22"/>
        </w:rPr>
        <w:t>,</w:t>
      </w:r>
      <w:r w:rsidRPr="00A74CDE">
        <w:rPr>
          <w:rFonts w:ascii="Arial" w:eastAsia="Times New Roman" w:hAnsi="Arial" w:cs="Arial"/>
          <w:sz w:val="22"/>
        </w:rPr>
        <w:t xml:space="preserve"> legally binding targets for water quality, reduction in nutrient pollution</w:t>
      </w:r>
      <w:r w:rsidR="00EC636F" w:rsidRPr="00A74CDE">
        <w:rPr>
          <w:rFonts w:ascii="Arial" w:eastAsia="Times New Roman" w:hAnsi="Arial" w:cs="Arial"/>
          <w:sz w:val="22"/>
        </w:rPr>
        <w:t>,</w:t>
      </w:r>
      <w:r w:rsidRPr="00A74CDE">
        <w:rPr>
          <w:rFonts w:ascii="Arial" w:eastAsia="Times New Roman" w:hAnsi="Arial" w:cs="Arial"/>
          <w:sz w:val="22"/>
        </w:rPr>
        <w:t xml:space="preserve"> and improved treatment of wastewater are set (DEFRA, </w:t>
      </w:r>
      <w:r w:rsidRPr="00A74CDE">
        <w:rPr>
          <w:rFonts w:ascii="Arial" w:eastAsia="Times New Roman" w:hAnsi="Arial" w:cs="Arial"/>
          <w:sz w:val="22"/>
        </w:rPr>
        <w:lastRenderedPageBreak/>
        <w:t xml:space="preserve">2021). The Water Industry National Environment </w:t>
      </w:r>
      <w:proofErr w:type="spellStart"/>
      <w:r w:rsidRPr="00A74CDE">
        <w:rPr>
          <w:rFonts w:ascii="Arial" w:eastAsia="Times New Roman" w:hAnsi="Arial" w:cs="Arial"/>
          <w:sz w:val="22"/>
        </w:rPr>
        <w:t>Programme</w:t>
      </w:r>
      <w:proofErr w:type="spellEnd"/>
      <w:r w:rsidRPr="00A74CDE">
        <w:rPr>
          <w:rFonts w:ascii="Arial" w:eastAsia="Times New Roman" w:hAnsi="Arial" w:cs="Arial"/>
          <w:sz w:val="22"/>
        </w:rPr>
        <w:t xml:space="preserve"> (WINEP), operated by the Environment Agency and Ofwat, mandates that the Water Companies should provide money for schemes which improve the standard of rivers and coastal waters. The National Audit Office (2024) report entitled Water Industry Regulation and Infrastructure in England found that water companies have spent considerable sums since </w:t>
      </w:r>
      <w:proofErr w:type="spellStart"/>
      <w:proofErr w:type="gramStart"/>
      <w:r w:rsidR="00FD2C9A">
        <w:rPr>
          <w:rFonts w:ascii="Arial" w:eastAsia="Times New Roman" w:hAnsi="Arial" w:cs="Arial"/>
          <w:sz w:val="22"/>
        </w:rPr>
        <w:t>privatization.</w:t>
      </w:r>
      <w:r w:rsidRPr="00A74CDE">
        <w:rPr>
          <w:rFonts w:ascii="Arial" w:eastAsia="Times New Roman" w:hAnsi="Arial" w:cs="Arial"/>
          <w:sz w:val="22"/>
        </w:rPr>
        <w:t>The</w:t>
      </w:r>
      <w:proofErr w:type="spellEnd"/>
      <w:proofErr w:type="gramEnd"/>
      <w:r w:rsidRPr="00A74CDE">
        <w:rPr>
          <w:rFonts w:ascii="Arial" w:eastAsia="Times New Roman" w:hAnsi="Arial" w:cs="Arial"/>
          <w:sz w:val="22"/>
        </w:rPr>
        <w:t xml:space="preserve"> UK Health Security Agency (UKHSA) has responsibility for monitoring outbreaks of water-borne disease. This work is undertaken</w:t>
      </w:r>
      <w:r w:rsidR="00EC636F" w:rsidRPr="00A74CDE">
        <w:rPr>
          <w:rFonts w:ascii="Arial" w:eastAsia="Times New Roman" w:hAnsi="Arial" w:cs="Arial"/>
          <w:sz w:val="22"/>
        </w:rPr>
        <w:t>,</w:t>
      </w:r>
      <w:r w:rsidRPr="00A74CDE">
        <w:rPr>
          <w:rFonts w:ascii="Arial" w:eastAsia="Times New Roman" w:hAnsi="Arial" w:cs="Arial"/>
          <w:sz w:val="22"/>
        </w:rPr>
        <w:t xml:space="preserve"> including the relevant public health data and environmental surveillance. </w:t>
      </w:r>
    </w:p>
    <w:p w14:paraId="77C0BA46" w14:textId="77777777" w:rsidR="00893DD7" w:rsidRPr="00A74CDE" w:rsidRDefault="00893DD7" w:rsidP="00A74CDE">
      <w:pPr>
        <w:spacing w:line="360" w:lineRule="auto"/>
        <w:jc w:val="both"/>
        <w:rPr>
          <w:rFonts w:ascii="Arial" w:eastAsia="Times New Roman" w:hAnsi="Arial" w:cs="Arial"/>
          <w:b/>
          <w:sz w:val="22"/>
          <w:u w:val="single"/>
        </w:rPr>
      </w:pPr>
      <w:r w:rsidRPr="00A74CDE">
        <w:rPr>
          <w:rFonts w:ascii="Arial" w:eastAsia="Times New Roman" w:hAnsi="Arial" w:cs="Arial"/>
          <w:b/>
          <w:sz w:val="22"/>
          <w:u w:val="single"/>
        </w:rPr>
        <w:t>Local implementation and community action</w:t>
      </w:r>
    </w:p>
    <w:p w14:paraId="016CD648" w14:textId="51557B36" w:rsidR="00893DD7" w:rsidRPr="00A74CDE" w:rsidRDefault="00893DD7" w:rsidP="00A74CDE">
      <w:pPr>
        <w:spacing w:line="360" w:lineRule="auto"/>
        <w:jc w:val="both"/>
        <w:rPr>
          <w:rFonts w:ascii="Arial" w:eastAsia="Times New Roman" w:hAnsi="Arial" w:cs="Arial"/>
          <w:sz w:val="22"/>
        </w:rPr>
      </w:pPr>
      <w:r w:rsidRPr="00A74CDE">
        <w:rPr>
          <w:rFonts w:ascii="Arial" w:eastAsia="Times New Roman" w:hAnsi="Arial" w:cs="Arial"/>
          <w:sz w:val="22"/>
        </w:rPr>
        <w:t xml:space="preserve">On </w:t>
      </w:r>
      <w:r w:rsidR="00EC636F" w:rsidRPr="00A74CDE">
        <w:rPr>
          <w:rFonts w:ascii="Arial" w:eastAsia="Times New Roman" w:hAnsi="Arial" w:cs="Arial"/>
          <w:sz w:val="22"/>
        </w:rPr>
        <w:t xml:space="preserve">the </w:t>
      </w:r>
      <w:r w:rsidRPr="00A74CDE">
        <w:rPr>
          <w:rFonts w:ascii="Arial" w:eastAsia="Times New Roman" w:hAnsi="Arial" w:cs="Arial"/>
          <w:sz w:val="22"/>
        </w:rPr>
        <w:t xml:space="preserve">local level, water authorities and councils are involved in SDG 6 target supportive initiatives. They are community-based management of water </w:t>
      </w:r>
      <w:r w:rsidR="00EC636F" w:rsidRPr="00A74CDE">
        <w:rPr>
          <w:rFonts w:ascii="Arial" w:eastAsia="Times New Roman" w:hAnsi="Arial" w:cs="Arial"/>
          <w:sz w:val="22"/>
        </w:rPr>
        <w:t xml:space="preserve">and </w:t>
      </w:r>
      <w:r w:rsidRPr="00A74CDE">
        <w:rPr>
          <w:rFonts w:ascii="Arial" w:eastAsia="Times New Roman" w:hAnsi="Arial" w:cs="Arial"/>
          <w:sz w:val="22"/>
        </w:rPr>
        <w:t xml:space="preserve">sanitation programs, water conservation awareness services, hygiene promotion, and </w:t>
      </w:r>
      <w:r w:rsidR="00EC636F" w:rsidRPr="00A74CDE">
        <w:rPr>
          <w:rFonts w:ascii="Arial" w:eastAsia="Times New Roman" w:hAnsi="Arial" w:cs="Arial"/>
          <w:sz w:val="22"/>
        </w:rPr>
        <w:t xml:space="preserve">the </w:t>
      </w:r>
      <w:r w:rsidRPr="00A74CDE">
        <w:rPr>
          <w:rFonts w:ascii="Arial" w:eastAsia="Times New Roman" w:hAnsi="Arial" w:cs="Arial"/>
          <w:sz w:val="22"/>
        </w:rPr>
        <w:t xml:space="preserve">establishment of better sanitation facilities in the underprivileged </w:t>
      </w:r>
      <w:proofErr w:type="spellStart"/>
      <w:proofErr w:type="gramStart"/>
      <w:r w:rsidRPr="00A74CDE">
        <w:rPr>
          <w:rFonts w:ascii="Arial" w:eastAsia="Times New Roman" w:hAnsi="Arial" w:cs="Arial"/>
          <w:sz w:val="22"/>
        </w:rPr>
        <w:t>regions.One</w:t>
      </w:r>
      <w:proofErr w:type="spellEnd"/>
      <w:proofErr w:type="gramEnd"/>
      <w:r w:rsidRPr="00A74CDE">
        <w:rPr>
          <w:rFonts w:ascii="Arial" w:eastAsia="Times New Roman" w:hAnsi="Arial" w:cs="Arial"/>
          <w:sz w:val="22"/>
        </w:rPr>
        <w:t xml:space="preserve"> such example is the ways to collaborate between local water operators and use technical and financial resources to enhance infrastructure and the reliability of the services. </w:t>
      </w:r>
    </w:p>
    <w:p w14:paraId="47654AEB" w14:textId="77777777" w:rsidR="00893DD7" w:rsidRPr="00A74CDE" w:rsidRDefault="00893DD7" w:rsidP="00A74CDE">
      <w:pPr>
        <w:spacing w:line="360" w:lineRule="auto"/>
        <w:jc w:val="both"/>
        <w:rPr>
          <w:rFonts w:ascii="Arial" w:eastAsia="Times New Roman" w:hAnsi="Arial" w:cs="Arial"/>
          <w:b/>
          <w:sz w:val="22"/>
          <w:u w:val="single"/>
        </w:rPr>
      </w:pPr>
      <w:r w:rsidRPr="00A74CDE">
        <w:rPr>
          <w:rFonts w:ascii="Arial" w:eastAsia="Times New Roman" w:hAnsi="Arial" w:cs="Arial"/>
          <w:b/>
          <w:sz w:val="22"/>
          <w:u w:val="single"/>
        </w:rPr>
        <w:t>Theoretical perspectives</w:t>
      </w:r>
    </w:p>
    <w:p w14:paraId="13F7ED25" w14:textId="489A3519" w:rsidR="00893DD7" w:rsidRPr="00A74CDE" w:rsidRDefault="00893DD7" w:rsidP="00A74CDE">
      <w:pPr>
        <w:spacing w:line="360" w:lineRule="auto"/>
        <w:jc w:val="both"/>
        <w:rPr>
          <w:rFonts w:ascii="Arial" w:eastAsia="Times New Roman" w:hAnsi="Arial" w:cs="Arial"/>
          <w:sz w:val="22"/>
        </w:rPr>
      </w:pPr>
      <w:r w:rsidRPr="00A74CDE">
        <w:rPr>
          <w:rFonts w:ascii="Arial" w:eastAsia="Times New Roman" w:hAnsi="Arial" w:cs="Arial"/>
          <w:sz w:val="22"/>
        </w:rPr>
        <w:t>The interrelationship between water access and health outcomes can be explained with the help of the Social Determinants of Health (SDH) framework (Dahlgren and Whitehead, 1991). It highlights the fact that environmental influences are very important in determining population health</w:t>
      </w:r>
      <w:r w:rsidR="00EC636F" w:rsidRPr="00A74CDE">
        <w:rPr>
          <w:rFonts w:ascii="Arial" w:eastAsia="Times New Roman" w:hAnsi="Arial" w:cs="Arial"/>
          <w:sz w:val="22"/>
        </w:rPr>
        <w:t>,</w:t>
      </w:r>
      <w:r w:rsidRPr="00A74CDE">
        <w:rPr>
          <w:rFonts w:ascii="Arial" w:eastAsia="Times New Roman" w:hAnsi="Arial" w:cs="Arial"/>
          <w:sz w:val="22"/>
        </w:rPr>
        <w:t xml:space="preserve"> including factors like sanitation, housing, and pollution. This can also be used i</w:t>
      </w:r>
      <w:r w:rsidR="00210F8C" w:rsidRPr="00A74CDE">
        <w:rPr>
          <w:rFonts w:ascii="Arial" w:eastAsia="Times New Roman" w:hAnsi="Arial" w:cs="Arial"/>
          <w:sz w:val="22"/>
        </w:rPr>
        <w:t>n the Ecological Systems Theory, whereby</w:t>
      </w:r>
      <w:r w:rsidRPr="00A74CDE">
        <w:rPr>
          <w:rFonts w:ascii="Arial" w:eastAsia="Times New Roman" w:hAnsi="Arial" w:cs="Arial"/>
          <w:sz w:val="22"/>
        </w:rPr>
        <w:t xml:space="preserve"> individuals are embedded in various environmental systems (micro- to macro-level) that determine health and </w:t>
      </w:r>
      <w:proofErr w:type="spellStart"/>
      <w:r w:rsidRPr="00A74CDE">
        <w:rPr>
          <w:rFonts w:ascii="Arial" w:eastAsia="Times New Roman" w:hAnsi="Arial" w:cs="Arial"/>
          <w:sz w:val="22"/>
        </w:rPr>
        <w:t>behaviour</w:t>
      </w:r>
      <w:proofErr w:type="spellEnd"/>
      <w:r w:rsidRPr="00A74CDE">
        <w:rPr>
          <w:rFonts w:ascii="Arial" w:eastAsia="Times New Roman" w:hAnsi="Arial" w:cs="Arial"/>
          <w:sz w:val="22"/>
        </w:rPr>
        <w:t>. The implementation of these models makes it clear that SDG 6 is not a technical problem of infrastructure only</w:t>
      </w:r>
      <w:r w:rsidR="00210F8C" w:rsidRPr="00A74CDE">
        <w:rPr>
          <w:rFonts w:ascii="Arial" w:eastAsia="Times New Roman" w:hAnsi="Arial" w:cs="Arial"/>
          <w:sz w:val="22"/>
        </w:rPr>
        <w:t>,</w:t>
      </w:r>
      <w:r w:rsidRPr="00A74CDE">
        <w:rPr>
          <w:rFonts w:ascii="Arial" w:eastAsia="Times New Roman" w:hAnsi="Arial" w:cs="Arial"/>
          <w:sz w:val="22"/>
        </w:rPr>
        <w:t xml:space="preserve"> but a social problem that can be addressed only with the help of coordinated policies of health, environment, and economy. </w:t>
      </w:r>
    </w:p>
    <w:p w14:paraId="2951663B" w14:textId="77777777" w:rsidR="00210F8C" w:rsidRPr="00A74CDE" w:rsidRDefault="00210F8C" w:rsidP="00A74CDE">
      <w:pPr>
        <w:spacing w:line="360" w:lineRule="auto"/>
        <w:jc w:val="both"/>
        <w:rPr>
          <w:rFonts w:ascii="Arial" w:eastAsia="Times New Roman" w:hAnsi="Arial" w:cs="Arial"/>
          <w:b/>
          <w:bCs/>
          <w:sz w:val="22"/>
          <w:u w:val="single"/>
        </w:rPr>
      </w:pPr>
      <w:r w:rsidRPr="00A74CDE">
        <w:rPr>
          <w:rFonts w:ascii="Arial" w:eastAsia="Times New Roman" w:hAnsi="Arial" w:cs="Arial"/>
          <w:b/>
          <w:bCs/>
          <w:sz w:val="22"/>
          <w:u w:val="single"/>
        </w:rPr>
        <w:t>Critical Evaluation: Effectiveness and Challenges</w:t>
      </w:r>
    </w:p>
    <w:p w14:paraId="221461EC" w14:textId="65C6BC72" w:rsidR="00210F8C" w:rsidRPr="00A74CDE" w:rsidRDefault="00210F8C" w:rsidP="00B9794A">
      <w:pPr>
        <w:spacing w:line="360" w:lineRule="auto"/>
        <w:jc w:val="both"/>
        <w:rPr>
          <w:rFonts w:ascii="Arial" w:eastAsia="Times New Roman" w:hAnsi="Arial" w:cs="Arial"/>
          <w:bCs/>
          <w:sz w:val="22"/>
        </w:rPr>
      </w:pPr>
      <w:r w:rsidRPr="00A74CDE">
        <w:rPr>
          <w:rFonts w:ascii="Arial" w:eastAsia="Times New Roman" w:hAnsi="Arial" w:cs="Arial"/>
          <w:bCs/>
          <w:sz w:val="22"/>
        </w:rPr>
        <w:t xml:space="preserve">In the UK, SDG 6 has made progress, as well as had failures. The development of better environmental policies and the surveillance ability of Ofwat and the Environment Agency shows institutional dedication. Nevertheless, the National Audit Office (2024) has revealed flaws in implementation and responsibility. The performance goals set by water companies are usually oriented </w:t>
      </w:r>
      <w:r w:rsidR="00EC636F" w:rsidRPr="00A74CDE">
        <w:rPr>
          <w:rFonts w:ascii="Arial" w:eastAsia="Times New Roman" w:hAnsi="Arial" w:cs="Arial"/>
          <w:bCs/>
          <w:sz w:val="22"/>
        </w:rPr>
        <w:t>towards</w:t>
      </w:r>
      <w:r w:rsidRPr="00A74CDE">
        <w:rPr>
          <w:rFonts w:ascii="Arial" w:eastAsia="Times New Roman" w:hAnsi="Arial" w:cs="Arial"/>
          <w:bCs/>
          <w:sz w:val="22"/>
        </w:rPr>
        <w:t xml:space="preserve"> financial effectiveness but not </w:t>
      </w:r>
      <w:r w:rsidR="00EC636F" w:rsidRPr="00A74CDE">
        <w:rPr>
          <w:rFonts w:ascii="Arial" w:eastAsia="Times New Roman" w:hAnsi="Arial" w:cs="Arial"/>
          <w:bCs/>
          <w:sz w:val="22"/>
        </w:rPr>
        <w:t>towards</w:t>
      </w:r>
      <w:r w:rsidRPr="00A74CDE">
        <w:rPr>
          <w:rFonts w:ascii="Arial" w:eastAsia="Times New Roman" w:hAnsi="Arial" w:cs="Arial"/>
          <w:bCs/>
          <w:sz w:val="22"/>
        </w:rPr>
        <w:t xml:space="preserve"> environmental </w:t>
      </w:r>
      <w:proofErr w:type="gramStart"/>
      <w:r w:rsidRPr="00A74CDE">
        <w:rPr>
          <w:rFonts w:ascii="Arial" w:eastAsia="Times New Roman" w:hAnsi="Arial" w:cs="Arial"/>
          <w:bCs/>
          <w:sz w:val="22"/>
        </w:rPr>
        <w:t>performance, therefore</w:t>
      </w:r>
      <w:proofErr w:type="gramEnd"/>
      <w:r w:rsidRPr="00A74CDE">
        <w:rPr>
          <w:rFonts w:ascii="Arial" w:eastAsia="Times New Roman" w:hAnsi="Arial" w:cs="Arial"/>
          <w:bCs/>
          <w:sz w:val="22"/>
        </w:rPr>
        <w:t xml:space="preserve">, resulting in insufficient investment in pollution prevention. Furthermore, no equality is observed: </w:t>
      </w:r>
      <w:r w:rsidRPr="00A74CDE">
        <w:rPr>
          <w:rFonts w:ascii="Arial" w:eastAsia="Times New Roman" w:hAnsi="Arial" w:cs="Arial"/>
          <w:bCs/>
          <w:sz w:val="22"/>
        </w:rPr>
        <w:lastRenderedPageBreak/>
        <w:t xml:space="preserve">rural and poor citizens are disproportionately exposed to the water quality collapse, and the expenses of the infrastructure improvements are often transferred to the consumers in the form of an increase in the water prices (The Rivers Trust, 2025). </w:t>
      </w:r>
    </w:p>
    <w:p w14:paraId="02FD5209" w14:textId="77777777" w:rsidR="00210F8C" w:rsidRPr="00A74CDE" w:rsidRDefault="00210F8C" w:rsidP="00A74CDE">
      <w:pPr>
        <w:spacing w:line="360" w:lineRule="auto"/>
        <w:jc w:val="both"/>
        <w:rPr>
          <w:rFonts w:ascii="Arial" w:eastAsia="Times New Roman" w:hAnsi="Arial" w:cs="Arial"/>
          <w:b/>
          <w:bCs/>
          <w:sz w:val="22"/>
          <w:u w:val="single"/>
        </w:rPr>
      </w:pPr>
      <w:r w:rsidRPr="00A74CDE">
        <w:rPr>
          <w:rFonts w:ascii="Arial" w:eastAsia="Times New Roman" w:hAnsi="Arial" w:cs="Arial"/>
          <w:b/>
          <w:bCs/>
          <w:sz w:val="22"/>
          <w:u w:val="single"/>
        </w:rPr>
        <w:t>Recommendations</w:t>
      </w:r>
    </w:p>
    <w:p w14:paraId="4B40D8B1" w14:textId="5EF3D473" w:rsidR="00210F8C" w:rsidRPr="00A74CDE" w:rsidRDefault="00210F8C" w:rsidP="00A74CDE">
      <w:pPr>
        <w:spacing w:line="360" w:lineRule="auto"/>
        <w:jc w:val="both"/>
        <w:rPr>
          <w:rFonts w:ascii="Arial" w:eastAsia="Times New Roman" w:hAnsi="Arial" w:cs="Arial"/>
          <w:bCs/>
          <w:sz w:val="22"/>
        </w:rPr>
      </w:pPr>
      <w:proofErr w:type="gramStart"/>
      <w:r w:rsidRPr="00A74CDE">
        <w:rPr>
          <w:rFonts w:ascii="Arial" w:eastAsia="Times New Roman" w:hAnsi="Arial" w:cs="Arial"/>
          <w:bCs/>
          <w:sz w:val="22"/>
        </w:rPr>
        <w:t>In order to</w:t>
      </w:r>
      <w:proofErr w:type="gramEnd"/>
      <w:r w:rsidRPr="00A74CDE">
        <w:rPr>
          <w:rFonts w:ascii="Arial" w:eastAsia="Times New Roman" w:hAnsi="Arial" w:cs="Arial"/>
          <w:bCs/>
          <w:sz w:val="22"/>
        </w:rPr>
        <w:t xml:space="preserve"> expedite SDG 6, there is </w:t>
      </w:r>
      <w:r w:rsidR="00EC636F" w:rsidRPr="00A74CDE">
        <w:rPr>
          <w:rFonts w:ascii="Arial" w:eastAsia="Times New Roman" w:hAnsi="Arial" w:cs="Arial"/>
          <w:bCs/>
          <w:sz w:val="22"/>
        </w:rPr>
        <w:t xml:space="preserve">a </w:t>
      </w:r>
      <w:r w:rsidRPr="00A74CDE">
        <w:rPr>
          <w:rFonts w:ascii="Arial" w:eastAsia="Times New Roman" w:hAnsi="Arial" w:cs="Arial"/>
          <w:bCs/>
          <w:sz w:val="22"/>
        </w:rPr>
        <w:t>need to invest more in resilient water infrastructure, wastewater treatment</w:t>
      </w:r>
      <w:r w:rsidR="00EC636F" w:rsidRPr="00A74CDE">
        <w:rPr>
          <w:rFonts w:ascii="Arial" w:eastAsia="Times New Roman" w:hAnsi="Arial" w:cs="Arial"/>
          <w:bCs/>
          <w:sz w:val="22"/>
        </w:rPr>
        <w:t>,</w:t>
      </w:r>
      <w:r w:rsidRPr="00A74CDE">
        <w:rPr>
          <w:rFonts w:ascii="Arial" w:eastAsia="Times New Roman" w:hAnsi="Arial" w:cs="Arial"/>
          <w:bCs/>
          <w:sz w:val="22"/>
        </w:rPr>
        <w:t xml:space="preserve"> and sustainable water management technologies. Enhanced service delivery and sustainability will be achieved by strengthening governance structures by being transparent, accountable, and involving multi-</w:t>
      </w:r>
      <w:proofErr w:type="gramStart"/>
      <w:r w:rsidRPr="00A74CDE">
        <w:rPr>
          <w:rFonts w:ascii="Arial" w:eastAsia="Times New Roman" w:hAnsi="Arial" w:cs="Arial"/>
          <w:bCs/>
          <w:sz w:val="22"/>
        </w:rPr>
        <w:t>stakeholders..</w:t>
      </w:r>
      <w:proofErr w:type="gramEnd"/>
      <w:r w:rsidRPr="00A74CDE">
        <w:rPr>
          <w:rFonts w:ascii="Arial" w:eastAsia="Times New Roman" w:hAnsi="Arial" w:cs="Arial"/>
          <w:bCs/>
          <w:sz w:val="22"/>
        </w:rPr>
        <w:t xml:space="preserve"> One of the ways to manage water resources efficiently is the implementation of an integrated water resource management that covers climate change, protects the ecosystem, and involves cross-border collaboration. An increase in the data systems will enable improved monitoring, reporting, and data-driven policymaking. Awareness campaigns and campaigns on behavior change decrease wastage of water and improve hygiene. The recommendations are consistent with the UK government strategies and </w:t>
      </w:r>
      <w:r w:rsidR="00EC636F" w:rsidRPr="00A74CDE">
        <w:rPr>
          <w:rFonts w:ascii="Arial" w:eastAsia="Times New Roman" w:hAnsi="Arial" w:cs="Arial"/>
          <w:bCs/>
          <w:sz w:val="22"/>
        </w:rPr>
        <w:t xml:space="preserve">the </w:t>
      </w:r>
      <w:r w:rsidRPr="00A74CDE">
        <w:rPr>
          <w:rFonts w:ascii="Arial" w:eastAsia="Times New Roman" w:hAnsi="Arial" w:cs="Arial"/>
          <w:bCs/>
          <w:sz w:val="22"/>
        </w:rPr>
        <w:t xml:space="preserve">UN Global Acceleration Framework that aim at ensuring sustainability, inclusivity, and resilience. </w:t>
      </w:r>
    </w:p>
    <w:p w14:paraId="11C5EBB4" w14:textId="77777777" w:rsidR="00210F8C" w:rsidRPr="00A74CDE" w:rsidRDefault="00210F8C" w:rsidP="00A74CDE">
      <w:pPr>
        <w:spacing w:line="360" w:lineRule="auto"/>
        <w:jc w:val="both"/>
        <w:rPr>
          <w:rFonts w:ascii="Arial" w:eastAsia="Times New Roman" w:hAnsi="Arial" w:cs="Arial"/>
          <w:sz w:val="22"/>
        </w:rPr>
      </w:pPr>
    </w:p>
    <w:p w14:paraId="70F003FF" w14:textId="77777777" w:rsidR="007F1860" w:rsidRPr="00A74CDE" w:rsidRDefault="00270EC7" w:rsidP="00A74CDE">
      <w:pPr>
        <w:spacing w:line="360" w:lineRule="auto"/>
        <w:jc w:val="both"/>
        <w:rPr>
          <w:rFonts w:ascii="Arial" w:eastAsia="Times New Roman" w:hAnsi="Arial" w:cs="Arial"/>
          <w:b/>
          <w:sz w:val="22"/>
          <w:u w:val="single"/>
        </w:rPr>
      </w:pPr>
      <w:r w:rsidRPr="00A74CDE">
        <w:rPr>
          <w:rFonts w:ascii="Arial" w:eastAsia="Times New Roman" w:hAnsi="Arial" w:cs="Arial"/>
          <w:b/>
          <w:sz w:val="22"/>
          <w:u w:val="single"/>
        </w:rPr>
        <w:t>Conclusion</w:t>
      </w:r>
    </w:p>
    <w:p w14:paraId="42D642E6" w14:textId="7D376712" w:rsidR="00270EC7" w:rsidRPr="00A74CDE" w:rsidRDefault="00270EC7" w:rsidP="00A74CDE">
      <w:pPr>
        <w:spacing w:line="360" w:lineRule="auto"/>
        <w:jc w:val="both"/>
        <w:rPr>
          <w:rFonts w:ascii="Arial" w:eastAsia="Times New Roman" w:hAnsi="Arial" w:cs="Arial"/>
          <w:sz w:val="22"/>
        </w:rPr>
      </w:pPr>
      <w:r w:rsidRPr="00A74CDE">
        <w:rPr>
          <w:rFonts w:ascii="Arial" w:eastAsia="Times New Roman" w:hAnsi="Arial" w:cs="Arial"/>
          <w:sz w:val="22"/>
        </w:rPr>
        <w:t xml:space="preserve">The connections between SDG 4 (Quality Education) and SDG 6 (Clean Water and Sanitation) portray the non-separation character of the process of sustainable development since progress in any of the fields could have a profound effect on the results in the other sphere. Having water and sanitation is a basic need </w:t>
      </w:r>
      <w:r w:rsidR="00EC636F" w:rsidRPr="00A74CDE">
        <w:rPr>
          <w:rFonts w:ascii="Arial" w:eastAsia="Times New Roman" w:hAnsi="Arial" w:cs="Arial"/>
          <w:sz w:val="22"/>
        </w:rPr>
        <w:t>for</w:t>
      </w:r>
      <w:r w:rsidRPr="00A74CDE">
        <w:rPr>
          <w:rFonts w:ascii="Arial" w:eastAsia="Times New Roman" w:hAnsi="Arial" w:cs="Arial"/>
          <w:sz w:val="22"/>
        </w:rPr>
        <w:t xml:space="preserve"> health</w:t>
      </w:r>
      <w:r w:rsidR="00EC636F" w:rsidRPr="00A74CDE">
        <w:rPr>
          <w:rFonts w:ascii="Arial" w:eastAsia="Times New Roman" w:hAnsi="Arial" w:cs="Arial"/>
          <w:sz w:val="22"/>
        </w:rPr>
        <w:t>;</w:t>
      </w:r>
      <w:r w:rsidRPr="00A74CDE">
        <w:rPr>
          <w:rFonts w:ascii="Arial" w:eastAsia="Times New Roman" w:hAnsi="Arial" w:cs="Arial"/>
          <w:sz w:val="22"/>
        </w:rPr>
        <w:t xml:space="preserve"> however, it is also important to facilitate access to good education, particularly to the marginalized groups, by lowering the rates of water illnesses and reducing time spent collecting water, hence </w:t>
      </w:r>
      <w:r w:rsidR="00EC636F" w:rsidRPr="00A74CDE">
        <w:rPr>
          <w:rFonts w:ascii="Arial" w:eastAsia="Times New Roman" w:hAnsi="Arial" w:cs="Arial"/>
          <w:sz w:val="22"/>
        </w:rPr>
        <w:t>liberating</w:t>
      </w:r>
      <w:r w:rsidRPr="00A74CDE">
        <w:rPr>
          <w:rFonts w:ascii="Arial" w:eastAsia="Times New Roman" w:hAnsi="Arial" w:cs="Arial"/>
          <w:sz w:val="22"/>
        </w:rPr>
        <w:t xml:space="preserve"> the children, especially the girls, to attend school and other </w:t>
      </w:r>
      <w:r w:rsidR="00EC636F" w:rsidRPr="00A74CDE">
        <w:rPr>
          <w:rFonts w:ascii="Arial" w:eastAsia="Times New Roman" w:hAnsi="Arial" w:cs="Arial"/>
          <w:sz w:val="22"/>
        </w:rPr>
        <w:t>education-related</w:t>
      </w:r>
      <w:r w:rsidRPr="00A74CDE">
        <w:rPr>
          <w:rFonts w:ascii="Arial" w:eastAsia="Times New Roman" w:hAnsi="Arial" w:cs="Arial"/>
          <w:sz w:val="22"/>
        </w:rPr>
        <w:t xml:space="preserve"> </w:t>
      </w:r>
      <w:r w:rsidR="00EC636F" w:rsidRPr="00A74CDE">
        <w:rPr>
          <w:rFonts w:ascii="Arial" w:eastAsia="Times New Roman" w:hAnsi="Arial" w:cs="Arial"/>
          <w:sz w:val="22"/>
        </w:rPr>
        <w:t>activities</w:t>
      </w:r>
      <w:r w:rsidRPr="00A74CDE">
        <w:rPr>
          <w:rFonts w:ascii="Arial" w:eastAsia="Times New Roman" w:hAnsi="Arial" w:cs="Arial"/>
          <w:sz w:val="22"/>
        </w:rPr>
        <w:t>. On the contrary, better education on hygiene and sanitation has a direct relationship with the quality and availability of water</w:t>
      </w:r>
      <w:r w:rsidR="00EC636F" w:rsidRPr="00A74CDE">
        <w:rPr>
          <w:rFonts w:ascii="Arial" w:eastAsia="Times New Roman" w:hAnsi="Arial" w:cs="Arial"/>
          <w:sz w:val="22"/>
        </w:rPr>
        <w:t>,</w:t>
      </w:r>
      <w:r w:rsidRPr="00A74CDE">
        <w:rPr>
          <w:rFonts w:ascii="Arial" w:eastAsia="Times New Roman" w:hAnsi="Arial" w:cs="Arial"/>
          <w:sz w:val="22"/>
        </w:rPr>
        <w:t xml:space="preserve"> since they have better practices that minimize pollution and wastage of water. This interconnection highlights that investments in water and sanitation infrastructure and services may contribute to more general social gains, such as gender equity, poverty alleviation, and improved health outcomes that, in turn, contribute to </w:t>
      </w:r>
      <w:r w:rsidR="00EC636F" w:rsidRPr="00A74CDE">
        <w:rPr>
          <w:rFonts w:ascii="Arial" w:eastAsia="Times New Roman" w:hAnsi="Arial" w:cs="Arial"/>
          <w:sz w:val="22"/>
        </w:rPr>
        <w:t xml:space="preserve">the </w:t>
      </w:r>
      <w:r w:rsidRPr="00A74CDE">
        <w:rPr>
          <w:rFonts w:ascii="Arial" w:eastAsia="Times New Roman" w:hAnsi="Arial" w:cs="Arial"/>
          <w:sz w:val="22"/>
        </w:rPr>
        <w:t>SDG 4 goal of inclusive, equitable quality education to all. Finally, the development of SDG 6 and SDG 4 may contribute to the creation of healthier, more educated, and resilient communities that are able to maintain the long-term development results.</w:t>
      </w:r>
    </w:p>
    <w:p w14:paraId="30D155BC" w14:textId="77777777" w:rsidR="00270EC7" w:rsidRPr="000E4714" w:rsidRDefault="00270EC7" w:rsidP="004D1852">
      <w:pPr>
        <w:spacing w:line="360" w:lineRule="auto"/>
        <w:jc w:val="both"/>
        <w:rPr>
          <w:rFonts w:ascii="Arial" w:eastAsia="Times New Roman" w:hAnsi="Arial" w:cs="Arial"/>
          <w:sz w:val="23"/>
          <w:szCs w:val="23"/>
        </w:rPr>
      </w:pPr>
    </w:p>
    <w:p w14:paraId="69D2E184" w14:textId="416A04C2" w:rsidR="007A5220" w:rsidRDefault="00A74CDE" w:rsidP="000E4714">
      <w:pPr>
        <w:spacing w:line="360" w:lineRule="auto"/>
        <w:jc w:val="both"/>
        <w:rPr>
          <w:rFonts w:ascii="Arial" w:eastAsia="Times New Roman" w:hAnsi="Arial" w:cs="Arial"/>
          <w:sz w:val="23"/>
          <w:szCs w:val="23"/>
        </w:rPr>
      </w:pPr>
      <w:r>
        <w:rPr>
          <w:rFonts w:ascii="Arial" w:eastAsia="Times New Roman" w:hAnsi="Arial" w:cs="Arial"/>
          <w:sz w:val="23"/>
          <w:szCs w:val="23"/>
        </w:rPr>
        <w:t>Word count :</w:t>
      </w:r>
      <w:r w:rsidR="00B9794A">
        <w:rPr>
          <w:rFonts w:ascii="Arial" w:eastAsia="Times New Roman" w:hAnsi="Arial" w:cs="Arial"/>
          <w:sz w:val="23"/>
          <w:szCs w:val="23"/>
        </w:rPr>
        <w:t xml:space="preserve"> 2</w:t>
      </w:r>
      <w:r w:rsidR="000660A0">
        <w:rPr>
          <w:rFonts w:ascii="Arial" w:eastAsia="Times New Roman" w:hAnsi="Arial" w:cs="Arial"/>
          <w:sz w:val="23"/>
          <w:szCs w:val="23"/>
        </w:rPr>
        <w:t>181</w:t>
      </w:r>
    </w:p>
    <w:p w14:paraId="017411F4" w14:textId="77777777" w:rsidR="00A74CDE" w:rsidRDefault="00A74CDE" w:rsidP="000E4714">
      <w:pPr>
        <w:spacing w:line="360" w:lineRule="auto"/>
        <w:jc w:val="both"/>
        <w:rPr>
          <w:rFonts w:ascii="Arial" w:eastAsia="Times New Roman" w:hAnsi="Arial" w:cs="Arial"/>
          <w:sz w:val="23"/>
          <w:szCs w:val="23"/>
        </w:rPr>
      </w:pPr>
    </w:p>
    <w:p w14:paraId="4D7B9791" w14:textId="77777777" w:rsidR="00A74CDE" w:rsidRDefault="00A74CDE" w:rsidP="000E4714">
      <w:pPr>
        <w:spacing w:line="360" w:lineRule="auto"/>
        <w:jc w:val="both"/>
        <w:rPr>
          <w:rFonts w:ascii="Arial" w:eastAsia="Times New Roman" w:hAnsi="Arial" w:cs="Arial"/>
          <w:sz w:val="23"/>
          <w:szCs w:val="23"/>
        </w:rPr>
      </w:pPr>
    </w:p>
    <w:p w14:paraId="557AB4A4" w14:textId="77777777" w:rsidR="00A74CDE" w:rsidRDefault="00A74CDE" w:rsidP="000E4714">
      <w:pPr>
        <w:spacing w:line="360" w:lineRule="auto"/>
        <w:jc w:val="both"/>
        <w:rPr>
          <w:rFonts w:ascii="Arial" w:eastAsia="Times New Roman" w:hAnsi="Arial" w:cs="Arial"/>
          <w:sz w:val="23"/>
          <w:szCs w:val="23"/>
        </w:rPr>
      </w:pPr>
    </w:p>
    <w:p w14:paraId="09D91C9C" w14:textId="77777777" w:rsidR="00A74CDE" w:rsidRDefault="00A74CDE" w:rsidP="000E4714">
      <w:pPr>
        <w:spacing w:line="360" w:lineRule="auto"/>
        <w:jc w:val="both"/>
        <w:rPr>
          <w:rFonts w:ascii="Arial" w:eastAsia="Times New Roman" w:hAnsi="Arial" w:cs="Arial"/>
          <w:sz w:val="23"/>
          <w:szCs w:val="23"/>
        </w:rPr>
      </w:pPr>
    </w:p>
    <w:p w14:paraId="3D25EE02" w14:textId="77777777" w:rsidR="00A74CDE" w:rsidRDefault="00A74CDE" w:rsidP="000E4714">
      <w:pPr>
        <w:spacing w:line="360" w:lineRule="auto"/>
        <w:jc w:val="both"/>
        <w:rPr>
          <w:rFonts w:ascii="Arial" w:eastAsia="Times New Roman" w:hAnsi="Arial" w:cs="Arial"/>
          <w:sz w:val="23"/>
          <w:szCs w:val="23"/>
        </w:rPr>
      </w:pPr>
    </w:p>
    <w:p w14:paraId="283998C9" w14:textId="77777777" w:rsidR="00B9794A" w:rsidRDefault="00B9794A" w:rsidP="000E4714">
      <w:pPr>
        <w:spacing w:line="360" w:lineRule="auto"/>
        <w:jc w:val="both"/>
        <w:rPr>
          <w:rFonts w:ascii="Arial" w:eastAsia="Times New Roman" w:hAnsi="Arial" w:cs="Arial"/>
          <w:sz w:val="23"/>
          <w:szCs w:val="23"/>
        </w:rPr>
      </w:pPr>
    </w:p>
    <w:p w14:paraId="5A8EF62C" w14:textId="77777777" w:rsidR="00B9794A" w:rsidRDefault="00B9794A" w:rsidP="000E4714">
      <w:pPr>
        <w:spacing w:line="360" w:lineRule="auto"/>
        <w:jc w:val="both"/>
        <w:rPr>
          <w:rFonts w:ascii="Arial" w:eastAsia="Times New Roman" w:hAnsi="Arial" w:cs="Arial"/>
          <w:sz w:val="23"/>
          <w:szCs w:val="23"/>
        </w:rPr>
      </w:pPr>
    </w:p>
    <w:p w14:paraId="080FD317" w14:textId="77777777" w:rsidR="00B9794A" w:rsidRDefault="00B9794A" w:rsidP="000E4714">
      <w:pPr>
        <w:spacing w:line="360" w:lineRule="auto"/>
        <w:jc w:val="both"/>
        <w:rPr>
          <w:rFonts w:ascii="Arial" w:eastAsia="Times New Roman" w:hAnsi="Arial" w:cs="Arial"/>
          <w:sz w:val="23"/>
          <w:szCs w:val="23"/>
        </w:rPr>
      </w:pPr>
    </w:p>
    <w:p w14:paraId="4545FE5A" w14:textId="77777777" w:rsidR="00B9794A" w:rsidRDefault="00B9794A" w:rsidP="000E4714">
      <w:pPr>
        <w:spacing w:line="360" w:lineRule="auto"/>
        <w:jc w:val="both"/>
        <w:rPr>
          <w:rFonts w:ascii="Arial" w:eastAsia="Times New Roman" w:hAnsi="Arial" w:cs="Arial"/>
          <w:sz w:val="23"/>
          <w:szCs w:val="23"/>
        </w:rPr>
      </w:pPr>
    </w:p>
    <w:p w14:paraId="41051E12" w14:textId="77777777" w:rsidR="00B9794A" w:rsidRDefault="00B9794A" w:rsidP="000E4714">
      <w:pPr>
        <w:spacing w:line="360" w:lineRule="auto"/>
        <w:jc w:val="both"/>
        <w:rPr>
          <w:rFonts w:ascii="Arial" w:eastAsia="Times New Roman" w:hAnsi="Arial" w:cs="Arial"/>
          <w:sz w:val="23"/>
          <w:szCs w:val="23"/>
        </w:rPr>
      </w:pPr>
    </w:p>
    <w:p w14:paraId="7440CA15" w14:textId="77777777" w:rsidR="00B9794A" w:rsidRDefault="00B9794A" w:rsidP="000E4714">
      <w:pPr>
        <w:spacing w:line="360" w:lineRule="auto"/>
        <w:jc w:val="both"/>
        <w:rPr>
          <w:rFonts w:ascii="Arial" w:eastAsia="Times New Roman" w:hAnsi="Arial" w:cs="Arial"/>
          <w:sz w:val="23"/>
          <w:szCs w:val="23"/>
        </w:rPr>
      </w:pPr>
    </w:p>
    <w:p w14:paraId="23727734" w14:textId="77777777" w:rsidR="00B9794A" w:rsidRDefault="00B9794A" w:rsidP="000E4714">
      <w:pPr>
        <w:spacing w:line="360" w:lineRule="auto"/>
        <w:jc w:val="both"/>
        <w:rPr>
          <w:rFonts w:ascii="Arial" w:eastAsia="Times New Roman" w:hAnsi="Arial" w:cs="Arial"/>
          <w:sz w:val="23"/>
          <w:szCs w:val="23"/>
        </w:rPr>
      </w:pPr>
    </w:p>
    <w:p w14:paraId="1D8D8AB8" w14:textId="77777777" w:rsidR="00B9794A" w:rsidRDefault="00B9794A" w:rsidP="000E4714">
      <w:pPr>
        <w:spacing w:line="360" w:lineRule="auto"/>
        <w:jc w:val="both"/>
        <w:rPr>
          <w:rFonts w:ascii="Arial" w:eastAsia="Times New Roman" w:hAnsi="Arial" w:cs="Arial"/>
          <w:sz w:val="23"/>
          <w:szCs w:val="23"/>
        </w:rPr>
      </w:pPr>
    </w:p>
    <w:p w14:paraId="1BDCE691" w14:textId="77777777" w:rsidR="00B9794A" w:rsidRDefault="00B9794A" w:rsidP="000E4714">
      <w:pPr>
        <w:spacing w:line="360" w:lineRule="auto"/>
        <w:jc w:val="both"/>
        <w:rPr>
          <w:rFonts w:ascii="Arial" w:eastAsia="Times New Roman" w:hAnsi="Arial" w:cs="Arial"/>
          <w:sz w:val="23"/>
          <w:szCs w:val="23"/>
        </w:rPr>
      </w:pPr>
    </w:p>
    <w:p w14:paraId="7132CB72" w14:textId="77777777" w:rsidR="00B9794A" w:rsidRDefault="00B9794A" w:rsidP="000E4714">
      <w:pPr>
        <w:spacing w:line="360" w:lineRule="auto"/>
        <w:jc w:val="both"/>
        <w:rPr>
          <w:rFonts w:ascii="Arial" w:eastAsia="Times New Roman" w:hAnsi="Arial" w:cs="Arial"/>
          <w:sz w:val="23"/>
          <w:szCs w:val="23"/>
        </w:rPr>
      </w:pPr>
    </w:p>
    <w:p w14:paraId="78F12E00" w14:textId="77777777" w:rsidR="00A74CDE" w:rsidRPr="000E4714" w:rsidRDefault="00A74CDE" w:rsidP="000E4714">
      <w:pPr>
        <w:spacing w:line="360" w:lineRule="auto"/>
        <w:jc w:val="both"/>
        <w:rPr>
          <w:rFonts w:ascii="Arial" w:eastAsia="Times New Roman" w:hAnsi="Arial" w:cs="Arial"/>
          <w:sz w:val="23"/>
          <w:szCs w:val="23"/>
        </w:rPr>
      </w:pPr>
    </w:p>
    <w:p w14:paraId="7A8BC922" w14:textId="4AE52113" w:rsidR="00B9794A" w:rsidRPr="00B9794A" w:rsidRDefault="002D6764" w:rsidP="00B9794A">
      <w:pPr>
        <w:spacing w:line="360" w:lineRule="auto"/>
        <w:jc w:val="both"/>
        <w:rPr>
          <w:rFonts w:ascii="Arial" w:eastAsia="Times New Roman" w:hAnsi="Arial" w:cs="Arial"/>
          <w:b/>
          <w:sz w:val="23"/>
          <w:szCs w:val="23"/>
          <w:u w:val="single"/>
        </w:rPr>
      </w:pPr>
      <w:r w:rsidRPr="00683A17">
        <w:rPr>
          <w:rFonts w:ascii="Arial" w:eastAsia="Times New Roman" w:hAnsi="Arial" w:cs="Arial"/>
          <w:b/>
          <w:sz w:val="23"/>
          <w:szCs w:val="23"/>
          <w:u w:val="single"/>
        </w:rPr>
        <w:t>References</w:t>
      </w:r>
    </w:p>
    <w:p w14:paraId="5FB01A68" w14:textId="77777777" w:rsidR="00B9794A" w:rsidRPr="00270EC7" w:rsidRDefault="00B9794A"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Buse, K. and Hawkes, S. (2015). Health in the sustainable development goals: ready for a paradigm shift? </w:t>
      </w:r>
      <w:r w:rsidRPr="00270EC7">
        <w:rPr>
          <w:rFonts w:ascii="Arial" w:hAnsi="Arial" w:cs="Arial"/>
          <w:i/>
          <w:iCs/>
          <w:sz w:val="23"/>
          <w:szCs w:val="23"/>
        </w:rPr>
        <w:t>Globalization and Health</w:t>
      </w:r>
      <w:r w:rsidRPr="00270EC7">
        <w:rPr>
          <w:rFonts w:ascii="Arial" w:hAnsi="Arial" w:cs="Arial"/>
          <w:sz w:val="23"/>
          <w:szCs w:val="23"/>
        </w:rPr>
        <w:t xml:space="preserve">, [online] 11(1). </w:t>
      </w:r>
      <w:proofErr w:type="spellStart"/>
      <w:r w:rsidRPr="00270EC7">
        <w:rPr>
          <w:rFonts w:ascii="Arial" w:hAnsi="Arial" w:cs="Arial"/>
          <w:sz w:val="23"/>
          <w:szCs w:val="23"/>
        </w:rPr>
        <w:t>doi:https</w:t>
      </w:r>
      <w:proofErr w:type="spellEnd"/>
      <w:r w:rsidRPr="00270EC7">
        <w:rPr>
          <w:rFonts w:ascii="Arial" w:hAnsi="Arial" w:cs="Arial"/>
          <w:sz w:val="23"/>
          <w:szCs w:val="23"/>
        </w:rPr>
        <w:t>://doi.org/10.1186/s12992-015-0098-8.</w:t>
      </w:r>
    </w:p>
    <w:p w14:paraId="01F1E7C5" w14:textId="77777777" w:rsidR="00B9794A" w:rsidRPr="00270EC7" w:rsidRDefault="00B9794A"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Style w:val="Strong"/>
          <w:rFonts w:ascii="Arial" w:hAnsi="Arial" w:cs="Arial"/>
          <w:b w:val="0"/>
          <w:sz w:val="23"/>
          <w:szCs w:val="23"/>
        </w:rPr>
        <w:lastRenderedPageBreak/>
        <w:t>DEFRA (2021)</w:t>
      </w:r>
      <w:r w:rsidRPr="00270EC7">
        <w:rPr>
          <w:rFonts w:ascii="Arial" w:hAnsi="Arial" w:cs="Arial"/>
          <w:sz w:val="23"/>
          <w:szCs w:val="23"/>
        </w:rPr>
        <w:t xml:space="preserve"> </w:t>
      </w:r>
      <w:r w:rsidRPr="00270EC7">
        <w:rPr>
          <w:rStyle w:val="Emphasis"/>
          <w:rFonts w:ascii="Arial" w:hAnsi="Arial" w:cs="Arial"/>
          <w:sz w:val="23"/>
          <w:szCs w:val="23"/>
        </w:rPr>
        <w:t>Environment Act 2021</w:t>
      </w:r>
      <w:r w:rsidRPr="00270EC7">
        <w:rPr>
          <w:rFonts w:ascii="Arial" w:hAnsi="Arial" w:cs="Arial"/>
          <w:sz w:val="23"/>
          <w:szCs w:val="23"/>
        </w:rPr>
        <w:t>. London: UK Government.</w:t>
      </w:r>
      <w:r w:rsidRPr="00270EC7">
        <w:rPr>
          <w:rFonts w:ascii="Arial" w:hAnsi="Arial" w:cs="Arial"/>
          <w:sz w:val="23"/>
          <w:szCs w:val="23"/>
        </w:rPr>
        <w:br/>
        <w:t>Available at: https://www.legislation.gov.uk/ukpga/2021/30 (Accessed: 21 September 2025)</w:t>
      </w:r>
    </w:p>
    <w:p w14:paraId="385517D4" w14:textId="77777777" w:rsidR="00B9794A" w:rsidRPr="00270EC7" w:rsidRDefault="00B9794A"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b w:val="0"/>
          <w:sz w:val="23"/>
          <w:szCs w:val="23"/>
        </w:rPr>
        <w:t>Environment Agency and Ofwat (2024)</w:t>
      </w:r>
      <w:r w:rsidRPr="00270EC7">
        <w:rPr>
          <w:rFonts w:ascii="Arial" w:hAnsi="Arial" w:cs="Arial"/>
          <w:sz w:val="23"/>
          <w:szCs w:val="23"/>
        </w:rPr>
        <w:t xml:space="preserve"> </w:t>
      </w:r>
      <w:r w:rsidRPr="00270EC7">
        <w:rPr>
          <w:rStyle w:val="Emphasis"/>
          <w:rFonts w:ascii="Arial" w:hAnsi="Arial" w:cs="Arial"/>
          <w:sz w:val="23"/>
          <w:szCs w:val="23"/>
        </w:rPr>
        <w:t xml:space="preserve">Water Industry National Environment </w:t>
      </w:r>
      <w:proofErr w:type="spellStart"/>
      <w:r w:rsidRPr="00270EC7">
        <w:rPr>
          <w:rStyle w:val="Emphasis"/>
          <w:rFonts w:ascii="Arial" w:hAnsi="Arial" w:cs="Arial"/>
          <w:sz w:val="23"/>
          <w:szCs w:val="23"/>
        </w:rPr>
        <w:t>Programme</w:t>
      </w:r>
      <w:proofErr w:type="spellEnd"/>
      <w:r w:rsidRPr="00270EC7">
        <w:rPr>
          <w:rStyle w:val="Emphasis"/>
          <w:rFonts w:ascii="Arial" w:hAnsi="Arial" w:cs="Arial"/>
          <w:sz w:val="23"/>
          <w:szCs w:val="23"/>
        </w:rPr>
        <w:t xml:space="preserve"> (WINEP) 2025–2030</w:t>
      </w:r>
      <w:r w:rsidRPr="00270EC7">
        <w:rPr>
          <w:rFonts w:ascii="Arial" w:hAnsi="Arial" w:cs="Arial"/>
          <w:sz w:val="23"/>
          <w:szCs w:val="23"/>
        </w:rPr>
        <w:t>. London: Environment Agency.</w:t>
      </w:r>
      <w:r w:rsidRPr="00270EC7">
        <w:rPr>
          <w:rFonts w:ascii="Arial" w:hAnsi="Arial" w:cs="Arial"/>
          <w:sz w:val="23"/>
          <w:szCs w:val="23"/>
        </w:rPr>
        <w:br/>
        <w:t>Available at: https://www.gov.uk/government/publications/water-industry-national-environment-programme-2025-to-2030 (Accessed: 21 September 2025).</w:t>
      </w:r>
    </w:p>
    <w:p w14:paraId="338000C0" w14:textId="77777777" w:rsidR="00B9794A" w:rsidRPr="00270EC7" w:rsidRDefault="00B9794A"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Gavi (2016). </w:t>
      </w:r>
      <w:r w:rsidRPr="00270EC7">
        <w:rPr>
          <w:rFonts w:ascii="Arial" w:hAnsi="Arial" w:cs="Arial"/>
          <w:i/>
          <w:iCs/>
          <w:sz w:val="23"/>
          <w:szCs w:val="23"/>
        </w:rPr>
        <w:t>Gavi, the Vaccine Alliance</w:t>
      </w:r>
      <w:r w:rsidRPr="00270EC7">
        <w:rPr>
          <w:rFonts w:ascii="Arial" w:hAnsi="Arial" w:cs="Arial"/>
          <w:sz w:val="23"/>
          <w:szCs w:val="23"/>
        </w:rPr>
        <w:t>. [online] Gavi. Available at: https://www.gavi.org/ [Accessed 8 Oct. 2025].</w:t>
      </w:r>
    </w:p>
    <w:p w14:paraId="50A9A356" w14:textId="77777777" w:rsidR="00B9794A" w:rsidRPr="00270EC7" w:rsidRDefault="00B9794A"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Geneva, U.-W. and Switzerland (2025). </w:t>
      </w:r>
      <w:r w:rsidRPr="00270EC7">
        <w:rPr>
          <w:rFonts w:ascii="Arial" w:hAnsi="Arial" w:cs="Arial"/>
          <w:i/>
          <w:iCs/>
          <w:sz w:val="23"/>
          <w:szCs w:val="23"/>
        </w:rPr>
        <w:t xml:space="preserve">SDG 6 SYNTHESIS REPORT ON WATER AND SANITATION 2023 </w:t>
      </w:r>
      <w:proofErr w:type="spellStart"/>
      <w:r w:rsidRPr="00270EC7">
        <w:rPr>
          <w:rFonts w:ascii="Arial" w:hAnsi="Arial" w:cs="Arial"/>
          <w:i/>
          <w:iCs/>
          <w:sz w:val="23"/>
          <w:szCs w:val="23"/>
        </w:rPr>
        <w:t>i</w:t>
      </w:r>
      <w:proofErr w:type="spellEnd"/>
      <w:r w:rsidRPr="00270EC7">
        <w:rPr>
          <w:rFonts w:ascii="Arial" w:hAnsi="Arial" w:cs="Arial"/>
          <w:i/>
          <w:iCs/>
          <w:sz w:val="23"/>
          <w:szCs w:val="23"/>
        </w:rPr>
        <w:t xml:space="preserve"> Blueprint for Acceleration: Sustainable Development Goal 6 Synthesis Report on Water and Sanitation 2023 SDG 6 SYNTHESIS REPORT ON WATER AND SANITATION 2023 iii FOREWORD Viii</w:t>
      </w:r>
      <w:r w:rsidRPr="00270EC7">
        <w:rPr>
          <w:rFonts w:ascii="Arial" w:hAnsi="Arial" w:cs="Arial"/>
          <w:sz w:val="23"/>
          <w:szCs w:val="23"/>
        </w:rPr>
        <w:t xml:space="preserve">. [online] Available at: </w:t>
      </w:r>
      <w:proofErr w:type="gramStart"/>
      <w:r w:rsidRPr="00270EC7">
        <w:rPr>
          <w:rFonts w:ascii="Arial" w:hAnsi="Arial" w:cs="Arial"/>
          <w:sz w:val="23"/>
          <w:szCs w:val="23"/>
        </w:rPr>
        <w:t>https://www.unwater.org/sites/default/files/2023-08/UN-Water_SDG6_SynthesisReport_2023.pdf?.</w:t>
      </w:r>
      <w:proofErr w:type="gramEnd"/>
    </w:p>
    <w:p w14:paraId="16EBEF10" w14:textId="77777777" w:rsidR="00B9794A" w:rsidRPr="00270EC7" w:rsidRDefault="00B9794A"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GOV.UK (2023). </w:t>
      </w:r>
      <w:r w:rsidRPr="00270EC7">
        <w:rPr>
          <w:rFonts w:ascii="Arial" w:hAnsi="Arial" w:cs="Arial"/>
          <w:i/>
          <w:iCs/>
          <w:sz w:val="23"/>
          <w:szCs w:val="23"/>
        </w:rPr>
        <w:t xml:space="preserve">Global Health Framework: Working Together Towards a Healthier </w:t>
      </w:r>
      <w:proofErr w:type="gramStart"/>
      <w:r w:rsidRPr="00270EC7">
        <w:rPr>
          <w:rFonts w:ascii="Arial" w:hAnsi="Arial" w:cs="Arial"/>
          <w:i/>
          <w:iCs/>
          <w:sz w:val="23"/>
          <w:szCs w:val="23"/>
        </w:rPr>
        <w:t>world</w:t>
      </w:r>
      <w:proofErr w:type="gramEnd"/>
      <w:r w:rsidRPr="00270EC7">
        <w:rPr>
          <w:rFonts w:ascii="Arial" w:hAnsi="Arial" w:cs="Arial"/>
          <w:i/>
          <w:iCs/>
          <w:sz w:val="23"/>
          <w:szCs w:val="23"/>
        </w:rPr>
        <w:t>, May 2023</w:t>
      </w:r>
      <w:r w:rsidRPr="00270EC7">
        <w:rPr>
          <w:rFonts w:ascii="Arial" w:hAnsi="Arial" w:cs="Arial"/>
          <w:sz w:val="23"/>
          <w:szCs w:val="23"/>
        </w:rPr>
        <w:t>. [online] GOV.UK. Available at: https://www.gov.uk/government/publications/global-health-framework-working-together-towards-a-healthier-world/global-health-framework-working-together-towards-a-healthier-world-may-2023 [Accessed 8 Oct. 2025].</w:t>
      </w:r>
    </w:p>
    <w:p w14:paraId="743F03F6" w14:textId="77777777" w:rsidR="00B9794A" w:rsidRPr="00270EC7" w:rsidRDefault="00B9794A"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sz w:val="23"/>
          <w:szCs w:val="23"/>
        </w:rPr>
        <w:t>Guppy, L. and Anderson, K. (2021)</w:t>
      </w:r>
      <w:r w:rsidRPr="00270EC7">
        <w:rPr>
          <w:rFonts w:ascii="Arial" w:hAnsi="Arial" w:cs="Arial"/>
          <w:sz w:val="23"/>
          <w:szCs w:val="23"/>
        </w:rPr>
        <w:t xml:space="preserve"> </w:t>
      </w:r>
      <w:r w:rsidRPr="00270EC7">
        <w:rPr>
          <w:rStyle w:val="Emphasis"/>
          <w:rFonts w:ascii="Arial" w:hAnsi="Arial" w:cs="Arial"/>
          <w:sz w:val="23"/>
          <w:szCs w:val="23"/>
        </w:rPr>
        <w:t>Global Water Crisis: The Facts</w:t>
      </w:r>
      <w:r w:rsidRPr="00270EC7">
        <w:rPr>
          <w:rFonts w:ascii="Arial" w:hAnsi="Arial" w:cs="Arial"/>
          <w:sz w:val="23"/>
          <w:szCs w:val="23"/>
        </w:rPr>
        <w:t>. Hamilton, ON: United Nations University Institute for Water, Environment and Health (UNU-INWEH).</w:t>
      </w:r>
      <w:r w:rsidRPr="00270EC7">
        <w:rPr>
          <w:rFonts w:ascii="Arial" w:hAnsi="Arial" w:cs="Arial"/>
          <w:sz w:val="23"/>
          <w:szCs w:val="23"/>
        </w:rPr>
        <w:br/>
        <w:t>Available at: https://inweh.unu.edu/global-water-crisis-the-facts (Accessed: 21 September 2025).</w:t>
      </w:r>
    </w:p>
    <w:p w14:paraId="3087FBB0" w14:textId="77777777" w:rsidR="00B9794A" w:rsidRPr="00270EC7" w:rsidRDefault="00B9794A" w:rsidP="00270EC7">
      <w:pPr>
        <w:pStyle w:val="NormalWeb"/>
        <w:numPr>
          <w:ilvl w:val="0"/>
          <w:numId w:val="1"/>
        </w:numPr>
        <w:spacing w:line="360" w:lineRule="auto"/>
        <w:jc w:val="both"/>
        <w:rPr>
          <w:rFonts w:ascii="Arial" w:hAnsi="Arial" w:cs="Arial"/>
          <w:sz w:val="23"/>
          <w:szCs w:val="23"/>
        </w:rPr>
      </w:pPr>
      <w:r w:rsidRPr="00270EC7">
        <w:rPr>
          <w:rFonts w:ascii="Arial" w:hAnsi="Arial" w:cs="Arial"/>
          <w:sz w:val="23"/>
          <w:szCs w:val="23"/>
        </w:rPr>
        <w:t xml:space="preserve">National Audit Office (2024) </w:t>
      </w:r>
      <w:r w:rsidRPr="00270EC7">
        <w:rPr>
          <w:rStyle w:val="Emphasis"/>
          <w:rFonts w:ascii="Arial" w:hAnsi="Arial" w:cs="Arial"/>
          <w:sz w:val="23"/>
          <w:szCs w:val="23"/>
        </w:rPr>
        <w:t>Water industry regulation and infrastructure in England</w:t>
      </w:r>
      <w:r w:rsidRPr="00270EC7">
        <w:rPr>
          <w:rFonts w:ascii="Arial" w:hAnsi="Arial" w:cs="Arial"/>
          <w:sz w:val="23"/>
          <w:szCs w:val="23"/>
        </w:rPr>
        <w:t>. London: NAO. Available at: https://www.nao.org.uk/reports/water-industry-regulation-and-infrastructure-in-england (Accessed: 21 September 2025).</w:t>
      </w:r>
    </w:p>
    <w:p w14:paraId="6BCF6A93" w14:textId="77777777" w:rsidR="00B9794A" w:rsidRPr="00270EC7" w:rsidRDefault="00B9794A"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b w:val="0"/>
          <w:sz w:val="23"/>
          <w:szCs w:val="23"/>
        </w:rPr>
        <w:t>National Audit Office (2024)</w:t>
      </w:r>
      <w:r w:rsidRPr="00270EC7">
        <w:rPr>
          <w:rFonts w:ascii="Arial" w:hAnsi="Arial" w:cs="Arial"/>
          <w:sz w:val="23"/>
          <w:szCs w:val="23"/>
        </w:rPr>
        <w:t xml:space="preserve"> </w:t>
      </w:r>
      <w:r w:rsidRPr="00270EC7">
        <w:rPr>
          <w:rStyle w:val="Emphasis"/>
          <w:rFonts w:ascii="Arial" w:hAnsi="Arial" w:cs="Arial"/>
          <w:sz w:val="23"/>
          <w:szCs w:val="23"/>
        </w:rPr>
        <w:t>Water Industry Regulation and Infrastructure in England</w:t>
      </w:r>
      <w:r w:rsidRPr="00270EC7">
        <w:rPr>
          <w:rFonts w:ascii="Arial" w:hAnsi="Arial" w:cs="Arial"/>
          <w:sz w:val="23"/>
          <w:szCs w:val="23"/>
        </w:rPr>
        <w:t>. London: NAO.</w:t>
      </w:r>
      <w:r w:rsidRPr="00270EC7">
        <w:rPr>
          <w:rFonts w:ascii="Arial" w:hAnsi="Arial" w:cs="Arial"/>
          <w:sz w:val="23"/>
          <w:szCs w:val="23"/>
        </w:rPr>
        <w:br/>
      </w:r>
      <w:r w:rsidRPr="00270EC7">
        <w:rPr>
          <w:rFonts w:ascii="Arial" w:hAnsi="Arial" w:cs="Arial"/>
          <w:sz w:val="23"/>
          <w:szCs w:val="23"/>
        </w:rPr>
        <w:lastRenderedPageBreak/>
        <w:t>Available at: https://www.nao.org.uk/reports/water-industry-regulation-and-infrastructure-in-england (Accessed: 21 September 2025).</w:t>
      </w:r>
    </w:p>
    <w:p w14:paraId="0F3868DD" w14:textId="77777777" w:rsidR="00B9794A" w:rsidRPr="00270EC7" w:rsidRDefault="00B9794A"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sz w:val="23"/>
          <w:szCs w:val="23"/>
        </w:rPr>
        <w:t>National Audit Office (2024)</w:t>
      </w:r>
      <w:r w:rsidRPr="00270EC7">
        <w:rPr>
          <w:rFonts w:ascii="Arial" w:hAnsi="Arial" w:cs="Arial"/>
          <w:sz w:val="23"/>
          <w:szCs w:val="23"/>
        </w:rPr>
        <w:t xml:space="preserve"> </w:t>
      </w:r>
      <w:r w:rsidRPr="00270EC7">
        <w:rPr>
          <w:rStyle w:val="Emphasis"/>
          <w:rFonts w:ascii="Arial" w:hAnsi="Arial" w:cs="Arial"/>
          <w:sz w:val="23"/>
          <w:szCs w:val="23"/>
        </w:rPr>
        <w:t>Water Industry Regulation and Infrastructure in England</w:t>
      </w:r>
      <w:r w:rsidRPr="00270EC7">
        <w:rPr>
          <w:rFonts w:ascii="Arial" w:hAnsi="Arial" w:cs="Arial"/>
          <w:sz w:val="23"/>
          <w:szCs w:val="23"/>
        </w:rPr>
        <w:t>. London: NAO.</w:t>
      </w:r>
      <w:r w:rsidRPr="00270EC7">
        <w:rPr>
          <w:rFonts w:ascii="Arial" w:hAnsi="Arial" w:cs="Arial"/>
          <w:sz w:val="23"/>
          <w:szCs w:val="23"/>
        </w:rPr>
        <w:br/>
        <w:t>Available at: https://www.nao.org.uk/reports/water-industry-regulation-and-infrastructure-in-england (Accessed: 21 September 2025).</w:t>
      </w:r>
    </w:p>
    <w:p w14:paraId="021BA9A6" w14:textId="77777777" w:rsidR="00B9794A" w:rsidRPr="00270EC7" w:rsidRDefault="00B9794A"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NHS England (2019). </w:t>
      </w:r>
      <w:r w:rsidRPr="00270EC7">
        <w:rPr>
          <w:rFonts w:ascii="Arial" w:hAnsi="Arial" w:cs="Arial"/>
          <w:i/>
          <w:iCs/>
          <w:sz w:val="23"/>
          <w:szCs w:val="23"/>
        </w:rPr>
        <w:t>NHS Long Term Plan</w:t>
      </w:r>
      <w:r w:rsidRPr="00270EC7">
        <w:rPr>
          <w:rFonts w:ascii="Arial" w:hAnsi="Arial" w:cs="Arial"/>
          <w:sz w:val="23"/>
          <w:szCs w:val="23"/>
        </w:rPr>
        <w:t xml:space="preserve">. [online] NHS. Available at: </w:t>
      </w:r>
      <w:hyperlink r:id="rId5" w:history="1">
        <w:r w:rsidRPr="00270EC7">
          <w:rPr>
            <w:rStyle w:val="Hyperlink"/>
            <w:rFonts w:ascii="Arial" w:hAnsi="Arial" w:cs="Arial"/>
            <w:sz w:val="23"/>
            <w:szCs w:val="23"/>
          </w:rPr>
          <w:t>https://www.longtermplan.nhs.uk</w:t>
        </w:r>
      </w:hyperlink>
      <w:r w:rsidRPr="00270EC7">
        <w:rPr>
          <w:rFonts w:ascii="Arial" w:hAnsi="Arial" w:cs="Arial"/>
          <w:sz w:val="23"/>
          <w:szCs w:val="23"/>
        </w:rPr>
        <w:t>.</w:t>
      </w:r>
    </w:p>
    <w:p w14:paraId="7A480417" w14:textId="77777777" w:rsidR="00B9794A" w:rsidRPr="00270EC7" w:rsidRDefault="00B9794A"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Office (2025). </w:t>
      </w:r>
      <w:r w:rsidRPr="00270EC7">
        <w:rPr>
          <w:rFonts w:ascii="Arial" w:hAnsi="Arial" w:cs="Arial"/>
          <w:i/>
          <w:iCs/>
          <w:sz w:val="23"/>
          <w:szCs w:val="23"/>
        </w:rPr>
        <w:t>Health Inequalities Dashboard: May 2025 data update</w:t>
      </w:r>
      <w:r w:rsidRPr="00270EC7">
        <w:rPr>
          <w:rFonts w:ascii="Arial" w:hAnsi="Arial" w:cs="Arial"/>
          <w:sz w:val="23"/>
          <w:szCs w:val="23"/>
        </w:rPr>
        <w:t>. [online] GOV.UK. Available at: https://www.gov.uk/government/statistics/health-inequalities-dashboard-may-2025-data-update.</w:t>
      </w:r>
    </w:p>
    <w:p w14:paraId="37D1EECE" w14:textId="77777777" w:rsidR="00B9794A" w:rsidRPr="00270EC7" w:rsidRDefault="00B9794A"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OHID (2023). </w:t>
      </w:r>
      <w:r w:rsidRPr="00270EC7">
        <w:rPr>
          <w:rFonts w:ascii="Arial" w:hAnsi="Arial" w:cs="Arial"/>
          <w:i/>
          <w:iCs/>
          <w:sz w:val="23"/>
          <w:szCs w:val="23"/>
        </w:rPr>
        <w:t>Office for Health Improvement and Disparities</w:t>
      </w:r>
      <w:r w:rsidRPr="00270EC7">
        <w:rPr>
          <w:rFonts w:ascii="Arial" w:hAnsi="Arial" w:cs="Arial"/>
          <w:sz w:val="23"/>
          <w:szCs w:val="23"/>
        </w:rPr>
        <w:t xml:space="preserve">. [online] GOV.UK. Available at: </w:t>
      </w:r>
      <w:hyperlink r:id="rId6" w:history="1">
        <w:r w:rsidRPr="00270EC7">
          <w:rPr>
            <w:rStyle w:val="Hyperlink"/>
            <w:rFonts w:ascii="Arial" w:hAnsi="Arial" w:cs="Arial"/>
            <w:sz w:val="23"/>
            <w:szCs w:val="23"/>
          </w:rPr>
          <w:t>https://www.gov.uk/government/organisations/office-for-health-improvement-and-disparities</w:t>
        </w:r>
      </w:hyperlink>
      <w:r w:rsidRPr="00270EC7">
        <w:rPr>
          <w:rFonts w:ascii="Arial" w:hAnsi="Arial" w:cs="Arial"/>
          <w:sz w:val="23"/>
          <w:szCs w:val="23"/>
        </w:rPr>
        <w:t>.</w:t>
      </w:r>
    </w:p>
    <w:p w14:paraId="0BC31667" w14:textId="77777777" w:rsidR="00B9794A" w:rsidRPr="00270EC7" w:rsidRDefault="00B9794A"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b w:val="0"/>
          <w:sz w:val="23"/>
          <w:szCs w:val="23"/>
        </w:rPr>
        <w:t>Scottish Government (2023)</w:t>
      </w:r>
      <w:r w:rsidRPr="00270EC7">
        <w:rPr>
          <w:rFonts w:ascii="Arial" w:hAnsi="Arial" w:cs="Arial"/>
          <w:sz w:val="23"/>
          <w:szCs w:val="23"/>
        </w:rPr>
        <w:t xml:space="preserve"> </w:t>
      </w:r>
      <w:r w:rsidRPr="00270EC7">
        <w:rPr>
          <w:rStyle w:val="Emphasis"/>
          <w:rFonts w:ascii="Arial" w:hAnsi="Arial" w:cs="Arial"/>
          <w:sz w:val="23"/>
          <w:szCs w:val="23"/>
        </w:rPr>
        <w:t>Hydro Nation Strategy 2023</w:t>
      </w:r>
      <w:r w:rsidRPr="00270EC7">
        <w:rPr>
          <w:rFonts w:ascii="Arial" w:hAnsi="Arial" w:cs="Arial"/>
          <w:sz w:val="23"/>
          <w:szCs w:val="23"/>
        </w:rPr>
        <w:t>. Edinburgh: Scottish Government.</w:t>
      </w:r>
      <w:r w:rsidRPr="00270EC7">
        <w:rPr>
          <w:rFonts w:ascii="Arial" w:hAnsi="Arial" w:cs="Arial"/>
          <w:sz w:val="23"/>
          <w:szCs w:val="23"/>
        </w:rPr>
        <w:br/>
        <w:t>Available at: https://www.gov.scot/publications/hydro-nation-strategy-2023 (Accessed: 21 September 2025).</w:t>
      </w:r>
    </w:p>
    <w:p w14:paraId="563F1E6C" w14:textId="77777777" w:rsidR="00B9794A" w:rsidRPr="00270EC7" w:rsidRDefault="00B9794A"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sdgs.un.org. (n.d.). </w:t>
      </w:r>
      <w:r w:rsidRPr="00270EC7">
        <w:rPr>
          <w:rFonts w:ascii="Arial" w:hAnsi="Arial" w:cs="Arial"/>
          <w:i/>
          <w:iCs/>
          <w:sz w:val="23"/>
          <w:szCs w:val="23"/>
        </w:rPr>
        <w:t>Localizing SDG 6- Transforming Access to Water by Strengthened Capacity of Operators Closest to Water Provision | Department of Economic and Social Affairs</w:t>
      </w:r>
      <w:r w:rsidRPr="00270EC7">
        <w:rPr>
          <w:rFonts w:ascii="Arial" w:hAnsi="Arial" w:cs="Arial"/>
          <w:sz w:val="23"/>
          <w:szCs w:val="23"/>
        </w:rPr>
        <w:t>. [online] Available at: https://sdgs.un.org/partnerships/localizing-sdg-6-transforming-access-water-strengthened-capacity-operators-closest [Accessed 12 Oct. 2025].</w:t>
      </w:r>
    </w:p>
    <w:p w14:paraId="4E7EE721" w14:textId="77777777" w:rsidR="00B9794A" w:rsidRPr="00270EC7" w:rsidRDefault="00B9794A" w:rsidP="00270EC7">
      <w:pPr>
        <w:pStyle w:val="NormalWeb"/>
        <w:numPr>
          <w:ilvl w:val="0"/>
          <w:numId w:val="1"/>
        </w:numPr>
        <w:spacing w:line="360" w:lineRule="auto"/>
        <w:jc w:val="both"/>
        <w:rPr>
          <w:rFonts w:ascii="Arial" w:hAnsi="Arial" w:cs="Arial"/>
          <w:sz w:val="23"/>
          <w:szCs w:val="23"/>
        </w:rPr>
      </w:pPr>
      <w:r w:rsidRPr="00270EC7">
        <w:rPr>
          <w:rFonts w:ascii="Arial" w:hAnsi="Arial" w:cs="Arial"/>
          <w:sz w:val="23"/>
          <w:szCs w:val="23"/>
        </w:rPr>
        <w:t xml:space="preserve">The Rivers Trust (2025) </w:t>
      </w:r>
      <w:r w:rsidRPr="00270EC7">
        <w:rPr>
          <w:rStyle w:val="Emphasis"/>
          <w:rFonts w:ascii="Arial" w:hAnsi="Arial" w:cs="Arial"/>
          <w:sz w:val="23"/>
          <w:szCs w:val="23"/>
        </w:rPr>
        <w:t>State of our rivers 2025</w:t>
      </w:r>
      <w:r w:rsidRPr="00270EC7">
        <w:rPr>
          <w:rFonts w:ascii="Arial" w:hAnsi="Arial" w:cs="Arial"/>
          <w:sz w:val="23"/>
          <w:szCs w:val="23"/>
        </w:rPr>
        <w:t>. Bristol: The Rivers Trust. Available at: https://theriverstrust.org (Accessed: 21 September 2025).</w:t>
      </w:r>
    </w:p>
    <w:p w14:paraId="7575CB48" w14:textId="77777777" w:rsidR="00B9794A" w:rsidRPr="00270EC7" w:rsidRDefault="00B9794A"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b w:val="0"/>
          <w:sz w:val="23"/>
          <w:szCs w:val="23"/>
        </w:rPr>
        <w:t>The Rivers Trust (2025)</w:t>
      </w:r>
      <w:r w:rsidRPr="00270EC7">
        <w:rPr>
          <w:rFonts w:ascii="Arial" w:hAnsi="Arial" w:cs="Arial"/>
          <w:sz w:val="23"/>
          <w:szCs w:val="23"/>
        </w:rPr>
        <w:t xml:space="preserve"> </w:t>
      </w:r>
      <w:r w:rsidRPr="00270EC7">
        <w:rPr>
          <w:rStyle w:val="Emphasis"/>
          <w:rFonts w:ascii="Arial" w:hAnsi="Arial" w:cs="Arial"/>
          <w:sz w:val="23"/>
          <w:szCs w:val="23"/>
        </w:rPr>
        <w:t>State of Our Rivers 2025</w:t>
      </w:r>
      <w:r w:rsidRPr="00270EC7">
        <w:rPr>
          <w:rFonts w:ascii="Arial" w:hAnsi="Arial" w:cs="Arial"/>
          <w:sz w:val="23"/>
          <w:szCs w:val="23"/>
        </w:rPr>
        <w:t>. Bristol: The Rivers Trust.</w:t>
      </w:r>
      <w:r w:rsidRPr="00270EC7">
        <w:rPr>
          <w:rFonts w:ascii="Arial" w:hAnsi="Arial" w:cs="Arial"/>
          <w:sz w:val="23"/>
          <w:szCs w:val="23"/>
        </w:rPr>
        <w:br/>
        <w:t>Available at: https://theriverstrust.org/key-issues/state-of-our-rivers-report (Accessed: 21 September 2025).</w:t>
      </w:r>
    </w:p>
    <w:p w14:paraId="43047162" w14:textId="77777777" w:rsidR="00B9794A" w:rsidRPr="00270EC7" w:rsidRDefault="00B9794A"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sz w:val="23"/>
          <w:szCs w:val="23"/>
        </w:rPr>
        <w:lastRenderedPageBreak/>
        <w:t>The Rivers Trust (2025)</w:t>
      </w:r>
      <w:r w:rsidRPr="00270EC7">
        <w:rPr>
          <w:rFonts w:ascii="Arial" w:hAnsi="Arial" w:cs="Arial"/>
          <w:sz w:val="23"/>
          <w:szCs w:val="23"/>
        </w:rPr>
        <w:t xml:space="preserve"> </w:t>
      </w:r>
      <w:r w:rsidRPr="00270EC7">
        <w:rPr>
          <w:rStyle w:val="Emphasis"/>
          <w:rFonts w:ascii="Arial" w:hAnsi="Arial" w:cs="Arial"/>
          <w:sz w:val="23"/>
          <w:szCs w:val="23"/>
        </w:rPr>
        <w:t>State of Our Rivers 2025</w:t>
      </w:r>
      <w:r w:rsidRPr="00270EC7">
        <w:rPr>
          <w:rFonts w:ascii="Arial" w:hAnsi="Arial" w:cs="Arial"/>
          <w:sz w:val="23"/>
          <w:szCs w:val="23"/>
        </w:rPr>
        <w:t>. Bristol: The Rivers Trust.</w:t>
      </w:r>
      <w:r w:rsidRPr="00270EC7">
        <w:rPr>
          <w:rFonts w:ascii="Arial" w:hAnsi="Arial" w:cs="Arial"/>
          <w:sz w:val="23"/>
          <w:szCs w:val="23"/>
        </w:rPr>
        <w:br/>
        <w:t>Available at: https://theriverstrust.org/key-issues/state-of-our-rivers-report (Accessed: 21 September 2025).</w:t>
      </w:r>
    </w:p>
    <w:p w14:paraId="1C7E898E" w14:textId="77777777" w:rsidR="00B9794A" w:rsidRPr="00270EC7" w:rsidRDefault="00B9794A"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UK Health Security Agency (2025). </w:t>
      </w:r>
      <w:r w:rsidRPr="00270EC7">
        <w:rPr>
          <w:rFonts w:ascii="Arial" w:hAnsi="Arial" w:cs="Arial"/>
          <w:i/>
          <w:iCs/>
          <w:sz w:val="23"/>
          <w:szCs w:val="23"/>
        </w:rPr>
        <w:t>Health inequalities in health protection report 2025</w:t>
      </w:r>
      <w:r w:rsidRPr="00270EC7">
        <w:rPr>
          <w:rFonts w:ascii="Arial" w:hAnsi="Arial" w:cs="Arial"/>
          <w:sz w:val="23"/>
          <w:szCs w:val="23"/>
        </w:rPr>
        <w:t>. [online] GOV.UK. Available at: https://www.gov.uk/government/publications/health-inequalities-in-health-protection-report/health-inequalities-in-health-protection-report-2025 [Accessed 8 Oct. 2025].</w:t>
      </w:r>
    </w:p>
    <w:p w14:paraId="3D6FD4F8" w14:textId="77777777" w:rsidR="00B9794A" w:rsidRPr="00270EC7" w:rsidRDefault="00B9794A" w:rsidP="00270EC7">
      <w:pPr>
        <w:pStyle w:val="NormalWeb"/>
        <w:numPr>
          <w:ilvl w:val="0"/>
          <w:numId w:val="1"/>
        </w:numPr>
        <w:spacing w:line="360" w:lineRule="auto"/>
        <w:jc w:val="both"/>
        <w:rPr>
          <w:rFonts w:ascii="Arial" w:hAnsi="Arial" w:cs="Arial"/>
          <w:sz w:val="23"/>
          <w:szCs w:val="23"/>
        </w:rPr>
      </w:pPr>
      <w:r w:rsidRPr="00270EC7">
        <w:rPr>
          <w:rStyle w:val="Strong"/>
          <w:rFonts w:ascii="Arial" w:hAnsi="Arial" w:cs="Arial"/>
          <w:b w:val="0"/>
          <w:sz w:val="23"/>
          <w:szCs w:val="23"/>
        </w:rPr>
        <w:t>UK Health Security Agency (UKHSA) (2025</w:t>
      </w:r>
      <w:r w:rsidRPr="00270EC7">
        <w:rPr>
          <w:rStyle w:val="Strong"/>
          <w:rFonts w:ascii="Arial" w:hAnsi="Arial" w:cs="Arial"/>
          <w:sz w:val="23"/>
          <w:szCs w:val="23"/>
        </w:rPr>
        <w:t>)</w:t>
      </w:r>
      <w:r w:rsidRPr="00270EC7">
        <w:rPr>
          <w:rFonts w:ascii="Arial" w:hAnsi="Arial" w:cs="Arial"/>
          <w:sz w:val="23"/>
          <w:szCs w:val="23"/>
        </w:rPr>
        <w:t xml:space="preserve"> </w:t>
      </w:r>
      <w:r w:rsidRPr="00270EC7">
        <w:rPr>
          <w:rStyle w:val="Emphasis"/>
          <w:rFonts w:ascii="Arial" w:hAnsi="Arial" w:cs="Arial"/>
          <w:sz w:val="23"/>
          <w:szCs w:val="23"/>
        </w:rPr>
        <w:t>Health Protection Report 2025</w:t>
      </w:r>
      <w:r w:rsidRPr="00270EC7">
        <w:rPr>
          <w:rFonts w:ascii="Arial" w:hAnsi="Arial" w:cs="Arial"/>
          <w:sz w:val="23"/>
          <w:szCs w:val="23"/>
        </w:rPr>
        <w:t>. London: UKHSA.</w:t>
      </w:r>
      <w:r w:rsidRPr="00270EC7">
        <w:rPr>
          <w:rFonts w:ascii="Arial" w:hAnsi="Arial" w:cs="Arial"/>
          <w:sz w:val="23"/>
          <w:szCs w:val="23"/>
        </w:rPr>
        <w:br/>
        <w:t>Available at: https://www.gov.uk/government/collections/health-protection-report (Accessed: 21 September 2025).</w:t>
      </w:r>
    </w:p>
    <w:p w14:paraId="0649F368" w14:textId="77777777" w:rsidR="00B9794A" w:rsidRPr="00270EC7" w:rsidRDefault="00B9794A" w:rsidP="00270EC7">
      <w:pPr>
        <w:pStyle w:val="NormalWeb"/>
        <w:numPr>
          <w:ilvl w:val="0"/>
          <w:numId w:val="1"/>
        </w:numPr>
        <w:spacing w:line="360" w:lineRule="auto"/>
        <w:jc w:val="both"/>
        <w:rPr>
          <w:rFonts w:ascii="Arial" w:hAnsi="Arial" w:cs="Arial"/>
          <w:sz w:val="23"/>
          <w:szCs w:val="23"/>
        </w:rPr>
      </w:pPr>
      <w:r w:rsidRPr="00270EC7">
        <w:rPr>
          <w:rFonts w:ascii="Arial" w:hAnsi="Arial" w:cs="Arial"/>
          <w:sz w:val="23"/>
          <w:szCs w:val="23"/>
        </w:rPr>
        <w:t xml:space="preserve">United Nations (2015) </w:t>
      </w:r>
      <w:r w:rsidRPr="00270EC7">
        <w:rPr>
          <w:rStyle w:val="Emphasis"/>
          <w:rFonts w:ascii="Arial" w:hAnsi="Arial" w:cs="Arial"/>
          <w:sz w:val="23"/>
          <w:szCs w:val="23"/>
        </w:rPr>
        <w:t>Transforming our world: the 2030 agenda for sustainable development</w:t>
      </w:r>
      <w:r w:rsidRPr="00270EC7">
        <w:rPr>
          <w:rFonts w:ascii="Arial" w:hAnsi="Arial" w:cs="Arial"/>
          <w:sz w:val="23"/>
          <w:szCs w:val="23"/>
        </w:rPr>
        <w:t>. New York: United Nations. Available at: https://sdgs.un.org/2030agenda (Accessed: 21 September 2025).</w:t>
      </w:r>
    </w:p>
    <w:p w14:paraId="5E0B90EE" w14:textId="77777777" w:rsidR="00B9794A" w:rsidRPr="00270EC7" w:rsidRDefault="00B9794A"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United Nations (2025). </w:t>
      </w:r>
      <w:r w:rsidRPr="00270EC7">
        <w:rPr>
          <w:rFonts w:ascii="Arial" w:hAnsi="Arial" w:cs="Arial"/>
          <w:i/>
          <w:iCs/>
          <w:sz w:val="23"/>
          <w:szCs w:val="23"/>
        </w:rPr>
        <w:t>Goal 3: Ensure healthy lives and promote well-being for all at all ages</w:t>
      </w:r>
      <w:r w:rsidRPr="00270EC7">
        <w:rPr>
          <w:rFonts w:ascii="Arial" w:hAnsi="Arial" w:cs="Arial"/>
          <w:sz w:val="23"/>
          <w:szCs w:val="23"/>
        </w:rPr>
        <w:t xml:space="preserve">. [online] United Nations. Available at: </w:t>
      </w:r>
      <w:hyperlink r:id="rId7" w:history="1">
        <w:r w:rsidRPr="00270EC7">
          <w:rPr>
            <w:rStyle w:val="Hyperlink"/>
            <w:rFonts w:ascii="Arial" w:hAnsi="Arial" w:cs="Arial"/>
            <w:sz w:val="23"/>
            <w:szCs w:val="23"/>
          </w:rPr>
          <w:t>https://sdgs.un.org/goals/goal3</w:t>
        </w:r>
      </w:hyperlink>
      <w:r w:rsidRPr="00270EC7">
        <w:rPr>
          <w:rFonts w:ascii="Arial" w:hAnsi="Arial" w:cs="Arial"/>
          <w:sz w:val="23"/>
          <w:szCs w:val="23"/>
        </w:rPr>
        <w:t>.</w:t>
      </w:r>
    </w:p>
    <w:p w14:paraId="7CC3E47B" w14:textId="77777777" w:rsidR="00B9794A" w:rsidRPr="00270EC7" w:rsidRDefault="00B9794A" w:rsidP="00270EC7">
      <w:pPr>
        <w:pStyle w:val="NormalWeb"/>
        <w:numPr>
          <w:ilvl w:val="0"/>
          <w:numId w:val="1"/>
        </w:numPr>
        <w:spacing w:line="360" w:lineRule="auto"/>
        <w:jc w:val="both"/>
        <w:rPr>
          <w:rFonts w:ascii="Arial" w:hAnsi="Arial" w:cs="Arial"/>
          <w:sz w:val="23"/>
          <w:szCs w:val="23"/>
        </w:rPr>
      </w:pPr>
      <w:r w:rsidRPr="00270EC7">
        <w:rPr>
          <w:rFonts w:ascii="Arial" w:hAnsi="Arial" w:cs="Arial"/>
          <w:sz w:val="23"/>
          <w:szCs w:val="23"/>
        </w:rPr>
        <w:t xml:space="preserve">UN-Water (2023) </w:t>
      </w:r>
      <w:r w:rsidRPr="00270EC7">
        <w:rPr>
          <w:rStyle w:val="Emphasis"/>
          <w:rFonts w:ascii="Arial" w:hAnsi="Arial" w:cs="Arial"/>
          <w:sz w:val="23"/>
          <w:szCs w:val="23"/>
        </w:rPr>
        <w:t>SDG 6 synthesis report 2023 on water and sanitation</w:t>
      </w:r>
      <w:r w:rsidRPr="00270EC7">
        <w:rPr>
          <w:rFonts w:ascii="Arial" w:hAnsi="Arial" w:cs="Arial"/>
          <w:sz w:val="23"/>
          <w:szCs w:val="23"/>
        </w:rPr>
        <w:t xml:space="preserve">. Geneva: United Nations. Available at: </w:t>
      </w:r>
      <w:hyperlink r:id="rId8" w:tgtFrame="_new" w:history="1">
        <w:r w:rsidRPr="00270EC7">
          <w:rPr>
            <w:rStyle w:val="Hyperlink"/>
            <w:rFonts w:ascii="Arial" w:hAnsi="Arial" w:cs="Arial"/>
            <w:sz w:val="23"/>
            <w:szCs w:val="23"/>
          </w:rPr>
          <w:t>https://www.unwater.org/sites/default/files/2023-08/UN-Water_SDG6_SynthesisReport_2023.pdf</w:t>
        </w:r>
      </w:hyperlink>
      <w:r w:rsidRPr="00270EC7">
        <w:rPr>
          <w:rFonts w:ascii="Arial" w:hAnsi="Arial" w:cs="Arial"/>
          <w:sz w:val="23"/>
          <w:szCs w:val="23"/>
        </w:rPr>
        <w:t xml:space="preserve"> (Accessed: 21 September 2025).</w:t>
      </w:r>
    </w:p>
    <w:p w14:paraId="022143B7" w14:textId="77777777" w:rsidR="00B9794A" w:rsidRPr="00270EC7" w:rsidRDefault="00B9794A"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WHO (2022). </w:t>
      </w:r>
      <w:r w:rsidRPr="00270EC7">
        <w:rPr>
          <w:rFonts w:ascii="Arial" w:hAnsi="Arial" w:cs="Arial"/>
          <w:i/>
          <w:iCs/>
          <w:sz w:val="23"/>
          <w:szCs w:val="23"/>
        </w:rPr>
        <w:t>Targets of Sustainable Development Goal 3</w:t>
      </w:r>
      <w:r w:rsidRPr="00270EC7">
        <w:rPr>
          <w:rFonts w:ascii="Arial" w:hAnsi="Arial" w:cs="Arial"/>
          <w:sz w:val="23"/>
          <w:szCs w:val="23"/>
        </w:rPr>
        <w:t xml:space="preserve">. [online] World Health </w:t>
      </w:r>
      <w:proofErr w:type="spellStart"/>
      <w:r w:rsidRPr="00270EC7">
        <w:rPr>
          <w:rFonts w:ascii="Arial" w:hAnsi="Arial" w:cs="Arial"/>
          <w:sz w:val="23"/>
          <w:szCs w:val="23"/>
        </w:rPr>
        <w:t>Organisation</w:t>
      </w:r>
      <w:proofErr w:type="spellEnd"/>
      <w:r w:rsidRPr="00270EC7">
        <w:rPr>
          <w:rFonts w:ascii="Arial" w:hAnsi="Arial" w:cs="Arial"/>
          <w:sz w:val="23"/>
          <w:szCs w:val="23"/>
        </w:rPr>
        <w:t>. Available at: https://www.who.int/europe/about-us/our-work/sustainable-development-goals/targets-of-sustainable-development-goal-3 [Accessed 8 Oct. 2025].</w:t>
      </w:r>
    </w:p>
    <w:p w14:paraId="512F6EDD" w14:textId="77777777" w:rsidR="00B9794A" w:rsidRPr="00270EC7" w:rsidRDefault="00B9794A" w:rsidP="00270EC7">
      <w:pPr>
        <w:pStyle w:val="NormalWeb"/>
        <w:numPr>
          <w:ilvl w:val="0"/>
          <w:numId w:val="1"/>
        </w:numPr>
        <w:spacing w:line="360" w:lineRule="auto"/>
        <w:jc w:val="both"/>
        <w:rPr>
          <w:rFonts w:ascii="Arial" w:hAnsi="Arial" w:cs="Arial"/>
          <w:sz w:val="23"/>
          <w:szCs w:val="23"/>
        </w:rPr>
      </w:pPr>
      <w:r w:rsidRPr="00270EC7">
        <w:rPr>
          <w:rFonts w:ascii="Arial" w:hAnsi="Arial" w:cs="Arial"/>
          <w:sz w:val="23"/>
          <w:szCs w:val="23"/>
        </w:rPr>
        <w:t xml:space="preserve">World Health Organization (2022) </w:t>
      </w:r>
      <w:r w:rsidRPr="00270EC7">
        <w:rPr>
          <w:rStyle w:val="Emphasis"/>
          <w:rFonts w:ascii="Arial" w:hAnsi="Arial" w:cs="Arial"/>
          <w:sz w:val="23"/>
          <w:szCs w:val="23"/>
        </w:rPr>
        <w:t>Drinking-water: key facts</w:t>
      </w:r>
      <w:r w:rsidRPr="00270EC7">
        <w:rPr>
          <w:rFonts w:ascii="Arial" w:hAnsi="Arial" w:cs="Arial"/>
          <w:sz w:val="23"/>
          <w:szCs w:val="23"/>
        </w:rPr>
        <w:t xml:space="preserve">. Geneva: WHO. Available at: </w:t>
      </w:r>
      <w:hyperlink r:id="rId9" w:tgtFrame="_new" w:history="1">
        <w:r w:rsidRPr="00270EC7">
          <w:rPr>
            <w:rStyle w:val="Hyperlink"/>
            <w:rFonts w:ascii="Arial" w:hAnsi="Arial" w:cs="Arial"/>
            <w:sz w:val="23"/>
            <w:szCs w:val="23"/>
          </w:rPr>
          <w:t>https://www.who.int/news-room/fact-sheets/detail/drinking-water</w:t>
        </w:r>
      </w:hyperlink>
      <w:r w:rsidRPr="00270EC7">
        <w:rPr>
          <w:rFonts w:ascii="Arial" w:hAnsi="Arial" w:cs="Arial"/>
          <w:sz w:val="23"/>
          <w:szCs w:val="23"/>
        </w:rPr>
        <w:t xml:space="preserve"> (Accessed: 21 September 2025).</w:t>
      </w:r>
    </w:p>
    <w:p w14:paraId="23BCF4A6" w14:textId="77777777" w:rsidR="00B9794A" w:rsidRPr="00270EC7" w:rsidRDefault="00B9794A" w:rsidP="00270EC7">
      <w:pPr>
        <w:pStyle w:val="NormalWeb"/>
        <w:numPr>
          <w:ilvl w:val="0"/>
          <w:numId w:val="1"/>
        </w:numPr>
        <w:spacing w:before="0" w:beforeAutospacing="0" w:after="240" w:afterAutospacing="0" w:line="360" w:lineRule="auto"/>
        <w:jc w:val="both"/>
        <w:rPr>
          <w:rFonts w:ascii="Arial" w:hAnsi="Arial" w:cs="Arial"/>
          <w:sz w:val="23"/>
          <w:szCs w:val="23"/>
        </w:rPr>
      </w:pPr>
      <w:r w:rsidRPr="00270EC7">
        <w:rPr>
          <w:rFonts w:ascii="Arial" w:hAnsi="Arial" w:cs="Arial"/>
          <w:sz w:val="23"/>
          <w:szCs w:val="23"/>
        </w:rPr>
        <w:t xml:space="preserve">World Health Organization (2025). </w:t>
      </w:r>
      <w:r w:rsidRPr="00270EC7">
        <w:rPr>
          <w:rFonts w:ascii="Arial" w:hAnsi="Arial" w:cs="Arial"/>
          <w:i/>
          <w:iCs/>
          <w:sz w:val="23"/>
          <w:szCs w:val="23"/>
        </w:rPr>
        <w:t>Universal Health Coverage</w:t>
      </w:r>
      <w:r w:rsidRPr="00270EC7">
        <w:rPr>
          <w:rFonts w:ascii="Arial" w:hAnsi="Arial" w:cs="Arial"/>
          <w:sz w:val="23"/>
          <w:szCs w:val="23"/>
        </w:rPr>
        <w:t>. [online] World Health Organization. Available at: https://www.who.int/health-topics/universal-health-coverage#tab=tab_1 [Accessed 8 Oct. 2025].</w:t>
      </w:r>
    </w:p>
    <w:p w14:paraId="71568592" w14:textId="77777777" w:rsidR="00893DD7" w:rsidRPr="00893DD7" w:rsidRDefault="00893DD7" w:rsidP="00270EC7">
      <w:pPr>
        <w:pStyle w:val="NormalWeb"/>
        <w:spacing w:before="0" w:beforeAutospacing="0" w:after="240" w:afterAutospacing="0" w:line="360" w:lineRule="auto"/>
        <w:ind w:left="720"/>
        <w:rPr>
          <w:rFonts w:ascii="Arial" w:hAnsi="Arial" w:cs="Arial"/>
          <w:sz w:val="23"/>
          <w:szCs w:val="23"/>
        </w:rPr>
      </w:pPr>
    </w:p>
    <w:p w14:paraId="1F4F2B5A" w14:textId="77777777" w:rsidR="00DF6FB0" w:rsidRPr="000E4714" w:rsidRDefault="00DF6FB0" w:rsidP="000E4714">
      <w:pPr>
        <w:pStyle w:val="NormalWeb"/>
        <w:spacing w:before="0" w:beforeAutospacing="0" w:after="240" w:afterAutospacing="0" w:line="360" w:lineRule="auto"/>
        <w:jc w:val="both"/>
        <w:rPr>
          <w:rFonts w:ascii="Arial" w:hAnsi="Arial" w:cs="Arial"/>
          <w:sz w:val="23"/>
          <w:szCs w:val="23"/>
        </w:rPr>
      </w:pPr>
    </w:p>
    <w:p w14:paraId="3B3ED22B" w14:textId="77777777" w:rsidR="00DF6FB0" w:rsidRPr="000E4714" w:rsidRDefault="00DF6FB0" w:rsidP="000E4714">
      <w:pPr>
        <w:pStyle w:val="NormalWeb"/>
        <w:spacing w:before="0" w:beforeAutospacing="0" w:after="240" w:afterAutospacing="0" w:line="360" w:lineRule="auto"/>
        <w:jc w:val="both"/>
        <w:rPr>
          <w:rFonts w:ascii="Arial" w:hAnsi="Arial" w:cs="Arial"/>
          <w:sz w:val="23"/>
          <w:szCs w:val="23"/>
        </w:rPr>
      </w:pPr>
    </w:p>
    <w:p w14:paraId="7411977B" w14:textId="77777777" w:rsidR="00DF6FB0" w:rsidRPr="000E4714" w:rsidRDefault="00DF6FB0" w:rsidP="000E4714">
      <w:pPr>
        <w:pStyle w:val="NormalWeb"/>
        <w:spacing w:before="0" w:beforeAutospacing="0" w:after="240" w:afterAutospacing="0" w:line="360" w:lineRule="auto"/>
        <w:jc w:val="both"/>
        <w:rPr>
          <w:rFonts w:ascii="Arial" w:hAnsi="Arial" w:cs="Arial"/>
          <w:sz w:val="23"/>
          <w:szCs w:val="23"/>
        </w:rPr>
      </w:pPr>
    </w:p>
    <w:p w14:paraId="61ED3E0C" w14:textId="77777777" w:rsidR="007A5220" w:rsidRPr="000E4714" w:rsidRDefault="007A5220" w:rsidP="000E4714">
      <w:pPr>
        <w:pStyle w:val="NormalWeb"/>
        <w:spacing w:before="0" w:beforeAutospacing="0" w:after="240" w:afterAutospacing="0" w:line="360" w:lineRule="auto"/>
        <w:jc w:val="both"/>
        <w:rPr>
          <w:rFonts w:ascii="Arial" w:hAnsi="Arial" w:cs="Arial"/>
          <w:sz w:val="23"/>
          <w:szCs w:val="23"/>
        </w:rPr>
      </w:pPr>
    </w:p>
    <w:p w14:paraId="65722FA5" w14:textId="77777777" w:rsidR="007A5220" w:rsidRPr="000E4714" w:rsidRDefault="007A5220" w:rsidP="000E4714">
      <w:pPr>
        <w:spacing w:line="360" w:lineRule="auto"/>
        <w:jc w:val="both"/>
        <w:rPr>
          <w:rFonts w:ascii="Arial" w:hAnsi="Arial" w:cs="Arial"/>
          <w:sz w:val="23"/>
          <w:szCs w:val="23"/>
        </w:rPr>
      </w:pPr>
    </w:p>
    <w:sectPr w:rsidR="007A5220" w:rsidRPr="000E47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7B6A9F"/>
    <w:multiLevelType w:val="hybridMultilevel"/>
    <w:tmpl w:val="4A0AB4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71336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6FF3"/>
    <w:rsid w:val="000660A0"/>
    <w:rsid w:val="0009567A"/>
    <w:rsid w:val="000E4714"/>
    <w:rsid w:val="00210F8C"/>
    <w:rsid w:val="0026516B"/>
    <w:rsid w:val="00270EC7"/>
    <w:rsid w:val="002D6764"/>
    <w:rsid w:val="004D1852"/>
    <w:rsid w:val="00614810"/>
    <w:rsid w:val="00622E4B"/>
    <w:rsid w:val="00683A17"/>
    <w:rsid w:val="007A5220"/>
    <w:rsid w:val="007F1860"/>
    <w:rsid w:val="008278AC"/>
    <w:rsid w:val="00893DD7"/>
    <w:rsid w:val="009716F7"/>
    <w:rsid w:val="00A74CDE"/>
    <w:rsid w:val="00B9794A"/>
    <w:rsid w:val="00BB6FF3"/>
    <w:rsid w:val="00DF6FB0"/>
    <w:rsid w:val="00EA304C"/>
    <w:rsid w:val="00EB7943"/>
    <w:rsid w:val="00EC636F"/>
    <w:rsid w:val="00F541E1"/>
    <w:rsid w:val="00FD2C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199C4E"/>
  <w15:chartTrackingRefBased/>
  <w15:docId w15:val="{5CE9EB1F-82D9-42D7-8662-468CBB44E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5220"/>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7A5220"/>
    <w:rPr>
      <w:color w:val="0563C1" w:themeColor="hyperlink"/>
      <w:u w:val="single"/>
    </w:rPr>
  </w:style>
  <w:style w:type="character" w:customStyle="1" w:styleId="diff-highlight">
    <w:name w:val="diff-highlight"/>
    <w:basedOn w:val="DefaultParagraphFont"/>
    <w:rsid w:val="00DF6FB0"/>
  </w:style>
  <w:style w:type="character" w:styleId="Strong">
    <w:name w:val="Strong"/>
    <w:basedOn w:val="DefaultParagraphFont"/>
    <w:uiPriority w:val="22"/>
    <w:qFormat/>
    <w:rsid w:val="00F541E1"/>
    <w:rPr>
      <w:b/>
      <w:bCs/>
    </w:rPr>
  </w:style>
  <w:style w:type="character" w:styleId="Emphasis">
    <w:name w:val="Emphasis"/>
    <w:basedOn w:val="DefaultParagraphFont"/>
    <w:uiPriority w:val="20"/>
    <w:qFormat/>
    <w:rsid w:val="00F541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72988">
      <w:bodyDiv w:val="1"/>
      <w:marLeft w:val="0"/>
      <w:marRight w:val="0"/>
      <w:marTop w:val="0"/>
      <w:marBottom w:val="0"/>
      <w:divBdr>
        <w:top w:val="none" w:sz="0" w:space="0" w:color="auto"/>
        <w:left w:val="none" w:sz="0" w:space="0" w:color="auto"/>
        <w:bottom w:val="none" w:sz="0" w:space="0" w:color="auto"/>
        <w:right w:val="none" w:sz="0" w:space="0" w:color="auto"/>
      </w:divBdr>
    </w:div>
    <w:div w:id="43024320">
      <w:bodyDiv w:val="1"/>
      <w:marLeft w:val="0"/>
      <w:marRight w:val="0"/>
      <w:marTop w:val="0"/>
      <w:marBottom w:val="0"/>
      <w:divBdr>
        <w:top w:val="none" w:sz="0" w:space="0" w:color="auto"/>
        <w:left w:val="none" w:sz="0" w:space="0" w:color="auto"/>
        <w:bottom w:val="none" w:sz="0" w:space="0" w:color="auto"/>
        <w:right w:val="none" w:sz="0" w:space="0" w:color="auto"/>
      </w:divBdr>
      <w:divsChild>
        <w:div w:id="1557231654">
          <w:marLeft w:val="0"/>
          <w:marRight w:val="0"/>
          <w:marTop w:val="0"/>
          <w:marBottom w:val="0"/>
          <w:divBdr>
            <w:top w:val="none" w:sz="0" w:space="0" w:color="auto"/>
            <w:left w:val="none" w:sz="0" w:space="0" w:color="auto"/>
            <w:bottom w:val="none" w:sz="0" w:space="0" w:color="auto"/>
            <w:right w:val="none" w:sz="0" w:space="0" w:color="auto"/>
          </w:divBdr>
        </w:div>
      </w:divsChild>
    </w:div>
    <w:div w:id="50885975">
      <w:bodyDiv w:val="1"/>
      <w:marLeft w:val="0"/>
      <w:marRight w:val="0"/>
      <w:marTop w:val="0"/>
      <w:marBottom w:val="0"/>
      <w:divBdr>
        <w:top w:val="none" w:sz="0" w:space="0" w:color="auto"/>
        <w:left w:val="none" w:sz="0" w:space="0" w:color="auto"/>
        <w:bottom w:val="none" w:sz="0" w:space="0" w:color="auto"/>
        <w:right w:val="none" w:sz="0" w:space="0" w:color="auto"/>
      </w:divBdr>
    </w:div>
    <w:div w:id="67115858">
      <w:bodyDiv w:val="1"/>
      <w:marLeft w:val="0"/>
      <w:marRight w:val="0"/>
      <w:marTop w:val="0"/>
      <w:marBottom w:val="0"/>
      <w:divBdr>
        <w:top w:val="none" w:sz="0" w:space="0" w:color="auto"/>
        <w:left w:val="none" w:sz="0" w:space="0" w:color="auto"/>
        <w:bottom w:val="none" w:sz="0" w:space="0" w:color="auto"/>
        <w:right w:val="none" w:sz="0" w:space="0" w:color="auto"/>
      </w:divBdr>
      <w:divsChild>
        <w:div w:id="318382653">
          <w:marLeft w:val="0"/>
          <w:marRight w:val="0"/>
          <w:marTop w:val="0"/>
          <w:marBottom w:val="0"/>
          <w:divBdr>
            <w:top w:val="none" w:sz="0" w:space="0" w:color="auto"/>
            <w:left w:val="none" w:sz="0" w:space="0" w:color="auto"/>
            <w:bottom w:val="none" w:sz="0" w:space="0" w:color="auto"/>
            <w:right w:val="none" w:sz="0" w:space="0" w:color="auto"/>
          </w:divBdr>
        </w:div>
      </w:divsChild>
    </w:div>
    <w:div w:id="71702764">
      <w:bodyDiv w:val="1"/>
      <w:marLeft w:val="0"/>
      <w:marRight w:val="0"/>
      <w:marTop w:val="0"/>
      <w:marBottom w:val="0"/>
      <w:divBdr>
        <w:top w:val="none" w:sz="0" w:space="0" w:color="auto"/>
        <w:left w:val="none" w:sz="0" w:space="0" w:color="auto"/>
        <w:bottom w:val="none" w:sz="0" w:space="0" w:color="auto"/>
        <w:right w:val="none" w:sz="0" w:space="0" w:color="auto"/>
      </w:divBdr>
      <w:divsChild>
        <w:div w:id="922186613">
          <w:marLeft w:val="0"/>
          <w:marRight w:val="0"/>
          <w:marTop w:val="0"/>
          <w:marBottom w:val="0"/>
          <w:divBdr>
            <w:top w:val="none" w:sz="0" w:space="0" w:color="auto"/>
            <w:left w:val="none" w:sz="0" w:space="0" w:color="auto"/>
            <w:bottom w:val="none" w:sz="0" w:space="0" w:color="auto"/>
            <w:right w:val="none" w:sz="0" w:space="0" w:color="auto"/>
          </w:divBdr>
        </w:div>
      </w:divsChild>
    </w:div>
    <w:div w:id="120808583">
      <w:bodyDiv w:val="1"/>
      <w:marLeft w:val="0"/>
      <w:marRight w:val="0"/>
      <w:marTop w:val="0"/>
      <w:marBottom w:val="0"/>
      <w:divBdr>
        <w:top w:val="none" w:sz="0" w:space="0" w:color="auto"/>
        <w:left w:val="none" w:sz="0" w:space="0" w:color="auto"/>
        <w:bottom w:val="none" w:sz="0" w:space="0" w:color="auto"/>
        <w:right w:val="none" w:sz="0" w:space="0" w:color="auto"/>
      </w:divBdr>
    </w:div>
    <w:div w:id="175315810">
      <w:bodyDiv w:val="1"/>
      <w:marLeft w:val="0"/>
      <w:marRight w:val="0"/>
      <w:marTop w:val="0"/>
      <w:marBottom w:val="0"/>
      <w:divBdr>
        <w:top w:val="none" w:sz="0" w:space="0" w:color="auto"/>
        <w:left w:val="none" w:sz="0" w:space="0" w:color="auto"/>
        <w:bottom w:val="none" w:sz="0" w:space="0" w:color="auto"/>
        <w:right w:val="none" w:sz="0" w:space="0" w:color="auto"/>
      </w:divBdr>
    </w:div>
    <w:div w:id="208229000">
      <w:bodyDiv w:val="1"/>
      <w:marLeft w:val="0"/>
      <w:marRight w:val="0"/>
      <w:marTop w:val="0"/>
      <w:marBottom w:val="0"/>
      <w:divBdr>
        <w:top w:val="none" w:sz="0" w:space="0" w:color="auto"/>
        <w:left w:val="none" w:sz="0" w:space="0" w:color="auto"/>
        <w:bottom w:val="none" w:sz="0" w:space="0" w:color="auto"/>
        <w:right w:val="none" w:sz="0" w:space="0" w:color="auto"/>
      </w:divBdr>
      <w:divsChild>
        <w:div w:id="1303538459">
          <w:marLeft w:val="0"/>
          <w:marRight w:val="0"/>
          <w:marTop w:val="0"/>
          <w:marBottom w:val="0"/>
          <w:divBdr>
            <w:top w:val="none" w:sz="0" w:space="0" w:color="auto"/>
            <w:left w:val="none" w:sz="0" w:space="0" w:color="auto"/>
            <w:bottom w:val="none" w:sz="0" w:space="0" w:color="auto"/>
            <w:right w:val="none" w:sz="0" w:space="0" w:color="auto"/>
          </w:divBdr>
        </w:div>
      </w:divsChild>
    </w:div>
    <w:div w:id="279994450">
      <w:bodyDiv w:val="1"/>
      <w:marLeft w:val="0"/>
      <w:marRight w:val="0"/>
      <w:marTop w:val="0"/>
      <w:marBottom w:val="0"/>
      <w:divBdr>
        <w:top w:val="none" w:sz="0" w:space="0" w:color="auto"/>
        <w:left w:val="none" w:sz="0" w:space="0" w:color="auto"/>
        <w:bottom w:val="none" w:sz="0" w:space="0" w:color="auto"/>
        <w:right w:val="none" w:sz="0" w:space="0" w:color="auto"/>
      </w:divBdr>
    </w:div>
    <w:div w:id="291526145">
      <w:bodyDiv w:val="1"/>
      <w:marLeft w:val="0"/>
      <w:marRight w:val="0"/>
      <w:marTop w:val="0"/>
      <w:marBottom w:val="0"/>
      <w:divBdr>
        <w:top w:val="none" w:sz="0" w:space="0" w:color="auto"/>
        <w:left w:val="none" w:sz="0" w:space="0" w:color="auto"/>
        <w:bottom w:val="none" w:sz="0" w:space="0" w:color="auto"/>
        <w:right w:val="none" w:sz="0" w:space="0" w:color="auto"/>
      </w:divBdr>
    </w:div>
    <w:div w:id="318123507">
      <w:bodyDiv w:val="1"/>
      <w:marLeft w:val="0"/>
      <w:marRight w:val="0"/>
      <w:marTop w:val="0"/>
      <w:marBottom w:val="0"/>
      <w:divBdr>
        <w:top w:val="none" w:sz="0" w:space="0" w:color="auto"/>
        <w:left w:val="none" w:sz="0" w:space="0" w:color="auto"/>
        <w:bottom w:val="none" w:sz="0" w:space="0" w:color="auto"/>
        <w:right w:val="none" w:sz="0" w:space="0" w:color="auto"/>
      </w:divBdr>
    </w:div>
    <w:div w:id="362562411">
      <w:bodyDiv w:val="1"/>
      <w:marLeft w:val="0"/>
      <w:marRight w:val="0"/>
      <w:marTop w:val="0"/>
      <w:marBottom w:val="0"/>
      <w:divBdr>
        <w:top w:val="none" w:sz="0" w:space="0" w:color="auto"/>
        <w:left w:val="none" w:sz="0" w:space="0" w:color="auto"/>
        <w:bottom w:val="none" w:sz="0" w:space="0" w:color="auto"/>
        <w:right w:val="none" w:sz="0" w:space="0" w:color="auto"/>
      </w:divBdr>
    </w:div>
    <w:div w:id="573055156">
      <w:bodyDiv w:val="1"/>
      <w:marLeft w:val="0"/>
      <w:marRight w:val="0"/>
      <w:marTop w:val="0"/>
      <w:marBottom w:val="0"/>
      <w:divBdr>
        <w:top w:val="none" w:sz="0" w:space="0" w:color="auto"/>
        <w:left w:val="none" w:sz="0" w:space="0" w:color="auto"/>
        <w:bottom w:val="none" w:sz="0" w:space="0" w:color="auto"/>
        <w:right w:val="none" w:sz="0" w:space="0" w:color="auto"/>
      </w:divBdr>
    </w:div>
    <w:div w:id="632758096">
      <w:bodyDiv w:val="1"/>
      <w:marLeft w:val="0"/>
      <w:marRight w:val="0"/>
      <w:marTop w:val="0"/>
      <w:marBottom w:val="0"/>
      <w:divBdr>
        <w:top w:val="none" w:sz="0" w:space="0" w:color="auto"/>
        <w:left w:val="none" w:sz="0" w:space="0" w:color="auto"/>
        <w:bottom w:val="none" w:sz="0" w:space="0" w:color="auto"/>
        <w:right w:val="none" w:sz="0" w:space="0" w:color="auto"/>
      </w:divBdr>
    </w:div>
    <w:div w:id="828248913">
      <w:bodyDiv w:val="1"/>
      <w:marLeft w:val="0"/>
      <w:marRight w:val="0"/>
      <w:marTop w:val="0"/>
      <w:marBottom w:val="0"/>
      <w:divBdr>
        <w:top w:val="none" w:sz="0" w:space="0" w:color="auto"/>
        <w:left w:val="none" w:sz="0" w:space="0" w:color="auto"/>
        <w:bottom w:val="none" w:sz="0" w:space="0" w:color="auto"/>
        <w:right w:val="none" w:sz="0" w:space="0" w:color="auto"/>
      </w:divBdr>
    </w:div>
    <w:div w:id="860823432">
      <w:bodyDiv w:val="1"/>
      <w:marLeft w:val="0"/>
      <w:marRight w:val="0"/>
      <w:marTop w:val="0"/>
      <w:marBottom w:val="0"/>
      <w:divBdr>
        <w:top w:val="none" w:sz="0" w:space="0" w:color="auto"/>
        <w:left w:val="none" w:sz="0" w:space="0" w:color="auto"/>
        <w:bottom w:val="none" w:sz="0" w:space="0" w:color="auto"/>
        <w:right w:val="none" w:sz="0" w:space="0" w:color="auto"/>
      </w:divBdr>
      <w:divsChild>
        <w:div w:id="174078815">
          <w:marLeft w:val="0"/>
          <w:marRight w:val="0"/>
          <w:marTop w:val="0"/>
          <w:marBottom w:val="0"/>
          <w:divBdr>
            <w:top w:val="none" w:sz="0" w:space="0" w:color="auto"/>
            <w:left w:val="none" w:sz="0" w:space="0" w:color="auto"/>
            <w:bottom w:val="none" w:sz="0" w:space="0" w:color="auto"/>
            <w:right w:val="none" w:sz="0" w:space="0" w:color="auto"/>
          </w:divBdr>
        </w:div>
      </w:divsChild>
    </w:div>
    <w:div w:id="884176756">
      <w:bodyDiv w:val="1"/>
      <w:marLeft w:val="0"/>
      <w:marRight w:val="0"/>
      <w:marTop w:val="0"/>
      <w:marBottom w:val="0"/>
      <w:divBdr>
        <w:top w:val="none" w:sz="0" w:space="0" w:color="auto"/>
        <w:left w:val="none" w:sz="0" w:space="0" w:color="auto"/>
        <w:bottom w:val="none" w:sz="0" w:space="0" w:color="auto"/>
        <w:right w:val="none" w:sz="0" w:space="0" w:color="auto"/>
      </w:divBdr>
    </w:div>
    <w:div w:id="907500504">
      <w:bodyDiv w:val="1"/>
      <w:marLeft w:val="0"/>
      <w:marRight w:val="0"/>
      <w:marTop w:val="0"/>
      <w:marBottom w:val="0"/>
      <w:divBdr>
        <w:top w:val="none" w:sz="0" w:space="0" w:color="auto"/>
        <w:left w:val="none" w:sz="0" w:space="0" w:color="auto"/>
        <w:bottom w:val="none" w:sz="0" w:space="0" w:color="auto"/>
        <w:right w:val="none" w:sz="0" w:space="0" w:color="auto"/>
      </w:divBdr>
      <w:divsChild>
        <w:div w:id="1238204076">
          <w:marLeft w:val="0"/>
          <w:marRight w:val="0"/>
          <w:marTop w:val="0"/>
          <w:marBottom w:val="0"/>
          <w:divBdr>
            <w:top w:val="none" w:sz="0" w:space="0" w:color="auto"/>
            <w:left w:val="none" w:sz="0" w:space="0" w:color="auto"/>
            <w:bottom w:val="none" w:sz="0" w:space="0" w:color="auto"/>
            <w:right w:val="none" w:sz="0" w:space="0" w:color="auto"/>
          </w:divBdr>
        </w:div>
      </w:divsChild>
    </w:div>
    <w:div w:id="951401348">
      <w:bodyDiv w:val="1"/>
      <w:marLeft w:val="0"/>
      <w:marRight w:val="0"/>
      <w:marTop w:val="0"/>
      <w:marBottom w:val="0"/>
      <w:divBdr>
        <w:top w:val="none" w:sz="0" w:space="0" w:color="auto"/>
        <w:left w:val="none" w:sz="0" w:space="0" w:color="auto"/>
        <w:bottom w:val="none" w:sz="0" w:space="0" w:color="auto"/>
        <w:right w:val="none" w:sz="0" w:space="0" w:color="auto"/>
      </w:divBdr>
      <w:divsChild>
        <w:div w:id="1639645469">
          <w:marLeft w:val="0"/>
          <w:marRight w:val="0"/>
          <w:marTop w:val="0"/>
          <w:marBottom w:val="0"/>
          <w:divBdr>
            <w:top w:val="none" w:sz="0" w:space="0" w:color="auto"/>
            <w:left w:val="none" w:sz="0" w:space="0" w:color="auto"/>
            <w:bottom w:val="none" w:sz="0" w:space="0" w:color="auto"/>
            <w:right w:val="none" w:sz="0" w:space="0" w:color="auto"/>
          </w:divBdr>
        </w:div>
      </w:divsChild>
    </w:div>
    <w:div w:id="966664825">
      <w:bodyDiv w:val="1"/>
      <w:marLeft w:val="0"/>
      <w:marRight w:val="0"/>
      <w:marTop w:val="0"/>
      <w:marBottom w:val="0"/>
      <w:divBdr>
        <w:top w:val="none" w:sz="0" w:space="0" w:color="auto"/>
        <w:left w:val="none" w:sz="0" w:space="0" w:color="auto"/>
        <w:bottom w:val="none" w:sz="0" w:space="0" w:color="auto"/>
        <w:right w:val="none" w:sz="0" w:space="0" w:color="auto"/>
      </w:divBdr>
      <w:divsChild>
        <w:div w:id="160969066">
          <w:marLeft w:val="0"/>
          <w:marRight w:val="0"/>
          <w:marTop w:val="0"/>
          <w:marBottom w:val="0"/>
          <w:divBdr>
            <w:top w:val="none" w:sz="0" w:space="0" w:color="auto"/>
            <w:left w:val="none" w:sz="0" w:space="0" w:color="auto"/>
            <w:bottom w:val="none" w:sz="0" w:space="0" w:color="auto"/>
            <w:right w:val="none" w:sz="0" w:space="0" w:color="auto"/>
          </w:divBdr>
        </w:div>
      </w:divsChild>
    </w:div>
    <w:div w:id="1047947734">
      <w:bodyDiv w:val="1"/>
      <w:marLeft w:val="0"/>
      <w:marRight w:val="0"/>
      <w:marTop w:val="0"/>
      <w:marBottom w:val="0"/>
      <w:divBdr>
        <w:top w:val="none" w:sz="0" w:space="0" w:color="auto"/>
        <w:left w:val="none" w:sz="0" w:space="0" w:color="auto"/>
        <w:bottom w:val="none" w:sz="0" w:space="0" w:color="auto"/>
        <w:right w:val="none" w:sz="0" w:space="0" w:color="auto"/>
      </w:divBdr>
    </w:div>
    <w:div w:id="1108550626">
      <w:bodyDiv w:val="1"/>
      <w:marLeft w:val="0"/>
      <w:marRight w:val="0"/>
      <w:marTop w:val="0"/>
      <w:marBottom w:val="0"/>
      <w:divBdr>
        <w:top w:val="none" w:sz="0" w:space="0" w:color="auto"/>
        <w:left w:val="none" w:sz="0" w:space="0" w:color="auto"/>
        <w:bottom w:val="none" w:sz="0" w:space="0" w:color="auto"/>
        <w:right w:val="none" w:sz="0" w:space="0" w:color="auto"/>
      </w:divBdr>
    </w:div>
    <w:div w:id="1197541953">
      <w:bodyDiv w:val="1"/>
      <w:marLeft w:val="0"/>
      <w:marRight w:val="0"/>
      <w:marTop w:val="0"/>
      <w:marBottom w:val="0"/>
      <w:divBdr>
        <w:top w:val="none" w:sz="0" w:space="0" w:color="auto"/>
        <w:left w:val="none" w:sz="0" w:space="0" w:color="auto"/>
        <w:bottom w:val="none" w:sz="0" w:space="0" w:color="auto"/>
        <w:right w:val="none" w:sz="0" w:space="0" w:color="auto"/>
      </w:divBdr>
    </w:div>
    <w:div w:id="1328286763">
      <w:bodyDiv w:val="1"/>
      <w:marLeft w:val="0"/>
      <w:marRight w:val="0"/>
      <w:marTop w:val="0"/>
      <w:marBottom w:val="0"/>
      <w:divBdr>
        <w:top w:val="none" w:sz="0" w:space="0" w:color="auto"/>
        <w:left w:val="none" w:sz="0" w:space="0" w:color="auto"/>
        <w:bottom w:val="none" w:sz="0" w:space="0" w:color="auto"/>
        <w:right w:val="none" w:sz="0" w:space="0" w:color="auto"/>
      </w:divBdr>
      <w:divsChild>
        <w:div w:id="1404915509">
          <w:marLeft w:val="0"/>
          <w:marRight w:val="0"/>
          <w:marTop w:val="0"/>
          <w:marBottom w:val="0"/>
          <w:divBdr>
            <w:top w:val="none" w:sz="0" w:space="0" w:color="auto"/>
            <w:left w:val="none" w:sz="0" w:space="0" w:color="auto"/>
            <w:bottom w:val="none" w:sz="0" w:space="0" w:color="auto"/>
            <w:right w:val="none" w:sz="0" w:space="0" w:color="auto"/>
          </w:divBdr>
        </w:div>
      </w:divsChild>
    </w:div>
    <w:div w:id="1541278591">
      <w:bodyDiv w:val="1"/>
      <w:marLeft w:val="0"/>
      <w:marRight w:val="0"/>
      <w:marTop w:val="0"/>
      <w:marBottom w:val="0"/>
      <w:divBdr>
        <w:top w:val="none" w:sz="0" w:space="0" w:color="auto"/>
        <w:left w:val="none" w:sz="0" w:space="0" w:color="auto"/>
        <w:bottom w:val="none" w:sz="0" w:space="0" w:color="auto"/>
        <w:right w:val="none" w:sz="0" w:space="0" w:color="auto"/>
      </w:divBdr>
    </w:div>
    <w:div w:id="1637561018">
      <w:bodyDiv w:val="1"/>
      <w:marLeft w:val="0"/>
      <w:marRight w:val="0"/>
      <w:marTop w:val="0"/>
      <w:marBottom w:val="0"/>
      <w:divBdr>
        <w:top w:val="none" w:sz="0" w:space="0" w:color="auto"/>
        <w:left w:val="none" w:sz="0" w:space="0" w:color="auto"/>
        <w:bottom w:val="none" w:sz="0" w:space="0" w:color="auto"/>
        <w:right w:val="none" w:sz="0" w:space="0" w:color="auto"/>
      </w:divBdr>
      <w:divsChild>
        <w:div w:id="579488742">
          <w:marLeft w:val="0"/>
          <w:marRight w:val="0"/>
          <w:marTop w:val="0"/>
          <w:marBottom w:val="0"/>
          <w:divBdr>
            <w:top w:val="none" w:sz="0" w:space="0" w:color="auto"/>
            <w:left w:val="none" w:sz="0" w:space="0" w:color="auto"/>
            <w:bottom w:val="none" w:sz="0" w:space="0" w:color="auto"/>
            <w:right w:val="none" w:sz="0" w:space="0" w:color="auto"/>
          </w:divBdr>
        </w:div>
      </w:divsChild>
    </w:div>
    <w:div w:id="1644386791">
      <w:bodyDiv w:val="1"/>
      <w:marLeft w:val="0"/>
      <w:marRight w:val="0"/>
      <w:marTop w:val="0"/>
      <w:marBottom w:val="0"/>
      <w:divBdr>
        <w:top w:val="none" w:sz="0" w:space="0" w:color="auto"/>
        <w:left w:val="none" w:sz="0" w:space="0" w:color="auto"/>
        <w:bottom w:val="none" w:sz="0" w:space="0" w:color="auto"/>
        <w:right w:val="none" w:sz="0" w:space="0" w:color="auto"/>
      </w:divBdr>
    </w:div>
    <w:div w:id="1672638434">
      <w:bodyDiv w:val="1"/>
      <w:marLeft w:val="0"/>
      <w:marRight w:val="0"/>
      <w:marTop w:val="0"/>
      <w:marBottom w:val="0"/>
      <w:divBdr>
        <w:top w:val="none" w:sz="0" w:space="0" w:color="auto"/>
        <w:left w:val="none" w:sz="0" w:space="0" w:color="auto"/>
        <w:bottom w:val="none" w:sz="0" w:space="0" w:color="auto"/>
        <w:right w:val="none" w:sz="0" w:space="0" w:color="auto"/>
      </w:divBdr>
    </w:div>
    <w:div w:id="1843546893">
      <w:bodyDiv w:val="1"/>
      <w:marLeft w:val="0"/>
      <w:marRight w:val="0"/>
      <w:marTop w:val="0"/>
      <w:marBottom w:val="0"/>
      <w:divBdr>
        <w:top w:val="none" w:sz="0" w:space="0" w:color="auto"/>
        <w:left w:val="none" w:sz="0" w:space="0" w:color="auto"/>
        <w:bottom w:val="none" w:sz="0" w:space="0" w:color="auto"/>
        <w:right w:val="none" w:sz="0" w:space="0" w:color="auto"/>
      </w:divBdr>
      <w:divsChild>
        <w:div w:id="1857423233">
          <w:marLeft w:val="0"/>
          <w:marRight w:val="0"/>
          <w:marTop w:val="0"/>
          <w:marBottom w:val="0"/>
          <w:divBdr>
            <w:top w:val="none" w:sz="0" w:space="0" w:color="auto"/>
            <w:left w:val="none" w:sz="0" w:space="0" w:color="auto"/>
            <w:bottom w:val="none" w:sz="0" w:space="0" w:color="auto"/>
            <w:right w:val="none" w:sz="0" w:space="0" w:color="auto"/>
          </w:divBdr>
        </w:div>
      </w:divsChild>
    </w:div>
    <w:div w:id="1965844050">
      <w:bodyDiv w:val="1"/>
      <w:marLeft w:val="0"/>
      <w:marRight w:val="0"/>
      <w:marTop w:val="0"/>
      <w:marBottom w:val="0"/>
      <w:divBdr>
        <w:top w:val="none" w:sz="0" w:space="0" w:color="auto"/>
        <w:left w:val="none" w:sz="0" w:space="0" w:color="auto"/>
        <w:bottom w:val="none" w:sz="0" w:space="0" w:color="auto"/>
        <w:right w:val="none" w:sz="0" w:space="0" w:color="auto"/>
      </w:divBdr>
      <w:divsChild>
        <w:div w:id="208347965">
          <w:marLeft w:val="0"/>
          <w:marRight w:val="0"/>
          <w:marTop w:val="0"/>
          <w:marBottom w:val="0"/>
          <w:divBdr>
            <w:top w:val="none" w:sz="0" w:space="0" w:color="auto"/>
            <w:left w:val="none" w:sz="0" w:space="0" w:color="auto"/>
            <w:bottom w:val="none" w:sz="0" w:space="0" w:color="auto"/>
            <w:right w:val="none" w:sz="0" w:space="0" w:color="auto"/>
          </w:divBdr>
        </w:div>
      </w:divsChild>
    </w:div>
    <w:div w:id="2052488448">
      <w:bodyDiv w:val="1"/>
      <w:marLeft w:val="0"/>
      <w:marRight w:val="0"/>
      <w:marTop w:val="0"/>
      <w:marBottom w:val="0"/>
      <w:divBdr>
        <w:top w:val="none" w:sz="0" w:space="0" w:color="auto"/>
        <w:left w:val="none" w:sz="0" w:space="0" w:color="auto"/>
        <w:bottom w:val="none" w:sz="0" w:space="0" w:color="auto"/>
        <w:right w:val="none" w:sz="0" w:space="0" w:color="auto"/>
      </w:divBdr>
    </w:div>
    <w:div w:id="2108649083">
      <w:bodyDiv w:val="1"/>
      <w:marLeft w:val="0"/>
      <w:marRight w:val="0"/>
      <w:marTop w:val="0"/>
      <w:marBottom w:val="0"/>
      <w:divBdr>
        <w:top w:val="none" w:sz="0" w:space="0" w:color="auto"/>
        <w:left w:val="none" w:sz="0" w:space="0" w:color="auto"/>
        <w:bottom w:val="none" w:sz="0" w:space="0" w:color="auto"/>
        <w:right w:val="none" w:sz="0" w:space="0" w:color="auto"/>
      </w:divBdr>
    </w:div>
    <w:div w:id="2128545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water.org/sites/default/files/2023-08/UN-Water_SDG6_SynthesisReport_2023.pdf?utm_source=chatgpt.com" TargetMode="External"/><Relationship Id="rId3" Type="http://schemas.openxmlformats.org/officeDocument/2006/relationships/settings" Target="settings.xml"/><Relationship Id="rId7" Type="http://schemas.openxmlformats.org/officeDocument/2006/relationships/hyperlink" Target="https://sdgs.un.org/goals/goal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organisations/office-for-health-improvement-and-disparities" TargetMode="External"/><Relationship Id="rId11" Type="http://schemas.openxmlformats.org/officeDocument/2006/relationships/theme" Target="theme/theme1.xml"/><Relationship Id="rId5" Type="http://schemas.openxmlformats.org/officeDocument/2006/relationships/hyperlink" Target="https://www.longtermplan.nhs.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ho.int/news-room/fact-sheets/detail/drinking-wa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3238</Words>
  <Characters>18459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Guloona khan</cp:lastModifiedBy>
  <cp:revision>2</cp:revision>
  <dcterms:created xsi:type="dcterms:W3CDTF">2025-11-14T20:50:00Z</dcterms:created>
  <dcterms:modified xsi:type="dcterms:W3CDTF">2025-11-14T20:50:00Z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bcc0ec66-562f-4e63-8a60-acde25301fd1</vt:lpwstr>
  </property>
</Properties>
</file>