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2"/>
        <w:spacing w:before="0"/>
        <w:jc w:val="center"/>
      </w:pPr>
      <w:r>
        <w:drawing>
          <wp:inline distT="0" distB="0" distL="0" distR="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798320" cy="741045"/>
                    </a:xfrm>
                    <a:prstGeom prst="rect">
                      <a:avLst/>
                    </a:prstGeom>
                    <a:noFill/>
                    <a:ln>
                      <a:noFill/>
                    </a:ln>
                  </pic:spPr>
                </pic:pic>
              </a:graphicData>
            </a:graphic>
          </wp:inline>
        </w:drawing>
      </w:r>
    </w:p>
    <w:p>
      <w:pPr>
        <w:pStyle w:val="12"/>
        <w:spacing w:before="0"/>
        <w:jc w:val="center"/>
      </w:pPr>
    </w:p>
    <w:p>
      <w:pPr>
        <w:spacing w:line="276" w:lineRule="auto"/>
        <w:jc w:val="center"/>
        <w:rPr>
          <w:rFonts w:ascii="Arial" w:hAnsi="Arial" w:cs="Arial"/>
          <w:b/>
          <w:szCs w:val="8"/>
        </w:rPr>
      </w:pPr>
      <w:r>
        <w:rPr>
          <w:rFonts w:ascii="Arial" w:hAnsi="Arial" w:cs="Arial"/>
          <w:b/>
          <w:szCs w:val="8"/>
        </w:rPr>
        <w:t>ECPS6001: Psychology Empirical Project</w:t>
      </w:r>
    </w:p>
    <w:p>
      <w:pPr>
        <w:spacing w:line="276" w:lineRule="auto"/>
        <w:jc w:val="center"/>
        <w:rPr>
          <w:rFonts w:ascii="Arial" w:hAnsi="Arial" w:cs="Arial"/>
          <w:b/>
          <w:szCs w:val="8"/>
        </w:rPr>
      </w:pPr>
      <w:r>
        <w:rPr>
          <w:rFonts w:ascii="Arial" w:hAnsi="Arial" w:cs="Arial"/>
          <w:b/>
          <w:szCs w:val="8"/>
        </w:rPr>
        <w:t>Research Proposal</w:t>
      </w:r>
    </w:p>
    <w:p>
      <w:pPr>
        <w:spacing w:line="276" w:lineRule="auto"/>
        <w:jc w:val="center"/>
        <w:rPr>
          <w:rFonts w:ascii="Arial" w:hAnsi="Arial" w:cs="Arial"/>
          <w:b/>
          <w:szCs w:val="8"/>
        </w:rPr>
      </w:pPr>
    </w:p>
    <w:p>
      <w:pPr>
        <w:spacing w:line="276" w:lineRule="auto"/>
        <w:rPr>
          <w:rFonts w:ascii="Arial" w:hAnsi="Arial" w:cs="Arial"/>
          <w:szCs w:val="8"/>
        </w:rPr>
      </w:pPr>
      <w:r>
        <w:rPr>
          <w:rFonts w:ascii="Arial" w:hAnsi="Arial" w:cs="Arial"/>
          <w:szCs w:val="8"/>
        </w:rPr>
        <w:t xml:space="preserve">Assessment Component 1: Research proposal (1,000 words) worth 10% of the overall module mark for the Psychology Empirical Project. The proposal form will be marked in line with the Level Six Grading Rubric. The boxes below will expand as you type.  </w:t>
      </w:r>
    </w:p>
    <w:tbl>
      <w:tblPr>
        <w:tblStyle w:val="4"/>
        <w:tblpPr w:leftFromText="180" w:rightFromText="180" w:vertAnchor="text" w:horzAnchor="margin" w:tblpY="175"/>
        <w:tblW w:w="1036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08"/>
        <w:gridCol w:w="78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67" w:hRule="atLeast"/>
        </w:trPr>
        <w:tc>
          <w:tcPr>
            <w:tcW w:w="2508" w:type="dxa"/>
            <w:shd w:val="clear" w:color="auto" w:fill="E0E0E0"/>
          </w:tcPr>
          <w:p>
            <w:pPr>
              <w:rPr>
                <w:rFonts w:ascii="Arial" w:hAnsi="Arial" w:cs="Arial"/>
                <w:sz w:val="22"/>
                <w:szCs w:val="22"/>
              </w:rPr>
            </w:pPr>
            <w:r>
              <w:rPr>
                <w:rFonts w:ascii="Arial" w:hAnsi="Arial" w:cs="Arial"/>
                <w:sz w:val="22"/>
                <w:szCs w:val="22"/>
              </w:rPr>
              <w:t>Student Name and University ID number:</w:t>
            </w:r>
          </w:p>
        </w:tc>
        <w:tc>
          <w:tcPr>
            <w:tcW w:w="7860" w:type="dxa"/>
          </w:tcPr>
          <w:p>
            <w:pPr>
              <w:rPr>
                <w:rFonts w:hint="default"/>
                <w:sz w:val="24"/>
                <w:szCs w:val="24"/>
                <w:lang w:val="en-US"/>
              </w:rPr>
            </w:pPr>
            <w:r>
              <w:rPr>
                <w:rFonts w:hint="default"/>
                <w:sz w:val="24"/>
                <w:szCs w:val="24"/>
                <w:lang w:val="en-US"/>
              </w:rPr>
              <w:t>Carys Summerhayes</w:t>
            </w:r>
          </w:p>
          <w:p>
            <w:pPr>
              <w:rPr>
                <w:rFonts w:hint="default"/>
                <w:sz w:val="28"/>
                <w:szCs w:val="28"/>
                <w:lang w:val="en-US"/>
              </w:rPr>
            </w:pPr>
            <w:r>
              <w:rPr>
                <w:rFonts w:hint="default"/>
                <w:sz w:val="24"/>
                <w:szCs w:val="24"/>
                <w:lang w:val="en-US"/>
              </w:rPr>
              <w:t>2003735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67" w:hRule="atLeast"/>
        </w:trPr>
        <w:tc>
          <w:tcPr>
            <w:tcW w:w="2508" w:type="dxa"/>
            <w:shd w:val="clear" w:color="auto" w:fill="E0E0E0"/>
          </w:tcPr>
          <w:p>
            <w:pPr>
              <w:rPr>
                <w:rFonts w:ascii="Arial" w:hAnsi="Arial" w:cs="Arial"/>
                <w:sz w:val="22"/>
                <w:szCs w:val="22"/>
              </w:rPr>
            </w:pPr>
            <w:r>
              <w:rPr>
                <w:rFonts w:ascii="Arial" w:hAnsi="Arial" w:cs="Arial"/>
                <w:sz w:val="22"/>
                <w:szCs w:val="22"/>
              </w:rPr>
              <w:t>Proposed Supervisor’s name:</w:t>
            </w:r>
          </w:p>
        </w:tc>
        <w:tc>
          <w:tcPr>
            <w:tcW w:w="7860" w:type="dxa"/>
          </w:tcPr>
          <w:p>
            <w:pPr>
              <w:rPr>
                <w:rFonts w:hint="default" w:ascii="Times New Roman Italic" w:hAnsi="Times New Roman Italic" w:cs="Times New Roman Italic"/>
                <w:i/>
                <w:iCs w:val="0"/>
                <w:sz w:val="24"/>
                <w:szCs w:val="24"/>
                <w:lang w:val="en-US"/>
              </w:rPr>
            </w:pPr>
            <w:r>
              <w:rPr>
                <w:rFonts w:hint="default" w:ascii="Times New Roman Italic" w:hAnsi="Times New Roman Italic" w:cs="Times New Roman Italic"/>
                <w:i/>
                <w:iCs w:val="0"/>
                <w:sz w:val="24"/>
                <w:szCs w:val="24"/>
                <w:lang w:val="en-US"/>
              </w:rPr>
              <w:t>Zoe Cooke</w:t>
            </w:r>
          </w:p>
          <w:p>
            <w:pPr>
              <w:rPr>
                <w:i/>
                <w:sz w:val="20"/>
                <w:szCs w:val="28"/>
              </w:rPr>
            </w:pPr>
          </w:p>
        </w:tc>
      </w:tr>
    </w:tbl>
    <w:p>
      <w:pPr>
        <w:pStyle w:val="12"/>
        <w:spacing w:before="0"/>
        <w:rPr>
          <w:b w:val="0"/>
          <w:sz w:val="32"/>
          <w:szCs w:val="20"/>
        </w:rPr>
      </w:pPr>
    </w:p>
    <w:p>
      <w:pPr>
        <w:rPr>
          <w:rFonts w:ascii="Arial" w:hAnsi="Arial" w:cs="Arial"/>
          <w:b/>
          <w:bCs/>
          <w:sz w:val="20"/>
          <w:szCs w:val="20"/>
        </w:rPr>
      </w:pPr>
      <w:r>
        <w:rPr>
          <w:rFonts w:ascii="Arial" w:hAnsi="Arial" w:cs="Arial"/>
          <w:b/>
          <w:bCs/>
          <w:sz w:val="20"/>
          <w:szCs w:val="20"/>
        </w:rPr>
        <w:t xml:space="preserve">Psychology Research Area (tick all that apply) </w:t>
      </w:r>
    </w:p>
    <w:p>
      <w:pPr>
        <w:rPr>
          <w:rFonts w:ascii="Arial" w:hAnsi="Arial" w:cs="Arial"/>
          <w:b/>
          <w:bCs/>
          <w:sz w:val="20"/>
          <w:szCs w:val="20"/>
        </w:rPr>
      </w:pPr>
    </w:p>
    <w:p>
      <w:pPr>
        <w:rPr>
          <w:rFonts w:ascii="Arial" w:hAnsi="Arial" w:cs="Arial"/>
          <w:b/>
          <w:bCs/>
          <w:sz w:val="20"/>
          <w:szCs w:val="20"/>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77"/>
        <w:gridCol w:w="2577"/>
        <w:gridCol w:w="2577"/>
        <w:gridCol w:w="2577"/>
      </w:tblGrid>
      <w:tr>
        <w:tc>
          <w:tcPr>
            <w:tcW w:w="2577" w:type="dxa"/>
          </w:tcPr>
          <w:p>
            <w:pPr>
              <w:rPr>
                <w:rFonts w:ascii="Arial" w:hAnsi="Arial" w:cs="Arial"/>
                <w:sz w:val="20"/>
                <w:szCs w:val="20"/>
              </w:rPr>
            </w:pPr>
            <w:r>
              <w:rPr>
                <w:rFonts w:ascii="Arial" w:hAnsi="Arial" w:cs="Arial"/>
                <w:sz w:val="20"/>
                <w:szCs w:val="20"/>
              </w:rPr>
              <w:t xml:space="preserve">Social Psychology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Developmental Psychology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Biological Psychology </w:t>
            </w:r>
          </w:p>
        </w:tc>
        <w:tc>
          <w:tcPr>
            <w:tcW w:w="2577" w:type="dxa"/>
          </w:tcPr>
          <w:p>
            <w:pPr>
              <w:rPr>
                <w:rFonts w:ascii="Arial" w:hAnsi="Arial" w:cs="Arial"/>
                <w:sz w:val="20"/>
                <w:szCs w:val="20"/>
              </w:rPr>
            </w:pPr>
            <w:r>
              <w:rPr>
                <w:rFonts w:ascii="Arial" w:hAnsi="Arial" w:cs="Arial"/>
                <w:sz w:val="20"/>
                <w:szCs w:val="20"/>
              </w:rPr>
              <w:t xml:space="preserve">Forensic Psychology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577" w:type="dxa"/>
          </w:tcPr>
          <w:p>
            <w:pPr>
              <w:rPr>
                <w:rFonts w:ascii="Arial" w:hAnsi="Arial" w:cs="Arial"/>
                <w:sz w:val="20"/>
                <w:szCs w:val="20"/>
              </w:rPr>
            </w:pPr>
            <w:r>
              <w:rPr>
                <w:rFonts w:ascii="Arial" w:hAnsi="Arial" w:cs="Arial"/>
                <w:sz w:val="20"/>
                <w:szCs w:val="20"/>
              </w:rPr>
              <w:t xml:space="preserve">Health Psychology </w:t>
            </w:r>
          </w:p>
          <w:p>
            <w:pPr>
              <w:rPr>
                <w:rFonts w:hint="default" w:ascii="Arial" w:hAnsi="Arial" w:cs="Arial"/>
                <w:sz w:val="20"/>
                <w:szCs w:val="20"/>
                <w:lang w:val="en-US"/>
              </w:rPr>
            </w:pPr>
            <w:r>
              <w:rPr>
                <w:rFonts w:hint="default" w:ascii="Arial" w:hAnsi="Arial" w:cs="Arial"/>
                <w:sz w:val="20"/>
                <w:szCs w:val="20"/>
                <w:lang w:val="en-US"/>
              </w:rPr>
              <w:t>/</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Individual Differences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Educational Psychology </w:t>
            </w:r>
          </w:p>
        </w:tc>
        <w:tc>
          <w:tcPr>
            <w:tcW w:w="2577" w:type="dxa"/>
          </w:tcPr>
          <w:p>
            <w:pPr>
              <w:rPr>
                <w:rFonts w:ascii="Arial" w:hAnsi="Arial" w:cs="Arial"/>
                <w:sz w:val="20"/>
                <w:szCs w:val="20"/>
              </w:rPr>
            </w:pPr>
            <w:r>
              <w:rPr>
                <w:rFonts w:ascii="Arial" w:hAnsi="Arial" w:cs="Arial"/>
                <w:sz w:val="20"/>
                <w:szCs w:val="20"/>
              </w:rPr>
              <w:t xml:space="preserve">Political Psychology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577" w:type="dxa"/>
          </w:tcPr>
          <w:p>
            <w:pPr>
              <w:rPr>
                <w:rFonts w:ascii="Arial" w:hAnsi="Arial" w:cs="Arial"/>
                <w:sz w:val="20"/>
                <w:szCs w:val="20"/>
              </w:rPr>
            </w:pPr>
            <w:r>
              <w:rPr>
                <w:rFonts w:ascii="Arial" w:hAnsi="Arial" w:cs="Arial"/>
                <w:sz w:val="20"/>
                <w:szCs w:val="20"/>
              </w:rPr>
              <w:t xml:space="preserve">Cognitive Psychology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Clinical Psychology </w:t>
            </w:r>
          </w:p>
        </w:tc>
        <w:tc>
          <w:tcPr>
            <w:tcW w:w="2577" w:type="dxa"/>
          </w:tcPr>
          <w:p>
            <w:pPr>
              <w:rPr>
                <w:rFonts w:ascii="Arial" w:hAnsi="Arial" w:cs="Arial"/>
                <w:sz w:val="20"/>
                <w:szCs w:val="20"/>
              </w:rPr>
            </w:pPr>
            <w:r>
              <w:rPr>
                <w:rFonts w:ascii="Arial" w:hAnsi="Arial" w:cs="Arial"/>
                <w:sz w:val="20"/>
                <w:szCs w:val="20"/>
              </w:rPr>
              <w:t xml:space="preserve">Counselling Psychology </w:t>
            </w:r>
          </w:p>
        </w:tc>
        <w:tc>
          <w:tcPr>
            <w:tcW w:w="2577" w:type="dxa"/>
          </w:tcPr>
          <w:p>
            <w:pPr>
              <w:rPr>
                <w:rFonts w:ascii="Arial" w:hAnsi="Arial" w:cs="Arial"/>
                <w:sz w:val="20"/>
                <w:szCs w:val="20"/>
              </w:rPr>
            </w:pPr>
            <w:r>
              <w:rPr>
                <w:rFonts w:ascii="Arial" w:hAnsi="Arial" w:cs="Arial"/>
                <w:sz w:val="20"/>
                <w:szCs w:val="20"/>
              </w:rPr>
              <w:t xml:space="preserve">Occupational Psychology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308" w:type="dxa"/>
            <w:gridSpan w:val="4"/>
          </w:tcPr>
          <w:p>
            <w:pPr>
              <w:rPr>
                <w:rFonts w:ascii="Arial" w:hAnsi="Arial" w:cs="Arial"/>
                <w:i/>
                <w:iCs/>
                <w:sz w:val="20"/>
                <w:szCs w:val="20"/>
              </w:rPr>
            </w:pPr>
            <w:r>
              <w:rPr>
                <w:rFonts w:ascii="Arial" w:hAnsi="Arial" w:cs="Arial"/>
                <w:i/>
                <w:iCs/>
                <w:sz w:val="20"/>
                <w:szCs w:val="20"/>
              </w:rPr>
              <w:t>Other:  indicate briefly (not included in word count)</w:t>
            </w:r>
          </w:p>
          <w:p>
            <w:pPr>
              <w:rPr>
                <w:rFonts w:ascii="Arial" w:hAnsi="Arial" w:cs="Arial"/>
                <w:sz w:val="20"/>
                <w:szCs w:val="20"/>
              </w:rPr>
            </w:pPr>
          </w:p>
        </w:tc>
      </w:tr>
    </w:tbl>
    <w:p>
      <w:pPr>
        <w:rPr>
          <w:sz w:val="32"/>
          <w:szCs w:val="12"/>
        </w:rPr>
      </w:pPr>
    </w:p>
    <w:p>
      <w:pPr>
        <w:rPr>
          <w:rFonts w:ascii="Arial" w:hAnsi="Arial" w:cs="Arial"/>
          <w:b/>
          <w:bCs/>
          <w:sz w:val="20"/>
          <w:szCs w:val="20"/>
        </w:rPr>
      </w:pPr>
      <w:r>
        <w:rPr>
          <w:rFonts w:ascii="Arial" w:hAnsi="Arial" w:cs="Arial"/>
          <w:b/>
          <w:bCs/>
          <w:sz w:val="20"/>
          <w:szCs w:val="20"/>
        </w:rPr>
        <w:t xml:space="preserve">Proposed Study Design (tick all that apply) </w:t>
      </w:r>
    </w:p>
    <w:p>
      <w:pPr>
        <w:rPr>
          <w:rFonts w:ascii="Arial" w:hAnsi="Arial" w:cs="Arial"/>
          <w:b/>
          <w:bCs/>
          <w:sz w:val="20"/>
          <w:szCs w:val="20"/>
        </w:rPr>
      </w:pPr>
    </w:p>
    <w:p>
      <w:pPr>
        <w:rPr>
          <w:rFonts w:ascii="Arial" w:hAnsi="Arial" w:cs="Arial"/>
          <w:b/>
          <w:bCs/>
          <w:sz w:val="20"/>
          <w:szCs w:val="20"/>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77"/>
        <w:gridCol w:w="2577"/>
        <w:gridCol w:w="2577"/>
        <w:gridCol w:w="2577"/>
      </w:tblGrid>
      <w:tr>
        <w:tc>
          <w:tcPr>
            <w:tcW w:w="2577" w:type="dxa"/>
          </w:tcPr>
          <w:p>
            <w:pPr>
              <w:rPr>
                <w:rFonts w:ascii="Arial" w:hAnsi="Arial" w:cs="Arial"/>
                <w:sz w:val="20"/>
                <w:szCs w:val="20"/>
              </w:rPr>
            </w:pPr>
            <w:r>
              <w:rPr>
                <w:rFonts w:ascii="Arial" w:hAnsi="Arial" w:cs="Arial"/>
                <w:sz w:val="20"/>
                <w:szCs w:val="20"/>
              </w:rPr>
              <w:t xml:space="preserve">Quantitative </w:t>
            </w:r>
          </w:p>
          <w:p>
            <w:pPr>
              <w:rPr>
                <w:rFonts w:hint="default" w:ascii="Arial" w:hAnsi="Arial" w:cs="Arial"/>
                <w:sz w:val="20"/>
                <w:szCs w:val="20"/>
                <w:lang w:val="en-US"/>
              </w:rPr>
            </w:pPr>
            <w:r>
              <w:rPr>
                <w:rFonts w:hint="default" w:ascii="Arial" w:hAnsi="Arial" w:cs="Arial"/>
                <w:sz w:val="20"/>
                <w:szCs w:val="20"/>
                <w:lang w:val="en-US"/>
              </w:rPr>
              <w:t>/</w:t>
            </w:r>
          </w:p>
        </w:tc>
        <w:tc>
          <w:tcPr>
            <w:tcW w:w="2577" w:type="dxa"/>
          </w:tcPr>
          <w:p>
            <w:pPr>
              <w:rPr>
                <w:rFonts w:ascii="Arial" w:hAnsi="Arial" w:cs="Arial"/>
                <w:sz w:val="20"/>
                <w:szCs w:val="20"/>
              </w:rPr>
            </w:pPr>
            <w:r>
              <w:rPr>
                <w:rFonts w:ascii="Arial" w:hAnsi="Arial" w:cs="Arial"/>
                <w:sz w:val="20"/>
                <w:szCs w:val="20"/>
              </w:rPr>
              <w:t xml:space="preserve">Experimental </w:t>
            </w:r>
          </w:p>
        </w:tc>
        <w:tc>
          <w:tcPr>
            <w:tcW w:w="2577" w:type="dxa"/>
          </w:tcPr>
          <w:p>
            <w:pPr>
              <w:rPr>
                <w:rFonts w:ascii="Arial" w:hAnsi="Arial" w:cs="Arial"/>
                <w:sz w:val="20"/>
                <w:szCs w:val="20"/>
              </w:rPr>
            </w:pPr>
            <w:r>
              <w:rPr>
                <w:rFonts w:ascii="Arial" w:hAnsi="Arial" w:cs="Arial"/>
                <w:sz w:val="20"/>
                <w:szCs w:val="20"/>
              </w:rPr>
              <w:t xml:space="preserve">Applied (with UWTSD students </w:t>
            </w:r>
          </w:p>
          <w:p>
            <w:pPr>
              <w:rPr>
                <w:rFonts w:hint="default" w:ascii="Arial" w:hAnsi="Arial" w:cs="Arial"/>
                <w:sz w:val="20"/>
                <w:szCs w:val="20"/>
                <w:lang w:val="en-US"/>
              </w:rPr>
            </w:pPr>
            <w:r>
              <w:rPr>
                <w:rFonts w:hint="default" w:ascii="Arial" w:hAnsi="Arial" w:cs="Arial"/>
                <w:sz w:val="20"/>
                <w:szCs w:val="20"/>
                <w:lang w:val="en-US"/>
              </w:rPr>
              <w:t>/</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Online Questionnaire Survey </w:t>
            </w:r>
          </w:p>
          <w:p>
            <w:pPr>
              <w:rPr>
                <w:rFonts w:hint="default" w:ascii="Arial" w:hAnsi="Arial" w:cs="Arial"/>
                <w:sz w:val="20"/>
                <w:szCs w:val="20"/>
                <w:lang w:val="en-US"/>
              </w:rPr>
            </w:pPr>
            <w:r>
              <w:rPr>
                <w:rFonts w:hint="default" w:ascii="Arial" w:hAnsi="Arial" w:cs="Arial"/>
                <w:sz w:val="20"/>
                <w:szCs w:val="20"/>
                <w:lang w:val="en-US"/>
              </w:rPr>
              <w:t>/</w:t>
            </w:r>
          </w:p>
        </w:tc>
      </w:tr>
      <w:tr>
        <w:tc>
          <w:tcPr>
            <w:tcW w:w="2577" w:type="dxa"/>
          </w:tcPr>
          <w:p>
            <w:pPr>
              <w:rPr>
                <w:rFonts w:ascii="Arial" w:hAnsi="Arial" w:cs="Arial"/>
                <w:sz w:val="20"/>
                <w:szCs w:val="20"/>
              </w:rPr>
            </w:pPr>
            <w:r>
              <w:rPr>
                <w:rFonts w:ascii="Arial" w:hAnsi="Arial" w:cs="Arial"/>
                <w:sz w:val="20"/>
                <w:szCs w:val="20"/>
              </w:rPr>
              <w:t xml:space="preserve">Qualitative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Quasi Experimental </w:t>
            </w:r>
          </w:p>
          <w:p>
            <w:pPr>
              <w:rPr>
                <w:rFonts w:ascii="Arial" w:hAnsi="Arial" w:cs="Arial"/>
                <w:sz w:val="20"/>
                <w:szCs w:val="20"/>
              </w:rPr>
            </w:pP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Focus Groups</w:t>
            </w:r>
          </w:p>
        </w:tc>
        <w:tc>
          <w:tcPr>
            <w:tcW w:w="2577" w:type="dxa"/>
          </w:tcPr>
          <w:p>
            <w:pPr>
              <w:rPr>
                <w:rFonts w:ascii="Arial" w:hAnsi="Arial" w:cs="Arial"/>
                <w:sz w:val="20"/>
                <w:szCs w:val="20"/>
              </w:rPr>
            </w:pPr>
            <w:r>
              <w:rPr>
                <w:rFonts w:ascii="Arial" w:hAnsi="Arial" w:cs="Arial"/>
                <w:sz w:val="20"/>
                <w:szCs w:val="20"/>
              </w:rPr>
              <w:t xml:space="preserve">Online  </w:t>
            </w:r>
          </w:p>
          <w:p>
            <w:pPr>
              <w:rPr>
                <w:rFonts w:hint="default" w:ascii="Arial" w:hAnsi="Arial" w:cs="Arial"/>
                <w:sz w:val="20"/>
                <w:szCs w:val="20"/>
                <w:lang w:val="en-US"/>
              </w:rPr>
            </w:pPr>
            <w:r>
              <w:rPr>
                <w:rFonts w:hint="default" w:ascii="Arial" w:hAnsi="Arial" w:cs="Arial"/>
                <w:sz w:val="20"/>
                <w:szCs w:val="20"/>
                <w:lang w:val="en-US"/>
              </w:rPr>
              <w:t>/</w:t>
            </w:r>
          </w:p>
        </w:tc>
      </w:tr>
      <w:tr>
        <w:tc>
          <w:tcPr>
            <w:tcW w:w="2577" w:type="dxa"/>
          </w:tcPr>
          <w:p>
            <w:pPr>
              <w:rPr>
                <w:rFonts w:ascii="Arial" w:hAnsi="Arial" w:cs="Arial"/>
                <w:sz w:val="20"/>
                <w:szCs w:val="20"/>
              </w:rPr>
            </w:pPr>
            <w:r>
              <w:rPr>
                <w:rFonts w:ascii="Arial" w:hAnsi="Arial" w:cs="Arial"/>
                <w:sz w:val="20"/>
                <w:szCs w:val="20"/>
              </w:rPr>
              <w:t xml:space="preserve">Mixed Methods </w:t>
            </w: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Applied (with external organisation) </w:t>
            </w:r>
          </w:p>
        </w:tc>
        <w:tc>
          <w:tcPr>
            <w:tcW w:w="2577" w:type="dxa"/>
          </w:tcPr>
          <w:p>
            <w:pPr>
              <w:rPr>
                <w:rFonts w:ascii="Arial" w:hAnsi="Arial" w:cs="Arial"/>
                <w:sz w:val="20"/>
                <w:szCs w:val="20"/>
              </w:rPr>
            </w:pPr>
            <w:r>
              <w:rPr>
                <w:rFonts w:ascii="Arial" w:hAnsi="Arial" w:cs="Arial"/>
                <w:sz w:val="20"/>
                <w:szCs w:val="20"/>
              </w:rPr>
              <w:t xml:space="preserve">Interviews </w:t>
            </w:r>
          </w:p>
          <w:p>
            <w:pPr>
              <w:rPr>
                <w:rFonts w:ascii="Arial" w:hAnsi="Arial" w:cs="Arial"/>
                <w:sz w:val="20"/>
                <w:szCs w:val="20"/>
              </w:rPr>
            </w:pPr>
          </w:p>
          <w:p>
            <w:pPr>
              <w:rPr>
                <w:rFonts w:ascii="Arial" w:hAnsi="Arial" w:cs="Arial"/>
                <w:sz w:val="20"/>
                <w:szCs w:val="20"/>
              </w:rPr>
            </w:pPr>
          </w:p>
          <w:p>
            <w:pPr>
              <w:rPr>
                <w:rFonts w:ascii="Arial" w:hAnsi="Arial" w:cs="Arial"/>
                <w:sz w:val="20"/>
                <w:szCs w:val="20"/>
              </w:rPr>
            </w:pPr>
          </w:p>
        </w:tc>
        <w:tc>
          <w:tcPr>
            <w:tcW w:w="2577" w:type="dxa"/>
          </w:tcPr>
          <w:p>
            <w:pPr>
              <w:rPr>
                <w:rFonts w:ascii="Arial" w:hAnsi="Arial" w:cs="Arial"/>
                <w:sz w:val="20"/>
                <w:szCs w:val="20"/>
              </w:rPr>
            </w:pPr>
            <w:r>
              <w:rPr>
                <w:rFonts w:ascii="Arial" w:hAnsi="Arial" w:cs="Arial"/>
                <w:sz w:val="20"/>
                <w:szCs w:val="20"/>
              </w:rPr>
              <w:t xml:space="preserve">Lab-based study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154" w:type="dxa"/>
            <w:gridSpan w:val="2"/>
          </w:tcPr>
          <w:p>
            <w:pPr>
              <w:rPr>
                <w:rFonts w:ascii="Arial" w:hAnsi="Arial" w:cs="Arial"/>
                <w:i/>
                <w:iCs/>
                <w:sz w:val="20"/>
                <w:szCs w:val="20"/>
              </w:rPr>
            </w:pPr>
          </w:p>
          <w:p>
            <w:pPr>
              <w:rPr>
                <w:rFonts w:ascii="Arial" w:hAnsi="Arial" w:cs="Arial"/>
                <w:i/>
                <w:iCs/>
                <w:sz w:val="20"/>
                <w:szCs w:val="20"/>
              </w:rPr>
            </w:pPr>
          </w:p>
          <w:p>
            <w:pPr>
              <w:rPr>
                <w:rFonts w:ascii="Arial" w:hAnsi="Arial" w:cs="Arial"/>
                <w:i/>
                <w:iCs/>
                <w:sz w:val="20"/>
                <w:szCs w:val="20"/>
              </w:rPr>
            </w:pPr>
          </w:p>
          <w:p>
            <w:pPr>
              <w:rPr>
                <w:rFonts w:ascii="Arial" w:hAnsi="Arial" w:cs="Arial"/>
                <w:i/>
                <w:iCs/>
                <w:sz w:val="20"/>
                <w:szCs w:val="20"/>
              </w:rPr>
            </w:pPr>
          </w:p>
          <w:p>
            <w:pPr>
              <w:rPr>
                <w:rFonts w:ascii="Arial" w:hAnsi="Arial" w:cs="Arial"/>
                <w:i/>
                <w:iCs/>
                <w:sz w:val="20"/>
                <w:szCs w:val="20"/>
              </w:rPr>
            </w:pPr>
          </w:p>
          <w:p>
            <w:pPr>
              <w:rPr>
                <w:rFonts w:ascii="Arial" w:hAnsi="Arial" w:cs="Arial"/>
                <w:sz w:val="20"/>
                <w:szCs w:val="20"/>
              </w:rPr>
            </w:pPr>
          </w:p>
        </w:tc>
        <w:tc>
          <w:tcPr>
            <w:tcW w:w="5154" w:type="dxa"/>
            <w:gridSpan w:val="2"/>
          </w:tcPr>
          <w:p>
            <w:pPr>
              <w:rPr>
                <w:rFonts w:ascii="Arial" w:hAnsi="Arial" w:cs="Arial"/>
                <w:sz w:val="20"/>
                <w:szCs w:val="20"/>
              </w:rPr>
            </w:pPr>
          </w:p>
        </w:tc>
      </w:tr>
    </w:tbl>
    <w:p>
      <w:pPr>
        <w:rPr>
          <w:sz w:val="32"/>
          <w:szCs w:val="12"/>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368" w:type="dxa"/>
          </w:tcPr>
          <w:p>
            <w:pPr>
              <w:rPr>
                <w:rFonts w:ascii="Arial" w:hAnsi="Arial" w:cs="Arial"/>
                <w:sz w:val="20"/>
              </w:rPr>
            </w:pPr>
            <w:r>
              <w:rPr>
                <w:rFonts w:ascii="Arial" w:hAnsi="Arial" w:cs="Arial"/>
                <w:b/>
                <w:sz w:val="20"/>
              </w:rPr>
              <w:t xml:space="preserve">Suggested Research Title/Area: </w:t>
            </w:r>
            <w:r>
              <w:rPr>
                <w:rFonts w:ascii="Arial" w:hAnsi="Arial" w:cs="Arial"/>
                <w:sz w:val="20"/>
              </w:rPr>
              <w:t>(between 10-15 words and must reflect the essence of your proposed research question, study design and study population and should be more specific than a broad topic area).</w:t>
            </w:r>
          </w:p>
          <w:p>
            <w:pPr>
              <w:rPr>
                <w:rFonts w:ascii="Arial" w:hAnsi="Arial" w:cs="Arial"/>
                <w:sz w:val="20"/>
              </w:rPr>
            </w:pPr>
          </w:p>
          <w:p>
            <w:pPr>
              <w:rPr>
                <w:rFonts w:hint="default"/>
                <w:lang w:val="en-US"/>
              </w:rPr>
            </w:pPr>
            <w:r>
              <w:rPr>
                <w:rFonts w:hint="default"/>
                <w:lang w:val="en-US"/>
              </w:rPr>
              <w:t xml:space="preserve">To explore perceived barriers and motivators to engaging in sport or exercise in females </w:t>
            </w:r>
          </w:p>
        </w:tc>
      </w:tr>
    </w:tbl>
    <w:p>
      <w:pPr>
        <w:rPr>
          <w:sz w:val="32"/>
          <w:szCs w:val="12"/>
        </w:rPr>
      </w:pPr>
    </w:p>
    <w:p>
      <w:pPr>
        <w:rPr>
          <w:sz w:val="32"/>
          <w:szCs w:val="12"/>
        </w:rPr>
      </w:pPr>
    </w:p>
    <w:p>
      <w:pPr>
        <w:rPr>
          <w:rFonts w:ascii="Arial" w:hAnsi="Arial" w:cs="Arial"/>
          <w:b/>
          <w:sz w:val="32"/>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368" w:type="dxa"/>
          </w:tcPr>
          <w:p>
            <w:pPr>
              <w:rPr>
                <w:rFonts w:ascii="Arial" w:hAnsi="Arial" w:cs="Arial"/>
                <w:b/>
                <w:sz w:val="20"/>
              </w:rPr>
            </w:pPr>
            <w:r>
              <w:rPr>
                <w:rFonts w:ascii="Arial" w:hAnsi="Arial" w:cs="Arial"/>
                <w:b/>
                <w:sz w:val="20"/>
              </w:rPr>
              <w:t xml:space="preserve">Background: 250 words </w:t>
            </w:r>
          </w:p>
          <w:p>
            <w:pPr>
              <w:rPr>
                <w:rFonts w:ascii="Arial" w:hAnsi="Arial" w:cs="Arial"/>
                <w:b/>
                <w:sz w:val="20"/>
              </w:rPr>
            </w:pPr>
            <w:r>
              <w:rPr>
                <w:rFonts w:ascii="Arial" w:hAnsi="Arial" w:cs="Arial"/>
                <w:b/>
                <w:sz w:val="20"/>
              </w:rPr>
              <w:t xml:space="preserve">Why is your study important? What theory and empirical research evidence supports your research question? </w:t>
            </w:r>
            <w:r>
              <w:rPr>
                <w:rFonts w:ascii="Arial" w:hAnsi="Arial" w:cs="Arial"/>
                <w:sz w:val="20"/>
              </w:rPr>
              <w:t xml:space="preserve">(Please provide a rationale for your study including a brief review of relevant psychological literature and theory and a minimum of five references). </w:t>
            </w:r>
          </w:p>
          <w:p>
            <w:pPr>
              <w:rPr>
                <w:rFonts w:ascii="Arial" w:hAnsi="Arial" w:cs="Arial"/>
                <w:b/>
              </w:rPr>
            </w:pPr>
          </w:p>
          <w:p>
            <w:pPr>
              <w:keepNext w:val="0"/>
              <w:keepLines w:val="0"/>
              <w:widowControl/>
              <w:suppressLineNumbers w:val="0"/>
              <w:spacing w:before="0" w:beforeAutospacing="0" w:after="0" w:afterAutospacing="0"/>
              <w:ind w:left="0" w:right="0"/>
              <w:jc w:val="left"/>
              <w:rPr>
                <w:rFonts w:hint="default"/>
                <w:lang w:val="en-US"/>
              </w:rPr>
            </w:pPr>
            <w:r>
              <w:rPr>
                <w:rFonts w:hint="default" w:ascii="Times New Roman Regular" w:hAnsi="Times New Roman Regular" w:eastAsia="Times New Roman Regular" w:cs="Times New Roman Regular"/>
                <w:bCs/>
                <w:kern w:val="0"/>
                <w:sz w:val="24"/>
                <w:szCs w:val="24"/>
                <w:lang w:val="en-US" w:eastAsia="zh-CN" w:bidi="ar"/>
              </w:rPr>
              <w:t xml:space="preserve">This study investigates perceived barriers and benefits women experience in exercising and sports, how mood can influence and interact with these barriers and benefits, and how this motivates them with exercising and sports. Previous studies conducted around similar topics support the research topic. The study </w:t>
            </w:r>
            <w:r>
              <w:rPr>
                <w:rFonts w:hint="default" w:ascii="Times New Roman Regular" w:hAnsi="Times New Roman Regular" w:eastAsia="SimSun" w:cs="Times New Roman Regular"/>
                <w:color w:val="000000"/>
                <w:kern w:val="0"/>
                <w:sz w:val="24"/>
                <w:szCs w:val="24"/>
                <w:shd w:val="clear" w:fill="FFFFFF"/>
                <w:lang w:val="en-US" w:eastAsia="zh-CN" w:bidi="ar"/>
              </w:rPr>
              <w:t xml:space="preserve">(El Ansari &amp; Lovell, 2009) conducted a study on 100 non-exercising women, split between two groups with one group of young females and another group of older females. They found that barriers that had been identified were shared equally between the two female groups by experiencing family responsibilities and childcare-preventing exercise using the (EBBS) scale to identify the barriers.  Another study focusing on mood changes within personality types during exercise (Lane et al., 2005) female-based study found that there is no correlation between personality and that exercise enhances mood within females and that personality didn't come into effect. Another study focusing on motivation within females (McDonough &amp; Crocker, 2005) found that females use socialising and close relationships when exercising and engaging in sports. other previous research studies such as </w:t>
            </w:r>
            <w:r>
              <w:rPr>
                <w:rFonts w:hint="default" w:ascii="Times New Roman" w:hAnsi="Times New Roman" w:eastAsia="SimSun" w:cs="Times New Roman"/>
                <w:color w:val="000000"/>
                <w:kern w:val="0"/>
                <w:sz w:val="24"/>
                <w:szCs w:val="24"/>
                <w:shd w:val="clear" w:fill="FFFFFF"/>
                <w:lang w:val="en-US" w:eastAsia="zh-CN" w:bidi="ar"/>
              </w:rPr>
              <w:t xml:space="preserve">(Wetton et al., 2013) also a female-based study identified barriers that discourage girls from taking part in sports, such barriers identified include, internal factors, other hobbies, and existing stereotypes. Reflecting on these barriers they stated to diminish these is to change teachers and attitudes towards females in sports such as stereotyping and more positive female media in sports. (Lovell et al., 2010) relates to benefits by conducting a study of 200 non-exercising females who identified common benefits when engaging in sports such as physical performance, psychological outlook, and social interaction and identified barriers women experienced such as family responsibilities and physical exertion. From this, they formed a strategy of how these women can overcome these barriers such as with influencing benefits.The rationale is to explore perceived barriers and benefits with the influence of mood relating to motivation within women engaging in exercise or sports. </w:t>
            </w:r>
          </w:p>
          <w:p>
            <w:pPr>
              <w:keepNext w:val="0"/>
              <w:keepLines w:val="0"/>
              <w:widowControl/>
              <w:suppressLineNumbers w:val="0"/>
              <w:spacing w:before="0" w:beforeAutospacing="0" w:after="0" w:afterAutospacing="0"/>
              <w:ind w:left="0" w:right="0"/>
              <w:jc w:val="left"/>
              <w:rPr>
                <w:lang w:val="en-US"/>
              </w:rPr>
            </w:pPr>
            <w:r>
              <w:rPr>
                <w:rFonts w:hint="default" w:ascii="Times New Roman" w:hAnsi="Times New Roman" w:eastAsia="Times New Roman" w:cs="Times New Roman"/>
                <w:kern w:val="0"/>
                <w:sz w:val="24"/>
                <w:szCs w:val="24"/>
                <w:lang w:val="en-US" w:eastAsia="zh-CN" w:bidi="ar"/>
              </w:rPr>
              <w:t xml:space="preserve"> </w:t>
            </w:r>
          </w:p>
          <w:p>
            <w:pPr>
              <w:keepNext w:val="0"/>
              <w:keepLines w:val="0"/>
              <w:widowControl/>
              <w:suppressLineNumbers w:val="0"/>
              <w:spacing w:before="0" w:beforeAutospacing="0" w:after="0" w:afterAutospacing="0"/>
              <w:ind w:left="0" w:right="0"/>
              <w:jc w:val="left"/>
              <w:rPr>
                <w:rFonts w:ascii="Arial" w:hAnsi="Arial" w:cs="Arial"/>
                <w:b/>
              </w:rPr>
            </w:pPr>
          </w:p>
          <w:p>
            <w:pPr>
              <w:rPr>
                <w:rFonts w:hint="default" w:ascii="Times New Roman Regular" w:hAnsi="Times New Roman Regular" w:cs="Times New Roman Regular"/>
                <w:i w:val="0"/>
                <w:iCs w:val="0"/>
                <w:caps w:val="0"/>
                <w:color w:val="000000"/>
                <w:spacing w:val="0"/>
                <w:sz w:val="24"/>
                <w:szCs w:val="24"/>
                <w:u w:val="none"/>
                <w:lang w:val="en-US"/>
              </w:rPr>
            </w:pPr>
            <w:r>
              <w:rPr>
                <w:rFonts w:hint="default" w:ascii="Times New Roman Regular" w:hAnsi="Times New Roman Regular" w:cs="Times New Roman Regular"/>
                <w:b w:val="0"/>
                <w:bCs/>
                <w:lang w:val="en-US"/>
              </w:rPr>
              <w:t>References</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Aily, J. B., Carnaz, L., Farche, A. C. S., Takahashi, A. C. de M., Aily, J. B., Carnaz, L., Farche, A. C. S., &amp; Takahashi, A. C. de M. (2017). Perception of barriers to physical exercise in women population over 60. </w:t>
            </w:r>
            <w:r>
              <w:rPr>
                <w:rFonts w:hint="default" w:ascii="Times New Roman" w:hAnsi="Times New Roman" w:cs="Times New Roman"/>
                <w:i/>
                <w:iCs/>
                <w:caps w:val="0"/>
                <w:color w:val="000000"/>
                <w:spacing w:val="0"/>
                <w:sz w:val="24"/>
                <w:szCs w:val="24"/>
                <w:u w:val="none"/>
                <w:bdr w:val="none" w:color="auto" w:sz="0" w:space="0"/>
                <w:shd w:val="clear" w:fill="FFFFFF"/>
              </w:rPr>
              <w:t>Motriz: Revista de Educação Física</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23</w:t>
            </w:r>
            <w:r>
              <w:rPr>
                <w:rFonts w:hint="default" w:ascii="Times New Roman" w:hAnsi="Times New Roman" w:cs="Times New Roman"/>
                <w:i w:val="0"/>
                <w:iCs w:val="0"/>
                <w:caps w:val="0"/>
                <w:color w:val="000000"/>
                <w:spacing w:val="0"/>
                <w:sz w:val="24"/>
                <w:szCs w:val="24"/>
                <w:u w:val="none"/>
                <w:bdr w:val="none" w:color="auto" w:sz="0" w:space="0"/>
                <w:shd w:val="clear" w:fill="FFFFFF"/>
              </w:rPr>
              <w:t>(2). https://doi.org/10.1590/s1980-6574201700020012</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BARTHOLOMEW, J. B., MORRISON, D., &amp; CICCOLO, J. T. (2005). Effects of Acute Exercise on Mood and Well-Being in Patients with Major Depressive Disorder. </w:t>
            </w:r>
            <w:r>
              <w:rPr>
                <w:rFonts w:hint="default" w:ascii="Times New Roman" w:hAnsi="Times New Roman" w:cs="Times New Roman"/>
                <w:i/>
                <w:iCs/>
                <w:caps w:val="0"/>
                <w:color w:val="000000"/>
                <w:spacing w:val="0"/>
                <w:sz w:val="24"/>
                <w:szCs w:val="24"/>
                <w:u w:val="none"/>
                <w:bdr w:val="none" w:color="auto" w:sz="0" w:space="0"/>
                <w:shd w:val="clear" w:fill="FFFFFF"/>
              </w:rPr>
              <w:t>Medicine &amp; Science in Sports &amp; Exercise</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37</w:t>
            </w:r>
            <w:r>
              <w:rPr>
                <w:rFonts w:hint="default" w:ascii="Times New Roman" w:hAnsi="Times New Roman" w:cs="Times New Roman"/>
                <w:i w:val="0"/>
                <w:iCs w:val="0"/>
                <w:caps w:val="0"/>
                <w:color w:val="000000"/>
                <w:spacing w:val="0"/>
                <w:sz w:val="24"/>
                <w:szCs w:val="24"/>
                <w:u w:val="none"/>
                <w:bdr w:val="none" w:color="auto" w:sz="0" w:space="0"/>
                <w:shd w:val="clear" w:fill="FFFFFF"/>
              </w:rPr>
              <w:t>(12), 2032–2037. https://doi.org/10.1249/01.mss.0000178101.78322.dd</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British Psychological Society. (2021). Code of ethics and conduct. </w:t>
            </w:r>
            <w:r>
              <w:rPr>
                <w:rFonts w:hint="default" w:ascii="Times New Roman" w:hAnsi="Times New Roman" w:cs="Times New Roman"/>
                <w:i/>
                <w:iCs/>
                <w:caps w:val="0"/>
                <w:color w:val="000000"/>
                <w:spacing w:val="0"/>
                <w:sz w:val="24"/>
                <w:szCs w:val="24"/>
                <w:u w:val="none"/>
                <w:bdr w:val="none" w:color="auto" w:sz="0" w:space="0"/>
                <w:shd w:val="clear" w:fill="FFFFFF"/>
              </w:rPr>
              <w:t>Code of Ethics and Conduct</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978-1-85433-804-4</w:t>
            </w:r>
            <w:r>
              <w:rPr>
                <w:rFonts w:hint="default" w:ascii="Times New Roman" w:hAnsi="Times New Roman" w:cs="Times New Roman"/>
                <w:i w:val="0"/>
                <w:iCs w:val="0"/>
                <w:caps w:val="0"/>
                <w:color w:val="000000"/>
                <w:spacing w:val="0"/>
                <w:sz w:val="24"/>
                <w:szCs w:val="24"/>
                <w:u w:val="none"/>
                <w:bdr w:val="none" w:color="auto" w:sz="0" w:space="0"/>
                <w:shd w:val="clear" w:fill="FFFFFF"/>
              </w:rPr>
              <w:t>. https://doi.org/10.53841/bpsrep.2021.inf94</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Burke, M. (2001). </w:t>
            </w:r>
            <w:r>
              <w:rPr>
                <w:rFonts w:hint="default" w:ascii="Times New Roman" w:hAnsi="Times New Roman" w:cs="Times New Roman"/>
                <w:i/>
                <w:iCs/>
                <w:caps w:val="0"/>
                <w:color w:val="000000"/>
                <w:spacing w:val="0"/>
                <w:sz w:val="24"/>
                <w:szCs w:val="24"/>
                <w:u w:val="none"/>
                <w:bdr w:val="none" w:color="auto" w:sz="0" w:space="0"/>
                <w:shd w:val="clear" w:fill="FFFFFF"/>
              </w:rPr>
              <w:t>SPORT AND TRADITIONS OF FEMINIST THEORY</w:t>
            </w:r>
            <w:r>
              <w:rPr>
                <w:rFonts w:hint="default" w:ascii="Times New Roman" w:hAnsi="Times New Roman" w:cs="Times New Roman"/>
                <w:i w:val="0"/>
                <w:iCs w:val="0"/>
                <w:caps w:val="0"/>
                <w:color w:val="000000"/>
                <w:spacing w:val="0"/>
                <w:sz w:val="24"/>
                <w:szCs w:val="24"/>
                <w:u w:val="none"/>
                <w:bdr w:val="none" w:color="auto" w:sz="0" w:space="0"/>
                <w:shd w:val="clear" w:fill="FFFFFF"/>
              </w:rPr>
              <w:t>. https://vuir.vu.edu.au/259/1/02whole.pdf</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Burton, N. W., Barber, B. L., &amp; Khan, A. (2021). A Qualitative Study of Barriers and Enablers of Physical Activity among Female Emirati University Students. </w:t>
            </w:r>
            <w:r>
              <w:rPr>
                <w:rFonts w:hint="default" w:ascii="Times New Roman" w:hAnsi="Times New Roman" w:cs="Times New Roman"/>
                <w:i/>
                <w:iCs/>
                <w:caps w:val="0"/>
                <w:color w:val="000000"/>
                <w:spacing w:val="0"/>
                <w:sz w:val="24"/>
                <w:szCs w:val="24"/>
                <w:u w:val="none"/>
                <w:bdr w:val="none" w:color="auto" w:sz="0" w:space="0"/>
                <w:shd w:val="clear" w:fill="FFFFFF"/>
              </w:rPr>
              <w:t>International Journal of Environmental Research and Public Health</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18</w:t>
            </w:r>
            <w:r>
              <w:rPr>
                <w:rFonts w:hint="default" w:ascii="Times New Roman" w:hAnsi="Times New Roman" w:cs="Times New Roman"/>
                <w:i w:val="0"/>
                <w:iCs w:val="0"/>
                <w:caps w:val="0"/>
                <w:color w:val="000000"/>
                <w:spacing w:val="0"/>
                <w:sz w:val="24"/>
                <w:szCs w:val="24"/>
                <w:u w:val="none"/>
                <w:bdr w:val="none" w:color="auto" w:sz="0" w:space="0"/>
                <w:shd w:val="clear" w:fill="FFFFFF"/>
              </w:rPr>
              <w:t>(7), 3380. https://doi.org/10.3390/ijerph18073380</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El Ansari, W., &amp; Lovell, G. (2009). Barriers to Exercise in Younger and Older Non-Exercising Adult Women: A Cross Sectional Study in London, United Kingdom. </w:t>
            </w:r>
            <w:r>
              <w:rPr>
                <w:rFonts w:hint="default" w:ascii="Times New Roman" w:hAnsi="Times New Roman" w:cs="Times New Roman"/>
                <w:i/>
                <w:iCs/>
                <w:caps w:val="0"/>
                <w:color w:val="000000"/>
                <w:spacing w:val="0"/>
                <w:sz w:val="24"/>
                <w:szCs w:val="24"/>
                <w:u w:val="none"/>
                <w:bdr w:val="none" w:color="auto" w:sz="0" w:space="0"/>
                <w:shd w:val="clear" w:fill="FFFFFF"/>
              </w:rPr>
              <w:t>International Journal of Environmental Research and Public Health</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6</w:t>
            </w:r>
            <w:r>
              <w:rPr>
                <w:rFonts w:hint="default" w:ascii="Times New Roman" w:hAnsi="Times New Roman" w:cs="Times New Roman"/>
                <w:i w:val="0"/>
                <w:iCs w:val="0"/>
                <w:caps w:val="0"/>
                <w:color w:val="000000"/>
                <w:spacing w:val="0"/>
                <w:sz w:val="24"/>
                <w:szCs w:val="24"/>
                <w:u w:val="none"/>
                <w:bdr w:val="none" w:color="auto" w:sz="0" w:space="0"/>
                <w:shd w:val="clear" w:fill="FFFFFF"/>
              </w:rPr>
              <w:t>(4), 1443–1455. https://doi.org/10.3390/ijerph6041443</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Karen R ; Sechrist, Susan N ; Walker, &amp; Pender, N. J. (1987). </w:t>
            </w:r>
            <w:r>
              <w:rPr>
                <w:rFonts w:hint="default" w:ascii="Times New Roman" w:hAnsi="Times New Roman" w:cs="Times New Roman"/>
                <w:i/>
                <w:iCs/>
                <w:caps w:val="0"/>
                <w:color w:val="000000"/>
                <w:spacing w:val="0"/>
                <w:sz w:val="24"/>
                <w:szCs w:val="24"/>
                <w:u w:val="none"/>
                <w:bdr w:val="none" w:color="auto" w:sz="0" w:space="0"/>
                <w:shd w:val="clear" w:fill="FFFFFF"/>
              </w:rPr>
              <w:t>Health Promotion Model -Instruments to Measure HPM Behavioral Determinants : Exercise Benefits/Barriers Scale [EBBS] (Adult Version)</w:t>
            </w:r>
            <w:r>
              <w:rPr>
                <w:rFonts w:hint="default" w:ascii="Times New Roman" w:hAnsi="Times New Roman" w:cs="Times New Roman"/>
                <w:i w:val="0"/>
                <w:iCs w:val="0"/>
                <w:caps w:val="0"/>
                <w:color w:val="000000"/>
                <w:spacing w:val="0"/>
                <w:sz w:val="24"/>
                <w:szCs w:val="24"/>
                <w:u w:val="none"/>
                <w:bdr w:val="none" w:color="auto" w:sz="0" w:space="0"/>
                <w:shd w:val="clear" w:fill="FFFFFF"/>
              </w:rPr>
              <w:t>. https://deepblue.lib.umich.edu/bitstream/handle/2027.42/85354/EBBS-English_Version.pdf?sequence=2</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Lane, A. M., Milton, K. E., &amp; Terry, P. C. (2005). Personality Does not Influence Exercise-Induced Mood Enhancement Among Female Exercisers. </w:t>
            </w:r>
            <w:r>
              <w:rPr>
                <w:rFonts w:hint="default" w:ascii="Times New Roman" w:hAnsi="Times New Roman" w:cs="Times New Roman"/>
                <w:i/>
                <w:iCs/>
                <w:caps w:val="0"/>
                <w:color w:val="000000"/>
                <w:spacing w:val="0"/>
                <w:sz w:val="24"/>
                <w:szCs w:val="24"/>
                <w:u w:val="none"/>
                <w:bdr w:val="none" w:color="auto" w:sz="0" w:space="0"/>
                <w:shd w:val="clear" w:fill="FFFFFF"/>
              </w:rPr>
              <w:t>Journal of Sports Science &amp; Medicine</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4</w:t>
            </w:r>
            <w:r>
              <w:rPr>
                <w:rFonts w:hint="default" w:ascii="Times New Roman" w:hAnsi="Times New Roman" w:cs="Times New Roman"/>
                <w:i w:val="0"/>
                <w:iCs w:val="0"/>
                <w:caps w:val="0"/>
                <w:color w:val="000000"/>
                <w:spacing w:val="0"/>
                <w:sz w:val="24"/>
                <w:szCs w:val="24"/>
                <w:u w:val="none"/>
                <w:bdr w:val="none" w:color="auto" w:sz="0" w:space="0"/>
                <w:shd w:val="clear" w:fill="FFFFFF"/>
              </w:rPr>
              <w:t>(3), 223–228. https://www.ncbi.nlm.nih.gov/pmc/articles/PMC3887324/</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Lovell, G., El Ansari, W., &amp; Parker, J. K. (2010). Perceived Exercise Benefits and Barriers of Non-Exercising Female University Students in the United Kingdom. </w:t>
            </w:r>
            <w:r>
              <w:rPr>
                <w:rFonts w:hint="default" w:ascii="Times New Roman" w:hAnsi="Times New Roman" w:cs="Times New Roman"/>
                <w:i/>
                <w:iCs/>
                <w:caps w:val="0"/>
                <w:color w:val="000000"/>
                <w:spacing w:val="0"/>
                <w:sz w:val="24"/>
                <w:szCs w:val="24"/>
                <w:u w:val="none"/>
                <w:bdr w:val="none" w:color="auto" w:sz="0" w:space="0"/>
                <w:shd w:val="clear" w:fill="FFFFFF"/>
              </w:rPr>
              <w:t>International Journal of Environmental Research and Public Health</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7</w:t>
            </w:r>
            <w:r>
              <w:rPr>
                <w:rFonts w:hint="default" w:ascii="Times New Roman" w:hAnsi="Times New Roman" w:cs="Times New Roman"/>
                <w:i w:val="0"/>
                <w:iCs w:val="0"/>
                <w:caps w:val="0"/>
                <w:color w:val="000000"/>
                <w:spacing w:val="0"/>
                <w:sz w:val="24"/>
                <w:szCs w:val="24"/>
                <w:u w:val="none"/>
                <w:bdr w:val="none" w:color="auto" w:sz="0" w:space="0"/>
                <w:shd w:val="clear" w:fill="FFFFFF"/>
              </w:rPr>
              <w:t>(3), 784–798. https://doi.org/10.3390/ijerph7030784</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McDonough, M. H., &amp; Crocker, P. R. E. (2005). Sport Participation Motivation in Young Adolescent Girls. </w:t>
            </w:r>
            <w:r>
              <w:rPr>
                <w:rFonts w:hint="default" w:ascii="Times New Roman" w:hAnsi="Times New Roman" w:cs="Times New Roman"/>
                <w:i/>
                <w:iCs/>
                <w:caps w:val="0"/>
                <w:color w:val="000000"/>
                <w:spacing w:val="0"/>
                <w:sz w:val="24"/>
                <w:szCs w:val="24"/>
                <w:u w:val="none"/>
                <w:bdr w:val="none" w:color="auto" w:sz="0" w:space="0"/>
                <w:shd w:val="clear" w:fill="FFFFFF"/>
              </w:rPr>
              <w:t>Research Quarterly for Exercise and Sport</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76</w:t>
            </w:r>
            <w:r>
              <w:rPr>
                <w:rFonts w:hint="default" w:ascii="Times New Roman" w:hAnsi="Times New Roman" w:cs="Times New Roman"/>
                <w:i w:val="0"/>
                <w:iCs w:val="0"/>
                <w:caps w:val="0"/>
                <w:color w:val="000000"/>
                <w:spacing w:val="0"/>
                <w:sz w:val="24"/>
                <w:szCs w:val="24"/>
                <w:u w:val="none"/>
                <w:bdr w:val="none" w:color="auto" w:sz="0" w:space="0"/>
                <w:shd w:val="clear" w:fill="FFFFFF"/>
              </w:rPr>
              <w:t>(4), 456–467. https://doi.org/10.1080/02701367.2005.10599319</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MCDOWELL, C. P., CAMPBELL, M. J., &amp; HERRING, M. P. (2016). Sex-Related Differences in Mood Responses to Acute Aerobic Exercise. </w:t>
            </w:r>
            <w:r>
              <w:rPr>
                <w:rFonts w:hint="default" w:ascii="Times New Roman" w:hAnsi="Times New Roman" w:cs="Times New Roman"/>
                <w:i/>
                <w:iCs/>
                <w:caps w:val="0"/>
                <w:color w:val="000000"/>
                <w:spacing w:val="0"/>
                <w:sz w:val="24"/>
                <w:szCs w:val="24"/>
                <w:u w:val="none"/>
                <w:bdr w:val="none" w:color="auto" w:sz="0" w:space="0"/>
                <w:shd w:val="clear" w:fill="FFFFFF"/>
              </w:rPr>
              <w:t>Medicine &amp; Science in Sports &amp; Exercise</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48</w:t>
            </w:r>
            <w:r>
              <w:rPr>
                <w:rFonts w:hint="default" w:ascii="Times New Roman" w:hAnsi="Times New Roman" w:cs="Times New Roman"/>
                <w:i w:val="0"/>
                <w:iCs w:val="0"/>
                <w:caps w:val="0"/>
                <w:color w:val="000000"/>
                <w:spacing w:val="0"/>
                <w:sz w:val="24"/>
                <w:szCs w:val="24"/>
                <w:u w:val="none"/>
                <w:bdr w:val="none" w:color="auto" w:sz="0" w:space="0"/>
                <w:shd w:val="clear" w:fill="FFFFFF"/>
              </w:rPr>
              <w:t>(9), 1798–1802. https://doi.org/10.1249/mss.0000000000000969</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Plante, T. G., Gores, C., Brecht, C., Carrow, J., Imbs, A., &amp; Willemsen, E. (2007). Does exercise environment enhance the psychological benefits of exercise for women? </w:t>
            </w:r>
            <w:r>
              <w:rPr>
                <w:rFonts w:hint="default" w:ascii="Times New Roman" w:hAnsi="Times New Roman" w:cs="Times New Roman"/>
                <w:i/>
                <w:iCs/>
                <w:caps w:val="0"/>
                <w:color w:val="000000"/>
                <w:spacing w:val="0"/>
                <w:sz w:val="24"/>
                <w:szCs w:val="24"/>
                <w:u w:val="none"/>
                <w:bdr w:val="none" w:color="auto" w:sz="0" w:space="0"/>
                <w:shd w:val="clear" w:fill="FFFFFF"/>
              </w:rPr>
              <w:t>International Journal of Stress Management</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14</w:t>
            </w:r>
            <w:r>
              <w:rPr>
                <w:rFonts w:hint="default" w:ascii="Times New Roman" w:hAnsi="Times New Roman" w:cs="Times New Roman"/>
                <w:i w:val="0"/>
                <w:iCs w:val="0"/>
                <w:caps w:val="0"/>
                <w:color w:val="000000"/>
                <w:spacing w:val="0"/>
                <w:sz w:val="24"/>
                <w:szCs w:val="24"/>
                <w:u w:val="none"/>
                <w:bdr w:val="none" w:color="auto" w:sz="0" w:space="0"/>
                <w:shd w:val="clear" w:fill="FFFFFF"/>
              </w:rPr>
              <w:t>(1), 88–98. https://doi.org/10.1037/1072-5245.14.1.88</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Solanki, D., &amp; Lane, A. M. (2010). Relationships between Exercise as a Mood Regulation Strategy and Trait Emotional Intelligence. </w:t>
            </w:r>
            <w:r>
              <w:rPr>
                <w:rFonts w:hint="default" w:ascii="Times New Roman" w:hAnsi="Times New Roman" w:cs="Times New Roman"/>
                <w:i/>
                <w:iCs/>
                <w:caps w:val="0"/>
                <w:color w:val="000000"/>
                <w:spacing w:val="0"/>
                <w:sz w:val="24"/>
                <w:szCs w:val="24"/>
                <w:u w:val="none"/>
                <w:bdr w:val="none" w:color="auto" w:sz="0" w:space="0"/>
                <w:shd w:val="clear" w:fill="FFFFFF"/>
              </w:rPr>
              <w:t>Asian Journal of Sports Medicine</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1</w:t>
            </w:r>
            <w:r>
              <w:rPr>
                <w:rFonts w:hint="default" w:ascii="Times New Roman" w:hAnsi="Times New Roman" w:cs="Times New Roman"/>
                <w:i w:val="0"/>
                <w:iCs w:val="0"/>
                <w:caps w:val="0"/>
                <w:color w:val="000000"/>
                <w:spacing w:val="0"/>
                <w:sz w:val="24"/>
                <w:szCs w:val="24"/>
                <w:u w:val="none"/>
                <w:bdr w:val="none" w:color="auto" w:sz="0" w:space="0"/>
                <w:shd w:val="clear" w:fill="FFFFFF"/>
              </w:rPr>
              <w:t>(4). https://doi.org/10.5812/asjsm.34831</w:t>
            </w:r>
          </w:p>
          <w:p>
            <w:pPr>
              <w:pStyle w:val="8"/>
              <w:keepNext w:val="0"/>
              <w:keepLines w:val="0"/>
              <w:widowControl/>
              <w:suppressLineNumbers w:val="0"/>
              <w:pBdr>
                <w:left w:val="none" w:color="auto" w:sz="0" w:space="0"/>
              </w:pBdr>
              <w:shd w:val="clear" w:fill="FFFFFF"/>
              <w:spacing w:before="0" w:beforeAutospacing="0" w:after="0" w:afterAutospacing="0" w:line="640" w:lineRule="atLeast"/>
              <w:ind w:left="0" w:firstLine="0"/>
              <w:rPr>
                <w:rFonts w:hint="default" w:ascii="Times New Roman" w:hAnsi="Times New Roman" w:cs="Times New Roman"/>
                <w:i w:val="0"/>
                <w:iCs w:val="0"/>
                <w:caps w:val="0"/>
                <w:color w:val="000000"/>
                <w:spacing w:val="0"/>
                <w:sz w:val="24"/>
                <w:szCs w:val="24"/>
                <w:u w:val="none"/>
              </w:rPr>
            </w:pPr>
            <w:r>
              <w:rPr>
                <w:rFonts w:hint="default" w:ascii="Times New Roman" w:hAnsi="Times New Roman" w:cs="Times New Roman"/>
                <w:i w:val="0"/>
                <w:iCs w:val="0"/>
                <w:caps w:val="0"/>
                <w:color w:val="000000"/>
                <w:spacing w:val="0"/>
                <w:sz w:val="24"/>
                <w:szCs w:val="24"/>
                <w:u w:val="none"/>
                <w:bdr w:val="none" w:color="auto" w:sz="0" w:space="0"/>
                <w:shd w:val="clear" w:fill="FFFFFF"/>
              </w:rPr>
              <w:t>Wetton, A. R., Radley, R., Jones, A. R., &amp; Pearce, M. S. (2013). What Are the Barriers Which Discourage 15-16 Year-Old Girls from Participating in Team Sports and How Can We Overcome Them? </w:t>
            </w:r>
            <w:r>
              <w:rPr>
                <w:rFonts w:hint="default" w:ascii="Times New Roman" w:hAnsi="Times New Roman" w:cs="Times New Roman"/>
                <w:i/>
                <w:iCs/>
                <w:caps w:val="0"/>
                <w:color w:val="000000"/>
                <w:spacing w:val="0"/>
                <w:sz w:val="24"/>
                <w:szCs w:val="24"/>
                <w:u w:val="none"/>
                <w:bdr w:val="none" w:color="auto" w:sz="0" w:space="0"/>
                <w:shd w:val="clear" w:fill="FFFFFF"/>
              </w:rPr>
              <w:t>BioMed Research International</w:t>
            </w:r>
            <w:r>
              <w:rPr>
                <w:rFonts w:hint="default" w:ascii="Times New Roman" w:hAnsi="Times New Roman" w:cs="Times New Roman"/>
                <w:i w:val="0"/>
                <w:iCs w:val="0"/>
                <w:caps w:val="0"/>
                <w:color w:val="000000"/>
                <w:spacing w:val="0"/>
                <w:sz w:val="24"/>
                <w:szCs w:val="24"/>
                <w:u w:val="none"/>
                <w:bdr w:val="none" w:color="auto" w:sz="0" w:space="0"/>
                <w:shd w:val="clear" w:fill="FFFFFF"/>
              </w:rPr>
              <w:t>, </w:t>
            </w:r>
            <w:r>
              <w:rPr>
                <w:rFonts w:hint="default" w:ascii="Times New Roman" w:hAnsi="Times New Roman" w:cs="Times New Roman"/>
                <w:i/>
                <w:iCs/>
                <w:caps w:val="0"/>
                <w:color w:val="000000"/>
                <w:spacing w:val="0"/>
                <w:sz w:val="24"/>
                <w:szCs w:val="24"/>
                <w:u w:val="none"/>
                <w:bdr w:val="none" w:color="auto" w:sz="0" w:space="0"/>
                <w:shd w:val="clear" w:fill="FFFFFF"/>
              </w:rPr>
              <w:t>2013</w:t>
            </w:r>
            <w:r>
              <w:rPr>
                <w:rFonts w:hint="default" w:ascii="Times New Roman" w:hAnsi="Times New Roman" w:cs="Times New Roman"/>
                <w:i w:val="0"/>
                <w:iCs w:val="0"/>
                <w:caps w:val="0"/>
                <w:color w:val="000000"/>
                <w:spacing w:val="0"/>
                <w:sz w:val="24"/>
                <w:szCs w:val="24"/>
                <w:u w:val="none"/>
                <w:bdr w:val="none" w:color="auto" w:sz="0" w:space="0"/>
                <w:shd w:val="clear" w:fill="FFFFFF"/>
              </w:rPr>
              <w:t>(738705), 1–8. https://doi.org/10.1155/2013/738705</w:t>
            </w:r>
          </w:p>
          <w:p>
            <w:pPr>
              <w:keepNext w:val="0"/>
              <w:keepLines w:val="0"/>
              <w:widowControl/>
              <w:suppressLineNumbers w:val="0"/>
              <w:jc w:val="left"/>
            </w:pPr>
            <w:r>
              <w:rPr>
                <w:rFonts w:hint="default" w:ascii="Times New Roman" w:hAnsi="Times New Roman" w:eastAsia="SimSun" w:cs="Times New Roman"/>
                <w:i w:val="0"/>
                <w:iCs w:val="0"/>
                <w:caps w:val="0"/>
                <w:color w:val="000000"/>
                <w:spacing w:val="0"/>
                <w:kern w:val="0"/>
                <w:sz w:val="24"/>
                <w:szCs w:val="24"/>
                <w:u w:val="none"/>
                <w:shd w:val="clear" w:fill="FFFFFF"/>
                <w:lang w:val="en-US" w:eastAsia="zh-CN" w:bidi="ar"/>
              </w:rPr>
              <w:t>‌</w:t>
            </w:r>
          </w:p>
          <w:p/>
        </w:tc>
      </w:tr>
    </w:tbl>
    <w:p>
      <w:pPr>
        <w:rPr>
          <w:rFonts w:ascii="Arial" w:hAnsi="Arial" w:cs="Arial"/>
          <w:sz w:val="8"/>
          <w:szCs w:val="8"/>
        </w:rPr>
      </w:pPr>
    </w:p>
    <w:tbl>
      <w:tblPr>
        <w:tblStyle w:val="4"/>
        <w:tblpPr w:leftFromText="180" w:rightFromText="180" w:vertAnchor="text" w:horzAnchor="margin" w:tblpY="13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08"/>
      </w:tblGrid>
      <w:tr>
        <w:tc>
          <w:tcPr>
            <w:tcW w:w="10308" w:type="dxa"/>
          </w:tcPr>
          <w:p>
            <w:pPr>
              <w:rPr>
                <w:rFonts w:hint="default" w:ascii="Arial" w:hAnsi="Arial" w:cs="Arial"/>
                <w:sz w:val="20"/>
                <w:lang w:val="en-US"/>
              </w:rPr>
            </w:pPr>
            <w:r>
              <w:rPr>
                <w:rFonts w:ascii="Arial" w:hAnsi="Arial" w:cs="Arial"/>
                <w:b/>
                <w:sz w:val="20"/>
              </w:rPr>
              <w:t>Please state the main research question(s) or hypotheses(s): (100 words max)</w:t>
            </w:r>
            <w:r>
              <w:rPr>
                <w:rFonts w:hint="default" w:ascii="Arial" w:hAnsi="Arial" w:cs="Arial"/>
                <w:sz w:val="20"/>
                <w:lang w:val="en-US"/>
              </w:rPr>
              <w:t xml:space="preserve"> </w:t>
            </w:r>
          </w:p>
          <w:p>
            <w:pPr>
              <w:rPr>
                <w:rFonts w:hint="default" w:ascii="Arial" w:hAnsi="Arial" w:cs="Arial"/>
                <w:sz w:val="20"/>
                <w:lang w:val="en-US"/>
              </w:rPr>
            </w:pPr>
          </w:p>
          <w:p>
            <w:pPr>
              <w:rPr>
                <w:rFonts w:hint="default" w:ascii="Arial" w:hAnsi="Arial" w:cs="Arial"/>
                <w:sz w:val="20"/>
                <w:lang w:val="en-US"/>
              </w:rPr>
            </w:pPr>
            <w:r>
              <w:rPr>
                <w:rFonts w:hint="default" w:ascii="Arial" w:hAnsi="Arial" w:cs="Arial"/>
                <w:sz w:val="20"/>
                <w:lang w:val="en-US"/>
              </w:rPr>
              <w:t>1: D</w:t>
            </w:r>
            <w:r>
              <w:rPr>
                <w:rFonts w:hint="default" w:ascii="Times New Roman Regular" w:hAnsi="Times New Roman Regular" w:cs="Times New Roman Regular"/>
                <w:sz w:val="24"/>
                <w:szCs w:val="24"/>
                <w:lang w:val="en-US"/>
              </w:rPr>
              <w:t>oes mood affect the types of barriers and benefits perceived?</w:t>
            </w:r>
            <w:r>
              <w:rPr>
                <w:rFonts w:hint="default" w:ascii="Arial" w:hAnsi="Arial" w:cs="Arial"/>
                <w:sz w:val="20"/>
                <w:lang w:val="en-US"/>
              </w:rPr>
              <w:t xml:space="preserve"> </w:t>
            </w:r>
          </w:p>
          <w:p>
            <w:pPr>
              <w:rPr>
                <w:rFonts w:hint="default" w:ascii="Arial" w:hAnsi="Arial" w:cs="Arial"/>
                <w:sz w:val="20"/>
                <w:lang w:val="en-US"/>
              </w:rPr>
            </w:pPr>
          </w:p>
          <w:p>
            <w:pPr>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lang w:val="en-US"/>
              </w:rPr>
              <w:t xml:space="preserve">hypotheses in relation to the topic that identified benefits has a positive effect on relation within mood in females engaging sport, also women experience negative moods which can influence barriers when involved in sport or exercise. </w:t>
            </w:r>
          </w:p>
          <w:p>
            <w:pPr>
              <w:rPr>
                <w:rFonts w:hint="default" w:ascii="Times New Roman Regular" w:hAnsi="Times New Roman Regular" w:cs="Times New Roman Regular"/>
                <w:b w:val="0"/>
                <w:sz w:val="24"/>
                <w:szCs w:val="24"/>
              </w:rPr>
            </w:pPr>
          </w:p>
          <w:p/>
        </w:tc>
      </w:tr>
    </w:tbl>
    <w:p>
      <w:pPr>
        <w:rPr>
          <w:rFonts w:ascii="Arial" w:hAnsi="Arial" w:cs="Arial"/>
          <w:b/>
          <w:sz w:val="20"/>
        </w:rPr>
      </w:pPr>
    </w:p>
    <w:p>
      <w:pPr>
        <w:rPr>
          <w:rFonts w:ascii="Arial" w:hAnsi="Arial" w:cs="Arial"/>
          <w:b/>
          <w:sz w:val="20"/>
        </w:rPr>
      </w:pPr>
    </w:p>
    <w:p>
      <w:pPr>
        <w:rPr>
          <w:rFonts w:ascii="Arial" w:hAnsi="Arial" w:cs="Arial"/>
          <w:b/>
          <w:sz w:val="20"/>
          <w:u w:val="single"/>
        </w:rPr>
      </w:pPr>
      <w:r>
        <w:rPr>
          <w:rFonts w:ascii="Arial" w:hAnsi="Arial" w:cs="Arial"/>
          <w:b/>
          <w:sz w:val="20"/>
          <w:u w:val="single"/>
        </w:rPr>
        <w:t xml:space="preserve">Methodological Details (500 words) </w:t>
      </w:r>
    </w:p>
    <w:p>
      <w:pPr>
        <w:rPr>
          <w:rFonts w:ascii="Arial" w:hAnsi="Arial" w:cs="Arial"/>
          <w:b/>
          <w:sz w:val="20"/>
        </w:rPr>
      </w:pPr>
    </w:p>
    <w:tbl>
      <w:tblPr>
        <w:tblStyle w:val="4"/>
        <w:tblW w:w="0" w:type="auto"/>
        <w:tblInd w:w="0" w:type="dxa"/>
        <w:tblLayout w:type="autofit"/>
        <w:tblCellMar>
          <w:top w:w="0" w:type="dxa"/>
          <w:left w:w="108" w:type="dxa"/>
          <w:bottom w:w="0" w:type="dxa"/>
          <w:right w:w="108" w:type="dxa"/>
        </w:tblCellMar>
      </w:tblPr>
      <w:tblGrid>
        <w:gridCol w:w="10368"/>
      </w:tblGrid>
      <w:tr>
        <w:tc>
          <w:tcPr>
            <w:tcW w:w="10368" w:type="dxa"/>
            <w:tcBorders>
              <w:top w:val="single" w:color="auto" w:sz="4" w:space="0"/>
              <w:left w:val="single" w:color="auto" w:sz="4" w:space="0"/>
              <w:bottom w:val="single" w:color="auto" w:sz="4" w:space="0"/>
              <w:right w:val="single" w:color="auto" w:sz="4" w:space="0"/>
            </w:tcBorders>
          </w:tcPr>
          <w:p>
            <w:pPr>
              <w:rPr>
                <w:rFonts w:ascii="Arial" w:hAnsi="Arial" w:cs="Arial"/>
                <w:b/>
                <w:i/>
                <w:iCs/>
                <w:sz w:val="20"/>
              </w:rPr>
            </w:pPr>
            <w:r>
              <w:rPr>
                <w:rFonts w:ascii="Arial" w:hAnsi="Arial" w:cs="Arial"/>
                <w:b/>
                <w:i/>
                <w:iCs/>
                <w:sz w:val="20"/>
              </w:rPr>
              <w:t>Please summarise the key methodological approach: (you can include copies of proposed study materials as appendices if you wish). You must include details of the following:</w:t>
            </w:r>
          </w:p>
          <w:p>
            <w:pPr>
              <w:pStyle w:val="13"/>
              <w:numPr>
                <w:ilvl w:val="0"/>
                <w:numId w:val="1"/>
              </w:numPr>
              <w:rPr>
                <w:rFonts w:hint="default" w:ascii="Times New Roman Regular" w:hAnsi="Times New Roman Regular" w:cs="Times New Roman Regular"/>
                <w:b w:val="0"/>
                <w:bCs/>
                <w:i w:val="0"/>
                <w:iCs/>
                <w:sz w:val="24"/>
                <w:szCs w:val="24"/>
              </w:rPr>
            </w:pPr>
            <w:r>
              <w:rPr>
                <w:rFonts w:hint="default" w:ascii="Times New Roman Regular" w:hAnsi="Times New Roman Regular" w:cs="Times New Roman Regular"/>
                <w:b w:val="0"/>
                <w:bCs/>
                <w:i w:val="0"/>
                <w:iCs/>
                <w:sz w:val="24"/>
                <w:szCs w:val="24"/>
              </w:rPr>
              <w:t>Participants: Who will your participants be, how will you access and recruit them, and how many are needed?</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The participants will be the age of over 18 to take part in the research study also female based with those that identify as female. There will be an aim for 80-100 participants. Reflecting onto other studies using the type of questionnaire scales had previous recruitment of 100 and over. Participants will access it by taking part in an online study on qualitrics. The study can be accessed from a link that will come from the university school page and posted on social media. Participants will be recruited mainly from social media such as Facebook, WhatsApp, Twitter and LinkedIn. The link will direct them straight onto qualitrics to complete their own anonymous participation towards the study where the questionnaires will be shown. The overall average need of participation is around 80 whereas the reason why the participation aim number is between 80-100. Participants targeted will be females only based on research and participation. </w:t>
            </w:r>
          </w:p>
          <w:p>
            <w:pPr>
              <w:pStyle w:val="8"/>
              <w:widowControl/>
              <w:numPr>
                <w:ilvl w:val="0"/>
                <w:numId w:val="2"/>
              </w:numPr>
              <w:ind w:left="360" w:firstLine="0"/>
              <w:contextualSpacing/>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Design: Using appropriate terminology clearly define key elements of your design (IVs, DVs, Qual approach, except. manipulations etc).  How do you plan to analyse your main data? </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Within this research the IV stated would be age as this can influence a difference in results the mean age will also be calculated in the research to identify the most corresponding age. The DV on the other hand is mood as the age (iv) of participants may affect this. The control variable would be gender as this stays the same throughout research. T</w:t>
            </w:r>
            <w:bookmarkStart w:id="0" w:name="_GoBack"/>
            <w:bookmarkEnd w:id="0"/>
            <w:r>
              <w:rPr>
                <w:rFonts w:hint="default" w:ascii="Times New Roman Regular" w:hAnsi="Times New Roman Regular" w:eastAsia="Times New Roman Regular" w:cs="Times New Roman Regular"/>
                <w:bCs/>
                <w:iCs/>
                <w:lang w:val="en-US"/>
              </w:rPr>
              <w:t xml:space="preserve">he variables will be measured with two questionnaires such as (EBBS) and (EMRS) the questionnaire (EBBM) measures barriers and benefits and includes 43 questions answered on 4 likert scale. (EMRS) measures mood and consists of 28 questions relating to mood and exercise. This research will have a quantitative approach and with an experimental design style based on the IV, DV and CV also due to the scales of the questionnaire being used and the number of participants. To analyse the main data, it will be a one-way ANOVA test. This is suitable as there is only one independent variable and with the type of data recording it tests variations of effects on the dependent variable.  </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 </w:t>
            </w:r>
          </w:p>
          <w:p>
            <w:pPr>
              <w:pStyle w:val="8"/>
              <w:widowControl/>
              <w:numPr>
                <w:ilvl w:val="0"/>
                <w:numId w:val="2"/>
              </w:numPr>
              <w:ind w:left="360" w:firstLine="0"/>
              <w:contextualSpacing/>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Materials: What are the main measures, scales, experimental tools or other materials required for your study? </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The main measure of the study is to receive data from completed questionnaire surveys formed as Likert scales to measure different individual data analyses used such as one-way ANOVA. SPSS will run all the data imported from qualitrics starting with analysis steps, mean calculations and any required reverse scoring to result in a final analysis one-way ANOVA. Materials used in the study would be the two questionnaires (EBBS), (EMRS), Qualitrics, EMS, SPSS also technology such as phones, tablets and laptops to access and part take in the study.  </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 </w:t>
            </w:r>
          </w:p>
          <w:p>
            <w:pPr>
              <w:pStyle w:val="8"/>
              <w:widowControl/>
              <w:numPr>
                <w:ilvl w:val="0"/>
                <w:numId w:val="2"/>
              </w:numPr>
              <w:ind w:left="360" w:firstLine="0"/>
              <w:contextualSpacing/>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Procedure: How will you carry out the study – define briefly what will happen to a participant in your study from the point of consent to the study debrief.</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 </w:t>
            </w:r>
          </w:p>
          <w:p>
            <w:pPr>
              <w:pStyle w:val="8"/>
              <w:widowControl/>
              <w:rPr>
                <w:rFonts w:hint="default" w:ascii="Times New Roman Regular" w:hAnsi="Times New Roman Regular" w:eastAsia="Times New Roman Regular" w:cs="Times New Roman Regular"/>
                <w:bCs/>
                <w:iCs/>
                <w:lang w:val="en-US"/>
              </w:rPr>
            </w:pPr>
            <w:r>
              <w:rPr>
                <w:rFonts w:hint="default" w:ascii="Times New Roman Regular" w:hAnsi="Times New Roman Regular" w:eastAsia="Times New Roman Regular" w:cs="Times New Roman Regular"/>
                <w:bCs/>
                <w:iCs/>
                <w:lang w:val="en-US"/>
              </w:rPr>
              <w:t xml:space="preserve">Participants partaking in the study will be directed onto qualitrics from where they have accessed the link, they will then be shown an overview of the research study and what it includes and expects to take part in the study. They will then be shown an information sheet including what will be involved in the study and other requirements of information and instructions. They will then view a consent form to sign as participation towards the study. After this, participants can start the study where they will be shown questionnaires in order to answer such as questionnaires (EBBS) and questionnaire (EMRS), after completing these questionnaires their results will be automatically recorded and saved. Participants will then be shown a debrief form at the end and a thank you slide for participation. </w:t>
            </w:r>
          </w:p>
          <w:p>
            <w:pPr>
              <w:rPr>
                <w:rFonts w:ascii="Arial" w:hAnsi="Arial" w:cs="Arial"/>
                <w:b/>
              </w:rPr>
            </w:pPr>
          </w:p>
        </w:tc>
      </w:tr>
    </w:tbl>
    <w:p>
      <w:pPr>
        <w:rPr>
          <w:rFonts w:ascii="Arial" w:hAnsi="Arial" w:cs="Arial"/>
          <w:b/>
        </w:rPr>
      </w:pPr>
    </w:p>
    <w:p>
      <w:pPr>
        <w:rPr>
          <w:rFonts w:ascii="Arial" w:hAnsi="Arial" w:cs="Arial"/>
          <w:b/>
          <w:sz w:val="20"/>
          <w:szCs w:val="20"/>
        </w:rPr>
      </w:pPr>
    </w:p>
    <w:p>
      <w:pPr>
        <w:rPr>
          <w:rFonts w:ascii="Arial" w:hAnsi="Arial" w:cs="Arial"/>
          <w:b/>
          <w:sz w:val="20"/>
          <w:szCs w:val="20"/>
          <w:u w:val="single"/>
        </w:rPr>
      </w:pPr>
      <w:r>
        <w:rPr>
          <w:rFonts w:ascii="Arial" w:hAnsi="Arial" w:cs="Arial"/>
          <w:b/>
          <w:sz w:val="20"/>
          <w:szCs w:val="20"/>
          <w:u w:val="single"/>
        </w:rPr>
        <w:t>Key Ethical considerations (150 words)</w:t>
      </w:r>
    </w:p>
    <w:p>
      <w:pPr>
        <w:rPr>
          <w:rFonts w:ascii="Arial" w:hAnsi="Arial" w:cs="Arial"/>
          <w:b/>
          <w:sz w:val="20"/>
          <w:szCs w:val="20"/>
          <w:u w:val="single"/>
        </w:rPr>
      </w:pPr>
    </w:p>
    <w:p>
      <w:pPr>
        <w:rPr>
          <w:sz w:val="4"/>
          <w:szCs w:val="4"/>
        </w:rPr>
      </w:pPr>
    </w:p>
    <w:tbl>
      <w:tblPr>
        <w:tblStyle w:val="4"/>
        <w:tblW w:w="0" w:type="auto"/>
        <w:tblInd w:w="0" w:type="dxa"/>
        <w:tblLayout w:type="autofit"/>
        <w:tblCellMar>
          <w:top w:w="0" w:type="dxa"/>
          <w:left w:w="108" w:type="dxa"/>
          <w:bottom w:w="0" w:type="dxa"/>
          <w:right w:w="108" w:type="dxa"/>
        </w:tblCellMar>
      </w:tblPr>
      <w:tblGrid>
        <w:gridCol w:w="10368"/>
      </w:tblGrid>
      <w:tr>
        <w:tc>
          <w:tcPr>
            <w:tcW w:w="10368" w:type="dxa"/>
            <w:tcBorders>
              <w:top w:val="single" w:color="auto" w:sz="4" w:space="0"/>
              <w:left w:val="single" w:color="auto" w:sz="4" w:space="0"/>
              <w:bottom w:val="single" w:color="auto" w:sz="4" w:space="0"/>
              <w:right w:val="single" w:color="auto" w:sz="4" w:space="0"/>
            </w:tcBorders>
          </w:tcPr>
          <w:p>
            <w:pPr>
              <w:rPr>
                <w:rFonts w:ascii="Arial" w:hAnsi="Arial" w:cs="Arial"/>
                <w:bCs/>
                <w:i/>
                <w:iCs/>
                <w:sz w:val="22"/>
                <w:szCs w:val="22"/>
              </w:rPr>
            </w:pPr>
            <w:r>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Pr>
                <w:rFonts w:ascii="Arial" w:hAnsi="Arial" w:cs="Arial"/>
                <w:bCs/>
                <w:i/>
                <w:iCs/>
                <w:sz w:val="22"/>
                <w:szCs w:val="22"/>
                <w:u w:val="single"/>
              </w:rPr>
              <w:t>additional or specific key ethical considerations</w:t>
            </w:r>
            <w:r>
              <w:rPr>
                <w:rFonts w:ascii="Arial" w:hAnsi="Arial" w:cs="Arial"/>
                <w:bCs/>
                <w:i/>
                <w:iCs/>
                <w:sz w:val="22"/>
                <w:szCs w:val="22"/>
              </w:rPr>
              <w:t xml:space="preserve"> for your particular project e.g. potential for distress or discomfort, any deception, research with vulnerable populations or sensitive topic areas, and briefly outline how you expect to manage these risks within your project. </w:t>
            </w:r>
          </w:p>
          <w:p>
            <w:pPr>
              <w:rPr>
                <w:rFonts w:ascii="Arial" w:hAnsi="Arial" w:cs="Arial"/>
                <w:b/>
              </w:rPr>
            </w:pPr>
          </w:p>
          <w:p>
            <w:pPr>
              <w:keepNext w:val="0"/>
              <w:keepLines w:val="0"/>
              <w:widowControl/>
              <w:suppressLineNumbers w:val="0"/>
              <w:spacing w:before="0" w:beforeAutospacing="0" w:after="0" w:afterAutospacing="0"/>
              <w:ind w:left="0" w:right="0"/>
              <w:jc w:val="left"/>
              <w:rPr>
                <w:bCs/>
                <w:lang w:val="en-US"/>
              </w:rPr>
            </w:pPr>
            <w:r>
              <w:rPr>
                <w:rFonts w:hint="default" w:ascii="Times New Roman" w:hAnsi="Times New Roman" w:eastAsia="Times New Roman" w:cs="Times New Roman"/>
                <w:bCs/>
                <w:kern w:val="0"/>
                <w:sz w:val="24"/>
                <w:szCs w:val="24"/>
                <w:lang w:val="en-US" w:eastAsia="zh-CN" w:bidi="ar"/>
              </w:rPr>
              <w:t xml:space="preserve">Ethical issues that may arise from this study would be the wording of questions within the questionnaire as some of these questions may have an influence on a personal/sensitive aspect as the questions are asking details about their life/ mood and physical activity. From this, it will be included on debrief/ consent form before participants will take part in the study so they are prepared and showing consent to take part in the study and that they have acknowledged what will be involved. Another ethical issue is as the study is based online and recruitment is based formally online many may believe their results can link back to them via social media or have generic issues with anonymity for the study such as data protection issues or believe that it is a survey rather than a study. This information will be discussed with anonymity and data protection within the debrief and consent forms before they take part in the study. Also, any questions will be open to answering at the end of the study via email with any further concerns with the ethical issues addressed making sure that it is clarified that this is a study formed by year 3 Psychology &amp; Counselling students and that data will be obtained for university use only.  </w:t>
            </w:r>
          </w:p>
          <w:p>
            <w:pPr>
              <w:keepNext w:val="0"/>
              <w:keepLines w:val="0"/>
              <w:widowControl/>
              <w:suppressLineNumbers w:val="0"/>
              <w:spacing w:before="0" w:beforeAutospacing="0" w:after="0" w:afterAutospacing="0"/>
              <w:ind w:left="0" w:right="0"/>
              <w:jc w:val="left"/>
              <w:rPr>
                <w:b/>
                <w:bCs w:val="0"/>
                <w:lang w:val="en-US"/>
              </w:rPr>
            </w:pPr>
            <w:r>
              <w:rPr>
                <w:rFonts w:hint="default" w:ascii="Times New Roman" w:hAnsi="Times New Roman" w:eastAsia="Times New Roman" w:cs="Times New Roman"/>
                <w:b/>
                <w:bCs w:val="0"/>
                <w:kern w:val="0"/>
                <w:sz w:val="24"/>
                <w:szCs w:val="24"/>
                <w:lang w:val="en-US" w:eastAsia="zh-CN" w:bidi="ar"/>
              </w:rPr>
              <w:t xml:space="preserve"> </w:t>
            </w:r>
          </w:p>
          <w:p>
            <w:pPr>
              <w:keepNext w:val="0"/>
              <w:keepLines w:val="0"/>
              <w:widowControl/>
              <w:suppressLineNumbers w:val="0"/>
              <w:spacing w:before="0" w:beforeAutospacing="0" w:after="0" w:afterAutospacing="0"/>
              <w:ind w:left="0" w:right="0"/>
              <w:jc w:val="left"/>
              <w:rPr>
                <w:b/>
                <w:bCs w:val="0"/>
                <w:lang w:val="en-US"/>
              </w:rPr>
            </w:pPr>
          </w:p>
          <w:p>
            <w:pPr>
              <w:rPr>
                <w:rFonts w:hint="default" w:ascii="Arial" w:hAnsi="Arial" w:cs="Arial"/>
                <w:b w:val="0"/>
                <w:bCs/>
                <w:sz w:val="24"/>
                <w:szCs w:val="24"/>
                <w:lang w:val="en-US"/>
              </w:rPr>
            </w:pPr>
            <w:r>
              <w:rPr>
                <w:rFonts w:hint="default" w:ascii="Arial" w:hAnsi="Arial" w:cs="Arial"/>
                <w:b w:val="0"/>
                <w:bCs/>
                <w:sz w:val="24"/>
                <w:szCs w:val="24"/>
                <w:lang w:val="en-US"/>
              </w:rPr>
              <w:t xml:space="preserve"> </w:t>
            </w:r>
          </w:p>
          <w:p>
            <w:pPr>
              <w:rPr>
                <w:rFonts w:ascii="Arial" w:hAnsi="Arial" w:cs="Arial"/>
                <w:b/>
              </w:rPr>
            </w:pPr>
          </w:p>
          <w:p>
            <w:pPr>
              <w:rPr>
                <w:rFonts w:ascii="Arial" w:hAnsi="Arial" w:cs="Arial"/>
                <w:b/>
              </w:rPr>
            </w:pPr>
          </w:p>
        </w:tc>
      </w:tr>
    </w:tbl>
    <w:p>
      <w:pPr>
        <w:rPr>
          <w:sz w:val="8"/>
          <w:szCs w:val="8"/>
        </w:rPr>
      </w:pPr>
    </w:p>
    <w:p>
      <w:pPr>
        <w:rPr>
          <w:rFonts w:ascii="Arial" w:hAnsi="Arial" w:cs="Arial"/>
          <w:b/>
        </w:rPr>
      </w:pPr>
    </w:p>
    <w:p>
      <w:pPr>
        <w:pStyle w:val="11"/>
        <w:rPr>
          <w:sz w:val="4"/>
          <w:szCs w:val="4"/>
        </w:rPr>
      </w:pPr>
    </w:p>
    <w:sectPr>
      <w:footerReference r:id="rId3" w:type="default"/>
      <w:footerReference r:id="rId4" w:type="even"/>
      <w:pgSz w:w="11906" w:h="16838"/>
      <w:pgMar w:top="567" w:right="794" w:bottom="397" w:left="794" w:header="709" w:footer="709" w:gutter="0"/>
      <w:pgNumType w:start="6"/>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Tahoma">
    <w:panose1 w:val="020B0604030504040204"/>
    <w:charset w:val="00"/>
    <w:family w:val="swiss"/>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Regular">
    <w:altName w:val="Helvetica Neue"/>
    <w:panose1 w:val="00000000000000000000"/>
    <w:charset w:val="00"/>
    <w:family w:val="auto"/>
    <w:pitch w:val="default"/>
    <w:sig w:usb0="00000000" w:usb1="00000000" w:usb2="00000000" w:usb3="00000000" w:csb0="00000000" w:csb1="00000000"/>
  </w:font>
  <w:font w:name="@SimSun">
    <w:altName w:val="宋体-简"/>
    <w:panose1 w:val="02010600030101010101"/>
    <w:charset w:val="86"/>
    <w:family w:val="auto"/>
    <w:pitch w:val="variable"/>
    <w:sig w:usb0="00000003" w:usb1="288F0000" w:usb2="00000016" w:usb3="00000000" w:csb0="00040001" w:csb1="00000000"/>
  </w:font>
  <w:font w:name="Cambria Math">
    <w:altName w:val="Kingsoft Math"/>
    <w:panose1 w:val="02040503050406030204"/>
    <w:charset w:val="00"/>
    <w:family w:val="auto"/>
    <w:pitch w:val="variable"/>
    <w:sig w:usb0="E00002FF" w:usb1="420024FF"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Wingdings">
    <w:panose1 w:val="05000000000000000000"/>
    <w:charset w:val="4D"/>
    <w:family w:val="auto"/>
    <w:pitch w:val="variable"/>
    <w:sig w:usb0="00000000" w:usb1="00000000" w:usb2="00000000" w:usb3="00000000" w:csb0="00000000" w:csb1="00000000"/>
  </w:font>
  <w:font w:name="Calibri">
    <w:altName w:val="Helvetica Neue"/>
    <w:panose1 w:val="00000000000000000000"/>
    <w:charset w:val="86"/>
    <w:family w:val="auto"/>
    <w:pitch w:val="default"/>
    <w:sig w:usb0="00000000" w:usb1="00000000" w:usb2="00000000" w:usb3="00000000" w:csb0="00000000" w:csb1="00000000"/>
  </w:font>
  <w:font w:name="Calibri">
    <w:altName w:val="Helvetica Neue"/>
    <w:panose1 w:val="00000000000000000000"/>
    <w:charset w:val="86"/>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right="360"/>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framePr w:wrap="around" w:vAnchor="text" w:hAnchor="margin" w:xAlign="right" w:y="1"/>
      <w:rPr>
        <w:rStyle w:val="9"/>
      </w:rPr>
    </w:pPr>
    <w:r>
      <w:rPr>
        <w:rStyle w:val="9"/>
      </w:rPr>
      <w:fldChar w:fldCharType="begin"/>
    </w:r>
    <w:r>
      <w:rPr>
        <w:rStyle w:val="9"/>
      </w:rPr>
      <w:instrText xml:space="preserve">PAGE  </w:instrText>
    </w:r>
    <w:r>
      <w:rPr>
        <w:rStyle w:val="9"/>
      </w:rPr>
      <w:fldChar w:fldCharType="end"/>
    </w:r>
  </w:p>
  <w:p>
    <w:pPr>
      <w:pStyle w:val="6"/>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EBE3576"/>
    <w:multiLevelType w:val="multilevel"/>
    <w:tmpl w:val="EEBE3576"/>
    <w:lvl w:ilvl="0" w:tentative="0">
      <w:start w:val="1"/>
      <w:numFmt w:val="bullet"/>
      <w:lvlText w:val=""/>
      <w:lvlJc w:val="left"/>
      <w:pPr>
        <w:ind w:left="360" w:firstLine="0"/>
      </w:pPr>
      <w:rPr>
        <w:rFonts w:ascii="Symbol" w:hAnsi="Symbol" w:cs="Symbol"/>
      </w:rPr>
    </w:lvl>
    <w:lvl w:ilvl="1" w:tentative="0">
      <w:start w:val="1"/>
      <w:numFmt w:val="bullet"/>
      <w:lvlText w:val="o"/>
      <w:lvlJc w:val="left"/>
      <w:pPr>
        <w:ind w:left="1080" w:firstLine="0"/>
      </w:pPr>
      <w:rPr>
        <w:rFonts w:ascii="Courier New" w:hAnsi="Courier New" w:cs="Courier New"/>
      </w:rPr>
    </w:lvl>
    <w:lvl w:ilvl="2" w:tentative="0">
      <w:start w:val="1"/>
      <w:numFmt w:val="bullet"/>
      <w:lvlText w:val=""/>
      <w:lvlJc w:val="left"/>
      <w:pPr>
        <w:ind w:left="1800" w:firstLine="0"/>
      </w:pPr>
      <w:rPr>
        <w:rFonts w:ascii="Wingdings" w:hAnsi="Wingdings" w:cs="Wingdings"/>
      </w:rPr>
    </w:lvl>
    <w:lvl w:ilvl="3" w:tentative="0">
      <w:start w:val="1"/>
      <w:numFmt w:val="bullet"/>
      <w:lvlText w:val=""/>
      <w:lvlJc w:val="left"/>
      <w:pPr>
        <w:ind w:left="2520" w:firstLine="0"/>
      </w:pPr>
      <w:rPr>
        <w:rFonts w:hint="default" w:ascii="Symbol" w:hAnsi="Symbol" w:cs="Symbol"/>
      </w:rPr>
    </w:lvl>
    <w:lvl w:ilvl="4" w:tentative="0">
      <w:start w:val="1"/>
      <w:numFmt w:val="bullet"/>
      <w:lvlText w:val="o"/>
      <w:lvlJc w:val="left"/>
      <w:pPr>
        <w:ind w:left="3240" w:firstLine="0"/>
      </w:pPr>
      <w:rPr>
        <w:rFonts w:hint="default" w:ascii="Courier New" w:hAnsi="Courier New" w:cs="Courier New"/>
      </w:rPr>
    </w:lvl>
    <w:lvl w:ilvl="5" w:tentative="0">
      <w:start w:val="1"/>
      <w:numFmt w:val="bullet"/>
      <w:lvlText w:val=""/>
      <w:lvlJc w:val="left"/>
      <w:pPr>
        <w:ind w:left="3960" w:firstLine="0"/>
      </w:pPr>
      <w:rPr>
        <w:rFonts w:ascii="Wingdings" w:hAnsi="Wingdings" w:cs="Wingdings"/>
      </w:rPr>
    </w:lvl>
    <w:lvl w:ilvl="6" w:tentative="0">
      <w:start w:val="1"/>
      <w:numFmt w:val="bullet"/>
      <w:lvlText w:val=""/>
      <w:lvlJc w:val="left"/>
      <w:pPr>
        <w:ind w:left="4680" w:firstLine="0"/>
      </w:pPr>
      <w:rPr>
        <w:rFonts w:hint="default" w:ascii="Symbol" w:hAnsi="Symbol" w:cs="Symbol"/>
      </w:rPr>
    </w:lvl>
    <w:lvl w:ilvl="7" w:tentative="0">
      <w:start w:val="1"/>
      <w:numFmt w:val="bullet"/>
      <w:lvlText w:val="o"/>
      <w:lvlJc w:val="left"/>
      <w:pPr>
        <w:ind w:left="5400" w:firstLine="0"/>
      </w:pPr>
      <w:rPr>
        <w:rFonts w:hint="default" w:ascii="Courier New" w:hAnsi="Courier New" w:cs="Courier New"/>
      </w:rPr>
    </w:lvl>
    <w:lvl w:ilvl="8" w:tentative="0">
      <w:start w:val="1"/>
      <w:numFmt w:val="bullet"/>
      <w:lvlText w:val=""/>
      <w:lvlJc w:val="left"/>
      <w:pPr>
        <w:ind w:left="6120" w:firstLine="0"/>
      </w:pPr>
      <w:rPr>
        <w:rFonts w:ascii="Wingdings" w:hAnsi="Wingdings" w:cs="Wingdings"/>
      </w:rPr>
    </w:lvl>
  </w:abstractNum>
  <w:abstractNum w:abstractNumId="1">
    <w:nsid w:val="51CB25F2"/>
    <w:multiLevelType w:val="multilevel"/>
    <w:tmpl w:val="51CB25F2"/>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9"/>
  <w:bordersDoNotSurroundHeader w:val="0"/>
  <w:bordersDoNotSurroundFooter w:val="0"/>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attachedTemplate r:id="rId1"/>
  <w:documentProtection w:enforcement="0"/>
  <w:defaultTabStop w:val="720"/>
  <w:displayHorizontalDrawingGridEvery w:val="1"/>
  <w:displayVerticalDrawingGridEvery w:val="1"/>
  <w:characterSpacingControl w:val="doNotCompress"/>
  <w:compat>
    <w:doNotExpandShiftReturn/>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 w:val="29FF521A"/>
    <w:rsid w:val="2FECB55E"/>
    <w:rsid w:val="3DFE9CC0"/>
    <w:rsid w:val="5DBB8A20"/>
    <w:rsid w:val="5FDF1EFB"/>
    <w:rsid w:val="77FFF073"/>
    <w:rsid w:val="7EF25A11"/>
    <w:rsid w:val="D94F3B7E"/>
    <w:rsid w:val="E54F7D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name="header"/>
    <w:lsdException w:unhideWhenUsed="0" w:uiPriority="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iPriority="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0"/>
    <w:pPr>
      <w:keepNext/>
      <w:spacing w:before="240" w:after="60"/>
      <w:outlineLvl w:val="0"/>
    </w:pPr>
    <w:rPr>
      <w:rFonts w:ascii="Arial" w:hAnsi="Arial" w:cs="Arial"/>
      <w:b/>
      <w:bCs/>
      <w:kern w:val="32"/>
      <w:sz w:val="32"/>
      <w:szCs w:val="32"/>
    </w:rPr>
  </w:style>
  <w:style w:type="character" w:default="1" w:styleId="3">
    <w:name w:val="Default Paragraph Font"/>
    <w:semiHidden/>
    <w:unhideWhenUsed/>
    <w:uiPriority w:val="1"/>
  </w:style>
  <w:style w:type="table" w:default="1" w:styleId="4">
    <w:name w:val="Normal Table"/>
    <w:semiHidden/>
    <w:unhideWhenUsed/>
    <w:uiPriority w:val="99"/>
    <w:pPr>
      <w:keepNext w:val="0"/>
      <w:keepLines w:val="0"/>
      <w:widowControl/>
      <w:suppressLineNumbers w:val="0"/>
      <w:spacing w:before="0" w:beforeAutospacing="0" w:after="0" w:afterAutospacing="0"/>
      <w:ind w:left="0" w:right="0"/>
    </w:pPr>
    <w:rPr>
      <w:rFonts w:hint="eastAsia" w:ascii="Calibri" w:hAnsi="Calibri" w:cs="Times New Roman"/>
      <w:kern w:val="2"/>
      <w:sz w:val="24"/>
      <w:szCs w:val="24"/>
      <w:lang w:eastAsia="en-US"/>
    </w:rPr>
    <w:tblPr>
      <w:tblCellMar>
        <w:top w:w="0" w:type="dxa"/>
        <w:left w:w="108" w:type="dxa"/>
        <w:bottom w:w="0" w:type="dxa"/>
        <w:right w:w="108" w:type="dxa"/>
      </w:tblCellMar>
    </w:tblPr>
  </w:style>
  <w:style w:type="paragraph" w:styleId="5">
    <w:name w:val="Balloon Text"/>
    <w:basedOn w:val="1"/>
    <w:semiHidden/>
    <w:uiPriority w:val="0"/>
    <w:rPr>
      <w:rFonts w:ascii="Tahoma" w:hAnsi="Tahoma" w:cs="Tahoma"/>
      <w:sz w:val="16"/>
      <w:szCs w:val="16"/>
    </w:rPr>
  </w:style>
  <w:style w:type="paragraph" w:styleId="6">
    <w:name w:val="footer"/>
    <w:basedOn w:val="1"/>
    <w:semiHidden/>
    <w:uiPriority w:val="0"/>
    <w:pPr>
      <w:tabs>
        <w:tab w:val="center" w:pos="4153"/>
        <w:tab w:val="right" w:pos="8306"/>
      </w:tabs>
    </w:pPr>
  </w:style>
  <w:style w:type="paragraph" w:styleId="7">
    <w:name w:val="header"/>
    <w:basedOn w:val="1"/>
    <w:semiHidden/>
    <w:uiPriority w:val="0"/>
    <w:pPr>
      <w:tabs>
        <w:tab w:val="center" w:pos="4153"/>
        <w:tab w:val="right" w:pos="8306"/>
      </w:tabs>
    </w:pPr>
  </w:style>
  <w:style w:type="paragraph" w:styleId="8">
    <w:name w:val="Normal (Web)"/>
    <w:uiPriority w:val="0"/>
    <w:pPr>
      <w:spacing w:before="0" w:beforeAutospacing="1" w:after="0" w:afterAutospacing="1"/>
      <w:ind w:left="0" w:right="0"/>
      <w:jc w:val="left"/>
    </w:pPr>
    <w:rPr>
      <w:kern w:val="0"/>
      <w:sz w:val="24"/>
      <w:szCs w:val="24"/>
      <w:lang w:val="en-US" w:eastAsia="zh-CN" w:bidi="ar"/>
    </w:rPr>
  </w:style>
  <w:style w:type="character" w:styleId="9">
    <w:name w:val="page number"/>
    <w:basedOn w:val="3"/>
    <w:semiHidden/>
    <w:uiPriority w:val="0"/>
  </w:style>
  <w:style w:type="table" w:styleId="10">
    <w:name w:val="Table Grid"/>
    <w:basedOn w:val="4"/>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1">
    <w:name w:val="SMU NORMAL ARIAL"/>
    <w:basedOn w:val="1"/>
    <w:uiPriority w:val="0"/>
    <w:rPr>
      <w:rFonts w:ascii="Arial" w:hAnsi="Arial"/>
      <w:sz w:val="22"/>
    </w:rPr>
  </w:style>
  <w:style w:type="paragraph" w:customStyle="1" w:styleId="12">
    <w:name w:val="SMU ARIAL 14 BOLD"/>
    <w:uiPriority w:val="0"/>
    <w:pPr>
      <w:spacing w:before="240"/>
    </w:pPr>
    <w:rPr>
      <w:rFonts w:ascii="Arial" w:hAnsi="Arial" w:eastAsia="Times New Roman" w:cs="Arial"/>
      <w:b/>
      <w:bCs/>
      <w:caps/>
      <w:kern w:val="32"/>
      <w:sz w:val="28"/>
      <w:szCs w:val="32"/>
      <w:lang w:val="en-GB" w:eastAsia="en-GB" w:bidi="ar-SA"/>
    </w:rPr>
  </w:style>
  <w:style w:type="paragraph" w:styleId="1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caryssummerhayes/Library/Containers/com.kingsoft.wpsoffice.mac.global/Data/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smu portrait</Template>
  <Company>SIHE</Company>
  <Pages>3</Pages>
  <Words>488</Words>
  <Characters>3024</Characters>
  <Lines>25</Lines>
  <Paragraphs>7</Paragraphs>
  <TotalTime>462</TotalTime>
  <ScaleCrop>false</ScaleCrop>
  <LinksUpToDate>false</LinksUpToDate>
  <CharactersWithSpaces>3505</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2023-05-16T10:17:00Z</dcterms:created>
  <dc:creator>Gill Fildes</dc:creator>
  <cp:lastModifiedBy>caryssummerhayes</cp:lastModifiedBy>
  <cp:lastPrinted>2008-04-14T14:39:00Z</cp:lastPrinted>
  <dcterms:modified xsi:type="dcterms:W3CDTF">2023-07-10T21:30:46Z</dcterms:modified>
  <dc:title>ETHICS APPROVAL FORM</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