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008E7" w14:textId="77777777" w:rsidR="007D7A7B" w:rsidRDefault="007D7A7B" w:rsidP="007D7A7B">
      <w:pPr>
        <w:spacing w:line="360" w:lineRule="auto"/>
        <w:jc w:val="center"/>
        <w:rPr>
          <w:rFonts w:cs="Arial"/>
          <w:b/>
          <w:bCs/>
          <w:sz w:val="28"/>
          <w:szCs w:val="24"/>
        </w:rPr>
      </w:pPr>
      <w:r w:rsidRPr="00E14037">
        <w:rPr>
          <w:rFonts w:cs="Arial"/>
          <w:noProof/>
          <w:szCs w:val="24"/>
        </w:rPr>
        <w:drawing>
          <wp:anchor distT="0" distB="0" distL="114300" distR="114300" simplePos="0" relativeHeight="251659264" behindDoc="0" locked="0" layoutInCell="1" allowOverlap="1" wp14:anchorId="381D3279" wp14:editId="53261A42">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1FC25292" w14:textId="77777777" w:rsidR="007D7A7B" w:rsidRPr="00126D50" w:rsidRDefault="007D7A7B" w:rsidP="007D7A7B">
      <w:pPr>
        <w:spacing w:line="360" w:lineRule="auto"/>
        <w:jc w:val="center"/>
        <w:rPr>
          <w:rFonts w:cs="Arial"/>
          <w:b/>
          <w:bCs/>
          <w:sz w:val="32"/>
          <w:szCs w:val="24"/>
        </w:rPr>
      </w:pPr>
      <w:r w:rsidRPr="00126D50">
        <w:rPr>
          <w:rFonts w:cs="Arial"/>
          <w:b/>
          <w:bCs/>
          <w:sz w:val="32"/>
          <w:szCs w:val="24"/>
        </w:rPr>
        <w:t>Master of Business Administration</w:t>
      </w:r>
    </w:p>
    <w:p w14:paraId="7CE67DE8" w14:textId="4B5B7DF4" w:rsidR="007D7A7B" w:rsidRPr="00126D50" w:rsidRDefault="007D7A7B" w:rsidP="00126D50">
      <w:pPr>
        <w:spacing w:after="0" w:line="360" w:lineRule="auto"/>
        <w:jc w:val="center"/>
        <w:rPr>
          <w:rFonts w:cs="Arial"/>
          <w:b/>
          <w:bCs/>
          <w:szCs w:val="24"/>
        </w:rPr>
      </w:pPr>
      <w:r w:rsidRPr="00126D50">
        <w:rPr>
          <w:rFonts w:cs="Arial"/>
          <w:b/>
          <w:bCs/>
          <w:szCs w:val="24"/>
        </w:rPr>
        <w:t>Student Name:</w:t>
      </w:r>
      <w:r w:rsidR="00126D50" w:rsidRPr="00126D50">
        <w:rPr>
          <w:rFonts w:cs="Arial"/>
          <w:b/>
          <w:bCs/>
          <w:szCs w:val="24"/>
        </w:rPr>
        <w:t xml:space="preserve"> </w:t>
      </w:r>
      <w:r w:rsidRPr="00126D50">
        <w:rPr>
          <w:rFonts w:cs="Arial"/>
          <w:b/>
          <w:bCs/>
          <w:szCs w:val="24"/>
        </w:rPr>
        <w:t>Takia Sultana</w:t>
      </w:r>
    </w:p>
    <w:p w14:paraId="31792970" w14:textId="77777777" w:rsidR="007D7A7B" w:rsidRPr="00126D50" w:rsidRDefault="007D7A7B" w:rsidP="00126D50">
      <w:pPr>
        <w:spacing w:after="0" w:line="360" w:lineRule="auto"/>
        <w:jc w:val="center"/>
        <w:rPr>
          <w:rFonts w:cs="Arial"/>
          <w:b/>
          <w:bCs/>
          <w:szCs w:val="24"/>
        </w:rPr>
      </w:pPr>
      <w:r w:rsidRPr="00126D50">
        <w:rPr>
          <w:rFonts w:cs="Arial"/>
          <w:b/>
          <w:bCs/>
          <w:szCs w:val="24"/>
        </w:rPr>
        <w:t>Student Number:</w:t>
      </w:r>
      <w:r w:rsidRPr="00126D50">
        <w:rPr>
          <w:rFonts w:cs="Arial"/>
          <w:szCs w:val="24"/>
        </w:rPr>
        <w:t xml:space="preserve"> </w:t>
      </w:r>
      <w:r w:rsidRPr="00126D50">
        <w:rPr>
          <w:rFonts w:cs="Arial"/>
          <w:b/>
          <w:bCs/>
          <w:szCs w:val="24"/>
        </w:rPr>
        <w:t>2514835</w:t>
      </w:r>
    </w:p>
    <w:p w14:paraId="4254BEB7" w14:textId="77777777" w:rsidR="00126D50" w:rsidRDefault="00126D50" w:rsidP="007D7A7B">
      <w:pPr>
        <w:spacing w:line="360" w:lineRule="auto"/>
        <w:jc w:val="center"/>
        <w:rPr>
          <w:rFonts w:cs="Arial"/>
          <w:b/>
          <w:bCs/>
          <w:sz w:val="28"/>
          <w:szCs w:val="24"/>
        </w:rPr>
      </w:pPr>
    </w:p>
    <w:p w14:paraId="103786C8" w14:textId="232E395E" w:rsidR="007D7A7B" w:rsidRPr="00126D50" w:rsidRDefault="00126D50" w:rsidP="00126D50">
      <w:pPr>
        <w:spacing w:after="0" w:line="360" w:lineRule="auto"/>
        <w:jc w:val="center"/>
        <w:rPr>
          <w:rFonts w:cs="Arial"/>
          <w:b/>
          <w:bCs/>
          <w:szCs w:val="24"/>
        </w:rPr>
      </w:pPr>
      <w:r w:rsidRPr="00126D50">
        <w:rPr>
          <w:rFonts w:cs="Arial"/>
          <w:b/>
          <w:bCs/>
          <w:szCs w:val="24"/>
        </w:rPr>
        <w:t>Module C</w:t>
      </w:r>
      <w:r w:rsidR="007D7A7B" w:rsidRPr="00126D50">
        <w:rPr>
          <w:rFonts w:cs="Arial"/>
          <w:b/>
          <w:bCs/>
          <w:szCs w:val="24"/>
        </w:rPr>
        <w:t>ode: LCMB7035</w:t>
      </w:r>
    </w:p>
    <w:p w14:paraId="3D3A5902" w14:textId="77777777" w:rsidR="007D7A7B" w:rsidRPr="00126D50" w:rsidRDefault="007D7A7B" w:rsidP="00126D50">
      <w:pPr>
        <w:spacing w:after="0" w:line="360" w:lineRule="auto"/>
        <w:jc w:val="center"/>
        <w:rPr>
          <w:rFonts w:cs="Arial"/>
          <w:b/>
          <w:bCs/>
          <w:szCs w:val="24"/>
        </w:rPr>
      </w:pPr>
      <w:r w:rsidRPr="00126D50">
        <w:rPr>
          <w:rFonts w:cs="Arial"/>
          <w:b/>
          <w:bCs/>
          <w:szCs w:val="24"/>
        </w:rPr>
        <w:t xml:space="preserve">Module Name: Dissertation </w:t>
      </w:r>
    </w:p>
    <w:p w14:paraId="48254A12" w14:textId="77777777" w:rsidR="00126D50" w:rsidRDefault="00126D50" w:rsidP="007D7A7B">
      <w:pPr>
        <w:spacing w:line="360" w:lineRule="auto"/>
        <w:jc w:val="center"/>
        <w:rPr>
          <w:b/>
          <w:bCs/>
          <w:sz w:val="28"/>
          <w:szCs w:val="28"/>
        </w:rPr>
      </w:pPr>
    </w:p>
    <w:p w14:paraId="02757DF8" w14:textId="77777777" w:rsidR="007D7A7B" w:rsidRPr="00D97D7E" w:rsidRDefault="007D7A7B" w:rsidP="007D7A7B">
      <w:pPr>
        <w:spacing w:line="360" w:lineRule="auto"/>
        <w:jc w:val="center"/>
        <w:rPr>
          <w:rFonts w:cs="Arial"/>
          <w:b/>
          <w:bCs/>
          <w:sz w:val="28"/>
          <w:szCs w:val="28"/>
        </w:rPr>
      </w:pPr>
      <w:r w:rsidRPr="00D97D7E">
        <w:rPr>
          <w:b/>
          <w:bCs/>
          <w:sz w:val="28"/>
          <w:szCs w:val="28"/>
        </w:rPr>
        <w:t>Title: "How sustainable supply chain management affects operational performance and customer satisfaction: a study of Bunzl plc"</w:t>
      </w:r>
    </w:p>
    <w:p w14:paraId="59977B57" w14:textId="77777777" w:rsidR="00126D50" w:rsidRDefault="00126D50" w:rsidP="007D7A7B">
      <w:pPr>
        <w:spacing w:line="360" w:lineRule="auto"/>
        <w:jc w:val="center"/>
        <w:rPr>
          <w:b/>
          <w:bCs/>
          <w:sz w:val="28"/>
          <w:szCs w:val="28"/>
        </w:rPr>
      </w:pPr>
    </w:p>
    <w:p w14:paraId="390F0AED" w14:textId="07CD135F" w:rsidR="008E0721" w:rsidRPr="00126D50" w:rsidRDefault="0036788F" w:rsidP="00126D50">
      <w:pPr>
        <w:spacing w:line="360" w:lineRule="auto"/>
        <w:jc w:val="center"/>
        <w:rPr>
          <w:rFonts w:cs="Arial"/>
          <w:b/>
          <w:bCs/>
          <w:i/>
          <w:iCs/>
          <w:sz w:val="28"/>
          <w:szCs w:val="28"/>
        </w:rPr>
        <w:sectPr w:rsidR="008E0721" w:rsidRPr="00126D50">
          <w:pgSz w:w="12240" w:h="15840"/>
          <w:pgMar w:top="1440" w:right="1440" w:bottom="1440" w:left="1440" w:header="720" w:footer="720" w:gutter="0"/>
          <w:cols w:space="720"/>
          <w:docGrid w:linePitch="360"/>
        </w:sectPr>
      </w:pPr>
      <w:r>
        <w:rPr>
          <w:b/>
          <w:bCs/>
          <w:sz w:val="28"/>
          <w:szCs w:val="28"/>
        </w:rPr>
        <w:t xml:space="preserve">Word Count: </w:t>
      </w:r>
      <w:bookmarkStart w:id="0" w:name="_GoBack"/>
      <w:bookmarkEnd w:id="0"/>
      <w:r>
        <w:rPr>
          <w:b/>
          <w:bCs/>
          <w:sz w:val="28"/>
          <w:szCs w:val="28"/>
        </w:rPr>
        <w:t>16260</w:t>
      </w:r>
    </w:p>
    <w:p w14:paraId="03A52FB0" w14:textId="41AFFDBA" w:rsidR="007D7A7B" w:rsidRPr="007D7A7B" w:rsidRDefault="007D7A7B" w:rsidP="00126D50">
      <w:pPr>
        <w:pStyle w:val="Heading1"/>
        <w:jc w:val="left"/>
      </w:pPr>
      <w:bookmarkStart w:id="1" w:name="_Toc237017757"/>
      <w:bookmarkStart w:id="2" w:name="_Toc238218096"/>
      <w:r>
        <w:lastRenderedPageBreak/>
        <w:t>Declaration</w:t>
      </w:r>
      <w:bookmarkEnd w:id="1"/>
      <w:bookmarkEnd w:id="2"/>
    </w:p>
    <w:p w14:paraId="73231C98" w14:textId="77777777" w:rsidR="001C5EA3" w:rsidRDefault="007D7A7B" w:rsidP="007D7A7B">
      <w:r>
        <w:t>I declare that the dissertation is my own original work and that all sources used in its preparation have been acknowledged through citation and the reference list. This dissertation has not been submitted for any other degree or diploma. Where the study relies on secondary evidence, including published corporate documents and academic research, the source is identified. I take responsibility for the accuracy of the analysis and for distinguishing evidence reported by Bunzl plc, evidence from independent academic research and my own interpretation.</w:t>
      </w:r>
    </w:p>
    <w:p w14:paraId="250CF320" w14:textId="77777777" w:rsidR="001C5EA3" w:rsidRDefault="001C5EA3" w:rsidP="001C5EA3"/>
    <w:p w14:paraId="7CD7C87F" w14:textId="77777777" w:rsidR="007D7A7B" w:rsidRDefault="007D7A7B" w:rsidP="001C5EA3"/>
    <w:p w14:paraId="7D33A0FA" w14:textId="77777777" w:rsidR="007D7A7B" w:rsidRDefault="007D7A7B" w:rsidP="001C5EA3"/>
    <w:p w14:paraId="40B385F0" w14:textId="77777777" w:rsidR="007D7A7B" w:rsidRDefault="007D7A7B" w:rsidP="001C5EA3"/>
    <w:p w14:paraId="4226306A" w14:textId="77777777" w:rsidR="007D7A7B" w:rsidRDefault="007D7A7B" w:rsidP="007D7A7B">
      <w:pPr>
        <w:rPr>
          <w:rFonts w:cs="Arial"/>
          <w:b/>
          <w:bCs/>
          <w:szCs w:val="24"/>
        </w:rPr>
      </w:pPr>
      <w:r w:rsidRPr="007D7A7B">
        <w:rPr>
          <w:rFonts w:cs="Arial"/>
          <w:b/>
          <w:bCs/>
          <w:szCs w:val="24"/>
        </w:rPr>
        <w:t>Takia Sultana</w:t>
      </w:r>
    </w:p>
    <w:p w14:paraId="4E1C1F62" w14:textId="77777777" w:rsidR="007D7A7B" w:rsidRPr="007D7A7B" w:rsidRDefault="007D7A7B" w:rsidP="007D7A7B">
      <w:pPr>
        <w:rPr>
          <w:rFonts w:cs="Arial"/>
          <w:b/>
          <w:bCs/>
          <w:szCs w:val="24"/>
        </w:rPr>
      </w:pPr>
      <w:r w:rsidRPr="007D7A7B">
        <w:rPr>
          <w:rFonts w:cs="Arial"/>
          <w:b/>
          <w:bCs/>
          <w:szCs w:val="24"/>
        </w:rPr>
        <w:t>2514835</w:t>
      </w:r>
    </w:p>
    <w:p w14:paraId="27ECDA61" w14:textId="77777777" w:rsidR="007D7A7B" w:rsidRDefault="007D7A7B" w:rsidP="001C5EA3"/>
    <w:p w14:paraId="448284AB" w14:textId="77777777" w:rsidR="007D7A7B" w:rsidRDefault="007D7A7B" w:rsidP="001C5EA3"/>
    <w:p w14:paraId="5E286E42" w14:textId="77777777" w:rsidR="007D7A7B" w:rsidRDefault="007D7A7B" w:rsidP="001C5EA3"/>
    <w:p w14:paraId="501AC785" w14:textId="77777777" w:rsidR="007D7A7B" w:rsidRDefault="007D7A7B" w:rsidP="001C5EA3"/>
    <w:p w14:paraId="2E652896" w14:textId="77777777" w:rsidR="007D7A7B" w:rsidRDefault="007D7A7B" w:rsidP="001C5EA3"/>
    <w:p w14:paraId="79D2D236" w14:textId="77777777" w:rsidR="007D7A7B" w:rsidRDefault="007D7A7B" w:rsidP="001C5EA3"/>
    <w:p w14:paraId="27D76C03" w14:textId="77777777" w:rsidR="007D7A7B" w:rsidRDefault="007D7A7B" w:rsidP="001C5EA3"/>
    <w:p w14:paraId="0E577573" w14:textId="77777777" w:rsidR="007D7A7B" w:rsidRDefault="007D7A7B" w:rsidP="001C5EA3"/>
    <w:p w14:paraId="4C4185C2" w14:textId="77777777" w:rsidR="007D7A7B" w:rsidRDefault="007D7A7B" w:rsidP="001C5EA3"/>
    <w:p w14:paraId="08B53A2C" w14:textId="77777777" w:rsidR="007D7A7B" w:rsidRDefault="007D7A7B" w:rsidP="001C5EA3"/>
    <w:p w14:paraId="2B856388" w14:textId="77777777" w:rsidR="007D7A7B" w:rsidRDefault="007D7A7B" w:rsidP="001C5EA3"/>
    <w:p w14:paraId="37481F11" w14:textId="77777777" w:rsidR="007D7A7B" w:rsidRDefault="007D7A7B" w:rsidP="001C5EA3"/>
    <w:p w14:paraId="64DC8DAA" w14:textId="77777777" w:rsidR="007D7A7B" w:rsidRDefault="007D7A7B" w:rsidP="001C5EA3"/>
    <w:p w14:paraId="7C339F53" w14:textId="77777777" w:rsidR="007D7A7B" w:rsidRDefault="007D7A7B" w:rsidP="001C5EA3"/>
    <w:p w14:paraId="7D054EAA" w14:textId="17A5979F" w:rsidR="007D7A7B" w:rsidRPr="007D7A7B" w:rsidRDefault="001C5EA3" w:rsidP="00126D50">
      <w:pPr>
        <w:pStyle w:val="Heading1"/>
        <w:jc w:val="left"/>
      </w:pPr>
      <w:bookmarkStart w:id="3" w:name="_Toc237017758"/>
      <w:bookmarkStart w:id="4" w:name="_Toc238218097"/>
      <w:r>
        <w:lastRenderedPageBreak/>
        <w:t>Acknowledgements</w:t>
      </w:r>
      <w:bookmarkEnd w:id="3"/>
      <w:bookmarkEnd w:id="4"/>
    </w:p>
    <w:p w14:paraId="4FA7D548" w14:textId="6184060F" w:rsidR="001C5EA3" w:rsidRDefault="001C5EA3" w:rsidP="001C5EA3">
      <w:pPr>
        <w:spacing w:line="276" w:lineRule="auto"/>
      </w:pPr>
      <w:r>
        <w:t xml:space="preserve">I would like to thank my supervisor for her constructive guidance, which helped me refine this dissertation from a broad discussion of sustainable supply chains into a focused documentary study of Bunzl plc. Her feedback on </w:t>
      </w:r>
      <w:r w:rsidR="00126D50">
        <w:t>contextualization</w:t>
      </w:r>
      <w:r>
        <w:t>, document selection and coding encouraged me to explain how each table, figure and analytical category contributes to the argument. I am also grateful to my lecturers for strengthening my understanding of research design and critical analysis, and to my family and friends for their encouragement, patience and support throughout the study.</w:t>
      </w:r>
    </w:p>
    <w:p w14:paraId="74ADF901" w14:textId="77777777" w:rsidR="001C5EA3" w:rsidRDefault="001C5EA3" w:rsidP="001C5EA3"/>
    <w:p w14:paraId="51369100" w14:textId="77777777" w:rsidR="001C5EA3" w:rsidRDefault="001C5EA3" w:rsidP="001C5EA3"/>
    <w:p w14:paraId="35658DBC" w14:textId="77777777" w:rsidR="001C5EA3" w:rsidRDefault="001C5EA3" w:rsidP="001C5EA3"/>
    <w:p w14:paraId="13FB2BE2" w14:textId="77777777" w:rsidR="001C5EA3" w:rsidRDefault="001C5EA3" w:rsidP="001C5EA3"/>
    <w:p w14:paraId="25CF34A0" w14:textId="77777777" w:rsidR="001C5EA3" w:rsidRDefault="001C5EA3" w:rsidP="001C5EA3"/>
    <w:p w14:paraId="1922A875" w14:textId="77777777" w:rsidR="001C5EA3" w:rsidRDefault="001C5EA3" w:rsidP="001C5EA3"/>
    <w:p w14:paraId="61A54B2C" w14:textId="77777777" w:rsidR="001C5EA3" w:rsidRDefault="001C5EA3" w:rsidP="001C5EA3"/>
    <w:p w14:paraId="1D41B971" w14:textId="77777777" w:rsidR="001C5EA3" w:rsidRDefault="001C5EA3" w:rsidP="001C5EA3"/>
    <w:p w14:paraId="7D73F173" w14:textId="77777777" w:rsidR="001C5EA3" w:rsidRDefault="001C5EA3" w:rsidP="001C5EA3"/>
    <w:p w14:paraId="6402BAF7" w14:textId="77777777" w:rsidR="007D7A7B" w:rsidRDefault="007D7A7B" w:rsidP="001C5EA3"/>
    <w:p w14:paraId="57CB8F0A" w14:textId="77777777" w:rsidR="007D7A7B" w:rsidRDefault="007D7A7B" w:rsidP="001C5EA3"/>
    <w:p w14:paraId="373B4F65" w14:textId="77777777" w:rsidR="007D7A7B" w:rsidRDefault="007D7A7B" w:rsidP="001C5EA3"/>
    <w:p w14:paraId="7961AA95" w14:textId="77777777" w:rsidR="007D7A7B" w:rsidRDefault="007D7A7B" w:rsidP="001C5EA3"/>
    <w:p w14:paraId="32DA0E9D" w14:textId="77777777" w:rsidR="007D7A7B" w:rsidRDefault="007D7A7B" w:rsidP="001C5EA3"/>
    <w:p w14:paraId="726F79DE" w14:textId="77777777" w:rsidR="007D7A7B" w:rsidRDefault="007D7A7B" w:rsidP="001C5EA3"/>
    <w:p w14:paraId="39A33BE0" w14:textId="77777777" w:rsidR="007D7A7B" w:rsidRDefault="007D7A7B" w:rsidP="001C5EA3"/>
    <w:p w14:paraId="463CCE86" w14:textId="77777777" w:rsidR="007D7A7B" w:rsidRDefault="007D7A7B" w:rsidP="001C5EA3"/>
    <w:p w14:paraId="25CBD5D4" w14:textId="77777777" w:rsidR="007D7A7B" w:rsidRDefault="007D7A7B" w:rsidP="001C5EA3"/>
    <w:p w14:paraId="320D0049" w14:textId="77777777" w:rsidR="00126D50" w:rsidRDefault="00126D50">
      <w:pPr>
        <w:jc w:val="left"/>
        <w:rPr>
          <w:rFonts w:eastAsiaTheme="majorEastAsia" w:cstheme="majorBidi"/>
          <w:b/>
          <w:color w:val="000000" w:themeColor="text1"/>
          <w:sz w:val="32"/>
          <w:szCs w:val="32"/>
        </w:rPr>
      </w:pPr>
      <w:bookmarkStart w:id="5" w:name="_Toc237017759"/>
      <w:bookmarkStart w:id="6" w:name="_Toc238218098"/>
      <w:r>
        <w:br w:type="page"/>
      </w:r>
    </w:p>
    <w:p w14:paraId="17D6F61E" w14:textId="20E95274" w:rsidR="00912D19" w:rsidRDefault="00912D19" w:rsidP="001C5EA3">
      <w:pPr>
        <w:pStyle w:val="Heading1"/>
        <w:jc w:val="left"/>
      </w:pPr>
      <w:r>
        <w:lastRenderedPageBreak/>
        <w:t>Abstract</w:t>
      </w:r>
      <w:bookmarkEnd w:id="5"/>
      <w:bookmarkEnd w:id="6"/>
    </w:p>
    <w:p w14:paraId="2CAC970B" w14:textId="77777777" w:rsidR="00912D19" w:rsidRDefault="00912D19" w:rsidP="00912D19">
      <w:pPr>
        <w:spacing w:line="276" w:lineRule="auto"/>
      </w:pPr>
      <w:r>
        <w:t>This dissertation examines how sustainable supply chain management (SSCM) may contribute to operational performance and customer satisfaction in Bunzl plc, a multinational value-added distributor. The study addresses a gap in a literature dominated by manufacturing by focusing on the distributor's role in supplier assurance, product selection, consolidation, information provision and customer support. A qualitative single-case documentary design was used. Bunzl's annual, sustainability and responsible-sourcing documents for reporting years 2022-2025 were examined through a study-specific coding framework and thematic analysis. A documented coding trail distinguished practices, mechanisms, direct outcomes, proxy evidence and qualifying evidence.</w:t>
      </w:r>
    </w:p>
    <w:p w14:paraId="742B5909" w14:textId="77777777" w:rsidR="00912D19" w:rsidRDefault="00912D19" w:rsidP="00912D19">
      <w:pPr>
        <w:spacing w:line="276" w:lineRule="auto"/>
      </w:pPr>
      <w:r>
        <w:t>Four themes were identified: the formalisation of responsible sourcing; the transition towards alternative products and materials; improvements in environmental efficiency alongside limited operational attribution; and the development of a customer-facing sustainability capability without a Group-wide satisfaction measure. Supplier assessments increased from 930 in 2022 to 1,430 in 2025, while 93% of high-risk-region spend was reported as assessed and compliant in 2025. Bunzl also reported an 18% reduction in absolute emissions and a 28% improvement in carbon efficiency against its 2019 baseline. These indicators demonstrate process reach and environmental progress, but they do not isolate the effect of SSCM on service, profitability or resilience. Customer engagement and selected contract outcomes show commercial relevance, although they remain indirect evidence of satisfaction.</w:t>
      </w:r>
    </w:p>
    <w:p w14:paraId="3E039885" w14:textId="77777777" w:rsidR="00912D19" w:rsidRDefault="00912D19" w:rsidP="00912D19">
      <w:pPr>
        <w:spacing w:line="276" w:lineRule="auto"/>
      </w:pPr>
      <w:r>
        <w:t>The study concludes that SSCM is best understood as an enabling organisational capability rather than a sufficient cause of performance. Its value depends on operational execution, credible product evidence and measures that connect sustainability activity with supplier, service and customer outcomes. Recommendations therefore focus on linked performance measures, verified remediation, customer-level value accounts, product-claim governance and phased benefits realisation.</w:t>
      </w:r>
    </w:p>
    <w:p w14:paraId="2AFEEFAC" w14:textId="77777777" w:rsidR="00912D19" w:rsidRDefault="00912D19" w:rsidP="00912D19">
      <w:pPr>
        <w:sectPr w:rsidR="00912D19" w:rsidSect="007D7A7B">
          <w:footerReference w:type="default" r:id="rId10"/>
          <w:pgSz w:w="12240" w:h="15840"/>
          <w:pgMar w:top="1440" w:right="1440" w:bottom="1440" w:left="1440" w:header="720" w:footer="720" w:gutter="0"/>
          <w:pgNumType w:fmt="lowerRoman" w:start="1"/>
          <w:cols w:space="720"/>
          <w:docGrid w:linePitch="360"/>
        </w:sectPr>
      </w:pPr>
      <w:r w:rsidRPr="00912D19">
        <w:t>Keywords: sustainable supply chain management; operational performance; customer satisfaction; documentary analysis; Bunzl plc; responsible sourcing; distribution</w:t>
      </w:r>
    </w:p>
    <w:sdt>
      <w:sdtPr>
        <w:rPr>
          <w:rFonts w:ascii="Arial" w:eastAsiaTheme="minorHAnsi" w:hAnsi="Arial" w:cstheme="minorBidi"/>
          <w:color w:val="auto"/>
          <w:sz w:val="24"/>
          <w:szCs w:val="22"/>
        </w:rPr>
        <w:id w:val="826175434"/>
        <w:docPartObj>
          <w:docPartGallery w:val="Table of Contents"/>
          <w:docPartUnique/>
        </w:docPartObj>
      </w:sdtPr>
      <w:sdtEndPr>
        <w:rPr>
          <w:b/>
          <w:bCs/>
          <w:noProof/>
        </w:rPr>
      </w:sdtEndPr>
      <w:sdtContent>
        <w:p w14:paraId="5C8D44A4" w14:textId="3F7C6404" w:rsidR="00C91BB8" w:rsidRPr="00C91BB8" w:rsidRDefault="00C91BB8" w:rsidP="00126D50">
          <w:pPr>
            <w:pStyle w:val="TOCHeading"/>
            <w:spacing w:after="240"/>
            <w:jc w:val="center"/>
            <w:rPr>
              <w:rFonts w:ascii="Arial" w:hAnsi="Arial" w:cs="Arial"/>
              <w:b/>
              <w:bCs/>
              <w:color w:val="auto"/>
            </w:rPr>
          </w:pPr>
          <w:r w:rsidRPr="00C91BB8">
            <w:rPr>
              <w:rFonts w:ascii="Arial" w:hAnsi="Arial" w:cs="Arial"/>
              <w:b/>
              <w:bCs/>
              <w:color w:val="auto"/>
            </w:rPr>
            <w:t>Table of Contents</w:t>
          </w:r>
        </w:p>
        <w:p w14:paraId="22CA39F2" w14:textId="7CBE329F" w:rsidR="00C91BB8" w:rsidRDefault="00C91BB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8218096" w:history="1">
            <w:r w:rsidRPr="002369D2">
              <w:rPr>
                <w:rStyle w:val="Hyperlink"/>
                <w:noProof/>
              </w:rPr>
              <w:t>Declaration</w:t>
            </w:r>
            <w:r>
              <w:rPr>
                <w:noProof/>
                <w:webHidden/>
              </w:rPr>
              <w:tab/>
            </w:r>
            <w:r>
              <w:rPr>
                <w:noProof/>
                <w:webHidden/>
              </w:rPr>
              <w:fldChar w:fldCharType="begin"/>
            </w:r>
            <w:r>
              <w:rPr>
                <w:noProof/>
                <w:webHidden/>
              </w:rPr>
              <w:instrText xml:space="preserve"> PAGEREF _Toc238218096 \h </w:instrText>
            </w:r>
            <w:r>
              <w:rPr>
                <w:noProof/>
                <w:webHidden/>
              </w:rPr>
            </w:r>
            <w:r>
              <w:rPr>
                <w:noProof/>
                <w:webHidden/>
              </w:rPr>
              <w:fldChar w:fldCharType="separate"/>
            </w:r>
            <w:r>
              <w:rPr>
                <w:noProof/>
                <w:webHidden/>
              </w:rPr>
              <w:t>i</w:t>
            </w:r>
            <w:r>
              <w:rPr>
                <w:noProof/>
                <w:webHidden/>
              </w:rPr>
              <w:fldChar w:fldCharType="end"/>
            </w:r>
          </w:hyperlink>
        </w:p>
        <w:p w14:paraId="431DCE68" w14:textId="57031103" w:rsidR="00C91BB8" w:rsidRDefault="00572908">
          <w:pPr>
            <w:pStyle w:val="TOC1"/>
            <w:tabs>
              <w:tab w:val="right" w:leader="dot" w:pos="9350"/>
            </w:tabs>
            <w:rPr>
              <w:rFonts w:asciiTheme="minorHAnsi" w:eastAsiaTheme="minorEastAsia" w:hAnsiTheme="minorHAnsi"/>
              <w:noProof/>
              <w:sz w:val="22"/>
            </w:rPr>
          </w:pPr>
          <w:hyperlink w:anchor="_Toc238218097" w:history="1">
            <w:r w:rsidR="00C91BB8" w:rsidRPr="002369D2">
              <w:rPr>
                <w:rStyle w:val="Hyperlink"/>
                <w:noProof/>
              </w:rPr>
              <w:t>Acknowledgements</w:t>
            </w:r>
            <w:r w:rsidR="00C91BB8">
              <w:rPr>
                <w:noProof/>
                <w:webHidden/>
              </w:rPr>
              <w:tab/>
            </w:r>
            <w:r w:rsidR="00C91BB8">
              <w:rPr>
                <w:noProof/>
                <w:webHidden/>
              </w:rPr>
              <w:fldChar w:fldCharType="begin"/>
            </w:r>
            <w:r w:rsidR="00C91BB8">
              <w:rPr>
                <w:noProof/>
                <w:webHidden/>
              </w:rPr>
              <w:instrText xml:space="preserve"> PAGEREF _Toc238218097 \h </w:instrText>
            </w:r>
            <w:r w:rsidR="00C91BB8">
              <w:rPr>
                <w:noProof/>
                <w:webHidden/>
              </w:rPr>
            </w:r>
            <w:r w:rsidR="00C91BB8">
              <w:rPr>
                <w:noProof/>
                <w:webHidden/>
              </w:rPr>
              <w:fldChar w:fldCharType="separate"/>
            </w:r>
            <w:r w:rsidR="00C91BB8">
              <w:rPr>
                <w:noProof/>
                <w:webHidden/>
              </w:rPr>
              <w:t>ii</w:t>
            </w:r>
            <w:r w:rsidR="00C91BB8">
              <w:rPr>
                <w:noProof/>
                <w:webHidden/>
              </w:rPr>
              <w:fldChar w:fldCharType="end"/>
            </w:r>
          </w:hyperlink>
        </w:p>
        <w:p w14:paraId="69844F49" w14:textId="629852B8" w:rsidR="00C91BB8" w:rsidRDefault="00572908">
          <w:pPr>
            <w:pStyle w:val="TOC1"/>
            <w:tabs>
              <w:tab w:val="right" w:leader="dot" w:pos="9350"/>
            </w:tabs>
            <w:rPr>
              <w:rFonts w:asciiTheme="minorHAnsi" w:eastAsiaTheme="minorEastAsia" w:hAnsiTheme="minorHAnsi"/>
              <w:noProof/>
              <w:sz w:val="22"/>
            </w:rPr>
          </w:pPr>
          <w:hyperlink w:anchor="_Toc238218098" w:history="1">
            <w:r w:rsidR="00C91BB8" w:rsidRPr="002369D2">
              <w:rPr>
                <w:rStyle w:val="Hyperlink"/>
                <w:noProof/>
              </w:rPr>
              <w:t>Abstract</w:t>
            </w:r>
            <w:r w:rsidR="00C91BB8">
              <w:rPr>
                <w:noProof/>
                <w:webHidden/>
              </w:rPr>
              <w:tab/>
            </w:r>
            <w:r w:rsidR="00C91BB8">
              <w:rPr>
                <w:noProof/>
                <w:webHidden/>
              </w:rPr>
              <w:fldChar w:fldCharType="begin"/>
            </w:r>
            <w:r w:rsidR="00C91BB8">
              <w:rPr>
                <w:noProof/>
                <w:webHidden/>
              </w:rPr>
              <w:instrText xml:space="preserve"> PAGEREF _Toc238218098 \h </w:instrText>
            </w:r>
            <w:r w:rsidR="00C91BB8">
              <w:rPr>
                <w:noProof/>
                <w:webHidden/>
              </w:rPr>
            </w:r>
            <w:r w:rsidR="00C91BB8">
              <w:rPr>
                <w:noProof/>
                <w:webHidden/>
              </w:rPr>
              <w:fldChar w:fldCharType="separate"/>
            </w:r>
            <w:r w:rsidR="00C91BB8">
              <w:rPr>
                <w:noProof/>
                <w:webHidden/>
              </w:rPr>
              <w:t>iii</w:t>
            </w:r>
            <w:r w:rsidR="00C91BB8">
              <w:rPr>
                <w:noProof/>
                <w:webHidden/>
              </w:rPr>
              <w:fldChar w:fldCharType="end"/>
            </w:r>
          </w:hyperlink>
        </w:p>
        <w:p w14:paraId="13E285C1" w14:textId="6E806CD8" w:rsidR="00C91BB8" w:rsidRDefault="00572908">
          <w:pPr>
            <w:pStyle w:val="TOC1"/>
            <w:tabs>
              <w:tab w:val="right" w:leader="dot" w:pos="9350"/>
            </w:tabs>
            <w:rPr>
              <w:rFonts w:asciiTheme="minorHAnsi" w:eastAsiaTheme="minorEastAsia" w:hAnsiTheme="minorHAnsi"/>
              <w:noProof/>
              <w:sz w:val="22"/>
            </w:rPr>
          </w:pPr>
          <w:hyperlink w:anchor="_Toc238218099" w:history="1">
            <w:r w:rsidR="00C91BB8" w:rsidRPr="002369D2">
              <w:rPr>
                <w:rStyle w:val="Hyperlink"/>
                <w:noProof/>
              </w:rPr>
              <w:t>Chapter 1: Introduction</w:t>
            </w:r>
            <w:r w:rsidR="00C91BB8">
              <w:rPr>
                <w:noProof/>
                <w:webHidden/>
              </w:rPr>
              <w:tab/>
            </w:r>
            <w:r w:rsidR="00C91BB8">
              <w:rPr>
                <w:noProof/>
                <w:webHidden/>
              </w:rPr>
              <w:fldChar w:fldCharType="begin"/>
            </w:r>
            <w:r w:rsidR="00C91BB8">
              <w:rPr>
                <w:noProof/>
                <w:webHidden/>
              </w:rPr>
              <w:instrText xml:space="preserve"> PAGEREF _Toc238218099 \h </w:instrText>
            </w:r>
            <w:r w:rsidR="00C91BB8">
              <w:rPr>
                <w:noProof/>
                <w:webHidden/>
              </w:rPr>
            </w:r>
            <w:r w:rsidR="00C91BB8">
              <w:rPr>
                <w:noProof/>
                <w:webHidden/>
              </w:rPr>
              <w:fldChar w:fldCharType="separate"/>
            </w:r>
            <w:r w:rsidR="00C91BB8">
              <w:rPr>
                <w:noProof/>
                <w:webHidden/>
              </w:rPr>
              <w:t>1</w:t>
            </w:r>
            <w:r w:rsidR="00C91BB8">
              <w:rPr>
                <w:noProof/>
                <w:webHidden/>
              </w:rPr>
              <w:fldChar w:fldCharType="end"/>
            </w:r>
          </w:hyperlink>
        </w:p>
        <w:p w14:paraId="7431F59B" w14:textId="4A4D7142" w:rsidR="00C91BB8" w:rsidRDefault="00572908">
          <w:pPr>
            <w:pStyle w:val="TOC2"/>
            <w:tabs>
              <w:tab w:val="right" w:leader="dot" w:pos="9350"/>
            </w:tabs>
            <w:rPr>
              <w:rFonts w:asciiTheme="minorHAnsi" w:eastAsiaTheme="minorEastAsia" w:hAnsiTheme="minorHAnsi"/>
              <w:noProof/>
              <w:sz w:val="22"/>
            </w:rPr>
          </w:pPr>
          <w:hyperlink w:anchor="_Toc238218100" w:history="1">
            <w:r w:rsidR="00C91BB8" w:rsidRPr="002369D2">
              <w:rPr>
                <w:rStyle w:val="Hyperlink"/>
                <w:noProof/>
              </w:rPr>
              <w:t>1.1 Research context</w:t>
            </w:r>
            <w:r w:rsidR="00C91BB8">
              <w:rPr>
                <w:noProof/>
                <w:webHidden/>
              </w:rPr>
              <w:tab/>
            </w:r>
            <w:r w:rsidR="00C91BB8">
              <w:rPr>
                <w:noProof/>
                <w:webHidden/>
              </w:rPr>
              <w:fldChar w:fldCharType="begin"/>
            </w:r>
            <w:r w:rsidR="00C91BB8">
              <w:rPr>
                <w:noProof/>
                <w:webHidden/>
              </w:rPr>
              <w:instrText xml:space="preserve"> PAGEREF _Toc238218100 \h </w:instrText>
            </w:r>
            <w:r w:rsidR="00C91BB8">
              <w:rPr>
                <w:noProof/>
                <w:webHidden/>
              </w:rPr>
            </w:r>
            <w:r w:rsidR="00C91BB8">
              <w:rPr>
                <w:noProof/>
                <w:webHidden/>
              </w:rPr>
              <w:fldChar w:fldCharType="separate"/>
            </w:r>
            <w:r w:rsidR="00C91BB8">
              <w:rPr>
                <w:noProof/>
                <w:webHidden/>
              </w:rPr>
              <w:t>1</w:t>
            </w:r>
            <w:r w:rsidR="00C91BB8">
              <w:rPr>
                <w:noProof/>
                <w:webHidden/>
              </w:rPr>
              <w:fldChar w:fldCharType="end"/>
            </w:r>
          </w:hyperlink>
        </w:p>
        <w:p w14:paraId="3BA839DD" w14:textId="26121A3E" w:rsidR="00C91BB8" w:rsidRDefault="00572908">
          <w:pPr>
            <w:pStyle w:val="TOC2"/>
            <w:tabs>
              <w:tab w:val="right" w:leader="dot" w:pos="9350"/>
            </w:tabs>
            <w:rPr>
              <w:rFonts w:asciiTheme="minorHAnsi" w:eastAsiaTheme="minorEastAsia" w:hAnsiTheme="minorHAnsi"/>
              <w:noProof/>
              <w:sz w:val="22"/>
            </w:rPr>
          </w:pPr>
          <w:hyperlink w:anchor="_Toc238218101" w:history="1">
            <w:r w:rsidR="00C91BB8" w:rsidRPr="002369D2">
              <w:rPr>
                <w:rStyle w:val="Hyperlink"/>
                <w:noProof/>
              </w:rPr>
              <w:t>1.2 Problem statement</w:t>
            </w:r>
            <w:r w:rsidR="00C91BB8">
              <w:rPr>
                <w:noProof/>
                <w:webHidden/>
              </w:rPr>
              <w:tab/>
            </w:r>
            <w:r w:rsidR="00C91BB8">
              <w:rPr>
                <w:noProof/>
                <w:webHidden/>
              </w:rPr>
              <w:fldChar w:fldCharType="begin"/>
            </w:r>
            <w:r w:rsidR="00C91BB8">
              <w:rPr>
                <w:noProof/>
                <w:webHidden/>
              </w:rPr>
              <w:instrText xml:space="preserve"> PAGEREF _Toc238218101 \h </w:instrText>
            </w:r>
            <w:r w:rsidR="00C91BB8">
              <w:rPr>
                <w:noProof/>
                <w:webHidden/>
              </w:rPr>
            </w:r>
            <w:r w:rsidR="00C91BB8">
              <w:rPr>
                <w:noProof/>
                <w:webHidden/>
              </w:rPr>
              <w:fldChar w:fldCharType="separate"/>
            </w:r>
            <w:r w:rsidR="00C91BB8">
              <w:rPr>
                <w:noProof/>
                <w:webHidden/>
              </w:rPr>
              <w:t>2</w:t>
            </w:r>
            <w:r w:rsidR="00C91BB8">
              <w:rPr>
                <w:noProof/>
                <w:webHidden/>
              </w:rPr>
              <w:fldChar w:fldCharType="end"/>
            </w:r>
          </w:hyperlink>
        </w:p>
        <w:p w14:paraId="3FC0A52F" w14:textId="402D0C77" w:rsidR="00C91BB8" w:rsidRDefault="00572908">
          <w:pPr>
            <w:pStyle w:val="TOC2"/>
            <w:tabs>
              <w:tab w:val="right" w:leader="dot" w:pos="9350"/>
            </w:tabs>
            <w:rPr>
              <w:rFonts w:asciiTheme="minorHAnsi" w:eastAsiaTheme="minorEastAsia" w:hAnsiTheme="minorHAnsi"/>
              <w:noProof/>
              <w:sz w:val="22"/>
            </w:rPr>
          </w:pPr>
          <w:hyperlink w:anchor="_Toc238218102" w:history="1">
            <w:r w:rsidR="00C91BB8" w:rsidRPr="002369D2">
              <w:rPr>
                <w:rStyle w:val="Hyperlink"/>
                <w:noProof/>
              </w:rPr>
              <w:t>1.3 Research aim</w:t>
            </w:r>
            <w:r w:rsidR="00C91BB8">
              <w:rPr>
                <w:noProof/>
                <w:webHidden/>
              </w:rPr>
              <w:tab/>
            </w:r>
            <w:r w:rsidR="00C91BB8">
              <w:rPr>
                <w:noProof/>
                <w:webHidden/>
              </w:rPr>
              <w:fldChar w:fldCharType="begin"/>
            </w:r>
            <w:r w:rsidR="00C91BB8">
              <w:rPr>
                <w:noProof/>
                <w:webHidden/>
              </w:rPr>
              <w:instrText xml:space="preserve"> PAGEREF _Toc238218102 \h </w:instrText>
            </w:r>
            <w:r w:rsidR="00C91BB8">
              <w:rPr>
                <w:noProof/>
                <w:webHidden/>
              </w:rPr>
            </w:r>
            <w:r w:rsidR="00C91BB8">
              <w:rPr>
                <w:noProof/>
                <w:webHidden/>
              </w:rPr>
              <w:fldChar w:fldCharType="separate"/>
            </w:r>
            <w:r w:rsidR="00C91BB8">
              <w:rPr>
                <w:noProof/>
                <w:webHidden/>
              </w:rPr>
              <w:t>3</w:t>
            </w:r>
            <w:r w:rsidR="00C91BB8">
              <w:rPr>
                <w:noProof/>
                <w:webHidden/>
              </w:rPr>
              <w:fldChar w:fldCharType="end"/>
            </w:r>
          </w:hyperlink>
        </w:p>
        <w:p w14:paraId="5C8DC401" w14:textId="248D3CA9" w:rsidR="00C91BB8" w:rsidRDefault="00572908">
          <w:pPr>
            <w:pStyle w:val="TOC2"/>
            <w:tabs>
              <w:tab w:val="right" w:leader="dot" w:pos="9350"/>
            </w:tabs>
            <w:rPr>
              <w:rFonts w:asciiTheme="minorHAnsi" w:eastAsiaTheme="minorEastAsia" w:hAnsiTheme="minorHAnsi"/>
              <w:noProof/>
              <w:sz w:val="22"/>
            </w:rPr>
          </w:pPr>
          <w:hyperlink w:anchor="_Toc238218103" w:history="1">
            <w:r w:rsidR="00C91BB8" w:rsidRPr="002369D2">
              <w:rPr>
                <w:rStyle w:val="Hyperlink"/>
                <w:noProof/>
              </w:rPr>
              <w:t>1.4 Research objectives</w:t>
            </w:r>
            <w:r w:rsidR="00C91BB8">
              <w:rPr>
                <w:noProof/>
                <w:webHidden/>
              </w:rPr>
              <w:tab/>
            </w:r>
            <w:r w:rsidR="00C91BB8">
              <w:rPr>
                <w:noProof/>
                <w:webHidden/>
              </w:rPr>
              <w:fldChar w:fldCharType="begin"/>
            </w:r>
            <w:r w:rsidR="00C91BB8">
              <w:rPr>
                <w:noProof/>
                <w:webHidden/>
              </w:rPr>
              <w:instrText xml:space="preserve"> PAGEREF _Toc238218103 \h </w:instrText>
            </w:r>
            <w:r w:rsidR="00C91BB8">
              <w:rPr>
                <w:noProof/>
                <w:webHidden/>
              </w:rPr>
            </w:r>
            <w:r w:rsidR="00C91BB8">
              <w:rPr>
                <w:noProof/>
                <w:webHidden/>
              </w:rPr>
              <w:fldChar w:fldCharType="separate"/>
            </w:r>
            <w:r w:rsidR="00C91BB8">
              <w:rPr>
                <w:noProof/>
                <w:webHidden/>
              </w:rPr>
              <w:t>3</w:t>
            </w:r>
            <w:r w:rsidR="00C91BB8">
              <w:rPr>
                <w:noProof/>
                <w:webHidden/>
              </w:rPr>
              <w:fldChar w:fldCharType="end"/>
            </w:r>
          </w:hyperlink>
        </w:p>
        <w:p w14:paraId="45A54297" w14:textId="2259BB95" w:rsidR="00C91BB8" w:rsidRDefault="00572908">
          <w:pPr>
            <w:pStyle w:val="TOC2"/>
            <w:tabs>
              <w:tab w:val="right" w:leader="dot" w:pos="9350"/>
            </w:tabs>
            <w:rPr>
              <w:rFonts w:asciiTheme="minorHAnsi" w:eastAsiaTheme="minorEastAsia" w:hAnsiTheme="minorHAnsi"/>
              <w:noProof/>
              <w:sz w:val="22"/>
            </w:rPr>
          </w:pPr>
          <w:hyperlink w:anchor="_Toc238218104" w:history="1">
            <w:r w:rsidR="00C91BB8" w:rsidRPr="002369D2">
              <w:rPr>
                <w:rStyle w:val="Hyperlink"/>
                <w:noProof/>
              </w:rPr>
              <w:t>1.5 Research questions</w:t>
            </w:r>
            <w:r w:rsidR="00C91BB8">
              <w:rPr>
                <w:noProof/>
                <w:webHidden/>
              </w:rPr>
              <w:tab/>
            </w:r>
            <w:r w:rsidR="00C91BB8">
              <w:rPr>
                <w:noProof/>
                <w:webHidden/>
              </w:rPr>
              <w:fldChar w:fldCharType="begin"/>
            </w:r>
            <w:r w:rsidR="00C91BB8">
              <w:rPr>
                <w:noProof/>
                <w:webHidden/>
              </w:rPr>
              <w:instrText xml:space="preserve"> PAGEREF _Toc238218104 \h </w:instrText>
            </w:r>
            <w:r w:rsidR="00C91BB8">
              <w:rPr>
                <w:noProof/>
                <w:webHidden/>
              </w:rPr>
            </w:r>
            <w:r w:rsidR="00C91BB8">
              <w:rPr>
                <w:noProof/>
                <w:webHidden/>
              </w:rPr>
              <w:fldChar w:fldCharType="separate"/>
            </w:r>
            <w:r w:rsidR="00C91BB8">
              <w:rPr>
                <w:noProof/>
                <w:webHidden/>
              </w:rPr>
              <w:t>3</w:t>
            </w:r>
            <w:r w:rsidR="00C91BB8">
              <w:rPr>
                <w:noProof/>
                <w:webHidden/>
              </w:rPr>
              <w:fldChar w:fldCharType="end"/>
            </w:r>
          </w:hyperlink>
        </w:p>
        <w:p w14:paraId="6FF867BB" w14:textId="5361299C" w:rsidR="00C91BB8" w:rsidRDefault="00572908">
          <w:pPr>
            <w:pStyle w:val="TOC2"/>
            <w:tabs>
              <w:tab w:val="right" w:leader="dot" w:pos="9350"/>
            </w:tabs>
            <w:rPr>
              <w:rFonts w:asciiTheme="minorHAnsi" w:eastAsiaTheme="minorEastAsia" w:hAnsiTheme="minorHAnsi"/>
              <w:noProof/>
              <w:sz w:val="22"/>
            </w:rPr>
          </w:pPr>
          <w:hyperlink w:anchor="_Toc238218105" w:history="1">
            <w:r w:rsidR="00C91BB8" w:rsidRPr="002369D2">
              <w:rPr>
                <w:rStyle w:val="Hyperlink"/>
                <w:noProof/>
              </w:rPr>
              <w:t>1.6 Key concepts as used in this study</w:t>
            </w:r>
            <w:r w:rsidR="00C91BB8">
              <w:rPr>
                <w:noProof/>
                <w:webHidden/>
              </w:rPr>
              <w:tab/>
            </w:r>
            <w:r w:rsidR="00C91BB8">
              <w:rPr>
                <w:noProof/>
                <w:webHidden/>
              </w:rPr>
              <w:fldChar w:fldCharType="begin"/>
            </w:r>
            <w:r w:rsidR="00C91BB8">
              <w:rPr>
                <w:noProof/>
                <w:webHidden/>
              </w:rPr>
              <w:instrText xml:space="preserve"> PAGEREF _Toc238218105 \h </w:instrText>
            </w:r>
            <w:r w:rsidR="00C91BB8">
              <w:rPr>
                <w:noProof/>
                <w:webHidden/>
              </w:rPr>
            </w:r>
            <w:r w:rsidR="00C91BB8">
              <w:rPr>
                <w:noProof/>
                <w:webHidden/>
              </w:rPr>
              <w:fldChar w:fldCharType="separate"/>
            </w:r>
            <w:r w:rsidR="00C91BB8">
              <w:rPr>
                <w:noProof/>
                <w:webHidden/>
              </w:rPr>
              <w:t>3</w:t>
            </w:r>
            <w:r w:rsidR="00C91BB8">
              <w:rPr>
                <w:noProof/>
                <w:webHidden/>
              </w:rPr>
              <w:fldChar w:fldCharType="end"/>
            </w:r>
          </w:hyperlink>
        </w:p>
        <w:p w14:paraId="27B058B6" w14:textId="665EEFCF" w:rsidR="00C91BB8" w:rsidRDefault="00572908">
          <w:pPr>
            <w:pStyle w:val="TOC2"/>
            <w:tabs>
              <w:tab w:val="right" w:leader="dot" w:pos="9350"/>
            </w:tabs>
            <w:rPr>
              <w:rFonts w:asciiTheme="minorHAnsi" w:eastAsiaTheme="minorEastAsia" w:hAnsiTheme="minorHAnsi"/>
              <w:noProof/>
              <w:sz w:val="22"/>
            </w:rPr>
          </w:pPr>
          <w:hyperlink w:anchor="_Toc238218106" w:history="1">
            <w:r w:rsidR="00C91BB8" w:rsidRPr="002369D2">
              <w:rPr>
                <w:rStyle w:val="Hyperlink"/>
                <w:noProof/>
              </w:rPr>
              <w:t>1.7 Significance and intended contribution</w:t>
            </w:r>
            <w:r w:rsidR="00C91BB8">
              <w:rPr>
                <w:noProof/>
                <w:webHidden/>
              </w:rPr>
              <w:tab/>
            </w:r>
            <w:r w:rsidR="00C91BB8">
              <w:rPr>
                <w:noProof/>
                <w:webHidden/>
              </w:rPr>
              <w:fldChar w:fldCharType="begin"/>
            </w:r>
            <w:r w:rsidR="00C91BB8">
              <w:rPr>
                <w:noProof/>
                <w:webHidden/>
              </w:rPr>
              <w:instrText xml:space="preserve"> PAGEREF _Toc238218106 \h </w:instrText>
            </w:r>
            <w:r w:rsidR="00C91BB8">
              <w:rPr>
                <w:noProof/>
                <w:webHidden/>
              </w:rPr>
            </w:r>
            <w:r w:rsidR="00C91BB8">
              <w:rPr>
                <w:noProof/>
                <w:webHidden/>
              </w:rPr>
              <w:fldChar w:fldCharType="separate"/>
            </w:r>
            <w:r w:rsidR="00C91BB8">
              <w:rPr>
                <w:noProof/>
                <w:webHidden/>
              </w:rPr>
              <w:t>4</w:t>
            </w:r>
            <w:r w:rsidR="00C91BB8">
              <w:rPr>
                <w:noProof/>
                <w:webHidden/>
              </w:rPr>
              <w:fldChar w:fldCharType="end"/>
            </w:r>
          </w:hyperlink>
        </w:p>
        <w:p w14:paraId="3348079F" w14:textId="0BA887B7" w:rsidR="00C91BB8" w:rsidRDefault="00572908">
          <w:pPr>
            <w:pStyle w:val="TOC2"/>
            <w:tabs>
              <w:tab w:val="right" w:leader="dot" w:pos="9350"/>
            </w:tabs>
            <w:rPr>
              <w:rFonts w:asciiTheme="minorHAnsi" w:eastAsiaTheme="minorEastAsia" w:hAnsiTheme="minorHAnsi"/>
              <w:noProof/>
              <w:sz w:val="22"/>
            </w:rPr>
          </w:pPr>
          <w:hyperlink w:anchor="_Toc238218107" w:history="1">
            <w:r w:rsidR="00C91BB8" w:rsidRPr="002369D2">
              <w:rPr>
                <w:rStyle w:val="Hyperlink"/>
                <w:noProof/>
              </w:rPr>
              <w:t>1.8 Scope and delimitations</w:t>
            </w:r>
            <w:r w:rsidR="00C91BB8">
              <w:rPr>
                <w:noProof/>
                <w:webHidden/>
              </w:rPr>
              <w:tab/>
            </w:r>
            <w:r w:rsidR="00C91BB8">
              <w:rPr>
                <w:noProof/>
                <w:webHidden/>
              </w:rPr>
              <w:fldChar w:fldCharType="begin"/>
            </w:r>
            <w:r w:rsidR="00C91BB8">
              <w:rPr>
                <w:noProof/>
                <w:webHidden/>
              </w:rPr>
              <w:instrText xml:space="preserve"> PAGEREF _Toc238218107 \h </w:instrText>
            </w:r>
            <w:r w:rsidR="00C91BB8">
              <w:rPr>
                <w:noProof/>
                <w:webHidden/>
              </w:rPr>
            </w:r>
            <w:r w:rsidR="00C91BB8">
              <w:rPr>
                <w:noProof/>
                <w:webHidden/>
              </w:rPr>
              <w:fldChar w:fldCharType="separate"/>
            </w:r>
            <w:r w:rsidR="00C91BB8">
              <w:rPr>
                <w:noProof/>
                <w:webHidden/>
              </w:rPr>
              <w:t>4</w:t>
            </w:r>
            <w:r w:rsidR="00C91BB8">
              <w:rPr>
                <w:noProof/>
                <w:webHidden/>
              </w:rPr>
              <w:fldChar w:fldCharType="end"/>
            </w:r>
          </w:hyperlink>
        </w:p>
        <w:p w14:paraId="6D593FDE" w14:textId="3B5C9A7A" w:rsidR="00C91BB8" w:rsidRDefault="00572908">
          <w:pPr>
            <w:pStyle w:val="TOC2"/>
            <w:tabs>
              <w:tab w:val="right" w:leader="dot" w:pos="9350"/>
            </w:tabs>
            <w:rPr>
              <w:rFonts w:asciiTheme="minorHAnsi" w:eastAsiaTheme="minorEastAsia" w:hAnsiTheme="minorHAnsi"/>
              <w:noProof/>
              <w:sz w:val="22"/>
            </w:rPr>
          </w:pPr>
          <w:hyperlink w:anchor="_Toc238218108" w:history="1">
            <w:r w:rsidR="00C91BB8" w:rsidRPr="002369D2">
              <w:rPr>
                <w:rStyle w:val="Hyperlink"/>
                <w:noProof/>
              </w:rPr>
              <w:t>1.9 Dissertation structure</w:t>
            </w:r>
            <w:r w:rsidR="00C91BB8">
              <w:rPr>
                <w:noProof/>
                <w:webHidden/>
              </w:rPr>
              <w:tab/>
            </w:r>
            <w:r w:rsidR="00C91BB8">
              <w:rPr>
                <w:noProof/>
                <w:webHidden/>
              </w:rPr>
              <w:fldChar w:fldCharType="begin"/>
            </w:r>
            <w:r w:rsidR="00C91BB8">
              <w:rPr>
                <w:noProof/>
                <w:webHidden/>
              </w:rPr>
              <w:instrText xml:space="preserve"> PAGEREF _Toc238218108 \h </w:instrText>
            </w:r>
            <w:r w:rsidR="00C91BB8">
              <w:rPr>
                <w:noProof/>
                <w:webHidden/>
              </w:rPr>
            </w:r>
            <w:r w:rsidR="00C91BB8">
              <w:rPr>
                <w:noProof/>
                <w:webHidden/>
              </w:rPr>
              <w:fldChar w:fldCharType="separate"/>
            </w:r>
            <w:r w:rsidR="00C91BB8">
              <w:rPr>
                <w:noProof/>
                <w:webHidden/>
              </w:rPr>
              <w:t>5</w:t>
            </w:r>
            <w:r w:rsidR="00C91BB8">
              <w:rPr>
                <w:noProof/>
                <w:webHidden/>
              </w:rPr>
              <w:fldChar w:fldCharType="end"/>
            </w:r>
          </w:hyperlink>
        </w:p>
        <w:p w14:paraId="13F41113" w14:textId="2A92B953" w:rsidR="00C91BB8" w:rsidRDefault="00572908">
          <w:pPr>
            <w:pStyle w:val="TOC1"/>
            <w:tabs>
              <w:tab w:val="right" w:leader="dot" w:pos="9350"/>
            </w:tabs>
            <w:rPr>
              <w:rFonts w:asciiTheme="minorHAnsi" w:eastAsiaTheme="minorEastAsia" w:hAnsiTheme="minorHAnsi"/>
              <w:noProof/>
              <w:sz w:val="22"/>
            </w:rPr>
          </w:pPr>
          <w:hyperlink w:anchor="_Toc238218109" w:history="1">
            <w:r w:rsidR="00C91BB8" w:rsidRPr="002369D2">
              <w:rPr>
                <w:rStyle w:val="Hyperlink"/>
                <w:noProof/>
              </w:rPr>
              <w:t>Chapter 2: Literature Review</w:t>
            </w:r>
            <w:r w:rsidR="00C91BB8">
              <w:rPr>
                <w:noProof/>
                <w:webHidden/>
              </w:rPr>
              <w:tab/>
            </w:r>
            <w:r w:rsidR="00C91BB8">
              <w:rPr>
                <w:noProof/>
                <w:webHidden/>
              </w:rPr>
              <w:fldChar w:fldCharType="begin"/>
            </w:r>
            <w:r w:rsidR="00C91BB8">
              <w:rPr>
                <w:noProof/>
                <w:webHidden/>
              </w:rPr>
              <w:instrText xml:space="preserve"> PAGEREF _Toc238218109 \h </w:instrText>
            </w:r>
            <w:r w:rsidR="00C91BB8">
              <w:rPr>
                <w:noProof/>
                <w:webHidden/>
              </w:rPr>
            </w:r>
            <w:r w:rsidR="00C91BB8">
              <w:rPr>
                <w:noProof/>
                <w:webHidden/>
              </w:rPr>
              <w:fldChar w:fldCharType="separate"/>
            </w:r>
            <w:r w:rsidR="00C91BB8">
              <w:rPr>
                <w:noProof/>
                <w:webHidden/>
              </w:rPr>
              <w:t>6</w:t>
            </w:r>
            <w:r w:rsidR="00C91BB8">
              <w:rPr>
                <w:noProof/>
                <w:webHidden/>
              </w:rPr>
              <w:fldChar w:fldCharType="end"/>
            </w:r>
          </w:hyperlink>
        </w:p>
        <w:p w14:paraId="153FCF43" w14:textId="601D7E32" w:rsidR="00C91BB8" w:rsidRDefault="00572908">
          <w:pPr>
            <w:pStyle w:val="TOC2"/>
            <w:tabs>
              <w:tab w:val="right" w:leader="dot" w:pos="9350"/>
            </w:tabs>
            <w:rPr>
              <w:rFonts w:asciiTheme="minorHAnsi" w:eastAsiaTheme="minorEastAsia" w:hAnsiTheme="minorHAnsi"/>
              <w:noProof/>
              <w:sz w:val="22"/>
            </w:rPr>
          </w:pPr>
          <w:hyperlink w:anchor="_Toc238218110" w:history="1">
            <w:r w:rsidR="00C91BB8" w:rsidRPr="002369D2">
              <w:rPr>
                <w:rStyle w:val="Hyperlink"/>
                <w:noProof/>
              </w:rPr>
              <w:t>2.1 Purpose and approach</w:t>
            </w:r>
            <w:r w:rsidR="00C91BB8">
              <w:rPr>
                <w:noProof/>
                <w:webHidden/>
              </w:rPr>
              <w:tab/>
            </w:r>
            <w:r w:rsidR="00C91BB8">
              <w:rPr>
                <w:noProof/>
                <w:webHidden/>
              </w:rPr>
              <w:fldChar w:fldCharType="begin"/>
            </w:r>
            <w:r w:rsidR="00C91BB8">
              <w:rPr>
                <w:noProof/>
                <w:webHidden/>
              </w:rPr>
              <w:instrText xml:space="preserve"> PAGEREF _Toc238218110 \h </w:instrText>
            </w:r>
            <w:r w:rsidR="00C91BB8">
              <w:rPr>
                <w:noProof/>
                <w:webHidden/>
              </w:rPr>
            </w:r>
            <w:r w:rsidR="00C91BB8">
              <w:rPr>
                <w:noProof/>
                <w:webHidden/>
              </w:rPr>
              <w:fldChar w:fldCharType="separate"/>
            </w:r>
            <w:r w:rsidR="00C91BB8">
              <w:rPr>
                <w:noProof/>
                <w:webHidden/>
              </w:rPr>
              <w:t>6</w:t>
            </w:r>
            <w:r w:rsidR="00C91BB8">
              <w:rPr>
                <w:noProof/>
                <w:webHidden/>
              </w:rPr>
              <w:fldChar w:fldCharType="end"/>
            </w:r>
          </w:hyperlink>
        </w:p>
        <w:p w14:paraId="4BFEEA26" w14:textId="207DE0D2" w:rsidR="00C91BB8" w:rsidRDefault="00572908">
          <w:pPr>
            <w:pStyle w:val="TOC2"/>
            <w:tabs>
              <w:tab w:val="right" w:leader="dot" w:pos="9350"/>
            </w:tabs>
            <w:rPr>
              <w:rFonts w:asciiTheme="minorHAnsi" w:eastAsiaTheme="minorEastAsia" w:hAnsiTheme="minorHAnsi"/>
              <w:noProof/>
              <w:sz w:val="22"/>
            </w:rPr>
          </w:pPr>
          <w:hyperlink w:anchor="_Toc238218111" w:history="1">
            <w:r w:rsidR="00C91BB8" w:rsidRPr="002369D2">
              <w:rPr>
                <w:rStyle w:val="Hyperlink"/>
                <w:noProof/>
              </w:rPr>
              <w:t>2.2 Green supply chain to SSCM</w:t>
            </w:r>
            <w:r w:rsidR="00C91BB8">
              <w:rPr>
                <w:noProof/>
                <w:webHidden/>
              </w:rPr>
              <w:tab/>
            </w:r>
            <w:r w:rsidR="00C91BB8">
              <w:rPr>
                <w:noProof/>
                <w:webHidden/>
              </w:rPr>
              <w:fldChar w:fldCharType="begin"/>
            </w:r>
            <w:r w:rsidR="00C91BB8">
              <w:rPr>
                <w:noProof/>
                <w:webHidden/>
              </w:rPr>
              <w:instrText xml:space="preserve"> PAGEREF _Toc238218111 \h </w:instrText>
            </w:r>
            <w:r w:rsidR="00C91BB8">
              <w:rPr>
                <w:noProof/>
                <w:webHidden/>
              </w:rPr>
            </w:r>
            <w:r w:rsidR="00C91BB8">
              <w:rPr>
                <w:noProof/>
                <w:webHidden/>
              </w:rPr>
              <w:fldChar w:fldCharType="separate"/>
            </w:r>
            <w:r w:rsidR="00C91BB8">
              <w:rPr>
                <w:noProof/>
                <w:webHidden/>
              </w:rPr>
              <w:t>6</w:t>
            </w:r>
            <w:r w:rsidR="00C91BB8">
              <w:rPr>
                <w:noProof/>
                <w:webHidden/>
              </w:rPr>
              <w:fldChar w:fldCharType="end"/>
            </w:r>
          </w:hyperlink>
        </w:p>
        <w:p w14:paraId="0D697F1C" w14:textId="63C587C2" w:rsidR="00C91BB8" w:rsidRDefault="00572908">
          <w:pPr>
            <w:pStyle w:val="TOC2"/>
            <w:tabs>
              <w:tab w:val="right" w:leader="dot" w:pos="9350"/>
            </w:tabs>
            <w:rPr>
              <w:rFonts w:asciiTheme="minorHAnsi" w:eastAsiaTheme="minorEastAsia" w:hAnsiTheme="minorHAnsi"/>
              <w:noProof/>
              <w:sz w:val="22"/>
            </w:rPr>
          </w:pPr>
          <w:hyperlink w:anchor="_Toc238218112" w:history="1">
            <w:r w:rsidR="00C91BB8" w:rsidRPr="002369D2">
              <w:rPr>
                <w:rStyle w:val="Hyperlink"/>
                <w:noProof/>
              </w:rPr>
              <w:t>2.3 Practices related to distribution in the SSCM model</w:t>
            </w:r>
            <w:r w:rsidR="00C91BB8">
              <w:rPr>
                <w:noProof/>
                <w:webHidden/>
              </w:rPr>
              <w:tab/>
            </w:r>
            <w:r w:rsidR="00C91BB8">
              <w:rPr>
                <w:noProof/>
                <w:webHidden/>
              </w:rPr>
              <w:fldChar w:fldCharType="begin"/>
            </w:r>
            <w:r w:rsidR="00C91BB8">
              <w:rPr>
                <w:noProof/>
                <w:webHidden/>
              </w:rPr>
              <w:instrText xml:space="preserve"> PAGEREF _Toc238218112 \h </w:instrText>
            </w:r>
            <w:r w:rsidR="00C91BB8">
              <w:rPr>
                <w:noProof/>
                <w:webHidden/>
              </w:rPr>
            </w:r>
            <w:r w:rsidR="00C91BB8">
              <w:rPr>
                <w:noProof/>
                <w:webHidden/>
              </w:rPr>
              <w:fldChar w:fldCharType="separate"/>
            </w:r>
            <w:r w:rsidR="00C91BB8">
              <w:rPr>
                <w:noProof/>
                <w:webHidden/>
              </w:rPr>
              <w:t>7</w:t>
            </w:r>
            <w:r w:rsidR="00C91BB8">
              <w:rPr>
                <w:noProof/>
                <w:webHidden/>
              </w:rPr>
              <w:fldChar w:fldCharType="end"/>
            </w:r>
          </w:hyperlink>
        </w:p>
        <w:p w14:paraId="233E1DB4" w14:textId="2B28046A" w:rsidR="00C91BB8" w:rsidRDefault="00572908">
          <w:pPr>
            <w:pStyle w:val="TOC3"/>
            <w:tabs>
              <w:tab w:val="right" w:leader="dot" w:pos="9350"/>
            </w:tabs>
            <w:rPr>
              <w:rFonts w:asciiTheme="minorHAnsi" w:eastAsiaTheme="minorEastAsia" w:hAnsiTheme="minorHAnsi"/>
              <w:noProof/>
              <w:sz w:val="22"/>
            </w:rPr>
          </w:pPr>
          <w:hyperlink w:anchor="_Toc238218113" w:history="1">
            <w:r w:rsidR="00C91BB8" w:rsidRPr="002369D2">
              <w:rPr>
                <w:rStyle w:val="Hyperlink"/>
                <w:noProof/>
              </w:rPr>
              <w:t>2.3.1 Responsible sourcing and supplier governance</w:t>
            </w:r>
            <w:r w:rsidR="00C91BB8">
              <w:rPr>
                <w:noProof/>
                <w:webHidden/>
              </w:rPr>
              <w:tab/>
            </w:r>
            <w:r w:rsidR="00C91BB8">
              <w:rPr>
                <w:noProof/>
                <w:webHidden/>
              </w:rPr>
              <w:fldChar w:fldCharType="begin"/>
            </w:r>
            <w:r w:rsidR="00C91BB8">
              <w:rPr>
                <w:noProof/>
                <w:webHidden/>
              </w:rPr>
              <w:instrText xml:space="preserve"> PAGEREF _Toc238218113 \h </w:instrText>
            </w:r>
            <w:r w:rsidR="00C91BB8">
              <w:rPr>
                <w:noProof/>
                <w:webHidden/>
              </w:rPr>
            </w:r>
            <w:r w:rsidR="00C91BB8">
              <w:rPr>
                <w:noProof/>
                <w:webHidden/>
              </w:rPr>
              <w:fldChar w:fldCharType="separate"/>
            </w:r>
            <w:r w:rsidR="00C91BB8">
              <w:rPr>
                <w:noProof/>
                <w:webHidden/>
              </w:rPr>
              <w:t>7</w:t>
            </w:r>
            <w:r w:rsidR="00C91BB8">
              <w:rPr>
                <w:noProof/>
                <w:webHidden/>
              </w:rPr>
              <w:fldChar w:fldCharType="end"/>
            </w:r>
          </w:hyperlink>
        </w:p>
        <w:p w14:paraId="210655A3" w14:textId="097CFAD4" w:rsidR="00C91BB8" w:rsidRDefault="00572908">
          <w:pPr>
            <w:pStyle w:val="TOC3"/>
            <w:tabs>
              <w:tab w:val="right" w:leader="dot" w:pos="9350"/>
            </w:tabs>
            <w:rPr>
              <w:rFonts w:asciiTheme="minorHAnsi" w:eastAsiaTheme="minorEastAsia" w:hAnsiTheme="minorHAnsi"/>
              <w:noProof/>
              <w:sz w:val="22"/>
            </w:rPr>
          </w:pPr>
          <w:hyperlink w:anchor="_Toc238218114" w:history="1">
            <w:r w:rsidR="00C91BB8" w:rsidRPr="002369D2">
              <w:rPr>
                <w:rStyle w:val="Hyperlink"/>
                <w:noProof/>
              </w:rPr>
              <w:t>2.3.2 Sustainable product and material transitions</w:t>
            </w:r>
            <w:r w:rsidR="00C91BB8">
              <w:rPr>
                <w:noProof/>
                <w:webHidden/>
              </w:rPr>
              <w:tab/>
            </w:r>
            <w:r w:rsidR="00C91BB8">
              <w:rPr>
                <w:noProof/>
                <w:webHidden/>
              </w:rPr>
              <w:fldChar w:fldCharType="begin"/>
            </w:r>
            <w:r w:rsidR="00C91BB8">
              <w:rPr>
                <w:noProof/>
                <w:webHidden/>
              </w:rPr>
              <w:instrText xml:space="preserve"> PAGEREF _Toc238218114 \h </w:instrText>
            </w:r>
            <w:r w:rsidR="00C91BB8">
              <w:rPr>
                <w:noProof/>
                <w:webHidden/>
              </w:rPr>
            </w:r>
            <w:r w:rsidR="00C91BB8">
              <w:rPr>
                <w:noProof/>
                <w:webHidden/>
              </w:rPr>
              <w:fldChar w:fldCharType="separate"/>
            </w:r>
            <w:r w:rsidR="00C91BB8">
              <w:rPr>
                <w:noProof/>
                <w:webHidden/>
              </w:rPr>
              <w:t>7</w:t>
            </w:r>
            <w:r w:rsidR="00C91BB8">
              <w:rPr>
                <w:noProof/>
                <w:webHidden/>
              </w:rPr>
              <w:fldChar w:fldCharType="end"/>
            </w:r>
          </w:hyperlink>
        </w:p>
        <w:p w14:paraId="0B10207D" w14:textId="2635582B" w:rsidR="00C91BB8" w:rsidRDefault="00572908">
          <w:pPr>
            <w:pStyle w:val="TOC3"/>
            <w:tabs>
              <w:tab w:val="right" w:leader="dot" w:pos="9350"/>
            </w:tabs>
            <w:rPr>
              <w:rFonts w:asciiTheme="minorHAnsi" w:eastAsiaTheme="minorEastAsia" w:hAnsiTheme="minorHAnsi"/>
              <w:noProof/>
              <w:sz w:val="22"/>
            </w:rPr>
          </w:pPr>
          <w:hyperlink w:anchor="_Toc238218115" w:history="1">
            <w:r w:rsidR="00C91BB8" w:rsidRPr="002369D2">
              <w:rPr>
                <w:rStyle w:val="Hyperlink"/>
                <w:noProof/>
              </w:rPr>
              <w:t>2.3.3 Distribution efficiency, consolidation and digitalisation</w:t>
            </w:r>
            <w:r w:rsidR="00C91BB8">
              <w:rPr>
                <w:noProof/>
                <w:webHidden/>
              </w:rPr>
              <w:tab/>
            </w:r>
            <w:r w:rsidR="00C91BB8">
              <w:rPr>
                <w:noProof/>
                <w:webHidden/>
              </w:rPr>
              <w:fldChar w:fldCharType="begin"/>
            </w:r>
            <w:r w:rsidR="00C91BB8">
              <w:rPr>
                <w:noProof/>
                <w:webHidden/>
              </w:rPr>
              <w:instrText xml:space="preserve"> PAGEREF _Toc238218115 \h </w:instrText>
            </w:r>
            <w:r w:rsidR="00C91BB8">
              <w:rPr>
                <w:noProof/>
                <w:webHidden/>
              </w:rPr>
            </w:r>
            <w:r w:rsidR="00C91BB8">
              <w:rPr>
                <w:noProof/>
                <w:webHidden/>
              </w:rPr>
              <w:fldChar w:fldCharType="separate"/>
            </w:r>
            <w:r w:rsidR="00C91BB8">
              <w:rPr>
                <w:noProof/>
                <w:webHidden/>
              </w:rPr>
              <w:t>8</w:t>
            </w:r>
            <w:r w:rsidR="00C91BB8">
              <w:rPr>
                <w:noProof/>
                <w:webHidden/>
              </w:rPr>
              <w:fldChar w:fldCharType="end"/>
            </w:r>
          </w:hyperlink>
        </w:p>
        <w:p w14:paraId="04BB1FD3" w14:textId="7B9C8D86" w:rsidR="00C91BB8" w:rsidRDefault="00572908">
          <w:pPr>
            <w:pStyle w:val="TOC3"/>
            <w:tabs>
              <w:tab w:val="right" w:leader="dot" w:pos="9350"/>
            </w:tabs>
            <w:rPr>
              <w:rFonts w:asciiTheme="minorHAnsi" w:eastAsiaTheme="minorEastAsia" w:hAnsiTheme="minorHAnsi"/>
              <w:noProof/>
              <w:sz w:val="22"/>
            </w:rPr>
          </w:pPr>
          <w:hyperlink w:anchor="_Toc238218116" w:history="1">
            <w:r w:rsidR="00C91BB8" w:rsidRPr="002369D2">
              <w:rPr>
                <w:rStyle w:val="Hyperlink"/>
                <w:noProof/>
              </w:rPr>
              <w:t>2.3.4 Managing carbon and resources</w:t>
            </w:r>
            <w:r w:rsidR="00C91BB8">
              <w:rPr>
                <w:noProof/>
                <w:webHidden/>
              </w:rPr>
              <w:tab/>
            </w:r>
            <w:r w:rsidR="00C91BB8">
              <w:rPr>
                <w:noProof/>
                <w:webHidden/>
              </w:rPr>
              <w:fldChar w:fldCharType="begin"/>
            </w:r>
            <w:r w:rsidR="00C91BB8">
              <w:rPr>
                <w:noProof/>
                <w:webHidden/>
              </w:rPr>
              <w:instrText xml:space="preserve"> PAGEREF _Toc238218116 \h </w:instrText>
            </w:r>
            <w:r w:rsidR="00C91BB8">
              <w:rPr>
                <w:noProof/>
                <w:webHidden/>
              </w:rPr>
            </w:r>
            <w:r w:rsidR="00C91BB8">
              <w:rPr>
                <w:noProof/>
                <w:webHidden/>
              </w:rPr>
              <w:fldChar w:fldCharType="separate"/>
            </w:r>
            <w:r w:rsidR="00C91BB8">
              <w:rPr>
                <w:noProof/>
                <w:webHidden/>
              </w:rPr>
              <w:t>8</w:t>
            </w:r>
            <w:r w:rsidR="00C91BB8">
              <w:rPr>
                <w:noProof/>
                <w:webHidden/>
              </w:rPr>
              <w:fldChar w:fldCharType="end"/>
            </w:r>
          </w:hyperlink>
        </w:p>
        <w:p w14:paraId="19C08EE9" w14:textId="0BDEC7F1" w:rsidR="00C91BB8" w:rsidRDefault="00572908">
          <w:pPr>
            <w:pStyle w:val="TOC2"/>
            <w:tabs>
              <w:tab w:val="right" w:leader="dot" w:pos="9350"/>
            </w:tabs>
            <w:rPr>
              <w:rFonts w:asciiTheme="minorHAnsi" w:eastAsiaTheme="minorEastAsia" w:hAnsiTheme="minorHAnsi"/>
              <w:noProof/>
              <w:sz w:val="22"/>
            </w:rPr>
          </w:pPr>
          <w:hyperlink w:anchor="_Toc238218117" w:history="1">
            <w:r w:rsidR="00C91BB8" w:rsidRPr="002369D2">
              <w:rPr>
                <w:rStyle w:val="Hyperlink"/>
                <w:noProof/>
              </w:rPr>
              <w:t>2.4 Operational performance: mechanisms and attribution</w:t>
            </w:r>
            <w:r w:rsidR="00C91BB8">
              <w:rPr>
                <w:noProof/>
                <w:webHidden/>
              </w:rPr>
              <w:tab/>
            </w:r>
            <w:r w:rsidR="00C91BB8">
              <w:rPr>
                <w:noProof/>
                <w:webHidden/>
              </w:rPr>
              <w:fldChar w:fldCharType="begin"/>
            </w:r>
            <w:r w:rsidR="00C91BB8">
              <w:rPr>
                <w:noProof/>
                <w:webHidden/>
              </w:rPr>
              <w:instrText xml:space="preserve"> PAGEREF _Toc238218117 \h </w:instrText>
            </w:r>
            <w:r w:rsidR="00C91BB8">
              <w:rPr>
                <w:noProof/>
                <w:webHidden/>
              </w:rPr>
            </w:r>
            <w:r w:rsidR="00C91BB8">
              <w:rPr>
                <w:noProof/>
                <w:webHidden/>
              </w:rPr>
              <w:fldChar w:fldCharType="separate"/>
            </w:r>
            <w:r w:rsidR="00C91BB8">
              <w:rPr>
                <w:noProof/>
                <w:webHidden/>
              </w:rPr>
              <w:t>9</w:t>
            </w:r>
            <w:r w:rsidR="00C91BB8">
              <w:rPr>
                <w:noProof/>
                <w:webHidden/>
              </w:rPr>
              <w:fldChar w:fldCharType="end"/>
            </w:r>
          </w:hyperlink>
        </w:p>
        <w:p w14:paraId="0B374F66" w14:textId="6E501E4E" w:rsidR="00C91BB8" w:rsidRDefault="00572908">
          <w:pPr>
            <w:pStyle w:val="TOC2"/>
            <w:tabs>
              <w:tab w:val="right" w:leader="dot" w:pos="9350"/>
            </w:tabs>
            <w:rPr>
              <w:rFonts w:asciiTheme="minorHAnsi" w:eastAsiaTheme="minorEastAsia" w:hAnsiTheme="minorHAnsi"/>
              <w:noProof/>
              <w:sz w:val="22"/>
            </w:rPr>
          </w:pPr>
          <w:hyperlink w:anchor="_Toc238218118" w:history="1">
            <w:r w:rsidR="00C91BB8" w:rsidRPr="002369D2">
              <w:rPr>
                <w:rStyle w:val="Hyperlink"/>
                <w:noProof/>
              </w:rPr>
              <w:t>2.5 Customer satisfaction and customer-related value</w:t>
            </w:r>
            <w:r w:rsidR="00C91BB8">
              <w:rPr>
                <w:noProof/>
                <w:webHidden/>
              </w:rPr>
              <w:tab/>
            </w:r>
            <w:r w:rsidR="00C91BB8">
              <w:rPr>
                <w:noProof/>
                <w:webHidden/>
              </w:rPr>
              <w:fldChar w:fldCharType="begin"/>
            </w:r>
            <w:r w:rsidR="00C91BB8">
              <w:rPr>
                <w:noProof/>
                <w:webHidden/>
              </w:rPr>
              <w:instrText xml:space="preserve"> PAGEREF _Toc238218118 \h </w:instrText>
            </w:r>
            <w:r w:rsidR="00C91BB8">
              <w:rPr>
                <w:noProof/>
                <w:webHidden/>
              </w:rPr>
            </w:r>
            <w:r w:rsidR="00C91BB8">
              <w:rPr>
                <w:noProof/>
                <w:webHidden/>
              </w:rPr>
              <w:fldChar w:fldCharType="separate"/>
            </w:r>
            <w:r w:rsidR="00C91BB8">
              <w:rPr>
                <w:noProof/>
                <w:webHidden/>
              </w:rPr>
              <w:t>10</w:t>
            </w:r>
            <w:r w:rsidR="00C91BB8">
              <w:rPr>
                <w:noProof/>
                <w:webHidden/>
              </w:rPr>
              <w:fldChar w:fldCharType="end"/>
            </w:r>
          </w:hyperlink>
        </w:p>
        <w:p w14:paraId="63EDABDB" w14:textId="016790F0" w:rsidR="00C91BB8" w:rsidRDefault="00572908">
          <w:pPr>
            <w:pStyle w:val="TOC2"/>
            <w:tabs>
              <w:tab w:val="right" w:leader="dot" w:pos="9350"/>
            </w:tabs>
            <w:rPr>
              <w:rFonts w:asciiTheme="minorHAnsi" w:eastAsiaTheme="minorEastAsia" w:hAnsiTheme="minorHAnsi"/>
              <w:noProof/>
              <w:sz w:val="22"/>
            </w:rPr>
          </w:pPr>
          <w:hyperlink w:anchor="_Toc238218119" w:history="1">
            <w:r w:rsidR="00C91BB8" w:rsidRPr="002369D2">
              <w:rPr>
                <w:rStyle w:val="Hyperlink"/>
                <w:noProof/>
              </w:rPr>
              <w:t>2.6 Theoretical lenses and their use in this study</w:t>
            </w:r>
            <w:r w:rsidR="00C91BB8">
              <w:rPr>
                <w:noProof/>
                <w:webHidden/>
              </w:rPr>
              <w:tab/>
            </w:r>
            <w:r w:rsidR="00C91BB8">
              <w:rPr>
                <w:noProof/>
                <w:webHidden/>
              </w:rPr>
              <w:fldChar w:fldCharType="begin"/>
            </w:r>
            <w:r w:rsidR="00C91BB8">
              <w:rPr>
                <w:noProof/>
                <w:webHidden/>
              </w:rPr>
              <w:instrText xml:space="preserve"> PAGEREF _Toc238218119 \h </w:instrText>
            </w:r>
            <w:r w:rsidR="00C91BB8">
              <w:rPr>
                <w:noProof/>
                <w:webHidden/>
              </w:rPr>
            </w:r>
            <w:r w:rsidR="00C91BB8">
              <w:rPr>
                <w:noProof/>
                <w:webHidden/>
              </w:rPr>
              <w:fldChar w:fldCharType="separate"/>
            </w:r>
            <w:r w:rsidR="00C91BB8">
              <w:rPr>
                <w:noProof/>
                <w:webHidden/>
              </w:rPr>
              <w:t>10</w:t>
            </w:r>
            <w:r w:rsidR="00C91BB8">
              <w:rPr>
                <w:noProof/>
                <w:webHidden/>
              </w:rPr>
              <w:fldChar w:fldCharType="end"/>
            </w:r>
          </w:hyperlink>
        </w:p>
        <w:p w14:paraId="2FE6EC6B" w14:textId="45C8CE98" w:rsidR="00C91BB8" w:rsidRDefault="00572908">
          <w:pPr>
            <w:pStyle w:val="TOC2"/>
            <w:tabs>
              <w:tab w:val="right" w:leader="dot" w:pos="9350"/>
            </w:tabs>
            <w:rPr>
              <w:rFonts w:asciiTheme="minorHAnsi" w:eastAsiaTheme="minorEastAsia" w:hAnsiTheme="minorHAnsi"/>
              <w:noProof/>
              <w:sz w:val="22"/>
            </w:rPr>
          </w:pPr>
          <w:hyperlink w:anchor="_Toc238218120" w:history="1">
            <w:r w:rsidR="00C91BB8" w:rsidRPr="002369D2">
              <w:rPr>
                <w:rStyle w:val="Hyperlink"/>
                <w:noProof/>
              </w:rPr>
              <w:t>2.7 Study-specific analytical framework</w:t>
            </w:r>
            <w:r w:rsidR="00C91BB8">
              <w:rPr>
                <w:noProof/>
                <w:webHidden/>
              </w:rPr>
              <w:tab/>
            </w:r>
            <w:r w:rsidR="00C91BB8">
              <w:rPr>
                <w:noProof/>
                <w:webHidden/>
              </w:rPr>
              <w:fldChar w:fldCharType="begin"/>
            </w:r>
            <w:r w:rsidR="00C91BB8">
              <w:rPr>
                <w:noProof/>
                <w:webHidden/>
              </w:rPr>
              <w:instrText xml:space="preserve"> PAGEREF _Toc238218120 \h </w:instrText>
            </w:r>
            <w:r w:rsidR="00C91BB8">
              <w:rPr>
                <w:noProof/>
                <w:webHidden/>
              </w:rPr>
            </w:r>
            <w:r w:rsidR="00C91BB8">
              <w:rPr>
                <w:noProof/>
                <w:webHidden/>
              </w:rPr>
              <w:fldChar w:fldCharType="separate"/>
            </w:r>
            <w:r w:rsidR="00C91BB8">
              <w:rPr>
                <w:noProof/>
                <w:webHidden/>
              </w:rPr>
              <w:t>12</w:t>
            </w:r>
            <w:r w:rsidR="00C91BB8">
              <w:rPr>
                <w:noProof/>
                <w:webHidden/>
              </w:rPr>
              <w:fldChar w:fldCharType="end"/>
            </w:r>
          </w:hyperlink>
        </w:p>
        <w:p w14:paraId="49088203" w14:textId="117D71C7" w:rsidR="00C91BB8" w:rsidRDefault="00572908">
          <w:pPr>
            <w:pStyle w:val="TOC2"/>
            <w:tabs>
              <w:tab w:val="right" w:leader="dot" w:pos="9350"/>
            </w:tabs>
            <w:rPr>
              <w:rFonts w:asciiTheme="minorHAnsi" w:eastAsiaTheme="minorEastAsia" w:hAnsiTheme="minorHAnsi"/>
              <w:noProof/>
              <w:sz w:val="22"/>
            </w:rPr>
          </w:pPr>
          <w:hyperlink w:anchor="_Toc238218121" w:history="1">
            <w:r w:rsidR="00C91BB8" w:rsidRPr="002369D2">
              <w:rPr>
                <w:rStyle w:val="Hyperlink"/>
                <w:noProof/>
              </w:rPr>
              <w:t>2.8 Tensions, trade-offs and the quality of evidence</w:t>
            </w:r>
            <w:r w:rsidR="00C91BB8">
              <w:rPr>
                <w:noProof/>
                <w:webHidden/>
              </w:rPr>
              <w:tab/>
            </w:r>
            <w:r w:rsidR="00C91BB8">
              <w:rPr>
                <w:noProof/>
                <w:webHidden/>
              </w:rPr>
              <w:fldChar w:fldCharType="begin"/>
            </w:r>
            <w:r w:rsidR="00C91BB8">
              <w:rPr>
                <w:noProof/>
                <w:webHidden/>
              </w:rPr>
              <w:instrText xml:space="preserve"> PAGEREF _Toc238218121 \h </w:instrText>
            </w:r>
            <w:r w:rsidR="00C91BB8">
              <w:rPr>
                <w:noProof/>
                <w:webHidden/>
              </w:rPr>
            </w:r>
            <w:r w:rsidR="00C91BB8">
              <w:rPr>
                <w:noProof/>
                <w:webHidden/>
              </w:rPr>
              <w:fldChar w:fldCharType="separate"/>
            </w:r>
            <w:r w:rsidR="00C91BB8">
              <w:rPr>
                <w:noProof/>
                <w:webHidden/>
              </w:rPr>
              <w:t>14</w:t>
            </w:r>
            <w:r w:rsidR="00C91BB8">
              <w:rPr>
                <w:noProof/>
                <w:webHidden/>
              </w:rPr>
              <w:fldChar w:fldCharType="end"/>
            </w:r>
          </w:hyperlink>
        </w:p>
        <w:p w14:paraId="66708F52" w14:textId="075FB351" w:rsidR="00C91BB8" w:rsidRDefault="00572908">
          <w:pPr>
            <w:pStyle w:val="TOC2"/>
            <w:tabs>
              <w:tab w:val="right" w:leader="dot" w:pos="9350"/>
            </w:tabs>
            <w:rPr>
              <w:rFonts w:asciiTheme="minorHAnsi" w:eastAsiaTheme="minorEastAsia" w:hAnsiTheme="minorHAnsi"/>
              <w:noProof/>
              <w:sz w:val="22"/>
            </w:rPr>
          </w:pPr>
          <w:hyperlink w:anchor="_Toc238218122" w:history="1">
            <w:r w:rsidR="00C91BB8" w:rsidRPr="002369D2">
              <w:rPr>
                <w:rStyle w:val="Hyperlink"/>
                <w:noProof/>
              </w:rPr>
              <w:t>2.9 Research gap</w:t>
            </w:r>
            <w:r w:rsidR="00C91BB8">
              <w:rPr>
                <w:noProof/>
                <w:webHidden/>
              </w:rPr>
              <w:tab/>
            </w:r>
            <w:r w:rsidR="00C91BB8">
              <w:rPr>
                <w:noProof/>
                <w:webHidden/>
              </w:rPr>
              <w:fldChar w:fldCharType="begin"/>
            </w:r>
            <w:r w:rsidR="00C91BB8">
              <w:rPr>
                <w:noProof/>
                <w:webHidden/>
              </w:rPr>
              <w:instrText xml:space="preserve"> PAGEREF _Toc238218122 \h </w:instrText>
            </w:r>
            <w:r w:rsidR="00C91BB8">
              <w:rPr>
                <w:noProof/>
                <w:webHidden/>
              </w:rPr>
            </w:r>
            <w:r w:rsidR="00C91BB8">
              <w:rPr>
                <w:noProof/>
                <w:webHidden/>
              </w:rPr>
              <w:fldChar w:fldCharType="separate"/>
            </w:r>
            <w:r w:rsidR="00C91BB8">
              <w:rPr>
                <w:noProof/>
                <w:webHidden/>
              </w:rPr>
              <w:t>14</w:t>
            </w:r>
            <w:r w:rsidR="00C91BB8">
              <w:rPr>
                <w:noProof/>
                <w:webHidden/>
              </w:rPr>
              <w:fldChar w:fldCharType="end"/>
            </w:r>
          </w:hyperlink>
        </w:p>
        <w:p w14:paraId="07371BA7" w14:textId="347241D8" w:rsidR="00C91BB8" w:rsidRDefault="00572908">
          <w:pPr>
            <w:pStyle w:val="TOC2"/>
            <w:tabs>
              <w:tab w:val="right" w:leader="dot" w:pos="9350"/>
            </w:tabs>
            <w:rPr>
              <w:rFonts w:asciiTheme="minorHAnsi" w:eastAsiaTheme="minorEastAsia" w:hAnsiTheme="minorHAnsi"/>
              <w:noProof/>
              <w:sz w:val="22"/>
            </w:rPr>
          </w:pPr>
          <w:hyperlink w:anchor="_Toc238218123" w:history="1">
            <w:r w:rsidR="00C91BB8" w:rsidRPr="002369D2">
              <w:rPr>
                <w:rStyle w:val="Hyperlink"/>
                <w:noProof/>
              </w:rPr>
              <w:t>2.10 Chapter summary</w:t>
            </w:r>
            <w:r w:rsidR="00C91BB8">
              <w:rPr>
                <w:noProof/>
                <w:webHidden/>
              </w:rPr>
              <w:tab/>
            </w:r>
            <w:r w:rsidR="00C91BB8">
              <w:rPr>
                <w:noProof/>
                <w:webHidden/>
              </w:rPr>
              <w:fldChar w:fldCharType="begin"/>
            </w:r>
            <w:r w:rsidR="00C91BB8">
              <w:rPr>
                <w:noProof/>
                <w:webHidden/>
              </w:rPr>
              <w:instrText xml:space="preserve"> PAGEREF _Toc238218123 \h </w:instrText>
            </w:r>
            <w:r w:rsidR="00C91BB8">
              <w:rPr>
                <w:noProof/>
                <w:webHidden/>
              </w:rPr>
            </w:r>
            <w:r w:rsidR="00C91BB8">
              <w:rPr>
                <w:noProof/>
                <w:webHidden/>
              </w:rPr>
              <w:fldChar w:fldCharType="separate"/>
            </w:r>
            <w:r w:rsidR="00C91BB8">
              <w:rPr>
                <w:noProof/>
                <w:webHidden/>
              </w:rPr>
              <w:t>15</w:t>
            </w:r>
            <w:r w:rsidR="00C91BB8">
              <w:rPr>
                <w:noProof/>
                <w:webHidden/>
              </w:rPr>
              <w:fldChar w:fldCharType="end"/>
            </w:r>
          </w:hyperlink>
        </w:p>
        <w:p w14:paraId="682C877E" w14:textId="7AE19AEA" w:rsidR="00C91BB8" w:rsidRDefault="00572908">
          <w:pPr>
            <w:pStyle w:val="TOC1"/>
            <w:tabs>
              <w:tab w:val="right" w:leader="dot" w:pos="9350"/>
            </w:tabs>
            <w:rPr>
              <w:rFonts w:asciiTheme="minorHAnsi" w:eastAsiaTheme="minorEastAsia" w:hAnsiTheme="minorHAnsi"/>
              <w:noProof/>
              <w:sz w:val="22"/>
            </w:rPr>
          </w:pPr>
          <w:hyperlink w:anchor="_Toc238218124" w:history="1">
            <w:r w:rsidR="00C91BB8" w:rsidRPr="002369D2">
              <w:rPr>
                <w:rStyle w:val="Hyperlink"/>
                <w:noProof/>
              </w:rPr>
              <w:t>Chapter 3: Research Methodology</w:t>
            </w:r>
            <w:r w:rsidR="00C91BB8">
              <w:rPr>
                <w:noProof/>
                <w:webHidden/>
              </w:rPr>
              <w:tab/>
            </w:r>
            <w:r w:rsidR="00C91BB8">
              <w:rPr>
                <w:noProof/>
                <w:webHidden/>
              </w:rPr>
              <w:fldChar w:fldCharType="begin"/>
            </w:r>
            <w:r w:rsidR="00C91BB8">
              <w:rPr>
                <w:noProof/>
                <w:webHidden/>
              </w:rPr>
              <w:instrText xml:space="preserve"> PAGEREF _Toc238218124 \h </w:instrText>
            </w:r>
            <w:r w:rsidR="00C91BB8">
              <w:rPr>
                <w:noProof/>
                <w:webHidden/>
              </w:rPr>
            </w:r>
            <w:r w:rsidR="00C91BB8">
              <w:rPr>
                <w:noProof/>
                <w:webHidden/>
              </w:rPr>
              <w:fldChar w:fldCharType="separate"/>
            </w:r>
            <w:r w:rsidR="00C91BB8">
              <w:rPr>
                <w:noProof/>
                <w:webHidden/>
              </w:rPr>
              <w:t>16</w:t>
            </w:r>
            <w:r w:rsidR="00C91BB8">
              <w:rPr>
                <w:noProof/>
                <w:webHidden/>
              </w:rPr>
              <w:fldChar w:fldCharType="end"/>
            </w:r>
          </w:hyperlink>
        </w:p>
        <w:p w14:paraId="0F56E4F6" w14:textId="7EA93860" w:rsidR="00C91BB8" w:rsidRDefault="00572908">
          <w:pPr>
            <w:pStyle w:val="TOC2"/>
            <w:tabs>
              <w:tab w:val="right" w:leader="dot" w:pos="9350"/>
            </w:tabs>
            <w:rPr>
              <w:rFonts w:asciiTheme="minorHAnsi" w:eastAsiaTheme="minorEastAsia" w:hAnsiTheme="minorHAnsi"/>
              <w:noProof/>
              <w:sz w:val="22"/>
            </w:rPr>
          </w:pPr>
          <w:hyperlink w:anchor="_Toc238218125" w:history="1">
            <w:r w:rsidR="00C91BB8" w:rsidRPr="002369D2">
              <w:rPr>
                <w:rStyle w:val="Hyperlink"/>
                <w:noProof/>
              </w:rPr>
              <w:t>3.1 Introduction</w:t>
            </w:r>
            <w:r w:rsidR="00C91BB8">
              <w:rPr>
                <w:noProof/>
                <w:webHidden/>
              </w:rPr>
              <w:tab/>
            </w:r>
            <w:r w:rsidR="00C91BB8">
              <w:rPr>
                <w:noProof/>
                <w:webHidden/>
              </w:rPr>
              <w:fldChar w:fldCharType="begin"/>
            </w:r>
            <w:r w:rsidR="00C91BB8">
              <w:rPr>
                <w:noProof/>
                <w:webHidden/>
              </w:rPr>
              <w:instrText xml:space="preserve"> PAGEREF _Toc238218125 \h </w:instrText>
            </w:r>
            <w:r w:rsidR="00C91BB8">
              <w:rPr>
                <w:noProof/>
                <w:webHidden/>
              </w:rPr>
            </w:r>
            <w:r w:rsidR="00C91BB8">
              <w:rPr>
                <w:noProof/>
                <w:webHidden/>
              </w:rPr>
              <w:fldChar w:fldCharType="separate"/>
            </w:r>
            <w:r w:rsidR="00C91BB8">
              <w:rPr>
                <w:noProof/>
                <w:webHidden/>
              </w:rPr>
              <w:t>16</w:t>
            </w:r>
            <w:r w:rsidR="00C91BB8">
              <w:rPr>
                <w:noProof/>
                <w:webHidden/>
              </w:rPr>
              <w:fldChar w:fldCharType="end"/>
            </w:r>
          </w:hyperlink>
        </w:p>
        <w:p w14:paraId="139A7255" w14:textId="1EDE9288" w:rsidR="00C91BB8" w:rsidRDefault="00572908">
          <w:pPr>
            <w:pStyle w:val="TOC2"/>
            <w:tabs>
              <w:tab w:val="right" w:leader="dot" w:pos="9350"/>
            </w:tabs>
            <w:rPr>
              <w:rFonts w:asciiTheme="minorHAnsi" w:eastAsiaTheme="minorEastAsia" w:hAnsiTheme="minorHAnsi"/>
              <w:noProof/>
              <w:sz w:val="22"/>
            </w:rPr>
          </w:pPr>
          <w:hyperlink w:anchor="_Toc238218126" w:history="1">
            <w:r w:rsidR="00C91BB8" w:rsidRPr="002369D2">
              <w:rPr>
                <w:rStyle w:val="Hyperlink"/>
                <w:noProof/>
              </w:rPr>
              <w:t>3.2 Research design and research rationale</w:t>
            </w:r>
            <w:r w:rsidR="00C91BB8">
              <w:rPr>
                <w:noProof/>
                <w:webHidden/>
              </w:rPr>
              <w:tab/>
            </w:r>
            <w:r w:rsidR="00C91BB8">
              <w:rPr>
                <w:noProof/>
                <w:webHidden/>
              </w:rPr>
              <w:fldChar w:fldCharType="begin"/>
            </w:r>
            <w:r w:rsidR="00C91BB8">
              <w:rPr>
                <w:noProof/>
                <w:webHidden/>
              </w:rPr>
              <w:instrText xml:space="preserve"> PAGEREF _Toc238218126 \h </w:instrText>
            </w:r>
            <w:r w:rsidR="00C91BB8">
              <w:rPr>
                <w:noProof/>
                <w:webHidden/>
              </w:rPr>
            </w:r>
            <w:r w:rsidR="00C91BB8">
              <w:rPr>
                <w:noProof/>
                <w:webHidden/>
              </w:rPr>
              <w:fldChar w:fldCharType="separate"/>
            </w:r>
            <w:r w:rsidR="00C91BB8">
              <w:rPr>
                <w:noProof/>
                <w:webHidden/>
              </w:rPr>
              <w:t>16</w:t>
            </w:r>
            <w:r w:rsidR="00C91BB8">
              <w:rPr>
                <w:noProof/>
                <w:webHidden/>
              </w:rPr>
              <w:fldChar w:fldCharType="end"/>
            </w:r>
          </w:hyperlink>
        </w:p>
        <w:p w14:paraId="2720ECDD" w14:textId="2A48EE55" w:rsidR="00C91BB8" w:rsidRDefault="00572908">
          <w:pPr>
            <w:pStyle w:val="TOC2"/>
            <w:tabs>
              <w:tab w:val="right" w:leader="dot" w:pos="9350"/>
            </w:tabs>
            <w:rPr>
              <w:rFonts w:asciiTheme="minorHAnsi" w:eastAsiaTheme="minorEastAsia" w:hAnsiTheme="minorHAnsi"/>
              <w:noProof/>
              <w:sz w:val="22"/>
            </w:rPr>
          </w:pPr>
          <w:hyperlink w:anchor="_Toc238218127" w:history="1">
            <w:r w:rsidR="00C91BB8" w:rsidRPr="002369D2">
              <w:rPr>
                <w:rStyle w:val="Hyperlink"/>
                <w:noProof/>
              </w:rPr>
              <w:t>3.3 Research position and logic of inquiry</w:t>
            </w:r>
            <w:r w:rsidR="00C91BB8">
              <w:rPr>
                <w:noProof/>
                <w:webHidden/>
              </w:rPr>
              <w:tab/>
            </w:r>
            <w:r w:rsidR="00C91BB8">
              <w:rPr>
                <w:noProof/>
                <w:webHidden/>
              </w:rPr>
              <w:fldChar w:fldCharType="begin"/>
            </w:r>
            <w:r w:rsidR="00C91BB8">
              <w:rPr>
                <w:noProof/>
                <w:webHidden/>
              </w:rPr>
              <w:instrText xml:space="preserve"> PAGEREF _Toc238218127 \h </w:instrText>
            </w:r>
            <w:r w:rsidR="00C91BB8">
              <w:rPr>
                <w:noProof/>
                <w:webHidden/>
              </w:rPr>
            </w:r>
            <w:r w:rsidR="00C91BB8">
              <w:rPr>
                <w:noProof/>
                <w:webHidden/>
              </w:rPr>
              <w:fldChar w:fldCharType="separate"/>
            </w:r>
            <w:r w:rsidR="00C91BB8">
              <w:rPr>
                <w:noProof/>
                <w:webHidden/>
              </w:rPr>
              <w:t>17</w:t>
            </w:r>
            <w:r w:rsidR="00C91BB8">
              <w:rPr>
                <w:noProof/>
                <w:webHidden/>
              </w:rPr>
              <w:fldChar w:fldCharType="end"/>
            </w:r>
          </w:hyperlink>
        </w:p>
        <w:p w14:paraId="352BA6CA" w14:textId="44A2CD5B" w:rsidR="00C91BB8" w:rsidRDefault="00572908">
          <w:pPr>
            <w:pStyle w:val="TOC2"/>
            <w:tabs>
              <w:tab w:val="right" w:leader="dot" w:pos="9350"/>
            </w:tabs>
            <w:rPr>
              <w:rFonts w:asciiTheme="minorHAnsi" w:eastAsiaTheme="minorEastAsia" w:hAnsiTheme="minorHAnsi"/>
              <w:noProof/>
              <w:sz w:val="22"/>
            </w:rPr>
          </w:pPr>
          <w:hyperlink w:anchor="_Toc238218128" w:history="1">
            <w:r w:rsidR="00C91BB8" w:rsidRPr="002369D2">
              <w:rPr>
                <w:rStyle w:val="Hyperlink"/>
                <w:noProof/>
              </w:rPr>
              <w:t>3.4 Selection of cases and boundaries</w:t>
            </w:r>
            <w:r w:rsidR="00C91BB8">
              <w:rPr>
                <w:noProof/>
                <w:webHidden/>
              </w:rPr>
              <w:tab/>
            </w:r>
            <w:r w:rsidR="00C91BB8">
              <w:rPr>
                <w:noProof/>
                <w:webHidden/>
              </w:rPr>
              <w:fldChar w:fldCharType="begin"/>
            </w:r>
            <w:r w:rsidR="00C91BB8">
              <w:rPr>
                <w:noProof/>
                <w:webHidden/>
              </w:rPr>
              <w:instrText xml:space="preserve"> PAGEREF _Toc238218128 \h </w:instrText>
            </w:r>
            <w:r w:rsidR="00C91BB8">
              <w:rPr>
                <w:noProof/>
                <w:webHidden/>
              </w:rPr>
            </w:r>
            <w:r w:rsidR="00C91BB8">
              <w:rPr>
                <w:noProof/>
                <w:webHidden/>
              </w:rPr>
              <w:fldChar w:fldCharType="separate"/>
            </w:r>
            <w:r w:rsidR="00C91BB8">
              <w:rPr>
                <w:noProof/>
                <w:webHidden/>
              </w:rPr>
              <w:t>17</w:t>
            </w:r>
            <w:r w:rsidR="00C91BB8">
              <w:rPr>
                <w:noProof/>
                <w:webHidden/>
              </w:rPr>
              <w:fldChar w:fldCharType="end"/>
            </w:r>
          </w:hyperlink>
        </w:p>
        <w:p w14:paraId="66AA5851" w14:textId="50738D42" w:rsidR="00C91BB8" w:rsidRDefault="00572908">
          <w:pPr>
            <w:pStyle w:val="TOC2"/>
            <w:tabs>
              <w:tab w:val="right" w:leader="dot" w:pos="9350"/>
            </w:tabs>
            <w:rPr>
              <w:rFonts w:asciiTheme="minorHAnsi" w:eastAsiaTheme="minorEastAsia" w:hAnsiTheme="minorHAnsi"/>
              <w:noProof/>
              <w:sz w:val="22"/>
            </w:rPr>
          </w:pPr>
          <w:hyperlink w:anchor="_Toc238218129" w:history="1">
            <w:r w:rsidR="00C91BB8" w:rsidRPr="002369D2">
              <w:rPr>
                <w:rStyle w:val="Hyperlink"/>
                <w:noProof/>
              </w:rPr>
              <w:t>3.5 Documentary corpus</w:t>
            </w:r>
            <w:r w:rsidR="00C91BB8">
              <w:rPr>
                <w:noProof/>
                <w:webHidden/>
              </w:rPr>
              <w:tab/>
            </w:r>
            <w:r w:rsidR="00C91BB8">
              <w:rPr>
                <w:noProof/>
                <w:webHidden/>
              </w:rPr>
              <w:fldChar w:fldCharType="begin"/>
            </w:r>
            <w:r w:rsidR="00C91BB8">
              <w:rPr>
                <w:noProof/>
                <w:webHidden/>
              </w:rPr>
              <w:instrText xml:space="preserve"> PAGEREF _Toc238218129 \h </w:instrText>
            </w:r>
            <w:r w:rsidR="00C91BB8">
              <w:rPr>
                <w:noProof/>
                <w:webHidden/>
              </w:rPr>
            </w:r>
            <w:r w:rsidR="00C91BB8">
              <w:rPr>
                <w:noProof/>
                <w:webHidden/>
              </w:rPr>
              <w:fldChar w:fldCharType="separate"/>
            </w:r>
            <w:r w:rsidR="00C91BB8">
              <w:rPr>
                <w:noProof/>
                <w:webHidden/>
              </w:rPr>
              <w:t>18</w:t>
            </w:r>
            <w:r w:rsidR="00C91BB8">
              <w:rPr>
                <w:noProof/>
                <w:webHidden/>
              </w:rPr>
              <w:fldChar w:fldCharType="end"/>
            </w:r>
          </w:hyperlink>
        </w:p>
        <w:p w14:paraId="300AF976" w14:textId="631774E3" w:rsidR="00C91BB8" w:rsidRDefault="00572908">
          <w:pPr>
            <w:pStyle w:val="TOC2"/>
            <w:tabs>
              <w:tab w:val="right" w:leader="dot" w:pos="9350"/>
            </w:tabs>
            <w:rPr>
              <w:rFonts w:asciiTheme="minorHAnsi" w:eastAsiaTheme="minorEastAsia" w:hAnsiTheme="minorHAnsi"/>
              <w:noProof/>
              <w:sz w:val="22"/>
            </w:rPr>
          </w:pPr>
          <w:hyperlink w:anchor="_Toc238218130" w:history="1">
            <w:r w:rsidR="00C91BB8" w:rsidRPr="002369D2">
              <w:rPr>
                <w:rStyle w:val="Hyperlink"/>
                <w:noProof/>
              </w:rPr>
              <w:t>3.6 Coding framework</w:t>
            </w:r>
            <w:r w:rsidR="00C91BB8">
              <w:rPr>
                <w:noProof/>
                <w:webHidden/>
              </w:rPr>
              <w:tab/>
            </w:r>
            <w:r w:rsidR="00C91BB8">
              <w:rPr>
                <w:noProof/>
                <w:webHidden/>
              </w:rPr>
              <w:fldChar w:fldCharType="begin"/>
            </w:r>
            <w:r w:rsidR="00C91BB8">
              <w:rPr>
                <w:noProof/>
                <w:webHidden/>
              </w:rPr>
              <w:instrText xml:space="preserve"> PAGEREF _Toc238218130 \h </w:instrText>
            </w:r>
            <w:r w:rsidR="00C91BB8">
              <w:rPr>
                <w:noProof/>
                <w:webHidden/>
              </w:rPr>
            </w:r>
            <w:r w:rsidR="00C91BB8">
              <w:rPr>
                <w:noProof/>
                <w:webHidden/>
              </w:rPr>
              <w:fldChar w:fldCharType="separate"/>
            </w:r>
            <w:r w:rsidR="00C91BB8">
              <w:rPr>
                <w:noProof/>
                <w:webHidden/>
              </w:rPr>
              <w:t>20</w:t>
            </w:r>
            <w:r w:rsidR="00C91BB8">
              <w:rPr>
                <w:noProof/>
                <w:webHidden/>
              </w:rPr>
              <w:fldChar w:fldCharType="end"/>
            </w:r>
          </w:hyperlink>
        </w:p>
        <w:p w14:paraId="3010FC22" w14:textId="3112A80D" w:rsidR="00C91BB8" w:rsidRDefault="00572908">
          <w:pPr>
            <w:pStyle w:val="TOC2"/>
            <w:tabs>
              <w:tab w:val="right" w:leader="dot" w:pos="9350"/>
            </w:tabs>
            <w:rPr>
              <w:rFonts w:asciiTheme="minorHAnsi" w:eastAsiaTheme="minorEastAsia" w:hAnsiTheme="minorHAnsi"/>
              <w:noProof/>
              <w:sz w:val="22"/>
            </w:rPr>
          </w:pPr>
          <w:hyperlink w:anchor="_Toc238218131" w:history="1">
            <w:r w:rsidR="00C91BB8" w:rsidRPr="002369D2">
              <w:rPr>
                <w:rStyle w:val="Hyperlink"/>
                <w:noProof/>
              </w:rPr>
              <w:t>3.7 Analytical procedure</w:t>
            </w:r>
            <w:r w:rsidR="00C91BB8">
              <w:rPr>
                <w:noProof/>
                <w:webHidden/>
              </w:rPr>
              <w:tab/>
            </w:r>
            <w:r w:rsidR="00C91BB8">
              <w:rPr>
                <w:noProof/>
                <w:webHidden/>
              </w:rPr>
              <w:fldChar w:fldCharType="begin"/>
            </w:r>
            <w:r w:rsidR="00C91BB8">
              <w:rPr>
                <w:noProof/>
                <w:webHidden/>
              </w:rPr>
              <w:instrText xml:space="preserve"> PAGEREF _Toc238218131 \h </w:instrText>
            </w:r>
            <w:r w:rsidR="00C91BB8">
              <w:rPr>
                <w:noProof/>
                <w:webHidden/>
              </w:rPr>
            </w:r>
            <w:r w:rsidR="00C91BB8">
              <w:rPr>
                <w:noProof/>
                <w:webHidden/>
              </w:rPr>
              <w:fldChar w:fldCharType="separate"/>
            </w:r>
            <w:r w:rsidR="00C91BB8">
              <w:rPr>
                <w:noProof/>
                <w:webHidden/>
              </w:rPr>
              <w:t>23</w:t>
            </w:r>
            <w:r w:rsidR="00C91BB8">
              <w:rPr>
                <w:noProof/>
                <w:webHidden/>
              </w:rPr>
              <w:fldChar w:fldCharType="end"/>
            </w:r>
          </w:hyperlink>
        </w:p>
        <w:p w14:paraId="16A57D25" w14:textId="2CA62141" w:rsidR="00C91BB8" w:rsidRDefault="00572908">
          <w:pPr>
            <w:pStyle w:val="TOC2"/>
            <w:tabs>
              <w:tab w:val="right" w:leader="dot" w:pos="9350"/>
            </w:tabs>
            <w:rPr>
              <w:rFonts w:asciiTheme="minorHAnsi" w:eastAsiaTheme="minorEastAsia" w:hAnsiTheme="minorHAnsi"/>
              <w:noProof/>
              <w:sz w:val="22"/>
            </w:rPr>
          </w:pPr>
          <w:hyperlink w:anchor="_Toc238218132" w:history="1">
            <w:r w:rsidR="00C91BB8" w:rsidRPr="002369D2">
              <w:rPr>
                <w:rStyle w:val="Hyperlink"/>
                <w:noProof/>
              </w:rPr>
              <w:t>3.8 Appraising evidence and trustworthiness</w:t>
            </w:r>
            <w:r w:rsidR="00C91BB8">
              <w:rPr>
                <w:noProof/>
                <w:webHidden/>
              </w:rPr>
              <w:tab/>
            </w:r>
            <w:r w:rsidR="00C91BB8">
              <w:rPr>
                <w:noProof/>
                <w:webHidden/>
              </w:rPr>
              <w:fldChar w:fldCharType="begin"/>
            </w:r>
            <w:r w:rsidR="00C91BB8">
              <w:rPr>
                <w:noProof/>
                <w:webHidden/>
              </w:rPr>
              <w:instrText xml:space="preserve"> PAGEREF _Toc238218132 \h </w:instrText>
            </w:r>
            <w:r w:rsidR="00C91BB8">
              <w:rPr>
                <w:noProof/>
                <w:webHidden/>
              </w:rPr>
            </w:r>
            <w:r w:rsidR="00C91BB8">
              <w:rPr>
                <w:noProof/>
                <w:webHidden/>
              </w:rPr>
              <w:fldChar w:fldCharType="separate"/>
            </w:r>
            <w:r w:rsidR="00C91BB8">
              <w:rPr>
                <w:noProof/>
                <w:webHidden/>
              </w:rPr>
              <w:t>26</w:t>
            </w:r>
            <w:r w:rsidR="00C91BB8">
              <w:rPr>
                <w:noProof/>
                <w:webHidden/>
              </w:rPr>
              <w:fldChar w:fldCharType="end"/>
            </w:r>
          </w:hyperlink>
        </w:p>
        <w:p w14:paraId="65BEB148" w14:textId="793A2DCD" w:rsidR="00C91BB8" w:rsidRDefault="00572908">
          <w:pPr>
            <w:pStyle w:val="TOC2"/>
            <w:tabs>
              <w:tab w:val="right" w:leader="dot" w:pos="9350"/>
            </w:tabs>
            <w:rPr>
              <w:rFonts w:asciiTheme="minorHAnsi" w:eastAsiaTheme="minorEastAsia" w:hAnsiTheme="minorHAnsi"/>
              <w:noProof/>
              <w:sz w:val="22"/>
            </w:rPr>
          </w:pPr>
          <w:hyperlink w:anchor="_Toc238218133" w:history="1">
            <w:r w:rsidR="00C91BB8" w:rsidRPr="002369D2">
              <w:rPr>
                <w:rStyle w:val="Hyperlink"/>
                <w:noProof/>
              </w:rPr>
              <w:t>3.9 Ethics and researcher reflexivity</w:t>
            </w:r>
            <w:r w:rsidR="00C91BB8">
              <w:rPr>
                <w:noProof/>
                <w:webHidden/>
              </w:rPr>
              <w:tab/>
            </w:r>
            <w:r w:rsidR="00C91BB8">
              <w:rPr>
                <w:noProof/>
                <w:webHidden/>
              </w:rPr>
              <w:fldChar w:fldCharType="begin"/>
            </w:r>
            <w:r w:rsidR="00C91BB8">
              <w:rPr>
                <w:noProof/>
                <w:webHidden/>
              </w:rPr>
              <w:instrText xml:space="preserve"> PAGEREF _Toc238218133 \h </w:instrText>
            </w:r>
            <w:r w:rsidR="00C91BB8">
              <w:rPr>
                <w:noProof/>
                <w:webHidden/>
              </w:rPr>
            </w:r>
            <w:r w:rsidR="00C91BB8">
              <w:rPr>
                <w:noProof/>
                <w:webHidden/>
              </w:rPr>
              <w:fldChar w:fldCharType="separate"/>
            </w:r>
            <w:r w:rsidR="00C91BB8">
              <w:rPr>
                <w:noProof/>
                <w:webHidden/>
              </w:rPr>
              <w:t>27</w:t>
            </w:r>
            <w:r w:rsidR="00C91BB8">
              <w:rPr>
                <w:noProof/>
                <w:webHidden/>
              </w:rPr>
              <w:fldChar w:fldCharType="end"/>
            </w:r>
          </w:hyperlink>
        </w:p>
        <w:p w14:paraId="5FA403E0" w14:textId="2B66393A" w:rsidR="00C91BB8" w:rsidRDefault="00572908">
          <w:pPr>
            <w:pStyle w:val="TOC2"/>
            <w:tabs>
              <w:tab w:val="right" w:leader="dot" w:pos="9350"/>
            </w:tabs>
            <w:rPr>
              <w:rFonts w:asciiTheme="minorHAnsi" w:eastAsiaTheme="minorEastAsia" w:hAnsiTheme="minorHAnsi"/>
              <w:noProof/>
              <w:sz w:val="22"/>
            </w:rPr>
          </w:pPr>
          <w:hyperlink w:anchor="_Toc238218134" w:history="1">
            <w:r w:rsidR="00C91BB8" w:rsidRPr="002369D2">
              <w:rPr>
                <w:rStyle w:val="Hyperlink"/>
                <w:noProof/>
              </w:rPr>
              <w:t>3.10 Methodological limitations</w:t>
            </w:r>
            <w:r w:rsidR="00C91BB8">
              <w:rPr>
                <w:noProof/>
                <w:webHidden/>
              </w:rPr>
              <w:tab/>
            </w:r>
            <w:r w:rsidR="00C91BB8">
              <w:rPr>
                <w:noProof/>
                <w:webHidden/>
              </w:rPr>
              <w:fldChar w:fldCharType="begin"/>
            </w:r>
            <w:r w:rsidR="00C91BB8">
              <w:rPr>
                <w:noProof/>
                <w:webHidden/>
              </w:rPr>
              <w:instrText xml:space="preserve"> PAGEREF _Toc238218134 \h </w:instrText>
            </w:r>
            <w:r w:rsidR="00C91BB8">
              <w:rPr>
                <w:noProof/>
                <w:webHidden/>
              </w:rPr>
            </w:r>
            <w:r w:rsidR="00C91BB8">
              <w:rPr>
                <w:noProof/>
                <w:webHidden/>
              </w:rPr>
              <w:fldChar w:fldCharType="separate"/>
            </w:r>
            <w:r w:rsidR="00C91BB8">
              <w:rPr>
                <w:noProof/>
                <w:webHidden/>
              </w:rPr>
              <w:t>28</w:t>
            </w:r>
            <w:r w:rsidR="00C91BB8">
              <w:rPr>
                <w:noProof/>
                <w:webHidden/>
              </w:rPr>
              <w:fldChar w:fldCharType="end"/>
            </w:r>
          </w:hyperlink>
        </w:p>
        <w:p w14:paraId="323597B8" w14:textId="43832A79" w:rsidR="00C91BB8" w:rsidRDefault="00572908">
          <w:pPr>
            <w:pStyle w:val="TOC2"/>
            <w:tabs>
              <w:tab w:val="right" w:leader="dot" w:pos="9350"/>
            </w:tabs>
            <w:rPr>
              <w:rFonts w:asciiTheme="minorHAnsi" w:eastAsiaTheme="minorEastAsia" w:hAnsiTheme="minorHAnsi"/>
              <w:noProof/>
              <w:sz w:val="22"/>
            </w:rPr>
          </w:pPr>
          <w:hyperlink w:anchor="_Toc238218135" w:history="1">
            <w:r w:rsidR="00C91BB8" w:rsidRPr="002369D2">
              <w:rPr>
                <w:rStyle w:val="Hyperlink"/>
                <w:noProof/>
              </w:rPr>
              <w:t>3.11 Chapter summary</w:t>
            </w:r>
            <w:r w:rsidR="00C91BB8">
              <w:rPr>
                <w:noProof/>
                <w:webHidden/>
              </w:rPr>
              <w:tab/>
            </w:r>
            <w:r w:rsidR="00C91BB8">
              <w:rPr>
                <w:noProof/>
                <w:webHidden/>
              </w:rPr>
              <w:fldChar w:fldCharType="begin"/>
            </w:r>
            <w:r w:rsidR="00C91BB8">
              <w:rPr>
                <w:noProof/>
                <w:webHidden/>
              </w:rPr>
              <w:instrText xml:space="preserve"> PAGEREF _Toc238218135 \h </w:instrText>
            </w:r>
            <w:r w:rsidR="00C91BB8">
              <w:rPr>
                <w:noProof/>
                <w:webHidden/>
              </w:rPr>
            </w:r>
            <w:r w:rsidR="00C91BB8">
              <w:rPr>
                <w:noProof/>
                <w:webHidden/>
              </w:rPr>
              <w:fldChar w:fldCharType="separate"/>
            </w:r>
            <w:r w:rsidR="00C91BB8">
              <w:rPr>
                <w:noProof/>
                <w:webHidden/>
              </w:rPr>
              <w:t>28</w:t>
            </w:r>
            <w:r w:rsidR="00C91BB8">
              <w:rPr>
                <w:noProof/>
                <w:webHidden/>
              </w:rPr>
              <w:fldChar w:fldCharType="end"/>
            </w:r>
          </w:hyperlink>
        </w:p>
        <w:p w14:paraId="4D0A4489" w14:textId="65FAF1AC" w:rsidR="00C91BB8" w:rsidRDefault="00572908">
          <w:pPr>
            <w:pStyle w:val="TOC1"/>
            <w:tabs>
              <w:tab w:val="right" w:leader="dot" w:pos="9350"/>
            </w:tabs>
            <w:rPr>
              <w:rFonts w:asciiTheme="minorHAnsi" w:eastAsiaTheme="minorEastAsia" w:hAnsiTheme="minorHAnsi"/>
              <w:noProof/>
              <w:sz w:val="22"/>
            </w:rPr>
          </w:pPr>
          <w:hyperlink w:anchor="_Toc238218136" w:history="1">
            <w:r w:rsidR="00C91BB8" w:rsidRPr="002369D2">
              <w:rPr>
                <w:rStyle w:val="Hyperlink"/>
                <w:noProof/>
              </w:rPr>
              <w:t>Chapter 4: Data Analysis</w:t>
            </w:r>
            <w:r w:rsidR="00C91BB8">
              <w:rPr>
                <w:noProof/>
                <w:webHidden/>
              </w:rPr>
              <w:tab/>
            </w:r>
            <w:r w:rsidR="00C91BB8">
              <w:rPr>
                <w:noProof/>
                <w:webHidden/>
              </w:rPr>
              <w:fldChar w:fldCharType="begin"/>
            </w:r>
            <w:r w:rsidR="00C91BB8">
              <w:rPr>
                <w:noProof/>
                <w:webHidden/>
              </w:rPr>
              <w:instrText xml:space="preserve"> PAGEREF _Toc238218136 \h </w:instrText>
            </w:r>
            <w:r w:rsidR="00C91BB8">
              <w:rPr>
                <w:noProof/>
                <w:webHidden/>
              </w:rPr>
            </w:r>
            <w:r w:rsidR="00C91BB8">
              <w:rPr>
                <w:noProof/>
                <w:webHidden/>
              </w:rPr>
              <w:fldChar w:fldCharType="separate"/>
            </w:r>
            <w:r w:rsidR="00C91BB8">
              <w:rPr>
                <w:noProof/>
                <w:webHidden/>
              </w:rPr>
              <w:t>29</w:t>
            </w:r>
            <w:r w:rsidR="00C91BB8">
              <w:rPr>
                <w:noProof/>
                <w:webHidden/>
              </w:rPr>
              <w:fldChar w:fldCharType="end"/>
            </w:r>
          </w:hyperlink>
        </w:p>
        <w:p w14:paraId="1DF41BAE" w14:textId="42CEC227" w:rsidR="00C91BB8" w:rsidRDefault="00572908">
          <w:pPr>
            <w:pStyle w:val="TOC2"/>
            <w:tabs>
              <w:tab w:val="right" w:leader="dot" w:pos="9350"/>
            </w:tabs>
            <w:rPr>
              <w:rFonts w:asciiTheme="minorHAnsi" w:eastAsiaTheme="minorEastAsia" w:hAnsiTheme="minorHAnsi"/>
              <w:noProof/>
              <w:sz w:val="22"/>
            </w:rPr>
          </w:pPr>
          <w:hyperlink w:anchor="_Toc238218137" w:history="1">
            <w:r w:rsidR="00C91BB8" w:rsidRPr="002369D2">
              <w:rPr>
                <w:rStyle w:val="Hyperlink"/>
                <w:noProof/>
              </w:rPr>
              <w:t>4.1 Introduction</w:t>
            </w:r>
            <w:r w:rsidR="00C91BB8">
              <w:rPr>
                <w:noProof/>
                <w:webHidden/>
              </w:rPr>
              <w:tab/>
            </w:r>
            <w:r w:rsidR="00C91BB8">
              <w:rPr>
                <w:noProof/>
                <w:webHidden/>
              </w:rPr>
              <w:fldChar w:fldCharType="begin"/>
            </w:r>
            <w:r w:rsidR="00C91BB8">
              <w:rPr>
                <w:noProof/>
                <w:webHidden/>
              </w:rPr>
              <w:instrText xml:space="preserve"> PAGEREF _Toc238218137 \h </w:instrText>
            </w:r>
            <w:r w:rsidR="00C91BB8">
              <w:rPr>
                <w:noProof/>
                <w:webHidden/>
              </w:rPr>
            </w:r>
            <w:r w:rsidR="00C91BB8">
              <w:rPr>
                <w:noProof/>
                <w:webHidden/>
              </w:rPr>
              <w:fldChar w:fldCharType="separate"/>
            </w:r>
            <w:r w:rsidR="00C91BB8">
              <w:rPr>
                <w:noProof/>
                <w:webHidden/>
              </w:rPr>
              <w:t>29</w:t>
            </w:r>
            <w:r w:rsidR="00C91BB8">
              <w:rPr>
                <w:noProof/>
                <w:webHidden/>
              </w:rPr>
              <w:fldChar w:fldCharType="end"/>
            </w:r>
          </w:hyperlink>
        </w:p>
        <w:p w14:paraId="38D6A8DE" w14:textId="645F74C2" w:rsidR="00C91BB8" w:rsidRDefault="00572908">
          <w:pPr>
            <w:pStyle w:val="TOC2"/>
            <w:tabs>
              <w:tab w:val="right" w:leader="dot" w:pos="9350"/>
            </w:tabs>
            <w:rPr>
              <w:rFonts w:asciiTheme="minorHAnsi" w:eastAsiaTheme="minorEastAsia" w:hAnsiTheme="minorHAnsi"/>
              <w:noProof/>
              <w:sz w:val="22"/>
            </w:rPr>
          </w:pPr>
          <w:hyperlink w:anchor="_Toc238218138" w:history="1">
            <w:r w:rsidR="00C91BB8" w:rsidRPr="002369D2">
              <w:rPr>
                <w:rStyle w:val="Hyperlink"/>
                <w:noProof/>
              </w:rPr>
              <w:t>4.2 Theme 1: Responsible sourcing became more formalised and extensive</w:t>
            </w:r>
            <w:r w:rsidR="00C91BB8">
              <w:rPr>
                <w:noProof/>
                <w:webHidden/>
              </w:rPr>
              <w:tab/>
            </w:r>
            <w:r w:rsidR="00C91BB8">
              <w:rPr>
                <w:noProof/>
                <w:webHidden/>
              </w:rPr>
              <w:fldChar w:fldCharType="begin"/>
            </w:r>
            <w:r w:rsidR="00C91BB8">
              <w:rPr>
                <w:noProof/>
                <w:webHidden/>
              </w:rPr>
              <w:instrText xml:space="preserve"> PAGEREF _Toc238218138 \h </w:instrText>
            </w:r>
            <w:r w:rsidR="00C91BB8">
              <w:rPr>
                <w:noProof/>
                <w:webHidden/>
              </w:rPr>
            </w:r>
            <w:r w:rsidR="00C91BB8">
              <w:rPr>
                <w:noProof/>
                <w:webHidden/>
              </w:rPr>
              <w:fldChar w:fldCharType="separate"/>
            </w:r>
            <w:r w:rsidR="00C91BB8">
              <w:rPr>
                <w:noProof/>
                <w:webHidden/>
              </w:rPr>
              <w:t>29</w:t>
            </w:r>
            <w:r w:rsidR="00C91BB8">
              <w:rPr>
                <w:noProof/>
                <w:webHidden/>
              </w:rPr>
              <w:fldChar w:fldCharType="end"/>
            </w:r>
          </w:hyperlink>
        </w:p>
        <w:p w14:paraId="1E193181" w14:textId="5255F468" w:rsidR="00C91BB8" w:rsidRDefault="00572908">
          <w:pPr>
            <w:pStyle w:val="TOC2"/>
            <w:tabs>
              <w:tab w:val="right" w:leader="dot" w:pos="9350"/>
            </w:tabs>
            <w:rPr>
              <w:rFonts w:asciiTheme="minorHAnsi" w:eastAsiaTheme="minorEastAsia" w:hAnsiTheme="minorHAnsi"/>
              <w:noProof/>
              <w:sz w:val="22"/>
            </w:rPr>
          </w:pPr>
          <w:hyperlink w:anchor="_Toc238218139" w:history="1">
            <w:r w:rsidR="00C91BB8" w:rsidRPr="002369D2">
              <w:rPr>
                <w:rStyle w:val="Hyperlink"/>
                <w:noProof/>
              </w:rPr>
              <w:t>4.3 Theme 2: Product and material transition expanded</w:t>
            </w:r>
            <w:r w:rsidR="00C91BB8">
              <w:rPr>
                <w:noProof/>
                <w:webHidden/>
              </w:rPr>
              <w:tab/>
            </w:r>
            <w:r w:rsidR="00C91BB8">
              <w:rPr>
                <w:noProof/>
                <w:webHidden/>
              </w:rPr>
              <w:fldChar w:fldCharType="begin"/>
            </w:r>
            <w:r w:rsidR="00C91BB8">
              <w:rPr>
                <w:noProof/>
                <w:webHidden/>
              </w:rPr>
              <w:instrText xml:space="preserve"> PAGEREF _Toc238218139 \h </w:instrText>
            </w:r>
            <w:r w:rsidR="00C91BB8">
              <w:rPr>
                <w:noProof/>
                <w:webHidden/>
              </w:rPr>
            </w:r>
            <w:r w:rsidR="00C91BB8">
              <w:rPr>
                <w:noProof/>
                <w:webHidden/>
              </w:rPr>
              <w:fldChar w:fldCharType="separate"/>
            </w:r>
            <w:r w:rsidR="00C91BB8">
              <w:rPr>
                <w:noProof/>
                <w:webHidden/>
              </w:rPr>
              <w:t>31</w:t>
            </w:r>
            <w:r w:rsidR="00C91BB8">
              <w:rPr>
                <w:noProof/>
                <w:webHidden/>
              </w:rPr>
              <w:fldChar w:fldCharType="end"/>
            </w:r>
          </w:hyperlink>
        </w:p>
        <w:p w14:paraId="478CE812" w14:textId="0B9B398D" w:rsidR="00C91BB8" w:rsidRDefault="00572908">
          <w:pPr>
            <w:pStyle w:val="TOC2"/>
            <w:tabs>
              <w:tab w:val="right" w:leader="dot" w:pos="9350"/>
            </w:tabs>
            <w:rPr>
              <w:rFonts w:asciiTheme="minorHAnsi" w:eastAsiaTheme="minorEastAsia" w:hAnsiTheme="minorHAnsi"/>
              <w:noProof/>
              <w:sz w:val="22"/>
            </w:rPr>
          </w:pPr>
          <w:hyperlink w:anchor="_Toc238218140" w:history="1">
            <w:r w:rsidR="00C91BB8" w:rsidRPr="002369D2">
              <w:rPr>
                <w:rStyle w:val="Hyperlink"/>
                <w:noProof/>
              </w:rPr>
              <w:t>4.4 Theme 3: Environmental efficiency improved, but operational effects could not be isolated</w:t>
            </w:r>
            <w:r w:rsidR="00C91BB8">
              <w:rPr>
                <w:noProof/>
                <w:webHidden/>
              </w:rPr>
              <w:tab/>
            </w:r>
            <w:r w:rsidR="00C91BB8">
              <w:rPr>
                <w:noProof/>
                <w:webHidden/>
              </w:rPr>
              <w:fldChar w:fldCharType="begin"/>
            </w:r>
            <w:r w:rsidR="00C91BB8">
              <w:rPr>
                <w:noProof/>
                <w:webHidden/>
              </w:rPr>
              <w:instrText xml:space="preserve"> PAGEREF _Toc238218140 \h </w:instrText>
            </w:r>
            <w:r w:rsidR="00C91BB8">
              <w:rPr>
                <w:noProof/>
                <w:webHidden/>
              </w:rPr>
            </w:r>
            <w:r w:rsidR="00C91BB8">
              <w:rPr>
                <w:noProof/>
                <w:webHidden/>
              </w:rPr>
              <w:fldChar w:fldCharType="separate"/>
            </w:r>
            <w:r w:rsidR="00C91BB8">
              <w:rPr>
                <w:noProof/>
                <w:webHidden/>
              </w:rPr>
              <w:t>32</w:t>
            </w:r>
            <w:r w:rsidR="00C91BB8">
              <w:rPr>
                <w:noProof/>
                <w:webHidden/>
              </w:rPr>
              <w:fldChar w:fldCharType="end"/>
            </w:r>
          </w:hyperlink>
        </w:p>
        <w:p w14:paraId="03AFDBF3" w14:textId="0E277A49" w:rsidR="00C91BB8" w:rsidRDefault="00572908">
          <w:pPr>
            <w:pStyle w:val="TOC2"/>
            <w:tabs>
              <w:tab w:val="right" w:leader="dot" w:pos="9350"/>
            </w:tabs>
            <w:rPr>
              <w:rFonts w:asciiTheme="minorHAnsi" w:eastAsiaTheme="minorEastAsia" w:hAnsiTheme="minorHAnsi"/>
              <w:noProof/>
              <w:sz w:val="22"/>
            </w:rPr>
          </w:pPr>
          <w:hyperlink w:anchor="_Toc238218141" w:history="1">
            <w:r w:rsidR="00C91BB8" w:rsidRPr="002369D2">
              <w:rPr>
                <w:rStyle w:val="Hyperlink"/>
                <w:noProof/>
              </w:rPr>
              <w:t>4.5 Theme 4: Customer-facing sustainability capability was visible, but satisfaction was not measured directly</w:t>
            </w:r>
            <w:r w:rsidR="00C91BB8">
              <w:rPr>
                <w:noProof/>
                <w:webHidden/>
              </w:rPr>
              <w:tab/>
            </w:r>
            <w:r w:rsidR="00C91BB8">
              <w:rPr>
                <w:noProof/>
                <w:webHidden/>
              </w:rPr>
              <w:fldChar w:fldCharType="begin"/>
            </w:r>
            <w:r w:rsidR="00C91BB8">
              <w:rPr>
                <w:noProof/>
                <w:webHidden/>
              </w:rPr>
              <w:instrText xml:space="preserve"> PAGEREF _Toc238218141 \h </w:instrText>
            </w:r>
            <w:r w:rsidR="00C91BB8">
              <w:rPr>
                <w:noProof/>
                <w:webHidden/>
              </w:rPr>
            </w:r>
            <w:r w:rsidR="00C91BB8">
              <w:rPr>
                <w:noProof/>
                <w:webHidden/>
              </w:rPr>
              <w:fldChar w:fldCharType="separate"/>
            </w:r>
            <w:r w:rsidR="00C91BB8">
              <w:rPr>
                <w:noProof/>
                <w:webHidden/>
              </w:rPr>
              <w:t>33</w:t>
            </w:r>
            <w:r w:rsidR="00C91BB8">
              <w:rPr>
                <w:noProof/>
                <w:webHidden/>
              </w:rPr>
              <w:fldChar w:fldCharType="end"/>
            </w:r>
          </w:hyperlink>
        </w:p>
        <w:p w14:paraId="0C95B1DA" w14:textId="385267A2" w:rsidR="00C91BB8" w:rsidRDefault="00572908">
          <w:pPr>
            <w:pStyle w:val="TOC2"/>
            <w:tabs>
              <w:tab w:val="right" w:leader="dot" w:pos="9350"/>
            </w:tabs>
            <w:rPr>
              <w:rFonts w:asciiTheme="minorHAnsi" w:eastAsiaTheme="minorEastAsia" w:hAnsiTheme="minorHAnsi"/>
              <w:noProof/>
              <w:sz w:val="22"/>
            </w:rPr>
          </w:pPr>
          <w:hyperlink w:anchor="_Toc238218142" w:history="1">
            <w:r w:rsidR="00C91BB8" w:rsidRPr="002369D2">
              <w:rPr>
                <w:rStyle w:val="Hyperlink"/>
                <w:noProof/>
              </w:rPr>
              <w:t>4.6 Cross-source synthesis</w:t>
            </w:r>
            <w:r w:rsidR="00C91BB8">
              <w:rPr>
                <w:noProof/>
                <w:webHidden/>
              </w:rPr>
              <w:tab/>
            </w:r>
            <w:r w:rsidR="00C91BB8">
              <w:rPr>
                <w:noProof/>
                <w:webHidden/>
              </w:rPr>
              <w:fldChar w:fldCharType="begin"/>
            </w:r>
            <w:r w:rsidR="00C91BB8">
              <w:rPr>
                <w:noProof/>
                <w:webHidden/>
              </w:rPr>
              <w:instrText xml:space="preserve"> PAGEREF _Toc238218142 \h </w:instrText>
            </w:r>
            <w:r w:rsidR="00C91BB8">
              <w:rPr>
                <w:noProof/>
                <w:webHidden/>
              </w:rPr>
            </w:r>
            <w:r w:rsidR="00C91BB8">
              <w:rPr>
                <w:noProof/>
                <w:webHidden/>
              </w:rPr>
              <w:fldChar w:fldCharType="separate"/>
            </w:r>
            <w:r w:rsidR="00C91BB8">
              <w:rPr>
                <w:noProof/>
                <w:webHidden/>
              </w:rPr>
              <w:t>35</w:t>
            </w:r>
            <w:r w:rsidR="00C91BB8">
              <w:rPr>
                <w:noProof/>
                <w:webHidden/>
              </w:rPr>
              <w:fldChar w:fldCharType="end"/>
            </w:r>
          </w:hyperlink>
        </w:p>
        <w:p w14:paraId="65D4B0FD" w14:textId="6C44A02B" w:rsidR="00C91BB8" w:rsidRDefault="00572908">
          <w:pPr>
            <w:pStyle w:val="TOC2"/>
            <w:tabs>
              <w:tab w:val="right" w:leader="dot" w:pos="9350"/>
            </w:tabs>
            <w:rPr>
              <w:rFonts w:asciiTheme="minorHAnsi" w:eastAsiaTheme="minorEastAsia" w:hAnsiTheme="minorHAnsi"/>
              <w:noProof/>
              <w:sz w:val="22"/>
            </w:rPr>
          </w:pPr>
          <w:hyperlink w:anchor="_Toc238218143" w:history="1">
            <w:r w:rsidR="00C91BB8" w:rsidRPr="002369D2">
              <w:rPr>
                <w:rStyle w:val="Hyperlink"/>
                <w:noProof/>
              </w:rPr>
              <w:t>4.7 Findings against the research questions</w:t>
            </w:r>
            <w:r w:rsidR="00C91BB8">
              <w:rPr>
                <w:noProof/>
                <w:webHidden/>
              </w:rPr>
              <w:tab/>
            </w:r>
            <w:r w:rsidR="00C91BB8">
              <w:rPr>
                <w:noProof/>
                <w:webHidden/>
              </w:rPr>
              <w:fldChar w:fldCharType="begin"/>
            </w:r>
            <w:r w:rsidR="00C91BB8">
              <w:rPr>
                <w:noProof/>
                <w:webHidden/>
              </w:rPr>
              <w:instrText xml:space="preserve"> PAGEREF _Toc238218143 \h </w:instrText>
            </w:r>
            <w:r w:rsidR="00C91BB8">
              <w:rPr>
                <w:noProof/>
                <w:webHidden/>
              </w:rPr>
            </w:r>
            <w:r w:rsidR="00C91BB8">
              <w:rPr>
                <w:noProof/>
                <w:webHidden/>
              </w:rPr>
              <w:fldChar w:fldCharType="separate"/>
            </w:r>
            <w:r w:rsidR="00C91BB8">
              <w:rPr>
                <w:noProof/>
                <w:webHidden/>
              </w:rPr>
              <w:t>37</w:t>
            </w:r>
            <w:r w:rsidR="00C91BB8">
              <w:rPr>
                <w:noProof/>
                <w:webHidden/>
              </w:rPr>
              <w:fldChar w:fldCharType="end"/>
            </w:r>
          </w:hyperlink>
        </w:p>
        <w:p w14:paraId="2B96CDFA" w14:textId="5E8F4692" w:rsidR="00C91BB8" w:rsidRDefault="00572908">
          <w:pPr>
            <w:pStyle w:val="TOC2"/>
            <w:tabs>
              <w:tab w:val="right" w:leader="dot" w:pos="9350"/>
            </w:tabs>
            <w:rPr>
              <w:rFonts w:asciiTheme="minorHAnsi" w:eastAsiaTheme="minorEastAsia" w:hAnsiTheme="minorHAnsi"/>
              <w:noProof/>
              <w:sz w:val="22"/>
            </w:rPr>
          </w:pPr>
          <w:hyperlink w:anchor="_Toc238218144" w:history="1">
            <w:r w:rsidR="00C91BB8" w:rsidRPr="002369D2">
              <w:rPr>
                <w:rStyle w:val="Hyperlink"/>
                <w:noProof/>
              </w:rPr>
              <w:t>4.8 Chapter summary</w:t>
            </w:r>
            <w:r w:rsidR="00C91BB8">
              <w:rPr>
                <w:noProof/>
                <w:webHidden/>
              </w:rPr>
              <w:tab/>
            </w:r>
            <w:r w:rsidR="00C91BB8">
              <w:rPr>
                <w:noProof/>
                <w:webHidden/>
              </w:rPr>
              <w:fldChar w:fldCharType="begin"/>
            </w:r>
            <w:r w:rsidR="00C91BB8">
              <w:rPr>
                <w:noProof/>
                <w:webHidden/>
              </w:rPr>
              <w:instrText xml:space="preserve"> PAGEREF _Toc238218144 \h </w:instrText>
            </w:r>
            <w:r w:rsidR="00C91BB8">
              <w:rPr>
                <w:noProof/>
                <w:webHidden/>
              </w:rPr>
            </w:r>
            <w:r w:rsidR="00C91BB8">
              <w:rPr>
                <w:noProof/>
                <w:webHidden/>
              </w:rPr>
              <w:fldChar w:fldCharType="separate"/>
            </w:r>
            <w:r w:rsidR="00C91BB8">
              <w:rPr>
                <w:noProof/>
                <w:webHidden/>
              </w:rPr>
              <w:t>37</w:t>
            </w:r>
            <w:r w:rsidR="00C91BB8">
              <w:rPr>
                <w:noProof/>
                <w:webHidden/>
              </w:rPr>
              <w:fldChar w:fldCharType="end"/>
            </w:r>
          </w:hyperlink>
        </w:p>
        <w:p w14:paraId="5368B128" w14:textId="55FA222F" w:rsidR="00C91BB8" w:rsidRDefault="00572908">
          <w:pPr>
            <w:pStyle w:val="TOC1"/>
            <w:tabs>
              <w:tab w:val="right" w:leader="dot" w:pos="9350"/>
            </w:tabs>
            <w:rPr>
              <w:rFonts w:asciiTheme="minorHAnsi" w:eastAsiaTheme="minorEastAsia" w:hAnsiTheme="minorHAnsi"/>
              <w:noProof/>
              <w:sz w:val="22"/>
            </w:rPr>
          </w:pPr>
          <w:hyperlink w:anchor="_Toc238218145" w:history="1">
            <w:r w:rsidR="00C91BB8" w:rsidRPr="002369D2">
              <w:rPr>
                <w:rStyle w:val="Hyperlink"/>
                <w:noProof/>
              </w:rPr>
              <w:t>Chapter 5: Discussion</w:t>
            </w:r>
            <w:r w:rsidR="00C91BB8">
              <w:rPr>
                <w:noProof/>
                <w:webHidden/>
              </w:rPr>
              <w:tab/>
            </w:r>
            <w:r w:rsidR="00C91BB8">
              <w:rPr>
                <w:noProof/>
                <w:webHidden/>
              </w:rPr>
              <w:fldChar w:fldCharType="begin"/>
            </w:r>
            <w:r w:rsidR="00C91BB8">
              <w:rPr>
                <w:noProof/>
                <w:webHidden/>
              </w:rPr>
              <w:instrText xml:space="preserve"> PAGEREF _Toc238218145 \h </w:instrText>
            </w:r>
            <w:r w:rsidR="00C91BB8">
              <w:rPr>
                <w:noProof/>
                <w:webHidden/>
              </w:rPr>
            </w:r>
            <w:r w:rsidR="00C91BB8">
              <w:rPr>
                <w:noProof/>
                <w:webHidden/>
              </w:rPr>
              <w:fldChar w:fldCharType="separate"/>
            </w:r>
            <w:r w:rsidR="00C91BB8">
              <w:rPr>
                <w:noProof/>
                <w:webHidden/>
              </w:rPr>
              <w:t>38</w:t>
            </w:r>
            <w:r w:rsidR="00C91BB8">
              <w:rPr>
                <w:noProof/>
                <w:webHidden/>
              </w:rPr>
              <w:fldChar w:fldCharType="end"/>
            </w:r>
          </w:hyperlink>
        </w:p>
        <w:p w14:paraId="7261345A" w14:textId="64CA0351" w:rsidR="00C91BB8" w:rsidRDefault="00572908">
          <w:pPr>
            <w:pStyle w:val="TOC2"/>
            <w:tabs>
              <w:tab w:val="right" w:leader="dot" w:pos="9350"/>
            </w:tabs>
            <w:rPr>
              <w:rFonts w:asciiTheme="minorHAnsi" w:eastAsiaTheme="minorEastAsia" w:hAnsiTheme="minorHAnsi"/>
              <w:noProof/>
              <w:sz w:val="22"/>
            </w:rPr>
          </w:pPr>
          <w:hyperlink w:anchor="_Toc238218146" w:history="1">
            <w:r w:rsidR="00C91BB8" w:rsidRPr="002369D2">
              <w:rPr>
                <w:rStyle w:val="Hyperlink"/>
                <w:noProof/>
              </w:rPr>
              <w:t>5.1 Introduction</w:t>
            </w:r>
            <w:r w:rsidR="00C91BB8">
              <w:rPr>
                <w:noProof/>
                <w:webHidden/>
              </w:rPr>
              <w:tab/>
            </w:r>
            <w:r w:rsidR="00C91BB8">
              <w:rPr>
                <w:noProof/>
                <w:webHidden/>
              </w:rPr>
              <w:fldChar w:fldCharType="begin"/>
            </w:r>
            <w:r w:rsidR="00C91BB8">
              <w:rPr>
                <w:noProof/>
                <w:webHidden/>
              </w:rPr>
              <w:instrText xml:space="preserve"> PAGEREF _Toc238218146 \h </w:instrText>
            </w:r>
            <w:r w:rsidR="00C91BB8">
              <w:rPr>
                <w:noProof/>
                <w:webHidden/>
              </w:rPr>
            </w:r>
            <w:r w:rsidR="00C91BB8">
              <w:rPr>
                <w:noProof/>
                <w:webHidden/>
              </w:rPr>
              <w:fldChar w:fldCharType="separate"/>
            </w:r>
            <w:r w:rsidR="00C91BB8">
              <w:rPr>
                <w:noProof/>
                <w:webHidden/>
              </w:rPr>
              <w:t>38</w:t>
            </w:r>
            <w:r w:rsidR="00C91BB8">
              <w:rPr>
                <w:noProof/>
                <w:webHidden/>
              </w:rPr>
              <w:fldChar w:fldCharType="end"/>
            </w:r>
          </w:hyperlink>
        </w:p>
        <w:p w14:paraId="16226552" w14:textId="231A2642" w:rsidR="00C91BB8" w:rsidRDefault="00572908">
          <w:pPr>
            <w:pStyle w:val="TOC2"/>
            <w:tabs>
              <w:tab w:val="right" w:leader="dot" w:pos="9350"/>
            </w:tabs>
            <w:rPr>
              <w:rFonts w:asciiTheme="minorHAnsi" w:eastAsiaTheme="minorEastAsia" w:hAnsiTheme="minorHAnsi"/>
              <w:noProof/>
              <w:sz w:val="22"/>
            </w:rPr>
          </w:pPr>
          <w:hyperlink w:anchor="_Toc238218147" w:history="1">
            <w:r w:rsidR="00C91BB8" w:rsidRPr="002369D2">
              <w:rPr>
                <w:rStyle w:val="Hyperlink"/>
                <w:noProof/>
              </w:rPr>
              <w:t>5.2 RQ1: Which SSCM practices are evidenced at Bunzl plc?</w:t>
            </w:r>
            <w:r w:rsidR="00C91BB8">
              <w:rPr>
                <w:noProof/>
                <w:webHidden/>
              </w:rPr>
              <w:tab/>
            </w:r>
            <w:r w:rsidR="00C91BB8">
              <w:rPr>
                <w:noProof/>
                <w:webHidden/>
              </w:rPr>
              <w:fldChar w:fldCharType="begin"/>
            </w:r>
            <w:r w:rsidR="00C91BB8">
              <w:rPr>
                <w:noProof/>
                <w:webHidden/>
              </w:rPr>
              <w:instrText xml:space="preserve"> PAGEREF _Toc238218147 \h </w:instrText>
            </w:r>
            <w:r w:rsidR="00C91BB8">
              <w:rPr>
                <w:noProof/>
                <w:webHidden/>
              </w:rPr>
            </w:r>
            <w:r w:rsidR="00C91BB8">
              <w:rPr>
                <w:noProof/>
                <w:webHidden/>
              </w:rPr>
              <w:fldChar w:fldCharType="separate"/>
            </w:r>
            <w:r w:rsidR="00C91BB8">
              <w:rPr>
                <w:noProof/>
                <w:webHidden/>
              </w:rPr>
              <w:t>38</w:t>
            </w:r>
            <w:r w:rsidR="00C91BB8">
              <w:rPr>
                <w:noProof/>
                <w:webHidden/>
              </w:rPr>
              <w:fldChar w:fldCharType="end"/>
            </w:r>
          </w:hyperlink>
        </w:p>
        <w:p w14:paraId="4095C1BF" w14:textId="3D934E16" w:rsidR="00C91BB8" w:rsidRDefault="00572908">
          <w:pPr>
            <w:pStyle w:val="TOC2"/>
            <w:tabs>
              <w:tab w:val="right" w:leader="dot" w:pos="9350"/>
            </w:tabs>
            <w:rPr>
              <w:rFonts w:asciiTheme="minorHAnsi" w:eastAsiaTheme="minorEastAsia" w:hAnsiTheme="minorHAnsi"/>
              <w:noProof/>
              <w:sz w:val="22"/>
            </w:rPr>
          </w:pPr>
          <w:hyperlink w:anchor="_Toc238218148" w:history="1">
            <w:r w:rsidR="00C91BB8" w:rsidRPr="002369D2">
              <w:rPr>
                <w:rStyle w:val="Hyperlink"/>
                <w:noProof/>
              </w:rPr>
              <w:t>5.3 RQ2: How does SSCM contribute to operational performance?</w:t>
            </w:r>
            <w:r w:rsidR="00C91BB8">
              <w:rPr>
                <w:noProof/>
                <w:webHidden/>
              </w:rPr>
              <w:tab/>
            </w:r>
            <w:r w:rsidR="00C91BB8">
              <w:rPr>
                <w:noProof/>
                <w:webHidden/>
              </w:rPr>
              <w:fldChar w:fldCharType="begin"/>
            </w:r>
            <w:r w:rsidR="00C91BB8">
              <w:rPr>
                <w:noProof/>
                <w:webHidden/>
              </w:rPr>
              <w:instrText xml:space="preserve"> PAGEREF _Toc238218148 \h </w:instrText>
            </w:r>
            <w:r w:rsidR="00C91BB8">
              <w:rPr>
                <w:noProof/>
                <w:webHidden/>
              </w:rPr>
            </w:r>
            <w:r w:rsidR="00C91BB8">
              <w:rPr>
                <w:noProof/>
                <w:webHidden/>
              </w:rPr>
              <w:fldChar w:fldCharType="separate"/>
            </w:r>
            <w:r w:rsidR="00C91BB8">
              <w:rPr>
                <w:noProof/>
                <w:webHidden/>
              </w:rPr>
              <w:t>39</w:t>
            </w:r>
            <w:r w:rsidR="00C91BB8">
              <w:rPr>
                <w:noProof/>
                <w:webHidden/>
              </w:rPr>
              <w:fldChar w:fldCharType="end"/>
            </w:r>
          </w:hyperlink>
        </w:p>
        <w:p w14:paraId="4C3696C0" w14:textId="0000AC6D" w:rsidR="00C91BB8" w:rsidRDefault="00572908">
          <w:pPr>
            <w:pStyle w:val="TOC2"/>
            <w:tabs>
              <w:tab w:val="right" w:leader="dot" w:pos="9350"/>
            </w:tabs>
            <w:rPr>
              <w:rFonts w:asciiTheme="minorHAnsi" w:eastAsiaTheme="minorEastAsia" w:hAnsiTheme="minorHAnsi"/>
              <w:noProof/>
              <w:sz w:val="22"/>
            </w:rPr>
          </w:pPr>
          <w:hyperlink w:anchor="_Toc238218149" w:history="1">
            <w:r w:rsidR="00C91BB8" w:rsidRPr="002369D2">
              <w:rPr>
                <w:rStyle w:val="Hyperlink"/>
                <w:noProof/>
              </w:rPr>
              <w:t>5.4 RQ3: What evidence links SSCM to customer satisfaction or customer-related value?</w:t>
            </w:r>
            <w:r w:rsidR="00C91BB8">
              <w:rPr>
                <w:noProof/>
                <w:webHidden/>
              </w:rPr>
              <w:tab/>
            </w:r>
            <w:r w:rsidR="00C91BB8">
              <w:rPr>
                <w:noProof/>
                <w:webHidden/>
              </w:rPr>
              <w:fldChar w:fldCharType="begin"/>
            </w:r>
            <w:r w:rsidR="00C91BB8">
              <w:rPr>
                <w:noProof/>
                <w:webHidden/>
              </w:rPr>
              <w:instrText xml:space="preserve"> PAGEREF _Toc238218149 \h </w:instrText>
            </w:r>
            <w:r w:rsidR="00C91BB8">
              <w:rPr>
                <w:noProof/>
                <w:webHidden/>
              </w:rPr>
            </w:r>
            <w:r w:rsidR="00C91BB8">
              <w:rPr>
                <w:noProof/>
                <w:webHidden/>
              </w:rPr>
              <w:fldChar w:fldCharType="separate"/>
            </w:r>
            <w:r w:rsidR="00C91BB8">
              <w:rPr>
                <w:noProof/>
                <w:webHidden/>
              </w:rPr>
              <w:t>41</w:t>
            </w:r>
            <w:r w:rsidR="00C91BB8">
              <w:rPr>
                <w:noProof/>
                <w:webHidden/>
              </w:rPr>
              <w:fldChar w:fldCharType="end"/>
            </w:r>
          </w:hyperlink>
        </w:p>
        <w:p w14:paraId="65421FD6" w14:textId="393C9AAD" w:rsidR="00C91BB8" w:rsidRDefault="00572908">
          <w:pPr>
            <w:pStyle w:val="TOC2"/>
            <w:tabs>
              <w:tab w:val="right" w:leader="dot" w:pos="9350"/>
            </w:tabs>
            <w:rPr>
              <w:rFonts w:asciiTheme="minorHAnsi" w:eastAsiaTheme="minorEastAsia" w:hAnsiTheme="minorHAnsi"/>
              <w:noProof/>
              <w:sz w:val="22"/>
            </w:rPr>
          </w:pPr>
          <w:hyperlink w:anchor="_Toc238218150" w:history="1">
            <w:r w:rsidR="00C91BB8" w:rsidRPr="002369D2">
              <w:rPr>
                <w:rStyle w:val="Hyperlink"/>
                <w:noProof/>
              </w:rPr>
              <w:t>5.5 Theoretical contribution</w:t>
            </w:r>
            <w:r w:rsidR="00C91BB8">
              <w:rPr>
                <w:noProof/>
                <w:webHidden/>
              </w:rPr>
              <w:tab/>
            </w:r>
            <w:r w:rsidR="00C91BB8">
              <w:rPr>
                <w:noProof/>
                <w:webHidden/>
              </w:rPr>
              <w:fldChar w:fldCharType="begin"/>
            </w:r>
            <w:r w:rsidR="00C91BB8">
              <w:rPr>
                <w:noProof/>
                <w:webHidden/>
              </w:rPr>
              <w:instrText xml:space="preserve"> PAGEREF _Toc238218150 \h </w:instrText>
            </w:r>
            <w:r w:rsidR="00C91BB8">
              <w:rPr>
                <w:noProof/>
                <w:webHidden/>
              </w:rPr>
            </w:r>
            <w:r w:rsidR="00C91BB8">
              <w:rPr>
                <w:noProof/>
                <w:webHidden/>
              </w:rPr>
              <w:fldChar w:fldCharType="separate"/>
            </w:r>
            <w:r w:rsidR="00C91BB8">
              <w:rPr>
                <w:noProof/>
                <w:webHidden/>
              </w:rPr>
              <w:t>42</w:t>
            </w:r>
            <w:r w:rsidR="00C91BB8">
              <w:rPr>
                <w:noProof/>
                <w:webHidden/>
              </w:rPr>
              <w:fldChar w:fldCharType="end"/>
            </w:r>
          </w:hyperlink>
        </w:p>
        <w:p w14:paraId="34CC37A6" w14:textId="51E4034C" w:rsidR="00C91BB8" w:rsidRDefault="00572908">
          <w:pPr>
            <w:pStyle w:val="TOC2"/>
            <w:tabs>
              <w:tab w:val="right" w:leader="dot" w:pos="9350"/>
            </w:tabs>
            <w:rPr>
              <w:rFonts w:asciiTheme="minorHAnsi" w:eastAsiaTheme="minorEastAsia" w:hAnsiTheme="minorHAnsi"/>
              <w:noProof/>
              <w:sz w:val="22"/>
            </w:rPr>
          </w:pPr>
          <w:hyperlink w:anchor="_Toc238218151" w:history="1">
            <w:r w:rsidR="00C91BB8" w:rsidRPr="002369D2">
              <w:rPr>
                <w:rStyle w:val="Hyperlink"/>
                <w:noProof/>
              </w:rPr>
              <w:t>5.6 Managerial implications</w:t>
            </w:r>
            <w:r w:rsidR="00C91BB8">
              <w:rPr>
                <w:noProof/>
                <w:webHidden/>
              </w:rPr>
              <w:tab/>
            </w:r>
            <w:r w:rsidR="00C91BB8">
              <w:rPr>
                <w:noProof/>
                <w:webHidden/>
              </w:rPr>
              <w:fldChar w:fldCharType="begin"/>
            </w:r>
            <w:r w:rsidR="00C91BB8">
              <w:rPr>
                <w:noProof/>
                <w:webHidden/>
              </w:rPr>
              <w:instrText xml:space="preserve"> PAGEREF _Toc238218151 \h </w:instrText>
            </w:r>
            <w:r w:rsidR="00C91BB8">
              <w:rPr>
                <w:noProof/>
                <w:webHidden/>
              </w:rPr>
            </w:r>
            <w:r w:rsidR="00C91BB8">
              <w:rPr>
                <w:noProof/>
                <w:webHidden/>
              </w:rPr>
              <w:fldChar w:fldCharType="separate"/>
            </w:r>
            <w:r w:rsidR="00C91BB8">
              <w:rPr>
                <w:noProof/>
                <w:webHidden/>
              </w:rPr>
              <w:t>43</w:t>
            </w:r>
            <w:r w:rsidR="00C91BB8">
              <w:rPr>
                <w:noProof/>
                <w:webHidden/>
              </w:rPr>
              <w:fldChar w:fldCharType="end"/>
            </w:r>
          </w:hyperlink>
        </w:p>
        <w:p w14:paraId="197FAC28" w14:textId="4ECB0F30" w:rsidR="00C91BB8" w:rsidRDefault="00572908">
          <w:pPr>
            <w:pStyle w:val="TOC2"/>
            <w:tabs>
              <w:tab w:val="right" w:leader="dot" w:pos="9350"/>
            </w:tabs>
            <w:rPr>
              <w:rFonts w:asciiTheme="minorHAnsi" w:eastAsiaTheme="minorEastAsia" w:hAnsiTheme="minorHAnsi"/>
              <w:noProof/>
              <w:sz w:val="22"/>
            </w:rPr>
          </w:pPr>
          <w:hyperlink w:anchor="_Toc238218152" w:history="1">
            <w:r w:rsidR="00C91BB8" w:rsidRPr="002369D2">
              <w:rPr>
                <w:rStyle w:val="Hyperlink"/>
                <w:noProof/>
              </w:rPr>
              <w:t>5.7 Chapter summary</w:t>
            </w:r>
            <w:r w:rsidR="00C91BB8">
              <w:rPr>
                <w:noProof/>
                <w:webHidden/>
              </w:rPr>
              <w:tab/>
            </w:r>
            <w:r w:rsidR="00C91BB8">
              <w:rPr>
                <w:noProof/>
                <w:webHidden/>
              </w:rPr>
              <w:fldChar w:fldCharType="begin"/>
            </w:r>
            <w:r w:rsidR="00C91BB8">
              <w:rPr>
                <w:noProof/>
                <w:webHidden/>
              </w:rPr>
              <w:instrText xml:space="preserve"> PAGEREF _Toc238218152 \h </w:instrText>
            </w:r>
            <w:r w:rsidR="00C91BB8">
              <w:rPr>
                <w:noProof/>
                <w:webHidden/>
              </w:rPr>
            </w:r>
            <w:r w:rsidR="00C91BB8">
              <w:rPr>
                <w:noProof/>
                <w:webHidden/>
              </w:rPr>
              <w:fldChar w:fldCharType="separate"/>
            </w:r>
            <w:r w:rsidR="00C91BB8">
              <w:rPr>
                <w:noProof/>
                <w:webHidden/>
              </w:rPr>
              <w:t>44</w:t>
            </w:r>
            <w:r w:rsidR="00C91BB8">
              <w:rPr>
                <w:noProof/>
                <w:webHidden/>
              </w:rPr>
              <w:fldChar w:fldCharType="end"/>
            </w:r>
          </w:hyperlink>
        </w:p>
        <w:p w14:paraId="51FC2DA2" w14:textId="12B544D8" w:rsidR="00C91BB8" w:rsidRDefault="00572908">
          <w:pPr>
            <w:pStyle w:val="TOC1"/>
            <w:tabs>
              <w:tab w:val="right" w:leader="dot" w:pos="9350"/>
            </w:tabs>
            <w:rPr>
              <w:rFonts w:asciiTheme="minorHAnsi" w:eastAsiaTheme="minorEastAsia" w:hAnsiTheme="minorHAnsi"/>
              <w:noProof/>
              <w:sz w:val="22"/>
            </w:rPr>
          </w:pPr>
          <w:hyperlink w:anchor="_Toc238218153" w:history="1">
            <w:r w:rsidR="00C91BB8" w:rsidRPr="002369D2">
              <w:rPr>
                <w:rStyle w:val="Hyperlink"/>
                <w:noProof/>
              </w:rPr>
              <w:t>Chapter 6: Recommendations</w:t>
            </w:r>
            <w:r w:rsidR="00C91BB8">
              <w:rPr>
                <w:noProof/>
                <w:webHidden/>
              </w:rPr>
              <w:tab/>
            </w:r>
            <w:r w:rsidR="00C91BB8">
              <w:rPr>
                <w:noProof/>
                <w:webHidden/>
              </w:rPr>
              <w:fldChar w:fldCharType="begin"/>
            </w:r>
            <w:r w:rsidR="00C91BB8">
              <w:rPr>
                <w:noProof/>
                <w:webHidden/>
              </w:rPr>
              <w:instrText xml:space="preserve"> PAGEREF _Toc238218153 \h </w:instrText>
            </w:r>
            <w:r w:rsidR="00C91BB8">
              <w:rPr>
                <w:noProof/>
                <w:webHidden/>
              </w:rPr>
            </w:r>
            <w:r w:rsidR="00C91BB8">
              <w:rPr>
                <w:noProof/>
                <w:webHidden/>
              </w:rPr>
              <w:fldChar w:fldCharType="separate"/>
            </w:r>
            <w:r w:rsidR="00C91BB8">
              <w:rPr>
                <w:noProof/>
                <w:webHidden/>
              </w:rPr>
              <w:t>45</w:t>
            </w:r>
            <w:r w:rsidR="00C91BB8">
              <w:rPr>
                <w:noProof/>
                <w:webHidden/>
              </w:rPr>
              <w:fldChar w:fldCharType="end"/>
            </w:r>
          </w:hyperlink>
        </w:p>
        <w:p w14:paraId="526F750B" w14:textId="2C5BC4A9" w:rsidR="00C91BB8" w:rsidRDefault="00572908">
          <w:pPr>
            <w:pStyle w:val="TOC2"/>
            <w:tabs>
              <w:tab w:val="right" w:leader="dot" w:pos="9350"/>
            </w:tabs>
            <w:rPr>
              <w:rFonts w:asciiTheme="minorHAnsi" w:eastAsiaTheme="minorEastAsia" w:hAnsiTheme="minorHAnsi"/>
              <w:noProof/>
              <w:sz w:val="22"/>
            </w:rPr>
          </w:pPr>
          <w:hyperlink w:anchor="_Toc238218154" w:history="1">
            <w:r w:rsidR="00C91BB8" w:rsidRPr="002369D2">
              <w:rPr>
                <w:rStyle w:val="Hyperlink"/>
                <w:noProof/>
              </w:rPr>
              <w:t>6.1 Introduction</w:t>
            </w:r>
            <w:r w:rsidR="00C91BB8">
              <w:rPr>
                <w:noProof/>
                <w:webHidden/>
              </w:rPr>
              <w:tab/>
            </w:r>
            <w:r w:rsidR="00C91BB8">
              <w:rPr>
                <w:noProof/>
                <w:webHidden/>
              </w:rPr>
              <w:fldChar w:fldCharType="begin"/>
            </w:r>
            <w:r w:rsidR="00C91BB8">
              <w:rPr>
                <w:noProof/>
                <w:webHidden/>
              </w:rPr>
              <w:instrText xml:space="preserve"> PAGEREF _Toc238218154 \h </w:instrText>
            </w:r>
            <w:r w:rsidR="00C91BB8">
              <w:rPr>
                <w:noProof/>
                <w:webHidden/>
              </w:rPr>
            </w:r>
            <w:r w:rsidR="00C91BB8">
              <w:rPr>
                <w:noProof/>
                <w:webHidden/>
              </w:rPr>
              <w:fldChar w:fldCharType="separate"/>
            </w:r>
            <w:r w:rsidR="00C91BB8">
              <w:rPr>
                <w:noProof/>
                <w:webHidden/>
              </w:rPr>
              <w:t>45</w:t>
            </w:r>
            <w:r w:rsidR="00C91BB8">
              <w:rPr>
                <w:noProof/>
                <w:webHidden/>
              </w:rPr>
              <w:fldChar w:fldCharType="end"/>
            </w:r>
          </w:hyperlink>
        </w:p>
        <w:p w14:paraId="18EA14FE" w14:textId="2807839A" w:rsidR="00C91BB8" w:rsidRDefault="00572908">
          <w:pPr>
            <w:pStyle w:val="TOC2"/>
            <w:tabs>
              <w:tab w:val="right" w:leader="dot" w:pos="9350"/>
            </w:tabs>
            <w:rPr>
              <w:rFonts w:asciiTheme="minorHAnsi" w:eastAsiaTheme="minorEastAsia" w:hAnsiTheme="minorHAnsi"/>
              <w:noProof/>
              <w:sz w:val="22"/>
            </w:rPr>
          </w:pPr>
          <w:hyperlink w:anchor="_Toc238218155" w:history="1">
            <w:r w:rsidR="00C91BB8" w:rsidRPr="002369D2">
              <w:rPr>
                <w:rStyle w:val="Hyperlink"/>
                <w:noProof/>
              </w:rPr>
              <w:t>6.2 Recommendation 1: Establish a connected performance architecture</w:t>
            </w:r>
            <w:r w:rsidR="00C91BB8">
              <w:rPr>
                <w:noProof/>
                <w:webHidden/>
              </w:rPr>
              <w:tab/>
            </w:r>
            <w:r w:rsidR="00C91BB8">
              <w:rPr>
                <w:noProof/>
                <w:webHidden/>
              </w:rPr>
              <w:fldChar w:fldCharType="begin"/>
            </w:r>
            <w:r w:rsidR="00C91BB8">
              <w:rPr>
                <w:noProof/>
                <w:webHidden/>
              </w:rPr>
              <w:instrText xml:space="preserve"> PAGEREF _Toc238218155 \h </w:instrText>
            </w:r>
            <w:r w:rsidR="00C91BB8">
              <w:rPr>
                <w:noProof/>
                <w:webHidden/>
              </w:rPr>
            </w:r>
            <w:r w:rsidR="00C91BB8">
              <w:rPr>
                <w:noProof/>
                <w:webHidden/>
              </w:rPr>
              <w:fldChar w:fldCharType="separate"/>
            </w:r>
            <w:r w:rsidR="00C91BB8">
              <w:rPr>
                <w:noProof/>
                <w:webHidden/>
              </w:rPr>
              <w:t>45</w:t>
            </w:r>
            <w:r w:rsidR="00C91BB8">
              <w:rPr>
                <w:noProof/>
                <w:webHidden/>
              </w:rPr>
              <w:fldChar w:fldCharType="end"/>
            </w:r>
          </w:hyperlink>
        </w:p>
        <w:p w14:paraId="673420A0" w14:textId="6C8FE21C" w:rsidR="00C91BB8" w:rsidRDefault="00572908">
          <w:pPr>
            <w:pStyle w:val="TOC2"/>
            <w:tabs>
              <w:tab w:val="right" w:leader="dot" w:pos="9350"/>
            </w:tabs>
            <w:rPr>
              <w:rFonts w:asciiTheme="minorHAnsi" w:eastAsiaTheme="minorEastAsia" w:hAnsiTheme="minorHAnsi"/>
              <w:noProof/>
              <w:sz w:val="22"/>
            </w:rPr>
          </w:pPr>
          <w:hyperlink w:anchor="_Toc238218156" w:history="1">
            <w:r w:rsidR="00C91BB8" w:rsidRPr="002369D2">
              <w:rPr>
                <w:rStyle w:val="Hyperlink"/>
                <w:noProof/>
              </w:rPr>
              <w:t>6.3 Recommendation 2: Move from supplier coverage to verified improvement</w:t>
            </w:r>
            <w:r w:rsidR="00C91BB8">
              <w:rPr>
                <w:noProof/>
                <w:webHidden/>
              </w:rPr>
              <w:tab/>
            </w:r>
            <w:r w:rsidR="00C91BB8">
              <w:rPr>
                <w:noProof/>
                <w:webHidden/>
              </w:rPr>
              <w:fldChar w:fldCharType="begin"/>
            </w:r>
            <w:r w:rsidR="00C91BB8">
              <w:rPr>
                <w:noProof/>
                <w:webHidden/>
              </w:rPr>
              <w:instrText xml:space="preserve"> PAGEREF _Toc238218156 \h </w:instrText>
            </w:r>
            <w:r w:rsidR="00C91BB8">
              <w:rPr>
                <w:noProof/>
                <w:webHidden/>
              </w:rPr>
            </w:r>
            <w:r w:rsidR="00C91BB8">
              <w:rPr>
                <w:noProof/>
                <w:webHidden/>
              </w:rPr>
              <w:fldChar w:fldCharType="separate"/>
            </w:r>
            <w:r w:rsidR="00C91BB8">
              <w:rPr>
                <w:noProof/>
                <w:webHidden/>
              </w:rPr>
              <w:t>46</w:t>
            </w:r>
            <w:r w:rsidR="00C91BB8">
              <w:rPr>
                <w:noProof/>
                <w:webHidden/>
              </w:rPr>
              <w:fldChar w:fldCharType="end"/>
            </w:r>
          </w:hyperlink>
        </w:p>
        <w:p w14:paraId="55D4777C" w14:textId="03DBC926" w:rsidR="00C91BB8" w:rsidRDefault="00572908">
          <w:pPr>
            <w:pStyle w:val="TOC2"/>
            <w:tabs>
              <w:tab w:val="right" w:leader="dot" w:pos="9350"/>
            </w:tabs>
            <w:rPr>
              <w:rFonts w:asciiTheme="minorHAnsi" w:eastAsiaTheme="minorEastAsia" w:hAnsiTheme="minorHAnsi"/>
              <w:noProof/>
              <w:sz w:val="22"/>
            </w:rPr>
          </w:pPr>
          <w:hyperlink w:anchor="_Toc238218157" w:history="1">
            <w:r w:rsidR="00C91BB8" w:rsidRPr="002369D2">
              <w:rPr>
                <w:rStyle w:val="Hyperlink"/>
                <w:noProof/>
              </w:rPr>
              <w:t>6.4 Recommendation 3: Create customer-level sustainability value accounts</w:t>
            </w:r>
            <w:r w:rsidR="00C91BB8">
              <w:rPr>
                <w:noProof/>
                <w:webHidden/>
              </w:rPr>
              <w:tab/>
            </w:r>
            <w:r w:rsidR="00C91BB8">
              <w:rPr>
                <w:noProof/>
                <w:webHidden/>
              </w:rPr>
              <w:fldChar w:fldCharType="begin"/>
            </w:r>
            <w:r w:rsidR="00C91BB8">
              <w:rPr>
                <w:noProof/>
                <w:webHidden/>
              </w:rPr>
              <w:instrText xml:space="preserve"> PAGEREF _Toc238218157 \h </w:instrText>
            </w:r>
            <w:r w:rsidR="00C91BB8">
              <w:rPr>
                <w:noProof/>
                <w:webHidden/>
              </w:rPr>
            </w:r>
            <w:r w:rsidR="00C91BB8">
              <w:rPr>
                <w:noProof/>
                <w:webHidden/>
              </w:rPr>
              <w:fldChar w:fldCharType="separate"/>
            </w:r>
            <w:r w:rsidR="00C91BB8">
              <w:rPr>
                <w:noProof/>
                <w:webHidden/>
              </w:rPr>
              <w:t>46</w:t>
            </w:r>
            <w:r w:rsidR="00C91BB8">
              <w:rPr>
                <w:noProof/>
                <w:webHidden/>
              </w:rPr>
              <w:fldChar w:fldCharType="end"/>
            </w:r>
          </w:hyperlink>
        </w:p>
        <w:p w14:paraId="52F8B653" w14:textId="60B448D3" w:rsidR="00C91BB8" w:rsidRDefault="00572908">
          <w:pPr>
            <w:pStyle w:val="TOC2"/>
            <w:tabs>
              <w:tab w:val="right" w:leader="dot" w:pos="9350"/>
            </w:tabs>
            <w:rPr>
              <w:rFonts w:asciiTheme="minorHAnsi" w:eastAsiaTheme="minorEastAsia" w:hAnsiTheme="minorHAnsi"/>
              <w:noProof/>
              <w:sz w:val="22"/>
            </w:rPr>
          </w:pPr>
          <w:hyperlink w:anchor="_Toc238218158" w:history="1">
            <w:r w:rsidR="00C91BB8" w:rsidRPr="002369D2">
              <w:rPr>
                <w:rStyle w:val="Hyperlink"/>
                <w:noProof/>
              </w:rPr>
              <w:t>6.5 Recommendation 4: Improve governance of the product-transition evidence and claims</w:t>
            </w:r>
            <w:r w:rsidR="00C91BB8">
              <w:rPr>
                <w:noProof/>
                <w:webHidden/>
              </w:rPr>
              <w:tab/>
            </w:r>
            <w:r w:rsidR="00C91BB8">
              <w:rPr>
                <w:noProof/>
                <w:webHidden/>
              </w:rPr>
              <w:fldChar w:fldCharType="begin"/>
            </w:r>
            <w:r w:rsidR="00C91BB8">
              <w:rPr>
                <w:noProof/>
                <w:webHidden/>
              </w:rPr>
              <w:instrText xml:space="preserve"> PAGEREF _Toc238218158 \h </w:instrText>
            </w:r>
            <w:r w:rsidR="00C91BB8">
              <w:rPr>
                <w:noProof/>
                <w:webHidden/>
              </w:rPr>
            </w:r>
            <w:r w:rsidR="00C91BB8">
              <w:rPr>
                <w:noProof/>
                <w:webHidden/>
              </w:rPr>
              <w:fldChar w:fldCharType="separate"/>
            </w:r>
            <w:r w:rsidR="00C91BB8">
              <w:rPr>
                <w:noProof/>
                <w:webHidden/>
              </w:rPr>
              <w:t>47</w:t>
            </w:r>
            <w:r w:rsidR="00C91BB8">
              <w:rPr>
                <w:noProof/>
                <w:webHidden/>
              </w:rPr>
              <w:fldChar w:fldCharType="end"/>
            </w:r>
          </w:hyperlink>
        </w:p>
        <w:p w14:paraId="2A7765AC" w14:textId="1E55BFAC" w:rsidR="00C91BB8" w:rsidRDefault="00572908">
          <w:pPr>
            <w:pStyle w:val="TOC2"/>
            <w:tabs>
              <w:tab w:val="right" w:leader="dot" w:pos="9350"/>
            </w:tabs>
            <w:rPr>
              <w:rFonts w:asciiTheme="minorHAnsi" w:eastAsiaTheme="minorEastAsia" w:hAnsiTheme="minorHAnsi"/>
              <w:noProof/>
              <w:sz w:val="22"/>
            </w:rPr>
          </w:pPr>
          <w:hyperlink w:anchor="_Toc238218159" w:history="1">
            <w:r w:rsidR="00C91BB8" w:rsidRPr="002369D2">
              <w:rPr>
                <w:rStyle w:val="Hyperlink"/>
                <w:noProof/>
              </w:rPr>
              <w:t>6.6 Recommendation 5: Integrate benefits realisation into governance</w:t>
            </w:r>
            <w:r w:rsidR="00C91BB8">
              <w:rPr>
                <w:noProof/>
                <w:webHidden/>
              </w:rPr>
              <w:tab/>
            </w:r>
            <w:r w:rsidR="00C91BB8">
              <w:rPr>
                <w:noProof/>
                <w:webHidden/>
              </w:rPr>
              <w:fldChar w:fldCharType="begin"/>
            </w:r>
            <w:r w:rsidR="00C91BB8">
              <w:rPr>
                <w:noProof/>
                <w:webHidden/>
              </w:rPr>
              <w:instrText xml:space="preserve"> PAGEREF _Toc238218159 \h </w:instrText>
            </w:r>
            <w:r w:rsidR="00C91BB8">
              <w:rPr>
                <w:noProof/>
                <w:webHidden/>
              </w:rPr>
            </w:r>
            <w:r w:rsidR="00C91BB8">
              <w:rPr>
                <w:noProof/>
                <w:webHidden/>
              </w:rPr>
              <w:fldChar w:fldCharType="separate"/>
            </w:r>
            <w:r w:rsidR="00C91BB8">
              <w:rPr>
                <w:noProof/>
                <w:webHidden/>
              </w:rPr>
              <w:t>47</w:t>
            </w:r>
            <w:r w:rsidR="00C91BB8">
              <w:rPr>
                <w:noProof/>
                <w:webHidden/>
              </w:rPr>
              <w:fldChar w:fldCharType="end"/>
            </w:r>
          </w:hyperlink>
        </w:p>
        <w:p w14:paraId="418430F4" w14:textId="08FB693B" w:rsidR="00C91BB8" w:rsidRDefault="00572908">
          <w:pPr>
            <w:pStyle w:val="TOC2"/>
            <w:tabs>
              <w:tab w:val="right" w:leader="dot" w:pos="9350"/>
            </w:tabs>
            <w:rPr>
              <w:rFonts w:asciiTheme="minorHAnsi" w:eastAsiaTheme="minorEastAsia" w:hAnsiTheme="minorHAnsi"/>
              <w:noProof/>
              <w:sz w:val="22"/>
            </w:rPr>
          </w:pPr>
          <w:hyperlink w:anchor="_Toc238218160" w:history="1">
            <w:r w:rsidR="00C91BB8" w:rsidRPr="002369D2">
              <w:rPr>
                <w:rStyle w:val="Hyperlink"/>
                <w:noProof/>
              </w:rPr>
              <w:t>6.7 Phased implementation roadmap</w:t>
            </w:r>
            <w:r w:rsidR="00C91BB8">
              <w:rPr>
                <w:noProof/>
                <w:webHidden/>
              </w:rPr>
              <w:tab/>
            </w:r>
            <w:r w:rsidR="00C91BB8">
              <w:rPr>
                <w:noProof/>
                <w:webHidden/>
              </w:rPr>
              <w:fldChar w:fldCharType="begin"/>
            </w:r>
            <w:r w:rsidR="00C91BB8">
              <w:rPr>
                <w:noProof/>
                <w:webHidden/>
              </w:rPr>
              <w:instrText xml:space="preserve"> PAGEREF _Toc238218160 \h </w:instrText>
            </w:r>
            <w:r w:rsidR="00C91BB8">
              <w:rPr>
                <w:noProof/>
                <w:webHidden/>
              </w:rPr>
            </w:r>
            <w:r w:rsidR="00C91BB8">
              <w:rPr>
                <w:noProof/>
                <w:webHidden/>
              </w:rPr>
              <w:fldChar w:fldCharType="separate"/>
            </w:r>
            <w:r w:rsidR="00C91BB8">
              <w:rPr>
                <w:noProof/>
                <w:webHidden/>
              </w:rPr>
              <w:t>48</w:t>
            </w:r>
            <w:r w:rsidR="00C91BB8">
              <w:rPr>
                <w:noProof/>
                <w:webHidden/>
              </w:rPr>
              <w:fldChar w:fldCharType="end"/>
            </w:r>
          </w:hyperlink>
        </w:p>
        <w:p w14:paraId="0756E6B2" w14:textId="1A00A274" w:rsidR="00C91BB8" w:rsidRDefault="00572908">
          <w:pPr>
            <w:pStyle w:val="TOC2"/>
            <w:tabs>
              <w:tab w:val="right" w:leader="dot" w:pos="9350"/>
            </w:tabs>
            <w:rPr>
              <w:rFonts w:asciiTheme="minorHAnsi" w:eastAsiaTheme="minorEastAsia" w:hAnsiTheme="minorHAnsi"/>
              <w:noProof/>
              <w:sz w:val="22"/>
            </w:rPr>
          </w:pPr>
          <w:hyperlink w:anchor="_Toc238218161" w:history="1">
            <w:r w:rsidR="00C91BB8" w:rsidRPr="002369D2">
              <w:rPr>
                <w:rStyle w:val="Hyperlink"/>
                <w:noProof/>
              </w:rPr>
              <w:t>6.8 Evaluation criteria and risks for implementation</w:t>
            </w:r>
            <w:r w:rsidR="00C91BB8">
              <w:rPr>
                <w:noProof/>
                <w:webHidden/>
              </w:rPr>
              <w:tab/>
            </w:r>
            <w:r w:rsidR="00C91BB8">
              <w:rPr>
                <w:noProof/>
                <w:webHidden/>
              </w:rPr>
              <w:fldChar w:fldCharType="begin"/>
            </w:r>
            <w:r w:rsidR="00C91BB8">
              <w:rPr>
                <w:noProof/>
                <w:webHidden/>
              </w:rPr>
              <w:instrText xml:space="preserve"> PAGEREF _Toc238218161 \h </w:instrText>
            </w:r>
            <w:r w:rsidR="00C91BB8">
              <w:rPr>
                <w:noProof/>
                <w:webHidden/>
              </w:rPr>
            </w:r>
            <w:r w:rsidR="00C91BB8">
              <w:rPr>
                <w:noProof/>
                <w:webHidden/>
              </w:rPr>
              <w:fldChar w:fldCharType="separate"/>
            </w:r>
            <w:r w:rsidR="00C91BB8">
              <w:rPr>
                <w:noProof/>
                <w:webHidden/>
              </w:rPr>
              <w:t>49</w:t>
            </w:r>
            <w:r w:rsidR="00C91BB8">
              <w:rPr>
                <w:noProof/>
                <w:webHidden/>
              </w:rPr>
              <w:fldChar w:fldCharType="end"/>
            </w:r>
          </w:hyperlink>
        </w:p>
        <w:p w14:paraId="2BDCFD47" w14:textId="121B47B0" w:rsidR="00C91BB8" w:rsidRDefault="00572908">
          <w:pPr>
            <w:pStyle w:val="TOC1"/>
            <w:tabs>
              <w:tab w:val="right" w:leader="dot" w:pos="9350"/>
            </w:tabs>
            <w:rPr>
              <w:rFonts w:asciiTheme="minorHAnsi" w:eastAsiaTheme="minorEastAsia" w:hAnsiTheme="minorHAnsi"/>
              <w:noProof/>
              <w:sz w:val="22"/>
            </w:rPr>
          </w:pPr>
          <w:hyperlink w:anchor="_Toc238218162" w:history="1">
            <w:r w:rsidR="00C91BB8" w:rsidRPr="002369D2">
              <w:rPr>
                <w:rStyle w:val="Hyperlink"/>
                <w:noProof/>
              </w:rPr>
              <w:t>Conclusion</w:t>
            </w:r>
            <w:r w:rsidR="00C91BB8">
              <w:rPr>
                <w:noProof/>
                <w:webHidden/>
              </w:rPr>
              <w:tab/>
            </w:r>
            <w:r w:rsidR="00C91BB8">
              <w:rPr>
                <w:noProof/>
                <w:webHidden/>
              </w:rPr>
              <w:fldChar w:fldCharType="begin"/>
            </w:r>
            <w:r w:rsidR="00C91BB8">
              <w:rPr>
                <w:noProof/>
                <w:webHidden/>
              </w:rPr>
              <w:instrText xml:space="preserve"> PAGEREF _Toc238218162 \h </w:instrText>
            </w:r>
            <w:r w:rsidR="00C91BB8">
              <w:rPr>
                <w:noProof/>
                <w:webHidden/>
              </w:rPr>
            </w:r>
            <w:r w:rsidR="00C91BB8">
              <w:rPr>
                <w:noProof/>
                <w:webHidden/>
              </w:rPr>
              <w:fldChar w:fldCharType="separate"/>
            </w:r>
            <w:r w:rsidR="00C91BB8">
              <w:rPr>
                <w:noProof/>
                <w:webHidden/>
              </w:rPr>
              <w:t>50</w:t>
            </w:r>
            <w:r w:rsidR="00C91BB8">
              <w:rPr>
                <w:noProof/>
                <w:webHidden/>
              </w:rPr>
              <w:fldChar w:fldCharType="end"/>
            </w:r>
          </w:hyperlink>
        </w:p>
        <w:p w14:paraId="57ED52A0" w14:textId="7A4B446F" w:rsidR="00C91BB8" w:rsidRDefault="00572908">
          <w:pPr>
            <w:pStyle w:val="TOC1"/>
            <w:tabs>
              <w:tab w:val="right" w:leader="dot" w:pos="9350"/>
            </w:tabs>
            <w:rPr>
              <w:rFonts w:asciiTheme="minorHAnsi" w:eastAsiaTheme="minorEastAsia" w:hAnsiTheme="minorHAnsi"/>
              <w:noProof/>
              <w:sz w:val="22"/>
            </w:rPr>
          </w:pPr>
          <w:hyperlink w:anchor="_Toc238218163" w:history="1">
            <w:r w:rsidR="00C91BB8" w:rsidRPr="002369D2">
              <w:rPr>
                <w:rStyle w:val="Hyperlink"/>
                <w:noProof/>
              </w:rPr>
              <w:t>References</w:t>
            </w:r>
            <w:r w:rsidR="00C91BB8">
              <w:rPr>
                <w:noProof/>
                <w:webHidden/>
              </w:rPr>
              <w:tab/>
            </w:r>
            <w:r w:rsidR="00C91BB8">
              <w:rPr>
                <w:noProof/>
                <w:webHidden/>
              </w:rPr>
              <w:fldChar w:fldCharType="begin"/>
            </w:r>
            <w:r w:rsidR="00C91BB8">
              <w:rPr>
                <w:noProof/>
                <w:webHidden/>
              </w:rPr>
              <w:instrText xml:space="preserve"> PAGEREF _Toc238218163 \h </w:instrText>
            </w:r>
            <w:r w:rsidR="00C91BB8">
              <w:rPr>
                <w:noProof/>
                <w:webHidden/>
              </w:rPr>
            </w:r>
            <w:r w:rsidR="00C91BB8">
              <w:rPr>
                <w:noProof/>
                <w:webHidden/>
              </w:rPr>
              <w:fldChar w:fldCharType="separate"/>
            </w:r>
            <w:r w:rsidR="00C91BB8">
              <w:rPr>
                <w:noProof/>
                <w:webHidden/>
              </w:rPr>
              <w:t>53</w:t>
            </w:r>
            <w:r w:rsidR="00C91BB8">
              <w:rPr>
                <w:noProof/>
                <w:webHidden/>
              </w:rPr>
              <w:fldChar w:fldCharType="end"/>
            </w:r>
          </w:hyperlink>
        </w:p>
        <w:p w14:paraId="4687A90E" w14:textId="119EE465" w:rsidR="00C91BB8" w:rsidRDefault="00572908">
          <w:pPr>
            <w:pStyle w:val="TOC1"/>
            <w:tabs>
              <w:tab w:val="right" w:leader="dot" w:pos="9350"/>
            </w:tabs>
            <w:rPr>
              <w:rFonts w:asciiTheme="minorHAnsi" w:eastAsiaTheme="minorEastAsia" w:hAnsiTheme="minorHAnsi"/>
              <w:noProof/>
              <w:sz w:val="22"/>
            </w:rPr>
          </w:pPr>
          <w:hyperlink w:anchor="_Toc238218164" w:history="1">
            <w:r w:rsidR="00C91BB8" w:rsidRPr="002369D2">
              <w:rPr>
                <w:rStyle w:val="Hyperlink"/>
                <w:noProof/>
              </w:rPr>
              <w:t>Appendix A: Sample Documentary Coding and Theme Development</w:t>
            </w:r>
            <w:r w:rsidR="00C91BB8">
              <w:rPr>
                <w:noProof/>
                <w:webHidden/>
              </w:rPr>
              <w:tab/>
            </w:r>
            <w:r w:rsidR="00C91BB8">
              <w:rPr>
                <w:noProof/>
                <w:webHidden/>
              </w:rPr>
              <w:fldChar w:fldCharType="begin"/>
            </w:r>
            <w:r w:rsidR="00C91BB8">
              <w:rPr>
                <w:noProof/>
                <w:webHidden/>
              </w:rPr>
              <w:instrText xml:space="preserve"> PAGEREF _Toc238218164 \h </w:instrText>
            </w:r>
            <w:r w:rsidR="00C91BB8">
              <w:rPr>
                <w:noProof/>
                <w:webHidden/>
              </w:rPr>
            </w:r>
            <w:r w:rsidR="00C91BB8">
              <w:rPr>
                <w:noProof/>
                <w:webHidden/>
              </w:rPr>
              <w:fldChar w:fldCharType="separate"/>
            </w:r>
            <w:r w:rsidR="00C91BB8">
              <w:rPr>
                <w:noProof/>
                <w:webHidden/>
              </w:rPr>
              <w:t>57</w:t>
            </w:r>
            <w:r w:rsidR="00C91BB8">
              <w:rPr>
                <w:noProof/>
                <w:webHidden/>
              </w:rPr>
              <w:fldChar w:fldCharType="end"/>
            </w:r>
          </w:hyperlink>
        </w:p>
        <w:p w14:paraId="5D6D4B43" w14:textId="72D6C1A2" w:rsidR="00C91BB8" w:rsidRDefault="00572908">
          <w:pPr>
            <w:pStyle w:val="TOC2"/>
            <w:tabs>
              <w:tab w:val="right" w:leader="dot" w:pos="9350"/>
            </w:tabs>
            <w:rPr>
              <w:rFonts w:asciiTheme="minorHAnsi" w:eastAsiaTheme="minorEastAsia" w:hAnsiTheme="minorHAnsi"/>
              <w:noProof/>
              <w:sz w:val="22"/>
            </w:rPr>
          </w:pPr>
          <w:hyperlink w:anchor="_Toc238218165" w:history="1">
            <w:r w:rsidR="00C91BB8" w:rsidRPr="002369D2">
              <w:rPr>
                <w:rStyle w:val="Hyperlink"/>
                <w:noProof/>
              </w:rPr>
              <w:t>A.1 Sample coded records</w:t>
            </w:r>
            <w:r w:rsidR="00C91BB8">
              <w:rPr>
                <w:noProof/>
                <w:webHidden/>
              </w:rPr>
              <w:tab/>
            </w:r>
            <w:r w:rsidR="00C91BB8">
              <w:rPr>
                <w:noProof/>
                <w:webHidden/>
              </w:rPr>
              <w:fldChar w:fldCharType="begin"/>
            </w:r>
            <w:r w:rsidR="00C91BB8">
              <w:rPr>
                <w:noProof/>
                <w:webHidden/>
              </w:rPr>
              <w:instrText xml:space="preserve"> PAGEREF _Toc238218165 \h </w:instrText>
            </w:r>
            <w:r w:rsidR="00C91BB8">
              <w:rPr>
                <w:noProof/>
                <w:webHidden/>
              </w:rPr>
            </w:r>
            <w:r w:rsidR="00C91BB8">
              <w:rPr>
                <w:noProof/>
                <w:webHidden/>
              </w:rPr>
              <w:fldChar w:fldCharType="separate"/>
            </w:r>
            <w:r w:rsidR="00C91BB8">
              <w:rPr>
                <w:noProof/>
                <w:webHidden/>
              </w:rPr>
              <w:t>57</w:t>
            </w:r>
            <w:r w:rsidR="00C91BB8">
              <w:rPr>
                <w:noProof/>
                <w:webHidden/>
              </w:rPr>
              <w:fldChar w:fldCharType="end"/>
            </w:r>
          </w:hyperlink>
        </w:p>
        <w:p w14:paraId="44ED26A0" w14:textId="4F8AC517" w:rsidR="00C91BB8" w:rsidRDefault="00572908">
          <w:pPr>
            <w:pStyle w:val="TOC2"/>
            <w:tabs>
              <w:tab w:val="right" w:leader="dot" w:pos="9350"/>
            </w:tabs>
            <w:rPr>
              <w:rFonts w:asciiTheme="minorHAnsi" w:eastAsiaTheme="minorEastAsia" w:hAnsiTheme="minorHAnsi"/>
              <w:noProof/>
              <w:sz w:val="22"/>
            </w:rPr>
          </w:pPr>
          <w:hyperlink w:anchor="_Toc238218166" w:history="1">
            <w:r w:rsidR="00C91BB8" w:rsidRPr="002369D2">
              <w:rPr>
                <w:rStyle w:val="Hyperlink"/>
                <w:noProof/>
              </w:rPr>
              <w:t>A.2 From coded records to final themes</w:t>
            </w:r>
            <w:r w:rsidR="00C91BB8">
              <w:rPr>
                <w:noProof/>
                <w:webHidden/>
              </w:rPr>
              <w:tab/>
            </w:r>
            <w:r w:rsidR="00C91BB8">
              <w:rPr>
                <w:noProof/>
                <w:webHidden/>
              </w:rPr>
              <w:fldChar w:fldCharType="begin"/>
            </w:r>
            <w:r w:rsidR="00C91BB8">
              <w:rPr>
                <w:noProof/>
                <w:webHidden/>
              </w:rPr>
              <w:instrText xml:space="preserve"> PAGEREF _Toc238218166 \h </w:instrText>
            </w:r>
            <w:r w:rsidR="00C91BB8">
              <w:rPr>
                <w:noProof/>
                <w:webHidden/>
              </w:rPr>
            </w:r>
            <w:r w:rsidR="00C91BB8">
              <w:rPr>
                <w:noProof/>
                <w:webHidden/>
              </w:rPr>
              <w:fldChar w:fldCharType="separate"/>
            </w:r>
            <w:r w:rsidR="00C91BB8">
              <w:rPr>
                <w:noProof/>
                <w:webHidden/>
              </w:rPr>
              <w:t>59</w:t>
            </w:r>
            <w:r w:rsidR="00C91BB8">
              <w:rPr>
                <w:noProof/>
                <w:webHidden/>
              </w:rPr>
              <w:fldChar w:fldCharType="end"/>
            </w:r>
          </w:hyperlink>
        </w:p>
        <w:p w14:paraId="328F2E75" w14:textId="19B7E943" w:rsidR="00C91BB8" w:rsidRDefault="00C91BB8">
          <w:r>
            <w:rPr>
              <w:b/>
              <w:bCs/>
              <w:noProof/>
            </w:rPr>
            <w:fldChar w:fldCharType="end"/>
          </w:r>
        </w:p>
      </w:sdtContent>
    </w:sdt>
    <w:p w14:paraId="3E28FC05" w14:textId="77777777" w:rsidR="008E0721" w:rsidRDefault="008E0721" w:rsidP="008E0721">
      <w:pPr>
        <w:sectPr w:rsidR="008E0721">
          <w:footerReference w:type="default" r:id="rId11"/>
          <w:pgSz w:w="12240" w:h="15840"/>
          <w:pgMar w:top="1440" w:right="1440" w:bottom="1440" w:left="1440" w:header="720" w:footer="720" w:gutter="0"/>
          <w:cols w:space="720"/>
          <w:docGrid w:linePitch="360"/>
        </w:sectPr>
      </w:pPr>
    </w:p>
    <w:p w14:paraId="4559194B" w14:textId="77777777" w:rsidR="00D46172" w:rsidRPr="00D46172" w:rsidRDefault="00D46172" w:rsidP="00D46172">
      <w:pPr>
        <w:pStyle w:val="Heading4"/>
      </w:pPr>
      <w:r w:rsidRPr="00D46172">
        <w:lastRenderedPageBreak/>
        <w:t>List of Figures and Tables</w:t>
      </w:r>
    </w:p>
    <w:p w14:paraId="062C250C" w14:textId="77777777" w:rsidR="00D46172" w:rsidRPr="00D46172" w:rsidRDefault="00D46172" w:rsidP="00D46172">
      <w:pPr>
        <w:rPr>
          <w:b/>
          <w:bCs/>
          <w:color w:val="000000" w:themeColor="text1"/>
          <w:szCs w:val="24"/>
        </w:rPr>
      </w:pPr>
      <w:r w:rsidRPr="00D46172">
        <w:rPr>
          <w:b/>
          <w:bCs/>
          <w:color w:val="000000" w:themeColor="text1"/>
          <w:szCs w:val="24"/>
        </w:rPr>
        <w:t>Figures</w:t>
      </w:r>
    </w:p>
    <w:p w14:paraId="6695E5D2" w14:textId="2E2974BE" w:rsidR="00D10879" w:rsidRPr="00D46172" w:rsidRDefault="00D46172" w:rsidP="00D46172">
      <w:pPr>
        <w:tabs>
          <w:tab w:val="right" w:leader="dot" w:pos="9000"/>
        </w:tabs>
        <w:rPr>
          <w:color w:val="000000" w:themeColor="text1"/>
          <w:szCs w:val="24"/>
        </w:rPr>
      </w:pPr>
      <w:r>
        <w:t>Figure 2.1 Study-specific analytical framework for Bunzl</w:t>
      </w:r>
      <w:r>
        <w:tab/>
        <w:t>1</w:t>
      </w:r>
      <w:r w:rsidR="00C91BB8">
        <w:t>3</w:t>
      </w:r>
    </w:p>
    <w:p w14:paraId="1F9E866D" w14:textId="4BA8E8E2" w:rsidR="00D46172" w:rsidRPr="00D46172" w:rsidRDefault="00D46172" w:rsidP="00D46172">
      <w:pPr>
        <w:tabs>
          <w:tab w:val="right" w:leader="dot" w:pos="9000"/>
        </w:tabs>
        <w:rPr>
          <w:color w:val="000000" w:themeColor="text1"/>
          <w:szCs w:val="24"/>
        </w:rPr>
      </w:pPr>
      <w:r>
        <w:t>Figure 3.1 Six-stage documentary analysis workflow</w:t>
      </w:r>
      <w:r>
        <w:tab/>
      </w:r>
      <w:r w:rsidR="00C91BB8">
        <w:t>24</w:t>
      </w:r>
    </w:p>
    <w:p w14:paraId="1F97D4F9" w14:textId="3CE9CEAE" w:rsidR="00D46172" w:rsidRPr="00D46172" w:rsidRDefault="00D46172" w:rsidP="00D46172">
      <w:pPr>
        <w:tabs>
          <w:tab w:val="right" w:leader="dot" w:pos="9000"/>
        </w:tabs>
        <w:rPr>
          <w:color w:val="000000" w:themeColor="text1"/>
          <w:szCs w:val="24"/>
        </w:rPr>
      </w:pPr>
      <w:r>
        <w:t>Figure 6.1 Phased SSCM implementation roadmap</w:t>
      </w:r>
      <w:r>
        <w:tab/>
      </w:r>
      <w:r w:rsidR="00C91BB8">
        <w:t>48</w:t>
      </w:r>
    </w:p>
    <w:p w14:paraId="1ED211FA" w14:textId="77777777" w:rsidR="00D10879" w:rsidRDefault="00D10879" w:rsidP="00D46172">
      <w:pPr>
        <w:rPr>
          <w:color w:val="000000" w:themeColor="text1"/>
          <w:szCs w:val="24"/>
        </w:rPr>
      </w:pPr>
    </w:p>
    <w:p w14:paraId="7C085C2A" w14:textId="77777777" w:rsidR="00D46172" w:rsidRPr="00D10879" w:rsidRDefault="00D46172" w:rsidP="00D46172">
      <w:pPr>
        <w:rPr>
          <w:b/>
          <w:bCs/>
          <w:color w:val="000000" w:themeColor="text1"/>
          <w:szCs w:val="24"/>
        </w:rPr>
      </w:pPr>
      <w:r w:rsidRPr="00D10879">
        <w:rPr>
          <w:b/>
          <w:bCs/>
          <w:color w:val="000000" w:themeColor="text1"/>
          <w:szCs w:val="24"/>
        </w:rPr>
        <w:t>Tables</w:t>
      </w:r>
    </w:p>
    <w:p w14:paraId="67C4A7DF" w14:textId="0FB695AD" w:rsidR="00D46172" w:rsidRPr="00D46172" w:rsidRDefault="00D46172" w:rsidP="00D46172">
      <w:pPr>
        <w:tabs>
          <w:tab w:val="right" w:leader="dot" w:pos="9000"/>
        </w:tabs>
        <w:rPr>
          <w:color w:val="000000" w:themeColor="text1"/>
          <w:szCs w:val="24"/>
        </w:rPr>
      </w:pPr>
      <w:r>
        <w:t>Table 2.1 Analytical lenses and their study-specific use</w:t>
      </w:r>
      <w:r>
        <w:tab/>
      </w:r>
      <w:r w:rsidR="00C91BB8">
        <w:t>11</w:t>
      </w:r>
    </w:p>
    <w:p w14:paraId="7E691683" w14:textId="480A6668" w:rsidR="00D46172" w:rsidRPr="00D46172" w:rsidRDefault="00D46172" w:rsidP="00D46172">
      <w:pPr>
        <w:tabs>
          <w:tab w:val="right" w:leader="dot" w:pos="9000"/>
        </w:tabs>
        <w:rPr>
          <w:color w:val="000000" w:themeColor="text1"/>
          <w:szCs w:val="24"/>
        </w:rPr>
      </w:pPr>
      <w:r>
        <w:t>Table 3.1 Documentary corpus and analytical role</w:t>
      </w:r>
      <w:r>
        <w:tab/>
      </w:r>
      <w:r w:rsidR="00C91BB8">
        <w:t>18</w:t>
      </w:r>
    </w:p>
    <w:p w14:paraId="20918D23" w14:textId="6CE3C70A" w:rsidR="00D46172" w:rsidRPr="00D46172" w:rsidRDefault="00D46172" w:rsidP="00D46172">
      <w:pPr>
        <w:tabs>
          <w:tab w:val="right" w:leader="dot" w:pos="9000"/>
        </w:tabs>
        <w:rPr>
          <w:color w:val="000000" w:themeColor="text1"/>
          <w:szCs w:val="24"/>
        </w:rPr>
      </w:pPr>
      <w:r>
        <w:t>Table 3.2 Initial coding framework and application rules</w:t>
      </w:r>
      <w:r>
        <w:tab/>
      </w:r>
      <w:r w:rsidR="00C91BB8">
        <w:t>21</w:t>
      </w:r>
    </w:p>
    <w:p w14:paraId="0AE040C6" w14:textId="263646A2" w:rsidR="008E0721" w:rsidRPr="00D10879" w:rsidRDefault="00D46172" w:rsidP="00D46172">
      <w:pPr>
        <w:tabs>
          <w:tab w:val="right" w:leader="dot" w:pos="9000"/>
        </w:tabs>
        <w:rPr>
          <w:color w:val="000000" w:themeColor="text1"/>
          <w:szCs w:val="24"/>
        </w:rPr>
      </w:pPr>
      <w:r>
        <w:t>Table 4.1 Cross-source evidence matrix</w:t>
      </w:r>
      <w:r>
        <w:tab/>
      </w:r>
      <w:r w:rsidR="00C91BB8">
        <w:t>36</w:t>
      </w:r>
    </w:p>
    <w:p w14:paraId="5821A33A" w14:textId="01F1E87D" w:rsidR="00AB2427" w:rsidRDefault="00130A17">
      <w:pPr>
        <w:tabs>
          <w:tab w:val="right" w:leader="dot" w:pos="9000"/>
        </w:tabs>
      </w:pPr>
      <w:r>
        <w:t>Table A.1 Sample coded records and analytical decisions</w:t>
      </w:r>
      <w:r>
        <w:tab/>
      </w:r>
      <w:r w:rsidR="00C91BB8">
        <w:t>57</w:t>
      </w:r>
    </w:p>
    <w:p w14:paraId="1D7FC3DC" w14:textId="78D7EF5C" w:rsidR="00AB2427" w:rsidRDefault="00130A17">
      <w:pPr>
        <w:tabs>
          <w:tab w:val="right" w:leader="dot" w:pos="9000"/>
        </w:tabs>
        <w:sectPr w:rsidR="00AB2427">
          <w:footerReference w:type="default" r:id="rId12"/>
          <w:pgSz w:w="12240" w:h="15840"/>
          <w:pgMar w:top="1440" w:right="1440" w:bottom="1440" w:left="1440" w:header="720" w:footer="720" w:gutter="0"/>
          <w:cols w:space="720"/>
          <w:docGrid w:linePitch="360"/>
        </w:sectPr>
      </w:pPr>
      <w:r>
        <w:t>Table A.2 From coded records to final themes</w:t>
      </w:r>
      <w:r>
        <w:tab/>
      </w:r>
      <w:r w:rsidR="00C91BB8">
        <w:t>59</w:t>
      </w:r>
    </w:p>
    <w:p w14:paraId="498995F4" w14:textId="77777777" w:rsidR="00DC7168" w:rsidRPr="00DC7168" w:rsidRDefault="00DC7168" w:rsidP="00126D50">
      <w:pPr>
        <w:pStyle w:val="Heading1"/>
        <w:spacing w:line="360" w:lineRule="auto"/>
        <w:jc w:val="center"/>
      </w:pPr>
      <w:bookmarkStart w:id="7" w:name="_Toc237017760"/>
      <w:bookmarkStart w:id="8" w:name="_Toc238218099"/>
      <w:r w:rsidRPr="00DC7168">
        <w:lastRenderedPageBreak/>
        <w:t>Chapter 1: Introduction</w:t>
      </w:r>
      <w:bookmarkEnd w:id="7"/>
      <w:bookmarkEnd w:id="8"/>
    </w:p>
    <w:p w14:paraId="3E4A92F9" w14:textId="77777777" w:rsidR="00DC7168" w:rsidRPr="00DC7168" w:rsidRDefault="00DC7168" w:rsidP="00DC1B7D">
      <w:pPr>
        <w:pStyle w:val="Heading2"/>
        <w:jc w:val="left"/>
      </w:pPr>
      <w:bookmarkStart w:id="9" w:name="_Toc237017761"/>
      <w:bookmarkStart w:id="10" w:name="_Toc238218100"/>
      <w:r w:rsidRPr="00DC7168">
        <w:t>1.1 Research context</w:t>
      </w:r>
      <w:bookmarkEnd w:id="9"/>
      <w:bookmarkEnd w:id="10"/>
    </w:p>
    <w:p w14:paraId="4DF5326C" w14:textId="77777777" w:rsidR="00AB2427" w:rsidRDefault="00130A17" w:rsidP="00DC1B7D">
      <w:pPr>
        <w:spacing w:line="360" w:lineRule="auto"/>
      </w:pPr>
      <w:r>
        <w:t>Sustainable supply chain management (SSCM) brings environmental and social responsibilities into decisions about sourcing, operations and inter-organisational relationships while retaining the economic conditions needed to provide a viable service. Environmental improvement alone does not guarantee operational success: a lower-impact supply chain may still fail if products are unavailable, costly or unsuitable. Conversely, an efficient short-term supply chain may create regulatory, labour, reputational or continuity risks if upstream conditions are poorly governed. The managerial issue is therefore how sustainability practices interact with operational and customer requirements in a particular setting.</w:t>
      </w:r>
    </w:p>
    <w:p w14:paraId="529C3C83" w14:textId="77777777" w:rsidR="00AB2427" w:rsidRDefault="00130A17" w:rsidP="00DC1B7D">
      <w:pPr>
        <w:spacing w:line="360" w:lineRule="auto"/>
      </w:pPr>
      <w:r>
        <w:t>This dissertation examines that issue in Bunzl plc. Bunzl sources, consolidates and distributes essential products and provides category expertise to business customers (Bunzl plc, 2025a). Although it generally does not manufacture the products it supplies, it can influence supplier standards, product assortment, packaging choices, warehouse and transport efficiency, digital ordering, consolidated delivery and customer transitions. These controllable activities provide an appropriate basis for evaluating a distributor's contribution to SSCM.</w:t>
      </w:r>
    </w:p>
    <w:p w14:paraId="4ECA6147" w14:textId="17675EB2" w:rsidR="00AB2427" w:rsidRDefault="00130A17" w:rsidP="00DC1B7D">
      <w:pPr>
        <w:spacing w:line="360" w:lineRule="auto"/>
      </w:pPr>
      <w:r>
        <w:t>The case is also commercially significant. Bunzl reported revenue of £11,845 million for 2025 (Bunzl plc, 2025a). Scale, however, cannot establish that sustainability activity improved operational performance or customer satisfaction. Corporate reports combine measurable indicators with management narratives and selected cases. They are treated here as documentary evidence to be compared and interpreted, not as independent proof of impact.</w:t>
      </w:r>
    </w:p>
    <w:p w14:paraId="73A89679" w14:textId="25A1888F" w:rsidR="00DC1B7D" w:rsidRDefault="00DC1B7D" w:rsidP="00DC1B7D">
      <w:pPr>
        <w:spacing w:line="360" w:lineRule="auto"/>
      </w:pPr>
    </w:p>
    <w:p w14:paraId="41009F4E" w14:textId="77777777" w:rsidR="00DC1B7D" w:rsidRDefault="00DC1B7D" w:rsidP="00DC1B7D">
      <w:pPr>
        <w:spacing w:line="360" w:lineRule="auto"/>
      </w:pPr>
    </w:p>
    <w:p w14:paraId="4502CC04" w14:textId="77777777" w:rsidR="00DC7168" w:rsidRPr="00DC7168" w:rsidRDefault="00DC7168" w:rsidP="00DC1B7D">
      <w:pPr>
        <w:pStyle w:val="Heading2"/>
        <w:jc w:val="left"/>
      </w:pPr>
      <w:bookmarkStart w:id="11" w:name="_Toc237017762"/>
      <w:bookmarkStart w:id="12" w:name="_Toc238218101"/>
      <w:r w:rsidRPr="00DC7168">
        <w:lastRenderedPageBreak/>
        <w:t>1.2 Problem statement</w:t>
      </w:r>
      <w:bookmarkEnd w:id="11"/>
      <w:bookmarkEnd w:id="12"/>
    </w:p>
    <w:p w14:paraId="17598C86" w14:textId="77777777" w:rsidR="00AB2427" w:rsidRDefault="00130A17" w:rsidP="00DC1B7D">
      <w:pPr>
        <w:spacing w:line="360" w:lineRule="auto"/>
      </w:pPr>
      <w:r>
        <w:t>SSCM research associates environmental and social practices with efficiency, risk reduction, resilience, legitimacy and market value. Meta-analyses generally report positive relationships with organisational performance, but also show that results vary by context, measurement and research design (Golicic and Smith, 2013; Yadav et al., 2023). A supplier assessment may improve risk visibility without demonstrating better labour conditions; similarly, an alternative product may support a customer's sustainability goals but be rejected on price, availability or performance.</w:t>
      </w:r>
    </w:p>
    <w:p w14:paraId="6170A6B4" w14:textId="77777777" w:rsidR="00AB2427" w:rsidRDefault="00130A17" w:rsidP="00DC1B7D">
      <w:pPr>
        <w:spacing w:line="360" w:lineRule="auto"/>
      </w:pPr>
      <w:r>
        <w:t>Three gaps shape this study. First, much SSCM research is manufacturing-centred, whereas a distributor exercises influence through supplier governance, portfolio decisions, fulfilment and advice. Second, corporate disclosures often place activities, outcomes and aspirations beside one another even though they have different evidential value. The number of suppliers assessed is an activity measure, not evidence by itself of safer conditions or uninterrupted supply. Third, customer satisfaction is often claimed but seldom measured at the same level as sustainability activity. Bunzl's public documents report engagement, product transitions and selected commercial cases, but no consistent Group-wide satisfaction series was identified.</w:t>
      </w:r>
    </w:p>
    <w:p w14:paraId="39B81FCF" w14:textId="2A6F8DF0" w:rsidR="00AB2427" w:rsidRDefault="00130A17" w:rsidP="00DC1B7D">
      <w:pPr>
        <w:spacing w:line="360" w:lineRule="auto"/>
      </w:pPr>
      <w:r>
        <w:t>The resulting problem is one of contribution and attribution: what can reasonably be inferred about the contribution of Bunzl's SSCM practices to operational performance and customer-related value, and what remains unproven? Answering it requires a framework that links practices to plausible mechanisms and outcomes while preserving alternative explanations and gaps in measurement.</w:t>
      </w:r>
    </w:p>
    <w:p w14:paraId="14A50370" w14:textId="22C553E5" w:rsidR="00DC1B7D" w:rsidRDefault="00DC1B7D" w:rsidP="00DC1B7D">
      <w:pPr>
        <w:spacing w:line="360" w:lineRule="auto"/>
      </w:pPr>
    </w:p>
    <w:p w14:paraId="073046F2" w14:textId="4EAEB7BF" w:rsidR="00DC1B7D" w:rsidRDefault="00DC1B7D" w:rsidP="00DC1B7D">
      <w:pPr>
        <w:spacing w:line="360" w:lineRule="auto"/>
      </w:pPr>
    </w:p>
    <w:p w14:paraId="1FCBFC9F" w14:textId="77777777" w:rsidR="00DC1B7D" w:rsidRDefault="00DC1B7D" w:rsidP="00DC1B7D">
      <w:pPr>
        <w:spacing w:line="360" w:lineRule="auto"/>
      </w:pPr>
    </w:p>
    <w:p w14:paraId="67A9088F" w14:textId="77777777" w:rsidR="00DC7168" w:rsidRPr="00DC7168" w:rsidRDefault="00DC7168" w:rsidP="00DC1B7D">
      <w:pPr>
        <w:pStyle w:val="Heading2"/>
        <w:jc w:val="left"/>
      </w:pPr>
      <w:bookmarkStart w:id="13" w:name="_Toc237017763"/>
      <w:bookmarkStart w:id="14" w:name="_Toc238218102"/>
      <w:r w:rsidRPr="00DC7168">
        <w:lastRenderedPageBreak/>
        <w:t>1.3 Research aim</w:t>
      </w:r>
      <w:bookmarkEnd w:id="13"/>
      <w:bookmarkEnd w:id="14"/>
    </w:p>
    <w:p w14:paraId="5ABA5746" w14:textId="77777777" w:rsidR="00AB2427" w:rsidRDefault="00130A17" w:rsidP="00DC1B7D">
      <w:pPr>
        <w:spacing w:line="360" w:lineRule="auto"/>
      </w:pPr>
      <w:r>
        <w:t>To critically evaluate how Bunzl plc's sustainable supply chain management practices contribute to operational performance and customer satisfaction, using evidence from its public documents for reporting years 2022-2025.</w:t>
      </w:r>
    </w:p>
    <w:p w14:paraId="39B305E7" w14:textId="77777777" w:rsidR="00DC7168" w:rsidRPr="00DC7168" w:rsidRDefault="00DC7168" w:rsidP="00DC1B7D">
      <w:pPr>
        <w:pStyle w:val="Heading2"/>
        <w:jc w:val="left"/>
      </w:pPr>
      <w:bookmarkStart w:id="15" w:name="_Toc237017764"/>
      <w:bookmarkStart w:id="16" w:name="_Toc238218103"/>
      <w:r w:rsidRPr="00DC7168">
        <w:t>1.4 Research objectives</w:t>
      </w:r>
      <w:bookmarkEnd w:id="15"/>
      <w:bookmarkEnd w:id="16"/>
    </w:p>
    <w:p w14:paraId="23F630DB" w14:textId="77777777" w:rsidR="00DC7168" w:rsidRPr="00530A95" w:rsidRDefault="00DC7168" w:rsidP="00DC1B7D">
      <w:pPr>
        <w:pStyle w:val="ListParagraph"/>
        <w:numPr>
          <w:ilvl w:val="0"/>
          <w:numId w:val="1"/>
        </w:numPr>
        <w:spacing w:line="360" w:lineRule="auto"/>
      </w:pPr>
      <w:r>
        <w:t>To identify and critically examine the SSCM practices reported by Bunzl plc.</w:t>
      </w:r>
    </w:p>
    <w:p w14:paraId="36BD1567" w14:textId="77777777" w:rsidR="00DC7168" w:rsidRPr="00530A95" w:rsidRDefault="00DC7168" w:rsidP="00DC1B7D">
      <w:pPr>
        <w:pStyle w:val="ListParagraph"/>
        <w:numPr>
          <w:ilvl w:val="0"/>
          <w:numId w:val="1"/>
        </w:numPr>
        <w:spacing w:line="360" w:lineRule="auto"/>
      </w:pPr>
      <w:r>
        <w:t>To evaluate how those practices may contribute to operational performance.</w:t>
      </w:r>
    </w:p>
    <w:p w14:paraId="0EEAF413" w14:textId="77777777" w:rsidR="00DC7168" w:rsidRPr="00530A95" w:rsidRDefault="00DC7168" w:rsidP="00DC1B7D">
      <w:pPr>
        <w:pStyle w:val="ListParagraph"/>
        <w:numPr>
          <w:ilvl w:val="0"/>
          <w:numId w:val="1"/>
        </w:numPr>
        <w:spacing w:line="360" w:lineRule="auto"/>
      </w:pPr>
      <w:r>
        <w:t>To assess the evidence connecting SSCM with customer satisfaction or customer-related value.</w:t>
      </w:r>
    </w:p>
    <w:p w14:paraId="66A246B4" w14:textId="77777777" w:rsidR="00DC7168" w:rsidRPr="00DC7168" w:rsidRDefault="00DC7168" w:rsidP="00DC1B7D">
      <w:pPr>
        <w:pStyle w:val="Heading2"/>
        <w:jc w:val="left"/>
      </w:pPr>
      <w:bookmarkStart w:id="17" w:name="_Toc237017765"/>
      <w:bookmarkStart w:id="18" w:name="_Toc238218104"/>
      <w:r w:rsidRPr="00DC7168">
        <w:t>1.5 Research questions</w:t>
      </w:r>
      <w:bookmarkEnd w:id="17"/>
      <w:bookmarkEnd w:id="18"/>
    </w:p>
    <w:p w14:paraId="7A7F645E" w14:textId="77777777" w:rsidR="00DC7168" w:rsidRPr="00530A95" w:rsidRDefault="00DC7168" w:rsidP="00DC1B7D">
      <w:pPr>
        <w:pStyle w:val="ListParagraph"/>
        <w:numPr>
          <w:ilvl w:val="0"/>
          <w:numId w:val="2"/>
        </w:numPr>
        <w:spacing w:line="360" w:lineRule="auto"/>
      </w:pPr>
      <w:r>
        <w:t>RQ1: Which sustainable supply chain management practices are evidenced at Bunzl plc?</w:t>
      </w:r>
    </w:p>
    <w:p w14:paraId="043A6975" w14:textId="77777777" w:rsidR="00DC7168" w:rsidRPr="00530A95" w:rsidRDefault="00DC7168" w:rsidP="00DC1B7D">
      <w:pPr>
        <w:pStyle w:val="ListParagraph"/>
        <w:numPr>
          <w:ilvl w:val="0"/>
          <w:numId w:val="2"/>
        </w:numPr>
        <w:spacing w:line="360" w:lineRule="auto"/>
      </w:pPr>
      <w:r>
        <w:t>RQ2: How does SSCM contribute to operational performance at Bunzl plc?</w:t>
      </w:r>
    </w:p>
    <w:p w14:paraId="4FEC51FE" w14:textId="77777777" w:rsidR="00DC7168" w:rsidRPr="00DC7168" w:rsidRDefault="00DC7168" w:rsidP="00DC1B7D">
      <w:pPr>
        <w:pStyle w:val="ListParagraph"/>
        <w:numPr>
          <w:ilvl w:val="0"/>
          <w:numId w:val="2"/>
        </w:numPr>
        <w:spacing w:line="360" w:lineRule="auto"/>
        <w:rPr>
          <w:rFonts w:cs="Arial"/>
          <w:szCs w:val="24"/>
        </w:rPr>
      </w:pPr>
      <w:r>
        <w:t>RQ3: What evidence links SSCM to customer satisfaction or customer-related value at Bunzl plc?</w:t>
      </w:r>
    </w:p>
    <w:p w14:paraId="381268B9" w14:textId="77777777" w:rsidR="00DC7168" w:rsidRPr="00DC7168" w:rsidRDefault="00DC7168" w:rsidP="00DC1B7D">
      <w:pPr>
        <w:pStyle w:val="Heading2"/>
        <w:jc w:val="left"/>
      </w:pPr>
      <w:bookmarkStart w:id="19" w:name="_Toc237017766"/>
      <w:bookmarkStart w:id="20" w:name="_Toc238218105"/>
      <w:r w:rsidRPr="00DC7168">
        <w:t>1.6 Key concepts as used in this study</w:t>
      </w:r>
      <w:bookmarkEnd w:id="19"/>
      <w:bookmarkEnd w:id="20"/>
    </w:p>
    <w:p w14:paraId="354846D1" w14:textId="77777777" w:rsidR="00AB2427" w:rsidRDefault="00130A17" w:rsidP="00DC1B7D">
      <w:pPr>
        <w:spacing w:line="360" w:lineRule="auto"/>
      </w:pPr>
      <w:r>
        <w:t>SSCM is defined in different ways because studies place different weight on environmental management, social responsibility, economic viability, risk and stakeholder coordination (Ahi and Searcy, 2013). In this dissertation, SSCM means the deliberate integration of environmental, social and commercial considerations into Bunzl's sourcing, supplier governance, product portfolio, distribution and customer-support decisions. General philanthropy is outside the scope unless it is directly connected to supply-chain activity.</w:t>
      </w:r>
    </w:p>
    <w:p w14:paraId="30D18FF3" w14:textId="77777777" w:rsidR="00AB2427" w:rsidRDefault="00130A17" w:rsidP="00DC1B7D">
      <w:pPr>
        <w:spacing w:line="360" w:lineRule="auto"/>
      </w:pPr>
      <w:r>
        <w:t>Operational performance refers to results associated with sourcing and delivery capability, risk and resource management, information quality, service reliability and commercially sustainable operations. Bunzl's public documents do not provide a single Group-wide series for measures such as on-time-in-full delivery or cost per order. The analysis therefore separates observed indicators from plausible mechanisms and from management claims.</w:t>
      </w:r>
    </w:p>
    <w:p w14:paraId="728C36D0" w14:textId="77777777" w:rsidR="00AB2427" w:rsidRDefault="00130A17" w:rsidP="00DC1B7D">
      <w:pPr>
        <w:spacing w:line="360" w:lineRule="auto"/>
      </w:pPr>
      <w:r>
        <w:lastRenderedPageBreak/>
        <w:t>Customer satisfaction is the customer's evaluation of the products and service received. In business-to-business markets this may include reliability, expertise, ease of procurement and support for the customer's own objectives (Homburg, Stierl and Bornemann, 2013). A specified survey measure would be direct evidence. Engagement counts, product adoption, retention, tenders and case studies are treated as behavioural or commercial proxies. This hierarchy prevents a contract win or meeting from being presented as proof of satisfaction.</w:t>
      </w:r>
    </w:p>
    <w:p w14:paraId="081FCC17" w14:textId="77777777" w:rsidR="00DC7168" w:rsidRPr="00DC7168" w:rsidRDefault="00DC7168" w:rsidP="00DC1B7D">
      <w:pPr>
        <w:pStyle w:val="Heading2"/>
        <w:jc w:val="left"/>
      </w:pPr>
      <w:bookmarkStart w:id="21" w:name="_Toc237017767"/>
      <w:bookmarkStart w:id="22" w:name="_Toc238218106"/>
      <w:r w:rsidRPr="00DC7168">
        <w:t>1.7 Significance and intended contribution</w:t>
      </w:r>
      <w:bookmarkEnd w:id="21"/>
      <w:bookmarkEnd w:id="22"/>
    </w:p>
    <w:p w14:paraId="46E55204" w14:textId="77777777" w:rsidR="00AB2427" w:rsidRDefault="00130A17" w:rsidP="00DC1B7D">
      <w:pPr>
        <w:spacing w:line="360" w:lineRule="auto"/>
      </w:pPr>
      <w:r>
        <w:t>The dissertation contributes a distributor-specific application of the Triple Bottom Line (TBL), stakeholder theory and the Resource-Based View (RBV). It focuses on activities a distributor can influence and distinguishes practices, enabling mechanisms and outcomes. Methodologically, it makes the documentary coding process visible through a codebook, worked examples and a sample evidence trail in Appendix A. Empirically, it compares several types of Bunzl document across four reporting years rather than relying on a single sustainability report.</w:t>
      </w:r>
    </w:p>
    <w:p w14:paraId="66883E1D" w14:textId="77777777" w:rsidR="00AB2427" w:rsidRDefault="00130A17" w:rsidP="00DC1B7D">
      <w:pPr>
        <w:spacing w:line="360" w:lineRule="auto"/>
      </w:pPr>
      <w:r>
        <w:t>For managers, the practical value lies in separating assurance activity from performance evidence. The analysis asks what decision a policy, assessment or customer proposition changes; which indicator could demonstrate that change; and what other conditions may shape the result. This supports recommendations that are measurable without overstating causality.</w:t>
      </w:r>
    </w:p>
    <w:p w14:paraId="13C3D680" w14:textId="77777777" w:rsidR="00DC7168" w:rsidRPr="00DC7168" w:rsidRDefault="00DC7168" w:rsidP="00DC1B7D">
      <w:pPr>
        <w:pStyle w:val="Heading2"/>
        <w:jc w:val="left"/>
      </w:pPr>
      <w:bookmarkStart w:id="23" w:name="_Toc237017768"/>
      <w:bookmarkStart w:id="24" w:name="_Toc238218107"/>
      <w:r w:rsidRPr="00DC7168">
        <w:t>1.8 Scope and delimitations</w:t>
      </w:r>
      <w:bookmarkEnd w:id="23"/>
      <w:bookmarkEnd w:id="24"/>
    </w:p>
    <w:p w14:paraId="5B08988E" w14:textId="77777777" w:rsidR="00AB2427" w:rsidRDefault="00130A17" w:rsidP="00DC1B7D">
      <w:pPr>
        <w:spacing w:line="360" w:lineRule="auto"/>
      </w:pPr>
      <w:r>
        <w:t>The organisational boundary is Bunzl plc at Group level. The documentary corpus covers reporting years 2022-2025 and includes annual or strategic reports, sustainability reports and responsible-sourcing documents. Academic literature provides theoretical and comparative context but is not treated as evidence of Bunzl's performance. The study excludes interviews, operational-system access, site verification and product life-cycle calculations; it assesses the content, consistency and implications of public disclosure rather than independently auditing the company.</w:t>
      </w:r>
    </w:p>
    <w:p w14:paraId="73D1784B" w14:textId="77777777" w:rsidR="00AB2427" w:rsidRDefault="00130A17" w:rsidP="00DC1B7D">
      <w:pPr>
        <w:spacing w:line="360" w:lineRule="auto"/>
      </w:pPr>
      <w:r>
        <w:lastRenderedPageBreak/>
        <w:t>Years refer to the period reported in each corporate document. Some reports were issued in the following calendar year, and the 2024 modern slavery statement was published in 2025. Table 3.1 records the reporting year and document role so these dates are not conflated. Earlier data appear only where a stated baseline is required, such as Bunzl's 2019 emissions baseline. The 2025 comparison is retained because sustainability indicators improved while adjusted operating profit declined at constant exchange rates (Bunzl plc, 2025a), providing an important limit on attribution.</w:t>
      </w:r>
    </w:p>
    <w:p w14:paraId="4600C6FD" w14:textId="77777777" w:rsidR="00DC7168" w:rsidRPr="00DC7168" w:rsidRDefault="00DC7168" w:rsidP="00DC1B7D">
      <w:pPr>
        <w:pStyle w:val="Heading2"/>
        <w:jc w:val="left"/>
      </w:pPr>
      <w:bookmarkStart w:id="25" w:name="_Toc237017769"/>
      <w:bookmarkStart w:id="26" w:name="_Toc238218108"/>
      <w:r w:rsidRPr="00DC7168">
        <w:t>1.9 Dissertation structure</w:t>
      </w:r>
      <w:bookmarkEnd w:id="25"/>
      <w:bookmarkEnd w:id="26"/>
    </w:p>
    <w:p w14:paraId="26DEA790" w14:textId="55597D4D" w:rsidR="00AB2427" w:rsidRDefault="00130A17" w:rsidP="00DC1B7D">
      <w:pPr>
        <w:spacing w:line="360" w:lineRule="auto"/>
      </w:pPr>
      <w:r>
        <w:t>Chapter 2 reviews SSCM in a distribution context and develops the analytical framework. Chapter 3 explains the documentary case design, corpus, coding decisions, analysis and quality controls. Chapter 4 presents the coded findings by theme; Chapter 5 discusses the three research questions in relation to theory. Chapter 6 develops evidence-based recommendations, and Chapter 7 states the conclusions, contribution, limitations and future research priorities. The reference list and Appendix A follow.</w:t>
      </w:r>
    </w:p>
    <w:p w14:paraId="6528E264" w14:textId="7545F622" w:rsidR="00D16935" w:rsidRDefault="00D16935" w:rsidP="00DC1B7D">
      <w:pPr>
        <w:spacing w:line="360" w:lineRule="auto"/>
      </w:pPr>
    </w:p>
    <w:p w14:paraId="18005EA8" w14:textId="6DC08BB0" w:rsidR="00D16935" w:rsidRDefault="00D16935" w:rsidP="00DC1B7D">
      <w:pPr>
        <w:spacing w:line="360" w:lineRule="auto"/>
      </w:pPr>
    </w:p>
    <w:p w14:paraId="0EBBDBEC" w14:textId="73073E95" w:rsidR="00D16935" w:rsidRDefault="00D16935" w:rsidP="00DC1B7D">
      <w:pPr>
        <w:spacing w:line="360" w:lineRule="auto"/>
      </w:pPr>
    </w:p>
    <w:p w14:paraId="77F8CA38" w14:textId="43966B89" w:rsidR="00D16935" w:rsidRDefault="00D16935" w:rsidP="00DC1B7D">
      <w:pPr>
        <w:spacing w:line="360" w:lineRule="auto"/>
      </w:pPr>
    </w:p>
    <w:p w14:paraId="7CA84AA5" w14:textId="027659D2" w:rsidR="00D16935" w:rsidRDefault="00D16935" w:rsidP="00DC1B7D">
      <w:pPr>
        <w:spacing w:line="360" w:lineRule="auto"/>
      </w:pPr>
    </w:p>
    <w:p w14:paraId="11608D81" w14:textId="17549A33" w:rsidR="00D16935" w:rsidRDefault="00D16935" w:rsidP="00DC1B7D">
      <w:pPr>
        <w:spacing w:line="360" w:lineRule="auto"/>
      </w:pPr>
    </w:p>
    <w:p w14:paraId="23AC4BE1" w14:textId="7FA24AAF" w:rsidR="00D16935" w:rsidRDefault="00D16935" w:rsidP="00DC1B7D">
      <w:pPr>
        <w:spacing w:line="360" w:lineRule="auto"/>
      </w:pPr>
    </w:p>
    <w:p w14:paraId="101828BE" w14:textId="6FF07190" w:rsidR="00D16935" w:rsidRDefault="00D16935" w:rsidP="00DC1B7D">
      <w:pPr>
        <w:spacing w:line="360" w:lineRule="auto"/>
      </w:pPr>
    </w:p>
    <w:p w14:paraId="764197FF" w14:textId="77777777" w:rsidR="00D16935" w:rsidRDefault="00D16935" w:rsidP="00DC1B7D">
      <w:pPr>
        <w:spacing w:line="360" w:lineRule="auto"/>
      </w:pPr>
    </w:p>
    <w:p w14:paraId="46CEF603" w14:textId="77777777" w:rsidR="000326F6" w:rsidRPr="000326F6" w:rsidRDefault="000326F6" w:rsidP="00126D50">
      <w:pPr>
        <w:pStyle w:val="Heading1"/>
        <w:spacing w:line="360" w:lineRule="auto"/>
        <w:jc w:val="center"/>
      </w:pPr>
      <w:bookmarkStart w:id="27" w:name="_Toc237017770"/>
      <w:bookmarkStart w:id="28" w:name="_Toc238218109"/>
      <w:r w:rsidRPr="000326F6">
        <w:lastRenderedPageBreak/>
        <w:t>Chapter 2: Literature Review</w:t>
      </w:r>
      <w:bookmarkEnd w:id="27"/>
      <w:bookmarkEnd w:id="28"/>
    </w:p>
    <w:p w14:paraId="0CC09B7F" w14:textId="77777777" w:rsidR="000326F6" w:rsidRPr="000326F6" w:rsidRDefault="000326F6" w:rsidP="00DC1B7D">
      <w:pPr>
        <w:pStyle w:val="Heading2"/>
        <w:jc w:val="left"/>
      </w:pPr>
      <w:bookmarkStart w:id="29" w:name="_Toc237017771"/>
      <w:bookmarkStart w:id="30" w:name="_Toc238218110"/>
      <w:r w:rsidRPr="000326F6">
        <w:t>2.1 Purpose and approach</w:t>
      </w:r>
      <w:bookmarkEnd w:id="29"/>
      <w:bookmarkEnd w:id="30"/>
    </w:p>
    <w:p w14:paraId="541A18C6" w14:textId="77777777" w:rsidR="00AB2427" w:rsidRDefault="00130A17" w:rsidP="00DC1B7D">
      <w:pPr>
        <w:spacing w:line="360" w:lineRule="auto"/>
      </w:pPr>
      <w:r>
        <w:t>This chapter develops the concepts needed to analyse Bunzl rather than presenting an encyclopaedic review of sustainability. It first defines SSCM and identifies practices relevant to a value-added distributor. It then examines the possible links with operational performance and customer value, evaluates three theoretical lenses and builds a study-specific framework. Throughout, agreement and disagreement in the literature are used to determine what the documentary evidence can and cannot establish.</w:t>
      </w:r>
    </w:p>
    <w:p w14:paraId="08354245" w14:textId="77777777" w:rsidR="000326F6" w:rsidRPr="000326F6" w:rsidRDefault="000326F6" w:rsidP="00DC1B7D">
      <w:pPr>
        <w:pStyle w:val="Heading2"/>
        <w:jc w:val="left"/>
      </w:pPr>
      <w:bookmarkStart w:id="31" w:name="_Toc237017772"/>
      <w:bookmarkStart w:id="32" w:name="_Toc238218111"/>
      <w:r w:rsidRPr="000326F6">
        <w:t>2.2 Green supply chain to SSCM</w:t>
      </w:r>
      <w:bookmarkEnd w:id="31"/>
      <w:bookmarkEnd w:id="32"/>
    </w:p>
    <w:p w14:paraId="7E3BF87A" w14:textId="77777777" w:rsidR="00AB2427" w:rsidRDefault="00130A17" w:rsidP="00DC1B7D">
      <w:pPr>
        <w:spacing w:line="360" w:lineRule="auto"/>
      </w:pPr>
      <w:r>
        <w:t>Green supply chain management concentrates on environmental impacts in purchasing, operations, logistics, product use and recovery. SSCM is broader because it combines environmental and social objectives with the economic viability needed to maintain supply and service. Seuring and Müller (2008) emphasise material, information and capital flows and inter-organisational cooperation, while Carter and Rogers (2008) stress the strategic and transparent integration of social, environmental and economic goals. Ahi and Searcy (2013) show that definitions vary substantially in scope and stakeholder emphasis.</w:t>
      </w:r>
    </w:p>
    <w:p w14:paraId="5DB84EFD" w14:textId="77777777" w:rsidR="00AB2427" w:rsidRDefault="00130A17" w:rsidP="00DC1B7D">
      <w:pPr>
        <w:spacing w:line="360" w:lineRule="auto"/>
      </w:pPr>
      <w:r>
        <w:t>For this study, the broad concept is narrowed to activities that Bunzl can influence between suppliers and business customers. These include supplier standards, risk screening, assessment and remediation; changes to products and materials; carbon and resource management; consolidation and digital information; and customer support for product transitions. Activities outside these flows are not coded as SSCM simply because they appear under an environmental, social and governance heading.</w:t>
      </w:r>
    </w:p>
    <w:p w14:paraId="02BB24B1" w14:textId="77777777" w:rsidR="00AB2427" w:rsidRDefault="00130A17" w:rsidP="00DC1B7D">
      <w:pPr>
        <w:spacing w:line="360" w:lineRule="auto"/>
      </w:pPr>
      <w:r>
        <w:t>The World Commission on Environment and Development (1987) provides the wider principle of meeting present needs without compromising future generations. That principle does not specify what a distributor should measure. Operational questions are more concrete: whether labour and human-rights risks are addressed, lower-impact products are available and functional, carbon and resources are reduced on a consistent basis, and the resulting service remains commercially viable.</w:t>
      </w:r>
    </w:p>
    <w:p w14:paraId="607B598A" w14:textId="77777777" w:rsidR="000326F6" w:rsidRPr="000326F6" w:rsidRDefault="000326F6" w:rsidP="00DC1B7D">
      <w:pPr>
        <w:pStyle w:val="Heading2"/>
        <w:jc w:val="left"/>
      </w:pPr>
      <w:bookmarkStart w:id="33" w:name="_Toc237017773"/>
      <w:bookmarkStart w:id="34" w:name="_Toc238218112"/>
      <w:r w:rsidRPr="000326F6">
        <w:lastRenderedPageBreak/>
        <w:t>2.3 Practices related to distribution in the SSCM model</w:t>
      </w:r>
      <w:bookmarkEnd w:id="33"/>
      <w:bookmarkEnd w:id="34"/>
    </w:p>
    <w:p w14:paraId="7726E8A9" w14:textId="77777777" w:rsidR="000326F6" w:rsidRPr="000326F6" w:rsidRDefault="000326F6" w:rsidP="00DC1B7D">
      <w:pPr>
        <w:pStyle w:val="Heading3"/>
        <w:jc w:val="left"/>
      </w:pPr>
      <w:bookmarkStart w:id="35" w:name="_Toc237017774"/>
      <w:bookmarkStart w:id="36" w:name="_Toc238218113"/>
      <w:r w:rsidRPr="000326F6">
        <w:t>2.3.1 Responsible sourcing and supplier governance</w:t>
      </w:r>
      <w:bookmarkEnd w:id="35"/>
      <w:bookmarkEnd w:id="36"/>
    </w:p>
    <w:p w14:paraId="2AB890F5" w14:textId="77777777" w:rsidR="00AB2427" w:rsidRDefault="00130A17" w:rsidP="00DC1B7D">
      <w:pPr>
        <w:spacing w:line="360" w:lineRule="auto"/>
      </w:pPr>
      <w:r>
        <w:t>Many sustainability risks occur beyond the legal boundary of the focal firm. Supplier codes, screening, assessments, audits, corrective action and collaboration are therefore used to communicate and enforce expectations. Gimenez and Tachizawa (2012) distinguish assessment, which evaluates suppliers against requirements, from collaboration, which seeks improvement through joint action. For Bunzl, an increase in assessments indicates wider oversight, but improved conditions require additional evidence such as completed remediation, repeat-assessment results or a sourcing consequence.</w:t>
      </w:r>
    </w:p>
    <w:p w14:paraId="059DE0B2" w14:textId="77777777" w:rsidR="00AB2427" w:rsidRDefault="00130A17" w:rsidP="00DC1B7D">
      <w:pPr>
        <w:spacing w:line="360" w:lineRule="auto"/>
      </w:pPr>
      <w:r>
        <w:t>Supplier governance may improve visibility of vulnerable sources, support compliance and allow earlier responses to continuity or reputational risks. Yet internal barriers and complex multi-tier supply chains restrict influence (Walker and Jones, 2012; Koberg and Longoni, 2019). The analysis therefore records both the reach of assessment and any disclosed follow-up, while treating limited visibility beyond direct suppliers as an evidential boundary.</w:t>
      </w:r>
    </w:p>
    <w:p w14:paraId="14C1D067" w14:textId="77777777" w:rsidR="000326F6" w:rsidRPr="000326F6" w:rsidRDefault="00B24BEA" w:rsidP="00DC1B7D">
      <w:pPr>
        <w:pStyle w:val="Heading3"/>
        <w:jc w:val="left"/>
      </w:pPr>
      <w:bookmarkStart w:id="37" w:name="_Toc237017775"/>
      <w:bookmarkStart w:id="38" w:name="_Toc238218114"/>
      <w:r w:rsidRPr="000326F6">
        <w:t>2.3.2</w:t>
      </w:r>
      <w:r>
        <w:t xml:space="preserve"> </w:t>
      </w:r>
      <w:r w:rsidR="000326F6" w:rsidRPr="000326F6">
        <w:t>Sustainable product and material transitions</w:t>
      </w:r>
      <w:bookmarkEnd w:id="37"/>
      <w:bookmarkEnd w:id="38"/>
      <w:r w:rsidR="000326F6" w:rsidRPr="000326F6">
        <w:t xml:space="preserve"> </w:t>
      </w:r>
    </w:p>
    <w:p w14:paraId="6A64BAAF" w14:textId="77777777" w:rsidR="00AB2427" w:rsidRDefault="00130A17" w:rsidP="00DC1B7D">
      <w:pPr>
        <w:spacing w:line="360" w:lineRule="auto"/>
      </w:pPr>
      <w:r>
        <w:t>A distributor can influence product impact through assortment decisions, supplier engagement and customer substitution even when manufacturing technology is owned upstream. In Bunzl's case, portfolio indicators cover alternative packaging materials and products described as better suited to a circular economy. These measures indicate commercial transition, but do not establish that every alternative has a lower life-cycle impact. Carbon, recyclability, food safety, durability, local waste infrastructure, price and availability may point in different directions.</w:t>
      </w:r>
    </w:p>
    <w:p w14:paraId="355ABF6A" w14:textId="77777777" w:rsidR="00AB2427" w:rsidRDefault="00130A17" w:rsidP="00DC1B7D">
      <w:pPr>
        <w:spacing w:line="360" w:lineRule="auto"/>
      </w:pPr>
      <w:r>
        <w:t>Pagell and Shevchenko (2014) caution against treating incremental improvements as proof of sustainability. Sales-share indicators remain useful because they show whether alternatives enter the commercial portfolio, but they should be interpreted as evidence of adoption rather than verified whole-life performance. Product claims are therefore coded separately from adoption and downstream outcomes.</w:t>
      </w:r>
    </w:p>
    <w:p w14:paraId="756E184D" w14:textId="77777777" w:rsidR="000326F6" w:rsidRPr="000326F6" w:rsidRDefault="000326F6" w:rsidP="00DC1B7D">
      <w:pPr>
        <w:pStyle w:val="Heading3"/>
        <w:jc w:val="left"/>
      </w:pPr>
      <w:bookmarkStart w:id="39" w:name="_Toc237017776"/>
      <w:bookmarkStart w:id="40" w:name="_Toc238218115"/>
      <w:r w:rsidRPr="000326F6">
        <w:lastRenderedPageBreak/>
        <w:t>2.3.3 Distribution efficiency, consolidation and digitalisation</w:t>
      </w:r>
      <w:bookmarkEnd w:id="39"/>
      <w:bookmarkEnd w:id="40"/>
    </w:p>
    <w:p w14:paraId="1BA7372A" w14:textId="77777777" w:rsidR="00AB2427" w:rsidRDefault="00130A17" w:rsidP="00DC1B7D">
      <w:pPr>
        <w:spacing w:line="360" w:lineRule="auto"/>
      </w:pPr>
      <w:r>
        <w:t>A distributor creates value by aggregating products, orders and deliveries that customers might otherwise procure separately. Consolidated fulfilment, fuller vehicles, efficient warehouses and digital ordering may reduce handling and transaction effort per unit of service. Prior research links environmental supply-chain practices and collaboration with aspects of organisational performance (Vachon and Klassen, 2008; Green et al., 2012), but manufacturing findings cannot be transferred to Bunzl without identifying the affected process and measure.</w:t>
      </w:r>
    </w:p>
    <w:p w14:paraId="78FBFD07" w14:textId="77777777" w:rsidR="00AB2427" w:rsidRDefault="00130A17" w:rsidP="00DC1B7D">
      <w:pPr>
        <w:spacing w:line="360" w:lineRule="auto"/>
      </w:pPr>
      <w:r>
        <w:t>Digital ordering is therefore treated as an enabling capability, not an environmental or service outcome in itself. Its relevance depends on integration with inventory, routing, product data and customer service. A higher digital-order share demonstrates adoption; evidence of fewer errors, lower cost, improved service or reduced emissions would be needed to demonstrate benefit.</w:t>
      </w:r>
    </w:p>
    <w:p w14:paraId="7626ED47" w14:textId="77777777" w:rsidR="000326F6" w:rsidRPr="000326F6" w:rsidRDefault="000326F6" w:rsidP="00DC1B7D">
      <w:pPr>
        <w:pStyle w:val="Heading3"/>
        <w:jc w:val="left"/>
      </w:pPr>
      <w:bookmarkStart w:id="41" w:name="_Toc237017777"/>
      <w:bookmarkStart w:id="42" w:name="_Toc238218116"/>
      <w:bookmarkEnd w:id="41"/>
      <w:r>
        <w:t>2.3.4 Managing carbon and resources</w:t>
      </w:r>
      <w:bookmarkEnd w:id="42"/>
    </w:p>
    <w:p w14:paraId="4E69A0D2" w14:textId="77777777" w:rsidR="00AB2427" w:rsidRDefault="00130A17" w:rsidP="00DC1B7D">
      <w:pPr>
        <w:spacing w:line="360" w:lineRule="auto"/>
      </w:pPr>
      <w:r>
        <w:t>Carbon reduction in distribution may involve fleet changes, energy-efficient facilities, renewable electricity, routing and other operational improvements. Absolute emissions and intensity or "carbon efficiency" answer different questions: the first concerns total reported impact, while the second relates impact to an activity or financial denominator. The analysis keeps Bunzl's indicator definitions and 2019 baseline separate rather than comparing unlike measures.</w:t>
      </w:r>
    </w:p>
    <w:p w14:paraId="454B8503" w14:textId="77777777" w:rsidR="00AB2427" w:rsidRDefault="00130A17" w:rsidP="00DC1B7D">
      <w:pPr>
        <w:spacing w:line="360" w:lineRule="auto"/>
      </w:pPr>
      <w:r>
        <w:t>Reduced energy or material use can support efficiency and lower exposure to carbon-related costs, but an environmental improvement should not be presented as a financial saving without a traceable link. This distinction between an observed environmental outcome and its possible operational mechanism is central to the analytical framework.</w:t>
      </w:r>
    </w:p>
    <w:p w14:paraId="7D3A8D11" w14:textId="77777777" w:rsidR="00AB2427" w:rsidRDefault="00130A17" w:rsidP="00DC1B7D">
      <w:pPr>
        <w:spacing w:line="360" w:lineRule="auto"/>
      </w:pPr>
      <w:r>
        <w:t xml:space="preserve">A distributor's control boundary is important when these practices are evaluated. Bunzl can specify supplier requirements, decide which products to stock, organise product data and influence delivery design, but it does not directly control every production process or the local infrastructure through which a product is recovered. A reported change in portfolio composition therefore demonstrates a commercial and information decision </w:t>
      </w:r>
      <w:r>
        <w:lastRenderedPageBreak/>
        <w:t>within Bunzl's sphere of influence. It does not, without product-specific evidence, demonstrate the environmental performance of the full upstream and downstream system. The same boundary applies to social performance: a supplier standard and assessment process can extend expectations beyond the firm, while sustained improvement depends on supplier response, follow-up and leverage across tiers.</w:t>
      </w:r>
    </w:p>
    <w:p w14:paraId="4A42C23B" w14:textId="77777777" w:rsidR="00AB2427" w:rsidRDefault="00130A17" w:rsidP="00DC1B7D">
      <w:pPr>
        <w:spacing w:line="360" w:lineRule="auto"/>
      </w:pPr>
      <w:r>
        <w:t>The practices are also interdependent. Supplier assurance can affect whether a product is considered suitable for the portfolio, while reliable product data can affect whether category teams recommend it. Digital ordering and consolidation can affect whether the promised alternative is supplied accurately, and customer feedback can reveal whether the transition works in use. Treating each activity as a separate sustainability initiative would miss this sequence. The case is therefore analysed as a connected system in which an upstream control may enable a downstream outcome, but each link requires its own evidence. This systems view is consistent with the emphasis that Carter and Rogers (2008) and Seuring and Müller (2008) place on coordinated material, information and inter-organisational flows.</w:t>
      </w:r>
    </w:p>
    <w:p w14:paraId="7E22316A" w14:textId="77777777" w:rsidR="00B24BEA" w:rsidRDefault="00B24BEA" w:rsidP="00DC1B7D">
      <w:pPr>
        <w:pStyle w:val="Heading2"/>
        <w:jc w:val="left"/>
      </w:pPr>
      <w:bookmarkStart w:id="43" w:name="_Toc237017778"/>
      <w:bookmarkStart w:id="44" w:name="_Toc238218117"/>
      <w:r w:rsidRPr="00B24BEA">
        <w:t>2.4 Operational performance: mechanisms and attribution</w:t>
      </w:r>
      <w:bookmarkEnd w:id="43"/>
      <w:bookmarkEnd w:id="44"/>
    </w:p>
    <w:p w14:paraId="00CEA380" w14:textId="77777777" w:rsidR="00AB2427" w:rsidRDefault="00130A17" w:rsidP="00DC1B7D">
      <w:pPr>
        <w:spacing w:line="360" w:lineRule="auto"/>
      </w:pPr>
      <w:r>
        <w:t>Operational performance is multidimensional, covering cost, productivity, quality, speed, dependability, flexibility, risk control and resilience. Christopher and Peck (2004) define resilience in terms of the ability to respond to disruption, while Tukamuhabwa et al. (2015) emphasise visibility, flexibility and collaboration. A supplier assessment may strengthen visibility, but it is not itself evidence that service was maintained during disruption.</w:t>
      </w:r>
    </w:p>
    <w:p w14:paraId="12631FDF" w14:textId="77777777" w:rsidR="00AB2427" w:rsidRDefault="00130A17" w:rsidP="00DC1B7D">
      <w:pPr>
        <w:spacing w:line="360" w:lineRule="auto"/>
      </w:pPr>
      <w:r>
        <w:t>The literature suggests four relevant mechanisms. Environmental efficiency may reduce energy, waste or resource requirements. Supplier assurance may reduce compliance and continuity exposure. Information exchange and digital processing may improve decisions and coordination. Product expertise and consolidated fulfilment may simplify procurement and differentiate service. Meta-analytic evidence supports a generally positive association between sustainable supply-chain practices and performance, but also reports substantial variation across measures and settings (Golicic and Smith, 2013; Yadav et al., 2023). A contingent interpretation is therefore more defensible than a universal business case.</w:t>
      </w:r>
    </w:p>
    <w:p w14:paraId="7FCA7497" w14:textId="77777777" w:rsidR="00AB2427" w:rsidRDefault="00130A17" w:rsidP="00DC1B7D">
      <w:pPr>
        <w:spacing w:line="360" w:lineRule="auto"/>
      </w:pPr>
      <w:r>
        <w:lastRenderedPageBreak/>
        <w:t>Attribution remains difficult because practices operate as bundles, benefits may follow investment with a delay, and market demand, acquisitions, exchange rates, pricing and execution also affect performance. Corporate reports may select favourable indicators or cases; Boiral (2013) warns that sustainability reporting can create an idealised account. This study therefore looks for consistent definitions, longitudinal evidence and qualifying results, and avoids causal language unless a direct link is reported.</w:t>
      </w:r>
    </w:p>
    <w:p w14:paraId="14E7D49C" w14:textId="77777777" w:rsidR="000326F6" w:rsidRPr="000326F6" w:rsidRDefault="00BE0C08" w:rsidP="00DC1B7D">
      <w:pPr>
        <w:pStyle w:val="Heading2"/>
        <w:jc w:val="left"/>
      </w:pPr>
      <w:bookmarkStart w:id="45" w:name="_Toc237017779"/>
      <w:bookmarkStart w:id="46" w:name="_Toc238218118"/>
      <w:bookmarkEnd w:id="45"/>
      <w:r>
        <w:t>2.5 Customer satisfaction and customer-related value</w:t>
      </w:r>
      <w:bookmarkEnd w:id="46"/>
    </w:p>
    <w:p w14:paraId="1CD41767" w14:textId="77777777" w:rsidR="00AB2427" w:rsidRDefault="00130A17" w:rsidP="00DC1B7D">
      <w:pPr>
        <w:spacing w:line="360" w:lineRule="auto"/>
      </w:pPr>
      <w:r>
        <w:t>Customer satisfaction cannot be assumed from corporate responsibility activity. Luo and Bhattacharya (2006) show that customer satisfaction can mediate the relationship between corporate social responsibility and market value, but the effect depends on organisational capabilities. In Bunzl's setting, credible sustainability support may influence customer evaluation, yet it is unlikely to compensate for poor availability, price or service.</w:t>
      </w:r>
    </w:p>
    <w:p w14:paraId="0F927CC6" w14:textId="77777777" w:rsidR="00AB2427" w:rsidRDefault="00130A17" w:rsidP="00DC1B7D">
      <w:pPr>
        <w:spacing w:line="360" w:lineRule="auto"/>
      </w:pPr>
      <w:r>
        <w:t>Organisational customers may value a supplier's responsible conduct when it benefits both the buying organisation and the relationship (Homburg, Stierl and Bornemann, 2013). Potential value drivers in this case include compliant products, data for customer reporting, simplified procurement, transition expertise and reliable fulfilment. These are mechanisms through which sustainability may become part of the service proposition.</w:t>
      </w:r>
    </w:p>
    <w:p w14:paraId="01C96DCF" w14:textId="77777777" w:rsidR="00AB2427" w:rsidRDefault="00130A17" w:rsidP="00DC1B7D">
      <w:pPr>
        <w:spacing w:line="360" w:lineRule="auto"/>
      </w:pPr>
      <w:r>
        <w:t>Measurement determines the strength of the conclusion. A direct customer measure identifies the population, method, scale and period. Retention and contract wins are behaviourally relevant but multi-causal; engagement counts show reach but not evaluation; product conversion shows action but not post-use satisfaction. The study therefore uses three evidence levels: direct customer measures, behavioural or commercial proxies, and management narratives or selected cases.</w:t>
      </w:r>
    </w:p>
    <w:p w14:paraId="27864251" w14:textId="77777777" w:rsidR="000326F6" w:rsidRPr="00BE0C08" w:rsidRDefault="000326F6" w:rsidP="00DC1B7D">
      <w:pPr>
        <w:pStyle w:val="Heading2"/>
        <w:jc w:val="left"/>
      </w:pPr>
      <w:bookmarkStart w:id="47" w:name="_Toc237017780"/>
      <w:bookmarkStart w:id="48" w:name="_Toc238218119"/>
      <w:bookmarkEnd w:id="47"/>
      <w:r>
        <w:t>2.6 Theoretical lenses and their use in this study</w:t>
      </w:r>
      <w:bookmarkEnd w:id="48"/>
    </w:p>
    <w:p w14:paraId="64AAE608" w14:textId="77777777" w:rsidR="000326F6" w:rsidRPr="000326F6" w:rsidRDefault="000326F6" w:rsidP="00DC1B7D">
      <w:pPr>
        <w:spacing w:line="360" w:lineRule="auto"/>
        <w:rPr>
          <w:rFonts w:cs="Arial"/>
          <w:szCs w:val="24"/>
        </w:rPr>
      </w:pPr>
      <w:r>
        <w:t xml:space="preserve">No single theory explains the environmental, social, operational and relational aspects of this case. The TBL checks whether environmental, social and economic considerations are present, while recognising that they cannot be reduced to one comparable score (Elkington, 1997; Norman and MacDonald, 2004). Stakeholder theory identifies how </w:t>
      </w:r>
      <w:r>
        <w:lastRenderedPageBreak/>
        <w:t>suppliers, customers, employees, investors and regulators shape expectations and value, but does not resolve conflicts between them (Freeman, 1984). The RBV asks whether supplier data, scale, expertise, systems and relationships combine into a valuable capability, although it may understate institutional pressures and collective action (Barney, 1991).</w:t>
      </w:r>
    </w:p>
    <w:p w14:paraId="0B47B220" w14:textId="77777777" w:rsidR="000326F6" w:rsidRPr="000326F6" w:rsidRDefault="000326F6" w:rsidP="00DC1B7D">
      <w:pPr>
        <w:spacing w:line="360" w:lineRule="auto"/>
        <w:rPr>
          <w:rFonts w:cs="Arial"/>
          <w:szCs w:val="24"/>
        </w:rPr>
      </w:pPr>
      <w:r>
        <w:t>Table 2.1 was constructed by converting each theory into one case question, a set of evidence categories, a defined use and a retained limitation. This makes the theoretical role observable in later chapters: the table specifies what was looked for and prevents theory from being added only after the findings were known.</w:t>
      </w:r>
    </w:p>
    <w:p w14:paraId="58893AB5" w14:textId="77777777" w:rsidR="00BE0C08" w:rsidRPr="00BE0C08" w:rsidRDefault="00BE0C08" w:rsidP="00DC1B7D">
      <w:pPr>
        <w:pStyle w:val="Heading4"/>
      </w:pPr>
      <w:r>
        <w:rPr>
          <w:lang w:val="en-GB"/>
        </w:rPr>
        <w:t>Table 2.1 Analytical lenses and their study-specific use</w:t>
      </w:r>
    </w:p>
    <w:tbl>
      <w:tblPr>
        <w:tblW w:w="10135" w:type="dxa"/>
        <w:jc w:val="center"/>
        <w:tblBorders>
          <w:top w:val="single" w:sz="8" w:space="0" w:color="17324D"/>
          <w:left w:val="single" w:sz="4" w:space="0" w:color="C8D3DB"/>
          <w:bottom w:val="single" w:sz="8" w:space="0" w:color="17324D"/>
          <w:right w:val="single" w:sz="4" w:space="0" w:color="C8D3DB"/>
          <w:insideH w:val="single" w:sz="4" w:space="0" w:color="C8D3DB"/>
          <w:insideV w:val="single" w:sz="4" w:space="0" w:color="C8D3DB"/>
        </w:tblBorders>
        <w:tblLayout w:type="fixed"/>
        <w:tblLook w:val="04A0" w:firstRow="1" w:lastRow="0" w:firstColumn="1" w:lastColumn="0" w:noHBand="0" w:noVBand="1"/>
      </w:tblPr>
      <w:tblGrid>
        <w:gridCol w:w="1419"/>
        <w:gridCol w:w="2230"/>
        <w:gridCol w:w="2331"/>
        <w:gridCol w:w="2331"/>
        <w:gridCol w:w="1824"/>
      </w:tblGrid>
      <w:tr w:rsidR="00335582" w:rsidRPr="00335582" w14:paraId="512B9015" w14:textId="77777777" w:rsidTr="00BE0C08">
        <w:trPr>
          <w:cantSplit/>
          <w:trHeight w:val="648"/>
          <w:tblHeader/>
          <w:jc w:val="center"/>
        </w:trPr>
        <w:tc>
          <w:tcPr>
            <w:tcW w:w="1419" w:type="dxa"/>
            <w:shd w:val="clear" w:color="auto" w:fill="17324D"/>
            <w:tcMar>
              <w:top w:w="90" w:type="dxa"/>
              <w:left w:w="90" w:type="dxa"/>
              <w:bottom w:w="90" w:type="dxa"/>
              <w:right w:w="90" w:type="dxa"/>
            </w:tcMar>
            <w:vAlign w:val="center"/>
          </w:tcPr>
          <w:p w14:paraId="239E1DBA" w14:textId="77777777" w:rsidR="00BE0C08" w:rsidRPr="00335582" w:rsidRDefault="00BE0C08" w:rsidP="00DC1B7D">
            <w:pPr>
              <w:spacing w:after="0" w:line="360" w:lineRule="auto"/>
              <w:jc w:val="center"/>
              <w:rPr>
                <w:sz w:val="18"/>
                <w:szCs w:val="18"/>
              </w:rPr>
            </w:pPr>
            <w:r w:rsidRPr="00335582">
              <w:rPr>
                <w:sz w:val="18"/>
                <w:szCs w:val="18"/>
              </w:rPr>
              <w:t>Lens</w:t>
            </w:r>
          </w:p>
        </w:tc>
        <w:tc>
          <w:tcPr>
            <w:tcW w:w="2230" w:type="dxa"/>
            <w:shd w:val="clear" w:color="auto" w:fill="17324D"/>
            <w:tcMar>
              <w:top w:w="90" w:type="dxa"/>
              <w:left w:w="90" w:type="dxa"/>
              <w:bottom w:w="90" w:type="dxa"/>
              <w:right w:w="90" w:type="dxa"/>
            </w:tcMar>
            <w:vAlign w:val="center"/>
          </w:tcPr>
          <w:p w14:paraId="03E73899" w14:textId="77777777" w:rsidR="00BE0C08" w:rsidRPr="00335582" w:rsidRDefault="00BE0C08" w:rsidP="00DC1B7D">
            <w:pPr>
              <w:spacing w:after="0" w:line="360" w:lineRule="auto"/>
              <w:jc w:val="center"/>
              <w:rPr>
                <w:sz w:val="18"/>
                <w:szCs w:val="18"/>
              </w:rPr>
            </w:pPr>
            <w:r w:rsidRPr="00335582">
              <w:rPr>
                <w:sz w:val="18"/>
                <w:szCs w:val="18"/>
              </w:rPr>
              <w:t>Case question</w:t>
            </w:r>
          </w:p>
        </w:tc>
        <w:tc>
          <w:tcPr>
            <w:tcW w:w="2331" w:type="dxa"/>
            <w:shd w:val="clear" w:color="auto" w:fill="17324D"/>
            <w:tcMar>
              <w:top w:w="90" w:type="dxa"/>
              <w:left w:w="90" w:type="dxa"/>
              <w:bottom w:w="90" w:type="dxa"/>
              <w:right w:w="90" w:type="dxa"/>
            </w:tcMar>
            <w:vAlign w:val="center"/>
          </w:tcPr>
          <w:p w14:paraId="5872F8C2" w14:textId="77777777" w:rsidR="00BE0C08" w:rsidRPr="00335582" w:rsidRDefault="00BE0C08" w:rsidP="00DC1B7D">
            <w:pPr>
              <w:spacing w:after="0" w:line="360" w:lineRule="auto"/>
              <w:jc w:val="center"/>
              <w:rPr>
                <w:sz w:val="18"/>
                <w:szCs w:val="18"/>
              </w:rPr>
            </w:pPr>
            <w:r w:rsidRPr="00335582">
              <w:rPr>
                <w:sz w:val="18"/>
                <w:szCs w:val="18"/>
              </w:rPr>
              <w:t>Evidence and codes</w:t>
            </w:r>
          </w:p>
        </w:tc>
        <w:tc>
          <w:tcPr>
            <w:tcW w:w="2331" w:type="dxa"/>
            <w:shd w:val="clear" w:color="auto" w:fill="17324D"/>
            <w:tcMar>
              <w:top w:w="90" w:type="dxa"/>
              <w:left w:w="90" w:type="dxa"/>
              <w:bottom w:w="90" w:type="dxa"/>
              <w:right w:w="90" w:type="dxa"/>
            </w:tcMar>
            <w:vAlign w:val="center"/>
          </w:tcPr>
          <w:p w14:paraId="4DBE06A3" w14:textId="77777777" w:rsidR="00BE0C08" w:rsidRPr="00335582" w:rsidRDefault="00BE0C08" w:rsidP="00DC1B7D">
            <w:pPr>
              <w:spacing w:after="0" w:line="360" w:lineRule="auto"/>
              <w:jc w:val="center"/>
              <w:rPr>
                <w:sz w:val="18"/>
                <w:szCs w:val="18"/>
              </w:rPr>
            </w:pPr>
            <w:r w:rsidRPr="00335582">
              <w:rPr>
                <w:sz w:val="18"/>
                <w:szCs w:val="18"/>
              </w:rPr>
              <w:t>Use in this study</w:t>
            </w:r>
          </w:p>
        </w:tc>
        <w:tc>
          <w:tcPr>
            <w:tcW w:w="1824" w:type="dxa"/>
            <w:shd w:val="clear" w:color="auto" w:fill="17324D"/>
            <w:tcMar>
              <w:top w:w="90" w:type="dxa"/>
              <w:left w:w="90" w:type="dxa"/>
              <w:bottom w:w="90" w:type="dxa"/>
              <w:right w:w="90" w:type="dxa"/>
            </w:tcMar>
            <w:vAlign w:val="center"/>
          </w:tcPr>
          <w:p w14:paraId="0E118518" w14:textId="77777777" w:rsidR="00BE0C08" w:rsidRPr="00335582" w:rsidRDefault="00BE0C08" w:rsidP="00DC1B7D">
            <w:pPr>
              <w:spacing w:after="0" w:line="360" w:lineRule="auto"/>
              <w:jc w:val="center"/>
              <w:rPr>
                <w:sz w:val="18"/>
                <w:szCs w:val="18"/>
              </w:rPr>
            </w:pPr>
            <w:r w:rsidRPr="00335582">
              <w:rPr>
                <w:sz w:val="18"/>
                <w:szCs w:val="18"/>
              </w:rPr>
              <w:t>Limitation retained</w:t>
            </w:r>
          </w:p>
        </w:tc>
      </w:tr>
      <w:tr w:rsidR="00335582" w:rsidRPr="00335582" w14:paraId="6898A719" w14:textId="77777777" w:rsidTr="00BE0C08">
        <w:trPr>
          <w:cantSplit/>
          <w:trHeight w:val="1828"/>
          <w:jc w:val="center"/>
        </w:trPr>
        <w:tc>
          <w:tcPr>
            <w:tcW w:w="1419" w:type="dxa"/>
            <w:tcMar>
              <w:top w:w="90" w:type="dxa"/>
              <w:left w:w="90" w:type="dxa"/>
              <w:bottom w:w="90" w:type="dxa"/>
              <w:right w:w="90" w:type="dxa"/>
            </w:tcMar>
            <w:vAlign w:val="center"/>
          </w:tcPr>
          <w:p w14:paraId="0F434F79" w14:textId="77777777" w:rsidR="00BE0C08" w:rsidRPr="00335582" w:rsidRDefault="00BE0C08" w:rsidP="00DC1B7D">
            <w:pPr>
              <w:spacing w:after="0" w:line="360" w:lineRule="auto"/>
              <w:jc w:val="left"/>
              <w:rPr>
                <w:sz w:val="18"/>
                <w:szCs w:val="18"/>
              </w:rPr>
            </w:pPr>
            <w:r w:rsidRPr="00335582">
              <w:rPr>
                <w:sz w:val="18"/>
                <w:szCs w:val="18"/>
              </w:rPr>
              <w:t>Triple Bottom Line</w:t>
            </w:r>
          </w:p>
        </w:tc>
        <w:tc>
          <w:tcPr>
            <w:tcW w:w="2230" w:type="dxa"/>
            <w:tcMar>
              <w:top w:w="90" w:type="dxa"/>
              <w:left w:w="90" w:type="dxa"/>
              <w:bottom w:w="90" w:type="dxa"/>
              <w:right w:w="90" w:type="dxa"/>
            </w:tcMar>
            <w:vAlign w:val="center"/>
          </w:tcPr>
          <w:p w14:paraId="244C8045" w14:textId="77777777" w:rsidR="00BE0C08" w:rsidRPr="00335582" w:rsidRDefault="00BE0C08" w:rsidP="00DC1B7D">
            <w:pPr>
              <w:spacing w:after="0" w:line="360" w:lineRule="auto"/>
              <w:jc w:val="left"/>
              <w:rPr>
                <w:sz w:val="18"/>
                <w:szCs w:val="18"/>
              </w:rPr>
            </w:pPr>
            <w:r w:rsidRPr="00335582">
              <w:rPr>
                <w:sz w:val="18"/>
                <w:szCs w:val="18"/>
              </w:rPr>
              <w:t>Are environmental, social and economic considerations integrated?</w:t>
            </w:r>
          </w:p>
        </w:tc>
        <w:tc>
          <w:tcPr>
            <w:tcW w:w="2331" w:type="dxa"/>
            <w:tcMar>
              <w:top w:w="90" w:type="dxa"/>
              <w:left w:w="90" w:type="dxa"/>
              <w:bottom w:w="90" w:type="dxa"/>
              <w:right w:w="90" w:type="dxa"/>
            </w:tcMar>
            <w:vAlign w:val="center"/>
          </w:tcPr>
          <w:p w14:paraId="25E18A18" w14:textId="77777777" w:rsidR="00BE0C08" w:rsidRPr="00335582" w:rsidRDefault="00BE0C08" w:rsidP="00DC1B7D">
            <w:pPr>
              <w:spacing w:after="0" w:line="360" w:lineRule="auto"/>
              <w:jc w:val="left"/>
              <w:rPr>
                <w:sz w:val="18"/>
                <w:szCs w:val="18"/>
              </w:rPr>
            </w:pPr>
            <w:r w:rsidRPr="00335582">
              <w:rPr>
                <w:sz w:val="18"/>
                <w:szCs w:val="18"/>
              </w:rPr>
              <w:t>Carbon, materials, supplier conditions, operating and commercial outcomes</w:t>
            </w:r>
          </w:p>
        </w:tc>
        <w:tc>
          <w:tcPr>
            <w:tcW w:w="2331" w:type="dxa"/>
            <w:tcMar>
              <w:top w:w="90" w:type="dxa"/>
              <w:left w:w="90" w:type="dxa"/>
              <w:bottom w:w="90" w:type="dxa"/>
              <w:right w:w="90" w:type="dxa"/>
            </w:tcMar>
            <w:vAlign w:val="center"/>
          </w:tcPr>
          <w:p w14:paraId="587B88F1" w14:textId="77777777" w:rsidR="00BE0C08" w:rsidRPr="00335582" w:rsidRDefault="00BE0C08" w:rsidP="00DC1B7D">
            <w:pPr>
              <w:spacing w:after="0" w:line="360" w:lineRule="auto"/>
              <w:jc w:val="left"/>
              <w:rPr>
                <w:sz w:val="18"/>
                <w:szCs w:val="18"/>
              </w:rPr>
            </w:pPr>
            <w:r w:rsidRPr="00335582">
              <w:rPr>
                <w:sz w:val="18"/>
                <w:szCs w:val="18"/>
              </w:rPr>
              <w:t>Checks completeness and exposes trade-offs (Elkington, 1997).</w:t>
            </w:r>
          </w:p>
        </w:tc>
        <w:tc>
          <w:tcPr>
            <w:tcW w:w="1824" w:type="dxa"/>
            <w:tcMar>
              <w:top w:w="90" w:type="dxa"/>
              <w:left w:w="90" w:type="dxa"/>
              <w:bottom w:w="90" w:type="dxa"/>
              <w:right w:w="90" w:type="dxa"/>
            </w:tcMar>
            <w:vAlign w:val="center"/>
          </w:tcPr>
          <w:p w14:paraId="164177AB" w14:textId="77777777" w:rsidR="00BE0C08" w:rsidRPr="00335582" w:rsidRDefault="00BE0C08" w:rsidP="00DC1B7D">
            <w:pPr>
              <w:spacing w:after="0" w:line="360" w:lineRule="auto"/>
              <w:jc w:val="left"/>
              <w:rPr>
                <w:sz w:val="18"/>
                <w:szCs w:val="18"/>
              </w:rPr>
            </w:pPr>
            <w:r w:rsidRPr="00335582">
              <w:rPr>
                <w:sz w:val="18"/>
                <w:szCs w:val="18"/>
              </w:rPr>
              <w:t>Dimensions are not commensurable or a single score (Norman and MacDonald, 2004).</w:t>
            </w:r>
          </w:p>
        </w:tc>
      </w:tr>
      <w:tr w:rsidR="00335582" w:rsidRPr="00335582" w14:paraId="0F997770" w14:textId="77777777" w:rsidTr="00BE0C08">
        <w:trPr>
          <w:cantSplit/>
          <w:trHeight w:val="1361"/>
          <w:jc w:val="center"/>
        </w:trPr>
        <w:tc>
          <w:tcPr>
            <w:tcW w:w="1419" w:type="dxa"/>
            <w:shd w:val="clear" w:color="auto" w:fill="F5F8FA"/>
            <w:tcMar>
              <w:top w:w="90" w:type="dxa"/>
              <w:left w:w="90" w:type="dxa"/>
              <w:bottom w:w="90" w:type="dxa"/>
              <w:right w:w="90" w:type="dxa"/>
            </w:tcMar>
            <w:vAlign w:val="center"/>
          </w:tcPr>
          <w:p w14:paraId="434F4AF7" w14:textId="77777777" w:rsidR="00BE0C08" w:rsidRPr="00335582" w:rsidRDefault="00BE0C08" w:rsidP="00DC1B7D">
            <w:pPr>
              <w:spacing w:after="0" w:line="360" w:lineRule="auto"/>
              <w:jc w:val="left"/>
              <w:rPr>
                <w:sz w:val="18"/>
                <w:szCs w:val="18"/>
              </w:rPr>
            </w:pPr>
            <w:r w:rsidRPr="00335582">
              <w:rPr>
                <w:sz w:val="18"/>
                <w:szCs w:val="18"/>
              </w:rPr>
              <w:t>Stakeholder theory</w:t>
            </w:r>
          </w:p>
        </w:tc>
        <w:tc>
          <w:tcPr>
            <w:tcW w:w="2230" w:type="dxa"/>
            <w:shd w:val="clear" w:color="auto" w:fill="F5F8FA"/>
            <w:tcMar>
              <w:top w:w="90" w:type="dxa"/>
              <w:left w:w="90" w:type="dxa"/>
              <w:bottom w:w="90" w:type="dxa"/>
              <w:right w:w="90" w:type="dxa"/>
            </w:tcMar>
            <w:vAlign w:val="center"/>
          </w:tcPr>
          <w:p w14:paraId="53FBBA40" w14:textId="77777777" w:rsidR="00BE0C08" w:rsidRPr="00335582" w:rsidRDefault="00BE0C08" w:rsidP="00DC1B7D">
            <w:pPr>
              <w:spacing w:after="0" w:line="360" w:lineRule="auto"/>
              <w:jc w:val="left"/>
              <w:rPr>
                <w:sz w:val="18"/>
                <w:szCs w:val="18"/>
              </w:rPr>
            </w:pPr>
            <w:r w:rsidRPr="00335582">
              <w:rPr>
                <w:sz w:val="18"/>
                <w:szCs w:val="18"/>
              </w:rPr>
              <w:t>Whose expectations and value are affected?</w:t>
            </w:r>
          </w:p>
        </w:tc>
        <w:tc>
          <w:tcPr>
            <w:tcW w:w="2331" w:type="dxa"/>
            <w:shd w:val="clear" w:color="auto" w:fill="F5F8FA"/>
            <w:tcMar>
              <w:top w:w="90" w:type="dxa"/>
              <w:left w:w="90" w:type="dxa"/>
              <w:bottom w:w="90" w:type="dxa"/>
              <w:right w:w="90" w:type="dxa"/>
            </w:tcMar>
            <w:vAlign w:val="center"/>
          </w:tcPr>
          <w:p w14:paraId="7B24FEE4" w14:textId="77777777" w:rsidR="00BE0C08" w:rsidRPr="00335582" w:rsidRDefault="00BE0C08" w:rsidP="00DC1B7D">
            <w:pPr>
              <w:spacing w:after="0" w:line="360" w:lineRule="auto"/>
              <w:jc w:val="left"/>
              <w:rPr>
                <w:sz w:val="18"/>
                <w:szCs w:val="18"/>
              </w:rPr>
            </w:pPr>
            <w:r w:rsidRPr="00335582">
              <w:rPr>
                <w:sz w:val="18"/>
                <w:szCs w:val="18"/>
              </w:rPr>
              <w:t>Supplier standards, customer requirements, employees, investors and regulation</w:t>
            </w:r>
          </w:p>
        </w:tc>
        <w:tc>
          <w:tcPr>
            <w:tcW w:w="2331" w:type="dxa"/>
            <w:shd w:val="clear" w:color="auto" w:fill="F5F8FA"/>
            <w:tcMar>
              <w:top w:w="90" w:type="dxa"/>
              <w:left w:w="90" w:type="dxa"/>
              <w:bottom w:w="90" w:type="dxa"/>
              <w:right w:w="90" w:type="dxa"/>
            </w:tcMar>
            <w:vAlign w:val="center"/>
          </w:tcPr>
          <w:p w14:paraId="55536245" w14:textId="77777777" w:rsidR="00BE0C08" w:rsidRPr="00335582" w:rsidRDefault="00BE0C08" w:rsidP="00DC1B7D">
            <w:pPr>
              <w:spacing w:after="0" w:line="360" w:lineRule="auto"/>
              <w:jc w:val="left"/>
              <w:rPr>
                <w:sz w:val="18"/>
                <w:szCs w:val="18"/>
              </w:rPr>
            </w:pPr>
            <w:r w:rsidRPr="00335582">
              <w:rPr>
                <w:sz w:val="18"/>
                <w:szCs w:val="18"/>
              </w:rPr>
              <w:t>Connects upstream governance with downstream value (Freeman, 1984).</w:t>
            </w:r>
          </w:p>
        </w:tc>
        <w:tc>
          <w:tcPr>
            <w:tcW w:w="1824" w:type="dxa"/>
            <w:shd w:val="clear" w:color="auto" w:fill="F5F8FA"/>
            <w:tcMar>
              <w:top w:w="90" w:type="dxa"/>
              <w:left w:w="90" w:type="dxa"/>
              <w:bottom w:w="90" w:type="dxa"/>
              <w:right w:w="90" w:type="dxa"/>
            </w:tcMar>
            <w:vAlign w:val="center"/>
          </w:tcPr>
          <w:p w14:paraId="7AEDCB34" w14:textId="77777777" w:rsidR="00BE0C08" w:rsidRPr="00335582" w:rsidRDefault="00BE0C08" w:rsidP="00DC1B7D">
            <w:pPr>
              <w:spacing w:after="0" w:line="360" w:lineRule="auto"/>
              <w:jc w:val="left"/>
              <w:rPr>
                <w:sz w:val="18"/>
                <w:szCs w:val="18"/>
              </w:rPr>
            </w:pPr>
            <w:r w:rsidRPr="00335582">
              <w:rPr>
                <w:sz w:val="18"/>
                <w:szCs w:val="18"/>
              </w:rPr>
              <w:t>Does not resolve conflicting claims or priorities.</w:t>
            </w:r>
          </w:p>
        </w:tc>
      </w:tr>
      <w:tr w:rsidR="00335582" w:rsidRPr="00335582" w14:paraId="2A1AA3F2" w14:textId="77777777" w:rsidTr="00BE0C08">
        <w:trPr>
          <w:cantSplit/>
          <w:trHeight w:val="1350"/>
          <w:jc w:val="center"/>
        </w:trPr>
        <w:tc>
          <w:tcPr>
            <w:tcW w:w="1419" w:type="dxa"/>
            <w:tcMar>
              <w:top w:w="90" w:type="dxa"/>
              <w:left w:w="90" w:type="dxa"/>
              <w:bottom w:w="90" w:type="dxa"/>
              <w:right w:w="90" w:type="dxa"/>
            </w:tcMar>
            <w:vAlign w:val="center"/>
          </w:tcPr>
          <w:p w14:paraId="0D87CCBF" w14:textId="77777777" w:rsidR="00BE0C08" w:rsidRPr="00335582" w:rsidRDefault="00BE0C08" w:rsidP="00DC1B7D">
            <w:pPr>
              <w:spacing w:after="0" w:line="360" w:lineRule="auto"/>
              <w:jc w:val="left"/>
              <w:rPr>
                <w:sz w:val="18"/>
                <w:szCs w:val="18"/>
              </w:rPr>
            </w:pPr>
            <w:r w:rsidRPr="00335582">
              <w:rPr>
                <w:sz w:val="18"/>
                <w:szCs w:val="18"/>
              </w:rPr>
              <w:t>Resource-Based View</w:t>
            </w:r>
          </w:p>
        </w:tc>
        <w:tc>
          <w:tcPr>
            <w:tcW w:w="2230" w:type="dxa"/>
            <w:tcMar>
              <w:top w:w="90" w:type="dxa"/>
              <w:left w:w="90" w:type="dxa"/>
              <w:bottom w:w="90" w:type="dxa"/>
              <w:right w:w="90" w:type="dxa"/>
            </w:tcMar>
            <w:vAlign w:val="center"/>
          </w:tcPr>
          <w:p w14:paraId="2DC672AF" w14:textId="77777777" w:rsidR="00BE0C08" w:rsidRPr="00335582" w:rsidRDefault="00BE0C08" w:rsidP="00DC1B7D">
            <w:pPr>
              <w:spacing w:after="0" w:line="360" w:lineRule="auto"/>
              <w:jc w:val="left"/>
              <w:rPr>
                <w:sz w:val="18"/>
                <w:szCs w:val="18"/>
              </w:rPr>
            </w:pPr>
            <w:r w:rsidRPr="00335582">
              <w:rPr>
                <w:sz w:val="18"/>
                <w:szCs w:val="18"/>
              </w:rPr>
              <w:t>Which combined capabilities could enable durable value?</w:t>
            </w:r>
          </w:p>
        </w:tc>
        <w:tc>
          <w:tcPr>
            <w:tcW w:w="2331" w:type="dxa"/>
            <w:tcMar>
              <w:top w:w="90" w:type="dxa"/>
              <w:left w:w="90" w:type="dxa"/>
              <w:bottom w:w="90" w:type="dxa"/>
              <w:right w:w="90" w:type="dxa"/>
            </w:tcMar>
            <w:vAlign w:val="center"/>
          </w:tcPr>
          <w:p w14:paraId="312A7F5D" w14:textId="77777777" w:rsidR="00BE0C08" w:rsidRPr="00335582" w:rsidRDefault="00BE0C08" w:rsidP="00DC1B7D">
            <w:pPr>
              <w:spacing w:after="0" w:line="360" w:lineRule="auto"/>
              <w:jc w:val="left"/>
              <w:rPr>
                <w:sz w:val="18"/>
                <w:szCs w:val="18"/>
              </w:rPr>
            </w:pPr>
            <w:r w:rsidRPr="00335582">
              <w:rPr>
                <w:sz w:val="18"/>
                <w:szCs w:val="18"/>
              </w:rPr>
              <w:t>Supplier data, category expertise, consolidation, digital systems and relationships</w:t>
            </w:r>
          </w:p>
        </w:tc>
        <w:tc>
          <w:tcPr>
            <w:tcW w:w="2331" w:type="dxa"/>
            <w:tcMar>
              <w:top w:w="90" w:type="dxa"/>
              <w:left w:w="90" w:type="dxa"/>
              <w:bottom w:w="90" w:type="dxa"/>
              <w:right w:w="90" w:type="dxa"/>
            </w:tcMar>
            <w:vAlign w:val="center"/>
          </w:tcPr>
          <w:p w14:paraId="4664D9D1" w14:textId="77777777" w:rsidR="00BE0C08" w:rsidRPr="00335582" w:rsidRDefault="00BE0C08" w:rsidP="00DC1B7D">
            <w:pPr>
              <w:spacing w:after="0" w:line="360" w:lineRule="auto"/>
              <w:jc w:val="left"/>
              <w:rPr>
                <w:sz w:val="18"/>
                <w:szCs w:val="18"/>
              </w:rPr>
            </w:pPr>
            <w:r w:rsidRPr="00335582">
              <w:rPr>
                <w:sz w:val="18"/>
                <w:szCs w:val="18"/>
              </w:rPr>
              <w:t>Explains value from integrated organisational capability (Barney, 1991).</w:t>
            </w:r>
          </w:p>
        </w:tc>
        <w:tc>
          <w:tcPr>
            <w:tcW w:w="1824" w:type="dxa"/>
            <w:tcMar>
              <w:top w:w="90" w:type="dxa"/>
              <w:left w:w="90" w:type="dxa"/>
              <w:bottom w:w="90" w:type="dxa"/>
              <w:right w:w="90" w:type="dxa"/>
            </w:tcMar>
            <w:vAlign w:val="center"/>
          </w:tcPr>
          <w:p w14:paraId="26050842" w14:textId="77777777" w:rsidR="00BE0C08" w:rsidRPr="00335582" w:rsidRDefault="00BE0C08" w:rsidP="00DC1B7D">
            <w:pPr>
              <w:spacing w:after="0" w:line="360" w:lineRule="auto"/>
              <w:jc w:val="left"/>
              <w:rPr>
                <w:sz w:val="18"/>
                <w:szCs w:val="18"/>
              </w:rPr>
            </w:pPr>
            <w:r w:rsidRPr="00335582">
              <w:rPr>
                <w:sz w:val="18"/>
                <w:szCs w:val="18"/>
              </w:rPr>
              <w:t>Capability is insufficient without demand and execution.</w:t>
            </w:r>
          </w:p>
        </w:tc>
      </w:tr>
    </w:tbl>
    <w:p w14:paraId="5B1037D4" w14:textId="77777777" w:rsidR="00BE0C08" w:rsidRDefault="00BE0C08" w:rsidP="00DC1B7D">
      <w:pPr>
        <w:spacing w:line="360" w:lineRule="auto"/>
        <w:rPr>
          <w:rFonts w:cs="Arial"/>
          <w:szCs w:val="24"/>
        </w:rPr>
      </w:pPr>
    </w:p>
    <w:p w14:paraId="183AB3B5" w14:textId="77777777" w:rsidR="000326F6" w:rsidRPr="000326F6" w:rsidRDefault="000326F6" w:rsidP="00DC1B7D">
      <w:pPr>
        <w:spacing w:line="360" w:lineRule="auto"/>
        <w:rPr>
          <w:rFonts w:cs="Arial"/>
          <w:szCs w:val="24"/>
        </w:rPr>
      </w:pPr>
      <w:r>
        <w:t>Table 2.1 therefore acts as an analytical bridge. The TBL identifies trade-offs and missing dimensions; stakeholder theory links upstream governance with customer and regulatory expectations; and the RBV examines whether information, expertise and relationships form an integrated capability. None of the lenses is used to infer causality on its own.</w:t>
      </w:r>
    </w:p>
    <w:p w14:paraId="1F0CEB9E" w14:textId="77777777" w:rsidR="00AB2427" w:rsidRDefault="00130A17" w:rsidP="00DC1B7D">
      <w:pPr>
        <w:spacing w:line="360" w:lineRule="auto"/>
      </w:pPr>
      <w:r>
        <w:lastRenderedPageBreak/>
        <w:t>The three lenses are used together because they answer different questions about the same record. For example, an increase in supplier assessments contributes to the social and economic dimensions of the TBL, identifies expectations held by regulators, customers and other stakeholders, and may represent an information capability under the RBV. None of those interpretations establishes that supplier conditions improved or that disruption was avoided. Theories organise the meaning of the evidence; they do not raise its evidential strength. An outcome claim still requires a defined measure, a relevant period and a credible connection with the practice.</w:t>
      </w:r>
    </w:p>
    <w:p w14:paraId="4DB7BD1A" w14:textId="77777777" w:rsidR="00AB2427" w:rsidRDefault="00130A17" w:rsidP="00DC1B7D">
      <w:pPr>
        <w:spacing w:line="360" w:lineRule="auto"/>
      </w:pPr>
      <w:r>
        <w:t>This combined use also prevents one-sided interpretation. A resource may be valuable to Bunzl but impose cost or reporting burdens on suppliers; a product transition may meet stakeholder expectations but weaken service if availability or functionality is inadequate; and an environmental indicator may improve without a corresponding financial result. The TBL keeps unlike outcomes visible, stakeholder theory identifies who bears the benefit or burden, and the RBV examines whether Bunzl can coordinate the required information and relationships. These questions were carried into the codebook and the evidence-strength assessment rather than used only as retrospective labels.</w:t>
      </w:r>
    </w:p>
    <w:p w14:paraId="1CDE6AD6" w14:textId="77777777" w:rsidR="000326F6" w:rsidRPr="000326F6" w:rsidRDefault="000326F6" w:rsidP="00DC1B7D">
      <w:pPr>
        <w:pStyle w:val="Heading2"/>
        <w:jc w:val="left"/>
      </w:pPr>
      <w:bookmarkStart w:id="49" w:name="_Toc237017781"/>
      <w:bookmarkStart w:id="50" w:name="_Toc238218120"/>
      <w:r w:rsidRPr="000326F6">
        <w:t>2.7 Study-specific analytical framework</w:t>
      </w:r>
      <w:bookmarkEnd w:id="49"/>
      <w:bookmarkEnd w:id="50"/>
    </w:p>
    <w:p w14:paraId="1BB545CC" w14:textId="77777777" w:rsidR="000326F6" w:rsidRPr="000326F6" w:rsidRDefault="000326F6" w:rsidP="00DC1B7D">
      <w:pPr>
        <w:spacing w:line="360" w:lineRule="auto"/>
        <w:rPr>
          <w:rFonts w:cs="Arial"/>
          <w:szCs w:val="24"/>
        </w:rPr>
      </w:pPr>
      <w:r>
        <w:t>The literature indicates that SSCM practices do not automatically produce organisational outcomes. Figure 2.1 was constructed by placing the distributor-specific practices identified in Sections 2.3-2.5 on the left, the mechanisms supported by the literature in the centre, and the operational and customer outcomes relevant to the research questions on the right. Conditions that can weaken or redirect the pathway are shown beneath it.</w:t>
      </w:r>
    </w:p>
    <w:p w14:paraId="1443637A" w14:textId="77777777" w:rsidR="00335953" w:rsidRPr="00335953" w:rsidRDefault="00335953" w:rsidP="00DC1B7D">
      <w:pPr>
        <w:pStyle w:val="Heading4"/>
      </w:pPr>
      <w:r>
        <w:rPr>
          <w:lang w:val="en-GB"/>
        </w:rPr>
        <w:lastRenderedPageBreak/>
        <w:t>Figure 2.1 Study-specific analytical framework for Bunzl</w:t>
      </w:r>
    </w:p>
    <w:p w14:paraId="784BF3EB" w14:textId="77777777" w:rsidR="0010140B" w:rsidRDefault="0010140B" w:rsidP="00DC1B7D">
      <w:pPr>
        <w:keepNext/>
        <w:spacing w:after="40" w:line="360" w:lineRule="auto"/>
        <w:rPr>
          <w:rFonts w:eastAsia="Arial" w:cs="Arial"/>
          <w:b/>
          <w:color w:val="24797D"/>
          <w:sz w:val="18"/>
        </w:rPr>
      </w:pPr>
    </w:p>
    <w:p w14:paraId="14D96BD8" w14:textId="77777777" w:rsidR="0010140B" w:rsidRDefault="0010140B" w:rsidP="00DC1B7D">
      <w:pPr>
        <w:keepNext/>
        <w:spacing w:after="40" w:line="360" w:lineRule="auto"/>
      </w:pPr>
      <w:r>
        <w:rPr>
          <w:rFonts w:eastAsia="Arial" w:cs="Arial"/>
          <w:b/>
          <w:color w:val="24797D"/>
          <w:sz w:val="18"/>
        </w:rPr>
        <w:t>FROM PRACTICE TO OUTCOME</w:t>
      </w:r>
    </w:p>
    <w:p w14:paraId="740AFF7A" w14:textId="77777777" w:rsidR="0010140B" w:rsidRDefault="0010140B" w:rsidP="00DC1B7D">
      <w:pPr>
        <w:keepNext/>
        <w:spacing w:after="140" w:line="360" w:lineRule="auto"/>
      </w:pPr>
      <w:r>
        <w:rPr>
          <w:rFonts w:eastAsia="Arial" w:cs="Arial"/>
          <w:b/>
          <w:color w:val="173653"/>
          <w:sz w:val="40"/>
        </w:rPr>
        <w:t>A distributor-specific SSCM pathway</w:t>
      </w:r>
    </w:p>
    <w:tbl>
      <w:tblPr>
        <w:tblW w:w="9387" w:type="dxa"/>
        <w:tblBorders>
          <w:top w:val="nil"/>
          <w:left w:val="nil"/>
          <w:bottom w:val="nil"/>
          <w:right w:val="nil"/>
          <w:insideH w:val="nil"/>
          <w:insideV w:val="nil"/>
        </w:tblBorders>
        <w:tblLayout w:type="fixed"/>
        <w:tblLook w:val="04A0" w:firstRow="1" w:lastRow="0" w:firstColumn="1" w:lastColumn="0" w:noHBand="0" w:noVBand="1"/>
      </w:tblPr>
      <w:tblGrid>
        <w:gridCol w:w="2701"/>
        <w:gridCol w:w="379"/>
        <w:gridCol w:w="2702"/>
        <w:gridCol w:w="469"/>
        <w:gridCol w:w="3087"/>
        <w:gridCol w:w="49"/>
      </w:tblGrid>
      <w:tr w:rsidR="0010140B" w14:paraId="301CCDD8" w14:textId="77777777" w:rsidTr="0010140B">
        <w:trPr>
          <w:trHeight w:val="442"/>
          <w:tblHeader/>
        </w:trPr>
        <w:tc>
          <w:tcPr>
            <w:tcW w:w="2701" w:type="dxa"/>
            <w:tcBorders>
              <w:top w:val="nil"/>
              <w:left w:val="nil"/>
              <w:bottom w:val="nil"/>
              <w:right w:val="nil"/>
            </w:tcBorders>
            <w:shd w:val="clear" w:color="auto" w:fill="FFFFFF"/>
            <w:tcMar>
              <w:top w:w="90" w:type="dxa"/>
              <w:left w:w="90" w:type="dxa"/>
              <w:bottom w:w="90" w:type="dxa"/>
              <w:right w:w="90" w:type="dxa"/>
            </w:tcMar>
            <w:vAlign w:val="center"/>
          </w:tcPr>
          <w:p w14:paraId="64F7EC7F" w14:textId="77777777" w:rsidR="0010140B" w:rsidRDefault="0010140B" w:rsidP="00DC1B7D">
            <w:pPr>
              <w:spacing w:after="0" w:line="360" w:lineRule="auto"/>
              <w:jc w:val="center"/>
            </w:pPr>
            <w:r>
              <w:rPr>
                <w:rFonts w:eastAsia="Arial" w:cs="Arial"/>
                <w:b/>
                <w:color w:val="607484"/>
                <w:sz w:val="18"/>
              </w:rPr>
              <w:t>1  PRACTICES</w:t>
            </w:r>
          </w:p>
        </w:tc>
        <w:tc>
          <w:tcPr>
            <w:tcW w:w="379" w:type="dxa"/>
            <w:tcBorders>
              <w:top w:val="nil"/>
              <w:left w:val="nil"/>
              <w:bottom w:val="nil"/>
              <w:right w:val="nil"/>
            </w:tcBorders>
            <w:shd w:val="clear" w:color="auto" w:fill="FFFFFF"/>
            <w:tcMar>
              <w:top w:w="90" w:type="dxa"/>
              <w:left w:w="90" w:type="dxa"/>
              <w:bottom w:w="90" w:type="dxa"/>
              <w:right w:w="90" w:type="dxa"/>
            </w:tcMar>
            <w:vAlign w:val="center"/>
          </w:tcPr>
          <w:p w14:paraId="1638A3AC" w14:textId="77777777" w:rsidR="0010140B" w:rsidRDefault="0010140B" w:rsidP="00DC1B7D">
            <w:pPr>
              <w:spacing w:after="0" w:line="360" w:lineRule="auto"/>
              <w:jc w:val="center"/>
            </w:pPr>
          </w:p>
        </w:tc>
        <w:tc>
          <w:tcPr>
            <w:tcW w:w="2702" w:type="dxa"/>
            <w:tcBorders>
              <w:top w:val="nil"/>
              <w:left w:val="nil"/>
              <w:bottom w:val="nil"/>
              <w:right w:val="nil"/>
            </w:tcBorders>
            <w:shd w:val="clear" w:color="auto" w:fill="FFFFFF"/>
            <w:tcMar>
              <w:top w:w="90" w:type="dxa"/>
              <w:left w:w="90" w:type="dxa"/>
              <w:bottom w:w="90" w:type="dxa"/>
              <w:right w:w="90" w:type="dxa"/>
            </w:tcMar>
            <w:vAlign w:val="center"/>
          </w:tcPr>
          <w:p w14:paraId="15EBC7AB" w14:textId="77777777" w:rsidR="0010140B" w:rsidRDefault="0010140B" w:rsidP="00DC1B7D">
            <w:pPr>
              <w:spacing w:after="0" w:line="360" w:lineRule="auto"/>
              <w:jc w:val="center"/>
            </w:pPr>
            <w:r>
              <w:rPr>
                <w:rFonts w:eastAsia="Arial" w:cs="Arial"/>
                <w:b/>
                <w:color w:val="607484"/>
                <w:sz w:val="18"/>
              </w:rPr>
              <w:t>2  ENABLING MECHANISMS</w:t>
            </w:r>
          </w:p>
        </w:tc>
        <w:tc>
          <w:tcPr>
            <w:tcW w:w="469" w:type="dxa"/>
            <w:tcBorders>
              <w:top w:val="nil"/>
              <w:left w:val="nil"/>
              <w:bottom w:val="nil"/>
              <w:right w:val="nil"/>
            </w:tcBorders>
            <w:shd w:val="clear" w:color="auto" w:fill="FFFFFF"/>
            <w:tcMar>
              <w:top w:w="90" w:type="dxa"/>
              <w:left w:w="90" w:type="dxa"/>
              <w:bottom w:w="90" w:type="dxa"/>
              <w:right w:w="90" w:type="dxa"/>
            </w:tcMar>
            <w:vAlign w:val="center"/>
          </w:tcPr>
          <w:p w14:paraId="115797DB" w14:textId="77777777" w:rsidR="0010140B" w:rsidRDefault="0010140B" w:rsidP="00DC1B7D">
            <w:pPr>
              <w:spacing w:after="0" w:line="360" w:lineRule="auto"/>
              <w:jc w:val="center"/>
            </w:pPr>
          </w:p>
        </w:tc>
        <w:tc>
          <w:tcPr>
            <w:tcW w:w="3136" w:type="dxa"/>
            <w:gridSpan w:val="2"/>
            <w:tcBorders>
              <w:top w:val="nil"/>
              <w:left w:val="nil"/>
              <w:bottom w:val="nil"/>
              <w:right w:val="nil"/>
            </w:tcBorders>
            <w:shd w:val="clear" w:color="auto" w:fill="FFFFFF"/>
            <w:tcMar>
              <w:top w:w="90" w:type="dxa"/>
              <w:left w:w="90" w:type="dxa"/>
              <w:bottom w:w="90" w:type="dxa"/>
              <w:right w:w="90" w:type="dxa"/>
            </w:tcMar>
            <w:vAlign w:val="center"/>
          </w:tcPr>
          <w:p w14:paraId="686970E4" w14:textId="77777777" w:rsidR="0010140B" w:rsidRDefault="0010140B" w:rsidP="00DC1B7D">
            <w:pPr>
              <w:spacing w:after="0" w:line="360" w:lineRule="auto"/>
              <w:jc w:val="center"/>
            </w:pPr>
            <w:r>
              <w:rPr>
                <w:rFonts w:eastAsia="Arial" w:cs="Arial"/>
                <w:b/>
                <w:color w:val="607484"/>
                <w:sz w:val="18"/>
              </w:rPr>
              <w:t>3  OUTCOMES</w:t>
            </w:r>
          </w:p>
        </w:tc>
      </w:tr>
      <w:tr w:rsidR="0010140B" w14:paraId="5D81B0B6" w14:textId="77777777" w:rsidTr="0010140B">
        <w:trPr>
          <w:gridAfter w:val="1"/>
          <w:wAfter w:w="49" w:type="dxa"/>
          <w:trHeight w:val="791"/>
        </w:trPr>
        <w:tc>
          <w:tcPr>
            <w:tcW w:w="2701" w:type="dxa"/>
            <w:tcBorders>
              <w:top w:val="single" w:sz="12" w:space="0" w:color="24797D"/>
              <w:left w:val="single" w:sz="12" w:space="0" w:color="24797D"/>
              <w:bottom w:val="single" w:sz="12" w:space="0" w:color="24797D"/>
              <w:right w:val="single" w:sz="12" w:space="0" w:color="24797D"/>
            </w:tcBorders>
            <w:shd w:val="clear" w:color="auto" w:fill="FFFFFF"/>
            <w:tcMar>
              <w:top w:w="90" w:type="dxa"/>
              <w:left w:w="90" w:type="dxa"/>
              <w:bottom w:w="90" w:type="dxa"/>
              <w:right w:w="90" w:type="dxa"/>
            </w:tcMar>
            <w:vAlign w:val="center"/>
          </w:tcPr>
          <w:p w14:paraId="5C11AA57" w14:textId="77777777" w:rsidR="0010140B" w:rsidRDefault="0010140B" w:rsidP="00DC1B7D">
            <w:pPr>
              <w:spacing w:after="0" w:line="360" w:lineRule="auto"/>
              <w:jc w:val="left"/>
            </w:pPr>
            <w:r>
              <w:rPr>
                <w:rFonts w:eastAsia="Arial" w:cs="Arial"/>
                <w:b/>
                <w:color w:val="24797D"/>
                <w:sz w:val="28"/>
              </w:rPr>
              <w:t xml:space="preserve">  </w:t>
            </w:r>
            <w:r>
              <w:rPr>
                <w:rFonts w:eastAsia="Arial" w:cs="Arial"/>
                <w:color w:val="23384C"/>
                <w:sz w:val="18"/>
              </w:rPr>
              <w:t>Supplier assurance</w:t>
            </w:r>
          </w:p>
        </w:tc>
        <w:tc>
          <w:tcPr>
            <w:tcW w:w="379" w:type="dxa"/>
            <w:tcBorders>
              <w:top w:val="nil"/>
              <w:left w:val="nil"/>
              <w:bottom w:val="nil"/>
              <w:right w:val="nil"/>
            </w:tcBorders>
            <w:shd w:val="clear" w:color="auto" w:fill="FFFFFF"/>
            <w:tcMar>
              <w:top w:w="90" w:type="dxa"/>
              <w:left w:w="90" w:type="dxa"/>
              <w:bottom w:w="90" w:type="dxa"/>
              <w:right w:w="90" w:type="dxa"/>
            </w:tcMar>
            <w:vAlign w:val="center"/>
          </w:tcPr>
          <w:p w14:paraId="2CC0A166" w14:textId="77777777" w:rsidR="0010140B" w:rsidRDefault="0010140B" w:rsidP="00DC1B7D">
            <w:pPr>
              <w:spacing w:after="0" w:line="360" w:lineRule="auto"/>
              <w:jc w:val="left"/>
            </w:pPr>
          </w:p>
        </w:tc>
        <w:tc>
          <w:tcPr>
            <w:tcW w:w="2702" w:type="dxa"/>
            <w:tcBorders>
              <w:top w:val="single" w:sz="12" w:space="0" w:color="24797D"/>
              <w:left w:val="single" w:sz="12" w:space="0" w:color="24797D"/>
              <w:bottom w:val="single" w:sz="12" w:space="0" w:color="24797D"/>
              <w:right w:val="single" w:sz="12" w:space="0" w:color="24797D"/>
            </w:tcBorders>
            <w:shd w:val="clear" w:color="auto" w:fill="E8F4F3"/>
            <w:tcMar>
              <w:top w:w="90" w:type="dxa"/>
              <w:left w:w="90" w:type="dxa"/>
              <w:bottom w:w="90" w:type="dxa"/>
              <w:right w:w="90" w:type="dxa"/>
            </w:tcMar>
            <w:vAlign w:val="center"/>
          </w:tcPr>
          <w:p w14:paraId="74FC9F11" w14:textId="77777777" w:rsidR="0010140B" w:rsidRDefault="0010140B" w:rsidP="00DC1B7D">
            <w:pPr>
              <w:spacing w:after="0" w:line="360" w:lineRule="auto"/>
              <w:jc w:val="left"/>
            </w:pPr>
            <w:r>
              <w:rPr>
                <w:rFonts w:eastAsia="Arial" w:cs="Arial"/>
                <w:b/>
                <w:color w:val="23384C"/>
                <w:sz w:val="21"/>
              </w:rPr>
              <w:t>Risk visibility</w:t>
            </w:r>
            <w:r>
              <w:rPr>
                <w:rFonts w:eastAsia="Arial" w:cs="Arial"/>
                <w:b/>
                <w:color w:val="23384C"/>
                <w:sz w:val="21"/>
              </w:rPr>
              <w:br/>
              <w:t>and response</w:t>
            </w:r>
          </w:p>
        </w:tc>
        <w:tc>
          <w:tcPr>
            <w:tcW w:w="469" w:type="dxa"/>
            <w:tcBorders>
              <w:top w:val="nil"/>
              <w:left w:val="nil"/>
              <w:bottom w:val="nil"/>
              <w:right w:val="nil"/>
            </w:tcBorders>
            <w:shd w:val="clear" w:color="auto" w:fill="FFFFFF"/>
            <w:tcMar>
              <w:top w:w="90" w:type="dxa"/>
              <w:left w:w="90" w:type="dxa"/>
              <w:bottom w:w="90" w:type="dxa"/>
              <w:right w:w="90" w:type="dxa"/>
            </w:tcMar>
            <w:vAlign w:val="center"/>
          </w:tcPr>
          <w:p w14:paraId="1A6F474A" w14:textId="77777777" w:rsidR="0010140B" w:rsidRDefault="0010140B" w:rsidP="00DC1B7D">
            <w:pPr>
              <w:spacing w:after="0" w:line="360" w:lineRule="auto"/>
              <w:jc w:val="left"/>
            </w:pPr>
          </w:p>
        </w:tc>
        <w:tc>
          <w:tcPr>
            <w:tcW w:w="3087" w:type="dxa"/>
            <w:tcBorders>
              <w:top w:val="nil"/>
              <w:left w:val="nil"/>
              <w:bottom w:val="nil"/>
              <w:right w:val="nil"/>
            </w:tcBorders>
            <w:shd w:val="clear" w:color="auto" w:fill="FFFFFF"/>
            <w:tcMar>
              <w:top w:w="90" w:type="dxa"/>
              <w:left w:w="90" w:type="dxa"/>
              <w:bottom w:w="90" w:type="dxa"/>
              <w:right w:w="90" w:type="dxa"/>
            </w:tcMar>
            <w:vAlign w:val="center"/>
          </w:tcPr>
          <w:p w14:paraId="3A0E9BF4" w14:textId="77777777" w:rsidR="0010140B" w:rsidRDefault="0010140B" w:rsidP="00DC1B7D">
            <w:pPr>
              <w:spacing w:after="0" w:line="360" w:lineRule="auto"/>
              <w:jc w:val="left"/>
            </w:pPr>
          </w:p>
        </w:tc>
      </w:tr>
      <w:tr w:rsidR="0010140B" w14:paraId="549D432F" w14:textId="77777777" w:rsidTr="0010140B">
        <w:trPr>
          <w:gridAfter w:val="1"/>
          <w:wAfter w:w="49" w:type="dxa"/>
          <w:trHeight w:val="791"/>
        </w:trPr>
        <w:tc>
          <w:tcPr>
            <w:tcW w:w="2701" w:type="dxa"/>
            <w:tcBorders>
              <w:top w:val="single" w:sz="12" w:space="0" w:color="4D8E5A"/>
              <w:left w:val="single" w:sz="12" w:space="0" w:color="4D8E5A"/>
              <w:bottom w:val="single" w:sz="12" w:space="0" w:color="4D8E5A"/>
              <w:right w:val="single" w:sz="12" w:space="0" w:color="4D8E5A"/>
            </w:tcBorders>
            <w:shd w:val="clear" w:color="auto" w:fill="FFFFFF"/>
            <w:tcMar>
              <w:top w:w="90" w:type="dxa"/>
              <w:left w:w="90" w:type="dxa"/>
              <w:bottom w:w="90" w:type="dxa"/>
              <w:right w:w="90" w:type="dxa"/>
            </w:tcMar>
            <w:vAlign w:val="center"/>
          </w:tcPr>
          <w:p w14:paraId="5365247C" w14:textId="77777777" w:rsidR="0010140B" w:rsidRDefault="0010140B" w:rsidP="00DC1B7D">
            <w:pPr>
              <w:spacing w:after="0" w:line="360" w:lineRule="auto"/>
              <w:jc w:val="left"/>
            </w:pPr>
            <w:r>
              <w:rPr>
                <w:rFonts w:eastAsia="Arial" w:cs="Arial"/>
                <w:b/>
                <w:color w:val="4D8E5A"/>
                <w:sz w:val="28"/>
              </w:rPr>
              <w:t xml:space="preserve">  </w:t>
            </w:r>
            <w:r>
              <w:rPr>
                <w:rFonts w:eastAsia="Arial" w:cs="Arial"/>
                <w:color w:val="23384C"/>
                <w:sz w:val="18"/>
              </w:rPr>
              <w:t>Portfolio transition</w:t>
            </w:r>
          </w:p>
        </w:tc>
        <w:tc>
          <w:tcPr>
            <w:tcW w:w="379" w:type="dxa"/>
            <w:tcBorders>
              <w:top w:val="nil"/>
              <w:left w:val="nil"/>
              <w:bottom w:val="nil"/>
              <w:right w:val="nil"/>
            </w:tcBorders>
            <w:shd w:val="clear" w:color="auto" w:fill="FFFFFF"/>
            <w:tcMar>
              <w:top w:w="90" w:type="dxa"/>
              <w:left w:w="90" w:type="dxa"/>
              <w:bottom w:w="90" w:type="dxa"/>
              <w:right w:w="90" w:type="dxa"/>
            </w:tcMar>
            <w:vAlign w:val="center"/>
          </w:tcPr>
          <w:p w14:paraId="6A35983D" w14:textId="77777777" w:rsidR="0010140B" w:rsidRDefault="0010140B" w:rsidP="00DC1B7D">
            <w:pPr>
              <w:spacing w:after="0" w:line="360" w:lineRule="auto"/>
              <w:jc w:val="left"/>
            </w:pPr>
          </w:p>
        </w:tc>
        <w:tc>
          <w:tcPr>
            <w:tcW w:w="2702" w:type="dxa"/>
            <w:tcBorders>
              <w:top w:val="nil"/>
              <w:left w:val="nil"/>
              <w:bottom w:val="nil"/>
              <w:right w:val="nil"/>
            </w:tcBorders>
            <w:shd w:val="clear" w:color="auto" w:fill="FFFFFF"/>
            <w:tcMar>
              <w:top w:w="90" w:type="dxa"/>
              <w:left w:w="90" w:type="dxa"/>
              <w:bottom w:w="90" w:type="dxa"/>
              <w:right w:w="90" w:type="dxa"/>
            </w:tcMar>
            <w:vAlign w:val="center"/>
          </w:tcPr>
          <w:p w14:paraId="251E4B48" w14:textId="77777777" w:rsidR="0010140B" w:rsidRDefault="0010140B" w:rsidP="00DC1B7D">
            <w:pPr>
              <w:spacing w:after="0" w:line="360" w:lineRule="auto"/>
              <w:jc w:val="left"/>
            </w:pPr>
          </w:p>
        </w:tc>
        <w:tc>
          <w:tcPr>
            <w:tcW w:w="469" w:type="dxa"/>
            <w:tcBorders>
              <w:top w:val="nil"/>
              <w:left w:val="nil"/>
              <w:bottom w:val="nil"/>
              <w:right w:val="nil"/>
            </w:tcBorders>
            <w:shd w:val="clear" w:color="auto" w:fill="FFFFFF"/>
            <w:tcMar>
              <w:top w:w="90" w:type="dxa"/>
              <w:left w:w="90" w:type="dxa"/>
              <w:bottom w:w="90" w:type="dxa"/>
              <w:right w:w="90" w:type="dxa"/>
            </w:tcMar>
            <w:vAlign w:val="center"/>
          </w:tcPr>
          <w:p w14:paraId="163ACAF2" w14:textId="77777777" w:rsidR="0010140B" w:rsidRDefault="0010140B" w:rsidP="00DC1B7D">
            <w:pPr>
              <w:spacing w:after="0" w:line="360" w:lineRule="auto"/>
              <w:jc w:val="left"/>
            </w:pPr>
            <w:r>
              <w:rPr>
                <w:rFonts w:eastAsia="Arial" w:cs="Arial"/>
                <w:b/>
                <w:color w:val="24797D"/>
                <w:sz w:val="42"/>
              </w:rPr>
              <w:t>↗</w:t>
            </w:r>
          </w:p>
        </w:tc>
        <w:tc>
          <w:tcPr>
            <w:tcW w:w="3087" w:type="dxa"/>
            <w:tcBorders>
              <w:top w:val="single" w:sz="12" w:space="0" w:color="173653"/>
              <w:left w:val="single" w:sz="12" w:space="0" w:color="173653"/>
              <w:bottom w:val="single" w:sz="12" w:space="0" w:color="173653"/>
              <w:right w:val="single" w:sz="12" w:space="0" w:color="173653"/>
            </w:tcBorders>
            <w:shd w:val="clear" w:color="auto" w:fill="E8F0F6"/>
            <w:tcMar>
              <w:top w:w="90" w:type="dxa"/>
              <w:left w:w="90" w:type="dxa"/>
              <w:bottom w:w="90" w:type="dxa"/>
              <w:right w:w="90" w:type="dxa"/>
            </w:tcMar>
            <w:vAlign w:val="center"/>
          </w:tcPr>
          <w:p w14:paraId="68886BD2" w14:textId="77777777" w:rsidR="0010140B" w:rsidRDefault="0010140B" w:rsidP="00DC1B7D">
            <w:pPr>
              <w:spacing w:after="0" w:line="360" w:lineRule="auto"/>
              <w:jc w:val="left"/>
            </w:pPr>
            <w:r>
              <w:rPr>
                <w:rFonts w:eastAsia="Arial" w:cs="Arial"/>
                <w:b/>
                <w:color w:val="23384C"/>
                <w:sz w:val="19"/>
              </w:rPr>
              <w:t>Operational performance</w:t>
            </w:r>
            <w:r>
              <w:rPr>
                <w:rFonts w:eastAsia="Arial" w:cs="Arial"/>
                <w:b/>
                <w:color w:val="23384C"/>
                <w:sz w:val="19"/>
              </w:rPr>
              <w:br/>
              <w:t>Risk • efficiency • service</w:t>
            </w:r>
          </w:p>
        </w:tc>
      </w:tr>
      <w:tr w:rsidR="0010140B" w14:paraId="460ED387" w14:textId="77777777" w:rsidTr="0010140B">
        <w:trPr>
          <w:gridAfter w:val="1"/>
          <w:wAfter w:w="49" w:type="dxa"/>
          <w:trHeight w:val="791"/>
        </w:trPr>
        <w:tc>
          <w:tcPr>
            <w:tcW w:w="2701" w:type="dxa"/>
            <w:tcBorders>
              <w:top w:val="single" w:sz="12" w:space="0" w:color="173653"/>
              <w:left w:val="single" w:sz="12" w:space="0" w:color="173653"/>
              <w:bottom w:val="single" w:sz="12" w:space="0" w:color="173653"/>
              <w:right w:val="single" w:sz="12" w:space="0" w:color="173653"/>
            </w:tcBorders>
            <w:shd w:val="clear" w:color="auto" w:fill="FFFFFF"/>
            <w:tcMar>
              <w:top w:w="90" w:type="dxa"/>
              <w:left w:w="90" w:type="dxa"/>
              <w:bottom w:w="90" w:type="dxa"/>
              <w:right w:w="90" w:type="dxa"/>
            </w:tcMar>
            <w:vAlign w:val="center"/>
          </w:tcPr>
          <w:p w14:paraId="3027517E" w14:textId="77777777" w:rsidR="0010140B" w:rsidRDefault="0010140B" w:rsidP="00DC1B7D">
            <w:pPr>
              <w:spacing w:after="0" w:line="360" w:lineRule="auto"/>
              <w:jc w:val="left"/>
            </w:pPr>
            <w:r>
              <w:rPr>
                <w:rFonts w:eastAsia="Arial" w:cs="Arial"/>
                <w:b/>
                <w:color w:val="173653"/>
                <w:sz w:val="28"/>
              </w:rPr>
              <w:t xml:space="preserve"> </w:t>
            </w:r>
            <w:r>
              <w:rPr>
                <w:rFonts w:eastAsia="Arial" w:cs="Arial"/>
                <w:color w:val="23384C"/>
                <w:sz w:val="18"/>
              </w:rPr>
              <w:t>Low-carbon distribution</w:t>
            </w:r>
          </w:p>
        </w:tc>
        <w:tc>
          <w:tcPr>
            <w:tcW w:w="379" w:type="dxa"/>
            <w:tcBorders>
              <w:top w:val="nil"/>
              <w:left w:val="nil"/>
              <w:bottom w:val="nil"/>
              <w:right w:val="nil"/>
            </w:tcBorders>
            <w:shd w:val="clear" w:color="auto" w:fill="FFFFFF"/>
            <w:tcMar>
              <w:top w:w="90" w:type="dxa"/>
              <w:left w:w="90" w:type="dxa"/>
              <w:bottom w:w="90" w:type="dxa"/>
              <w:right w:w="90" w:type="dxa"/>
            </w:tcMar>
            <w:vAlign w:val="center"/>
          </w:tcPr>
          <w:p w14:paraId="6F6E2C6E" w14:textId="77777777" w:rsidR="0010140B" w:rsidRDefault="0010140B" w:rsidP="00DC1B7D">
            <w:pPr>
              <w:spacing w:after="0" w:line="360" w:lineRule="auto"/>
              <w:jc w:val="left"/>
            </w:pPr>
            <w:r>
              <w:rPr>
                <w:rFonts w:eastAsia="Arial" w:cs="Arial"/>
                <w:b/>
                <w:color w:val="24797D"/>
                <w:sz w:val="44"/>
              </w:rPr>
              <w:t>→</w:t>
            </w:r>
          </w:p>
        </w:tc>
        <w:tc>
          <w:tcPr>
            <w:tcW w:w="2702" w:type="dxa"/>
            <w:tcBorders>
              <w:top w:val="single" w:sz="12" w:space="0" w:color="24797D"/>
              <w:left w:val="single" w:sz="12" w:space="0" w:color="24797D"/>
              <w:bottom w:val="single" w:sz="12" w:space="0" w:color="24797D"/>
              <w:right w:val="single" w:sz="12" w:space="0" w:color="24797D"/>
            </w:tcBorders>
            <w:shd w:val="clear" w:color="auto" w:fill="E8F4F3"/>
            <w:tcMar>
              <w:top w:w="90" w:type="dxa"/>
              <w:left w:w="90" w:type="dxa"/>
              <w:bottom w:w="90" w:type="dxa"/>
              <w:right w:w="90" w:type="dxa"/>
            </w:tcMar>
            <w:vAlign w:val="center"/>
          </w:tcPr>
          <w:p w14:paraId="70AB7A1C" w14:textId="77777777" w:rsidR="0010140B" w:rsidRDefault="0010140B" w:rsidP="00DC1B7D">
            <w:pPr>
              <w:spacing w:after="0" w:line="360" w:lineRule="auto"/>
              <w:jc w:val="left"/>
            </w:pPr>
            <w:r>
              <w:rPr>
                <w:rFonts w:eastAsia="Arial" w:cs="Arial"/>
                <w:b/>
                <w:color w:val="23384C"/>
                <w:sz w:val="21"/>
              </w:rPr>
              <w:t>Resource and</w:t>
            </w:r>
            <w:r>
              <w:rPr>
                <w:rFonts w:eastAsia="Arial" w:cs="Arial"/>
                <w:b/>
                <w:color w:val="23384C"/>
                <w:sz w:val="21"/>
              </w:rPr>
              <w:br/>
              <w:t>carbon efficiency</w:t>
            </w:r>
          </w:p>
        </w:tc>
        <w:tc>
          <w:tcPr>
            <w:tcW w:w="469" w:type="dxa"/>
            <w:tcBorders>
              <w:top w:val="nil"/>
              <w:left w:val="nil"/>
              <w:bottom w:val="nil"/>
              <w:right w:val="nil"/>
            </w:tcBorders>
            <w:shd w:val="clear" w:color="auto" w:fill="FFFFFF"/>
            <w:tcMar>
              <w:top w:w="90" w:type="dxa"/>
              <w:left w:w="90" w:type="dxa"/>
              <w:bottom w:w="90" w:type="dxa"/>
              <w:right w:w="90" w:type="dxa"/>
            </w:tcMar>
            <w:vAlign w:val="center"/>
          </w:tcPr>
          <w:p w14:paraId="7D7871A4" w14:textId="77777777" w:rsidR="0010140B" w:rsidRDefault="0010140B" w:rsidP="00DC1B7D">
            <w:pPr>
              <w:spacing w:after="0" w:line="360" w:lineRule="auto"/>
              <w:jc w:val="left"/>
            </w:pPr>
          </w:p>
        </w:tc>
        <w:tc>
          <w:tcPr>
            <w:tcW w:w="3087" w:type="dxa"/>
            <w:tcBorders>
              <w:top w:val="nil"/>
              <w:left w:val="nil"/>
              <w:bottom w:val="nil"/>
              <w:right w:val="nil"/>
            </w:tcBorders>
            <w:shd w:val="clear" w:color="auto" w:fill="FFFFFF"/>
            <w:tcMar>
              <w:top w:w="90" w:type="dxa"/>
              <w:left w:w="90" w:type="dxa"/>
              <w:bottom w:w="90" w:type="dxa"/>
              <w:right w:w="90" w:type="dxa"/>
            </w:tcMar>
            <w:vAlign w:val="center"/>
          </w:tcPr>
          <w:p w14:paraId="10AC88F5" w14:textId="77777777" w:rsidR="0010140B" w:rsidRDefault="0010140B" w:rsidP="00DC1B7D">
            <w:pPr>
              <w:spacing w:after="0" w:line="360" w:lineRule="auto"/>
              <w:jc w:val="left"/>
            </w:pPr>
          </w:p>
        </w:tc>
      </w:tr>
      <w:tr w:rsidR="0010140B" w14:paraId="2753086C" w14:textId="77777777" w:rsidTr="0010140B">
        <w:trPr>
          <w:gridAfter w:val="1"/>
          <w:wAfter w:w="49" w:type="dxa"/>
          <w:trHeight w:val="791"/>
        </w:trPr>
        <w:tc>
          <w:tcPr>
            <w:tcW w:w="2701" w:type="dxa"/>
            <w:tcBorders>
              <w:top w:val="single" w:sz="12" w:space="0" w:color="C89322"/>
              <w:left w:val="single" w:sz="12" w:space="0" w:color="C89322"/>
              <w:bottom w:val="single" w:sz="12" w:space="0" w:color="C89322"/>
              <w:right w:val="single" w:sz="12" w:space="0" w:color="C89322"/>
            </w:tcBorders>
            <w:shd w:val="clear" w:color="auto" w:fill="FFFFFF"/>
            <w:tcMar>
              <w:top w:w="90" w:type="dxa"/>
              <w:left w:w="90" w:type="dxa"/>
              <w:bottom w:w="90" w:type="dxa"/>
              <w:right w:w="90" w:type="dxa"/>
            </w:tcMar>
            <w:vAlign w:val="center"/>
          </w:tcPr>
          <w:p w14:paraId="41D5C88C" w14:textId="77777777" w:rsidR="0010140B" w:rsidRDefault="0010140B" w:rsidP="00DC1B7D">
            <w:pPr>
              <w:spacing w:after="0" w:line="360" w:lineRule="auto"/>
              <w:jc w:val="left"/>
            </w:pPr>
            <w:r>
              <w:rPr>
                <w:rFonts w:eastAsia="Arial" w:cs="Arial"/>
                <w:b/>
                <w:color w:val="C89322"/>
                <w:sz w:val="28"/>
              </w:rPr>
              <w:t xml:space="preserve">  </w:t>
            </w:r>
            <w:r>
              <w:rPr>
                <w:rFonts w:eastAsia="Arial" w:cs="Arial"/>
                <w:color w:val="23384C"/>
                <w:sz w:val="18"/>
              </w:rPr>
              <w:t>Digital and customer support</w:t>
            </w:r>
          </w:p>
        </w:tc>
        <w:tc>
          <w:tcPr>
            <w:tcW w:w="379" w:type="dxa"/>
            <w:tcBorders>
              <w:top w:val="nil"/>
              <w:left w:val="nil"/>
              <w:bottom w:val="nil"/>
              <w:right w:val="nil"/>
            </w:tcBorders>
            <w:shd w:val="clear" w:color="auto" w:fill="FFFFFF"/>
            <w:tcMar>
              <w:top w:w="90" w:type="dxa"/>
              <w:left w:w="90" w:type="dxa"/>
              <w:bottom w:w="90" w:type="dxa"/>
              <w:right w:w="90" w:type="dxa"/>
            </w:tcMar>
            <w:vAlign w:val="center"/>
          </w:tcPr>
          <w:p w14:paraId="417B68EB" w14:textId="77777777" w:rsidR="0010140B" w:rsidRDefault="0010140B" w:rsidP="00DC1B7D">
            <w:pPr>
              <w:spacing w:after="0" w:line="360" w:lineRule="auto"/>
              <w:jc w:val="left"/>
            </w:pPr>
          </w:p>
        </w:tc>
        <w:tc>
          <w:tcPr>
            <w:tcW w:w="2702" w:type="dxa"/>
            <w:tcBorders>
              <w:top w:val="single" w:sz="12" w:space="0" w:color="24797D"/>
              <w:left w:val="single" w:sz="12" w:space="0" w:color="24797D"/>
              <w:bottom w:val="single" w:sz="12" w:space="0" w:color="24797D"/>
              <w:right w:val="single" w:sz="12" w:space="0" w:color="24797D"/>
            </w:tcBorders>
            <w:shd w:val="clear" w:color="auto" w:fill="E8F4F3"/>
            <w:tcMar>
              <w:top w:w="90" w:type="dxa"/>
              <w:left w:w="90" w:type="dxa"/>
              <w:bottom w:w="90" w:type="dxa"/>
              <w:right w:w="90" w:type="dxa"/>
            </w:tcMar>
            <w:vAlign w:val="center"/>
          </w:tcPr>
          <w:p w14:paraId="3674D2D8" w14:textId="77777777" w:rsidR="0010140B" w:rsidRDefault="0010140B" w:rsidP="00DC1B7D">
            <w:pPr>
              <w:spacing w:after="0" w:line="360" w:lineRule="auto"/>
              <w:jc w:val="left"/>
            </w:pPr>
            <w:r>
              <w:rPr>
                <w:rFonts w:eastAsia="Arial" w:cs="Arial"/>
                <w:b/>
                <w:color w:val="23384C"/>
                <w:sz w:val="19"/>
              </w:rPr>
              <w:t>Information quality and</w:t>
            </w:r>
            <w:r>
              <w:rPr>
                <w:rFonts w:eastAsia="Arial" w:cs="Arial"/>
                <w:b/>
                <w:color w:val="23384C"/>
                <w:sz w:val="19"/>
              </w:rPr>
              <w:br/>
              <w:t>procurement simplification</w:t>
            </w:r>
          </w:p>
        </w:tc>
        <w:tc>
          <w:tcPr>
            <w:tcW w:w="469" w:type="dxa"/>
            <w:tcBorders>
              <w:top w:val="nil"/>
              <w:left w:val="nil"/>
              <w:bottom w:val="nil"/>
              <w:right w:val="nil"/>
            </w:tcBorders>
            <w:shd w:val="clear" w:color="auto" w:fill="FFFFFF"/>
            <w:tcMar>
              <w:top w:w="90" w:type="dxa"/>
              <w:left w:w="90" w:type="dxa"/>
              <w:bottom w:w="90" w:type="dxa"/>
              <w:right w:w="90" w:type="dxa"/>
            </w:tcMar>
            <w:vAlign w:val="center"/>
          </w:tcPr>
          <w:p w14:paraId="3AC96948" w14:textId="77777777" w:rsidR="0010140B" w:rsidRDefault="0010140B" w:rsidP="00DC1B7D">
            <w:pPr>
              <w:spacing w:after="0" w:line="360" w:lineRule="auto"/>
              <w:jc w:val="left"/>
            </w:pPr>
            <w:r>
              <w:rPr>
                <w:rFonts w:eastAsia="Arial" w:cs="Arial"/>
                <w:b/>
                <w:color w:val="24797D"/>
                <w:sz w:val="42"/>
              </w:rPr>
              <w:t>↘</w:t>
            </w:r>
          </w:p>
        </w:tc>
        <w:tc>
          <w:tcPr>
            <w:tcW w:w="3087" w:type="dxa"/>
            <w:tcBorders>
              <w:top w:val="single" w:sz="12" w:space="0" w:color="4D8E5A"/>
              <w:left w:val="single" w:sz="12" w:space="0" w:color="4D8E5A"/>
              <w:bottom w:val="single" w:sz="12" w:space="0" w:color="4D8E5A"/>
              <w:right w:val="single" w:sz="12" w:space="0" w:color="4D8E5A"/>
            </w:tcBorders>
            <w:shd w:val="clear" w:color="auto" w:fill="EEF5EC"/>
            <w:tcMar>
              <w:top w:w="90" w:type="dxa"/>
              <w:left w:w="90" w:type="dxa"/>
              <w:bottom w:w="90" w:type="dxa"/>
              <w:right w:w="90" w:type="dxa"/>
            </w:tcMar>
            <w:vAlign w:val="center"/>
          </w:tcPr>
          <w:p w14:paraId="5BD8CD91" w14:textId="77777777" w:rsidR="0010140B" w:rsidRDefault="0010140B" w:rsidP="00DC1B7D">
            <w:pPr>
              <w:spacing w:after="0" w:line="360" w:lineRule="auto"/>
              <w:jc w:val="left"/>
            </w:pPr>
            <w:r>
              <w:rPr>
                <w:rFonts w:eastAsia="Arial" w:cs="Arial"/>
                <w:b/>
                <w:color w:val="23384C"/>
                <w:sz w:val="19"/>
              </w:rPr>
              <w:t>Customer-related value</w:t>
            </w:r>
            <w:r>
              <w:rPr>
                <w:rFonts w:eastAsia="Arial" w:cs="Arial"/>
                <w:b/>
                <w:color w:val="23384C"/>
                <w:sz w:val="19"/>
              </w:rPr>
              <w:br/>
              <w:t>Relevance • ease • confidence</w:t>
            </w:r>
          </w:p>
        </w:tc>
      </w:tr>
    </w:tbl>
    <w:p w14:paraId="3776DB6C" w14:textId="77777777" w:rsidR="0010140B" w:rsidRDefault="0010140B" w:rsidP="00DC1B7D">
      <w:pPr>
        <w:spacing w:after="80" w:line="360" w:lineRule="auto"/>
      </w:pPr>
    </w:p>
    <w:tbl>
      <w:tblPr>
        <w:tblW w:w="9309" w:type="dxa"/>
        <w:tblBorders>
          <w:top w:val="nil"/>
          <w:left w:val="nil"/>
          <w:bottom w:val="nil"/>
          <w:right w:val="nil"/>
          <w:insideH w:val="nil"/>
          <w:insideV w:val="nil"/>
        </w:tblBorders>
        <w:tblLayout w:type="fixed"/>
        <w:tblLook w:val="04A0" w:firstRow="1" w:lastRow="0" w:firstColumn="1" w:lastColumn="0" w:noHBand="0" w:noVBand="1"/>
      </w:tblPr>
      <w:tblGrid>
        <w:gridCol w:w="9309"/>
      </w:tblGrid>
      <w:tr w:rsidR="0010140B" w14:paraId="70E25163" w14:textId="77777777" w:rsidTr="0010140B">
        <w:trPr>
          <w:trHeight w:val="714"/>
          <w:tblHeader/>
        </w:trPr>
        <w:tc>
          <w:tcPr>
            <w:tcW w:w="9309" w:type="dxa"/>
            <w:tcBorders>
              <w:top w:val="single" w:sz="12" w:space="0" w:color="C89322"/>
              <w:left w:val="single" w:sz="12" w:space="0" w:color="C89322"/>
              <w:bottom w:val="single" w:sz="12" w:space="0" w:color="C89322"/>
              <w:right w:val="single" w:sz="12" w:space="0" w:color="C89322"/>
            </w:tcBorders>
            <w:shd w:val="clear" w:color="auto" w:fill="FBF3DF"/>
            <w:tcMar>
              <w:top w:w="90" w:type="dxa"/>
              <w:left w:w="90" w:type="dxa"/>
              <w:bottom w:w="90" w:type="dxa"/>
              <w:right w:w="90" w:type="dxa"/>
            </w:tcMar>
            <w:vAlign w:val="center"/>
          </w:tcPr>
          <w:p w14:paraId="65CC7CF3" w14:textId="77777777" w:rsidR="0010140B" w:rsidRDefault="0010140B" w:rsidP="00DC1B7D">
            <w:pPr>
              <w:spacing w:after="0" w:line="360" w:lineRule="auto"/>
              <w:jc w:val="center"/>
            </w:pPr>
            <w:r>
              <w:rPr>
                <w:rFonts w:eastAsia="Arial" w:cs="Arial"/>
                <w:b/>
                <w:color w:val="23384C"/>
                <w:sz w:val="19"/>
              </w:rPr>
              <w:t>CONTEXTUAL CONDITIONS</w:t>
            </w:r>
            <w:r>
              <w:rPr>
                <w:rFonts w:eastAsia="Arial" w:cs="Arial"/>
                <w:b/>
                <w:color w:val="23384C"/>
                <w:sz w:val="19"/>
              </w:rPr>
              <w:br/>
            </w:r>
            <w:r>
              <w:rPr>
                <w:rFonts w:eastAsia="Arial" w:cs="Arial"/>
                <w:b/>
                <w:color w:val="23384C"/>
                <w:sz w:val="17"/>
              </w:rPr>
              <w:t>Market demand  •  price and functionality  •  execution quality  •  regulation  •  data quality  •  time lag</w:t>
            </w:r>
          </w:p>
        </w:tc>
      </w:tr>
    </w:tbl>
    <w:p w14:paraId="35593E5F" w14:textId="77777777" w:rsidR="00335953" w:rsidRDefault="00335953" w:rsidP="00DC1B7D">
      <w:pPr>
        <w:spacing w:line="360" w:lineRule="auto"/>
      </w:pPr>
    </w:p>
    <w:p w14:paraId="3BBAA2A5" w14:textId="77777777" w:rsidR="0010140B" w:rsidRDefault="0010140B" w:rsidP="00DC1B7D">
      <w:pPr>
        <w:spacing w:line="360" w:lineRule="auto"/>
      </w:pPr>
    </w:p>
    <w:p w14:paraId="01FE6F82" w14:textId="77777777" w:rsidR="000326F6" w:rsidRPr="000326F6" w:rsidRDefault="000326F6" w:rsidP="00DC1B7D">
      <w:pPr>
        <w:spacing w:line="360" w:lineRule="auto"/>
        <w:rPr>
          <w:rFonts w:cs="Arial"/>
          <w:szCs w:val="24"/>
        </w:rPr>
      </w:pPr>
      <w:r>
        <w:t>Figure 2.1 guides the coding and interpretation. A supplier assessment is recorded as a practice; improved risk visibility is its proposed mechanism; and reduced disruption would be an operational outcome requiring separate evidence. The same distinction applies to portfolio transition, carbon reduction, digital ordering and customer support. Market demand, price, functionality, execution, regulation, data quality and time lag are treated as qualifications when answering RQ2 and RQ3.</w:t>
      </w:r>
    </w:p>
    <w:p w14:paraId="1908805B" w14:textId="77777777" w:rsidR="000326F6" w:rsidRPr="000326F6" w:rsidRDefault="00335953" w:rsidP="00DC1B7D">
      <w:pPr>
        <w:pStyle w:val="Heading2"/>
        <w:jc w:val="left"/>
      </w:pPr>
      <w:bookmarkStart w:id="51" w:name="_Toc237017782"/>
      <w:bookmarkStart w:id="52" w:name="_Toc238218121"/>
      <w:r w:rsidRPr="000326F6">
        <w:lastRenderedPageBreak/>
        <w:t>2.8</w:t>
      </w:r>
      <w:r>
        <w:t xml:space="preserve"> </w:t>
      </w:r>
      <w:r w:rsidR="000326F6" w:rsidRPr="000326F6">
        <w:t>Tensions, trade-offs and the quality of evidence</w:t>
      </w:r>
      <w:bookmarkEnd w:id="51"/>
      <w:bookmarkEnd w:id="52"/>
      <w:r w:rsidR="000326F6" w:rsidRPr="000326F6">
        <w:t xml:space="preserve"> </w:t>
      </w:r>
    </w:p>
    <w:p w14:paraId="7630EA64" w14:textId="77777777" w:rsidR="00AB2427" w:rsidRDefault="00130A17" w:rsidP="00DC1B7D">
      <w:pPr>
        <w:spacing w:line="360" w:lineRule="auto"/>
      </w:pPr>
      <w:r>
        <w:t>SSCM involves trade-offs rather than uniformly positive effects. Tighter supplier standards may reduce risk but constrain supply; an alternative product may improve one environmental attribute while increasing cost or reducing functionality; consolidated delivery may reduce transport movements while increasing inventory. Digitalisation may improve visibility but introduce data-quality or adoption problems. These conditions are incorporated into the interpretation of RQ2 and RQ3 rather than treated as separate outcomes.</w:t>
      </w:r>
    </w:p>
    <w:p w14:paraId="4D9CEC2C" w14:textId="77777777" w:rsidR="00AB2427" w:rsidRDefault="00130A17" w:rsidP="00DC1B7D">
      <w:pPr>
        <w:spacing w:line="360" w:lineRule="auto"/>
      </w:pPr>
      <w:r>
        <w:t>The TBL is used as a completeness check, not as a single score. Norman and MacDonald (2004) question whether social, environmental and economic results can be measured and added on a common basis. Accordingly, supplier assessments support a governance conclusion, carbon data support an environmental conclusion and a defined profit measure supports a financial conclusion. Movement between these categories must be demonstrated rather than implied.</w:t>
      </w:r>
    </w:p>
    <w:p w14:paraId="181D38EA" w14:textId="77777777" w:rsidR="00AB2427" w:rsidRDefault="00130A17" w:rsidP="00DC1B7D">
      <w:pPr>
        <w:spacing w:line="360" w:lineRule="auto"/>
      </w:pPr>
      <w:r>
        <w:t>Absence and inconsistency are also analytically relevant. The absence of a Group-wide satisfaction measure does not show that customers are dissatisfied; it shows that the public corpus cannot answer that part of RQ3 directly. Similarly, a selected contract illustrates a possible mechanism but cannot establish prevalence. Chapter 4 therefore states both the finding and the evidential limit.</w:t>
      </w:r>
    </w:p>
    <w:p w14:paraId="341D362F" w14:textId="77777777" w:rsidR="00335953" w:rsidRDefault="00335953" w:rsidP="00DC1B7D">
      <w:pPr>
        <w:pStyle w:val="Heading2"/>
        <w:jc w:val="left"/>
      </w:pPr>
      <w:bookmarkStart w:id="53" w:name="_Toc237017783"/>
      <w:bookmarkStart w:id="54" w:name="_Toc238218122"/>
      <w:r w:rsidRPr="00335953">
        <w:t>2.9 Research gap</w:t>
      </w:r>
      <w:bookmarkEnd w:id="53"/>
      <w:bookmarkEnd w:id="54"/>
      <w:r w:rsidRPr="00335953">
        <w:t xml:space="preserve"> </w:t>
      </w:r>
    </w:p>
    <w:p w14:paraId="5FB4865C" w14:textId="77777777" w:rsidR="00AB2427" w:rsidRDefault="00130A17" w:rsidP="00DC1B7D">
      <w:pPr>
        <w:spacing w:line="360" w:lineRule="auto"/>
      </w:pPr>
      <w:r>
        <w:t>Existing SSCM research provides established definitions, theoretical frameworks and evidence of association with performance, but gives less attention to how a distributor connects upstream standards and product information with downstream adoption. Manufacturing measures and cross-sectional surveys dominate much of the literature, while corporate reporting can blur activity and impact. A longitudinal documentary case can add value by tracing reported practices and indicators over time, comparing different document types and making gaps in attribution explicit.</w:t>
      </w:r>
    </w:p>
    <w:p w14:paraId="2B9356BB" w14:textId="77777777" w:rsidR="00AB2427" w:rsidRDefault="00130A17" w:rsidP="00DC1B7D">
      <w:pPr>
        <w:spacing w:line="360" w:lineRule="auto"/>
      </w:pPr>
      <w:r>
        <w:t xml:space="preserve">Three expectations guided the initial reading. Responsible sourcing was expected to provide stronger evidence of governance and assessment than of supplier outcomes. </w:t>
      </w:r>
      <w:r>
        <w:lastRenderedPageBreak/>
        <w:t>Stable environmental baselines were expected to show direction of change without establishing Group financial impact. Customer documents were expected to contain engagement, product support and commercial examples, but possibly not a direct satisfaction measure. These expectations located relevant evidence; they were not hypotheses, and the final claims were determined by the coded records and their limitations.</w:t>
      </w:r>
    </w:p>
    <w:p w14:paraId="4E731F92" w14:textId="77777777" w:rsidR="00AB2427" w:rsidRDefault="00130A17" w:rsidP="00DC1B7D">
      <w:pPr>
        <w:spacing w:line="360" w:lineRule="auto"/>
      </w:pPr>
      <w:r>
        <w:t>The specific gap is consequently not an absence of claims that sustainability can create value. It is the limited visibility of the intermediate steps through which a distributor's practice becomes an operational or customer result. Existing studies commonly measure practice bundles and firm-level performance at one point in time. Bunzl's documents instead permit the researcher to ask whether an identifiable sourcing, portfolio, distribution or advisory activity appears repeatedly, whether its proposed mechanism is stated, and whether a corresponding outcome is reported at a compatible level.</w:t>
      </w:r>
    </w:p>
    <w:p w14:paraId="318F0380" w14:textId="77777777" w:rsidR="00AB2427" w:rsidRDefault="00130A17" w:rsidP="00DC1B7D">
      <w:pPr>
        <w:spacing w:line="360" w:lineRule="auto"/>
      </w:pPr>
      <w:r>
        <w:t>This focus makes missing evidence part of the research problem. If a report identifies assessment coverage but not repeat non-compliance, the study can evaluate governance reach but not lasting supplier improvement. If it identifies customer engagement but not a feedback method, it can evaluate the reach of a proposition but not satisfaction. The literature review therefore establishes an evidence hierarchy that is applied in Chapters 3 and 4. Direct measures provide the strongest basis for a bounded conclusion. Behavioural or commercial proxies support a more cautious inference, while narrative claims or selected cases illustrate a mechanism without demonstrating prevalence.</w:t>
      </w:r>
    </w:p>
    <w:p w14:paraId="568608B6" w14:textId="77777777" w:rsidR="000326F6" w:rsidRPr="00335953" w:rsidRDefault="000326F6" w:rsidP="00DC1B7D">
      <w:pPr>
        <w:pStyle w:val="Heading2"/>
        <w:jc w:val="left"/>
      </w:pPr>
      <w:bookmarkStart w:id="55" w:name="_Toc237017784"/>
      <w:bookmarkStart w:id="56" w:name="_Toc238218123"/>
      <w:r w:rsidRPr="000326F6">
        <w:t>2.10 Chapter summary</w:t>
      </w:r>
      <w:bookmarkEnd w:id="55"/>
      <w:bookmarkEnd w:id="56"/>
    </w:p>
    <w:p w14:paraId="6F090555" w14:textId="77777777" w:rsidR="00AB2427" w:rsidRDefault="00130A17" w:rsidP="00DC1B7D">
      <w:pPr>
        <w:spacing w:line="360" w:lineRule="auto"/>
      </w:pPr>
      <w:r>
        <w:t>This chapter has defined SSCM around the activities Bunzl can influence and has separated practices, mechanisms and outcomes. The literature supports plausible links with risk control, resource efficiency, information quality and customer value, while cautioning against automatic attribution. The theoretical lenses and framework below translate those insights into questions that can be applied consistently to the documentary corpus.</w:t>
      </w:r>
    </w:p>
    <w:p w14:paraId="481E7834" w14:textId="77777777" w:rsidR="00720668" w:rsidRPr="00720668" w:rsidRDefault="00720668" w:rsidP="00126D50">
      <w:pPr>
        <w:pStyle w:val="Heading1"/>
        <w:spacing w:line="360" w:lineRule="auto"/>
        <w:jc w:val="center"/>
      </w:pPr>
      <w:bookmarkStart w:id="57" w:name="_Toc237017785"/>
      <w:bookmarkStart w:id="58" w:name="_Toc238218124"/>
      <w:r w:rsidRPr="00720668">
        <w:lastRenderedPageBreak/>
        <w:t>Chapter 3: Research Methodology</w:t>
      </w:r>
      <w:bookmarkEnd w:id="57"/>
      <w:bookmarkEnd w:id="58"/>
    </w:p>
    <w:p w14:paraId="53F63323" w14:textId="77777777" w:rsidR="00720668" w:rsidRPr="00720668" w:rsidRDefault="00720668" w:rsidP="00DC1B7D">
      <w:pPr>
        <w:pStyle w:val="Heading2"/>
        <w:jc w:val="left"/>
      </w:pPr>
      <w:bookmarkStart w:id="59" w:name="_Toc237017786"/>
      <w:bookmarkStart w:id="60" w:name="_Toc238218125"/>
      <w:r w:rsidRPr="00720668">
        <w:t>3.1 Introduction</w:t>
      </w:r>
      <w:bookmarkEnd w:id="59"/>
      <w:bookmarkEnd w:id="60"/>
    </w:p>
    <w:p w14:paraId="2714B429" w14:textId="77777777" w:rsidR="00AB2427" w:rsidRDefault="00130A17" w:rsidP="00DC1B7D">
      <w:pPr>
        <w:spacing w:line="360" w:lineRule="auto"/>
      </w:pPr>
      <w:r>
        <w:t>This chapter explains how the three research questions were answered through a qualitative documentary case study of Bunzl. It defines the case and reporting period, identifies the document corpus, shows how search terms became contextual codes and themes, and states the controls used to assess evidential strength. Appendix A provides worked examples from the evidence matrix so that the analytical process can be inspected.</w:t>
      </w:r>
    </w:p>
    <w:p w14:paraId="605058B1" w14:textId="77777777" w:rsidR="00720668" w:rsidRPr="00720668" w:rsidRDefault="00720668" w:rsidP="00DC1B7D">
      <w:pPr>
        <w:pStyle w:val="Heading2"/>
        <w:jc w:val="left"/>
      </w:pPr>
      <w:bookmarkStart w:id="61" w:name="_Toc237017787"/>
      <w:bookmarkStart w:id="62" w:name="_Toc238218126"/>
      <w:r w:rsidRPr="00720668">
        <w:t>3.2 Research design and research rationale</w:t>
      </w:r>
      <w:bookmarkEnd w:id="61"/>
      <w:bookmarkEnd w:id="62"/>
    </w:p>
    <w:p w14:paraId="0567694D" w14:textId="77777777" w:rsidR="00AB2427" w:rsidRDefault="00130A17" w:rsidP="00DC1B7D">
      <w:pPr>
        <w:spacing w:line="360" w:lineRule="auto"/>
      </w:pPr>
      <w:r>
        <w:t>An embedded single-case design was used. Bunzl plc is the case, while the embedded units are responsible sourcing, product and material transition, carbon and resource management, distribution and digital enablement, and customer-facing support. A case design is appropriate when a phenomenon must be understood within its organisational context and its boundaries cannot be separated easily from that context (Yin, 2018). Bunzl's sustainability indicators have meaning only in relation to its distributor model, reporting scope and operating conditions.</w:t>
      </w:r>
    </w:p>
    <w:p w14:paraId="6B3F7122" w14:textId="77777777" w:rsidR="00AB2427" w:rsidRDefault="00130A17" w:rsidP="00DC1B7D">
      <w:pPr>
        <w:spacing w:line="360" w:lineRule="auto"/>
      </w:pPr>
      <w:r>
        <w:t>Public documents were selected because the research asks what can reasonably be inferred from Bunzl's disclosed evidence and because comparable reporting can be examined across several years. Document analysis involves systematic attention to meaning, context and evidential value rather than extracting isolated quotations (Bowen, 2009). The design supports longitudinal comparison and leaves an auditable source trail, but it cannot reproduce the perspectives of customers, suppliers or employees.</w:t>
      </w:r>
    </w:p>
    <w:p w14:paraId="7BE40E19" w14:textId="77777777" w:rsidR="00AB2427" w:rsidRDefault="00130A17" w:rsidP="00DC1B7D">
      <w:pPr>
        <w:spacing w:line="360" w:lineRule="auto"/>
      </w:pPr>
      <w:r>
        <w:t>The study is qualitative even though it retains reported numbers. Counts, percentages and financial indicators were used to establish scale, direction and consistency; no statistical causal model was estimated. For each indicator, the analysis recorded what it measured, its scope and baseline, the change reported, the mechanism it could support and any evidence that qualified the interpretation.</w:t>
      </w:r>
    </w:p>
    <w:p w14:paraId="76FDD2E2" w14:textId="77777777" w:rsidR="00720668" w:rsidRPr="00720668" w:rsidRDefault="00720668" w:rsidP="00DC1B7D">
      <w:pPr>
        <w:pStyle w:val="Heading2"/>
        <w:jc w:val="left"/>
      </w:pPr>
      <w:bookmarkStart w:id="63" w:name="_Toc237017788"/>
      <w:bookmarkStart w:id="64" w:name="_Toc238218127"/>
      <w:bookmarkEnd w:id="63"/>
      <w:r>
        <w:lastRenderedPageBreak/>
        <w:t>3.3 Research position and logic of inquiry</w:t>
      </w:r>
      <w:bookmarkEnd w:id="64"/>
    </w:p>
    <w:p w14:paraId="02902769" w14:textId="77777777" w:rsidR="00AB2427" w:rsidRDefault="00130A17" w:rsidP="00DC1B7D">
      <w:pPr>
        <w:spacing w:line="360" w:lineRule="auto"/>
      </w:pPr>
      <w:r>
        <w:t>The study takes a contextual and interpretive position. Reported revenue, emissions and assessment counts are treated as corporate data, but their selection, definition and presentation are part of the reporting context. Interpretation is required to decide whether an assessment count represents activity, coverage, improvement or impact, and whether a selected customer case can support a Group-level claim.</w:t>
      </w:r>
    </w:p>
    <w:p w14:paraId="6F448BA2" w14:textId="77777777" w:rsidR="00AB2427" w:rsidRDefault="00130A17" w:rsidP="00DC1B7D">
      <w:pPr>
        <w:spacing w:line="360" w:lineRule="auto"/>
      </w:pPr>
      <w:r>
        <w:t>Reasoning moved between the conceptual framework and the documents. The initial code list came from Chapter 2, then was refined when the evidence required a more precise distinction. For example, the broad code "customer satisfaction" was divided into direct feedback, behavioural or commercial proxy, and narrative claim because no Group-wide satisfaction measure was located. The decline in 2025 adjusted operating profit was also retained alongside improving sustainability indicators. These decisions show how the documents changed the final interpretation rather than being made to fit a predetermined conclusion.</w:t>
      </w:r>
    </w:p>
    <w:p w14:paraId="33ADB14D" w14:textId="77777777" w:rsidR="00720668" w:rsidRPr="00720668" w:rsidRDefault="00720668" w:rsidP="00DC1B7D">
      <w:pPr>
        <w:pStyle w:val="Heading2"/>
        <w:jc w:val="left"/>
      </w:pPr>
      <w:bookmarkStart w:id="65" w:name="_Toc237017789"/>
      <w:bookmarkStart w:id="66" w:name="_Toc238218128"/>
      <w:r w:rsidRPr="00720668">
        <w:t>3.4 Selection of cases and boundaries</w:t>
      </w:r>
      <w:bookmarkEnd w:id="65"/>
      <w:bookmarkEnd w:id="66"/>
    </w:p>
    <w:p w14:paraId="2977B3A9" w14:textId="5A03FFF3" w:rsidR="00AB2427" w:rsidRDefault="00130A17" w:rsidP="00DC1B7D">
      <w:pPr>
        <w:spacing w:line="360" w:lineRule="auto"/>
      </w:pPr>
      <w:r>
        <w:t xml:space="preserve">Bunzl was selected purposively. Its value-added distribution model provides a non-manufacturing setting; its position between a large supplier base and business </w:t>
      </w:r>
      <w:r w:rsidR="00126D50">
        <w:t>customer’s</w:t>
      </w:r>
      <w:r>
        <w:t xml:space="preserve"> makes upstream governance and downstream value visible; and its public reporting supplies longitudinal environmental, sourcing, operational and customer-related evidence.</w:t>
      </w:r>
    </w:p>
    <w:p w14:paraId="70342851" w14:textId="313A55C5" w:rsidR="00AB2427" w:rsidRDefault="00130A17" w:rsidP="00DC1B7D">
      <w:pPr>
        <w:spacing w:line="360" w:lineRule="auto"/>
      </w:pPr>
      <w:r>
        <w:t>The temporal boundary is reporting years 2022-2025 and the organisational boundary is Bunzl plc at Group level. A document was included when it had identifiable corporate authorship, related to the reporting period and contained evidence relevant to at least one research question. Local cases were used only as illustrations and are identified as such. The evidential boundary is the public corpus: the study has no access to source systems, third-party assurance working papers or undisclosed customer data.</w:t>
      </w:r>
    </w:p>
    <w:p w14:paraId="25F93FE2" w14:textId="77777777" w:rsidR="001E1667" w:rsidRDefault="001E1667" w:rsidP="00DC1B7D">
      <w:pPr>
        <w:spacing w:line="360" w:lineRule="auto"/>
      </w:pPr>
    </w:p>
    <w:p w14:paraId="1BFBA809" w14:textId="77777777" w:rsidR="00720668" w:rsidRPr="00720668" w:rsidRDefault="00720668" w:rsidP="00DC1B7D">
      <w:pPr>
        <w:pStyle w:val="Heading2"/>
        <w:jc w:val="left"/>
      </w:pPr>
      <w:bookmarkStart w:id="67" w:name="_Toc237017790"/>
      <w:bookmarkStart w:id="68" w:name="_Toc238218129"/>
      <w:r w:rsidRPr="00720668">
        <w:lastRenderedPageBreak/>
        <w:t>3.5 Documentary corpus</w:t>
      </w:r>
      <w:bookmarkEnd w:id="67"/>
      <w:bookmarkEnd w:id="68"/>
    </w:p>
    <w:p w14:paraId="206A1772" w14:textId="77777777" w:rsidR="00720668" w:rsidRPr="00720668" w:rsidRDefault="00720668" w:rsidP="00DC1B7D">
      <w:pPr>
        <w:spacing w:line="360" w:lineRule="auto"/>
        <w:rPr>
          <w:rFonts w:cs="Arial"/>
          <w:szCs w:val="24"/>
        </w:rPr>
      </w:pPr>
      <w:r>
        <w:t>The corpus was compiled from Bunzl's official website. A document was retained when it had identifiable corporate authorship, related to the reporting period and contained material on SSCM practice, operational performance or customer evidence. Full reports were preferred to press summaries. Repetition of the same claim across corporate documents was logged but was not treated as independent corroboration.</w:t>
      </w:r>
    </w:p>
    <w:p w14:paraId="35A5C0C4" w14:textId="32E0F3CC" w:rsidR="001E1667" w:rsidRPr="001E1667" w:rsidRDefault="00720668" w:rsidP="00DC1B7D">
      <w:pPr>
        <w:spacing w:line="360" w:lineRule="auto"/>
      </w:pPr>
      <w:r>
        <w:t>Table 3.1 records the reporting year, reason for inclusion and analytical role of each document set. Annual reports provided operating and financial context; sustainability reports supplied detailed indicators and cases; and sourcing policies or modern-slavery statements described standards, assessment and remediation. The table was constructed before themes were finalised so that document type and evidential role remained distinct.</w:t>
      </w:r>
    </w:p>
    <w:p w14:paraId="51D7BDE7" w14:textId="77777777" w:rsidR="009218B4" w:rsidRDefault="009218B4" w:rsidP="00DC1B7D">
      <w:pPr>
        <w:pStyle w:val="Heading4"/>
      </w:pPr>
      <w:r>
        <w:rPr>
          <w:lang w:val="en-GB"/>
        </w:rPr>
        <w:t>Table 3.1 Documentary corpus and analytical role</w:t>
      </w:r>
    </w:p>
    <w:tbl>
      <w:tblPr>
        <w:tblW w:w="10156" w:type="dxa"/>
        <w:jc w:val="center"/>
        <w:tblBorders>
          <w:top w:val="single" w:sz="8" w:space="0" w:color="17324D"/>
          <w:left w:val="single" w:sz="4" w:space="0" w:color="C8D3DB"/>
          <w:bottom w:val="single" w:sz="8" w:space="0" w:color="17324D"/>
          <w:right w:val="single" w:sz="4" w:space="0" w:color="C8D3DB"/>
          <w:insideH w:val="single" w:sz="4" w:space="0" w:color="C8D3DB"/>
          <w:insideV w:val="single" w:sz="4" w:space="0" w:color="C8D3DB"/>
        </w:tblBorders>
        <w:tblLayout w:type="fixed"/>
        <w:tblLook w:val="04A0" w:firstRow="1" w:lastRow="0" w:firstColumn="1" w:lastColumn="0" w:noHBand="0" w:noVBand="1"/>
      </w:tblPr>
      <w:tblGrid>
        <w:gridCol w:w="2439"/>
        <w:gridCol w:w="1827"/>
        <w:gridCol w:w="3047"/>
        <w:gridCol w:w="2843"/>
      </w:tblGrid>
      <w:tr w:rsidR="00335582" w:rsidRPr="00335582" w14:paraId="43BF234E" w14:textId="77777777" w:rsidTr="00335582">
        <w:trPr>
          <w:cantSplit/>
          <w:trHeight w:val="771"/>
          <w:tblHeader/>
          <w:jc w:val="center"/>
        </w:trPr>
        <w:tc>
          <w:tcPr>
            <w:tcW w:w="2439" w:type="dxa"/>
            <w:shd w:val="clear" w:color="auto" w:fill="17324D"/>
            <w:tcMar>
              <w:top w:w="90" w:type="dxa"/>
              <w:left w:w="90" w:type="dxa"/>
              <w:bottom w:w="90" w:type="dxa"/>
              <w:right w:w="90" w:type="dxa"/>
            </w:tcMar>
            <w:vAlign w:val="center"/>
          </w:tcPr>
          <w:p w14:paraId="5C9D22A1" w14:textId="77777777" w:rsidR="009218B4" w:rsidRPr="00335582" w:rsidRDefault="009218B4" w:rsidP="00DC1B7D">
            <w:pPr>
              <w:spacing w:after="0" w:line="360" w:lineRule="auto"/>
              <w:jc w:val="center"/>
              <w:rPr>
                <w:sz w:val="18"/>
                <w:szCs w:val="18"/>
              </w:rPr>
            </w:pPr>
            <w:r w:rsidRPr="00335582">
              <w:rPr>
                <w:sz w:val="18"/>
                <w:szCs w:val="18"/>
              </w:rPr>
              <w:t>Official document set</w:t>
            </w:r>
          </w:p>
        </w:tc>
        <w:tc>
          <w:tcPr>
            <w:tcW w:w="1827" w:type="dxa"/>
            <w:shd w:val="clear" w:color="auto" w:fill="17324D"/>
            <w:tcMar>
              <w:top w:w="90" w:type="dxa"/>
              <w:left w:w="90" w:type="dxa"/>
              <w:bottom w:w="90" w:type="dxa"/>
              <w:right w:w="90" w:type="dxa"/>
            </w:tcMar>
            <w:vAlign w:val="center"/>
          </w:tcPr>
          <w:p w14:paraId="134660EB" w14:textId="77777777" w:rsidR="009218B4" w:rsidRPr="00335582" w:rsidRDefault="009218B4" w:rsidP="00DC1B7D">
            <w:pPr>
              <w:spacing w:after="0" w:line="360" w:lineRule="auto"/>
              <w:jc w:val="center"/>
              <w:rPr>
                <w:sz w:val="18"/>
                <w:szCs w:val="18"/>
              </w:rPr>
            </w:pPr>
            <w:r w:rsidRPr="00335582">
              <w:rPr>
                <w:sz w:val="18"/>
                <w:szCs w:val="18"/>
              </w:rPr>
              <w:t>Reporting year</w:t>
            </w:r>
          </w:p>
        </w:tc>
        <w:tc>
          <w:tcPr>
            <w:tcW w:w="3047" w:type="dxa"/>
            <w:shd w:val="clear" w:color="auto" w:fill="17324D"/>
            <w:tcMar>
              <w:top w:w="90" w:type="dxa"/>
              <w:left w:w="90" w:type="dxa"/>
              <w:bottom w:w="90" w:type="dxa"/>
              <w:right w:w="90" w:type="dxa"/>
            </w:tcMar>
            <w:vAlign w:val="center"/>
          </w:tcPr>
          <w:p w14:paraId="0E00D677" w14:textId="77777777" w:rsidR="009218B4" w:rsidRPr="00335582" w:rsidRDefault="009218B4" w:rsidP="00DC1B7D">
            <w:pPr>
              <w:spacing w:after="0" w:line="360" w:lineRule="auto"/>
              <w:jc w:val="center"/>
              <w:rPr>
                <w:sz w:val="18"/>
                <w:szCs w:val="18"/>
              </w:rPr>
            </w:pPr>
            <w:r w:rsidRPr="00335582">
              <w:rPr>
                <w:sz w:val="18"/>
                <w:szCs w:val="18"/>
              </w:rPr>
              <w:t>Reason for inclusion</w:t>
            </w:r>
          </w:p>
        </w:tc>
        <w:tc>
          <w:tcPr>
            <w:tcW w:w="2843" w:type="dxa"/>
            <w:shd w:val="clear" w:color="auto" w:fill="17324D"/>
            <w:tcMar>
              <w:top w:w="90" w:type="dxa"/>
              <w:left w:w="90" w:type="dxa"/>
              <w:bottom w:w="90" w:type="dxa"/>
              <w:right w:w="90" w:type="dxa"/>
            </w:tcMar>
            <w:vAlign w:val="center"/>
          </w:tcPr>
          <w:p w14:paraId="51304475" w14:textId="77777777" w:rsidR="009218B4" w:rsidRPr="00335582" w:rsidRDefault="009218B4" w:rsidP="00DC1B7D">
            <w:pPr>
              <w:spacing w:after="0" w:line="360" w:lineRule="auto"/>
              <w:jc w:val="center"/>
              <w:rPr>
                <w:sz w:val="18"/>
                <w:szCs w:val="18"/>
              </w:rPr>
            </w:pPr>
            <w:r w:rsidRPr="00335582">
              <w:rPr>
                <w:sz w:val="18"/>
                <w:szCs w:val="18"/>
              </w:rPr>
              <w:t>Primary analytical role</w:t>
            </w:r>
          </w:p>
        </w:tc>
      </w:tr>
      <w:tr w:rsidR="00335582" w:rsidRPr="00335582" w14:paraId="5E977B49" w14:textId="77777777" w:rsidTr="00335582">
        <w:trPr>
          <w:cantSplit/>
          <w:trHeight w:val="1371"/>
          <w:jc w:val="center"/>
        </w:trPr>
        <w:tc>
          <w:tcPr>
            <w:tcW w:w="2439" w:type="dxa"/>
            <w:tcMar>
              <w:top w:w="90" w:type="dxa"/>
              <w:left w:w="90" w:type="dxa"/>
              <w:bottom w:w="90" w:type="dxa"/>
              <w:right w:w="90" w:type="dxa"/>
            </w:tcMar>
            <w:vAlign w:val="center"/>
          </w:tcPr>
          <w:p w14:paraId="16BA4945" w14:textId="77777777" w:rsidR="009218B4" w:rsidRPr="00335582" w:rsidRDefault="009218B4" w:rsidP="00DC1B7D">
            <w:pPr>
              <w:spacing w:after="0" w:line="360" w:lineRule="auto"/>
              <w:jc w:val="left"/>
              <w:rPr>
                <w:sz w:val="18"/>
                <w:szCs w:val="18"/>
              </w:rPr>
            </w:pPr>
            <w:r w:rsidRPr="00335582">
              <w:rPr>
                <w:sz w:val="18"/>
                <w:szCs w:val="18"/>
              </w:rPr>
              <w:t>Annual Report and SASB reporting</w:t>
            </w:r>
          </w:p>
        </w:tc>
        <w:tc>
          <w:tcPr>
            <w:tcW w:w="1827" w:type="dxa"/>
            <w:tcMar>
              <w:top w:w="90" w:type="dxa"/>
              <w:left w:w="90" w:type="dxa"/>
              <w:bottom w:w="90" w:type="dxa"/>
              <w:right w:w="90" w:type="dxa"/>
            </w:tcMar>
            <w:vAlign w:val="center"/>
          </w:tcPr>
          <w:p w14:paraId="03999F0E" w14:textId="77777777" w:rsidR="009218B4" w:rsidRPr="00335582" w:rsidRDefault="009218B4" w:rsidP="00DC1B7D">
            <w:pPr>
              <w:spacing w:after="0" w:line="360" w:lineRule="auto"/>
              <w:jc w:val="left"/>
              <w:rPr>
                <w:sz w:val="18"/>
                <w:szCs w:val="18"/>
              </w:rPr>
            </w:pPr>
            <w:r w:rsidRPr="00335582">
              <w:rPr>
                <w:sz w:val="18"/>
                <w:szCs w:val="18"/>
              </w:rPr>
              <w:t>2022</w:t>
            </w:r>
          </w:p>
        </w:tc>
        <w:tc>
          <w:tcPr>
            <w:tcW w:w="3047" w:type="dxa"/>
            <w:tcMar>
              <w:top w:w="90" w:type="dxa"/>
              <w:left w:w="90" w:type="dxa"/>
              <w:bottom w:w="90" w:type="dxa"/>
              <w:right w:w="90" w:type="dxa"/>
            </w:tcMar>
            <w:vAlign w:val="center"/>
          </w:tcPr>
          <w:p w14:paraId="37779E66" w14:textId="77777777" w:rsidR="009218B4" w:rsidRPr="00335582" w:rsidRDefault="009218B4" w:rsidP="00DC1B7D">
            <w:pPr>
              <w:spacing w:after="0" w:line="360" w:lineRule="auto"/>
              <w:jc w:val="left"/>
              <w:rPr>
                <w:sz w:val="18"/>
                <w:szCs w:val="18"/>
              </w:rPr>
            </w:pPr>
            <w:r w:rsidRPr="00335582">
              <w:rPr>
                <w:sz w:val="18"/>
                <w:szCs w:val="18"/>
              </w:rPr>
              <w:t>Starting operational, portfolio and supplier indicators</w:t>
            </w:r>
          </w:p>
        </w:tc>
        <w:tc>
          <w:tcPr>
            <w:tcW w:w="2843" w:type="dxa"/>
            <w:tcMar>
              <w:top w:w="90" w:type="dxa"/>
              <w:left w:w="90" w:type="dxa"/>
              <w:bottom w:w="90" w:type="dxa"/>
              <w:right w:w="90" w:type="dxa"/>
            </w:tcMar>
            <w:vAlign w:val="center"/>
          </w:tcPr>
          <w:p w14:paraId="03047F62" w14:textId="77777777" w:rsidR="009218B4" w:rsidRPr="00335582" w:rsidRDefault="009218B4" w:rsidP="00DC1B7D">
            <w:pPr>
              <w:spacing w:after="0" w:line="360" w:lineRule="auto"/>
              <w:jc w:val="left"/>
              <w:rPr>
                <w:sz w:val="18"/>
                <w:szCs w:val="18"/>
              </w:rPr>
            </w:pPr>
            <w:r w:rsidRPr="00335582">
              <w:rPr>
                <w:sz w:val="18"/>
                <w:szCs w:val="18"/>
              </w:rPr>
              <w:t>Baseline for revenue mix and 930 supplier audits (Bunzl plc, 2022a; 2022c)</w:t>
            </w:r>
          </w:p>
        </w:tc>
      </w:tr>
      <w:tr w:rsidR="00335582" w:rsidRPr="00335582" w14:paraId="26B0513E" w14:textId="77777777" w:rsidTr="00335582">
        <w:trPr>
          <w:cantSplit/>
          <w:trHeight w:val="1371"/>
          <w:jc w:val="center"/>
        </w:trPr>
        <w:tc>
          <w:tcPr>
            <w:tcW w:w="2439" w:type="dxa"/>
            <w:shd w:val="clear" w:color="auto" w:fill="F5F8FA"/>
            <w:tcMar>
              <w:top w:w="90" w:type="dxa"/>
              <w:left w:w="90" w:type="dxa"/>
              <w:bottom w:w="90" w:type="dxa"/>
              <w:right w:w="90" w:type="dxa"/>
            </w:tcMar>
            <w:vAlign w:val="center"/>
          </w:tcPr>
          <w:p w14:paraId="7461918F" w14:textId="77777777" w:rsidR="009218B4" w:rsidRPr="00335582" w:rsidRDefault="009218B4" w:rsidP="00DC1B7D">
            <w:pPr>
              <w:spacing w:after="0" w:line="360" w:lineRule="auto"/>
              <w:jc w:val="left"/>
              <w:rPr>
                <w:sz w:val="18"/>
                <w:szCs w:val="18"/>
              </w:rPr>
            </w:pPr>
            <w:r w:rsidRPr="00335582">
              <w:rPr>
                <w:sz w:val="18"/>
                <w:szCs w:val="18"/>
              </w:rPr>
              <w:t>Sustainability Report</w:t>
            </w:r>
          </w:p>
        </w:tc>
        <w:tc>
          <w:tcPr>
            <w:tcW w:w="1827" w:type="dxa"/>
            <w:shd w:val="clear" w:color="auto" w:fill="F5F8FA"/>
            <w:tcMar>
              <w:top w:w="90" w:type="dxa"/>
              <w:left w:w="90" w:type="dxa"/>
              <w:bottom w:w="90" w:type="dxa"/>
              <w:right w:w="90" w:type="dxa"/>
            </w:tcMar>
            <w:vAlign w:val="center"/>
          </w:tcPr>
          <w:p w14:paraId="5E1A1D53" w14:textId="77777777" w:rsidR="009218B4" w:rsidRPr="00335582" w:rsidRDefault="009218B4" w:rsidP="00DC1B7D">
            <w:pPr>
              <w:spacing w:after="0" w:line="360" w:lineRule="auto"/>
              <w:jc w:val="left"/>
              <w:rPr>
                <w:sz w:val="18"/>
                <w:szCs w:val="18"/>
              </w:rPr>
            </w:pPr>
            <w:r w:rsidRPr="00335582">
              <w:rPr>
                <w:sz w:val="18"/>
                <w:szCs w:val="18"/>
              </w:rPr>
              <w:t>2022</w:t>
            </w:r>
          </w:p>
        </w:tc>
        <w:tc>
          <w:tcPr>
            <w:tcW w:w="3047" w:type="dxa"/>
            <w:shd w:val="clear" w:color="auto" w:fill="F5F8FA"/>
            <w:tcMar>
              <w:top w:w="90" w:type="dxa"/>
              <w:left w:w="90" w:type="dxa"/>
              <w:bottom w:w="90" w:type="dxa"/>
              <w:right w:w="90" w:type="dxa"/>
            </w:tcMar>
            <w:vAlign w:val="center"/>
          </w:tcPr>
          <w:p w14:paraId="2AE3D517" w14:textId="77777777" w:rsidR="009218B4" w:rsidRPr="00335582" w:rsidRDefault="009218B4" w:rsidP="00DC1B7D">
            <w:pPr>
              <w:spacing w:after="0" w:line="360" w:lineRule="auto"/>
              <w:jc w:val="left"/>
              <w:rPr>
                <w:sz w:val="18"/>
                <w:szCs w:val="18"/>
              </w:rPr>
            </w:pPr>
            <w:r w:rsidRPr="00335582">
              <w:rPr>
                <w:sz w:val="18"/>
                <w:szCs w:val="18"/>
              </w:rPr>
              <w:t>Detailed environmental and supply-chain narrative</w:t>
            </w:r>
          </w:p>
        </w:tc>
        <w:tc>
          <w:tcPr>
            <w:tcW w:w="2843" w:type="dxa"/>
            <w:shd w:val="clear" w:color="auto" w:fill="F5F8FA"/>
            <w:tcMar>
              <w:top w:w="90" w:type="dxa"/>
              <w:left w:w="90" w:type="dxa"/>
              <w:bottom w:w="90" w:type="dxa"/>
              <w:right w:w="90" w:type="dxa"/>
            </w:tcMar>
            <w:vAlign w:val="center"/>
          </w:tcPr>
          <w:p w14:paraId="0172A854" w14:textId="77777777" w:rsidR="009218B4" w:rsidRPr="00335582" w:rsidRDefault="009218B4" w:rsidP="00DC1B7D">
            <w:pPr>
              <w:spacing w:after="0" w:line="360" w:lineRule="auto"/>
              <w:jc w:val="left"/>
              <w:rPr>
                <w:sz w:val="18"/>
                <w:szCs w:val="18"/>
              </w:rPr>
            </w:pPr>
            <w:r w:rsidRPr="00335582">
              <w:rPr>
                <w:sz w:val="18"/>
                <w:szCs w:val="18"/>
              </w:rPr>
              <w:t>Initial practice definitions and carbon context (Bunzl plc, 2022b)</w:t>
            </w:r>
          </w:p>
        </w:tc>
      </w:tr>
      <w:tr w:rsidR="00335582" w:rsidRPr="00335582" w14:paraId="00D9142A" w14:textId="77777777" w:rsidTr="00335582">
        <w:trPr>
          <w:cantSplit/>
          <w:trHeight w:val="1371"/>
          <w:jc w:val="center"/>
        </w:trPr>
        <w:tc>
          <w:tcPr>
            <w:tcW w:w="2439" w:type="dxa"/>
            <w:tcMar>
              <w:top w:w="90" w:type="dxa"/>
              <w:left w:w="90" w:type="dxa"/>
              <w:bottom w:w="90" w:type="dxa"/>
              <w:right w:w="90" w:type="dxa"/>
            </w:tcMar>
            <w:vAlign w:val="center"/>
          </w:tcPr>
          <w:p w14:paraId="5529903D" w14:textId="77777777" w:rsidR="009218B4" w:rsidRPr="00335582" w:rsidRDefault="009218B4" w:rsidP="00DC1B7D">
            <w:pPr>
              <w:spacing w:after="0" w:line="360" w:lineRule="auto"/>
              <w:jc w:val="left"/>
              <w:rPr>
                <w:sz w:val="18"/>
                <w:szCs w:val="18"/>
              </w:rPr>
            </w:pPr>
            <w:r w:rsidRPr="00335582">
              <w:rPr>
                <w:sz w:val="18"/>
                <w:szCs w:val="18"/>
              </w:rPr>
              <w:t>Annual Report and ESG/SASB appendix</w:t>
            </w:r>
          </w:p>
        </w:tc>
        <w:tc>
          <w:tcPr>
            <w:tcW w:w="1827" w:type="dxa"/>
            <w:tcMar>
              <w:top w:w="90" w:type="dxa"/>
              <w:left w:w="90" w:type="dxa"/>
              <w:bottom w:w="90" w:type="dxa"/>
              <w:right w:w="90" w:type="dxa"/>
            </w:tcMar>
            <w:vAlign w:val="center"/>
          </w:tcPr>
          <w:p w14:paraId="368F5BE6" w14:textId="77777777" w:rsidR="009218B4" w:rsidRPr="00335582" w:rsidRDefault="009218B4" w:rsidP="00DC1B7D">
            <w:pPr>
              <w:spacing w:after="0" w:line="360" w:lineRule="auto"/>
              <w:jc w:val="left"/>
              <w:rPr>
                <w:sz w:val="18"/>
                <w:szCs w:val="18"/>
              </w:rPr>
            </w:pPr>
            <w:r w:rsidRPr="00335582">
              <w:rPr>
                <w:sz w:val="18"/>
                <w:szCs w:val="18"/>
              </w:rPr>
              <w:t>2023</w:t>
            </w:r>
          </w:p>
        </w:tc>
        <w:tc>
          <w:tcPr>
            <w:tcW w:w="3047" w:type="dxa"/>
            <w:tcMar>
              <w:top w:w="90" w:type="dxa"/>
              <w:left w:w="90" w:type="dxa"/>
              <w:bottom w:w="90" w:type="dxa"/>
              <w:right w:w="90" w:type="dxa"/>
            </w:tcMar>
            <w:vAlign w:val="center"/>
          </w:tcPr>
          <w:p w14:paraId="34C55FB8" w14:textId="77777777" w:rsidR="009218B4" w:rsidRPr="00335582" w:rsidRDefault="009218B4" w:rsidP="00DC1B7D">
            <w:pPr>
              <w:spacing w:after="0" w:line="360" w:lineRule="auto"/>
              <w:jc w:val="left"/>
              <w:rPr>
                <w:sz w:val="18"/>
                <w:szCs w:val="18"/>
              </w:rPr>
            </w:pPr>
            <w:r w:rsidRPr="00335582">
              <w:rPr>
                <w:sz w:val="18"/>
                <w:szCs w:val="18"/>
              </w:rPr>
              <w:t>Next-year operating and supplier evidence</w:t>
            </w:r>
          </w:p>
        </w:tc>
        <w:tc>
          <w:tcPr>
            <w:tcW w:w="2843" w:type="dxa"/>
            <w:tcMar>
              <w:top w:w="90" w:type="dxa"/>
              <w:left w:w="90" w:type="dxa"/>
              <w:bottom w:w="90" w:type="dxa"/>
              <w:right w:w="90" w:type="dxa"/>
            </w:tcMar>
            <w:vAlign w:val="center"/>
          </w:tcPr>
          <w:p w14:paraId="12F5F588" w14:textId="77777777" w:rsidR="009218B4" w:rsidRPr="00335582" w:rsidRDefault="009218B4" w:rsidP="00DC1B7D">
            <w:pPr>
              <w:spacing w:after="0" w:line="360" w:lineRule="auto"/>
              <w:jc w:val="left"/>
              <w:rPr>
                <w:sz w:val="18"/>
                <w:szCs w:val="18"/>
              </w:rPr>
            </w:pPr>
            <w:r w:rsidRPr="00335582">
              <w:rPr>
                <w:sz w:val="18"/>
                <w:szCs w:val="18"/>
              </w:rPr>
              <w:t>Cross-year assessment comparison (Bunzl plc, 2023a; 2023e)</w:t>
            </w:r>
          </w:p>
        </w:tc>
      </w:tr>
      <w:tr w:rsidR="00335582" w:rsidRPr="00335582" w14:paraId="720BAA8F" w14:textId="77777777" w:rsidTr="00335582">
        <w:trPr>
          <w:cantSplit/>
          <w:trHeight w:val="1371"/>
          <w:jc w:val="center"/>
        </w:trPr>
        <w:tc>
          <w:tcPr>
            <w:tcW w:w="2439" w:type="dxa"/>
            <w:shd w:val="clear" w:color="auto" w:fill="F5F8FA"/>
            <w:tcMar>
              <w:top w:w="90" w:type="dxa"/>
              <w:left w:w="90" w:type="dxa"/>
              <w:bottom w:w="90" w:type="dxa"/>
              <w:right w:w="90" w:type="dxa"/>
            </w:tcMar>
            <w:vAlign w:val="center"/>
          </w:tcPr>
          <w:p w14:paraId="22E733C0" w14:textId="77777777" w:rsidR="009218B4" w:rsidRPr="00335582" w:rsidRDefault="009218B4" w:rsidP="00DC1B7D">
            <w:pPr>
              <w:spacing w:after="0" w:line="360" w:lineRule="auto"/>
              <w:jc w:val="left"/>
              <w:rPr>
                <w:sz w:val="18"/>
                <w:szCs w:val="18"/>
              </w:rPr>
            </w:pPr>
            <w:r w:rsidRPr="00335582">
              <w:rPr>
                <w:sz w:val="18"/>
                <w:szCs w:val="18"/>
              </w:rPr>
              <w:lastRenderedPageBreak/>
              <w:t>Sustainability Report</w:t>
            </w:r>
          </w:p>
        </w:tc>
        <w:tc>
          <w:tcPr>
            <w:tcW w:w="1827" w:type="dxa"/>
            <w:shd w:val="clear" w:color="auto" w:fill="F5F8FA"/>
            <w:tcMar>
              <w:top w:w="90" w:type="dxa"/>
              <w:left w:w="90" w:type="dxa"/>
              <w:bottom w:w="90" w:type="dxa"/>
              <w:right w:w="90" w:type="dxa"/>
            </w:tcMar>
            <w:vAlign w:val="center"/>
          </w:tcPr>
          <w:p w14:paraId="1AB911D6" w14:textId="77777777" w:rsidR="009218B4" w:rsidRPr="00335582" w:rsidRDefault="009218B4" w:rsidP="00DC1B7D">
            <w:pPr>
              <w:spacing w:after="0" w:line="360" w:lineRule="auto"/>
              <w:jc w:val="left"/>
              <w:rPr>
                <w:sz w:val="18"/>
                <w:szCs w:val="18"/>
              </w:rPr>
            </w:pPr>
            <w:r w:rsidRPr="00335582">
              <w:rPr>
                <w:sz w:val="18"/>
                <w:szCs w:val="18"/>
              </w:rPr>
              <w:t>2023</w:t>
            </w:r>
          </w:p>
        </w:tc>
        <w:tc>
          <w:tcPr>
            <w:tcW w:w="3047" w:type="dxa"/>
            <w:shd w:val="clear" w:color="auto" w:fill="F5F8FA"/>
            <w:tcMar>
              <w:top w:w="90" w:type="dxa"/>
              <w:left w:w="90" w:type="dxa"/>
              <w:bottom w:w="90" w:type="dxa"/>
              <w:right w:w="90" w:type="dxa"/>
            </w:tcMar>
            <w:vAlign w:val="center"/>
          </w:tcPr>
          <w:p w14:paraId="48EE0FDA" w14:textId="77777777" w:rsidR="009218B4" w:rsidRPr="00335582" w:rsidRDefault="009218B4" w:rsidP="00DC1B7D">
            <w:pPr>
              <w:spacing w:after="0" w:line="360" w:lineRule="auto"/>
              <w:jc w:val="left"/>
              <w:rPr>
                <w:sz w:val="18"/>
                <w:szCs w:val="18"/>
              </w:rPr>
            </w:pPr>
            <w:r w:rsidRPr="00335582">
              <w:rPr>
                <w:sz w:val="18"/>
                <w:szCs w:val="18"/>
              </w:rPr>
              <w:t>Progress and customer/product examples</w:t>
            </w:r>
          </w:p>
        </w:tc>
        <w:tc>
          <w:tcPr>
            <w:tcW w:w="2843" w:type="dxa"/>
            <w:shd w:val="clear" w:color="auto" w:fill="F5F8FA"/>
            <w:tcMar>
              <w:top w:w="90" w:type="dxa"/>
              <w:left w:w="90" w:type="dxa"/>
              <w:bottom w:w="90" w:type="dxa"/>
              <w:right w:w="90" w:type="dxa"/>
            </w:tcMar>
            <w:vAlign w:val="center"/>
          </w:tcPr>
          <w:p w14:paraId="6FE2FCDD" w14:textId="77777777" w:rsidR="009218B4" w:rsidRPr="00335582" w:rsidRDefault="009218B4" w:rsidP="00DC1B7D">
            <w:pPr>
              <w:spacing w:after="0" w:line="360" w:lineRule="auto"/>
              <w:jc w:val="left"/>
              <w:rPr>
                <w:sz w:val="18"/>
                <w:szCs w:val="18"/>
              </w:rPr>
            </w:pPr>
            <w:r w:rsidRPr="00335582">
              <w:rPr>
                <w:sz w:val="18"/>
                <w:szCs w:val="18"/>
              </w:rPr>
              <w:t>Practice development and reporting consistency (Bunzl plc, 2023b)</w:t>
            </w:r>
          </w:p>
        </w:tc>
      </w:tr>
      <w:tr w:rsidR="00335582" w:rsidRPr="00335582" w14:paraId="6D0529D6" w14:textId="77777777" w:rsidTr="00335582">
        <w:trPr>
          <w:cantSplit/>
          <w:trHeight w:val="1371"/>
          <w:jc w:val="center"/>
        </w:trPr>
        <w:tc>
          <w:tcPr>
            <w:tcW w:w="2439" w:type="dxa"/>
            <w:tcMar>
              <w:top w:w="90" w:type="dxa"/>
              <w:left w:w="90" w:type="dxa"/>
              <w:bottom w:w="90" w:type="dxa"/>
              <w:right w:w="90" w:type="dxa"/>
            </w:tcMar>
            <w:vAlign w:val="center"/>
          </w:tcPr>
          <w:p w14:paraId="449B2EF4" w14:textId="77777777" w:rsidR="009218B4" w:rsidRPr="00335582" w:rsidRDefault="009218B4" w:rsidP="00DC1B7D">
            <w:pPr>
              <w:spacing w:after="0" w:line="360" w:lineRule="auto"/>
              <w:jc w:val="left"/>
              <w:rPr>
                <w:sz w:val="18"/>
                <w:szCs w:val="18"/>
              </w:rPr>
            </w:pPr>
            <w:r w:rsidRPr="00335582">
              <w:rPr>
                <w:sz w:val="18"/>
                <w:szCs w:val="18"/>
              </w:rPr>
              <w:t>Supplier Code of Conduct</w:t>
            </w:r>
          </w:p>
        </w:tc>
        <w:tc>
          <w:tcPr>
            <w:tcW w:w="1827" w:type="dxa"/>
            <w:tcMar>
              <w:top w:w="90" w:type="dxa"/>
              <w:left w:w="90" w:type="dxa"/>
              <w:bottom w:w="90" w:type="dxa"/>
              <w:right w:w="90" w:type="dxa"/>
            </w:tcMar>
            <w:vAlign w:val="center"/>
          </w:tcPr>
          <w:p w14:paraId="10651BFD" w14:textId="77777777" w:rsidR="009218B4" w:rsidRPr="00335582" w:rsidRDefault="009218B4" w:rsidP="00DC1B7D">
            <w:pPr>
              <w:spacing w:after="0" w:line="360" w:lineRule="auto"/>
              <w:jc w:val="left"/>
              <w:rPr>
                <w:sz w:val="18"/>
                <w:szCs w:val="18"/>
              </w:rPr>
            </w:pPr>
            <w:r w:rsidRPr="00335582">
              <w:rPr>
                <w:sz w:val="18"/>
                <w:szCs w:val="18"/>
              </w:rPr>
              <w:t>2023</w:t>
            </w:r>
          </w:p>
        </w:tc>
        <w:tc>
          <w:tcPr>
            <w:tcW w:w="3047" w:type="dxa"/>
            <w:tcMar>
              <w:top w:w="90" w:type="dxa"/>
              <w:left w:w="90" w:type="dxa"/>
              <w:bottom w:w="90" w:type="dxa"/>
              <w:right w:w="90" w:type="dxa"/>
            </w:tcMar>
            <w:vAlign w:val="center"/>
          </w:tcPr>
          <w:p w14:paraId="11EF681E" w14:textId="77777777" w:rsidR="009218B4" w:rsidRPr="00335582" w:rsidRDefault="009218B4" w:rsidP="00DC1B7D">
            <w:pPr>
              <w:spacing w:after="0" w:line="360" w:lineRule="auto"/>
              <w:jc w:val="left"/>
              <w:rPr>
                <w:sz w:val="18"/>
                <w:szCs w:val="18"/>
              </w:rPr>
            </w:pPr>
            <w:r w:rsidRPr="00335582">
              <w:rPr>
                <w:sz w:val="18"/>
                <w:szCs w:val="18"/>
              </w:rPr>
              <w:t>Formal expectations for suppliers and their chains</w:t>
            </w:r>
          </w:p>
        </w:tc>
        <w:tc>
          <w:tcPr>
            <w:tcW w:w="2843" w:type="dxa"/>
            <w:tcMar>
              <w:top w:w="90" w:type="dxa"/>
              <w:left w:w="90" w:type="dxa"/>
              <w:bottom w:w="90" w:type="dxa"/>
              <w:right w:w="90" w:type="dxa"/>
            </w:tcMar>
            <w:vAlign w:val="center"/>
          </w:tcPr>
          <w:p w14:paraId="287A0B03" w14:textId="77777777" w:rsidR="009218B4" w:rsidRPr="00335582" w:rsidRDefault="009218B4" w:rsidP="00DC1B7D">
            <w:pPr>
              <w:spacing w:after="0" w:line="360" w:lineRule="auto"/>
              <w:jc w:val="left"/>
              <w:rPr>
                <w:sz w:val="18"/>
                <w:szCs w:val="18"/>
              </w:rPr>
            </w:pPr>
            <w:r w:rsidRPr="00335582">
              <w:rPr>
                <w:sz w:val="18"/>
                <w:szCs w:val="18"/>
              </w:rPr>
              <w:t>Governance criteria and stakeholder scope (Bunzl plc, 2023c)</w:t>
            </w:r>
          </w:p>
        </w:tc>
      </w:tr>
      <w:tr w:rsidR="00335582" w:rsidRPr="00335582" w14:paraId="7C9BD826" w14:textId="77777777" w:rsidTr="00335582">
        <w:trPr>
          <w:cantSplit/>
          <w:trHeight w:val="1371"/>
          <w:jc w:val="center"/>
        </w:trPr>
        <w:tc>
          <w:tcPr>
            <w:tcW w:w="2439" w:type="dxa"/>
            <w:shd w:val="clear" w:color="auto" w:fill="F5F8FA"/>
            <w:tcMar>
              <w:top w:w="90" w:type="dxa"/>
              <w:left w:w="90" w:type="dxa"/>
              <w:bottom w:w="90" w:type="dxa"/>
              <w:right w:w="90" w:type="dxa"/>
            </w:tcMar>
            <w:vAlign w:val="center"/>
          </w:tcPr>
          <w:p w14:paraId="7A22D5F9" w14:textId="77777777" w:rsidR="009218B4" w:rsidRPr="00335582" w:rsidRDefault="009218B4" w:rsidP="00DC1B7D">
            <w:pPr>
              <w:spacing w:after="0" w:line="360" w:lineRule="auto"/>
              <w:jc w:val="left"/>
              <w:rPr>
                <w:sz w:val="18"/>
                <w:szCs w:val="18"/>
              </w:rPr>
            </w:pPr>
            <w:r w:rsidRPr="00335582">
              <w:rPr>
                <w:sz w:val="18"/>
                <w:szCs w:val="18"/>
              </w:rPr>
              <w:t>Ethical Sourcing Policy</w:t>
            </w:r>
          </w:p>
        </w:tc>
        <w:tc>
          <w:tcPr>
            <w:tcW w:w="1827" w:type="dxa"/>
            <w:shd w:val="clear" w:color="auto" w:fill="F5F8FA"/>
            <w:tcMar>
              <w:top w:w="90" w:type="dxa"/>
              <w:left w:w="90" w:type="dxa"/>
              <w:bottom w:w="90" w:type="dxa"/>
              <w:right w:w="90" w:type="dxa"/>
            </w:tcMar>
            <w:vAlign w:val="center"/>
          </w:tcPr>
          <w:p w14:paraId="2577AC91" w14:textId="77777777" w:rsidR="009218B4" w:rsidRPr="00335582" w:rsidRDefault="009218B4" w:rsidP="00DC1B7D">
            <w:pPr>
              <w:spacing w:after="0" w:line="360" w:lineRule="auto"/>
              <w:jc w:val="left"/>
              <w:rPr>
                <w:sz w:val="18"/>
                <w:szCs w:val="18"/>
              </w:rPr>
            </w:pPr>
            <w:r w:rsidRPr="00335582">
              <w:rPr>
                <w:sz w:val="18"/>
                <w:szCs w:val="18"/>
              </w:rPr>
              <w:t>2023</w:t>
            </w:r>
          </w:p>
        </w:tc>
        <w:tc>
          <w:tcPr>
            <w:tcW w:w="3047" w:type="dxa"/>
            <w:shd w:val="clear" w:color="auto" w:fill="F5F8FA"/>
            <w:tcMar>
              <w:top w:w="90" w:type="dxa"/>
              <w:left w:w="90" w:type="dxa"/>
              <w:bottom w:w="90" w:type="dxa"/>
              <w:right w:w="90" w:type="dxa"/>
            </w:tcMar>
            <w:vAlign w:val="center"/>
          </w:tcPr>
          <w:p w14:paraId="7B23FAEF" w14:textId="77777777" w:rsidR="009218B4" w:rsidRPr="00335582" w:rsidRDefault="009218B4" w:rsidP="00DC1B7D">
            <w:pPr>
              <w:spacing w:after="0" w:line="360" w:lineRule="auto"/>
              <w:jc w:val="left"/>
              <w:rPr>
                <w:sz w:val="18"/>
                <w:szCs w:val="18"/>
              </w:rPr>
            </w:pPr>
            <w:r w:rsidRPr="00335582">
              <w:rPr>
                <w:sz w:val="18"/>
                <w:szCs w:val="18"/>
              </w:rPr>
              <w:t>Risk evaluation and escalation process</w:t>
            </w:r>
          </w:p>
        </w:tc>
        <w:tc>
          <w:tcPr>
            <w:tcW w:w="2843" w:type="dxa"/>
            <w:shd w:val="clear" w:color="auto" w:fill="F5F8FA"/>
            <w:tcMar>
              <w:top w:w="90" w:type="dxa"/>
              <w:left w:w="90" w:type="dxa"/>
              <w:bottom w:w="90" w:type="dxa"/>
              <w:right w:w="90" w:type="dxa"/>
            </w:tcMar>
            <w:vAlign w:val="center"/>
          </w:tcPr>
          <w:p w14:paraId="2E5E8EDF" w14:textId="77777777" w:rsidR="009218B4" w:rsidRPr="00335582" w:rsidRDefault="009218B4" w:rsidP="00DC1B7D">
            <w:pPr>
              <w:spacing w:after="0" w:line="360" w:lineRule="auto"/>
              <w:jc w:val="left"/>
              <w:rPr>
                <w:sz w:val="18"/>
                <w:szCs w:val="18"/>
              </w:rPr>
            </w:pPr>
            <w:r w:rsidRPr="00335582">
              <w:rPr>
                <w:sz w:val="18"/>
                <w:szCs w:val="18"/>
              </w:rPr>
              <w:t>Assessment, remediation and termination logic (Bunzl plc, 2023d)</w:t>
            </w:r>
          </w:p>
        </w:tc>
      </w:tr>
      <w:tr w:rsidR="00335582" w:rsidRPr="00335582" w14:paraId="243358E6" w14:textId="77777777" w:rsidTr="00335582">
        <w:trPr>
          <w:cantSplit/>
          <w:trHeight w:val="1676"/>
          <w:jc w:val="center"/>
        </w:trPr>
        <w:tc>
          <w:tcPr>
            <w:tcW w:w="2439" w:type="dxa"/>
            <w:tcMar>
              <w:top w:w="90" w:type="dxa"/>
              <w:left w:w="90" w:type="dxa"/>
              <w:bottom w:w="90" w:type="dxa"/>
              <w:right w:w="90" w:type="dxa"/>
            </w:tcMar>
            <w:vAlign w:val="center"/>
          </w:tcPr>
          <w:p w14:paraId="01C03387" w14:textId="77777777" w:rsidR="009218B4" w:rsidRPr="00335582" w:rsidRDefault="009218B4" w:rsidP="00DC1B7D">
            <w:pPr>
              <w:spacing w:after="0" w:line="360" w:lineRule="auto"/>
              <w:jc w:val="left"/>
              <w:rPr>
                <w:sz w:val="18"/>
                <w:szCs w:val="18"/>
              </w:rPr>
            </w:pPr>
            <w:r w:rsidRPr="00335582">
              <w:rPr>
                <w:sz w:val="18"/>
                <w:szCs w:val="18"/>
              </w:rPr>
              <w:t>Annual Report</w:t>
            </w:r>
          </w:p>
        </w:tc>
        <w:tc>
          <w:tcPr>
            <w:tcW w:w="1827" w:type="dxa"/>
            <w:tcMar>
              <w:top w:w="90" w:type="dxa"/>
              <w:left w:w="90" w:type="dxa"/>
              <w:bottom w:w="90" w:type="dxa"/>
              <w:right w:w="90" w:type="dxa"/>
            </w:tcMar>
            <w:vAlign w:val="center"/>
          </w:tcPr>
          <w:p w14:paraId="45857020" w14:textId="77777777" w:rsidR="009218B4" w:rsidRPr="00335582" w:rsidRDefault="009218B4" w:rsidP="00DC1B7D">
            <w:pPr>
              <w:spacing w:after="0" w:line="360" w:lineRule="auto"/>
              <w:jc w:val="left"/>
              <w:rPr>
                <w:sz w:val="18"/>
                <w:szCs w:val="18"/>
              </w:rPr>
            </w:pPr>
            <w:r w:rsidRPr="00335582">
              <w:rPr>
                <w:sz w:val="18"/>
                <w:szCs w:val="18"/>
              </w:rPr>
              <w:t>2024</w:t>
            </w:r>
          </w:p>
        </w:tc>
        <w:tc>
          <w:tcPr>
            <w:tcW w:w="3047" w:type="dxa"/>
            <w:tcMar>
              <w:top w:w="90" w:type="dxa"/>
              <w:left w:w="90" w:type="dxa"/>
              <w:bottom w:w="90" w:type="dxa"/>
              <w:right w:w="90" w:type="dxa"/>
            </w:tcMar>
            <w:vAlign w:val="center"/>
          </w:tcPr>
          <w:p w14:paraId="2B2B4A4E" w14:textId="77777777" w:rsidR="009218B4" w:rsidRPr="00335582" w:rsidRDefault="009218B4" w:rsidP="00DC1B7D">
            <w:pPr>
              <w:spacing w:after="0" w:line="360" w:lineRule="auto"/>
              <w:jc w:val="left"/>
              <w:rPr>
                <w:sz w:val="18"/>
                <w:szCs w:val="18"/>
              </w:rPr>
            </w:pPr>
            <w:r w:rsidRPr="00335582">
              <w:rPr>
                <w:sz w:val="18"/>
                <w:szCs w:val="18"/>
              </w:rPr>
              <w:t>Operating context and strategic reporting</w:t>
            </w:r>
          </w:p>
        </w:tc>
        <w:tc>
          <w:tcPr>
            <w:tcW w:w="2843" w:type="dxa"/>
            <w:tcMar>
              <w:top w:w="90" w:type="dxa"/>
              <w:left w:w="90" w:type="dxa"/>
              <w:bottom w:w="90" w:type="dxa"/>
              <w:right w:w="90" w:type="dxa"/>
            </w:tcMar>
            <w:vAlign w:val="center"/>
          </w:tcPr>
          <w:p w14:paraId="36CE522D" w14:textId="77777777" w:rsidR="009218B4" w:rsidRPr="00335582" w:rsidRDefault="009218B4" w:rsidP="00DC1B7D">
            <w:pPr>
              <w:spacing w:after="0" w:line="360" w:lineRule="auto"/>
              <w:jc w:val="left"/>
              <w:rPr>
                <w:sz w:val="18"/>
                <w:szCs w:val="18"/>
              </w:rPr>
            </w:pPr>
            <w:r w:rsidRPr="00335582">
              <w:rPr>
                <w:sz w:val="18"/>
                <w:szCs w:val="18"/>
              </w:rPr>
              <w:t>Context for interpreting sustainability outcomes (Bunzl plc, 2024a)</w:t>
            </w:r>
          </w:p>
        </w:tc>
      </w:tr>
      <w:tr w:rsidR="00335582" w:rsidRPr="00335582" w14:paraId="7820B30A" w14:textId="77777777" w:rsidTr="00335582">
        <w:trPr>
          <w:cantSplit/>
          <w:trHeight w:val="1371"/>
          <w:jc w:val="center"/>
        </w:trPr>
        <w:tc>
          <w:tcPr>
            <w:tcW w:w="2439" w:type="dxa"/>
            <w:shd w:val="clear" w:color="auto" w:fill="F5F8FA"/>
            <w:tcMar>
              <w:top w:w="90" w:type="dxa"/>
              <w:left w:w="90" w:type="dxa"/>
              <w:bottom w:w="90" w:type="dxa"/>
              <w:right w:w="90" w:type="dxa"/>
            </w:tcMar>
            <w:vAlign w:val="center"/>
          </w:tcPr>
          <w:p w14:paraId="60E62D25" w14:textId="77777777" w:rsidR="009218B4" w:rsidRPr="00335582" w:rsidRDefault="009218B4" w:rsidP="00DC1B7D">
            <w:pPr>
              <w:spacing w:after="0" w:line="360" w:lineRule="auto"/>
              <w:jc w:val="left"/>
              <w:rPr>
                <w:sz w:val="18"/>
                <w:szCs w:val="18"/>
              </w:rPr>
            </w:pPr>
            <w:r w:rsidRPr="00335582">
              <w:rPr>
                <w:sz w:val="18"/>
                <w:szCs w:val="18"/>
              </w:rPr>
              <w:t>Sustainability Report and Modern Slavery Statement</w:t>
            </w:r>
          </w:p>
        </w:tc>
        <w:tc>
          <w:tcPr>
            <w:tcW w:w="1827" w:type="dxa"/>
            <w:shd w:val="clear" w:color="auto" w:fill="F5F8FA"/>
            <w:tcMar>
              <w:top w:w="90" w:type="dxa"/>
              <w:left w:w="90" w:type="dxa"/>
              <w:bottom w:w="90" w:type="dxa"/>
              <w:right w:w="90" w:type="dxa"/>
            </w:tcMar>
            <w:vAlign w:val="center"/>
          </w:tcPr>
          <w:p w14:paraId="795ECA1E" w14:textId="77777777" w:rsidR="009218B4" w:rsidRPr="00335582" w:rsidRDefault="009218B4" w:rsidP="00DC1B7D">
            <w:pPr>
              <w:spacing w:after="0" w:line="360" w:lineRule="auto"/>
              <w:jc w:val="left"/>
              <w:rPr>
                <w:sz w:val="18"/>
                <w:szCs w:val="18"/>
              </w:rPr>
            </w:pPr>
            <w:r w:rsidRPr="00335582">
              <w:rPr>
                <w:sz w:val="18"/>
                <w:szCs w:val="18"/>
              </w:rPr>
              <w:t>2024</w:t>
            </w:r>
          </w:p>
        </w:tc>
        <w:tc>
          <w:tcPr>
            <w:tcW w:w="3047" w:type="dxa"/>
            <w:shd w:val="clear" w:color="auto" w:fill="F5F8FA"/>
            <w:tcMar>
              <w:top w:w="90" w:type="dxa"/>
              <w:left w:w="90" w:type="dxa"/>
              <w:bottom w:w="90" w:type="dxa"/>
              <w:right w:w="90" w:type="dxa"/>
            </w:tcMar>
            <w:vAlign w:val="center"/>
          </w:tcPr>
          <w:p w14:paraId="447CCD65" w14:textId="77777777" w:rsidR="009218B4" w:rsidRPr="00335582" w:rsidRDefault="009218B4" w:rsidP="00DC1B7D">
            <w:pPr>
              <w:spacing w:after="0" w:line="360" w:lineRule="auto"/>
              <w:jc w:val="left"/>
              <w:rPr>
                <w:sz w:val="18"/>
                <w:szCs w:val="18"/>
              </w:rPr>
            </w:pPr>
            <w:r w:rsidRPr="00335582">
              <w:rPr>
                <w:sz w:val="18"/>
                <w:szCs w:val="18"/>
              </w:rPr>
              <w:t>Supplier coverage, portfolio and carbon measures</w:t>
            </w:r>
          </w:p>
        </w:tc>
        <w:tc>
          <w:tcPr>
            <w:tcW w:w="2843" w:type="dxa"/>
            <w:shd w:val="clear" w:color="auto" w:fill="F5F8FA"/>
            <w:tcMar>
              <w:top w:w="90" w:type="dxa"/>
              <w:left w:w="90" w:type="dxa"/>
              <w:bottom w:w="90" w:type="dxa"/>
              <w:right w:w="90" w:type="dxa"/>
            </w:tcMar>
            <w:vAlign w:val="center"/>
          </w:tcPr>
          <w:p w14:paraId="02E07622" w14:textId="77777777" w:rsidR="009218B4" w:rsidRPr="00335582" w:rsidRDefault="009218B4" w:rsidP="00DC1B7D">
            <w:pPr>
              <w:spacing w:after="0" w:line="360" w:lineRule="auto"/>
              <w:jc w:val="left"/>
              <w:rPr>
                <w:sz w:val="18"/>
                <w:szCs w:val="18"/>
              </w:rPr>
            </w:pPr>
            <w:r w:rsidRPr="00335582">
              <w:rPr>
                <w:sz w:val="18"/>
                <w:szCs w:val="18"/>
              </w:rPr>
              <w:t>Detailed process and outcome evidence (Bunzl plc, 2024b; 2025c)</w:t>
            </w:r>
          </w:p>
        </w:tc>
      </w:tr>
      <w:tr w:rsidR="00335582" w:rsidRPr="00335582" w14:paraId="100F3204" w14:textId="77777777" w:rsidTr="00335582">
        <w:trPr>
          <w:cantSplit/>
          <w:trHeight w:val="1067"/>
          <w:jc w:val="center"/>
        </w:trPr>
        <w:tc>
          <w:tcPr>
            <w:tcW w:w="2439" w:type="dxa"/>
            <w:tcMar>
              <w:top w:w="90" w:type="dxa"/>
              <w:left w:w="90" w:type="dxa"/>
              <w:bottom w:w="90" w:type="dxa"/>
              <w:right w:w="90" w:type="dxa"/>
            </w:tcMar>
            <w:vAlign w:val="center"/>
          </w:tcPr>
          <w:p w14:paraId="19818BC9" w14:textId="77777777" w:rsidR="009218B4" w:rsidRPr="00335582" w:rsidRDefault="009218B4" w:rsidP="00DC1B7D">
            <w:pPr>
              <w:spacing w:after="0" w:line="360" w:lineRule="auto"/>
              <w:jc w:val="left"/>
              <w:rPr>
                <w:sz w:val="18"/>
                <w:szCs w:val="18"/>
              </w:rPr>
            </w:pPr>
            <w:r w:rsidRPr="00335582">
              <w:rPr>
                <w:sz w:val="18"/>
                <w:szCs w:val="18"/>
              </w:rPr>
              <w:t>Annual/Strategic Report</w:t>
            </w:r>
          </w:p>
        </w:tc>
        <w:tc>
          <w:tcPr>
            <w:tcW w:w="1827" w:type="dxa"/>
            <w:tcMar>
              <w:top w:w="90" w:type="dxa"/>
              <w:left w:w="90" w:type="dxa"/>
              <w:bottom w:w="90" w:type="dxa"/>
              <w:right w:w="90" w:type="dxa"/>
            </w:tcMar>
            <w:vAlign w:val="center"/>
          </w:tcPr>
          <w:p w14:paraId="19DC5FE2" w14:textId="77777777" w:rsidR="009218B4" w:rsidRPr="00335582" w:rsidRDefault="009218B4" w:rsidP="00DC1B7D">
            <w:pPr>
              <w:spacing w:after="0" w:line="360" w:lineRule="auto"/>
              <w:jc w:val="left"/>
              <w:rPr>
                <w:sz w:val="18"/>
                <w:szCs w:val="18"/>
              </w:rPr>
            </w:pPr>
            <w:r w:rsidRPr="00335582">
              <w:rPr>
                <w:sz w:val="18"/>
                <w:szCs w:val="18"/>
              </w:rPr>
              <w:t>2025</w:t>
            </w:r>
          </w:p>
        </w:tc>
        <w:tc>
          <w:tcPr>
            <w:tcW w:w="3047" w:type="dxa"/>
            <w:tcMar>
              <w:top w:w="90" w:type="dxa"/>
              <w:left w:w="90" w:type="dxa"/>
              <w:bottom w:w="90" w:type="dxa"/>
              <w:right w:w="90" w:type="dxa"/>
            </w:tcMar>
            <w:vAlign w:val="center"/>
          </w:tcPr>
          <w:p w14:paraId="36572DFB" w14:textId="77777777" w:rsidR="009218B4" w:rsidRPr="00335582" w:rsidRDefault="009218B4" w:rsidP="00DC1B7D">
            <w:pPr>
              <w:spacing w:after="0" w:line="360" w:lineRule="auto"/>
              <w:jc w:val="left"/>
              <w:rPr>
                <w:sz w:val="18"/>
                <w:szCs w:val="18"/>
              </w:rPr>
            </w:pPr>
            <w:r w:rsidRPr="00335582">
              <w:rPr>
                <w:sz w:val="18"/>
                <w:szCs w:val="18"/>
              </w:rPr>
              <w:t>Latest financial, operational, supplier and customer evidence</w:t>
            </w:r>
          </w:p>
        </w:tc>
        <w:tc>
          <w:tcPr>
            <w:tcW w:w="2843" w:type="dxa"/>
            <w:tcMar>
              <w:top w:w="90" w:type="dxa"/>
              <w:left w:w="90" w:type="dxa"/>
              <w:bottom w:w="90" w:type="dxa"/>
              <w:right w:w="90" w:type="dxa"/>
            </w:tcMar>
            <w:vAlign w:val="center"/>
          </w:tcPr>
          <w:p w14:paraId="498BB799" w14:textId="77777777" w:rsidR="009218B4" w:rsidRPr="00335582" w:rsidRDefault="009218B4" w:rsidP="00DC1B7D">
            <w:pPr>
              <w:spacing w:after="0" w:line="360" w:lineRule="auto"/>
              <w:jc w:val="left"/>
              <w:rPr>
                <w:sz w:val="18"/>
                <w:szCs w:val="18"/>
              </w:rPr>
            </w:pPr>
            <w:r w:rsidRPr="00335582">
              <w:rPr>
                <w:sz w:val="18"/>
                <w:szCs w:val="18"/>
              </w:rPr>
              <w:t>Outcome comparison and rival case (Bunzl plc, 2025a)</w:t>
            </w:r>
          </w:p>
        </w:tc>
      </w:tr>
      <w:tr w:rsidR="00335582" w:rsidRPr="00335582" w14:paraId="1230867B" w14:textId="77777777" w:rsidTr="00335582">
        <w:trPr>
          <w:cantSplit/>
          <w:trHeight w:val="1077"/>
          <w:jc w:val="center"/>
        </w:trPr>
        <w:tc>
          <w:tcPr>
            <w:tcW w:w="2439" w:type="dxa"/>
            <w:shd w:val="clear" w:color="auto" w:fill="F5F8FA"/>
            <w:tcMar>
              <w:top w:w="90" w:type="dxa"/>
              <w:left w:w="90" w:type="dxa"/>
              <w:bottom w:w="90" w:type="dxa"/>
              <w:right w:w="90" w:type="dxa"/>
            </w:tcMar>
            <w:vAlign w:val="center"/>
          </w:tcPr>
          <w:p w14:paraId="31FE773B" w14:textId="77777777" w:rsidR="009218B4" w:rsidRPr="00335582" w:rsidRDefault="009218B4" w:rsidP="00DC1B7D">
            <w:pPr>
              <w:spacing w:after="0" w:line="360" w:lineRule="auto"/>
              <w:jc w:val="left"/>
              <w:rPr>
                <w:sz w:val="18"/>
                <w:szCs w:val="18"/>
              </w:rPr>
            </w:pPr>
            <w:r w:rsidRPr="00335582">
              <w:rPr>
                <w:sz w:val="18"/>
                <w:szCs w:val="18"/>
              </w:rPr>
              <w:t>Sustainability Report</w:t>
            </w:r>
          </w:p>
        </w:tc>
        <w:tc>
          <w:tcPr>
            <w:tcW w:w="1827" w:type="dxa"/>
            <w:shd w:val="clear" w:color="auto" w:fill="F5F8FA"/>
            <w:tcMar>
              <w:top w:w="90" w:type="dxa"/>
              <w:left w:w="90" w:type="dxa"/>
              <w:bottom w:w="90" w:type="dxa"/>
              <w:right w:w="90" w:type="dxa"/>
            </w:tcMar>
            <w:vAlign w:val="center"/>
          </w:tcPr>
          <w:p w14:paraId="0A30D99E" w14:textId="77777777" w:rsidR="009218B4" w:rsidRPr="00335582" w:rsidRDefault="009218B4" w:rsidP="00DC1B7D">
            <w:pPr>
              <w:spacing w:after="0" w:line="360" w:lineRule="auto"/>
              <w:jc w:val="left"/>
              <w:rPr>
                <w:sz w:val="18"/>
                <w:szCs w:val="18"/>
              </w:rPr>
            </w:pPr>
            <w:r w:rsidRPr="00335582">
              <w:rPr>
                <w:sz w:val="18"/>
                <w:szCs w:val="18"/>
              </w:rPr>
              <w:t>2025</w:t>
            </w:r>
          </w:p>
        </w:tc>
        <w:tc>
          <w:tcPr>
            <w:tcW w:w="3047" w:type="dxa"/>
            <w:shd w:val="clear" w:color="auto" w:fill="F5F8FA"/>
            <w:tcMar>
              <w:top w:w="90" w:type="dxa"/>
              <w:left w:w="90" w:type="dxa"/>
              <w:bottom w:w="90" w:type="dxa"/>
              <w:right w:w="90" w:type="dxa"/>
            </w:tcMar>
            <w:vAlign w:val="center"/>
          </w:tcPr>
          <w:p w14:paraId="0F194B4F" w14:textId="77777777" w:rsidR="009218B4" w:rsidRPr="00335582" w:rsidRDefault="009218B4" w:rsidP="00DC1B7D">
            <w:pPr>
              <w:spacing w:after="0" w:line="360" w:lineRule="auto"/>
              <w:jc w:val="left"/>
              <w:rPr>
                <w:sz w:val="18"/>
                <w:szCs w:val="18"/>
              </w:rPr>
            </w:pPr>
            <w:r w:rsidRPr="00335582">
              <w:rPr>
                <w:sz w:val="18"/>
                <w:szCs w:val="18"/>
              </w:rPr>
              <w:t>Latest sustainability methods and case evidence</w:t>
            </w:r>
          </w:p>
        </w:tc>
        <w:tc>
          <w:tcPr>
            <w:tcW w:w="2843" w:type="dxa"/>
            <w:shd w:val="clear" w:color="auto" w:fill="F5F8FA"/>
            <w:tcMar>
              <w:top w:w="90" w:type="dxa"/>
              <w:left w:w="90" w:type="dxa"/>
              <w:bottom w:w="90" w:type="dxa"/>
              <w:right w:w="90" w:type="dxa"/>
            </w:tcMar>
            <w:vAlign w:val="center"/>
          </w:tcPr>
          <w:p w14:paraId="586ABF0F" w14:textId="77777777" w:rsidR="009218B4" w:rsidRPr="00335582" w:rsidRDefault="009218B4" w:rsidP="00DC1B7D">
            <w:pPr>
              <w:spacing w:after="0" w:line="360" w:lineRule="auto"/>
              <w:jc w:val="left"/>
              <w:rPr>
                <w:sz w:val="18"/>
                <w:szCs w:val="18"/>
              </w:rPr>
            </w:pPr>
            <w:r w:rsidRPr="00335582">
              <w:rPr>
                <w:sz w:val="18"/>
                <w:szCs w:val="18"/>
              </w:rPr>
              <w:t>Triangulation of 2025 themes (Bunzl plc, 2025b)</w:t>
            </w:r>
          </w:p>
        </w:tc>
      </w:tr>
    </w:tbl>
    <w:p w14:paraId="6AA3E2F7" w14:textId="77777777" w:rsidR="00720668" w:rsidRPr="00720668" w:rsidRDefault="00720668" w:rsidP="00DC1B7D">
      <w:pPr>
        <w:spacing w:line="360" w:lineRule="auto"/>
        <w:rPr>
          <w:rFonts w:cs="Arial"/>
          <w:szCs w:val="24"/>
        </w:rPr>
      </w:pPr>
    </w:p>
    <w:p w14:paraId="2C47061B" w14:textId="77777777" w:rsidR="00720668" w:rsidRPr="00720668" w:rsidRDefault="00720668" w:rsidP="00DC1B7D">
      <w:pPr>
        <w:spacing w:line="360" w:lineRule="auto"/>
        <w:rPr>
          <w:rFonts w:cs="Arial"/>
          <w:szCs w:val="24"/>
        </w:rPr>
      </w:pPr>
      <w:r>
        <w:t xml:space="preserve">Table 3.1 enables two checks. First, the same indicator can be followed across reporting years only where its definition and scope are consistent. Second, policy statements can </w:t>
      </w:r>
      <w:r>
        <w:lastRenderedPageBreak/>
        <w:t>be compared with disclosed implementation, such as assessment, remediation or termination. Reporting year is used throughout; publication timing is recorded through the full reference and access date. Academic literature was analysed separately and never entered as Bunzl performance evidence.</w:t>
      </w:r>
    </w:p>
    <w:p w14:paraId="3BC2149F" w14:textId="77777777" w:rsidR="00AB2427" w:rsidRDefault="00130A17" w:rsidP="00DC1B7D">
      <w:pPr>
        <w:spacing w:line="360" w:lineRule="auto"/>
      </w:pPr>
      <w:r>
        <w:t>Selection was recorded at document level before passages were coded. For each corporate source, the working log retained the document title, reporting year, document type, URL, access date and intended analytical role. This step separated the year described by the report from the year in which a statement was published. It was particularly relevant to the Modern Slavery and Human Trafficking Statement 2024, which appears in the 2025 source set but reports on 2024 activity. Where an annual report and a sustainability report repeated the same figure, the repetition was marked as one corporate evidence stream rather than counted as independent confirmation.</w:t>
      </w:r>
    </w:p>
    <w:p w14:paraId="1F9DF74C" w14:textId="77777777" w:rsidR="00AB2427" w:rsidRDefault="00130A17" w:rsidP="00DC1B7D">
      <w:pPr>
        <w:spacing w:line="360" w:lineRule="auto"/>
      </w:pPr>
      <w:r>
        <w:t>Screening also excluded material that did not answer the research questions. General community activity, governance statements without a supply-chain connection and promotional wording without an identifiable practice, measure or customer mechanism were not entered as substantive records. Academic publications were retained in a separate literature file, so an association reported in prior research could inform interpretation but could not be used as evidence that Bunzl achieved the same result. These decisions kept the case boundary consistent and reduced the risk of building themes from material that was merely adjacent to sustainability.</w:t>
      </w:r>
    </w:p>
    <w:p w14:paraId="0A24E8CB" w14:textId="77777777" w:rsidR="00720668" w:rsidRPr="00720668" w:rsidRDefault="00720668" w:rsidP="00DC1B7D">
      <w:pPr>
        <w:pStyle w:val="Heading2"/>
        <w:jc w:val="left"/>
      </w:pPr>
      <w:bookmarkStart w:id="69" w:name="_Toc237017791"/>
      <w:bookmarkStart w:id="70" w:name="_Toc238218130"/>
      <w:r w:rsidRPr="00720668">
        <w:t>3.6 Coding framework</w:t>
      </w:r>
      <w:bookmarkEnd w:id="69"/>
      <w:bookmarkEnd w:id="70"/>
    </w:p>
    <w:p w14:paraId="4503607A" w14:textId="77777777" w:rsidR="00720668" w:rsidRPr="00720668" w:rsidRDefault="00720668" w:rsidP="00DC1B7D">
      <w:pPr>
        <w:spacing w:line="360" w:lineRule="auto"/>
        <w:rPr>
          <w:rFonts w:cs="Arial"/>
          <w:szCs w:val="24"/>
        </w:rPr>
      </w:pPr>
      <w:r>
        <w:t>Coding identified the meaning and evidential role of relevant passages. A first-stage search dictionary included variants of supplier, audit, assessment, remediation, packaging, alternative material, circular, carbon, emission, energy, fleet, digital order, consolidation, risk, service, customer, satisfaction, retention, contract, challenge and trade-off. PDF text search located candidate paragraphs, tables and notes; every hit was then read with its surrounding text because a keyword alone did not determine meaning.</w:t>
      </w:r>
    </w:p>
    <w:p w14:paraId="2D991305" w14:textId="77777777" w:rsidR="00720668" w:rsidRPr="00720668" w:rsidRDefault="00720668" w:rsidP="00DC1B7D">
      <w:pPr>
        <w:spacing w:line="360" w:lineRule="auto"/>
        <w:rPr>
          <w:rFonts w:cs="Arial"/>
          <w:szCs w:val="24"/>
        </w:rPr>
      </w:pPr>
      <w:r>
        <w:t xml:space="preserve">Table 3.2 presents the initial coding framework derived from Chapter 2. For each code family it states the search terms, inclusion rule, evidence qualifier and relevant research </w:t>
      </w:r>
      <w:r>
        <w:lastRenderedPageBreak/>
        <w:t>question. The evidence matrix also recorded document, reporting year, page or section, source wording, unit or baseline, evidence type and an initial interpretation. During analysis, broad categories were refined when the records required greater precision, particularly the distinction between direct customer evidence, commercial proxy and narrative claim.</w:t>
      </w:r>
    </w:p>
    <w:p w14:paraId="647B7377" w14:textId="77777777" w:rsidR="00335582" w:rsidRPr="00116634" w:rsidRDefault="00335582" w:rsidP="00DC1B7D">
      <w:pPr>
        <w:pStyle w:val="Heading4"/>
      </w:pPr>
      <w:r>
        <w:t>Table 3.2 Initial coding framework and application rules</w:t>
      </w:r>
    </w:p>
    <w:tbl>
      <w:tblPr>
        <w:tblW w:w="9905" w:type="dxa"/>
        <w:jc w:val="center"/>
        <w:tblBorders>
          <w:top w:val="single" w:sz="8" w:space="0" w:color="17324D"/>
          <w:left w:val="single" w:sz="4" w:space="0" w:color="C8D3DB"/>
          <w:bottom w:val="single" w:sz="8" w:space="0" w:color="17324D"/>
          <w:right w:val="single" w:sz="4" w:space="0" w:color="C8D3DB"/>
          <w:insideH w:val="single" w:sz="4" w:space="0" w:color="C8D3DB"/>
          <w:insideV w:val="single" w:sz="4" w:space="0" w:color="C8D3DB"/>
        </w:tblBorders>
        <w:tblLayout w:type="fixed"/>
        <w:tblLook w:val="04A0" w:firstRow="1" w:lastRow="0" w:firstColumn="1" w:lastColumn="0" w:noHBand="0" w:noVBand="1"/>
      </w:tblPr>
      <w:tblGrid>
        <w:gridCol w:w="1882"/>
        <w:gridCol w:w="2279"/>
        <w:gridCol w:w="2773"/>
        <w:gridCol w:w="1782"/>
        <w:gridCol w:w="1189"/>
      </w:tblGrid>
      <w:tr w:rsidR="00335582" w:rsidRPr="001E1667" w14:paraId="70BB4DBE" w14:textId="77777777" w:rsidTr="001E1667">
        <w:trPr>
          <w:cantSplit/>
          <w:trHeight w:val="362"/>
          <w:tblHeader/>
          <w:jc w:val="center"/>
        </w:trPr>
        <w:tc>
          <w:tcPr>
            <w:tcW w:w="1882" w:type="dxa"/>
            <w:shd w:val="clear" w:color="auto" w:fill="17324D"/>
            <w:tcMar>
              <w:top w:w="90" w:type="dxa"/>
              <w:left w:w="90" w:type="dxa"/>
              <w:bottom w:w="90" w:type="dxa"/>
              <w:right w:w="90" w:type="dxa"/>
            </w:tcMar>
            <w:vAlign w:val="center"/>
          </w:tcPr>
          <w:p w14:paraId="6F099576" w14:textId="77777777" w:rsidR="00AB2427" w:rsidRPr="001E1667" w:rsidRDefault="00130A17" w:rsidP="00DC1B7D">
            <w:pPr>
              <w:spacing w:after="0" w:line="360" w:lineRule="auto"/>
              <w:jc w:val="center"/>
              <w:rPr>
                <w:sz w:val="18"/>
                <w:szCs w:val="18"/>
              </w:rPr>
            </w:pPr>
            <w:r w:rsidRPr="001E1667">
              <w:rPr>
                <w:sz w:val="18"/>
                <w:szCs w:val="18"/>
              </w:rPr>
              <w:t>Code family</w:t>
            </w:r>
          </w:p>
        </w:tc>
        <w:tc>
          <w:tcPr>
            <w:tcW w:w="2279" w:type="dxa"/>
            <w:shd w:val="clear" w:color="auto" w:fill="17324D"/>
            <w:tcMar>
              <w:top w:w="90" w:type="dxa"/>
              <w:left w:w="90" w:type="dxa"/>
              <w:bottom w:w="90" w:type="dxa"/>
              <w:right w:w="90" w:type="dxa"/>
            </w:tcMar>
            <w:vAlign w:val="center"/>
          </w:tcPr>
          <w:p w14:paraId="5DB7CC06" w14:textId="77777777" w:rsidR="00AB2427" w:rsidRPr="001E1667" w:rsidRDefault="00130A17" w:rsidP="00DC1B7D">
            <w:pPr>
              <w:spacing w:after="0" w:line="360" w:lineRule="auto"/>
              <w:jc w:val="center"/>
              <w:rPr>
                <w:sz w:val="18"/>
                <w:szCs w:val="18"/>
              </w:rPr>
            </w:pPr>
            <w:r w:rsidRPr="001E1667">
              <w:rPr>
                <w:sz w:val="18"/>
                <w:szCs w:val="18"/>
              </w:rPr>
              <w:t>Search terms and variants</w:t>
            </w:r>
          </w:p>
        </w:tc>
        <w:tc>
          <w:tcPr>
            <w:tcW w:w="2773" w:type="dxa"/>
            <w:shd w:val="clear" w:color="auto" w:fill="17324D"/>
            <w:tcMar>
              <w:top w:w="90" w:type="dxa"/>
              <w:left w:w="90" w:type="dxa"/>
              <w:bottom w:w="90" w:type="dxa"/>
              <w:right w:w="90" w:type="dxa"/>
            </w:tcMar>
            <w:vAlign w:val="center"/>
          </w:tcPr>
          <w:p w14:paraId="6F1ADB44" w14:textId="77777777" w:rsidR="00AB2427" w:rsidRPr="001E1667" w:rsidRDefault="00130A17" w:rsidP="00DC1B7D">
            <w:pPr>
              <w:spacing w:after="0" w:line="360" w:lineRule="auto"/>
              <w:jc w:val="center"/>
              <w:rPr>
                <w:sz w:val="18"/>
                <w:szCs w:val="18"/>
              </w:rPr>
            </w:pPr>
            <w:r w:rsidRPr="001E1667">
              <w:rPr>
                <w:sz w:val="18"/>
                <w:szCs w:val="18"/>
              </w:rPr>
              <w:t>Include when the passage...</w:t>
            </w:r>
          </w:p>
        </w:tc>
        <w:tc>
          <w:tcPr>
            <w:tcW w:w="1782" w:type="dxa"/>
            <w:shd w:val="clear" w:color="auto" w:fill="17324D"/>
            <w:tcMar>
              <w:top w:w="90" w:type="dxa"/>
              <w:left w:w="90" w:type="dxa"/>
              <w:bottom w:w="90" w:type="dxa"/>
              <w:right w:w="90" w:type="dxa"/>
            </w:tcMar>
            <w:vAlign w:val="center"/>
          </w:tcPr>
          <w:p w14:paraId="745ABEC7" w14:textId="77777777" w:rsidR="00AB2427" w:rsidRPr="001E1667" w:rsidRDefault="00130A17" w:rsidP="00DC1B7D">
            <w:pPr>
              <w:spacing w:after="0" w:line="360" w:lineRule="auto"/>
              <w:jc w:val="center"/>
              <w:rPr>
                <w:sz w:val="18"/>
                <w:szCs w:val="18"/>
              </w:rPr>
            </w:pPr>
            <w:r w:rsidRPr="001E1667">
              <w:rPr>
                <w:sz w:val="18"/>
                <w:szCs w:val="18"/>
              </w:rPr>
              <w:t>Evidence qualifier</w:t>
            </w:r>
          </w:p>
        </w:tc>
        <w:tc>
          <w:tcPr>
            <w:tcW w:w="1189" w:type="dxa"/>
            <w:shd w:val="clear" w:color="auto" w:fill="17324D"/>
            <w:tcMar>
              <w:top w:w="90" w:type="dxa"/>
              <w:left w:w="90" w:type="dxa"/>
              <w:bottom w:w="90" w:type="dxa"/>
              <w:right w:w="90" w:type="dxa"/>
            </w:tcMar>
            <w:vAlign w:val="center"/>
          </w:tcPr>
          <w:p w14:paraId="5855DAE4" w14:textId="77777777" w:rsidR="00AB2427" w:rsidRPr="001E1667" w:rsidRDefault="00130A17" w:rsidP="00DC1B7D">
            <w:pPr>
              <w:spacing w:after="0" w:line="360" w:lineRule="auto"/>
              <w:jc w:val="center"/>
              <w:rPr>
                <w:sz w:val="18"/>
                <w:szCs w:val="18"/>
              </w:rPr>
            </w:pPr>
            <w:r w:rsidRPr="001E1667">
              <w:rPr>
                <w:sz w:val="18"/>
                <w:szCs w:val="18"/>
              </w:rPr>
              <w:t>RQ</w:t>
            </w:r>
          </w:p>
        </w:tc>
      </w:tr>
      <w:tr w:rsidR="00335582" w:rsidRPr="001E1667" w14:paraId="17962D42" w14:textId="77777777" w:rsidTr="001E1667">
        <w:trPr>
          <w:cantSplit/>
          <w:trHeight w:val="737"/>
          <w:jc w:val="center"/>
        </w:trPr>
        <w:tc>
          <w:tcPr>
            <w:tcW w:w="1882" w:type="dxa"/>
            <w:tcMar>
              <w:top w:w="90" w:type="dxa"/>
              <w:left w:w="90" w:type="dxa"/>
              <w:bottom w:w="90" w:type="dxa"/>
              <w:right w:w="90" w:type="dxa"/>
            </w:tcMar>
            <w:vAlign w:val="center"/>
          </w:tcPr>
          <w:p w14:paraId="5CA267F6" w14:textId="77777777" w:rsidR="00AB2427" w:rsidRPr="001E1667" w:rsidRDefault="00130A17" w:rsidP="00DC1B7D">
            <w:pPr>
              <w:spacing w:after="0" w:line="360" w:lineRule="auto"/>
              <w:jc w:val="left"/>
              <w:rPr>
                <w:sz w:val="18"/>
                <w:szCs w:val="18"/>
              </w:rPr>
            </w:pPr>
            <w:r w:rsidRPr="001E1667">
              <w:rPr>
                <w:sz w:val="18"/>
                <w:szCs w:val="18"/>
              </w:rPr>
              <w:t>Responsible sourcing</w:t>
            </w:r>
          </w:p>
        </w:tc>
        <w:tc>
          <w:tcPr>
            <w:tcW w:w="2279" w:type="dxa"/>
            <w:tcMar>
              <w:top w:w="90" w:type="dxa"/>
              <w:left w:w="90" w:type="dxa"/>
              <w:bottom w:w="90" w:type="dxa"/>
              <w:right w:w="90" w:type="dxa"/>
            </w:tcMar>
            <w:vAlign w:val="center"/>
          </w:tcPr>
          <w:p w14:paraId="5D7B1E9C" w14:textId="77777777" w:rsidR="00AB2427" w:rsidRPr="001E1667" w:rsidRDefault="00130A17" w:rsidP="00DC1B7D">
            <w:pPr>
              <w:spacing w:after="0" w:line="360" w:lineRule="auto"/>
              <w:jc w:val="left"/>
              <w:rPr>
                <w:sz w:val="18"/>
                <w:szCs w:val="18"/>
              </w:rPr>
            </w:pPr>
            <w:r w:rsidRPr="001E1667">
              <w:rPr>
                <w:sz w:val="18"/>
                <w:szCs w:val="18"/>
              </w:rPr>
              <w:t>supplier; audit; assessment; ethical; human rights; remediation</w:t>
            </w:r>
          </w:p>
        </w:tc>
        <w:tc>
          <w:tcPr>
            <w:tcW w:w="2773" w:type="dxa"/>
            <w:tcMar>
              <w:top w:w="90" w:type="dxa"/>
              <w:left w:w="90" w:type="dxa"/>
              <w:bottom w:w="90" w:type="dxa"/>
              <w:right w:w="90" w:type="dxa"/>
            </w:tcMar>
            <w:vAlign w:val="center"/>
          </w:tcPr>
          <w:p w14:paraId="57522322" w14:textId="77777777" w:rsidR="00AB2427" w:rsidRPr="001E1667" w:rsidRDefault="00130A17" w:rsidP="00DC1B7D">
            <w:pPr>
              <w:spacing w:after="0" w:line="360" w:lineRule="auto"/>
              <w:jc w:val="left"/>
              <w:rPr>
                <w:sz w:val="18"/>
                <w:szCs w:val="18"/>
              </w:rPr>
            </w:pPr>
            <w:r w:rsidRPr="001E1667">
              <w:rPr>
                <w:sz w:val="18"/>
                <w:szCs w:val="18"/>
              </w:rPr>
              <w:t>defines a standard, risk process, finding, corrective action or sourcing consequence</w:t>
            </w:r>
          </w:p>
        </w:tc>
        <w:tc>
          <w:tcPr>
            <w:tcW w:w="1782" w:type="dxa"/>
            <w:tcMar>
              <w:top w:w="90" w:type="dxa"/>
              <w:left w:w="90" w:type="dxa"/>
              <w:bottom w:w="90" w:type="dxa"/>
              <w:right w:w="90" w:type="dxa"/>
            </w:tcMar>
            <w:vAlign w:val="center"/>
          </w:tcPr>
          <w:p w14:paraId="051AAEBD" w14:textId="77777777" w:rsidR="00AB2427" w:rsidRPr="001E1667" w:rsidRDefault="00130A17" w:rsidP="00DC1B7D">
            <w:pPr>
              <w:spacing w:after="0" w:line="360" w:lineRule="auto"/>
              <w:jc w:val="left"/>
              <w:rPr>
                <w:sz w:val="18"/>
                <w:szCs w:val="18"/>
              </w:rPr>
            </w:pPr>
            <w:r w:rsidRPr="001E1667">
              <w:rPr>
                <w:sz w:val="18"/>
                <w:szCs w:val="18"/>
              </w:rPr>
              <w:t>coverage is not impact</w:t>
            </w:r>
          </w:p>
        </w:tc>
        <w:tc>
          <w:tcPr>
            <w:tcW w:w="1189" w:type="dxa"/>
            <w:tcMar>
              <w:top w:w="90" w:type="dxa"/>
              <w:left w:w="90" w:type="dxa"/>
              <w:bottom w:w="90" w:type="dxa"/>
              <w:right w:w="90" w:type="dxa"/>
            </w:tcMar>
            <w:vAlign w:val="center"/>
          </w:tcPr>
          <w:p w14:paraId="6BAE44E6" w14:textId="77777777" w:rsidR="00AB2427" w:rsidRPr="001E1667" w:rsidRDefault="00130A17" w:rsidP="00DC1B7D">
            <w:pPr>
              <w:spacing w:after="0" w:line="360" w:lineRule="auto"/>
              <w:jc w:val="left"/>
              <w:rPr>
                <w:sz w:val="18"/>
                <w:szCs w:val="18"/>
              </w:rPr>
            </w:pPr>
            <w:r w:rsidRPr="001E1667">
              <w:rPr>
                <w:sz w:val="18"/>
                <w:szCs w:val="18"/>
              </w:rPr>
              <w:t>1, 2</w:t>
            </w:r>
          </w:p>
        </w:tc>
      </w:tr>
      <w:tr w:rsidR="00335582" w:rsidRPr="001E1667" w14:paraId="3D789455" w14:textId="77777777" w:rsidTr="001E1667">
        <w:trPr>
          <w:cantSplit/>
          <w:trHeight w:val="945"/>
          <w:jc w:val="center"/>
        </w:trPr>
        <w:tc>
          <w:tcPr>
            <w:tcW w:w="1882" w:type="dxa"/>
            <w:shd w:val="clear" w:color="auto" w:fill="F5F8FA"/>
            <w:tcMar>
              <w:top w:w="90" w:type="dxa"/>
              <w:left w:w="90" w:type="dxa"/>
              <w:bottom w:w="90" w:type="dxa"/>
              <w:right w:w="90" w:type="dxa"/>
            </w:tcMar>
            <w:vAlign w:val="center"/>
          </w:tcPr>
          <w:p w14:paraId="775300A2" w14:textId="77777777" w:rsidR="00AB2427" w:rsidRPr="001E1667" w:rsidRDefault="00130A17" w:rsidP="00DC1B7D">
            <w:pPr>
              <w:spacing w:after="0" w:line="360" w:lineRule="auto"/>
              <w:jc w:val="left"/>
              <w:rPr>
                <w:sz w:val="18"/>
                <w:szCs w:val="18"/>
              </w:rPr>
            </w:pPr>
            <w:r w:rsidRPr="001E1667">
              <w:rPr>
                <w:sz w:val="18"/>
                <w:szCs w:val="18"/>
              </w:rPr>
              <w:t>Portfolio transition</w:t>
            </w:r>
          </w:p>
        </w:tc>
        <w:tc>
          <w:tcPr>
            <w:tcW w:w="2279" w:type="dxa"/>
            <w:shd w:val="clear" w:color="auto" w:fill="F5F8FA"/>
            <w:tcMar>
              <w:top w:w="90" w:type="dxa"/>
              <w:left w:w="90" w:type="dxa"/>
              <w:bottom w:w="90" w:type="dxa"/>
              <w:right w:w="90" w:type="dxa"/>
            </w:tcMar>
            <w:vAlign w:val="center"/>
          </w:tcPr>
          <w:p w14:paraId="464C47E1" w14:textId="77777777" w:rsidR="00AB2427" w:rsidRPr="001E1667" w:rsidRDefault="00130A17" w:rsidP="00DC1B7D">
            <w:pPr>
              <w:spacing w:after="0" w:line="360" w:lineRule="auto"/>
              <w:jc w:val="left"/>
              <w:rPr>
                <w:sz w:val="18"/>
                <w:szCs w:val="18"/>
              </w:rPr>
            </w:pPr>
            <w:r w:rsidRPr="001E1667">
              <w:rPr>
                <w:sz w:val="18"/>
                <w:szCs w:val="18"/>
              </w:rPr>
              <w:t>packaging; alternative material; circular; recyclable; transition</w:t>
            </w:r>
          </w:p>
        </w:tc>
        <w:tc>
          <w:tcPr>
            <w:tcW w:w="2773" w:type="dxa"/>
            <w:shd w:val="clear" w:color="auto" w:fill="F5F8FA"/>
            <w:tcMar>
              <w:top w:w="90" w:type="dxa"/>
              <w:left w:w="90" w:type="dxa"/>
              <w:bottom w:w="90" w:type="dxa"/>
              <w:right w:w="90" w:type="dxa"/>
            </w:tcMar>
            <w:vAlign w:val="center"/>
          </w:tcPr>
          <w:p w14:paraId="776E547B" w14:textId="77777777" w:rsidR="00AB2427" w:rsidRPr="001E1667" w:rsidRDefault="00130A17" w:rsidP="00DC1B7D">
            <w:pPr>
              <w:spacing w:after="0" w:line="360" w:lineRule="auto"/>
              <w:jc w:val="left"/>
              <w:rPr>
                <w:sz w:val="18"/>
                <w:szCs w:val="18"/>
              </w:rPr>
            </w:pPr>
            <w:r w:rsidRPr="001E1667">
              <w:rPr>
                <w:sz w:val="18"/>
                <w:szCs w:val="18"/>
              </w:rPr>
              <w:t>changes assortment, material, classification or customer substitution</w:t>
            </w:r>
          </w:p>
        </w:tc>
        <w:tc>
          <w:tcPr>
            <w:tcW w:w="1782" w:type="dxa"/>
            <w:shd w:val="clear" w:color="auto" w:fill="F5F8FA"/>
            <w:tcMar>
              <w:top w:w="90" w:type="dxa"/>
              <w:left w:w="90" w:type="dxa"/>
              <w:bottom w:w="90" w:type="dxa"/>
              <w:right w:w="90" w:type="dxa"/>
            </w:tcMar>
            <w:vAlign w:val="center"/>
          </w:tcPr>
          <w:p w14:paraId="5EABF967" w14:textId="77777777" w:rsidR="00AB2427" w:rsidRPr="001E1667" w:rsidRDefault="00130A17" w:rsidP="00DC1B7D">
            <w:pPr>
              <w:spacing w:after="0" w:line="360" w:lineRule="auto"/>
              <w:jc w:val="left"/>
              <w:rPr>
                <w:sz w:val="18"/>
                <w:szCs w:val="18"/>
              </w:rPr>
            </w:pPr>
            <w:r w:rsidRPr="001E1667">
              <w:rPr>
                <w:sz w:val="18"/>
                <w:szCs w:val="18"/>
              </w:rPr>
              <w:t>attribute is not life-cycle result</w:t>
            </w:r>
          </w:p>
        </w:tc>
        <w:tc>
          <w:tcPr>
            <w:tcW w:w="1189" w:type="dxa"/>
            <w:shd w:val="clear" w:color="auto" w:fill="F5F8FA"/>
            <w:tcMar>
              <w:top w:w="90" w:type="dxa"/>
              <w:left w:w="90" w:type="dxa"/>
              <w:bottom w:w="90" w:type="dxa"/>
              <w:right w:w="90" w:type="dxa"/>
            </w:tcMar>
            <w:vAlign w:val="center"/>
          </w:tcPr>
          <w:p w14:paraId="068BD50A" w14:textId="77777777" w:rsidR="00AB2427" w:rsidRPr="001E1667" w:rsidRDefault="00130A17" w:rsidP="00DC1B7D">
            <w:pPr>
              <w:spacing w:after="0" w:line="360" w:lineRule="auto"/>
              <w:jc w:val="left"/>
              <w:rPr>
                <w:sz w:val="18"/>
                <w:szCs w:val="18"/>
              </w:rPr>
            </w:pPr>
            <w:r w:rsidRPr="001E1667">
              <w:rPr>
                <w:sz w:val="18"/>
                <w:szCs w:val="18"/>
              </w:rPr>
              <w:t>1, 2, 3</w:t>
            </w:r>
          </w:p>
        </w:tc>
      </w:tr>
      <w:tr w:rsidR="00335582" w:rsidRPr="001E1667" w14:paraId="4700E955" w14:textId="77777777" w:rsidTr="001E1667">
        <w:trPr>
          <w:cantSplit/>
          <w:trHeight w:val="747"/>
          <w:jc w:val="center"/>
        </w:trPr>
        <w:tc>
          <w:tcPr>
            <w:tcW w:w="1882" w:type="dxa"/>
            <w:tcMar>
              <w:top w:w="90" w:type="dxa"/>
              <w:left w:w="90" w:type="dxa"/>
              <w:bottom w:w="90" w:type="dxa"/>
              <w:right w:w="90" w:type="dxa"/>
            </w:tcMar>
            <w:vAlign w:val="center"/>
          </w:tcPr>
          <w:p w14:paraId="55DF6774" w14:textId="77777777" w:rsidR="00AB2427" w:rsidRPr="001E1667" w:rsidRDefault="00130A17" w:rsidP="00DC1B7D">
            <w:pPr>
              <w:spacing w:after="0" w:line="360" w:lineRule="auto"/>
              <w:jc w:val="left"/>
              <w:rPr>
                <w:sz w:val="18"/>
                <w:szCs w:val="18"/>
              </w:rPr>
            </w:pPr>
            <w:r w:rsidRPr="001E1667">
              <w:rPr>
                <w:sz w:val="18"/>
                <w:szCs w:val="18"/>
              </w:rPr>
              <w:t>Carbon and resources</w:t>
            </w:r>
          </w:p>
        </w:tc>
        <w:tc>
          <w:tcPr>
            <w:tcW w:w="2279" w:type="dxa"/>
            <w:tcMar>
              <w:top w:w="90" w:type="dxa"/>
              <w:left w:w="90" w:type="dxa"/>
              <w:bottom w:w="90" w:type="dxa"/>
              <w:right w:w="90" w:type="dxa"/>
            </w:tcMar>
            <w:vAlign w:val="center"/>
          </w:tcPr>
          <w:p w14:paraId="7690C087" w14:textId="77777777" w:rsidR="00AB2427" w:rsidRPr="001E1667" w:rsidRDefault="00130A17" w:rsidP="00DC1B7D">
            <w:pPr>
              <w:spacing w:after="0" w:line="360" w:lineRule="auto"/>
              <w:jc w:val="left"/>
              <w:rPr>
                <w:sz w:val="18"/>
                <w:szCs w:val="18"/>
              </w:rPr>
            </w:pPr>
            <w:r w:rsidRPr="001E1667">
              <w:rPr>
                <w:sz w:val="18"/>
                <w:szCs w:val="18"/>
              </w:rPr>
              <w:t>carbon; emissions; energy; fleet; waste; efficiency</w:t>
            </w:r>
          </w:p>
        </w:tc>
        <w:tc>
          <w:tcPr>
            <w:tcW w:w="2773" w:type="dxa"/>
            <w:tcMar>
              <w:top w:w="90" w:type="dxa"/>
              <w:left w:w="90" w:type="dxa"/>
              <w:bottom w:w="90" w:type="dxa"/>
              <w:right w:w="90" w:type="dxa"/>
            </w:tcMar>
            <w:vAlign w:val="center"/>
          </w:tcPr>
          <w:p w14:paraId="2A36F0C2" w14:textId="77777777" w:rsidR="00AB2427" w:rsidRPr="001E1667" w:rsidRDefault="00130A17" w:rsidP="00DC1B7D">
            <w:pPr>
              <w:spacing w:after="0" w:line="360" w:lineRule="auto"/>
              <w:jc w:val="left"/>
              <w:rPr>
                <w:sz w:val="18"/>
                <w:szCs w:val="18"/>
              </w:rPr>
            </w:pPr>
            <w:r w:rsidRPr="001E1667">
              <w:rPr>
                <w:sz w:val="18"/>
                <w:szCs w:val="18"/>
              </w:rPr>
              <w:t>reports a baseline, activity or environmental result in distribution</w:t>
            </w:r>
          </w:p>
        </w:tc>
        <w:tc>
          <w:tcPr>
            <w:tcW w:w="1782" w:type="dxa"/>
            <w:tcMar>
              <w:top w:w="90" w:type="dxa"/>
              <w:left w:w="90" w:type="dxa"/>
              <w:bottom w:w="90" w:type="dxa"/>
              <w:right w:w="90" w:type="dxa"/>
            </w:tcMar>
            <w:vAlign w:val="center"/>
          </w:tcPr>
          <w:p w14:paraId="18BF03BE" w14:textId="77777777" w:rsidR="00AB2427" w:rsidRPr="001E1667" w:rsidRDefault="00130A17" w:rsidP="00DC1B7D">
            <w:pPr>
              <w:spacing w:after="0" w:line="360" w:lineRule="auto"/>
              <w:jc w:val="left"/>
              <w:rPr>
                <w:sz w:val="18"/>
                <w:szCs w:val="18"/>
              </w:rPr>
            </w:pPr>
            <w:r w:rsidRPr="001E1667">
              <w:rPr>
                <w:sz w:val="18"/>
                <w:szCs w:val="18"/>
              </w:rPr>
              <w:t>absolute and intensity measures kept separate</w:t>
            </w:r>
          </w:p>
        </w:tc>
        <w:tc>
          <w:tcPr>
            <w:tcW w:w="1189" w:type="dxa"/>
            <w:tcMar>
              <w:top w:w="90" w:type="dxa"/>
              <w:left w:w="90" w:type="dxa"/>
              <w:bottom w:w="90" w:type="dxa"/>
              <w:right w:w="90" w:type="dxa"/>
            </w:tcMar>
            <w:vAlign w:val="center"/>
          </w:tcPr>
          <w:p w14:paraId="72FF4B84" w14:textId="77777777" w:rsidR="00AB2427" w:rsidRPr="001E1667" w:rsidRDefault="00130A17" w:rsidP="00DC1B7D">
            <w:pPr>
              <w:spacing w:after="0" w:line="360" w:lineRule="auto"/>
              <w:jc w:val="left"/>
              <w:rPr>
                <w:sz w:val="18"/>
                <w:szCs w:val="18"/>
              </w:rPr>
            </w:pPr>
            <w:r w:rsidRPr="001E1667">
              <w:rPr>
                <w:sz w:val="18"/>
                <w:szCs w:val="18"/>
              </w:rPr>
              <w:t>1, 2</w:t>
            </w:r>
          </w:p>
        </w:tc>
      </w:tr>
      <w:tr w:rsidR="00335582" w:rsidRPr="001E1667" w14:paraId="76A8C0A8" w14:textId="77777777" w:rsidTr="001E1667">
        <w:trPr>
          <w:cantSplit/>
          <w:trHeight w:val="549"/>
          <w:jc w:val="center"/>
        </w:trPr>
        <w:tc>
          <w:tcPr>
            <w:tcW w:w="1882" w:type="dxa"/>
            <w:shd w:val="clear" w:color="auto" w:fill="F5F8FA"/>
            <w:tcMar>
              <w:top w:w="90" w:type="dxa"/>
              <w:left w:w="90" w:type="dxa"/>
              <w:bottom w:w="90" w:type="dxa"/>
              <w:right w:w="90" w:type="dxa"/>
            </w:tcMar>
            <w:vAlign w:val="center"/>
          </w:tcPr>
          <w:p w14:paraId="09044EC1" w14:textId="77777777" w:rsidR="00AB2427" w:rsidRPr="001E1667" w:rsidRDefault="00130A17" w:rsidP="00DC1B7D">
            <w:pPr>
              <w:spacing w:after="0" w:line="360" w:lineRule="auto"/>
              <w:jc w:val="left"/>
              <w:rPr>
                <w:sz w:val="18"/>
                <w:szCs w:val="18"/>
              </w:rPr>
            </w:pPr>
            <w:r w:rsidRPr="001E1667">
              <w:rPr>
                <w:sz w:val="18"/>
                <w:szCs w:val="18"/>
              </w:rPr>
              <w:t>Digital/distribution</w:t>
            </w:r>
          </w:p>
        </w:tc>
        <w:tc>
          <w:tcPr>
            <w:tcW w:w="2279" w:type="dxa"/>
            <w:shd w:val="clear" w:color="auto" w:fill="F5F8FA"/>
            <w:tcMar>
              <w:top w:w="90" w:type="dxa"/>
              <w:left w:w="90" w:type="dxa"/>
              <w:bottom w:w="90" w:type="dxa"/>
              <w:right w:w="90" w:type="dxa"/>
            </w:tcMar>
            <w:vAlign w:val="center"/>
          </w:tcPr>
          <w:p w14:paraId="054DF2AC" w14:textId="77777777" w:rsidR="00AB2427" w:rsidRPr="001E1667" w:rsidRDefault="00130A17" w:rsidP="00DC1B7D">
            <w:pPr>
              <w:spacing w:after="0" w:line="360" w:lineRule="auto"/>
              <w:jc w:val="left"/>
              <w:rPr>
                <w:sz w:val="18"/>
                <w:szCs w:val="18"/>
              </w:rPr>
            </w:pPr>
            <w:r w:rsidRPr="001E1667">
              <w:rPr>
                <w:sz w:val="18"/>
                <w:szCs w:val="18"/>
              </w:rPr>
              <w:t>digital order; consolidation; route; warehouse; delivery</w:t>
            </w:r>
          </w:p>
        </w:tc>
        <w:tc>
          <w:tcPr>
            <w:tcW w:w="2773" w:type="dxa"/>
            <w:shd w:val="clear" w:color="auto" w:fill="F5F8FA"/>
            <w:tcMar>
              <w:top w:w="90" w:type="dxa"/>
              <w:left w:w="90" w:type="dxa"/>
              <w:bottom w:w="90" w:type="dxa"/>
              <w:right w:w="90" w:type="dxa"/>
            </w:tcMar>
            <w:vAlign w:val="center"/>
          </w:tcPr>
          <w:p w14:paraId="1A635893" w14:textId="77777777" w:rsidR="00AB2427" w:rsidRPr="001E1667" w:rsidRDefault="00130A17" w:rsidP="00DC1B7D">
            <w:pPr>
              <w:spacing w:after="0" w:line="360" w:lineRule="auto"/>
              <w:jc w:val="left"/>
              <w:rPr>
                <w:sz w:val="18"/>
                <w:szCs w:val="18"/>
              </w:rPr>
            </w:pPr>
            <w:r w:rsidRPr="001E1667">
              <w:rPr>
                <w:sz w:val="18"/>
                <w:szCs w:val="18"/>
              </w:rPr>
              <w:t>connects information or physical flow to an SSCM mechanism</w:t>
            </w:r>
          </w:p>
        </w:tc>
        <w:tc>
          <w:tcPr>
            <w:tcW w:w="1782" w:type="dxa"/>
            <w:shd w:val="clear" w:color="auto" w:fill="F5F8FA"/>
            <w:tcMar>
              <w:top w:w="90" w:type="dxa"/>
              <w:left w:w="90" w:type="dxa"/>
              <w:bottom w:w="90" w:type="dxa"/>
              <w:right w:w="90" w:type="dxa"/>
            </w:tcMar>
            <w:vAlign w:val="center"/>
          </w:tcPr>
          <w:p w14:paraId="7049B9B2" w14:textId="77777777" w:rsidR="00AB2427" w:rsidRPr="001E1667" w:rsidRDefault="00130A17" w:rsidP="00DC1B7D">
            <w:pPr>
              <w:spacing w:after="0" w:line="360" w:lineRule="auto"/>
              <w:jc w:val="left"/>
              <w:rPr>
                <w:sz w:val="18"/>
                <w:szCs w:val="18"/>
              </w:rPr>
            </w:pPr>
            <w:r w:rsidRPr="001E1667">
              <w:rPr>
                <w:sz w:val="18"/>
                <w:szCs w:val="18"/>
              </w:rPr>
              <w:t>adoption is not benefit</w:t>
            </w:r>
          </w:p>
        </w:tc>
        <w:tc>
          <w:tcPr>
            <w:tcW w:w="1189" w:type="dxa"/>
            <w:shd w:val="clear" w:color="auto" w:fill="F5F8FA"/>
            <w:tcMar>
              <w:top w:w="90" w:type="dxa"/>
              <w:left w:w="90" w:type="dxa"/>
              <w:bottom w:w="90" w:type="dxa"/>
              <w:right w:w="90" w:type="dxa"/>
            </w:tcMar>
            <w:vAlign w:val="center"/>
          </w:tcPr>
          <w:p w14:paraId="5765C7A4" w14:textId="77777777" w:rsidR="00AB2427" w:rsidRPr="001E1667" w:rsidRDefault="00130A17" w:rsidP="00DC1B7D">
            <w:pPr>
              <w:spacing w:after="0" w:line="360" w:lineRule="auto"/>
              <w:jc w:val="left"/>
              <w:rPr>
                <w:sz w:val="18"/>
                <w:szCs w:val="18"/>
              </w:rPr>
            </w:pPr>
            <w:r w:rsidRPr="001E1667">
              <w:rPr>
                <w:sz w:val="18"/>
                <w:szCs w:val="18"/>
              </w:rPr>
              <w:t>1, 2, 3</w:t>
            </w:r>
          </w:p>
        </w:tc>
      </w:tr>
      <w:tr w:rsidR="00335582" w:rsidRPr="001E1667" w14:paraId="4EA58BAF" w14:textId="77777777" w:rsidTr="001E1667">
        <w:trPr>
          <w:cantSplit/>
          <w:trHeight w:val="549"/>
          <w:jc w:val="center"/>
        </w:trPr>
        <w:tc>
          <w:tcPr>
            <w:tcW w:w="1882" w:type="dxa"/>
            <w:tcMar>
              <w:top w:w="90" w:type="dxa"/>
              <w:left w:w="90" w:type="dxa"/>
              <w:bottom w:w="90" w:type="dxa"/>
              <w:right w:w="90" w:type="dxa"/>
            </w:tcMar>
            <w:vAlign w:val="center"/>
          </w:tcPr>
          <w:p w14:paraId="42F3E451" w14:textId="77777777" w:rsidR="00AB2427" w:rsidRPr="001E1667" w:rsidRDefault="00130A17" w:rsidP="00DC1B7D">
            <w:pPr>
              <w:spacing w:after="0" w:line="360" w:lineRule="auto"/>
              <w:jc w:val="left"/>
              <w:rPr>
                <w:sz w:val="18"/>
                <w:szCs w:val="18"/>
              </w:rPr>
            </w:pPr>
            <w:r w:rsidRPr="001E1667">
              <w:rPr>
                <w:sz w:val="18"/>
                <w:szCs w:val="18"/>
              </w:rPr>
              <w:t>Operational outcome</w:t>
            </w:r>
          </w:p>
        </w:tc>
        <w:tc>
          <w:tcPr>
            <w:tcW w:w="2279" w:type="dxa"/>
            <w:tcMar>
              <w:top w:w="90" w:type="dxa"/>
              <w:left w:w="90" w:type="dxa"/>
              <w:bottom w:w="90" w:type="dxa"/>
              <w:right w:w="90" w:type="dxa"/>
            </w:tcMar>
            <w:vAlign w:val="center"/>
          </w:tcPr>
          <w:p w14:paraId="218AD7DC" w14:textId="77777777" w:rsidR="00AB2427" w:rsidRPr="001E1667" w:rsidRDefault="00130A17" w:rsidP="00DC1B7D">
            <w:pPr>
              <w:spacing w:after="0" w:line="360" w:lineRule="auto"/>
              <w:jc w:val="left"/>
              <w:rPr>
                <w:sz w:val="18"/>
                <w:szCs w:val="18"/>
              </w:rPr>
            </w:pPr>
            <w:r w:rsidRPr="001E1667">
              <w:rPr>
                <w:sz w:val="18"/>
                <w:szCs w:val="18"/>
              </w:rPr>
              <w:t>cost; margin; cash; risk; service; reliability; resilience</w:t>
            </w:r>
          </w:p>
        </w:tc>
        <w:tc>
          <w:tcPr>
            <w:tcW w:w="2773" w:type="dxa"/>
            <w:tcMar>
              <w:top w:w="90" w:type="dxa"/>
              <w:left w:w="90" w:type="dxa"/>
              <w:bottom w:w="90" w:type="dxa"/>
              <w:right w:w="90" w:type="dxa"/>
            </w:tcMar>
            <w:vAlign w:val="center"/>
          </w:tcPr>
          <w:p w14:paraId="6687E3FE" w14:textId="77777777" w:rsidR="00AB2427" w:rsidRPr="001E1667" w:rsidRDefault="00130A17" w:rsidP="00DC1B7D">
            <w:pPr>
              <w:spacing w:after="0" w:line="360" w:lineRule="auto"/>
              <w:jc w:val="left"/>
              <w:rPr>
                <w:sz w:val="18"/>
                <w:szCs w:val="18"/>
              </w:rPr>
            </w:pPr>
            <w:r w:rsidRPr="001E1667">
              <w:rPr>
                <w:sz w:val="18"/>
                <w:szCs w:val="18"/>
              </w:rPr>
              <w:t>states a defined outcome or a traceable operational mechanism</w:t>
            </w:r>
          </w:p>
        </w:tc>
        <w:tc>
          <w:tcPr>
            <w:tcW w:w="1782" w:type="dxa"/>
            <w:tcMar>
              <w:top w:w="90" w:type="dxa"/>
              <w:left w:w="90" w:type="dxa"/>
              <w:bottom w:w="90" w:type="dxa"/>
              <w:right w:w="90" w:type="dxa"/>
            </w:tcMar>
            <w:vAlign w:val="center"/>
          </w:tcPr>
          <w:p w14:paraId="064275A6" w14:textId="77777777" w:rsidR="00AB2427" w:rsidRPr="001E1667" w:rsidRDefault="00130A17" w:rsidP="00DC1B7D">
            <w:pPr>
              <w:spacing w:after="0" w:line="360" w:lineRule="auto"/>
              <w:jc w:val="left"/>
              <w:rPr>
                <w:sz w:val="18"/>
                <w:szCs w:val="18"/>
              </w:rPr>
            </w:pPr>
            <w:r w:rsidRPr="001E1667">
              <w:rPr>
                <w:sz w:val="18"/>
                <w:szCs w:val="18"/>
              </w:rPr>
              <w:t>direct measure, proxy or claim</w:t>
            </w:r>
          </w:p>
        </w:tc>
        <w:tc>
          <w:tcPr>
            <w:tcW w:w="1189" w:type="dxa"/>
            <w:tcMar>
              <w:top w:w="90" w:type="dxa"/>
              <w:left w:w="90" w:type="dxa"/>
              <w:bottom w:w="90" w:type="dxa"/>
              <w:right w:w="90" w:type="dxa"/>
            </w:tcMar>
            <w:vAlign w:val="center"/>
          </w:tcPr>
          <w:p w14:paraId="3EA803C6" w14:textId="77777777" w:rsidR="00AB2427" w:rsidRPr="001E1667" w:rsidRDefault="00130A17" w:rsidP="00DC1B7D">
            <w:pPr>
              <w:spacing w:after="0" w:line="360" w:lineRule="auto"/>
              <w:jc w:val="left"/>
              <w:rPr>
                <w:sz w:val="18"/>
                <w:szCs w:val="18"/>
              </w:rPr>
            </w:pPr>
            <w:r w:rsidRPr="001E1667">
              <w:rPr>
                <w:sz w:val="18"/>
                <w:szCs w:val="18"/>
              </w:rPr>
              <w:t>2</w:t>
            </w:r>
          </w:p>
        </w:tc>
      </w:tr>
      <w:tr w:rsidR="00335582" w:rsidRPr="001E1667" w14:paraId="393D4445" w14:textId="77777777" w:rsidTr="001E1667">
        <w:trPr>
          <w:cantSplit/>
          <w:trHeight w:val="747"/>
          <w:jc w:val="center"/>
        </w:trPr>
        <w:tc>
          <w:tcPr>
            <w:tcW w:w="1882" w:type="dxa"/>
            <w:shd w:val="clear" w:color="auto" w:fill="F5F8FA"/>
            <w:tcMar>
              <w:top w:w="90" w:type="dxa"/>
              <w:left w:w="90" w:type="dxa"/>
              <w:bottom w:w="90" w:type="dxa"/>
              <w:right w:w="90" w:type="dxa"/>
            </w:tcMar>
            <w:vAlign w:val="center"/>
          </w:tcPr>
          <w:p w14:paraId="3FECA0BA" w14:textId="77777777" w:rsidR="00AB2427" w:rsidRPr="001E1667" w:rsidRDefault="00130A17" w:rsidP="00DC1B7D">
            <w:pPr>
              <w:spacing w:after="0" w:line="360" w:lineRule="auto"/>
              <w:jc w:val="left"/>
              <w:rPr>
                <w:sz w:val="18"/>
                <w:szCs w:val="18"/>
              </w:rPr>
            </w:pPr>
            <w:r w:rsidRPr="001E1667">
              <w:rPr>
                <w:sz w:val="18"/>
                <w:szCs w:val="18"/>
              </w:rPr>
              <w:t>Customer evidence</w:t>
            </w:r>
          </w:p>
        </w:tc>
        <w:tc>
          <w:tcPr>
            <w:tcW w:w="2279" w:type="dxa"/>
            <w:shd w:val="clear" w:color="auto" w:fill="F5F8FA"/>
            <w:tcMar>
              <w:top w:w="90" w:type="dxa"/>
              <w:left w:w="90" w:type="dxa"/>
              <w:bottom w:w="90" w:type="dxa"/>
              <w:right w:w="90" w:type="dxa"/>
            </w:tcMar>
            <w:vAlign w:val="center"/>
          </w:tcPr>
          <w:p w14:paraId="73DEC57A" w14:textId="77777777" w:rsidR="00AB2427" w:rsidRPr="001E1667" w:rsidRDefault="00130A17" w:rsidP="00DC1B7D">
            <w:pPr>
              <w:spacing w:after="0" w:line="360" w:lineRule="auto"/>
              <w:jc w:val="left"/>
              <w:rPr>
                <w:sz w:val="18"/>
                <w:szCs w:val="18"/>
              </w:rPr>
            </w:pPr>
            <w:r w:rsidRPr="001E1667">
              <w:rPr>
                <w:sz w:val="18"/>
                <w:szCs w:val="18"/>
              </w:rPr>
              <w:t>customer; satisfaction; NPS; retention; tender; contract; value</w:t>
            </w:r>
          </w:p>
        </w:tc>
        <w:tc>
          <w:tcPr>
            <w:tcW w:w="2773" w:type="dxa"/>
            <w:shd w:val="clear" w:color="auto" w:fill="F5F8FA"/>
            <w:tcMar>
              <w:top w:w="90" w:type="dxa"/>
              <w:left w:w="90" w:type="dxa"/>
              <w:bottom w:w="90" w:type="dxa"/>
              <w:right w:w="90" w:type="dxa"/>
            </w:tcMar>
            <w:vAlign w:val="center"/>
          </w:tcPr>
          <w:p w14:paraId="444AC538" w14:textId="77777777" w:rsidR="00AB2427" w:rsidRPr="001E1667" w:rsidRDefault="00130A17" w:rsidP="00DC1B7D">
            <w:pPr>
              <w:spacing w:after="0" w:line="360" w:lineRule="auto"/>
              <w:jc w:val="left"/>
              <w:rPr>
                <w:sz w:val="18"/>
                <w:szCs w:val="18"/>
              </w:rPr>
            </w:pPr>
            <w:r w:rsidRPr="001E1667">
              <w:rPr>
                <w:sz w:val="18"/>
                <w:szCs w:val="18"/>
              </w:rPr>
              <w:t>contains feedback, behaviour, engagement or a customer case</w:t>
            </w:r>
          </w:p>
        </w:tc>
        <w:tc>
          <w:tcPr>
            <w:tcW w:w="1782" w:type="dxa"/>
            <w:shd w:val="clear" w:color="auto" w:fill="F5F8FA"/>
            <w:tcMar>
              <w:top w:w="90" w:type="dxa"/>
              <w:left w:w="90" w:type="dxa"/>
              <w:bottom w:w="90" w:type="dxa"/>
              <w:right w:w="90" w:type="dxa"/>
            </w:tcMar>
            <w:vAlign w:val="center"/>
          </w:tcPr>
          <w:p w14:paraId="037CBE67" w14:textId="77777777" w:rsidR="00AB2427" w:rsidRPr="001E1667" w:rsidRDefault="00130A17" w:rsidP="00DC1B7D">
            <w:pPr>
              <w:spacing w:after="0" w:line="360" w:lineRule="auto"/>
              <w:jc w:val="left"/>
              <w:rPr>
                <w:sz w:val="18"/>
                <w:szCs w:val="18"/>
              </w:rPr>
            </w:pPr>
            <w:r w:rsidRPr="001E1667">
              <w:rPr>
                <w:sz w:val="18"/>
                <w:szCs w:val="18"/>
              </w:rPr>
              <w:t>direct evidence separated from proxy</w:t>
            </w:r>
          </w:p>
        </w:tc>
        <w:tc>
          <w:tcPr>
            <w:tcW w:w="1189" w:type="dxa"/>
            <w:shd w:val="clear" w:color="auto" w:fill="F5F8FA"/>
            <w:tcMar>
              <w:top w:w="90" w:type="dxa"/>
              <w:left w:w="90" w:type="dxa"/>
              <w:bottom w:w="90" w:type="dxa"/>
              <w:right w:w="90" w:type="dxa"/>
            </w:tcMar>
            <w:vAlign w:val="center"/>
          </w:tcPr>
          <w:p w14:paraId="63A12CB7" w14:textId="77777777" w:rsidR="00AB2427" w:rsidRPr="001E1667" w:rsidRDefault="00130A17" w:rsidP="00DC1B7D">
            <w:pPr>
              <w:spacing w:after="0" w:line="360" w:lineRule="auto"/>
              <w:jc w:val="left"/>
              <w:rPr>
                <w:sz w:val="18"/>
                <w:szCs w:val="18"/>
              </w:rPr>
            </w:pPr>
            <w:r w:rsidRPr="001E1667">
              <w:rPr>
                <w:sz w:val="18"/>
                <w:szCs w:val="18"/>
              </w:rPr>
              <w:t>3</w:t>
            </w:r>
          </w:p>
        </w:tc>
      </w:tr>
      <w:tr w:rsidR="00335582" w:rsidRPr="001E1667" w14:paraId="58B2F679" w14:textId="77777777" w:rsidTr="001E1667">
        <w:trPr>
          <w:cantSplit/>
          <w:trHeight w:val="747"/>
          <w:jc w:val="center"/>
        </w:trPr>
        <w:tc>
          <w:tcPr>
            <w:tcW w:w="1882" w:type="dxa"/>
            <w:tcMar>
              <w:top w:w="90" w:type="dxa"/>
              <w:left w:w="90" w:type="dxa"/>
              <w:bottom w:w="90" w:type="dxa"/>
              <w:right w:w="90" w:type="dxa"/>
            </w:tcMar>
            <w:vAlign w:val="center"/>
          </w:tcPr>
          <w:p w14:paraId="7E70D218" w14:textId="77777777" w:rsidR="00AB2427" w:rsidRPr="001E1667" w:rsidRDefault="00130A17" w:rsidP="00DC1B7D">
            <w:pPr>
              <w:spacing w:after="0" w:line="360" w:lineRule="auto"/>
              <w:jc w:val="left"/>
              <w:rPr>
                <w:sz w:val="18"/>
                <w:szCs w:val="18"/>
              </w:rPr>
            </w:pPr>
            <w:r w:rsidRPr="001E1667">
              <w:rPr>
                <w:sz w:val="18"/>
                <w:szCs w:val="18"/>
              </w:rPr>
              <w:t>Qualifying evidence</w:t>
            </w:r>
          </w:p>
        </w:tc>
        <w:tc>
          <w:tcPr>
            <w:tcW w:w="2279" w:type="dxa"/>
            <w:tcMar>
              <w:top w:w="90" w:type="dxa"/>
              <w:left w:w="90" w:type="dxa"/>
              <w:bottom w:w="90" w:type="dxa"/>
              <w:right w:w="90" w:type="dxa"/>
            </w:tcMar>
            <w:vAlign w:val="center"/>
          </w:tcPr>
          <w:p w14:paraId="4938EA6A" w14:textId="77777777" w:rsidR="00AB2427" w:rsidRPr="001E1667" w:rsidRDefault="00130A17" w:rsidP="00DC1B7D">
            <w:pPr>
              <w:spacing w:after="0" w:line="360" w:lineRule="auto"/>
              <w:jc w:val="left"/>
              <w:rPr>
                <w:sz w:val="18"/>
                <w:szCs w:val="18"/>
              </w:rPr>
            </w:pPr>
            <w:r w:rsidRPr="001E1667">
              <w:rPr>
                <w:sz w:val="18"/>
                <w:szCs w:val="18"/>
              </w:rPr>
              <w:t>challenge; price; function; execution; acquisition; data gap</w:t>
            </w:r>
          </w:p>
        </w:tc>
        <w:tc>
          <w:tcPr>
            <w:tcW w:w="2773" w:type="dxa"/>
            <w:tcMar>
              <w:top w:w="90" w:type="dxa"/>
              <w:left w:w="90" w:type="dxa"/>
              <w:bottom w:w="90" w:type="dxa"/>
              <w:right w:w="90" w:type="dxa"/>
            </w:tcMar>
            <w:vAlign w:val="center"/>
          </w:tcPr>
          <w:p w14:paraId="2785BC8D" w14:textId="77777777" w:rsidR="00AB2427" w:rsidRPr="001E1667" w:rsidRDefault="00130A17" w:rsidP="00DC1B7D">
            <w:pPr>
              <w:spacing w:after="0" w:line="360" w:lineRule="auto"/>
              <w:jc w:val="left"/>
              <w:rPr>
                <w:sz w:val="18"/>
                <w:szCs w:val="18"/>
              </w:rPr>
            </w:pPr>
            <w:r w:rsidRPr="001E1667">
              <w:rPr>
                <w:sz w:val="18"/>
                <w:szCs w:val="18"/>
              </w:rPr>
              <w:t>limits or changes an expected operational or customer contribution</w:t>
            </w:r>
          </w:p>
        </w:tc>
        <w:tc>
          <w:tcPr>
            <w:tcW w:w="1782" w:type="dxa"/>
            <w:tcMar>
              <w:top w:w="90" w:type="dxa"/>
              <w:left w:w="90" w:type="dxa"/>
              <w:bottom w:w="90" w:type="dxa"/>
              <w:right w:w="90" w:type="dxa"/>
            </w:tcMar>
            <w:vAlign w:val="center"/>
          </w:tcPr>
          <w:p w14:paraId="509F311B" w14:textId="77777777" w:rsidR="00AB2427" w:rsidRPr="001E1667" w:rsidRDefault="00130A17" w:rsidP="00DC1B7D">
            <w:pPr>
              <w:spacing w:after="0" w:line="360" w:lineRule="auto"/>
              <w:jc w:val="left"/>
              <w:rPr>
                <w:sz w:val="18"/>
                <w:szCs w:val="18"/>
              </w:rPr>
            </w:pPr>
            <w:r w:rsidRPr="001E1667">
              <w:rPr>
                <w:sz w:val="18"/>
                <w:szCs w:val="18"/>
              </w:rPr>
              <w:t>scope and alternative explanation retained</w:t>
            </w:r>
          </w:p>
        </w:tc>
        <w:tc>
          <w:tcPr>
            <w:tcW w:w="1189" w:type="dxa"/>
            <w:tcMar>
              <w:top w:w="90" w:type="dxa"/>
              <w:left w:w="90" w:type="dxa"/>
              <w:bottom w:w="90" w:type="dxa"/>
              <w:right w:w="90" w:type="dxa"/>
            </w:tcMar>
            <w:vAlign w:val="center"/>
          </w:tcPr>
          <w:p w14:paraId="062BC861" w14:textId="77777777" w:rsidR="00AB2427" w:rsidRPr="001E1667" w:rsidRDefault="00130A17" w:rsidP="00DC1B7D">
            <w:pPr>
              <w:spacing w:after="0" w:line="360" w:lineRule="auto"/>
              <w:jc w:val="left"/>
              <w:rPr>
                <w:sz w:val="18"/>
                <w:szCs w:val="18"/>
              </w:rPr>
            </w:pPr>
            <w:r w:rsidRPr="001E1667">
              <w:rPr>
                <w:sz w:val="18"/>
                <w:szCs w:val="18"/>
              </w:rPr>
              <w:t>2, 3</w:t>
            </w:r>
          </w:p>
        </w:tc>
      </w:tr>
    </w:tbl>
    <w:p w14:paraId="64A65380" w14:textId="77777777" w:rsidR="00720668" w:rsidRPr="00720668" w:rsidRDefault="00720668" w:rsidP="00DC1B7D">
      <w:pPr>
        <w:spacing w:line="360" w:lineRule="auto"/>
        <w:rPr>
          <w:rFonts w:cs="Arial"/>
          <w:szCs w:val="24"/>
        </w:rPr>
      </w:pPr>
    </w:p>
    <w:p w14:paraId="5BDE43A5" w14:textId="77777777" w:rsidR="00720668" w:rsidRPr="00720668" w:rsidRDefault="00720668" w:rsidP="00DC1B7D">
      <w:pPr>
        <w:spacing w:line="360" w:lineRule="auto"/>
        <w:rPr>
          <w:rFonts w:cs="Arial"/>
          <w:szCs w:val="24"/>
        </w:rPr>
      </w:pPr>
      <w:r>
        <w:t xml:space="preserve">Table 3.2 makes the route from text to research question explicit. For example, a supplier-assessment passage was coded first as a responsible-sourcing practice; any stated </w:t>
      </w:r>
      <w:r>
        <w:lastRenderedPageBreak/>
        <w:t>remediation or termination was then coded as a sourcing consequence; and a separate operational outcome was recorded only if the document supplied one. Likewise, the word "customer" did not become satisfaction evidence unless the passage contained evaluation or feedback. Worked records in Appendix A show these decisions in full.</w:t>
      </w:r>
    </w:p>
    <w:p w14:paraId="78D5EB3A" w14:textId="77777777" w:rsidR="00AB2427" w:rsidRDefault="00130A17" w:rsidP="00DC1B7D">
      <w:pPr>
        <w:spacing w:line="360" w:lineRule="auto"/>
      </w:pPr>
      <w:r>
        <w:t>Search terms functioned as retrieval prompts rather than automatic codes. A hit for "supplier", for example, was excluded when it referred only to a general purchasing relationship. It was included as responsible sourcing when the surrounding passage described a standard, risk screen, assessment, corrective action, remediation or sourcing consequence. In the 2022 sustainability report, the assessment of 930 suppliers and the related figures for completed, continuing and terminated cases were entered as separate fields. This allowed one source passage to support coverage, follow-up status and commercial consequence without collapsing all three into a single positive count.</w:t>
      </w:r>
    </w:p>
    <w:p w14:paraId="41AE0B8D" w14:textId="77777777" w:rsidR="00AB2427" w:rsidRDefault="00130A17" w:rsidP="00DC1B7D">
      <w:pPr>
        <w:spacing w:line="360" w:lineRule="auto"/>
      </w:pPr>
      <w:r>
        <w:t>Customer evidence required a different rule. The terms "customer", "engagement", "contract" and "satisfaction" located candidate passages, but the record was classified by what it showed. The 2025 figure of 331 existing and potential customer engagements was coded as reach because the two groups were combined and no evaluation was reported. The approximately €2 million RFP outcome was coded as a commercial proxy because it indicated relevance to a purchasing decision but could also reflect price, service and the overall proposal. A named customer statement was coded as direct qualitative feedback, with the limitation that one selected testimonial could not represent the Group's customer base.</w:t>
      </w:r>
    </w:p>
    <w:p w14:paraId="4CFE0740" w14:textId="77777777" w:rsidR="00AB2427" w:rsidRDefault="00130A17" w:rsidP="00DC1B7D">
      <w:pPr>
        <w:spacing w:line="360" w:lineRule="auto"/>
      </w:pPr>
      <w:r>
        <w:t>Environmental records were treated in the same way. The phrase "carbon efficiency" was not compared with absolute emissions until the denominator and baseline had been checked. The 18% absolute reduction and 28% carbon-efficiency improvement were recorded as distinct indicators against the 2019 baseline, while the acquisition qualification was retained in the same matrix row. This prevented an intensity measure from being presented as an absolute result and ensured that the year-on-year movement was read with the change in organisational scope.</w:t>
      </w:r>
    </w:p>
    <w:p w14:paraId="4868F2B9" w14:textId="77777777" w:rsidR="00720668" w:rsidRPr="00720668" w:rsidRDefault="00720668" w:rsidP="00DC1B7D">
      <w:pPr>
        <w:pStyle w:val="Heading2"/>
        <w:jc w:val="left"/>
      </w:pPr>
      <w:bookmarkStart w:id="71" w:name="_Toc237017792"/>
      <w:bookmarkStart w:id="72" w:name="_Toc238218131"/>
      <w:r w:rsidRPr="00720668">
        <w:lastRenderedPageBreak/>
        <w:t>3.7 Analytical procedure</w:t>
      </w:r>
      <w:bookmarkEnd w:id="71"/>
      <w:bookmarkEnd w:id="72"/>
    </w:p>
    <w:p w14:paraId="7D348031" w14:textId="77777777" w:rsidR="00720668" w:rsidRPr="00720668" w:rsidRDefault="00720668" w:rsidP="00DC1B7D">
      <w:pPr>
        <w:spacing w:line="360" w:lineRule="auto"/>
        <w:rPr>
          <w:rFonts w:cs="Arial"/>
          <w:szCs w:val="24"/>
        </w:rPr>
      </w:pPr>
      <w:r>
        <w:t>The bounded corpus was analysed through a structured thematic procedure informed by Braun and Clarke (2006, 2021) and documentary analysis (Bowen, 2009). The method was theory-informed but not restricted to confirming the initial framework: codes organised the first reading, while comparison, omissions and qualifying records shaped the final themes. The term thematic analysis is used here only for this traceable sequence of coding, comparison and interpretation.</w:t>
      </w:r>
    </w:p>
    <w:p w14:paraId="48D24304" w14:textId="54A73954" w:rsidR="00720668" w:rsidRDefault="00720668" w:rsidP="001E1667">
      <w:pPr>
        <w:spacing w:line="360" w:lineRule="auto"/>
        <w:rPr>
          <w:rFonts w:cs="Arial"/>
          <w:szCs w:val="24"/>
        </w:rPr>
      </w:pPr>
      <w:r>
        <w:t>Figure 3.1 was constructed from the sequence followed in this study. It links the case boundary and source screen to contextual coding, cross-source comparison, theme development and final answers to the research questions. The audit-trail band indicates that source and decision information was retained at each stage.</w:t>
      </w:r>
    </w:p>
    <w:p w14:paraId="2C59113E" w14:textId="77777777" w:rsidR="001E1667" w:rsidRDefault="001E1667" w:rsidP="001E1667">
      <w:pPr>
        <w:pStyle w:val="Heading4"/>
        <w:pageBreakBefore/>
      </w:pPr>
      <w:r>
        <w:rPr>
          <w:lang w:val="en-GB"/>
        </w:rPr>
        <w:lastRenderedPageBreak/>
        <w:t>Figure 3.1 Six-stage documentary analysis workflow</w:t>
      </w:r>
    </w:p>
    <w:p w14:paraId="6FF7400D" w14:textId="77777777" w:rsidR="001E1667" w:rsidRDefault="001E1667" w:rsidP="001E1667">
      <w:pPr>
        <w:keepNext/>
        <w:spacing w:after="40" w:line="360" w:lineRule="auto"/>
        <w:jc w:val="center"/>
      </w:pPr>
      <w:r>
        <w:rPr>
          <w:rFonts w:eastAsia="Arial" w:cs="Arial"/>
          <w:b/>
          <w:color w:val="24797D"/>
          <w:sz w:val="18"/>
        </w:rPr>
        <w:t>DOCUMENTARY ANALYSIS</w:t>
      </w:r>
    </w:p>
    <w:p w14:paraId="7B612C54" w14:textId="77777777" w:rsidR="001E1667" w:rsidRDefault="001E1667" w:rsidP="001E1667">
      <w:pPr>
        <w:keepNext/>
        <w:spacing w:after="140" w:line="360" w:lineRule="auto"/>
        <w:jc w:val="center"/>
      </w:pPr>
      <w:r>
        <w:rPr>
          <w:rFonts w:eastAsia="Arial" w:cs="Arial"/>
          <w:b/>
          <w:color w:val="173653"/>
          <w:sz w:val="40"/>
        </w:rPr>
        <w:t>A transparent six-stage workflow</w:t>
      </w:r>
    </w:p>
    <w:p w14:paraId="59EE8B39" w14:textId="77777777" w:rsidR="001E1667" w:rsidRDefault="001E1667" w:rsidP="001E1667">
      <w:pPr>
        <w:spacing w:after="40" w:line="360" w:lineRule="auto"/>
        <w:jc w:val="center"/>
      </w:pPr>
    </w:p>
    <w:tbl>
      <w:tblPr>
        <w:tblW w:w="9575" w:type="dxa"/>
        <w:jc w:val="center"/>
        <w:tblBorders>
          <w:top w:val="nil"/>
          <w:left w:val="nil"/>
          <w:bottom w:val="nil"/>
          <w:right w:val="nil"/>
          <w:insideH w:val="nil"/>
          <w:insideV w:val="nil"/>
        </w:tblBorders>
        <w:tblLayout w:type="fixed"/>
        <w:tblLook w:val="04A0" w:firstRow="1" w:lastRow="0" w:firstColumn="1" w:lastColumn="0" w:noHBand="0" w:noVBand="1"/>
      </w:tblPr>
      <w:tblGrid>
        <w:gridCol w:w="2883"/>
        <w:gridCol w:w="463"/>
        <w:gridCol w:w="2883"/>
        <w:gridCol w:w="463"/>
        <w:gridCol w:w="2883"/>
      </w:tblGrid>
      <w:tr w:rsidR="001E1667" w:rsidRPr="001E1667" w14:paraId="59380FAD" w14:textId="77777777" w:rsidTr="001E1667">
        <w:trPr>
          <w:trHeight w:val="707"/>
          <w:tblHeader/>
          <w:jc w:val="center"/>
        </w:trPr>
        <w:tc>
          <w:tcPr>
            <w:tcW w:w="2883" w:type="dxa"/>
            <w:tcBorders>
              <w:top w:val="single" w:sz="12" w:space="0" w:color="173653"/>
              <w:left w:val="single" w:sz="12" w:space="0" w:color="173653"/>
              <w:bottom w:val="single" w:sz="12" w:space="0" w:color="173653"/>
              <w:right w:val="single" w:sz="12" w:space="0" w:color="173653"/>
            </w:tcBorders>
            <w:shd w:val="clear" w:color="auto" w:fill="E8F0F6"/>
            <w:tcMar>
              <w:top w:w="90" w:type="dxa"/>
              <w:left w:w="90" w:type="dxa"/>
              <w:bottom w:w="90" w:type="dxa"/>
              <w:right w:w="90" w:type="dxa"/>
            </w:tcMar>
            <w:vAlign w:val="center"/>
          </w:tcPr>
          <w:p w14:paraId="2F5FFB86" w14:textId="77777777" w:rsidR="001E1667" w:rsidRPr="001E1667" w:rsidRDefault="001E1667" w:rsidP="007B2582">
            <w:pPr>
              <w:spacing w:after="0" w:line="360" w:lineRule="auto"/>
              <w:jc w:val="center"/>
              <w:rPr>
                <w:sz w:val="18"/>
                <w:szCs w:val="18"/>
              </w:rPr>
            </w:pPr>
            <w:r w:rsidRPr="001E1667">
              <w:rPr>
                <w:sz w:val="18"/>
                <w:szCs w:val="18"/>
              </w:rPr>
              <w:t>1 Define scope</w:t>
            </w:r>
            <w:r w:rsidRPr="001E1667">
              <w:rPr>
                <w:sz w:val="18"/>
                <w:szCs w:val="18"/>
              </w:rPr>
              <w:br/>
              <w:t>Case, period and evidence boundary</w:t>
            </w:r>
          </w:p>
        </w:tc>
        <w:tc>
          <w:tcPr>
            <w:tcW w:w="463" w:type="dxa"/>
            <w:tcBorders>
              <w:top w:val="nil"/>
              <w:left w:val="nil"/>
              <w:bottom w:val="nil"/>
              <w:right w:val="nil"/>
            </w:tcBorders>
            <w:shd w:val="clear" w:color="auto" w:fill="FFFFFF"/>
            <w:tcMar>
              <w:top w:w="90" w:type="dxa"/>
              <w:left w:w="90" w:type="dxa"/>
              <w:bottom w:w="90" w:type="dxa"/>
              <w:right w:w="90" w:type="dxa"/>
            </w:tcMar>
            <w:vAlign w:val="center"/>
          </w:tcPr>
          <w:p w14:paraId="10411A26" w14:textId="77777777" w:rsidR="001E1667" w:rsidRPr="001E1667" w:rsidRDefault="001E1667" w:rsidP="007B2582">
            <w:pPr>
              <w:spacing w:after="0" w:line="360" w:lineRule="auto"/>
              <w:jc w:val="center"/>
              <w:rPr>
                <w:sz w:val="18"/>
                <w:szCs w:val="18"/>
              </w:rPr>
            </w:pPr>
            <w:r w:rsidRPr="001E1667">
              <w:rPr>
                <w:sz w:val="18"/>
                <w:szCs w:val="18"/>
              </w:rPr>
              <w:t>→</w:t>
            </w:r>
          </w:p>
        </w:tc>
        <w:tc>
          <w:tcPr>
            <w:tcW w:w="2883" w:type="dxa"/>
            <w:tcBorders>
              <w:top w:val="single" w:sz="12" w:space="0" w:color="24797D"/>
              <w:left w:val="single" w:sz="12" w:space="0" w:color="24797D"/>
              <w:bottom w:val="single" w:sz="12" w:space="0" w:color="24797D"/>
              <w:right w:val="single" w:sz="12" w:space="0" w:color="24797D"/>
            </w:tcBorders>
            <w:shd w:val="clear" w:color="auto" w:fill="E8F4F3"/>
            <w:tcMar>
              <w:top w:w="90" w:type="dxa"/>
              <w:left w:w="90" w:type="dxa"/>
              <w:bottom w:w="90" w:type="dxa"/>
              <w:right w:w="90" w:type="dxa"/>
            </w:tcMar>
            <w:vAlign w:val="center"/>
          </w:tcPr>
          <w:p w14:paraId="2C94EECF" w14:textId="77777777" w:rsidR="001E1667" w:rsidRPr="001E1667" w:rsidRDefault="001E1667" w:rsidP="007B2582">
            <w:pPr>
              <w:spacing w:after="0" w:line="360" w:lineRule="auto"/>
              <w:jc w:val="center"/>
              <w:rPr>
                <w:sz w:val="18"/>
                <w:szCs w:val="18"/>
              </w:rPr>
            </w:pPr>
            <w:r w:rsidRPr="001E1667">
              <w:rPr>
                <w:sz w:val="18"/>
                <w:szCs w:val="18"/>
              </w:rPr>
              <w:t>2 Retrieve and screen</w:t>
            </w:r>
            <w:r w:rsidRPr="001E1667">
              <w:rPr>
                <w:sz w:val="18"/>
                <w:szCs w:val="18"/>
              </w:rPr>
              <w:br/>
              <w:t>Official documents; inclusion log</w:t>
            </w:r>
          </w:p>
        </w:tc>
        <w:tc>
          <w:tcPr>
            <w:tcW w:w="463" w:type="dxa"/>
            <w:tcBorders>
              <w:top w:val="nil"/>
              <w:left w:val="nil"/>
              <w:bottom w:val="nil"/>
              <w:right w:val="nil"/>
            </w:tcBorders>
            <w:shd w:val="clear" w:color="auto" w:fill="FFFFFF"/>
            <w:tcMar>
              <w:top w:w="90" w:type="dxa"/>
              <w:left w:w="90" w:type="dxa"/>
              <w:bottom w:w="90" w:type="dxa"/>
              <w:right w:w="90" w:type="dxa"/>
            </w:tcMar>
            <w:vAlign w:val="center"/>
          </w:tcPr>
          <w:p w14:paraId="689A4E38" w14:textId="77777777" w:rsidR="001E1667" w:rsidRPr="001E1667" w:rsidRDefault="001E1667" w:rsidP="007B2582">
            <w:pPr>
              <w:spacing w:after="0" w:line="360" w:lineRule="auto"/>
              <w:jc w:val="center"/>
              <w:rPr>
                <w:sz w:val="18"/>
                <w:szCs w:val="18"/>
              </w:rPr>
            </w:pPr>
            <w:r w:rsidRPr="001E1667">
              <w:rPr>
                <w:sz w:val="18"/>
                <w:szCs w:val="18"/>
              </w:rPr>
              <w:t>→</w:t>
            </w:r>
          </w:p>
        </w:tc>
        <w:tc>
          <w:tcPr>
            <w:tcW w:w="2883" w:type="dxa"/>
            <w:tcBorders>
              <w:top w:val="single" w:sz="12" w:space="0" w:color="4D8E5A"/>
              <w:left w:val="single" w:sz="12" w:space="0" w:color="4D8E5A"/>
              <w:bottom w:val="single" w:sz="12" w:space="0" w:color="4D8E5A"/>
              <w:right w:val="single" w:sz="12" w:space="0" w:color="4D8E5A"/>
            </w:tcBorders>
            <w:shd w:val="clear" w:color="auto" w:fill="EEF5EC"/>
            <w:tcMar>
              <w:top w:w="90" w:type="dxa"/>
              <w:left w:w="90" w:type="dxa"/>
              <w:bottom w:w="90" w:type="dxa"/>
              <w:right w:w="90" w:type="dxa"/>
            </w:tcMar>
            <w:vAlign w:val="center"/>
          </w:tcPr>
          <w:p w14:paraId="02B79E14" w14:textId="77777777" w:rsidR="001E1667" w:rsidRPr="001E1667" w:rsidRDefault="001E1667" w:rsidP="007B2582">
            <w:pPr>
              <w:spacing w:after="0" w:line="360" w:lineRule="auto"/>
              <w:jc w:val="center"/>
              <w:rPr>
                <w:sz w:val="18"/>
                <w:szCs w:val="18"/>
              </w:rPr>
            </w:pPr>
            <w:r w:rsidRPr="001E1667">
              <w:rPr>
                <w:sz w:val="18"/>
                <w:szCs w:val="18"/>
              </w:rPr>
              <w:t>3 Record and code</w:t>
            </w:r>
            <w:r w:rsidRPr="001E1667">
              <w:rPr>
                <w:sz w:val="18"/>
                <w:szCs w:val="18"/>
              </w:rPr>
              <w:br/>
              <w:t>Search hits read in context</w:t>
            </w:r>
          </w:p>
        </w:tc>
      </w:tr>
      <w:tr w:rsidR="001E1667" w:rsidRPr="001E1667" w14:paraId="7F314664" w14:textId="77777777" w:rsidTr="001E1667">
        <w:trPr>
          <w:trHeight w:val="217"/>
          <w:jc w:val="center"/>
        </w:trPr>
        <w:tc>
          <w:tcPr>
            <w:tcW w:w="2883" w:type="dxa"/>
            <w:tcBorders>
              <w:top w:val="nil"/>
              <w:left w:val="nil"/>
              <w:bottom w:val="nil"/>
              <w:right w:val="nil"/>
            </w:tcBorders>
            <w:shd w:val="clear" w:color="auto" w:fill="FFFFFF"/>
            <w:tcMar>
              <w:top w:w="90" w:type="dxa"/>
              <w:left w:w="90" w:type="dxa"/>
              <w:bottom w:w="90" w:type="dxa"/>
              <w:right w:w="90" w:type="dxa"/>
            </w:tcMar>
            <w:vAlign w:val="center"/>
          </w:tcPr>
          <w:p w14:paraId="56BE3258" w14:textId="77777777" w:rsidR="001E1667" w:rsidRPr="001E1667" w:rsidRDefault="001E1667" w:rsidP="007B2582">
            <w:pPr>
              <w:spacing w:after="0" w:line="360" w:lineRule="auto"/>
              <w:jc w:val="left"/>
              <w:rPr>
                <w:sz w:val="18"/>
                <w:szCs w:val="18"/>
              </w:rPr>
            </w:pPr>
          </w:p>
        </w:tc>
        <w:tc>
          <w:tcPr>
            <w:tcW w:w="463" w:type="dxa"/>
            <w:tcBorders>
              <w:top w:val="nil"/>
              <w:left w:val="nil"/>
              <w:bottom w:val="nil"/>
              <w:right w:val="nil"/>
            </w:tcBorders>
            <w:shd w:val="clear" w:color="auto" w:fill="FFFFFF"/>
            <w:tcMar>
              <w:top w:w="90" w:type="dxa"/>
              <w:left w:w="90" w:type="dxa"/>
              <w:bottom w:w="90" w:type="dxa"/>
              <w:right w:w="90" w:type="dxa"/>
            </w:tcMar>
            <w:vAlign w:val="center"/>
          </w:tcPr>
          <w:p w14:paraId="599E4A49" w14:textId="77777777" w:rsidR="001E1667" w:rsidRPr="001E1667" w:rsidRDefault="001E1667" w:rsidP="007B2582">
            <w:pPr>
              <w:spacing w:after="0" w:line="360" w:lineRule="auto"/>
              <w:jc w:val="left"/>
              <w:rPr>
                <w:sz w:val="18"/>
                <w:szCs w:val="18"/>
              </w:rPr>
            </w:pPr>
          </w:p>
        </w:tc>
        <w:tc>
          <w:tcPr>
            <w:tcW w:w="2883" w:type="dxa"/>
            <w:tcBorders>
              <w:top w:val="nil"/>
              <w:left w:val="nil"/>
              <w:bottom w:val="nil"/>
              <w:right w:val="nil"/>
            </w:tcBorders>
            <w:shd w:val="clear" w:color="auto" w:fill="FFFFFF"/>
            <w:tcMar>
              <w:top w:w="90" w:type="dxa"/>
              <w:left w:w="90" w:type="dxa"/>
              <w:bottom w:w="90" w:type="dxa"/>
              <w:right w:w="90" w:type="dxa"/>
            </w:tcMar>
            <w:vAlign w:val="center"/>
          </w:tcPr>
          <w:p w14:paraId="2894B713" w14:textId="77777777" w:rsidR="001E1667" w:rsidRPr="001E1667" w:rsidRDefault="001E1667" w:rsidP="007B2582">
            <w:pPr>
              <w:spacing w:after="0" w:line="360" w:lineRule="auto"/>
              <w:jc w:val="left"/>
              <w:rPr>
                <w:sz w:val="18"/>
                <w:szCs w:val="18"/>
              </w:rPr>
            </w:pPr>
          </w:p>
        </w:tc>
        <w:tc>
          <w:tcPr>
            <w:tcW w:w="463" w:type="dxa"/>
            <w:tcBorders>
              <w:top w:val="nil"/>
              <w:left w:val="nil"/>
              <w:bottom w:val="nil"/>
              <w:right w:val="nil"/>
            </w:tcBorders>
            <w:shd w:val="clear" w:color="auto" w:fill="FFFFFF"/>
            <w:tcMar>
              <w:top w:w="90" w:type="dxa"/>
              <w:left w:w="90" w:type="dxa"/>
              <w:bottom w:w="90" w:type="dxa"/>
              <w:right w:w="90" w:type="dxa"/>
            </w:tcMar>
            <w:vAlign w:val="center"/>
          </w:tcPr>
          <w:p w14:paraId="6C402499" w14:textId="77777777" w:rsidR="001E1667" w:rsidRPr="001E1667" w:rsidRDefault="001E1667" w:rsidP="007B2582">
            <w:pPr>
              <w:spacing w:after="0" w:line="360" w:lineRule="auto"/>
              <w:jc w:val="left"/>
              <w:rPr>
                <w:sz w:val="18"/>
                <w:szCs w:val="18"/>
              </w:rPr>
            </w:pPr>
          </w:p>
        </w:tc>
        <w:tc>
          <w:tcPr>
            <w:tcW w:w="2883" w:type="dxa"/>
            <w:tcBorders>
              <w:top w:val="nil"/>
              <w:left w:val="nil"/>
              <w:bottom w:val="nil"/>
              <w:right w:val="nil"/>
            </w:tcBorders>
            <w:shd w:val="clear" w:color="auto" w:fill="FFFFFF"/>
            <w:tcMar>
              <w:top w:w="90" w:type="dxa"/>
              <w:left w:w="90" w:type="dxa"/>
              <w:bottom w:w="90" w:type="dxa"/>
              <w:right w:w="90" w:type="dxa"/>
            </w:tcMar>
            <w:vAlign w:val="center"/>
          </w:tcPr>
          <w:p w14:paraId="73C8F378" w14:textId="77777777" w:rsidR="001E1667" w:rsidRPr="001E1667" w:rsidRDefault="001E1667" w:rsidP="007B2582">
            <w:pPr>
              <w:spacing w:after="0" w:line="360" w:lineRule="auto"/>
              <w:jc w:val="left"/>
              <w:rPr>
                <w:sz w:val="18"/>
                <w:szCs w:val="18"/>
              </w:rPr>
            </w:pPr>
            <w:r w:rsidRPr="001E1667">
              <w:rPr>
                <w:sz w:val="18"/>
                <w:szCs w:val="18"/>
              </w:rPr>
              <w:t>↓</w:t>
            </w:r>
          </w:p>
        </w:tc>
      </w:tr>
      <w:tr w:rsidR="001E1667" w:rsidRPr="001E1667" w14:paraId="44D24FBA" w14:textId="77777777" w:rsidTr="001E1667">
        <w:trPr>
          <w:trHeight w:val="707"/>
          <w:jc w:val="center"/>
        </w:trPr>
        <w:tc>
          <w:tcPr>
            <w:tcW w:w="2883" w:type="dxa"/>
            <w:tcBorders>
              <w:top w:val="single" w:sz="12" w:space="0" w:color="173653"/>
              <w:left w:val="single" w:sz="12" w:space="0" w:color="173653"/>
              <w:bottom w:val="single" w:sz="12" w:space="0" w:color="173653"/>
              <w:right w:val="single" w:sz="12" w:space="0" w:color="173653"/>
            </w:tcBorders>
            <w:shd w:val="clear" w:color="auto" w:fill="E8F0F6"/>
            <w:tcMar>
              <w:top w:w="90" w:type="dxa"/>
              <w:left w:w="90" w:type="dxa"/>
              <w:bottom w:w="90" w:type="dxa"/>
              <w:right w:w="90" w:type="dxa"/>
            </w:tcMar>
            <w:vAlign w:val="center"/>
          </w:tcPr>
          <w:p w14:paraId="206657A7" w14:textId="77777777" w:rsidR="001E1667" w:rsidRPr="001E1667" w:rsidRDefault="001E1667" w:rsidP="007B2582">
            <w:pPr>
              <w:spacing w:after="0" w:line="360" w:lineRule="auto"/>
              <w:jc w:val="left"/>
              <w:rPr>
                <w:sz w:val="18"/>
                <w:szCs w:val="18"/>
              </w:rPr>
            </w:pPr>
            <w:r w:rsidRPr="001E1667">
              <w:rPr>
                <w:sz w:val="18"/>
                <w:szCs w:val="18"/>
              </w:rPr>
              <w:t>6 Answer RQs</w:t>
            </w:r>
            <w:r w:rsidRPr="001E1667">
              <w:rPr>
                <w:sz w:val="18"/>
                <w:szCs w:val="18"/>
              </w:rPr>
              <w:br/>
              <w:t>Bounded claim and evidence strength</w:t>
            </w:r>
          </w:p>
        </w:tc>
        <w:tc>
          <w:tcPr>
            <w:tcW w:w="463" w:type="dxa"/>
            <w:tcBorders>
              <w:top w:val="nil"/>
              <w:left w:val="nil"/>
              <w:bottom w:val="nil"/>
              <w:right w:val="nil"/>
            </w:tcBorders>
            <w:shd w:val="clear" w:color="auto" w:fill="FFFFFF"/>
            <w:tcMar>
              <w:top w:w="90" w:type="dxa"/>
              <w:left w:w="90" w:type="dxa"/>
              <w:bottom w:w="90" w:type="dxa"/>
              <w:right w:w="90" w:type="dxa"/>
            </w:tcMar>
            <w:vAlign w:val="center"/>
          </w:tcPr>
          <w:p w14:paraId="113D55BF" w14:textId="77777777" w:rsidR="001E1667" w:rsidRPr="001E1667" w:rsidRDefault="001E1667" w:rsidP="007B2582">
            <w:pPr>
              <w:spacing w:after="0" w:line="360" w:lineRule="auto"/>
              <w:jc w:val="left"/>
              <w:rPr>
                <w:sz w:val="18"/>
                <w:szCs w:val="18"/>
              </w:rPr>
            </w:pPr>
            <w:r w:rsidRPr="001E1667">
              <w:rPr>
                <w:sz w:val="18"/>
                <w:szCs w:val="18"/>
              </w:rPr>
              <w:t>←</w:t>
            </w:r>
          </w:p>
        </w:tc>
        <w:tc>
          <w:tcPr>
            <w:tcW w:w="2883" w:type="dxa"/>
            <w:tcBorders>
              <w:top w:val="single" w:sz="12" w:space="0" w:color="24797D"/>
              <w:left w:val="single" w:sz="12" w:space="0" w:color="24797D"/>
              <w:bottom w:val="single" w:sz="12" w:space="0" w:color="24797D"/>
              <w:right w:val="single" w:sz="12" w:space="0" w:color="24797D"/>
            </w:tcBorders>
            <w:shd w:val="clear" w:color="auto" w:fill="E8F4F3"/>
            <w:tcMar>
              <w:top w:w="90" w:type="dxa"/>
              <w:left w:w="90" w:type="dxa"/>
              <w:bottom w:w="90" w:type="dxa"/>
              <w:right w:w="90" w:type="dxa"/>
            </w:tcMar>
            <w:vAlign w:val="center"/>
          </w:tcPr>
          <w:p w14:paraId="790F3D13" w14:textId="77777777" w:rsidR="001E1667" w:rsidRPr="001E1667" w:rsidRDefault="001E1667" w:rsidP="007B2582">
            <w:pPr>
              <w:spacing w:after="0" w:line="360" w:lineRule="auto"/>
              <w:jc w:val="left"/>
              <w:rPr>
                <w:sz w:val="18"/>
                <w:szCs w:val="18"/>
              </w:rPr>
            </w:pPr>
            <w:r w:rsidRPr="001E1667">
              <w:rPr>
                <w:sz w:val="18"/>
                <w:szCs w:val="18"/>
              </w:rPr>
              <w:t>5 Develop themes</w:t>
            </w:r>
            <w:r w:rsidRPr="001E1667">
              <w:rPr>
                <w:sz w:val="18"/>
                <w:szCs w:val="18"/>
              </w:rPr>
              <w:br/>
              <w:t>Patterns, gaps and qualifying records</w:t>
            </w:r>
          </w:p>
        </w:tc>
        <w:tc>
          <w:tcPr>
            <w:tcW w:w="463" w:type="dxa"/>
            <w:tcBorders>
              <w:top w:val="nil"/>
              <w:left w:val="nil"/>
              <w:bottom w:val="nil"/>
              <w:right w:val="nil"/>
            </w:tcBorders>
            <w:shd w:val="clear" w:color="auto" w:fill="FFFFFF"/>
            <w:tcMar>
              <w:top w:w="90" w:type="dxa"/>
              <w:left w:w="90" w:type="dxa"/>
              <w:bottom w:w="90" w:type="dxa"/>
              <w:right w:w="90" w:type="dxa"/>
            </w:tcMar>
            <w:vAlign w:val="center"/>
          </w:tcPr>
          <w:p w14:paraId="58A7070C" w14:textId="77777777" w:rsidR="001E1667" w:rsidRPr="001E1667" w:rsidRDefault="001E1667" w:rsidP="007B2582">
            <w:pPr>
              <w:spacing w:after="0" w:line="360" w:lineRule="auto"/>
              <w:jc w:val="left"/>
              <w:rPr>
                <w:sz w:val="18"/>
                <w:szCs w:val="18"/>
              </w:rPr>
            </w:pPr>
            <w:r w:rsidRPr="001E1667">
              <w:rPr>
                <w:sz w:val="18"/>
                <w:szCs w:val="18"/>
              </w:rPr>
              <w:t>←</w:t>
            </w:r>
          </w:p>
        </w:tc>
        <w:tc>
          <w:tcPr>
            <w:tcW w:w="2883" w:type="dxa"/>
            <w:tcBorders>
              <w:top w:val="single" w:sz="12" w:space="0" w:color="C89322"/>
              <w:left w:val="single" w:sz="12" w:space="0" w:color="C89322"/>
              <w:bottom w:val="single" w:sz="12" w:space="0" w:color="C89322"/>
              <w:right w:val="single" w:sz="12" w:space="0" w:color="C89322"/>
            </w:tcBorders>
            <w:shd w:val="clear" w:color="auto" w:fill="FBF3DF"/>
            <w:tcMar>
              <w:top w:w="90" w:type="dxa"/>
              <w:left w:w="90" w:type="dxa"/>
              <w:bottom w:w="90" w:type="dxa"/>
              <w:right w:w="90" w:type="dxa"/>
            </w:tcMar>
            <w:vAlign w:val="center"/>
          </w:tcPr>
          <w:p w14:paraId="1AC64F06" w14:textId="77777777" w:rsidR="001E1667" w:rsidRPr="001E1667" w:rsidRDefault="001E1667" w:rsidP="007B2582">
            <w:pPr>
              <w:spacing w:after="0" w:line="360" w:lineRule="auto"/>
              <w:jc w:val="left"/>
              <w:rPr>
                <w:sz w:val="18"/>
                <w:szCs w:val="18"/>
              </w:rPr>
            </w:pPr>
            <w:r w:rsidRPr="001E1667">
              <w:rPr>
                <w:sz w:val="18"/>
                <w:szCs w:val="18"/>
              </w:rPr>
              <w:t>4 Compare evidence</w:t>
            </w:r>
            <w:r w:rsidRPr="001E1667">
              <w:rPr>
                <w:sz w:val="18"/>
                <w:szCs w:val="18"/>
              </w:rPr>
              <w:br/>
              <w:t>Across years, sources and metric scope</w:t>
            </w:r>
          </w:p>
        </w:tc>
      </w:tr>
    </w:tbl>
    <w:p w14:paraId="53497566" w14:textId="77777777" w:rsidR="001E1667" w:rsidRPr="001E1667" w:rsidRDefault="001E1667" w:rsidP="001E1667">
      <w:pPr>
        <w:spacing w:line="360" w:lineRule="auto"/>
        <w:jc w:val="center"/>
        <w:rPr>
          <w:sz w:val="18"/>
          <w:szCs w:val="18"/>
        </w:rPr>
      </w:pPr>
    </w:p>
    <w:tbl>
      <w:tblPr>
        <w:tblW w:w="8506" w:type="dxa"/>
        <w:jc w:val="center"/>
        <w:tblBorders>
          <w:top w:val="nil"/>
          <w:left w:val="nil"/>
          <w:bottom w:val="nil"/>
          <w:right w:val="nil"/>
          <w:insideH w:val="nil"/>
          <w:insideV w:val="nil"/>
        </w:tblBorders>
        <w:tblLayout w:type="fixed"/>
        <w:tblLook w:val="04A0" w:firstRow="1" w:lastRow="0" w:firstColumn="1" w:lastColumn="0" w:noHBand="0" w:noVBand="1"/>
      </w:tblPr>
      <w:tblGrid>
        <w:gridCol w:w="8506"/>
      </w:tblGrid>
      <w:tr w:rsidR="001E1667" w14:paraId="0FDCD333" w14:textId="77777777" w:rsidTr="001E1667">
        <w:trPr>
          <w:trHeight w:val="212"/>
          <w:tblHeader/>
          <w:jc w:val="center"/>
        </w:trPr>
        <w:tc>
          <w:tcPr>
            <w:tcW w:w="8506" w:type="dxa"/>
            <w:tcBorders>
              <w:top w:val="nil"/>
              <w:left w:val="nil"/>
              <w:bottom w:val="single" w:sz="12" w:space="0" w:color="24797D"/>
              <w:right w:val="nil"/>
            </w:tcBorders>
            <w:shd w:val="clear" w:color="auto" w:fill="FFFFFF"/>
            <w:tcMar>
              <w:top w:w="90" w:type="dxa"/>
              <w:left w:w="90" w:type="dxa"/>
              <w:bottom w:w="90" w:type="dxa"/>
              <w:right w:w="90" w:type="dxa"/>
            </w:tcMar>
            <w:vAlign w:val="center"/>
          </w:tcPr>
          <w:p w14:paraId="4429BA4C" w14:textId="77777777" w:rsidR="001E1667" w:rsidRDefault="001E1667" w:rsidP="007B2582">
            <w:pPr>
              <w:spacing w:after="0" w:line="360" w:lineRule="auto"/>
              <w:jc w:val="center"/>
            </w:pPr>
            <w:r>
              <w:rPr>
                <w:rFonts w:eastAsia="Arial" w:cs="Arial"/>
                <w:b/>
                <w:color w:val="24797D"/>
                <w:sz w:val="22"/>
              </w:rPr>
              <w:t>Audit trail retained at every stage</w:t>
            </w:r>
          </w:p>
        </w:tc>
      </w:tr>
    </w:tbl>
    <w:p w14:paraId="2E4F1EB0" w14:textId="77777777" w:rsidR="001E1667" w:rsidRPr="00720668" w:rsidRDefault="001E1667" w:rsidP="001E1667">
      <w:pPr>
        <w:spacing w:line="360" w:lineRule="auto"/>
        <w:rPr>
          <w:rFonts w:cs="Arial"/>
          <w:szCs w:val="24"/>
        </w:rPr>
      </w:pPr>
    </w:p>
    <w:p w14:paraId="4561BF0E" w14:textId="77777777" w:rsidR="00720668" w:rsidRPr="00720668" w:rsidRDefault="00720668" w:rsidP="00DC1B7D">
      <w:pPr>
        <w:spacing w:line="360" w:lineRule="auto"/>
        <w:rPr>
          <w:rFonts w:cs="Arial"/>
          <w:szCs w:val="24"/>
        </w:rPr>
      </w:pPr>
      <w:r>
        <w:t>The analysis proceeded in six stages. First, the organisation, reporting period and evidential boundary were fixed. Second, official documents were retrieved and screened against the inclusion rules. Third, candidate passages were found through the search dictionary, read in context and entered in the evidence matrix with source, page, wording, measure, scope and code. Fourth, records were compared across years and document types, with non-comparable definitions flagged. Fifth, recurring patterns were grouped into themes and checked against omissions and qualifying evidence. Sixth, each theme was assessed against the three research questions and assigned a bounded evidence judgement.</w:t>
      </w:r>
    </w:p>
    <w:p w14:paraId="51EB4451" w14:textId="77777777" w:rsidR="00720668" w:rsidRPr="00720668" w:rsidRDefault="00720668" w:rsidP="00DC1B7D">
      <w:pPr>
        <w:spacing w:line="360" w:lineRule="auto"/>
        <w:rPr>
          <w:rFonts w:cs="Arial"/>
          <w:szCs w:val="24"/>
        </w:rPr>
      </w:pPr>
      <w:r>
        <w:t xml:space="preserve">The coding unit was a coherent item of evidence: a paragraph, table entry, chart annotation or connected passage. Context was retained where it altered meaning. For example, the 2022 supplier record combined numbers assessed, completed or continuing remediation, and terminated relationships; these elements were coded separately rather than reduced to one audit count (Bunzl plc, 2022b, p. 53). In the 2025 customer case, engagement with 331 existing and potential customers and a reported RFP win were </w:t>
      </w:r>
      <w:r>
        <w:lastRenderedPageBreak/>
        <w:t>coded as reach and commercial proxy, not as a satisfaction measure (Bunzl plc, 2025b, p. 54). Appendix A reproduces the decision trail.</w:t>
      </w:r>
    </w:p>
    <w:p w14:paraId="49A8B529" w14:textId="77777777" w:rsidR="00720668" w:rsidRPr="00720668" w:rsidRDefault="00720668" w:rsidP="00DC1B7D">
      <w:pPr>
        <w:spacing w:line="360" w:lineRule="auto"/>
        <w:rPr>
          <w:rFonts w:cs="Arial"/>
          <w:szCs w:val="24"/>
        </w:rPr>
      </w:pPr>
      <w:r>
        <w:t>Four final themes were retained: (1) formalisation of responsible sourcing; (2) product and material transition; (3) environmental efficiency and the limits of operational attribution; and (4) customer-facing sustainability capability without direct Group-wide satisfaction evidence. Qualifying conditions such as remediation quality, price, functionality, execution and acquisitions were kept within the relevant theme and used when answering RQ2 or RQ3; they were not treated as a separate research question.</w:t>
      </w:r>
    </w:p>
    <w:p w14:paraId="683AC8A6" w14:textId="77777777" w:rsidR="00AB2427" w:rsidRDefault="00130A17" w:rsidP="00DC1B7D">
      <w:pPr>
        <w:spacing w:line="360" w:lineRule="auto"/>
      </w:pPr>
      <w:r>
        <w:t>Theme development followed the coded records rather than the order of the reports. The responsible-sourcing theme emerged because standards, assessment totals, remediation and termination recurred across policy, annual and sustainability documents. The records were grouped only after their roles had been distinguished: standards described expectations, assessments demonstrated process reach, remediation indicated a response and termination showed a sourcing consequence. The final theme was therefore named around formalisation and reach, not around improved labour conditions, because consistent outcome evidence was not available.</w:t>
      </w:r>
    </w:p>
    <w:p w14:paraId="32307195" w14:textId="77777777" w:rsidR="00AB2427" w:rsidRDefault="00130A17" w:rsidP="00DC1B7D">
      <w:pPr>
        <w:spacing w:line="360" w:lineRule="auto"/>
      </w:pPr>
      <w:r>
        <w:t>The customer theme was refined in a similar way. An initial broad category combined engagement, product transitions, contract examples and customer statements. Comparison showed that these records did not measure the same construct. They were separated into reach, behavioural or commercial proxy, direct qualitative feedback and narrative claim. The final theme retained the common customer-facing capability but explicitly stated that satisfaction was not measured directly at Group level. This refinement is visible in Table 3.2 and Appendix A and explains why the wording of the theme is narrower than the language used in some corporate cases.</w:t>
      </w:r>
    </w:p>
    <w:p w14:paraId="07821C7A" w14:textId="77777777" w:rsidR="00AB2427" w:rsidRDefault="00130A17" w:rsidP="00DC1B7D">
      <w:pPr>
        <w:spacing w:line="360" w:lineRule="auto"/>
      </w:pPr>
      <w:r>
        <w:t xml:space="preserve">A short decision memo was retained for each final theme. It recorded the strongest supporting evidence, the principal qualifying record, the research question addressed and the claim that the evidence could support. The memo for environmental efficiency, for instance, paired the emissions indicators with the 2025 decline in adjusted operating profit and margin. The financial result was not coded as evidence against carbon improvement; it was retained because it limited the inference that environmental progress had produced </w:t>
      </w:r>
      <w:r>
        <w:lastRenderedPageBreak/>
        <w:t>stronger aggregate performance. This comparison linked coding to interpretation and made inconvenient evidence part of the analysis.</w:t>
      </w:r>
    </w:p>
    <w:p w14:paraId="258B2267" w14:textId="77777777" w:rsidR="00720668" w:rsidRPr="00720668" w:rsidRDefault="00720668" w:rsidP="00DC1B7D">
      <w:pPr>
        <w:pStyle w:val="Heading2"/>
        <w:jc w:val="left"/>
      </w:pPr>
      <w:bookmarkStart w:id="73" w:name="_Toc237017793"/>
      <w:bookmarkStart w:id="74" w:name="_Toc238218132"/>
      <w:bookmarkEnd w:id="73"/>
      <w:r>
        <w:t>3.8 Appraising evidence and trustworthiness</w:t>
      </w:r>
      <w:bookmarkEnd w:id="74"/>
    </w:p>
    <w:p w14:paraId="65B39817" w14:textId="77777777" w:rsidR="00AB2427" w:rsidRDefault="00130A17" w:rsidP="00DC1B7D">
      <w:pPr>
        <w:spacing w:line="360" w:lineRule="auto"/>
      </w:pPr>
      <w:r>
        <w:t>Corporate documents are useful but interested sources. Each substantive claim was assessed against four questions. Provenance asked whether the record came from a formal report, policy, metric or identified case. Specificity asked whether the period, unit, baseline and organisational scope were clear. Convergence asked whether the direction or process appeared across years or document types. Attribution asked whether the record demonstrated an outcome, supported only a plausible mechanism, or represented a management claim.</w:t>
      </w:r>
    </w:p>
    <w:p w14:paraId="35DE9FEB" w14:textId="77777777" w:rsidR="00AB2427" w:rsidRDefault="00130A17" w:rsidP="00DC1B7D">
      <w:pPr>
        <w:spacing w:line="360" w:lineRule="auto"/>
      </w:pPr>
      <w:r>
        <w:t>The cross-source matrix used three evidence judgements. "Stronger" evidence had a defined measure and consistent longitudinal or cross-document support; it did not mean independently proven causality. "Moderate" evidence combined a plausible mechanism with a proxy or more than one example. "Limited" evidence relied on a selected narrative, an unclear definition or a material absence. Appendix A shows how these judgements were reached for supplier, carbon, financial and customer records.</w:t>
      </w:r>
    </w:p>
    <w:p w14:paraId="38A9D3FC" w14:textId="77777777" w:rsidR="00AB2427" w:rsidRDefault="00130A17" w:rsidP="00DC1B7D">
      <w:pPr>
        <w:spacing w:line="360" w:lineRule="auto"/>
      </w:pPr>
      <w:r>
        <w:t>Credibility was supported by comparison across years and by retaining qualifying evidence. Dependability came from a stable corpus, explicit codebook and recorded sequence of decisions. Confirmability was strengthened by separating source statements from researcher interpretation and retaining page or section references. Transferability is analytical rather than statistical: the case and distributor setting are described so that readers can judge relevance to similar organisations (Lincoln and Guba, 1985).</w:t>
      </w:r>
    </w:p>
    <w:p w14:paraId="66364DAD" w14:textId="77777777" w:rsidR="00AB2427" w:rsidRDefault="00130A17" w:rsidP="00DC1B7D">
      <w:pPr>
        <w:spacing w:line="360" w:lineRule="auto"/>
      </w:pPr>
      <w:r>
        <w:t>The 2025 evidence was particularly important. Supplier coverage, portfolio and carbon indicators improved, while adjusted operating profit fell by 4.3% at constant exchange rates and operating margin declined from 8.3% to 7.7% (Bunzl plc, 2025a). This pattern does not show that SSCM harmed performance. It does prevent the analysis from presenting SSCM as a sufficient explanation of aggregate results.</w:t>
      </w:r>
    </w:p>
    <w:p w14:paraId="4C4ECB9A" w14:textId="77777777" w:rsidR="00AB2427" w:rsidRDefault="00130A17" w:rsidP="00DC1B7D">
      <w:pPr>
        <w:spacing w:line="360" w:lineRule="auto"/>
      </w:pPr>
      <w:r>
        <w:t xml:space="preserve">The evidence judgements can be illustrated by three records. The reported emissions indicators were judged stronger for environmental direction because they specified a </w:t>
      </w:r>
      <w:r>
        <w:lastRenderedPageBreak/>
        <w:t>baseline, unit, period and movement, although they remained company-reported. Supplier assessment totals were judged stronger for process reach but limited for ultimate social or operational outcomes because closure quality and recurrence were not reported consistently. Customer engagement was judged a moderate proxy for market-facing activity and limited evidence of satisfaction because the count included potential customers and contained no evaluative scale.</w:t>
      </w:r>
    </w:p>
    <w:p w14:paraId="05E5A00D" w14:textId="77777777" w:rsidR="00AB2427" w:rsidRDefault="00130A17" w:rsidP="00DC1B7D">
      <w:pPr>
        <w:spacing w:line="360" w:lineRule="auto"/>
      </w:pPr>
      <w:r>
        <w:t>Convergence was assessed across different source roles, not simply across file titles. A policy and a sustainability report could support implementation when the former stated a requirement and the latter reported an action against it. Two corporate reports repeating the same metric did not constitute independent corroboration. A qualifying or apparently inconsistent record was retained when its definition and scope were relevant. This rule explains why the 2025 financial result, acquisition effects and absence of a Group-wide satisfaction measure appear in the findings rather than being treated as gaps to be removed.</w:t>
      </w:r>
    </w:p>
    <w:p w14:paraId="5539C2AD" w14:textId="77777777" w:rsidR="00720668" w:rsidRPr="00720668" w:rsidRDefault="00720668" w:rsidP="00DC1B7D">
      <w:pPr>
        <w:pStyle w:val="Heading2"/>
        <w:jc w:val="left"/>
      </w:pPr>
      <w:bookmarkStart w:id="75" w:name="_Toc237017794"/>
      <w:bookmarkStart w:id="76" w:name="_Toc238218133"/>
      <w:r w:rsidRPr="00720668">
        <w:t>3.9 Ethics and researcher reflexivity</w:t>
      </w:r>
      <w:bookmarkEnd w:id="75"/>
      <w:bookmarkEnd w:id="76"/>
    </w:p>
    <w:p w14:paraId="23EE4A48" w14:textId="77777777" w:rsidR="00AB2427" w:rsidRDefault="00130A17" w:rsidP="00DC1B7D">
      <w:pPr>
        <w:spacing w:line="360" w:lineRule="auto"/>
      </w:pPr>
      <w:r>
        <w:t>The study used public documents and involved no human participants, intervention or personal data. Its ethical obligations were accurate representation, complete citation and proportionate inference. Company-reported claims are identified as such, and absence from the public corpus is not treated as evidence that a practice or outcome does not exist.</w:t>
      </w:r>
    </w:p>
    <w:p w14:paraId="07A4610F" w14:textId="00553BFD" w:rsidR="00AB2427" w:rsidRDefault="00130A17" w:rsidP="00DC1B7D">
      <w:pPr>
        <w:spacing w:line="360" w:lineRule="auto"/>
      </w:pPr>
      <w:r>
        <w:t>Reflexivity was necessary because an interest in sustainability could favour a positive business case. Three safeguards were used: supporting and qualifying records were coded; direct measures were separated from proxies; and alternative explanations were considered for each outcome claim. The 2025 financial result and the absence of a Group-wide satisfaction measure were therefore treated as findings, not discarded as inconvenient exceptions.</w:t>
      </w:r>
    </w:p>
    <w:p w14:paraId="60EB0E55" w14:textId="77777777" w:rsidR="001E1667" w:rsidRDefault="001E1667" w:rsidP="00DC1B7D">
      <w:pPr>
        <w:spacing w:line="360" w:lineRule="auto"/>
      </w:pPr>
    </w:p>
    <w:p w14:paraId="482C3911" w14:textId="77777777" w:rsidR="00720668" w:rsidRPr="00720668" w:rsidRDefault="00720668" w:rsidP="00DC1B7D">
      <w:pPr>
        <w:pStyle w:val="Heading2"/>
        <w:jc w:val="left"/>
      </w:pPr>
      <w:bookmarkStart w:id="77" w:name="_Toc237017795"/>
      <w:bookmarkStart w:id="78" w:name="_Toc238218134"/>
      <w:r w:rsidRPr="00720668">
        <w:lastRenderedPageBreak/>
        <w:t>3.10 Methodological limitations</w:t>
      </w:r>
      <w:bookmarkEnd w:id="77"/>
      <w:bookmarkEnd w:id="78"/>
    </w:p>
    <w:p w14:paraId="639618FD" w14:textId="77777777" w:rsidR="00AB2427" w:rsidRDefault="00130A17" w:rsidP="00DC1B7D">
      <w:pPr>
        <w:spacing w:line="360" w:lineRule="auto"/>
      </w:pPr>
      <w:r>
        <w:t>The study is limited by selective corporate disclosure, the absence of interviews and operational-system data, possible changes in indicator definitions, and the use of a single case. Public records cannot isolate SSCM from pricing, service quality, acquisitions, market conditions or wider organisational change. Customer and supplier interpretations cannot be independently tested, and selected case studies may over-represent successful examples.</w:t>
      </w:r>
    </w:p>
    <w:p w14:paraId="10499D9F" w14:textId="77777777" w:rsidR="00AB2427" w:rsidRDefault="00130A17" w:rsidP="00DC1B7D">
      <w:pPr>
        <w:spacing w:line="360" w:lineRule="auto"/>
      </w:pPr>
      <w:r>
        <w:t>These limits constrain the claims rather than invalidate the design. The study can identify reported practices, compare consistently defined measures, examine plausible mechanisms and reveal evidence gaps. It cannot certify underlying impacts, estimate a causal return on SSCM or generalise statistically. The recommendations in Chapter 6 respond directly to these measurement limits.</w:t>
      </w:r>
    </w:p>
    <w:p w14:paraId="73308BF7" w14:textId="77777777" w:rsidR="00720668" w:rsidRPr="00720668" w:rsidRDefault="00720668" w:rsidP="00DC1B7D">
      <w:pPr>
        <w:pStyle w:val="Heading2"/>
        <w:jc w:val="left"/>
      </w:pPr>
      <w:bookmarkStart w:id="79" w:name="_Toc237017796"/>
      <w:bookmarkStart w:id="80" w:name="_Toc238218135"/>
      <w:r w:rsidRPr="00720668">
        <w:t>3.11 Chapter summary</w:t>
      </w:r>
      <w:bookmarkEnd w:id="79"/>
      <w:bookmarkEnd w:id="80"/>
    </w:p>
    <w:p w14:paraId="28766D35" w14:textId="1A66F622" w:rsidR="00AB2427" w:rsidRDefault="00130A17" w:rsidP="00DC1B7D">
      <w:pPr>
        <w:spacing w:line="360" w:lineRule="auto"/>
      </w:pPr>
      <w:r>
        <w:t xml:space="preserve">The methodology combines a bounded documentary case, an explicit search-and-coding process, </w:t>
      </w:r>
      <w:r w:rsidR="00126D50">
        <w:t>and cross</w:t>
      </w:r>
      <w:r>
        <w:t>-year comparison and evidence-strength judgements. Tables 3.1 and 3.2 identify the corpus and coding rules, Figure 3.1 shows the sequence actually followed, and Appendix A demonstrates how source wording was converted into codes, themes and bounded claims.</w:t>
      </w:r>
    </w:p>
    <w:p w14:paraId="568A2D26" w14:textId="15F81329" w:rsidR="001E1667" w:rsidRDefault="001E1667" w:rsidP="00DC1B7D">
      <w:pPr>
        <w:spacing w:line="360" w:lineRule="auto"/>
      </w:pPr>
    </w:p>
    <w:p w14:paraId="6903B8C6" w14:textId="5DD39E9C" w:rsidR="001E1667" w:rsidRDefault="001E1667" w:rsidP="00DC1B7D">
      <w:pPr>
        <w:spacing w:line="360" w:lineRule="auto"/>
      </w:pPr>
    </w:p>
    <w:p w14:paraId="1A78BBCA" w14:textId="3869BFF7" w:rsidR="001E1667" w:rsidRDefault="001E1667" w:rsidP="00DC1B7D">
      <w:pPr>
        <w:spacing w:line="360" w:lineRule="auto"/>
      </w:pPr>
    </w:p>
    <w:p w14:paraId="4BF648F6" w14:textId="3627A52A" w:rsidR="001E1667" w:rsidRDefault="001E1667" w:rsidP="00DC1B7D">
      <w:pPr>
        <w:spacing w:line="360" w:lineRule="auto"/>
      </w:pPr>
    </w:p>
    <w:p w14:paraId="42ECBD45" w14:textId="5CA1DAA1" w:rsidR="001E1667" w:rsidRDefault="001E1667" w:rsidP="00DC1B7D">
      <w:pPr>
        <w:spacing w:line="360" w:lineRule="auto"/>
      </w:pPr>
    </w:p>
    <w:p w14:paraId="484D3F82" w14:textId="77777777" w:rsidR="001E1667" w:rsidRDefault="001E1667" w:rsidP="00DC1B7D">
      <w:pPr>
        <w:spacing w:line="360" w:lineRule="auto"/>
      </w:pPr>
    </w:p>
    <w:p w14:paraId="62484213" w14:textId="77777777" w:rsidR="00810F0C" w:rsidRPr="00810F0C" w:rsidRDefault="00810F0C" w:rsidP="00126D50">
      <w:pPr>
        <w:pStyle w:val="Heading1"/>
        <w:spacing w:line="360" w:lineRule="auto"/>
        <w:jc w:val="center"/>
      </w:pPr>
      <w:bookmarkStart w:id="81" w:name="_Toc237017797"/>
      <w:bookmarkStart w:id="82" w:name="_Toc238218136"/>
      <w:r w:rsidRPr="00810F0C">
        <w:lastRenderedPageBreak/>
        <w:t>Chapter 4: Data Analysis</w:t>
      </w:r>
      <w:bookmarkEnd w:id="81"/>
      <w:bookmarkEnd w:id="82"/>
    </w:p>
    <w:p w14:paraId="091BB91C" w14:textId="77777777" w:rsidR="00810F0C" w:rsidRPr="00810F0C" w:rsidRDefault="00810F0C" w:rsidP="00DC1B7D">
      <w:pPr>
        <w:pStyle w:val="Heading2"/>
        <w:jc w:val="left"/>
      </w:pPr>
      <w:bookmarkStart w:id="83" w:name="_Toc237017798"/>
      <w:bookmarkStart w:id="84" w:name="_Toc238218137"/>
      <w:r w:rsidRPr="00810F0C">
        <w:t>4.1 Introduction</w:t>
      </w:r>
      <w:bookmarkEnd w:id="83"/>
      <w:bookmarkEnd w:id="84"/>
    </w:p>
    <w:p w14:paraId="0799115C" w14:textId="77777777" w:rsidR="00AB2427" w:rsidRDefault="00130A17" w:rsidP="00DC1B7D">
      <w:pPr>
        <w:spacing w:line="360" w:lineRule="auto"/>
      </w:pPr>
      <w:r>
        <w:t>This chapter presents the results of the coded documentary analysis. Four themes organise the evidence rather than repeating each report chronologically. Each theme identifies the source pattern, shows how particular records were coded, explains its operational or customer relevance and states the limit of the claim. Appendix A provides sample matrix entries, while Table 4.1 brings the cross-source findings together.</w:t>
      </w:r>
    </w:p>
    <w:p w14:paraId="163BB404" w14:textId="77777777" w:rsidR="00810F0C" w:rsidRPr="00810F0C" w:rsidRDefault="00810F0C" w:rsidP="00DC1B7D">
      <w:pPr>
        <w:pStyle w:val="Heading2"/>
        <w:jc w:val="left"/>
      </w:pPr>
      <w:bookmarkStart w:id="85" w:name="_Toc237017799"/>
      <w:bookmarkStart w:id="86" w:name="_Toc238218138"/>
      <w:bookmarkEnd w:id="85"/>
      <w:r>
        <w:t>4.2 Theme 1: Responsible sourcing became more formalised and extensive</w:t>
      </w:r>
      <w:bookmarkEnd w:id="86"/>
    </w:p>
    <w:p w14:paraId="0B75BCC5" w14:textId="77777777" w:rsidR="00AB2427" w:rsidRDefault="00130A17" w:rsidP="00DC1B7D">
      <w:pPr>
        <w:spacing w:line="360" w:lineRule="auto"/>
      </w:pPr>
      <w:r>
        <w:t>The first theme is the formalisation and wider reach of supplier governance. Bunzl's Supplier Code of Conduct sets expectations for labour and human rights, environmental management, health and safety, ethics and management systems, including expectations passed to suppliers' own chains (Bunzl plc, 2023c). The Ethical Sourcing Policy describes a risk-based process involving assessment, corrective action and possible suspension or termination where sufficient improvement is not achieved (Bunzl plc, 2023d). These documents establish the governance structure; annual disclosures provide evidence of its use.</w:t>
      </w:r>
    </w:p>
    <w:p w14:paraId="3ED797B3" w14:textId="77777777" w:rsidR="00AB2427" w:rsidRDefault="00130A17" w:rsidP="00DC1B7D">
      <w:pPr>
        <w:spacing w:line="360" w:lineRule="auto"/>
      </w:pPr>
      <w:r>
        <w:t>In the 2022 report, the phrases "assessed 930 suppliers", "remediation" and "terminated relationships with 16 suppliers" were recorded as assessment coverage, corrective action and sourcing consequence, respectively (Bunzl plc, 2022b, p. 53). The same source reported that 834 suppliers had no critical issues, while 73 action plans were complete and seven remained in progress. In 2023, 1,022 suppliers were assessed and 66 required remediation (Bunzl plc, 2023a). The total reached 1,175 in 2024 and 1,430 in 2025; the proportion of high-risk-region spend from assessed and compliant suppliers increased from 89% to 93% over the final two years (Bunzl plc, 2024b; 2025a).</w:t>
      </w:r>
    </w:p>
    <w:p w14:paraId="6FE38877" w14:textId="77777777" w:rsidR="00AB2427" w:rsidRDefault="00130A17" w:rsidP="00DC1B7D">
      <w:pPr>
        <w:spacing w:line="360" w:lineRule="auto"/>
      </w:pPr>
      <w:r>
        <w:t xml:space="preserve">The longitudinal pattern demonstrates broader process coverage and disclosed follow-up. It does not by itself demonstrate that labour conditions improved across the supplier base, because the risk mix, finding severity, closure time and recurrence are not reported consistently. Termination does show that the process can affect a commercial </w:t>
      </w:r>
      <w:r>
        <w:lastRenderedPageBreak/>
        <w:t>relationship, while completed remediation provides more outcome-oriented evidence than an assessment count alone.</w:t>
      </w:r>
    </w:p>
    <w:p w14:paraId="06F7204A" w14:textId="77777777" w:rsidR="00AB2427" w:rsidRDefault="00130A17" w:rsidP="00DC1B7D">
      <w:pPr>
        <w:spacing w:line="360" w:lineRule="auto"/>
      </w:pPr>
      <w:r>
        <w:t>The 2025 sustainability disclosure adds a useful cross-check. Of the 1,430 suppliers assessed, 1,332 were reported as having no critical issues, 98 underwent remediation and four relationships were terminated after insufficient progress (Bunzl plc, 2025b, pp. 48-49). These figures show that the coding category "assessment" contained several possible decisions rather than a single positive result. They also show why annual cohorts cannot be treated as a simple success rate: the reports do not establish that supplier risk, sample composition and follow-up periods were identical from year to year.</w:t>
      </w:r>
    </w:p>
    <w:p w14:paraId="519E6F74" w14:textId="77777777" w:rsidR="00AB2427" w:rsidRDefault="00130A17" w:rsidP="00DC1B7D">
      <w:pPr>
        <w:spacing w:line="360" w:lineRule="auto"/>
      </w:pPr>
      <w:r>
        <w:t>The operational mechanism is improved risk visibility and response: standards define acceptable conditions, assessment identifies concerns and remediation or termination changes behaviour or sourcing. This may support regulatory readiness, continuity and reputational control, but no Group-wide financial or service effect is quantified. The evidence is therefore stronger for the existence and reach of supplier-assurance capability than for its ultimate social or operational impact. Visibility also remains greatest at Tier 1, with less comparable evidence further upstream.</w:t>
      </w:r>
    </w:p>
    <w:p w14:paraId="4626944D" w14:textId="77777777" w:rsidR="00AB2427" w:rsidRDefault="00130A17" w:rsidP="00DC1B7D">
      <w:pPr>
        <w:spacing w:line="360" w:lineRule="auto"/>
      </w:pPr>
      <w:r>
        <w:t>The coding trail clarifies how this theme was bounded. The 2022 source supplied four connected observations: 930 suppliers were assessed, 834 had no critical issue, 73 action plans were complete and 16 relationships were terminated. The first two observations were coded as process reach and screening result; completed or continuing action plans were coded as remediation status; and termination was coded as a sourcing consequence. The passage was not converted into a claim that 834 suppliers were socially sustainable, because the assessment scope, risk mix and longer-term recurrence were not established by that number.</w:t>
      </w:r>
    </w:p>
    <w:p w14:paraId="51141BAC" w14:textId="77777777" w:rsidR="00AB2427" w:rsidRDefault="00130A17" w:rsidP="00DC1B7D">
      <w:pPr>
        <w:spacing w:line="360" w:lineRule="auto"/>
      </w:pPr>
      <w:r>
        <w:t xml:space="preserve">Later figures were applied in the same way. The increase to 1,430 assessed suppliers in 2025 and the reported 93% of high-risk-region spend assessed and compliant demonstrate broader coverage under Bunzl's stated process. The 98 remediation cases and four terminations show that the system could produce differentiated responses rather than a pass-only narrative. However, annual totals are affected by the supplier population, assessment cycle and reporting boundary. The longitudinal pattern supports increased </w:t>
      </w:r>
      <w:r>
        <w:lastRenderedPageBreak/>
        <w:t>formalisation and reach; it does not by itself show the rate at which underlying conditions improved.</w:t>
      </w:r>
    </w:p>
    <w:p w14:paraId="0B767D30" w14:textId="77777777" w:rsidR="00810F0C" w:rsidRPr="00810F0C" w:rsidRDefault="00810F0C" w:rsidP="00DC1B7D">
      <w:pPr>
        <w:pStyle w:val="Heading2"/>
        <w:jc w:val="left"/>
      </w:pPr>
      <w:bookmarkStart w:id="87" w:name="_Toc237017800"/>
      <w:bookmarkStart w:id="88" w:name="_Toc238218139"/>
      <w:bookmarkEnd w:id="87"/>
      <w:r>
        <w:t>4.3 Theme 2: Product and material transition expanded</w:t>
      </w:r>
      <w:bookmarkEnd w:id="88"/>
    </w:p>
    <w:p w14:paraId="5BAD5CE6" w14:textId="77777777" w:rsidR="00AB2427" w:rsidRDefault="00130A17" w:rsidP="00DC1B7D">
      <w:pPr>
        <w:spacing w:line="360" w:lineRule="auto"/>
      </w:pPr>
      <w:r>
        <w:t>The second theme concerns movement in the product and material portfolio. In 2022, Bunzl reported that products made from alternative materials represented 53% of packaging sales and that 83% of Group revenue came from non-packaging products or packaging described as better suited to a circular economy (Bunzl plc, 2022b, p. 64). The alternative-material share of packaging sales reached 56% in 2024, while the broader revenue measure was 86% in 2024 and 87% in 2025, excluding acquisitions (Bunzl plc, 2024b; 2025a).</w:t>
      </w:r>
    </w:p>
    <w:p w14:paraId="24D1C1D1" w14:textId="77777777" w:rsidR="00AB2427" w:rsidRDefault="00130A17" w:rsidP="00DC1B7D">
      <w:pPr>
        <w:spacing w:line="360" w:lineRule="auto"/>
      </w:pPr>
      <w:r>
        <w:t>The search terms "alternative materials", "packaging" and "circular economy" located the relevant records. Sales share was coded as commercial adoption rather than environmental outcome because it shows what entered the portfolio and generated revenue. The direction across years indicates that product transition is embedded in the customer offer rather than confined to a small pilot.</w:t>
      </w:r>
    </w:p>
    <w:p w14:paraId="1E0535BC" w14:textId="77777777" w:rsidR="00AB2427" w:rsidRDefault="00130A17" w:rsidP="00DC1B7D">
      <w:pPr>
        <w:spacing w:line="360" w:lineRule="auto"/>
      </w:pPr>
      <w:r>
        <w:t>Interpretation remains bounded by scope and classification. The broader revenue measure combines non-packaging products with alternative-material packaging and excludes recent acquisitions in later years. It does not show local recyclability, end-of-life treatment, product-level carbon effects or performance after substitution. Category definitions can also change as legislation and product composition develop.</w:t>
      </w:r>
    </w:p>
    <w:p w14:paraId="48EB39B9" w14:textId="77777777" w:rsidR="00AB2427" w:rsidRDefault="00130A17" w:rsidP="00DC1B7D">
      <w:pPr>
        <w:spacing w:line="360" w:lineRule="auto"/>
      </w:pPr>
      <w:r>
        <w:t>The operational and customer mechanism is nevertheless visible. A structured portfolio and product data can reduce the effort needed to identify compliant alternatives and allow category teams to support transitions. Value depends on function, price, availability and credible environmental evidence. The records therefore provide moderate-to-strong evidence of portfolio transition, but not direct evidence of whole-life impact or customer satisfaction.</w:t>
      </w:r>
    </w:p>
    <w:p w14:paraId="0312528A" w14:textId="77777777" w:rsidR="00AB2427" w:rsidRDefault="00130A17" w:rsidP="00DC1B7D">
      <w:pPr>
        <w:spacing w:line="360" w:lineRule="auto"/>
      </w:pPr>
      <w:r>
        <w:t xml:space="preserve">A 2022 case concerning Wagamama illustrates how a selected example was handled. The report described a change from polypropylene takeaway bowls with no recycled content to bowls containing up to 70% recycled CPET, alongside a collection scheme </w:t>
      </w:r>
      <w:r>
        <w:lastRenderedPageBreak/>
        <w:t>(Bunzl plc, 2022b, p. 64). The passage was coded for product attribute, transition implementation and a stated recovery route. It provides concrete evidence that Bunzl supported one transition, but it was not used to infer the performance of every alternative product or customer account.</w:t>
      </w:r>
    </w:p>
    <w:p w14:paraId="70F533EC" w14:textId="77777777" w:rsidR="00810F0C" w:rsidRPr="00810F0C" w:rsidRDefault="00810F0C" w:rsidP="00DC1B7D">
      <w:pPr>
        <w:pStyle w:val="Heading2"/>
        <w:jc w:val="left"/>
      </w:pPr>
      <w:bookmarkStart w:id="89" w:name="_Toc237017801"/>
      <w:bookmarkStart w:id="90" w:name="_Toc238218140"/>
      <w:bookmarkEnd w:id="89"/>
      <w:r>
        <w:t>4.4 Theme 3: Environmental efficiency improved, but operational effects could not be isolated</w:t>
      </w:r>
      <w:bookmarkEnd w:id="90"/>
    </w:p>
    <w:p w14:paraId="09D5E2FF" w14:textId="77777777" w:rsidR="00AB2427" w:rsidRDefault="00130A17" w:rsidP="00DC1B7D">
      <w:pPr>
        <w:spacing w:line="360" w:lineRule="auto"/>
      </w:pPr>
      <w:r>
        <w:t>The third theme combines defined environmental outcomes with more limited evidence of their operational effect. Bunzl reported in 2024 that absolute emissions were 18% below the 2019 baseline and carbon efficiency had improved by 26% (Bunzl plc, 2024b). In 2025 the absolute reduction remained 18%, while carbon efficiency improved to 28% (Bunzl plc, 2025a). The 2025 sustainability report also stated that absolute emissions rose by 0.6% against 2024 because of acquisitions but fell by 3.1% when acquisitions were excluded (Bunzl plc, 2025b, p. 51). The acquisition qualifier was retained in the coding rather than removed from the trend.</w:t>
      </w:r>
    </w:p>
    <w:p w14:paraId="6D71F739" w14:textId="77777777" w:rsidR="00AB2427" w:rsidRDefault="00130A17" w:rsidP="00DC1B7D">
      <w:pPr>
        <w:spacing w:line="360" w:lineRule="auto"/>
      </w:pPr>
      <w:r>
        <w:t>These are stronger records than an ambition because the indicators have a stated baseline, direction and scope. They support an environmental-performance conclusion and a plausible mechanism through fleet, facility, renewable-energy and process changes. They do not provide a consistent public bridge from particular decarbonisation actions to logistics cost, service reliability or profit, so a financial return cannot be calculated from the corpus.</w:t>
      </w:r>
    </w:p>
    <w:p w14:paraId="48263473" w14:textId="77777777" w:rsidR="00AB2427" w:rsidRDefault="00130A17" w:rsidP="00DC1B7D">
      <w:pPr>
        <w:spacing w:line="360" w:lineRule="auto"/>
      </w:pPr>
      <w:r>
        <w:t>Digital ordering was coded separately as an enabling process. Digital orders represented 76% of orders in 2025, up from 75% in 2024 excluding relevant acquisitions (Bunzl plc, 2025a). This shows adoption at scale and could support order accuracy, information quality and coordination. It does not show that a digital order uses less energy, costs less or produces a better customer experience; those outcomes would require linked measures.</w:t>
      </w:r>
    </w:p>
    <w:p w14:paraId="7CB70B99" w14:textId="77777777" w:rsidR="00AB2427" w:rsidRDefault="00130A17" w:rsidP="00DC1B7D">
      <w:pPr>
        <w:spacing w:line="360" w:lineRule="auto"/>
      </w:pPr>
      <w:r>
        <w:t xml:space="preserve">Aggregate 2025 results provide an important qualification. Revenue increased by 3.0% at constant exchange rates, largely through acquisitions, but adjusted operating profit fell by 4.3% at constant exchange rates to £910.3 million and operating margin declined from </w:t>
      </w:r>
      <w:r>
        <w:lastRenderedPageBreak/>
        <w:t>8.3% to 7.7% (Bunzl plc, 2025a). The report associated weaker performance particularly with market and execution pressures in North America. This does not demonstrate a negative SSCM effect. It shows that improving sustainability indicators did not produce uniformly better Group performance.</w:t>
      </w:r>
    </w:p>
    <w:p w14:paraId="1544D509" w14:textId="77777777" w:rsidR="00AB2427" w:rsidRDefault="00130A17" w:rsidP="00DC1B7D">
      <w:pPr>
        <w:spacing w:line="360" w:lineRule="auto"/>
      </w:pPr>
      <w:r>
        <w:t>The bounded finding is that SSCM can strengthen environmental efficiency, risk information and process capability, but its aggregate operational contribution depends on execution, demand, cost control and integration with core systems. Evidence is strong for the reported environmental direction and limited for Group-level operational attribution.</w:t>
      </w:r>
    </w:p>
    <w:p w14:paraId="0CAD75D7" w14:textId="77777777" w:rsidR="00AB2427" w:rsidRDefault="00130A17" w:rsidP="00DC1B7D">
      <w:pPr>
        <w:spacing w:line="360" w:lineRule="auto"/>
      </w:pPr>
      <w:r>
        <w:t>Cross-reading the environmental and financial records changed the interpretation of this theme. If the carbon indicators had been read alone, the result could have been described as straightforward operational improvement. The annual report showed a more complex pattern: revenue grew at constant exchange rates, while adjusted operating profit and margin weakened, particularly in a context of market and execution pressures. Because the financial measures apply to the Group and the environmental measures describe a different outcome pathway, neither series explains the other. Their value in the same analysis is to demonstrate why contribution must be separated from aggregate attribution.</w:t>
      </w:r>
    </w:p>
    <w:p w14:paraId="758E7C17" w14:textId="77777777" w:rsidR="00AB2427" w:rsidRDefault="00130A17" w:rsidP="00DC1B7D">
      <w:pPr>
        <w:spacing w:line="360" w:lineRule="auto"/>
      </w:pPr>
      <w:r>
        <w:t>Digital ordering provides a second example. The rise to 76% of orders in 2025 is a defined adoption measure and is therefore credible evidence that the channel is widely used. It can support a mechanism involving standardised information, fewer manual steps and improved coordination. The documents do not provide a matched series for error rates, cost per order, delivery reliability or customer evaluation. The code was consequently retained under operational enablement, while the possible efficiency and service effects were treated as propositions that require linked measures.</w:t>
      </w:r>
    </w:p>
    <w:p w14:paraId="763B6707" w14:textId="77777777" w:rsidR="00810F0C" w:rsidRPr="00810F0C" w:rsidRDefault="00810F0C" w:rsidP="00DC1B7D">
      <w:pPr>
        <w:pStyle w:val="Heading2"/>
        <w:jc w:val="left"/>
      </w:pPr>
      <w:bookmarkStart w:id="91" w:name="_Toc237017802"/>
      <w:bookmarkStart w:id="92" w:name="_Toc238218141"/>
      <w:bookmarkEnd w:id="91"/>
      <w:r>
        <w:t>4.5 Theme 4: Customer-facing sustainability capability was visible, but satisfaction was not measured directly</w:t>
      </w:r>
      <w:bookmarkEnd w:id="92"/>
    </w:p>
    <w:p w14:paraId="5FEC6E4D" w14:textId="77777777" w:rsidR="00AB2427" w:rsidRDefault="00130A17" w:rsidP="00DC1B7D">
      <w:pPr>
        <w:spacing w:line="360" w:lineRule="auto"/>
      </w:pPr>
      <w:r>
        <w:t xml:space="preserve">The fourth theme concerns Bunzl's customer-facing sustainability capability. In 2025, the company reported presenting its sustainability value proposition to 331 existing and potential customers (Bunzl plc, 2025b, p. 54). The same section described a customer discussion that led to an invitation to tender and approximately €2 million in new business. </w:t>
      </w:r>
      <w:r>
        <w:lastRenderedPageBreak/>
        <w:t>These records were located through "customer", "value proposition", "RFP" and "contract" and were coded as engagement reach and commercial proxy.</w:t>
      </w:r>
    </w:p>
    <w:p w14:paraId="0C507C6F" w14:textId="77777777" w:rsidR="00AB2427" w:rsidRDefault="00130A17" w:rsidP="00DC1B7D">
      <w:pPr>
        <w:spacing w:line="360" w:lineRule="auto"/>
      </w:pPr>
      <w:r>
        <w:t>Other records describe product choice, responsible-sourcing assurance, consolidation, digital ordering and transition advice. Their recurrence alongside product and material indicators supports a mechanism in which supplier and product knowledge is converted into procurement simplification, regulatory support and tailored alternatives. The reported contract case demonstrates that sustainability expertise can be commercially relevant in at least one relationship.</w:t>
      </w:r>
    </w:p>
    <w:p w14:paraId="06C2567D" w14:textId="77777777" w:rsidR="00AB2427" w:rsidRDefault="00130A17" w:rsidP="00DC1B7D">
      <w:pPr>
        <w:spacing w:line="360" w:lineRule="auto"/>
      </w:pPr>
      <w:r>
        <w:t>The evidence does not establish that customers across the Group are more satisfied because of SSCM. No consistent Group-wide customer satisfaction score, Net Promoter Score or comparable customer-experience series was identified. The engagement count includes potential customers and records contact rather than evaluation. A tender result is behaviourally meaningful but may also reflect price, availability, relationship quality and service. A selected case cannot establish how common the effect is.</w:t>
      </w:r>
    </w:p>
    <w:p w14:paraId="687CBAAC" w14:textId="77777777" w:rsidR="00AB2427" w:rsidRDefault="00130A17" w:rsidP="00DC1B7D">
      <w:pPr>
        <w:spacing w:line="360" w:lineRule="auto"/>
      </w:pPr>
      <w:r>
        <w:t>The 2025 report also contains a named customer testimonial describing Bunzl's support for a long-term carbon objective (Bunzl plc, 2025b, p. 43). This is closer to customer voice than a management description and was coded as direct qualitative feedback. Its evidential reach remains limited because it is a single, positively selected statement with no sampling method or comparable scale. Retaining it alongside the missing Group measure avoids both dismissing useful customer evidence and overstating its representativeness.</w:t>
      </w:r>
    </w:p>
    <w:p w14:paraId="14123A58" w14:textId="77777777" w:rsidR="00AB2427" w:rsidRDefault="00130A17" w:rsidP="00DC1B7D">
      <w:pPr>
        <w:spacing w:line="360" w:lineRule="auto"/>
      </w:pPr>
      <w:r>
        <w:t>RQ3 can therefore be answered only in two parts. Public evidence supports a customer-facing capability and selected commercial relevance, but direct evidence of Group-wide satisfaction is unavailable. This is both a research limitation and a management measurement gap: without customer feedback linked to specific transitions or services, Bunzl cannot show where sustainability support creates durable value and where it adds complexity without sufficient benefit.</w:t>
      </w:r>
    </w:p>
    <w:p w14:paraId="1A54FDFD" w14:textId="77777777" w:rsidR="00AB2427" w:rsidRDefault="00130A17" w:rsidP="00DC1B7D">
      <w:pPr>
        <w:spacing w:line="360" w:lineRule="auto"/>
      </w:pPr>
      <w:r>
        <w:t xml:space="preserve">The customer records also show why context was read around each located term. The 331 engagements demonstrate that the sustainability proposition was presented beyond </w:t>
      </w:r>
      <w:r>
        <w:lastRenderedPageBreak/>
        <w:t>isolated internal discussion, but the wording combines existing and potential customers. The RFP case demonstrates a commercially relevant outcome, yet it is one selected event and the purchasing decision is likely to reflect the complete offer. The named testimonial provides an evaluative customer voice, but no sampling method or comparable scale is available. Each record therefore contributes a different form of evidence rather than three interchangeable confirmations of satisfaction.</w:t>
      </w:r>
    </w:p>
    <w:p w14:paraId="49A09958" w14:textId="77777777" w:rsidR="00AB2427" w:rsidRDefault="00130A17" w:rsidP="00DC1B7D">
      <w:pPr>
        <w:spacing w:line="360" w:lineRule="auto"/>
      </w:pPr>
      <w:r>
        <w:t>No Group-wide satisfaction, recommendation or transition-specific feedback series was located in the corpus. This absence was checked across the customer, strategy and sustainability sections rather than inferred from a single report. It cannot be interpreted as dissatisfaction, because unreported data may exist internally. It does mean that the public evidence cannot establish the prevalence, direction or durability of the customer response. The final finding is therefore positive about capability and selected value, but deliberately limited about satisfaction.</w:t>
      </w:r>
    </w:p>
    <w:p w14:paraId="312794EB" w14:textId="77777777" w:rsidR="00810F0C" w:rsidRPr="00810F0C" w:rsidRDefault="00810F0C" w:rsidP="00DC1B7D">
      <w:pPr>
        <w:pStyle w:val="Heading2"/>
        <w:jc w:val="left"/>
      </w:pPr>
      <w:bookmarkStart w:id="93" w:name="_Toc237017804"/>
      <w:bookmarkStart w:id="94" w:name="_Toc238218142"/>
      <w:bookmarkEnd w:id="93"/>
      <w:r>
        <w:t>4.6 Cross-source synthesis</w:t>
      </w:r>
      <w:bookmarkEnd w:id="94"/>
    </w:p>
    <w:p w14:paraId="5688CDF1" w14:textId="568A4314" w:rsidR="00810F0C" w:rsidRDefault="00810F0C" w:rsidP="00DC1B7D">
      <w:pPr>
        <w:spacing w:line="360" w:lineRule="auto"/>
      </w:pPr>
      <w:r>
        <w:t>Table 4.1 was constructed by bringing the coded records for each analytical area into one cross-source matrix. The longitudinal evidence column states the reported pattern; the implication column links it to the relevant mechanism; the evidence judgement applies the provenance, specificity, convergence and attribution tests from Section 3.8; and the final column preserves the material caveat. The judgement concerns the strength of public evidence for this study, not a rating of Bunzl's sustainability performance.</w:t>
      </w:r>
    </w:p>
    <w:p w14:paraId="113C42D7" w14:textId="54B696D1" w:rsidR="001E1667" w:rsidRDefault="001E1667" w:rsidP="00DC1B7D">
      <w:pPr>
        <w:spacing w:line="360" w:lineRule="auto"/>
      </w:pPr>
    </w:p>
    <w:p w14:paraId="7BC4C3FD" w14:textId="469FA89C" w:rsidR="001E1667" w:rsidRDefault="001E1667" w:rsidP="00DC1B7D">
      <w:pPr>
        <w:spacing w:line="360" w:lineRule="auto"/>
      </w:pPr>
    </w:p>
    <w:p w14:paraId="7614517E" w14:textId="77777777" w:rsidR="001E1667" w:rsidRPr="00810F0C" w:rsidRDefault="001E1667" w:rsidP="00DC1B7D">
      <w:pPr>
        <w:spacing w:line="360" w:lineRule="auto"/>
        <w:rPr>
          <w:rFonts w:cs="Arial"/>
          <w:szCs w:val="24"/>
        </w:rPr>
      </w:pPr>
    </w:p>
    <w:p w14:paraId="595176D5" w14:textId="77777777" w:rsidR="00810F0C" w:rsidRPr="002B6E2C" w:rsidRDefault="00810F0C" w:rsidP="00DC1B7D">
      <w:pPr>
        <w:pStyle w:val="Heading4"/>
      </w:pPr>
      <w:r w:rsidRPr="002B6E2C">
        <w:rPr>
          <w:lang w:val="en-GB"/>
        </w:rPr>
        <w:lastRenderedPageBreak/>
        <w:t>Table 4.1 Cross-source evidence matrix</w:t>
      </w:r>
    </w:p>
    <w:tbl>
      <w:tblPr>
        <w:tblW w:w="10535" w:type="dxa"/>
        <w:jc w:val="center"/>
        <w:tblBorders>
          <w:top w:val="single" w:sz="8" w:space="0" w:color="17324D"/>
          <w:left w:val="single" w:sz="4" w:space="0" w:color="C8D3DB"/>
          <w:bottom w:val="single" w:sz="8" w:space="0" w:color="17324D"/>
          <w:right w:val="single" w:sz="4" w:space="0" w:color="C8D3DB"/>
          <w:insideH w:val="single" w:sz="4" w:space="0" w:color="C8D3DB"/>
          <w:insideV w:val="single" w:sz="4" w:space="0" w:color="C8D3DB"/>
        </w:tblBorders>
        <w:tblLayout w:type="fixed"/>
        <w:tblLook w:val="04A0" w:firstRow="1" w:lastRow="0" w:firstColumn="1" w:lastColumn="0" w:noHBand="0" w:noVBand="1"/>
      </w:tblPr>
      <w:tblGrid>
        <w:gridCol w:w="1897"/>
        <w:gridCol w:w="3266"/>
        <w:gridCol w:w="2529"/>
        <w:gridCol w:w="1264"/>
        <w:gridCol w:w="1579"/>
      </w:tblGrid>
      <w:tr w:rsidR="00810F0C" w:rsidRPr="001E1667" w14:paraId="5991A313" w14:textId="77777777" w:rsidTr="001E1667">
        <w:trPr>
          <w:cantSplit/>
          <w:trHeight w:val="637"/>
          <w:tblHeader/>
          <w:jc w:val="center"/>
        </w:trPr>
        <w:tc>
          <w:tcPr>
            <w:tcW w:w="1897" w:type="dxa"/>
            <w:shd w:val="clear" w:color="auto" w:fill="17324D"/>
            <w:tcMar>
              <w:top w:w="90" w:type="dxa"/>
              <w:left w:w="90" w:type="dxa"/>
              <w:bottom w:w="90" w:type="dxa"/>
              <w:right w:w="90" w:type="dxa"/>
            </w:tcMar>
            <w:vAlign w:val="center"/>
          </w:tcPr>
          <w:p w14:paraId="2548B2E1" w14:textId="77777777" w:rsidR="00AB2427" w:rsidRPr="001E1667" w:rsidRDefault="00130A17" w:rsidP="00DC1B7D">
            <w:pPr>
              <w:spacing w:after="0" w:line="360" w:lineRule="auto"/>
              <w:jc w:val="center"/>
              <w:rPr>
                <w:sz w:val="18"/>
                <w:szCs w:val="18"/>
              </w:rPr>
            </w:pPr>
            <w:r w:rsidRPr="001E1667">
              <w:rPr>
                <w:sz w:val="18"/>
                <w:szCs w:val="18"/>
              </w:rPr>
              <w:t>Analytical area</w:t>
            </w:r>
          </w:p>
        </w:tc>
        <w:tc>
          <w:tcPr>
            <w:tcW w:w="3266" w:type="dxa"/>
            <w:shd w:val="clear" w:color="auto" w:fill="17324D"/>
            <w:tcMar>
              <w:top w:w="90" w:type="dxa"/>
              <w:left w:w="90" w:type="dxa"/>
              <w:bottom w:w="90" w:type="dxa"/>
              <w:right w:w="90" w:type="dxa"/>
            </w:tcMar>
            <w:vAlign w:val="center"/>
          </w:tcPr>
          <w:p w14:paraId="710331FC" w14:textId="77777777" w:rsidR="00AB2427" w:rsidRPr="001E1667" w:rsidRDefault="00130A17" w:rsidP="00DC1B7D">
            <w:pPr>
              <w:spacing w:after="0" w:line="360" w:lineRule="auto"/>
              <w:jc w:val="center"/>
              <w:rPr>
                <w:sz w:val="18"/>
                <w:szCs w:val="18"/>
              </w:rPr>
            </w:pPr>
            <w:r w:rsidRPr="001E1667">
              <w:rPr>
                <w:sz w:val="18"/>
                <w:szCs w:val="18"/>
              </w:rPr>
              <w:t>Longitudinal case evidence</w:t>
            </w:r>
          </w:p>
        </w:tc>
        <w:tc>
          <w:tcPr>
            <w:tcW w:w="2529" w:type="dxa"/>
            <w:shd w:val="clear" w:color="auto" w:fill="17324D"/>
            <w:tcMar>
              <w:top w:w="90" w:type="dxa"/>
              <w:left w:w="90" w:type="dxa"/>
              <w:bottom w:w="90" w:type="dxa"/>
              <w:right w:w="90" w:type="dxa"/>
            </w:tcMar>
            <w:vAlign w:val="center"/>
          </w:tcPr>
          <w:p w14:paraId="22A17EFE" w14:textId="77777777" w:rsidR="00AB2427" w:rsidRPr="001E1667" w:rsidRDefault="00130A17" w:rsidP="00DC1B7D">
            <w:pPr>
              <w:spacing w:after="0" w:line="360" w:lineRule="auto"/>
              <w:jc w:val="center"/>
              <w:rPr>
                <w:sz w:val="18"/>
                <w:szCs w:val="18"/>
              </w:rPr>
            </w:pPr>
            <w:r w:rsidRPr="001E1667">
              <w:rPr>
                <w:sz w:val="18"/>
                <w:szCs w:val="18"/>
              </w:rPr>
              <w:t>Operational/customer implication</w:t>
            </w:r>
          </w:p>
        </w:tc>
        <w:tc>
          <w:tcPr>
            <w:tcW w:w="1264" w:type="dxa"/>
            <w:shd w:val="clear" w:color="auto" w:fill="17324D"/>
            <w:tcMar>
              <w:top w:w="90" w:type="dxa"/>
              <w:left w:w="90" w:type="dxa"/>
              <w:bottom w:w="90" w:type="dxa"/>
              <w:right w:w="90" w:type="dxa"/>
            </w:tcMar>
            <w:vAlign w:val="center"/>
          </w:tcPr>
          <w:p w14:paraId="2891A639" w14:textId="77777777" w:rsidR="00AB2427" w:rsidRPr="001E1667" w:rsidRDefault="00130A17" w:rsidP="00DC1B7D">
            <w:pPr>
              <w:spacing w:after="0" w:line="360" w:lineRule="auto"/>
              <w:jc w:val="center"/>
              <w:rPr>
                <w:sz w:val="18"/>
                <w:szCs w:val="18"/>
              </w:rPr>
            </w:pPr>
            <w:r w:rsidRPr="001E1667">
              <w:rPr>
                <w:sz w:val="18"/>
                <w:szCs w:val="18"/>
              </w:rPr>
              <w:t>Public evidence</w:t>
            </w:r>
          </w:p>
        </w:tc>
        <w:tc>
          <w:tcPr>
            <w:tcW w:w="1579" w:type="dxa"/>
            <w:shd w:val="clear" w:color="auto" w:fill="17324D"/>
            <w:tcMar>
              <w:top w:w="90" w:type="dxa"/>
              <w:left w:w="90" w:type="dxa"/>
              <w:bottom w:w="90" w:type="dxa"/>
              <w:right w:w="90" w:type="dxa"/>
            </w:tcMar>
            <w:vAlign w:val="center"/>
          </w:tcPr>
          <w:p w14:paraId="76A2AB46" w14:textId="77777777" w:rsidR="00AB2427" w:rsidRPr="001E1667" w:rsidRDefault="00130A17" w:rsidP="00DC1B7D">
            <w:pPr>
              <w:spacing w:after="0" w:line="360" w:lineRule="auto"/>
              <w:jc w:val="center"/>
              <w:rPr>
                <w:sz w:val="18"/>
                <w:szCs w:val="18"/>
              </w:rPr>
            </w:pPr>
            <w:r w:rsidRPr="001E1667">
              <w:rPr>
                <w:sz w:val="18"/>
                <w:szCs w:val="18"/>
              </w:rPr>
              <w:t>Material caveat</w:t>
            </w:r>
          </w:p>
        </w:tc>
      </w:tr>
      <w:tr w:rsidR="00810F0C" w:rsidRPr="001E1667" w14:paraId="53D7C441" w14:textId="77777777" w:rsidTr="001E1667">
        <w:trPr>
          <w:cantSplit/>
          <w:trHeight w:val="1329"/>
          <w:jc w:val="center"/>
        </w:trPr>
        <w:tc>
          <w:tcPr>
            <w:tcW w:w="1897" w:type="dxa"/>
            <w:tcMar>
              <w:top w:w="90" w:type="dxa"/>
              <w:left w:w="90" w:type="dxa"/>
              <w:bottom w:w="90" w:type="dxa"/>
              <w:right w:w="90" w:type="dxa"/>
            </w:tcMar>
            <w:vAlign w:val="center"/>
          </w:tcPr>
          <w:p w14:paraId="4329F97A" w14:textId="77777777" w:rsidR="00AB2427" w:rsidRPr="001E1667" w:rsidRDefault="00130A17" w:rsidP="00DC1B7D">
            <w:pPr>
              <w:spacing w:after="0" w:line="360" w:lineRule="auto"/>
              <w:jc w:val="left"/>
              <w:rPr>
                <w:sz w:val="18"/>
                <w:szCs w:val="18"/>
              </w:rPr>
            </w:pPr>
            <w:r w:rsidRPr="001E1667">
              <w:rPr>
                <w:sz w:val="18"/>
                <w:szCs w:val="18"/>
              </w:rPr>
              <w:t>Responsible sourcing</w:t>
            </w:r>
          </w:p>
        </w:tc>
        <w:tc>
          <w:tcPr>
            <w:tcW w:w="3266" w:type="dxa"/>
            <w:tcMar>
              <w:top w:w="90" w:type="dxa"/>
              <w:left w:w="90" w:type="dxa"/>
              <w:bottom w:w="90" w:type="dxa"/>
              <w:right w:w="90" w:type="dxa"/>
            </w:tcMar>
            <w:vAlign w:val="center"/>
          </w:tcPr>
          <w:p w14:paraId="3C54948A" w14:textId="77777777" w:rsidR="00AB2427" w:rsidRPr="001E1667" w:rsidRDefault="00130A17" w:rsidP="00DC1B7D">
            <w:pPr>
              <w:spacing w:after="0" w:line="360" w:lineRule="auto"/>
              <w:jc w:val="left"/>
              <w:rPr>
                <w:sz w:val="18"/>
                <w:szCs w:val="18"/>
              </w:rPr>
            </w:pPr>
            <w:r w:rsidRPr="001E1667">
              <w:rPr>
                <w:sz w:val="18"/>
                <w:szCs w:val="18"/>
              </w:rPr>
              <w:t>Suppliers assessed rose from 930 (2022) to 1,430 (2025); assessed and compliant high-risk spend reached 93%.</w:t>
            </w:r>
          </w:p>
        </w:tc>
        <w:tc>
          <w:tcPr>
            <w:tcW w:w="2529" w:type="dxa"/>
            <w:tcMar>
              <w:top w:w="90" w:type="dxa"/>
              <w:left w:w="90" w:type="dxa"/>
              <w:bottom w:w="90" w:type="dxa"/>
              <w:right w:w="90" w:type="dxa"/>
            </w:tcMar>
            <w:vAlign w:val="center"/>
          </w:tcPr>
          <w:p w14:paraId="13D33619" w14:textId="77777777" w:rsidR="00AB2427" w:rsidRPr="001E1667" w:rsidRDefault="00130A17" w:rsidP="00DC1B7D">
            <w:pPr>
              <w:spacing w:after="0" w:line="360" w:lineRule="auto"/>
              <w:jc w:val="left"/>
              <w:rPr>
                <w:sz w:val="18"/>
                <w:szCs w:val="18"/>
              </w:rPr>
            </w:pPr>
            <w:r w:rsidRPr="001E1667">
              <w:rPr>
                <w:sz w:val="18"/>
                <w:szCs w:val="18"/>
              </w:rPr>
              <w:t>Greater risk visibility and a route to remediation or sourcing action.</w:t>
            </w:r>
          </w:p>
        </w:tc>
        <w:tc>
          <w:tcPr>
            <w:tcW w:w="1264" w:type="dxa"/>
            <w:tcMar>
              <w:top w:w="90" w:type="dxa"/>
              <w:left w:w="90" w:type="dxa"/>
              <w:bottom w:w="90" w:type="dxa"/>
              <w:right w:w="90" w:type="dxa"/>
            </w:tcMar>
            <w:vAlign w:val="center"/>
          </w:tcPr>
          <w:p w14:paraId="28CF06E5" w14:textId="77777777" w:rsidR="00AB2427" w:rsidRPr="001E1667" w:rsidRDefault="00130A17" w:rsidP="00DC1B7D">
            <w:pPr>
              <w:spacing w:after="0" w:line="360" w:lineRule="auto"/>
              <w:jc w:val="left"/>
              <w:rPr>
                <w:sz w:val="18"/>
                <w:szCs w:val="18"/>
              </w:rPr>
            </w:pPr>
            <w:r w:rsidRPr="001E1667">
              <w:rPr>
                <w:sz w:val="18"/>
                <w:szCs w:val="18"/>
              </w:rPr>
              <w:t>Stronger for process</w:t>
            </w:r>
          </w:p>
        </w:tc>
        <w:tc>
          <w:tcPr>
            <w:tcW w:w="1579" w:type="dxa"/>
            <w:tcMar>
              <w:top w:w="90" w:type="dxa"/>
              <w:left w:w="90" w:type="dxa"/>
              <w:bottom w:w="90" w:type="dxa"/>
              <w:right w:w="90" w:type="dxa"/>
            </w:tcMar>
            <w:vAlign w:val="center"/>
          </w:tcPr>
          <w:p w14:paraId="2948404E" w14:textId="77777777" w:rsidR="00AB2427" w:rsidRPr="001E1667" w:rsidRDefault="00130A17" w:rsidP="00DC1B7D">
            <w:pPr>
              <w:spacing w:after="0" w:line="360" w:lineRule="auto"/>
              <w:jc w:val="left"/>
              <w:rPr>
                <w:sz w:val="18"/>
                <w:szCs w:val="18"/>
              </w:rPr>
            </w:pPr>
            <w:r w:rsidRPr="001E1667">
              <w:rPr>
                <w:sz w:val="18"/>
                <w:szCs w:val="18"/>
              </w:rPr>
              <w:t>No consistent series for closure time, recurrence or labour outcomes.</w:t>
            </w:r>
          </w:p>
        </w:tc>
      </w:tr>
      <w:tr w:rsidR="00810F0C" w:rsidRPr="001E1667" w14:paraId="1A240A84" w14:textId="77777777" w:rsidTr="001E1667">
        <w:trPr>
          <w:cantSplit/>
          <w:trHeight w:val="1570"/>
          <w:jc w:val="center"/>
        </w:trPr>
        <w:tc>
          <w:tcPr>
            <w:tcW w:w="1897" w:type="dxa"/>
            <w:shd w:val="clear" w:color="auto" w:fill="F5F8FA"/>
            <w:tcMar>
              <w:top w:w="90" w:type="dxa"/>
              <w:left w:w="90" w:type="dxa"/>
              <w:bottom w:w="90" w:type="dxa"/>
              <w:right w:w="90" w:type="dxa"/>
            </w:tcMar>
            <w:vAlign w:val="center"/>
          </w:tcPr>
          <w:p w14:paraId="1790DC3D" w14:textId="77777777" w:rsidR="00AB2427" w:rsidRPr="001E1667" w:rsidRDefault="00130A17" w:rsidP="00DC1B7D">
            <w:pPr>
              <w:spacing w:after="0" w:line="360" w:lineRule="auto"/>
              <w:jc w:val="left"/>
              <w:rPr>
                <w:sz w:val="18"/>
                <w:szCs w:val="18"/>
              </w:rPr>
            </w:pPr>
            <w:r w:rsidRPr="001E1667">
              <w:rPr>
                <w:sz w:val="18"/>
                <w:szCs w:val="18"/>
              </w:rPr>
              <w:t>Portfolio transition</w:t>
            </w:r>
          </w:p>
        </w:tc>
        <w:tc>
          <w:tcPr>
            <w:tcW w:w="3266" w:type="dxa"/>
            <w:shd w:val="clear" w:color="auto" w:fill="F5F8FA"/>
            <w:tcMar>
              <w:top w:w="90" w:type="dxa"/>
              <w:left w:w="90" w:type="dxa"/>
              <w:bottom w:w="90" w:type="dxa"/>
              <w:right w:w="90" w:type="dxa"/>
            </w:tcMar>
            <w:vAlign w:val="center"/>
          </w:tcPr>
          <w:p w14:paraId="2B5DD5D8" w14:textId="77777777" w:rsidR="00AB2427" w:rsidRPr="001E1667" w:rsidRDefault="00130A17" w:rsidP="00DC1B7D">
            <w:pPr>
              <w:spacing w:after="0" w:line="360" w:lineRule="auto"/>
              <w:jc w:val="left"/>
              <w:rPr>
                <w:sz w:val="18"/>
                <w:szCs w:val="18"/>
              </w:rPr>
            </w:pPr>
            <w:r w:rsidRPr="001E1667">
              <w:rPr>
                <w:sz w:val="18"/>
                <w:szCs w:val="18"/>
              </w:rPr>
              <w:t>Alternative-material packaging was 53% of packaging sales in 2022 and 56% in 2024; the broader revenue measure reached 87% in 2025 excluding acquisitions.</w:t>
            </w:r>
          </w:p>
        </w:tc>
        <w:tc>
          <w:tcPr>
            <w:tcW w:w="2529" w:type="dxa"/>
            <w:shd w:val="clear" w:color="auto" w:fill="F5F8FA"/>
            <w:tcMar>
              <w:top w:w="90" w:type="dxa"/>
              <w:left w:w="90" w:type="dxa"/>
              <w:bottom w:w="90" w:type="dxa"/>
              <w:right w:w="90" w:type="dxa"/>
            </w:tcMar>
            <w:vAlign w:val="center"/>
          </w:tcPr>
          <w:p w14:paraId="49E19676" w14:textId="77777777" w:rsidR="00AB2427" w:rsidRPr="001E1667" w:rsidRDefault="00130A17" w:rsidP="00DC1B7D">
            <w:pPr>
              <w:spacing w:after="0" w:line="360" w:lineRule="auto"/>
              <w:jc w:val="left"/>
              <w:rPr>
                <w:sz w:val="18"/>
                <w:szCs w:val="18"/>
              </w:rPr>
            </w:pPr>
            <w:r w:rsidRPr="001E1667">
              <w:rPr>
                <w:sz w:val="18"/>
                <w:szCs w:val="18"/>
              </w:rPr>
              <w:t>Product choice and transition support can create customer value.</w:t>
            </w:r>
          </w:p>
        </w:tc>
        <w:tc>
          <w:tcPr>
            <w:tcW w:w="1264" w:type="dxa"/>
            <w:shd w:val="clear" w:color="auto" w:fill="F5F8FA"/>
            <w:tcMar>
              <w:top w:w="90" w:type="dxa"/>
              <w:left w:w="90" w:type="dxa"/>
              <w:bottom w:w="90" w:type="dxa"/>
              <w:right w:w="90" w:type="dxa"/>
            </w:tcMar>
            <w:vAlign w:val="center"/>
          </w:tcPr>
          <w:p w14:paraId="6E560248" w14:textId="77777777" w:rsidR="00AB2427" w:rsidRPr="001E1667" w:rsidRDefault="00130A17" w:rsidP="00DC1B7D">
            <w:pPr>
              <w:spacing w:after="0" w:line="360" w:lineRule="auto"/>
              <w:jc w:val="left"/>
              <w:rPr>
                <w:sz w:val="18"/>
                <w:szCs w:val="18"/>
              </w:rPr>
            </w:pPr>
            <w:r w:rsidRPr="001E1667">
              <w:rPr>
                <w:sz w:val="18"/>
                <w:szCs w:val="18"/>
              </w:rPr>
              <w:t>Moderate-strong</w:t>
            </w:r>
          </w:p>
        </w:tc>
        <w:tc>
          <w:tcPr>
            <w:tcW w:w="1579" w:type="dxa"/>
            <w:shd w:val="clear" w:color="auto" w:fill="F5F8FA"/>
            <w:tcMar>
              <w:top w:w="90" w:type="dxa"/>
              <w:left w:w="90" w:type="dxa"/>
              <w:bottom w:w="90" w:type="dxa"/>
              <w:right w:w="90" w:type="dxa"/>
            </w:tcMar>
            <w:vAlign w:val="center"/>
          </w:tcPr>
          <w:p w14:paraId="74A2870E" w14:textId="77777777" w:rsidR="00AB2427" w:rsidRPr="001E1667" w:rsidRDefault="00130A17" w:rsidP="00DC1B7D">
            <w:pPr>
              <w:spacing w:after="0" w:line="360" w:lineRule="auto"/>
              <w:jc w:val="left"/>
              <w:rPr>
                <w:sz w:val="18"/>
                <w:szCs w:val="18"/>
              </w:rPr>
            </w:pPr>
            <w:r w:rsidRPr="001E1667">
              <w:rPr>
                <w:sz w:val="18"/>
                <w:szCs w:val="18"/>
              </w:rPr>
              <w:t>Classification and sales share do not prove whole-life impact.</w:t>
            </w:r>
          </w:p>
        </w:tc>
      </w:tr>
      <w:tr w:rsidR="00810F0C" w:rsidRPr="001E1667" w14:paraId="546B2164" w14:textId="77777777" w:rsidTr="001E1667">
        <w:trPr>
          <w:cantSplit/>
          <w:trHeight w:val="1109"/>
          <w:jc w:val="center"/>
        </w:trPr>
        <w:tc>
          <w:tcPr>
            <w:tcW w:w="1897" w:type="dxa"/>
            <w:tcMar>
              <w:top w:w="90" w:type="dxa"/>
              <w:left w:w="90" w:type="dxa"/>
              <w:bottom w:w="90" w:type="dxa"/>
              <w:right w:w="90" w:type="dxa"/>
            </w:tcMar>
            <w:vAlign w:val="center"/>
          </w:tcPr>
          <w:p w14:paraId="73B4291D" w14:textId="77777777" w:rsidR="00AB2427" w:rsidRPr="001E1667" w:rsidRDefault="00130A17" w:rsidP="00DC1B7D">
            <w:pPr>
              <w:spacing w:after="0" w:line="360" w:lineRule="auto"/>
              <w:jc w:val="left"/>
              <w:rPr>
                <w:sz w:val="18"/>
                <w:szCs w:val="18"/>
              </w:rPr>
            </w:pPr>
            <w:r w:rsidRPr="001E1667">
              <w:rPr>
                <w:sz w:val="18"/>
                <w:szCs w:val="18"/>
              </w:rPr>
              <w:t>Environmental and operational</w:t>
            </w:r>
          </w:p>
        </w:tc>
        <w:tc>
          <w:tcPr>
            <w:tcW w:w="3266" w:type="dxa"/>
            <w:tcMar>
              <w:top w:w="90" w:type="dxa"/>
              <w:left w:w="90" w:type="dxa"/>
              <w:bottom w:w="90" w:type="dxa"/>
              <w:right w:w="90" w:type="dxa"/>
            </w:tcMar>
            <w:vAlign w:val="center"/>
          </w:tcPr>
          <w:p w14:paraId="619A4275" w14:textId="77777777" w:rsidR="00AB2427" w:rsidRPr="001E1667" w:rsidRDefault="00130A17" w:rsidP="00DC1B7D">
            <w:pPr>
              <w:spacing w:after="0" w:line="360" w:lineRule="auto"/>
              <w:jc w:val="left"/>
              <w:rPr>
                <w:sz w:val="18"/>
                <w:szCs w:val="18"/>
              </w:rPr>
            </w:pPr>
            <w:r w:rsidRPr="001E1667">
              <w:rPr>
                <w:sz w:val="18"/>
                <w:szCs w:val="18"/>
              </w:rPr>
              <w:t>Absolute emissions remained 18% below 2019 and carbon efficiency improved to 28% in 2025; adjusted operating profit fell 4.3% at constant exchange rates.</w:t>
            </w:r>
          </w:p>
        </w:tc>
        <w:tc>
          <w:tcPr>
            <w:tcW w:w="2529" w:type="dxa"/>
            <w:tcMar>
              <w:top w:w="90" w:type="dxa"/>
              <w:left w:w="90" w:type="dxa"/>
              <w:bottom w:w="90" w:type="dxa"/>
              <w:right w:w="90" w:type="dxa"/>
            </w:tcMar>
            <w:vAlign w:val="center"/>
          </w:tcPr>
          <w:p w14:paraId="75F46555" w14:textId="77777777" w:rsidR="00AB2427" w:rsidRPr="001E1667" w:rsidRDefault="00130A17" w:rsidP="00DC1B7D">
            <w:pPr>
              <w:spacing w:after="0" w:line="360" w:lineRule="auto"/>
              <w:jc w:val="left"/>
              <w:rPr>
                <w:sz w:val="18"/>
                <w:szCs w:val="18"/>
              </w:rPr>
            </w:pPr>
            <w:r w:rsidRPr="001E1667">
              <w:rPr>
                <w:sz w:val="18"/>
                <w:szCs w:val="18"/>
              </w:rPr>
              <w:t>Environmental improvement is demonstrated; aggregate operational attribution is not.</w:t>
            </w:r>
          </w:p>
        </w:tc>
        <w:tc>
          <w:tcPr>
            <w:tcW w:w="1264" w:type="dxa"/>
            <w:tcMar>
              <w:top w:w="90" w:type="dxa"/>
              <w:left w:w="90" w:type="dxa"/>
              <w:bottom w:w="90" w:type="dxa"/>
              <w:right w:w="90" w:type="dxa"/>
            </w:tcMar>
            <w:vAlign w:val="center"/>
          </w:tcPr>
          <w:p w14:paraId="3BE05E1F" w14:textId="77777777" w:rsidR="00AB2427" w:rsidRPr="001E1667" w:rsidRDefault="00130A17" w:rsidP="00DC1B7D">
            <w:pPr>
              <w:spacing w:after="0" w:line="360" w:lineRule="auto"/>
              <w:jc w:val="left"/>
              <w:rPr>
                <w:sz w:val="18"/>
                <w:szCs w:val="18"/>
              </w:rPr>
            </w:pPr>
            <w:r w:rsidRPr="001E1667">
              <w:rPr>
                <w:sz w:val="18"/>
                <w:szCs w:val="18"/>
              </w:rPr>
              <w:t>Strong for carbon; limited attribution</w:t>
            </w:r>
          </w:p>
        </w:tc>
        <w:tc>
          <w:tcPr>
            <w:tcW w:w="1579" w:type="dxa"/>
            <w:tcMar>
              <w:top w:w="90" w:type="dxa"/>
              <w:left w:w="90" w:type="dxa"/>
              <w:bottom w:w="90" w:type="dxa"/>
              <w:right w:w="90" w:type="dxa"/>
            </w:tcMar>
            <w:vAlign w:val="center"/>
          </w:tcPr>
          <w:p w14:paraId="2987A900" w14:textId="77777777" w:rsidR="00AB2427" w:rsidRPr="001E1667" w:rsidRDefault="00130A17" w:rsidP="00DC1B7D">
            <w:pPr>
              <w:spacing w:after="0" w:line="360" w:lineRule="auto"/>
              <w:jc w:val="left"/>
              <w:rPr>
                <w:sz w:val="18"/>
                <w:szCs w:val="18"/>
              </w:rPr>
            </w:pPr>
            <w:r w:rsidRPr="001E1667">
              <w:rPr>
                <w:sz w:val="18"/>
                <w:szCs w:val="18"/>
              </w:rPr>
              <w:t>Group results do not isolate an SSCM effect.</w:t>
            </w:r>
          </w:p>
        </w:tc>
      </w:tr>
      <w:tr w:rsidR="00810F0C" w:rsidRPr="001E1667" w14:paraId="1432DE9E" w14:textId="77777777" w:rsidTr="001E1667">
        <w:trPr>
          <w:cantSplit/>
          <w:trHeight w:val="1570"/>
          <w:jc w:val="center"/>
        </w:trPr>
        <w:tc>
          <w:tcPr>
            <w:tcW w:w="1897" w:type="dxa"/>
            <w:shd w:val="clear" w:color="auto" w:fill="F5F8FA"/>
            <w:tcMar>
              <w:top w:w="90" w:type="dxa"/>
              <w:left w:w="90" w:type="dxa"/>
              <w:bottom w:w="90" w:type="dxa"/>
              <w:right w:w="90" w:type="dxa"/>
            </w:tcMar>
            <w:vAlign w:val="center"/>
          </w:tcPr>
          <w:p w14:paraId="2CECE29B" w14:textId="77777777" w:rsidR="00AB2427" w:rsidRPr="001E1667" w:rsidRDefault="00130A17" w:rsidP="00DC1B7D">
            <w:pPr>
              <w:spacing w:after="0" w:line="360" w:lineRule="auto"/>
              <w:jc w:val="left"/>
              <w:rPr>
                <w:sz w:val="18"/>
                <w:szCs w:val="18"/>
              </w:rPr>
            </w:pPr>
            <w:r w:rsidRPr="001E1667">
              <w:rPr>
                <w:sz w:val="18"/>
                <w:szCs w:val="18"/>
              </w:rPr>
              <w:t>Customer-facing capability</w:t>
            </w:r>
          </w:p>
        </w:tc>
        <w:tc>
          <w:tcPr>
            <w:tcW w:w="3266" w:type="dxa"/>
            <w:shd w:val="clear" w:color="auto" w:fill="F5F8FA"/>
            <w:tcMar>
              <w:top w:w="90" w:type="dxa"/>
              <w:left w:w="90" w:type="dxa"/>
              <w:bottom w:w="90" w:type="dxa"/>
              <w:right w:w="90" w:type="dxa"/>
            </w:tcMar>
            <w:vAlign w:val="center"/>
          </w:tcPr>
          <w:p w14:paraId="16BE0FA8" w14:textId="77777777" w:rsidR="00AB2427" w:rsidRPr="001E1667" w:rsidRDefault="00130A17" w:rsidP="00DC1B7D">
            <w:pPr>
              <w:spacing w:after="0" w:line="360" w:lineRule="auto"/>
              <w:jc w:val="left"/>
              <w:rPr>
                <w:sz w:val="18"/>
                <w:szCs w:val="18"/>
              </w:rPr>
            </w:pPr>
            <w:r w:rsidRPr="001E1667">
              <w:rPr>
                <w:sz w:val="18"/>
                <w:szCs w:val="18"/>
              </w:rPr>
              <w:t>The value proposition reached 331 existing or potential customers in 2025; selected tender and contract cases were reported.</w:t>
            </w:r>
          </w:p>
        </w:tc>
        <w:tc>
          <w:tcPr>
            <w:tcW w:w="2529" w:type="dxa"/>
            <w:shd w:val="clear" w:color="auto" w:fill="F5F8FA"/>
            <w:tcMar>
              <w:top w:w="90" w:type="dxa"/>
              <w:left w:w="90" w:type="dxa"/>
              <w:bottom w:w="90" w:type="dxa"/>
              <w:right w:w="90" w:type="dxa"/>
            </w:tcMar>
            <w:vAlign w:val="center"/>
          </w:tcPr>
          <w:p w14:paraId="146B4E1D" w14:textId="77777777" w:rsidR="00AB2427" w:rsidRPr="001E1667" w:rsidRDefault="00130A17" w:rsidP="00DC1B7D">
            <w:pPr>
              <w:spacing w:after="0" w:line="360" w:lineRule="auto"/>
              <w:jc w:val="left"/>
              <w:rPr>
                <w:sz w:val="18"/>
                <w:szCs w:val="18"/>
              </w:rPr>
            </w:pPr>
            <w:r w:rsidRPr="001E1667">
              <w:rPr>
                <w:sz w:val="18"/>
                <w:szCs w:val="18"/>
              </w:rPr>
              <w:t>Sustainability is commercially relevant in some relationships.</w:t>
            </w:r>
          </w:p>
        </w:tc>
        <w:tc>
          <w:tcPr>
            <w:tcW w:w="1264" w:type="dxa"/>
            <w:shd w:val="clear" w:color="auto" w:fill="F5F8FA"/>
            <w:tcMar>
              <w:top w:w="90" w:type="dxa"/>
              <w:left w:w="90" w:type="dxa"/>
              <w:bottom w:w="90" w:type="dxa"/>
              <w:right w:w="90" w:type="dxa"/>
            </w:tcMar>
            <w:vAlign w:val="center"/>
          </w:tcPr>
          <w:p w14:paraId="73A07D35" w14:textId="77777777" w:rsidR="00AB2427" w:rsidRPr="001E1667" w:rsidRDefault="00130A17" w:rsidP="00DC1B7D">
            <w:pPr>
              <w:spacing w:after="0" w:line="360" w:lineRule="auto"/>
              <w:jc w:val="left"/>
              <w:rPr>
                <w:sz w:val="18"/>
                <w:szCs w:val="18"/>
              </w:rPr>
            </w:pPr>
            <w:r w:rsidRPr="001E1667">
              <w:rPr>
                <w:sz w:val="18"/>
                <w:szCs w:val="18"/>
              </w:rPr>
              <w:t>Moderate proxy</w:t>
            </w:r>
          </w:p>
        </w:tc>
        <w:tc>
          <w:tcPr>
            <w:tcW w:w="1579" w:type="dxa"/>
            <w:shd w:val="clear" w:color="auto" w:fill="F5F8FA"/>
            <w:tcMar>
              <w:top w:w="90" w:type="dxa"/>
              <w:left w:w="90" w:type="dxa"/>
              <w:bottom w:w="90" w:type="dxa"/>
              <w:right w:w="90" w:type="dxa"/>
            </w:tcMar>
            <w:vAlign w:val="center"/>
          </w:tcPr>
          <w:p w14:paraId="6EF04FD0" w14:textId="77777777" w:rsidR="00AB2427" w:rsidRPr="001E1667" w:rsidRDefault="00130A17" w:rsidP="00DC1B7D">
            <w:pPr>
              <w:spacing w:after="0" w:line="360" w:lineRule="auto"/>
              <w:jc w:val="left"/>
              <w:rPr>
                <w:sz w:val="18"/>
                <w:szCs w:val="18"/>
              </w:rPr>
            </w:pPr>
            <w:r w:rsidRPr="001E1667">
              <w:rPr>
                <w:sz w:val="18"/>
                <w:szCs w:val="18"/>
              </w:rPr>
              <w:t>No Group-wide satisfaction measure; cases are selected.</w:t>
            </w:r>
          </w:p>
        </w:tc>
      </w:tr>
    </w:tbl>
    <w:p w14:paraId="7E931734" w14:textId="77777777" w:rsidR="00810F0C" w:rsidRPr="00810F0C" w:rsidRDefault="00810F0C" w:rsidP="00DC1B7D">
      <w:pPr>
        <w:spacing w:line="360" w:lineRule="auto"/>
        <w:rPr>
          <w:rFonts w:cs="Arial"/>
          <w:szCs w:val="24"/>
        </w:rPr>
      </w:pPr>
    </w:p>
    <w:p w14:paraId="6BEE34DA" w14:textId="77777777" w:rsidR="00810F0C" w:rsidRPr="00810F0C" w:rsidRDefault="00810F0C" w:rsidP="00DC1B7D">
      <w:pPr>
        <w:spacing w:line="360" w:lineRule="auto"/>
        <w:rPr>
          <w:rFonts w:cs="Arial"/>
          <w:szCs w:val="24"/>
        </w:rPr>
      </w:pPr>
      <w:r>
        <w:t>Table 4.1 shows three consistent patterns. First, process coverage and defined environmental indicators provide the strongest evidence because they use stated units, years and baselines. Second, operational and customer mechanisms are visible, but their realised effects are not measured consistently at the same organisational level. Third, the 2025 financial result and the absence of a Group-wide satisfaction measure restrict causal claims. The matrix also reveals an asymmetry in reporting: Bunzl can describe how many suppliers, products, orders or customers entered a process more readily than it can show the downstream consequence of that process. Together, these patterns support an enabling-capability interpretation rather than a claim that SSCM independently determines performance.</w:t>
      </w:r>
    </w:p>
    <w:p w14:paraId="2C6E7EEA" w14:textId="77777777" w:rsidR="00810F0C" w:rsidRPr="00810F0C" w:rsidRDefault="00810F0C" w:rsidP="00DC1B7D">
      <w:pPr>
        <w:pStyle w:val="Heading2"/>
        <w:jc w:val="left"/>
      </w:pPr>
      <w:bookmarkStart w:id="95" w:name="_Toc237017805"/>
      <w:bookmarkStart w:id="96" w:name="_Toc238218143"/>
      <w:bookmarkEnd w:id="95"/>
      <w:r>
        <w:lastRenderedPageBreak/>
        <w:t>4.7 Findings against the research questions</w:t>
      </w:r>
      <w:bookmarkEnd w:id="96"/>
    </w:p>
    <w:p w14:paraId="2607AA41" w14:textId="77777777" w:rsidR="00810F0C" w:rsidRPr="00810F0C" w:rsidRDefault="00810F0C" w:rsidP="00DC1B7D">
      <w:pPr>
        <w:spacing w:line="360" w:lineRule="auto"/>
        <w:rPr>
          <w:rFonts w:cs="Arial"/>
          <w:szCs w:val="24"/>
        </w:rPr>
      </w:pPr>
      <w:r>
        <w:t>RQ1 is answered by five connected practice areas within the four themes: supplier standards and assurance; product and material transition; carbon and resource management; digital and consolidated distribution; and customer-facing sustainability support. Supplier assessment, portfolio and carbon measures provide the clearest longitudinal evidence.</w:t>
      </w:r>
    </w:p>
    <w:p w14:paraId="0F1B51E3" w14:textId="77777777" w:rsidR="00810F0C" w:rsidRPr="00810F0C" w:rsidRDefault="00810F0C" w:rsidP="00DC1B7D">
      <w:pPr>
        <w:spacing w:line="360" w:lineRule="auto"/>
        <w:rPr>
          <w:rFonts w:cs="Arial"/>
          <w:szCs w:val="24"/>
        </w:rPr>
      </w:pPr>
      <w:r>
        <w:t>RQ2 is supported through four mechanisms: risk visibility and response, resource and carbon efficiency, information quality, and service or procurement simplification. The environmental and process evidence is stronger than evidence of Group-wide service, cost or profit effects. The 2025 result confirms that market and execution conditions can dominate aggregate performance.</w:t>
      </w:r>
    </w:p>
    <w:p w14:paraId="262135E0" w14:textId="77777777" w:rsidR="00810F0C" w:rsidRPr="00810F0C" w:rsidRDefault="00810F0C" w:rsidP="00DC1B7D">
      <w:pPr>
        <w:spacing w:line="360" w:lineRule="auto"/>
        <w:rPr>
          <w:rFonts w:cs="Arial"/>
          <w:szCs w:val="24"/>
        </w:rPr>
      </w:pPr>
      <w:r>
        <w:t>RQ3 is supported by customer engagement, transition support and selected tender or contract outcomes. These are indirect indicators of customer-related value, not direct measures of satisfaction or a Group-wide effect. Public documents therefore provide a partial but clearly bounded answer.</w:t>
      </w:r>
    </w:p>
    <w:p w14:paraId="631CA5FE" w14:textId="77777777" w:rsidR="00810F0C" w:rsidRPr="00810F0C" w:rsidRDefault="00810F0C" w:rsidP="00DC1B7D">
      <w:pPr>
        <w:pStyle w:val="Heading2"/>
        <w:jc w:val="left"/>
      </w:pPr>
      <w:bookmarkStart w:id="97" w:name="_Toc237017806"/>
      <w:bookmarkStart w:id="98" w:name="_Toc238218144"/>
      <w:bookmarkEnd w:id="97"/>
      <w:r>
        <w:t>4.8 Chapter summary</w:t>
      </w:r>
      <w:bookmarkEnd w:id="98"/>
    </w:p>
    <w:p w14:paraId="48BCC8DD" w14:textId="4651F89F" w:rsidR="00045A5B" w:rsidRDefault="00130A17" w:rsidP="00DC1B7D">
      <w:pPr>
        <w:spacing w:line="360" w:lineRule="auto"/>
      </w:pPr>
      <w:r>
        <w:t>The analysis identifies four connected developments: wider supplier assurance, measurable portfolio transition, improved environmental indicators and an active customer-facing sustainability proposition. The evidence is strongest for process coverage and environmental direction. Operational and customer mechanisms are credible, but Group-level service, financial and satisfaction effects are not directly established. SSCM is therefore interpreted as an enabling capability whose realised value depends on execution and linked outcome measures.</w:t>
      </w:r>
    </w:p>
    <w:p w14:paraId="2BF33917" w14:textId="52C7A4DB" w:rsidR="00045A5B" w:rsidRDefault="00045A5B" w:rsidP="00DC1B7D">
      <w:pPr>
        <w:spacing w:line="360" w:lineRule="auto"/>
      </w:pPr>
    </w:p>
    <w:p w14:paraId="500C5593" w14:textId="77777777" w:rsidR="00045A5B" w:rsidRDefault="00045A5B" w:rsidP="00DC1B7D">
      <w:pPr>
        <w:spacing w:line="360" w:lineRule="auto"/>
      </w:pPr>
    </w:p>
    <w:p w14:paraId="21B10A22" w14:textId="77777777" w:rsidR="00151806" w:rsidRPr="00151806" w:rsidRDefault="00151806" w:rsidP="00126D50">
      <w:pPr>
        <w:pStyle w:val="Heading1"/>
        <w:spacing w:line="360" w:lineRule="auto"/>
        <w:jc w:val="center"/>
      </w:pPr>
      <w:bookmarkStart w:id="99" w:name="_Toc237017807"/>
      <w:bookmarkStart w:id="100" w:name="_Toc238218145"/>
      <w:r w:rsidRPr="00151806">
        <w:lastRenderedPageBreak/>
        <w:t>Chapter 5: Discussion</w:t>
      </w:r>
      <w:bookmarkEnd w:id="99"/>
      <w:bookmarkEnd w:id="100"/>
    </w:p>
    <w:p w14:paraId="1FDE8FD9" w14:textId="77777777" w:rsidR="00151806" w:rsidRPr="00151806" w:rsidRDefault="00151806" w:rsidP="00DC1B7D">
      <w:pPr>
        <w:pStyle w:val="Heading2"/>
        <w:jc w:val="left"/>
      </w:pPr>
      <w:bookmarkStart w:id="101" w:name="_Toc237017808"/>
      <w:bookmarkStart w:id="102" w:name="_Toc238218146"/>
      <w:r w:rsidRPr="00151806">
        <w:t>5.1 Introduction</w:t>
      </w:r>
      <w:bookmarkEnd w:id="101"/>
      <w:bookmarkEnd w:id="102"/>
    </w:p>
    <w:p w14:paraId="384134F9" w14:textId="77777777" w:rsidR="00AB2427" w:rsidRDefault="00130A17" w:rsidP="00DC1B7D">
      <w:pPr>
        <w:spacing w:line="360" w:lineRule="auto"/>
      </w:pPr>
      <w:r>
        <w:t>This chapter interprets the findings against the three research questions and the theoretical lenses developed in Chapter 2. The central argument is that Bunzl's SSCM practices form an enabling capability: they can strengthen sourcing decisions, environmental efficiency, information and customer support, but their effect depends on operational and commercial execution.</w:t>
      </w:r>
    </w:p>
    <w:p w14:paraId="389A16B0" w14:textId="77777777" w:rsidR="00151806" w:rsidRPr="00151806" w:rsidRDefault="00151806" w:rsidP="00DC1B7D">
      <w:pPr>
        <w:pStyle w:val="Heading2"/>
        <w:jc w:val="left"/>
      </w:pPr>
      <w:bookmarkStart w:id="103" w:name="_Toc237017809"/>
      <w:bookmarkStart w:id="104" w:name="_Toc238218147"/>
      <w:bookmarkEnd w:id="103"/>
      <w:r>
        <w:t>5.2 RQ1: Which SSCM practices are evidenced at Bunzl plc?</w:t>
      </w:r>
      <w:bookmarkEnd w:id="104"/>
    </w:p>
    <w:p w14:paraId="0A653CCD" w14:textId="77777777" w:rsidR="00AB2427" w:rsidRDefault="00130A17" w:rsidP="00DC1B7D">
      <w:pPr>
        <w:spacing w:line="360" w:lineRule="auto"/>
      </w:pPr>
      <w:r>
        <w:t>Bunzl reports an interconnected set of practices across the distributor value chain. Upstream, the Supplier Code, Ethical Sourcing Policy, risk-based assessments, corrective action and possible termination establish supplier governance. Within the portfolio, the company measures product and material transition. Carbon, resource, warehouse, logistics and digital-ordering activities concern its own distribution processes. Downstream, product information, category expertise and sustainability engagement support customer decisions.</w:t>
      </w:r>
    </w:p>
    <w:p w14:paraId="68DA364C" w14:textId="77777777" w:rsidR="00AB2427" w:rsidRDefault="00130A17" w:rsidP="00DC1B7D">
      <w:pPr>
        <w:spacing w:line="360" w:lineRule="auto"/>
      </w:pPr>
      <w:r>
        <w:t>This pattern is consistent with the integrated view of SSCM advanced by Carter and Rogers (2008) and Seuring and Müller (2008), but it adds a distributor-specific emphasis. Manufacturing studies often focus on eco-design, cleaner production and factory processes. Bunzl's leverage is more relational and informational: it coordinates a wide supplier base, aggregates demand and deliveries, organises product data and helps customers select alternatives.</w:t>
      </w:r>
    </w:p>
    <w:p w14:paraId="1661F9CC" w14:textId="77777777" w:rsidR="00AB2427" w:rsidRDefault="00130A17" w:rsidP="00DC1B7D">
      <w:pPr>
        <w:spacing w:line="360" w:lineRule="auto"/>
      </w:pPr>
      <w:r>
        <w:t>The responsible-sourcing evidence also supports the distinction between assessment and collaboration (Gimenez and Tachizawa, 2012). Growing assessment coverage demonstrates monitoring capacity, while remediation and termination show possible action. Less consistent disclosure of closure, recurrence and deeper-tier outcomes explains why an assessment count cannot be treated as the final social result. This reflects the multi-tier visibility problem identified by Koberg and Longoni (2019).</w:t>
      </w:r>
    </w:p>
    <w:p w14:paraId="47B8C812" w14:textId="77777777" w:rsidR="00AB2427" w:rsidRDefault="00130A17" w:rsidP="00DC1B7D">
      <w:pPr>
        <w:spacing w:line="360" w:lineRule="auto"/>
      </w:pPr>
      <w:r>
        <w:t xml:space="preserve">Stakeholder theory clarifies the claims being managed: supplier labour standards, environmental and regulatory requirements, customer service needs and commercial </w:t>
      </w:r>
      <w:r>
        <w:lastRenderedPageBreak/>
        <w:t>continuity (Freeman, 1984). It does not determine how price, availability or competing interests should be balanced. RQ1 is therefore answered by a mature but uneven bundle of standards, assurance, portfolio management, environmental operations, digital information and customer support. Measurement is strongest for activity and environmental indicators and weaker for downstream social and customer outcomes.</w:t>
      </w:r>
    </w:p>
    <w:p w14:paraId="16E046E3" w14:textId="77777777" w:rsidR="00AB2427" w:rsidRDefault="00130A17" w:rsidP="00DC1B7D">
      <w:pPr>
        <w:spacing w:line="360" w:lineRule="auto"/>
      </w:pPr>
      <w:r>
        <w:t>The TBL further explains why these practices should not be collapsed into one sustainability result. Supplier remediation concerns social and governance performance, carbon indicators concern environmental performance, and portfolio revenue or contract outcomes concern commercial activity. Their interaction matters, but each retains a different unit and evidential threshold. Bunzl's reporting is therefore most informative when it preserves those distinctions and explains the pathway between them.</w:t>
      </w:r>
    </w:p>
    <w:p w14:paraId="350C3EF8" w14:textId="77777777" w:rsidR="00151806" w:rsidRPr="00151806" w:rsidRDefault="00151806" w:rsidP="00DC1B7D">
      <w:pPr>
        <w:pStyle w:val="Heading2"/>
        <w:jc w:val="left"/>
      </w:pPr>
      <w:bookmarkStart w:id="105" w:name="_Toc237017810"/>
      <w:bookmarkStart w:id="106" w:name="_Toc238218148"/>
      <w:bookmarkEnd w:id="105"/>
      <w:r>
        <w:t>5.3 RQ2: How does SSCM contribute to operational performance?</w:t>
      </w:r>
      <w:bookmarkEnd w:id="106"/>
    </w:p>
    <w:p w14:paraId="31D87507" w14:textId="77777777" w:rsidR="00AB2427" w:rsidRDefault="00130A17" w:rsidP="00DC1B7D">
      <w:pPr>
        <w:spacing w:line="360" w:lineRule="auto"/>
      </w:pPr>
      <w:r>
        <w:t>The findings support four routes to operational contribution: risk control, resource efficiency, information quality and service simplification. These routes accord with research linking environmental and collaborative supply-chain practices to organisational performance (Vachon and Klassen, 2008; Green et al., 2012; Golicic and Smith, 2013). The Bunzl case also shows why a general positive association should not become a deterministic claim.</w:t>
      </w:r>
    </w:p>
    <w:p w14:paraId="580E6B94" w14:textId="77777777" w:rsidR="00AB2427" w:rsidRDefault="00130A17" w:rsidP="00DC1B7D">
      <w:pPr>
        <w:spacing w:line="360" w:lineRule="auto"/>
      </w:pPr>
      <w:r>
        <w:t>Responsible sourcing can make unacceptable conditions visible and influence sourcing decisions. The 2022 termination data demonstrate that assessment had a commercial consequence, while greater coverage of high-risk spend expands visibility. Avoided disruption, lead-time change and remediation cost are not reported consistently, so the mechanism is better evidenced than the realised operational benefit.</w:t>
      </w:r>
    </w:p>
    <w:p w14:paraId="3C41E508" w14:textId="77777777" w:rsidR="00AB2427" w:rsidRDefault="00130A17" w:rsidP="00DC1B7D">
      <w:pPr>
        <w:spacing w:line="360" w:lineRule="auto"/>
      </w:pPr>
      <w:r>
        <w:t xml:space="preserve">Carbon and resource management provides more direct environmental-outcome evidence. The 18% absolute emissions reduction and 28% carbon-efficiency improvement against 2019 show reported environmental progress, but cannot be equated with cost efficiency. Energy prices, capital expenditure, acquisitions, network configuration and business mix may alter the financial effect. Similarly, 76% digital-order </w:t>
      </w:r>
      <w:r>
        <w:lastRenderedPageBreak/>
        <w:t>penetration shows process adoption without establishing fewer errors, lower cost or better service.</w:t>
      </w:r>
    </w:p>
    <w:p w14:paraId="46FC3CB2" w14:textId="77777777" w:rsidR="00AB2427" w:rsidRDefault="00130A17" w:rsidP="00DC1B7D">
      <w:pPr>
        <w:spacing w:line="360" w:lineRule="auto"/>
      </w:pPr>
      <w:r>
        <w:t>The RBV helps explain how separate resources may become a capability (Barney, 1991). Supplier-risk processes, product data, category expertise, customer relationships and consolidation are more valuable in combination than as isolated activities. However, the 2025 financial results show that this capability is not sufficient for high aggregate performance. Adjusted operating profit declined at constant exchange rates and margin weakened despite improved sustainability indicators. Market demand, core execution, cost control and integration remain complementary capabilities.</w:t>
      </w:r>
    </w:p>
    <w:p w14:paraId="55B15BDE" w14:textId="77777777" w:rsidR="00AB2427" w:rsidRDefault="00130A17" w:rsidP="00DC1B7D">
      <w:pPr>
        <w:spacing w:line="360" w:lineRule="auto"/>
      </w:pPr>
      <w:r>
        <w:t>The acquisition qualifier in the carbon and portfolio data demonstrates this problem at a more specific level. Acquisitions can increase absolute activity and introduce businesses that are not yet fully covered by Group product or emissions systems. Excluding acquisitions may improve comparability for an established perimeter, but it cannot describe integration progress. For operational management, both views are needed: like-for-like movement indicates underlying direction, while total-scope measures show whether Group systems are keeping pace with growth.</w:t>
      </w:r>
    </w:p>
    <w:p w14:paraId="101E405F" w14:textId="77777777" w:rsidR="00AB2427" w:rsidRDefault="00130A17" w:rsidP="00DC1B7D">
      <w:pPr>
        <w:spacing w:line="360" w:lineRule="auto"/>
      </w:pPr>
      <w:r>
        <w:t>Resilience theory offers a further qualification. Visibility, relationships and product choice may support preparedness and adaptation (Christopher and Peck, 2004; Tukamuhabwa et al., 2015), but the documents do not show reduced recovery time or maintained service in a defined disruption. RQ2 is therefore answered at the level of credible mechanisms and selected environmental outcomes. A Group-wide cost, service, resilience or profit effect remains unestablished.</w:t>
      </w:r>
    </w:p>
    <w:p w14:paraId="7398457D" w14:textId="77777777" w:rsidR="00AB2427" w:rsidRDefault="00130A17" w:rsidP="00DC1B7D">
      <w:pPr>
        <w:spacing w:line="360" w:lineRule="auto"/>
      </w:pPr>
      <w:r>
        <w:t>The operational contribution is consequently best understood as conditional and layered. Supplier assurance changes visibility and the range of available responses; product and carbon data improve the information on which sourcing and category decisions are made; and digital or consolidated processes may reduce coordination effort. These are credible mechanisms because they correspond to identifiable activities in Bunzl's documents. Realised operational performance remains dependent on product availability, local execution, demand, pricing, acquisitions and the integration of systems and people.</w:t>
      </w:r>
    </w:p>
    <w:p w14:paraId="33AEC977" w14:textId="77777777" w:rsidR="00AB2427" w:rsidRDefault="00130A17" w:rsidP="00DC1B7D">
      <w:pPr>
        <w:spacing w:line="360" w:lineRule="auto"/>
      </w:pPr>
      <w:r>
        <w:lastRenderedPageBreak/>
        <w:t>This distinction also explains why the 2025 financial result is analytically useful without becoming a simple test of SSCM. A decline in profit does not negate reported environmental improvement, just as improved carbon indicators do not prove a profit benefit. The two patterns show that outcomes can move in different directions when they operate at different levels and are affected by different conditions. RQ2 can therefore be answered in terms of supported contribution pathways, while any claim about net Group-wide financial effect remains outside the evidence available to this study.</w:t>
      </w:r>
    </w:p>
    <w:p w14:paraId="5373BA36" w14:textId="77777777" w:rsidR="00151806" w:rsidRPr="00151806" w:rsidRDefault="00151806" w:rsidP="00DC1B7D">
      <w:pPr>
        <w:pStyle w:val="Heading2"/>
        <w:jc w:val="left"/>
      </w:pPr>
      <w:bookmarkStart w:id="107" w:name="_Toc237017811"/>
      <w:bookmarkStart w:id="108" w:name="_Toc238218149"/>
      <w:bookmarkEnd w:id="107"/>
      <w:r>
        <w:t>5.4 RQ3: What evidence links SSCM to customer satisfaction or customer-related value?</w:t>
      </w:r>
      <w:bookmarkEnd w:id="108"/>
    </w:p>
    <w:p w14:paraId="19BB9D9C" w14:textId="77777777" w:rsidR="00AB2427" w:rsidRDefault="00130A17" w:rsidP="00DC1B7D">
      <w:pPr>
        <w:spacing w:line="360" w:lineRule="auto"/>
      </w:pPr>
      <w:r>
        <w:t>The case supports a customer-value mechanism more strongly than a customer-satisfaction outcome. Engagement with 331 existing and potential customers, sustainability input to tenders and support for product transitions show that the capability reaches the market. For organisational customers, it may simplify compliance, identify suitable products, provide reporting data and reduce procurement effort. This is consistent with Homburg, Stierl and Bornemann's (2013) argument that responsible supplier behaviour can benefit both the buying organisation and the relationship.</w:t>
      </w:r>
    </w:p>
    <w:p w14:paraId="4D9A240A" w14:textId="77777777" w:rsidR="00AB2427" w:rsidRDefault="00130A17" w:rsidP="00DC1B7D">
      <w:pPr>
        <w:spacing w:line="360" w:lineRule="auto"/>
      </w:pPr>
      <w:r>
        <w:t>Stakeholder theory explains why value is co-produced rather than delivered unilaterally. Customer specifications, budgets, reporting obligations and service requirements influence which alternatives are viable; Bunzl connects those requirements with supplier innovation and product availability. Sustainability becomes part of customer value when credible advice and products are combined with reliable service, not when an environmental attribute is offered in isolation.</w:t>
      </w:r>
    </w:p>
    <w:p w14:paraId="2D658094" w14:textId="77777777" w:rsidR="00AB2427" w:rsidRDefault="00130A17" w:rsidP="00DC1B7D">
      <w:pPr>
        <w:spacing w:line="360" w:lineRule="auto"/>
      </w:pPr>
      <w:r>
        <w:t>The evidence hierarchy limits the conclusion. The 331 engagements measure reach and include potential customers. The approximately €2 million RFP case is commercially relevant, but the result may reflect the full proposal. Portfolio sales show adoption, not the customer's post-purchase evaluation. No consistent Group-wide satisfaction measure was found, so the satisfaction pathway examined by Luo and Bhattacharya (2006) cannot be tested directly in this case.</w:t>
      </w:r>
    </w:p>
    <w:p w14:paraId="2A028BA7" w14:textId="77777777" w:rsidR="00AB2427" w:rsidRDefault="00130A17" w:rsidP="00DC1B7D">
      <w:pPr>
        <w:spacing w:line="360" w:lineRule="auto"/>
      </w:pPr>
      <w:r>
        <w:lastRenderedPageBreak/>
        <w:t>The named customer testimonial in the 2025 sustainability section adds a small amount of direct qualitative evidence, but not a representative measure. It shows that a customer can recognise Bunzl's advisory contribution; it does not show the distribution of views across accounts, sectors or regions. This distinction matters because customer priorities vary. Regulatory pressure may make data and compliant alternatives highly valuable in one market, while cost or functional requirements dominate another.</w:t>
      </w:r>
    </w:p>
    <w:p w14:paraId="3EB44FFF" w14:textId="77777777" w:rsidR="00AB2427" w:rsidRDefault="00130A17" w:rsidP="00DC1B7D">
      <w:pPr>
        <w:spacing w:line="360" w:lineRule="auto"/>
      </w:pPr>
      <w:r>
        <w:t>RQ3 is therefore answered cautiously: customer-facing capability and selected commercial relevance are supported by public evidence, while an organisation-wide satisfaction effect is not. The practical implication is to link feedback with the account, transition or service concerned, so that management can distinguish customer value from engagement activity.</w:t>
      </w:r>
    </w:p>
    <w:p w14:paraId="266DCAAC" w14:textId="77777777" w:rsidR="00151806" w:rsidRPr="00151806" w:rsidRDefault="00151806" w:rsidP="00DC1B7D">
      <w:pPr>
        <w:pStyle w:val="Heading2"/>
        <w:jc w:val="left"/>
      </w:pPr>
      <w:bookmarkStart w:id="109" w:name="_Toc237017813"/>
      <w:bookmarkStart w:id="110" w:name="_Toc238218150"/>
      <w:bookmarkEnd w:id="109"/>
      <w:r>
        <w:t>5.5 Theoretical contribution</w:t>
      </w:r>
      <w:bookmarkEnd w:id="110"/>
    </w:p>
    <w:p w14:paraId="5D04E493" w14:textId="77777777" w:rsidR="00AB2427" w:rsidRDefault="00130A17" w:rsidP="00DC1B7D">
      <w:pPr>
        <w:spacing w:line="360" w:lineRule="auto"/>
      </w:pPr>
      <w:r>
        <w:t>The study refines the literature in three ways. First, it separates practice, mechanism and outcome. Supplier assessment is a practice; improved risk visibility is a mechanism; avoided disruption would be an outcome requiring further evidence. Second, measurement capability is both an organisational resource and a condition for learning: without linked supplier, operational and customer data, management cannot identify which practices create value. Third, the distributor is positioned as a coordinator of upstream standards, product information, availability, consolidation and downstream adoption.</w:t>
      </w:r>
    </w:p>
    <w:p w14:paraId="1FC1CF2B" w14:textId="77777777" w:rsidR="00AB2427" w:rsidRDefault="00130A17" w:rsidP="00DC1B7D">
      <w:pPr>
        <w:spacing w:line="360" w:lineRule="auto"/>
      </w:pPr>
      <w:r>
        <w:t>These refinements extend a manufacturing-centred SSCM discussion towards intermediation capability. The TBL helps preserve different dimensions of performance, stakeholder theory explains connected expectations and the RBV explains the value of combined information, expertise and relationships. Across all three lenses, the business case remains contingent on function, cost, service, credible evidence and execution.</w:t>
      </w:r>
    </w:p>
    <w:p w14:paraId="69357072" w14:textId="77777777" w:rsidR="00AB2427" w:rsidRDefault="00130A17" w:rsidP="00DC1B7D">
      <w:pPr>
        <w:spacing w:line="360" w:lineRule="auto"/>
      </w:pPr>
      <w:r>
        <w:t xml:space="preserve">The distributor perspective also changes the unit at which outcomes should be examined. A manufacturing intervention may be observed at a process or plant, whereas Bunzl's contribution can arise in a supplier decision, product category, delivery network or customer account. Group-wide reporting remains useful for direction and governance, but </w:t>
      </w:r>
      <w:r>
        <w:lastRenderedPageBreak/>
        <w:t>attribution is more credible when the measure is located close to the decision that generated it. This insight underpins the recommendation for linked, account- and initiative-level evidence.</w:t>
      </w:r>
    </w:p>
    <w:p w14:paraId="4227BEB9" w14:textId="77777777" w:rsidR="00AB2427" w:rsidRDefault="00130A17" w:rsidP="00DC1B7D">
      <w:pPr>
        <w:spacing w:line="360" w:lineRule="auto"/>
      </w:pPr>
      <w:r>
        <w:t>The theoretical contribution is also methodological. Applying the TBL as separate evidence domains avoids treating a social process measure, an environmental outcome and a financial result as components of one unqualified sustainability score. Stakeholder theory explains why supplier standards and customer support are connected, but the case shows that stakeholder responsiveness must still be demonstrated through the relevant supplier or customer evidence. The RBV identifies the potential value of Bunzl's data, scale, expertise and relationships, while the 2025 result shows that a potentially valuable resource bundle is not automatically translated into realised performance.</w:t>
      </w:r>
    </w:p>
    <w:p w14:paraId="09CC9BF9" w14:textId="77777777" w:rsidR="00AB2427" w:rsidRDefault="00130A17" w:rsidP="00DC1B7D">
      <w:pPr>
        <w:spacing w:line="360" w:lineRule="auto"/>
      </w:pPr>
      <w:r>
        <w:t>The case therefore adds a boundary condition to the enabling-capability argument. Intermediation creates value when information and influence are converted into reliable execution at the point where a decision is made. A Group-wide disclosure may show direction, but operational attribution becomes more credible at the level of a supplier remediation, product transition, delivery process or customer account. This finding does not reject firm-level sustainability reporting; it shows why reporting should be connected to local decision and outcome records if managers and researchers are to evaluate how value was created.</w:t>
      </w:r>
    </w:p>
    <w:p w14:paraId="09884DFE" w14:textId="77777777" w:rsidR="00151806" w:rsidRPr="00151806" w:rsidRDefault="00151806" w:rsidP="00DC1B7D">
      <w:pPr>
        <w:pStyle w:val="Heading2"/>
        <w:jc w:val="left"/>
      </w:pPr>
      <w:bookmarkStart w:id="111" w:name="_Toc237017814"/>
      <w:bookmarkStart w:id="112" w:name="_Toc238218151"/>
      <w:bookmarkEnd w:id="111"/>
      <w:r>
        <w:t>5.6 Managerial implications</w:t>
      </w:r>
      <w:bookmarkEnd w:id="112"/>
    </w:p>
    <w:p w14:paraId="4D24B508" w14:textId="77777777" w:rsidR="00AB2427" w:rsidRDefault="00130A17" w:rsidP="00DC1B7D">
      <w:pPr>
        <w:spacing w:line="360" w:lineRule="auto"/>
      </w:pPr>
      <w:r>
        <w:t>Management should govern pathways rather than count activities alone. Each material SSCM initiative needs a stated operational or customer mechanism, a baseline, an outcome measure and a decision rule for continuation or redesign. Supplier remediation, unsuccessful product transitions and negative customer feedback are not reporting failures; they identify where capability and control require improvement.</w:t>
      </w:r>
    </w:p>
    <w:p w14:paraId="1441D0BF" w14:textId="77777777" w:rsidR="00AB2427" w:rsidRDefault="00130A17" w:rsidP="00DC1B7D">
      <w:pPr>
        <w:spacing w:line="360" w:lineRule="auto"/>
      </w:pPr>
      <w:r>
        <w:t>Customer evidence should also be segmented because regulation, product type, sector and buyer maturity affect value. These implications lead to the linked measurement, supplier-outcome, customer-value and phased implementation recommendations in Chapter 6.</w:t>
      </w:r>
    </w:p>
    <w:p w14:paraId="3BF1E4E3" w14:textId="77777777" w:rsidR="00151806" w:rsidRPr="00151806" w:rsidRDefault="00151806" w:rsidP="00DC1B7D">
      <w:pPr>
        <w:pStyle w:val="Heading2"/>
        <w:jc w:val="left"/>
      </w:pPr>
      <w:bookmarkStart w:id="113" w:name="_Toc237017815"/>
      <w:bookmarkStart w:id="114" w:name="_Toc238218152"/>
      <w:bookmarkEnd w:id="113"/>
      <w:r>
        <w:lastRenderedPageBreak/>
        <w:t>5.7 Chapter summary</w:t>
      </w:r>
      <w:bookmarkEnd w:id="114"/>
    </w:p>
    <w:p w14:paraId="49E6A677" w14:textId="043BD773" w:rsidR="00AB2427" w:rsidRDefault="00130A17" w:rsidP="00DC1B7D">
      <w:pPr>
        <w:spacing w:line="360" w:lineRule="auto"/>
      </w:pPr>
      <w:r>
        <w:t>Bunzl evidences a broad SSCM practice set and credible routes to risk control, environmental efficiency, information quality and customer support. The evidence is strongest for process reach and environmental performance, moderate for customer-related value and insufficient for direct Group-wide satisfaction or causal financial attribution. SSCM is therefore best understood as a contingent organisational capability whose outcomes must be measured at the level where the practice is implemented.</w:t>
      </w:r>
    </w:p>
    <w:p w14:paraId="06C5119A" w14:textId="2AD2EABE" w:rsidR="00045A5B" w:rsidRDefault="00045A5B" w:rsidP="00DC1B7D">
      <w:pPr>
        <w:spacing w:line="360" w:lineRule="auto"/>
      </w:pPr>
    </w:p>
    <w:p w14:paraId="788446EC" w14:textId="7BC44633" w:rsidR="00045A5B" w:rsidRDefault="00045A5B" w:rsidP="00DC1B7D">
      <w:pPr>
        <w:spacing w:line="360" w:lineRule="auto"/>
      </w:pPr>
    </w:p>
    <w:p w14:paraId="33C6077E" w14:textId="4B5E1CBA" w:rsidR="00045A5B" w:rsidRDefault="00045A5B" w:rsidP="00DC1B7D">
      <w:pPr>
        <w:spacing w:line="360" w:lineRule="auto"/>
      </w:pPr>
    </w:p>
    <w:p w14:paraId="7480F537" w14:textId="095FB94F" w:rsidR="00045A5B" w:rsidRDefault="00045A5B" w:rsidP="00DC1B7D">
      <w:pPr>
        <w:spacing w:line="360" w:lineRule="auto"/>
      </w:pPr>
    </w:p>
    <w:p w14:paraId="3854C52C" w14:textId="5B202FB3" w:rsidR="00045A5B" w:rsidRDefault="00045A5B" w:rsidP="00DC1B7D">
      <w:pPr>
        <w:spacing w:line="360" w:lineRule="auto"/>
      </w:pPr>
    </w:p>
    <w:p w14:paraId="7CD2CAF4" w14:textId="604E88AF" w:rsidR="00045A5B" w:rsidRDefault="00045A5B" w:rsidP="00DC1B7D">
      <w:pPr>
        <w:spacing w:line="360" w:lineRule="auto"/>
      </w:pPr>
    </w:p>
    <w:p w14:paraId="3FDE9B55" w14:textId="134BEB0D" w:rsidR="00045A5B" w:rsidRDefault="00045A5B" w:rsidP="00DC1B7D">
      <w:pPr>
        <w:spacing w:line="360" w:lineRule="auto"/>
      </w:pPr>
    </w:p>
    <w:p w14:paraId="6285196D" w14:textId="565BC458" w:rsidR="00045A5B" w:rsidRDefault="00045A5B" w:rsidP="00DC1B7D">
      <w:pPr>
        <w:spacing w:line="360" w:lineRule="auto"/>
      </w:pPr>
    </w:p>
    <w:p w14:paraId="198837F7" w14:textId="6A7CB8D3" w:rsidR="00045A5B" w:rsidRDefault="00045A5B" w:rsidP="00DC1B7D">
      <w:pPr>
        <w:spacing w:line="360" w:lineRule="auto"/>
      </w:pPr>
    </w:p>
    <w:p w14:paraId="4DCB6EE9" w14:textId="2CE97063" w:rsidR="00045A5B" w:rsidRDefault="00045A5B" w:rsidP="00DC1B7D">
      <w:pPr>
        <w:spacing w:line="360" w:lineRule="auto"/>
      </w:pPr>
    </w:p>
    <w:p w14:paraId="12894788" w14:textId="77E988ED" w:rsidR="00045A5B" w:rsidRDefault="00045A5B" w:rsidP="00DC1B7D">
      <w:pPr>
        <w:spacing w:line="360" w:lineRule="auto"/>
      </w:pPr>
    </w:p>
    <w:p w14:paraId="5536D452" w14:textId="17352A1D" w:rsidR="00045A5B" w:rsidRDefault="00045A5B" w:rsidP="00DC1B7D">
      <w:pPr>
        <w:spacing w:line="360" w:lineRule="auto"/>
      </w:pPr>
    </w:p>
    <w:p w14:paraId="55B1A1A1" w14:textId="004A0921" w:rsidR="00045A5B" w:rsidRDefault="00045A5B" w:rsidP="00DC1B7D">
      <w:pPr>
        <w:spacing w:line="360" w:lineRule="auto"/>
      </w:pPr>
    </w:p>
    <w:p w14:paraId="334CE440" w14:textId="77777777" w:rsidR="00045A5B" w:rsidRDefault="00045A5B" w:rsidP="00DC1B7D">
      <w:pPr>
        <w:spacing w:line="360" w:lineRule="auto"/>
      </w:pPr>
    </w:p>
    <w:p w14:paraId="308D0071" w14:textId="77777777" w:rsidR="00BB6DBD" w:rsidRPr="00BB6DBD" w:rsidRDefault="00BB6DBD" w:rsidP="00126D50">
      <w:pPr>
        <w:pStyle w:val="Heading1"/>
        <w:spacing w:line="360" w:lineRule="auto"/>
        <w:jc w:val="center"/>
      </w:pPr>
      <w:bookmarkStart w:id="115" w:name="_Toc237017816"/>
      <w:bookmarkStart w:id="116" w:name="_Toc238218153"/>
      <w:r w:rsidRPr="00BB6DBD">
        <w:lastRenderedPageBreak/>
        <w:t>Chapter 6: Recommendations</w:t>
      </w:r>
      <w:bookmarkEnd w:id="115"/>
      <w:bookmarkEnd w:id="116"/>
    </w:p>
    <w:p w14:paraId="2C56C765" w14:textId="77777777" w:rsidR="00BB6DBD" w:rsidRPr="009454B9" w:rsidRDefault="00BB6DBD" w:rsidP="00DC1B7D">
      <w:pPr>
        <w:pStyle w:val="Heading2"/>
        <w:jc w:val="left"/>
      </w:pPr>
      <w:bookmarkStart w:id="117" w:name="_Toc237017817"/>
      <w:bookmarkStart w:id="118" w:name="_Toc238218154"/>
      <w:r w:rsidRPr="00BB6DBD">
        <w:t>6.1 Introduction</w:t>
      </w:r>
      <w:bookmarkEnd w:id="117"/>
      <w:bookmarkEnd w:id="118"/>
    </w:p>
    <w:p w14:paraId="182C2717" w14:textId="77777777" w:rsidR="00AB2427" w:rsidRDefault="00130A17" w:rsidP="00DC1B7D">
      <w:pPr>
        <w:spacing w:line="360" w:lineRule="auto"/>
      </w:pPr>
      <w:r>
        <w:t>The findings do not justify a general call for more sustainability activity. Bunzl already reports substantial activity. The priority is to make the links between practice, operational result and customer value visible, comparable and manageable. The recommendations therefore address the evidence gaps identified in Chapters 4 and 5 and are sequenced to allow testing before Group-wide adoption.</w:t>
      </w:r>
    </w:p>
    <w:p w14:paraId="70E45613" w14:textId="77777777" w:rsidR="00BB6DBD" w:rsidRPr="00BB6DBD" w:rsidRDefault="00BB6DBD" w:rsidP="00DC1B7D">
      <w:pPr>
        <w:pStyle w:val="Heading2"/>
        <w:jc w:val="left"/>
      </w:pPr>
      <w:bookmarkStart w:id="119" w:name="_Toc237017818"/>
      <w:bookmarkStart w:id="120" w:name="_Toc238218155"/>
      <w:bookmarkEnd w:id="119"/>
      <w:r>
        <w:t>6.2 Recommendation 1: Establish a connected performance architecture</w:t>
      </w:r>
      <w:bookmarkEnd w:id="120"/>
    </w:p>
    <w:p w14:paraId="02C70401" w14:textId="77777777" w:rsidR="00AB2427" w:rsidRDefault="00130A17" w:rsidP="00DC1B7D">
      <w:pPr>
        <w:spacing w:line="360" w:lineRule="auto"/>
      </w:pPr>
      <w:r>
        <w:t>Bunzl should establish a governed data model that links each material SSCM practice to its proposed mechanism and outcome at an appropriate level of aggregation. Existing supplier, product and carbon indicators should be retained, but connected where possible with operational or customer measures rather than combined into a single sustainability score.</w:t>
      </w:r>
    </w:p>
    <w:p w14:paraId="27F13976" w14:textId="77777777" w:rsidR="00AB2427" w:rsidRDefault="00130A17" w:rsidP="00DC1B7D">
      <w:pPr>
        <w:spacing w:line="360" w:lineRule="auto"/>
      </w:pPr>
      <w:r>
        <w:t>Responsible-sourcing records should include supplier risk category, finding type, action owner, due date, closure status, verification, recurrence and sourcing consequence. Product-transition records should connect category and environmental rationale with availability, price movement, adoption, returns or complaints. Carbon and distribution projects should link activity or emissions data with relevant facility, route, cost or service measures. Customer-facing work should connect engagement with proposal, conversion, adoption and feedback over time.</w:t>
      </w:r>
    </w:p>
    <w:p w14:paraId="6C3625F4" w14:textId="77777777" w:rsidR="00AB2427" w:rsidRDefault="00130A17" w:rsidP="00DC1B7D">
      <w:pPr>
        <w:spacing w:line="360" w:lineRule="auto"/>
      </w:pPr>
      <w:r>
        <w:t>Data governance must state the owner, definition, scope, source system, reporting frequency and assurance status of every indicator. Finance should validate financial measures, while Procurement, Operations and Commercial teams should own the processes that generate the underlying data. A quarterly cross-functional review should focus on exceptions, failed assumptions and learning rather than the volume of reported activity.</w:t>
      </w:r>
    </w:p>
    <w:p w14:paraId="745AFA6C" w14:textId="77777777" w:rsidR="00AB2427" w:rsidRDefault="00130A17" w:rsidP="00DC1B7D">
      <w:pPr>
        <w:spacing w:line="360" w:lineRule="auto"/>
      </w:pPr>
      <w:r>
        <w:t xml:space="preserve">The architecture should begin with a small number of decision pathways rather than a large dashboard. One supplier pathway might connect a critical finding with closure, </w:t>
      </w:r>
      <w:r>
        <w:lastRenderedPageBreak/>
        <w:t>repeat assessment and continuity outcome; one product pathway might connect a transition with adoption, complaint and margin; and one customer pathway might connect advice with implementation and feedback. Piloting these links would reveal missing data and impractical definitions before they become Group requirements.</w:t>
      </w:r>
    </w:p>
    <w:p w14:paraId="6145F9F1" w14:textId="77777777" w:rsidR="00BB6DBD" w:rsidRPr="00BB6DBD" w:rsidRDefault="00BB6DBD" w:rsidP="00DC1B7D">
      <w:pPr>
        <w:pStyle w:val="Heading2"/>
        <w:jc w:val="left"/>
      </w:pPr>
      <w:bookmarkStart w:id="121" w:name="_Toc237017819"/>
      <w:bookmarkStart w:id="122" w:name="_Toc238218156"/>
      <w:bookmarkEnd w:id="121"/>
      <w:r>
        <w:t>6.3 Recommendation 2: Move from supplier coverage to verified improvement</w:t>
      </w:r>
      <w:bookmarkEnd w:id="122"/>
    </w:p>
    <w:p w14:paraId="5492845E" w14:textId="77777777" w:rsidR="00AB2427" w:rsidRDefault="00130A17" w:rsidP="00DC1B7D">
      <w:pPr>
        <w:spacing w:line="360" w:lineRule="auto"/>
      </w:pPr>
      <w:r>
        <w:t>Assessment coverage should remain a headline control, but it should be supplemented by outcome measures: the proportion of critical findings closed by the agreed date, median closure time by category, repeat-finding rate, verified closure rate and sourcing value exposed to overdue actions. These measures would show whether assessment leads to sustained improvement and lower residual risk.</w:t>
      </w:r>
    </w:p>
    <w:p w14:paraId="13ECE09E" w14:textId="77777777" w:rsidR="00AB2427" w:rsidRDefault="00130A17" w:rsidP="00DC1B7D">
      <w:pPr>
        <w:spacing w:line="360" w:lineRule="auto"/>
      </w:pPr>
      <w:r>
        <w:t>A tiered response should distinguish suppliers needing basic correction, capability-building support or intensified assurance and commercial escalation. Strategic suppliers with remediable issues may require a time-bound improvement plan; termination should remain available where risk is unacceptable or progress repeatedly fails. The procurement rationale should be recorded so ethical risk and continuity are evaluated transparently.</w:t>
      </w:r>
    </w:p>
    <w:p w14:paraId="0171D868" w14:textId="77777777" w:rsidR="00AB2427" w:rsidRDefault="00130A17" w:rsidP="00DC1B7D">
      <w:pPr>
        <w:spacing w:line="360" w:lineRule="auto"/>
      </w:pPr>
      <w:r>
        <w:t>Deeper-tier mapping should begin with a small number of material high-risk categories. A focused pilot with verifiable supplier and product links is more useful than a broad claim of traceability that cannot be supported consistently. Lessons from these categories can inform a proportionate Group standard.</w:t>
      </w:r>
    </w:p>
    <w:p w14:paraId="0787BA71" w14:textId="77777777" w:rsidR="00BB6DBD" w:rsidRPr="00BB6DBD" w:rsidRDefault="00BB6DBD" w:rsidP="00DC1B7D">
      <w:pPr>
        <w:pStyle w:val="Heading2"/>
        <w:jc w:val="left"/>
      </w:pPr>
      <w:bookmarkStart w:id="123" w:name="_Toc237017820"/>
      <w:bookmarkStart w:id="124" w:name="_Toc238218157"/>
      <w:r w:rsidRPr="00BB6DBD">
        <w:t>6.4 Recommendation 3: Create customer-level sustainability value accounts</w:t>
      </w:r>
      <w:bookmarkEnd w:id="123"/>
      <w:bookmarkEnd w:id="124"/>
    </w:p>
    <w:p w14:paraId="7D083E6A" w14:textId="77777777" w:rsidR="00AB2427" w:rsidRDefault="00130A17" w:rsidP="00DC1B7D">
      <w:pPr>
        <w:spacing w:line="360" w:lineRule="auto"/>
      </w:pPr>
      <w:r>
        <w:t>Bunzl should pilot customer-level value accounts for selected strategic relationships. Each account should record the sustainability intervention, product or service adopted, operational and environmental evidence, commercial result and customer feedback. A short question should assess satisfaction with the specific transition or advisory service and invite the reasons for the response.</w:t>
      </w:r>
    </w:p>
    <w:p w14:paraId="404F6B25" w14:textId="77777777" w:rsidR="00AB2427" w:rsidRDefault="00130A17" w:rsidP="00DC1B7D">
      <w:pPr>
        <w:spacing w:line="360" w:lineRule="auto"/>
      </w:pPr>
      <w:r>
        <w:lastRenderedPageBreak/>
        <w:t>The account must distinguish existing from prospective customers, decision-maker from end-user feedback, and a tender win from post-implementation experience. With appropriate customer agreement and confidentiality controls, cases can be compared by sector, proposition and account size using adoption, retention, complaints and satisfaction. This would replace an assumed universal sustainability premium with evidence about where and under what conditions value is realised.</w:t>
      </w:r>
    </w:p>
    <w:p w14:paraId="41CE4BA0" w14:textId="77777777" w:rsidR="00BB6DBD" w:rsidRPr="00BB6DBD" w:rsidRDefault="009454B9" w:rsidP="00DC1B7D">
      <w:pPr>
        <w:pStyle w:val="Heading2"/>
        <w:jc w:val="left"/>
      </w:pPr>
      <w:bookmarkStart w:id="125" w:name="_Toc237017821"/>
      <w:bookmarkStart w:id="126" w:name="_Toc238218158"/>
      <w:r>
        <w:t xml:space="preserve">6.5 </w:t>
      </w:r>
      <w:r w:rsidR="00BB6DBD" w:rsidRPr="00BB6DBD">
        <w:t>Recommendation 4: Improve governance of the product-transition evidence and claims</w:t>
      </w:r>
      <w:bookmarkEnd w:id="125"/>
      <w:bookmarkEnd w:id="126"/>
    </w:p>
    <w:p w14:paraId="22380328" w14:textId="77777777" w:rsidR="00AB2427" w:rsidRDefault="00130A17" w:rsidP="00DC1B7D">
      <w:pPr>
        <w:spacing w:line="360" w:lineRule="auto"/>
      </w:pPr>
      <w:r>
        <w:t>Product-level evidence should match the environmental claim being made. Classification, geography, intended disposal route, data source and limitations should be recorded. Where whole-life benefit has not been assessed, customer communication should refer to the verified attribute rather than claim overall superiority.</w:t>
      </w:r>
    </w:p>
    <w:p w14:paraId="59DDDAB0" w14:textId="77777777" w:rsidR="00AB2427" w:rsidRDefault="00130A17" w:rsidP="00DC1B7D">
      <w:pPr>
        <w:spacing w:line="360" w:lineRule="auto"/>
      </w:pPr>
      <w:r>
        <w:t>Sustainability, Category Management, Legal and Commercial teams should agree claim categories and review them periodically. Functionality, availability, cost, adoption and complaints should be monitored during transition pilots so that claims remain credible and unsuccessful substitutions generate operational learning.</w:t>
      </w:r>
    </w:p>
    <w:p w14:paraId="2F1B84E1" w14:textId="77777777" w:rsidR="00BB6DBD" w:rsidRPr="00BB6DBD" w:rsidRDefault="00BB6DBD" w:rsidP="00DC1B7D">
      <w:pPr>
        <w:pStyle w:val="Heading2"/>
        <w:jc w:val="left"/>
      </w:pPr>
      <w:bookmarkStart w:id="127" w:name="_Toc237017822"/>
      <w:bookmarkStart w:id="128" w:name="_Toc238218159"/>
      <w:bookmarkEnd w:id="127"/>
      <w:r>
        <w:t>6.6 Recommendation 5: Integrate benefits realisation into governance</w:t>
      </w:r>
      <w:bookmarkEnd w:id="128"/>
    </w:p>
    <w:p w14:paraId="4DC577A4" w14:textId="77777777" w:rsidR="00AB2427" w:rsidRDefault="00130A17" w:rsidP="00DC1B7D">
      <w:pPr>
        <w:spacing w:line="360" w:lineRule="auto"/>
      </w:pPr>
      <w:r>
        <w:t>SSCM initiatives should be reviewed within normal operating governance rather than as a separate programme. Each major initiative should have an operational sponsor, a value hypothesis, baseline, leading and lagging indicators and a decision point to scale, redesign or stop. Acquisition plans should include timed reviews of supplier controls, product data, carbon-reporting readiness and the customer proposition.</w:t>
      </w:r>
    </w:p>
    <w:p w14:paraId="2B8BA87E" w14:textId="77777777" w:rsidR="00AB2427" w:rsidRDefault="00130A17" w:rsidP="00DC1B7D">
      <w:pPr>
        <w:spacing w:line="360" w:lineRule="auto"/>
      </w:pPr>
      <w:r>
        <w:t>This integration responds directly to the 2025 finding: sustainability indicators can improve while aggregate operating performance weakens for other reasons. Sustainability teams cannot compensate for poor fulfilment or commercial execution, and operations cannot realise sustainability value without credible data and expertise. Joint accountability is therefore essential.</w:t>
      </w:r>
    </w:p>
    <w:p w14:paraId="27CBC26A" w14:textId="77777777" w:rsidR="00AB2427" w:rsidRDefault="00130A17" w:rsidP="00DC1B7D">
      <w:pPr>
        <w:spacing w:line="360" w:lineRule="auto"/>
      </w:pPr>
      <w:r>
        <w:t xml:space="preserve">Operating reviews should record both realised and unrealised benefits. If an initiative fails because a substitute is unavailable, customers reject it or data cannot be obtained </w:t>
      </w:r>
      <w:r>
        <w:lastRenderedPageBreak/>
        <w:t>reliably, the decision should be documented rather than excluded from the evidence base. This creates a more realistic benefits-realisation process and reduces the incentive to report only successful examples.</w:t>
      </w:r>
    </w:p>
    <w:p w14:paraId="4EEE31C7" w14:textId="77777777" w:rsidR="00BB6DBD" w:rsidRPr="00BB6DBD" w:rsidRDefault="00BB6DBD" w:rsidP="00DC1B7D">
      <w:pPr>
        <w:pStyle w:val="Heading2"/>
        <w:jc w:val="left"/>
      </w:pPr>
      <w:bookmarkStart w:id="129" w:name="_Toc237017823"/>
      <w:bookmarkStart w:id="130" w:name="_Toc238218160"/>
      <w:r w:rsidRPr="00BB6DBD">
        <w:t>6.7 Phased implementation roadmap</w:t>
      </w:r>
      <w:bookmarkEnd w:id="129"/>
      <w:bookmarkEnd w:id="130"/>
    </w:p>
    <w:p w14:paraId="22F86DE5" w14:textId="77777777" w:rsidR="00BB6DBD" w:rsidRDefault="00BB6DBD" w:rsidP="00DC1B7D">
      <w:pPr>
        <w:spacing w:line="360" w:lineRule="auto"/>
        <w:rPr>
          <w:rFonts w:cs="Arial"/>
          <w:szCs w:val="24"/>
        </w:rPr>
      </w:pPr>
      <w:r>
        <w:t>Figure 6.1 was constructed by placing the recommendations in three implementation horizons. Definition and ownership come first, supplier and customer pilots provide evidence in the second period, and only measures that prove useful are scaled in the third. Cross-functional governance applies throughout.</w:t>
      </w:r>
    </w:p>
    <w:p w14:paraId="2F9CB26C" w14:textId="77777777" w:rsidR="009454B9" w:rsidRPr="009454B9" w:rsidRDefault="009454B9" w:rsidP="00DC1B7D">
      <w:pPr>
        <w:pStyle w:val="Heading4"/>
        <w:rPr>
          <w:rFonts w:cstheme="minorBidi"/>
        </w:rPr>
      </w:pPr>
      <w:bookmarkStart w:id="131" w:name="_Hlk237484368"/>
      <w:r>
        <w:rPr>
          <w:lang w:val="en-GB"/>
        </w:rPr>
        <w:t>Figure 6.1 Phased SSCM implementation roadmap</w:t>
      </w:r>
    </w:p>
    <w:p w14:paraId="2975B6F9" w14:textId="77777777" w:rsidR="0010140B" w:rsidRDefault="0010140B" w:rsidP="00DC1B7D">
      <w:pPr>
        <w:keepNext/>
        <w:spacing w:after="40" w:line="360" w:lineRule="auto"/>
        <w:jc w:val="center"/>
      </w:pPr>
      <w:r>
        <w:rPr>
          <w:rFonts w:eastAsia="Arial" w:cs="Arial"/>
          <w:b/>
          <w:color w:val="24797D"/>
          <w:sz w:val="18"/>
        </w:rPr>
        <w:t>IMPLEMENTATION ROADMAP</w:t>
      </w:r>
    </w:p>
    <w:p w14:paraId="23F92ADA" w14:textId="252572CE" w:rsidR="0010140B" w:rsidRDefault="0010140B" w:rsidP="00DC1B7D">
      <w:pPr>
        <w:keepNext/>
        <w:spacing w:after="140" w:line="360" w:lineRule="auto"/>
        <w:jc w:val="center"/>
      </w:pPr>
      <w:r>
        <w:rPr>
          <w:rFonts w:eastAsia="Arial" w:cs="Arial"/>
          <w:b/>
          <w:color w:val="173653"/>
          <w:sz w:val="40"/>
        </w:rPr>
        <w:t xml:space="preserve">Build evidence, learn, </w:t>
      </w:r>
      <w:r w:rsidR="00126D50">
        <w:rPr>
          <w:rFonts w:eastAsia="Arial" w:cs="Arial"/>
          <w:b/>
          <w:color w:val="173653"/>
          <w:sz w:val="40"/>
        </w:rPr>
        <w:t>and then</w:t>
      </w:r>
      <w:r>
        <w:rPr>
          <w:rFonts w:eastAsia="Arial" w:cs="Arial"/>
          <w:b/>
          <w:color w:val="173653"/>
          <w:sz w:val="40"/>
        </w:rPr>
        <w:t xml:space="preserve"> scale</w:t>
      </w:r>
    </w:p>
    <w:p w14:paraId="28EDB01C" w14:textId="77777777" w:rsidR="0010140B" w:rsidRDefault="0010140B" w:rsidP="00DC1B7D">
      <w:pPr>
        <w:spacing w:after="80" w:line="360" w:lineRule="auto"/>
        <w:jc w:val="center"/>
      </w:pPr>
    </w:p>
    <w:tbl>
      <w:tblPr>
        <w:tblW w:w="10046" w:type="dxa"/>
        <w:jc w:val="center"/>
        <w:tblBorders>
          <w:top w:val="nil"/>
          <w:left w:val="nil"/>
          <w:bottom w:val="nil"/>
          <w:right w:val="nil"/>
          <w:insideH w:val="nil"/>
          <w:insideV w:val="nil"/>
        </w:tblBorders>
        <w:tblLayout w:type="fixed"/>
        <w:tblLook w:val="04A0" w:firstRow="1" w:lastRow="0" w:firstColumn="1" w:lastColumn="0" w:noHBand="0" w:noVBand="1"/>
      </w:tblPr>
      <w:tblGrid>
        <w:gridCol w:w="3024"/>
        <w:gridCol w:w="487"/>
        <w:gridCol w:w="3024"/>
        <w:gridCol w:w="487"/>
        <w:gridCol w:w="3024"/>
      </w:tblGrid>
      <w:tr w:rsidR="0010140B" w14:paraId="13D2C3A3" w14:textId="77777777" w:rsidTr="0010140B">
        <w:trPr>
          <w:trHeight w:val="458"/>
          <w:tblHeader/>
          <w:jc w:val="center"/>
        </w:trPr>
        <w:tc>
          <w:tcPr>
            <w:tcW w:w="3024" w:type="dxa"/>
            <w:tcBorders>
              <w:top w:val="single" w:sz="12" w:space="0" w:color="173653"/>
              <w:left w:val="single" w:sz="12" w:space="0" w:color="173653"/>
              <w:bottom w:val="single" w:sz="12" w:space="0" w:color="173653"/>
              <w:right w:val="single" w:sz="12" w:space="0" w:color="173653"/>
            </w:tcBorders>
            <w:shd w:val="clear" w:color="auto" w:fill="E8F0F6"/>
            <w:tcMar>
              <w:top w:w="90" w:type="dxa"/>
              <w:left w:w="90" w:type="dxa"/>
              <w:bottom w:w="90" w:type="dxa"/>
              <w:right w:w="90" w:type="dxa"/>
            </w:tcMar>
            <w:vAlign w:val="center"/>
          </w:tcPr>
          <w:p w14:paraId="4189DD84" w14:textId="77777777" w:rsidR="0010140B" w:rsidRDefault="0010140B" w:rsidP="00DC1B7D">
            <w:pPr>
              <w:spacing w:after="0" w:line="360" w:lineRule="auto"/>
              <w:jc w:val="center"/>
            </w:pPr>
            <w:r>
              <w:rPr>
                <w:rFonts w:eastAsia="Arial" w:cs="Arial"/>
                <w:b/>
                <w:color w:val="173653"/>
              </w:rPr>
              <w:t xml:space="preserve">1  </w:t>
            </w:r>
            <w:r>
              <w:rPr>
                <w:rFonts w:eastAsia="Arial" w:cs="Arial"/>
                <w:b/>
                <w:color w:val="173653"/>
                <w:sz w:val="20"/>
              </w:rPr>
              <w:t>0–6 MONTHS</w:t>
            </w:r>
          </w:p>
          <w:p w14:paraId="6103E565" w14:textId="77777777" w:rsidR="0010140B" w:rsidRDefault="0010140B" w:rsidP="00DC1B7D">
            <w:pPr>
              <w:spacing w:after="0" w:line="360" w:lineRule="auto"/>
              <w:jc w:val="center"/>
            </w:pPr>
            <w:r>
              <w:rPr>
                <w:rFonts w:eastAsia="Arial" w:cs="Arial"/>
                <w:b/>
                <w:color w:val="173653"/>
                <w:sz w:val="31"/>
              </w:rPr>
              <w:t>DEFINE</w:t>
            </w:r>
          </w:p>
          <w:p w14:paraId="6D8448BA" w14:textId="77777777" w:rsidR="0010140B" w:rsidRDefault="0010140B" w:rsidP="00DC1B7D">
            <w:pPr>
              <w:pStyle w:val="ListBullet"/>
              <w:spacing w:line="360" w:lineRule="auto"/>
              <w:ind w:left="331" w:hanging="202"/>
              <w:jc w:val="center"/>
            </w:pPr>
            <w:r>
              <w:rPr>
                <w:rFonts w:cs="Arial"/>
                <w:color w:val="23384C"/>
              </w:rPr>
              <w:t>Agree indicator definitions and owners</w:t>
            </w:r>
          </w:p>
          <w:p w14:paraId="06E6FD23" w14:textId="77777777" w:rsidR="0010140B" w:rsidRDefault="0010140B" w:rsidP="00DC1B7D">
            <w:pPr>
              <w:pStyle w:val="ListBullet"/>
              <w:spacing w:line="360" w:lineRule="auto"/>
              <w:ind w:left="331" w:hanging="202"/>
              <w:jc w:val="center"/>
            </w:pPr>
            <w:r>
              <w:rPr>
                <w:rFonts w:cs="Arial"/>
                <w:color w:val="23384C"/>
              </w:rPr>
              <w:t>Select supplier and customer pilots</w:t>
            </w:r>
          </w:p>
          <w:p w14:paraId="6689DB0A" w14:textId="77777777" w:rsidR="0010140B" w:rsidRDefault="0010140B" w:rsidP="00DC1B7D">
            <w:pPr>
              <w:pStyle w:val="ListBullet"/>
              <w:spacing w:line="360" w:lineRule="auto"/>
              <w:ind w:left="331" w:hanging="202"/>
              <w:jc w:val="center"/>
            </w:pPr>
            <w:r>
              <w:rPr>
                <w:rFonts w:cs="Arial"/>
                <w:color w:val="23384C"/>
              </w:rPr>
              <w:t>Map data, baselines and gaps</w:t>
            </w:r>
          </w:p>
        </w:tc>
        <w:tc>
          <w:tcPr>
            <w:tcW w:w="487" w:type="dxa"/>
            <w:tcBorders>
              <w:top w:val="nil"/>
              <w:left w:val="nil"/>
              <w:bottom w:val="nil"/>
              <w:right w:val="nil"/>
            </w:tcBorders>
            <w:shd w:val="clear" w:color="auto" w:fill="FFFFFF"/>
            <w:tcMar>
              <w:top w:w="90" w:type="dxa"/>
              <w:left w:w="90" w:type="dxa"/>
              <w:bottom w:w="90" w:type="dxa"/>
              <w:right w:w="90" w:type="dxa"/>
            </w:tcMar>
            <w:vAlign w:val="center"/>
          </w:tcPr>
          <w:p w14:paraId="51A4F8BB" w14:textId="77777777" w:rsidR="0010140B" w:rsidRDefault="0010140B" w:rsidP="00DC1B7D">
            <w:pPr>
              <w:spacing w:after="0" w:line="360" w:lineRule="auto"/>
              <w:jc w:val="center"/>
            </w:pPr>
            <w:r>
              <w:rPr>
                <w:rFonts w:eastAsia="Arial" w:cs="Arial"/>
                <w:b/>
                <w:color w:val="24797D"/>
                <w:sz w:val="44"/>
              </w:rPr>
              <w:t>→</w:t>
            </w:r>
          </w:p>
        </w:tc>
        <w:tc>
          <w:tcPr>
            <w:tcW w:w="3024" w:type="dxa"/>
            <w:tcBorders>
              <w:top w:val="single" w:sz="12" w:space="0" w:color="24797D"/>
              <w:left w:val="single" w:sz="12" w:space="0" w:color="24797D"/>
              <w:bottom w:val="single" w:sz="12" w:space="0" w:color="24797D"/>
              <w:right w:val="single" w:sz="12" w:space="0" w:color="24797D"/>
            </w:tcBorders>
            <w:shd w:val="clear" w:color="auto" w:fill="E8F4F3"/>
            <w:tcMar>
              <w:top w:w="90" w:type="dxa"/>
              <w:left w:w="90" w:type="dxa"/>
              <w:bottom w:w="90" w:type="dxa"/>
              <w:right w:w="90" w:type="dxa"/>
            </w:tcMar>
            <w:vAlign w:val="center"/>
          </w:tcPr>
          <w:p w14:paraId="40E6FF91" w14:textId="77777777" w:rsidR="0010140B" w:rsidRDefault="0010140B" w:rsidP="00DC1B7D">
            <w:pPr>
              <w:spacing w:after="0" w:line="360" w:lineRule="auto"/>
              <w:jc w:val="center"/>
            </w:pPr>
            <w:r>
              <w:rPr>
                <w:rFonts w:eastAsia="Arial" w:cs="Arial"/>
                <w:b/>
                <w:color w:val="24797D"/>
              </w:rPr>
              <w:t xml:space="preserve">2  </w:t>
            </w:r>
            <w:r>
              <w:rPr>
                <w:rFonts w:eastAsia="Arial" w:cs="Arial"/>
                <w:b/>
                <w:color w:val="24797D"/>
                <w:sz w:val="20"/>
              </w:rPr>
              <w:t>6–18 MONTHS</w:t>
            </w:r>
          </w:p>
          <w:p w14:paraId="78E72B26" w14:textId="77777777" w:rsidR="0010140B" w:rsidRDefault="0010140B" w:rsidP="00DC1B7D">
            <w:pPr>
              <w:spacing w:after="0" w:line="360" w:lineRule="auto"/>
              <w:jc w:val="center"/>
            </w:pPr>
            <w:r>
              <w:rPr>
                <w:rFonts w:eastAsia="Arial" w:cs="Arial"/>
                <w:b/>
                <w:color w:val="173653"/>
                <w:sz w:val="31"/>
              </w:rPr>
              <w:t>PILOT + LEARN</w:t>
            </w:r>
          </w:p>
          <w:p w14:paraId="576F49F6" w14:textId="77777777" w:rsidR="0010140B" w:rsidRDefault="0010140B" w:rsidP="00DC1B7D">
            <w:pPr>
              <w:pStyle w:val="ListBullet"/>
              <w:spacing w:line="360" w:lineRule="auto"/>
              <w:ind w:left="331" w:hanging="202"/>
              <w:jc w:val="center"/>
            </w:pPr>
            <w:r>
              <w:rPr>
                <w:rFonts w:cs="Arial"/>
                <w:color w:val="23384C"/>
              </w:rPr>
              <w:t>Run value-account and remediation pilots</w:t>
            </w:r>
          </w:p>
          <w:p w14:paraId="637557A1" w14:textId="77777777" w:rsidR="0010140B" w:rsidRDefault="0010140B" w:rsidP="00DC1B7D">
            <w:pPr>
              <w:pStyle w:val="ListBullet"/>
              <w:spacing w:line="360" w:lineRule="auto"/>
              <w:ind w:left="331" w:hanging="202"/>
              <w:jc w:val="center"/>
            </w:pPr>
            <w:r>
              <w:rPr>
                <w:rFonts w:cs="Arial"/>
                <w:color w:val="23384C"/>
              </w:rPr>
              <w:t>Link operational and customer measures</w:t>
            </w:r>
          </w:p>
          <w:p w14:paraId="27AF9F98" w14:textId="77777777" w:rsidR="0010140B" w:rsidRDefault="0010140B" w:rsidP="00DC1B7D">
            <w:pPr>
              <w:pStyle w:val="ListBullet"/>
              <w:spacing w:line="360" w:lineRule="auto"/>
              <w:ind w:left="331" w:hanging="202"/>
              <w:jc w:val="center"/>
            </w:pPr>
            <w:r>
              <w:rPr>
                <w:rFonts w:cs="Arial"/>
                <w:color w:val="23384C"/>
              </w:rPr>
              <w:t>Review failures; add targeted assurance</w:t>
            </w:r>
          </w:p>
        </w:tc>
        <w:tc>
          <w:tcPr>
            <w:tcW w:w="487" w:type="dxa"/>
            <w:tcBorders>
              <w:top w:val="nil"/>
              <w:left w:val="nil"/>
              <w:bottom w:val="nil"/>
              <w:right w:val="nil"/>
            </w:tcBorders>
            <w:shd w:val="clear" w:color="auto" w:fill="FFFFFF"/>
            <w:tcMar>
              <w:top w:w="90" w:type="dxa"/>
              <w:left w:w="90" w:type="dxa"/>
              <w:bottom w:w="90" w:type="dxa"/>
              <w:right w:w="90" w:type="dxa"/>
            </w:tcMar>
            <w:vAlign w:val="center"/>
          </w:tcPr>
          <w:p w14:paraId="178A5779" w14:textId="77777777" w:rsidR="0010140B" w:rsidRDefault="0010140B" w:rsidP="00DC1B7D">
            <w:pPr>
              <w:spacing w:after="0" w:line="360" w:lineRule="auto"/>
              <w:jc w:val="center"/>
            </w:pPr>
            <w:r>
              <w:rPr>
                <w:rFonts w:eastAsia="Arial" w:cs="Arial"/>
                <w:b/>
                <w:color w:val="24797D"/>
                <w:sz w:val="44"/>
              </w:rPr>
              <w:t>→</w:t>
            </w:r>
          </w:p>
        </w:tc>
        <w:tc>
          <w:tcPr>
            <w:tcW w:w="3024" w:type="dxa"/>
            <w:tcBorders>
              <w:top w:val="single" w:sz="12" w:space="0" w:color="4D8E5A"/>
              <w:left w:val="single" w:sz="12" w:space="0" w:color="4D8E5A"/>
              <w:bottom w:val="single" w:sz="12" w:space="0" w:color="4D8E5A"/>
              <w:right w:val="single" w:sz="12" w:space="0" w:color="4D8E5A"/>
            </w:tcBorders>
            <w:shd w:val="clear" w:color="auto" w:fill="EEF5EC"/>
            <w:tcMar>
              <w:top w:w="90" w:type="dxa"/>
              <w:left w:w="90" w:type="dxa"/>
              <w:bottom w:w="90" w:type="dxa"/>
              <w:right w:w="90" w:type="dxa"/>
            </w:tcMar>
            <w:vAlign w:val="center"/>
          </w:tcPr>
          <w:p w14:paraId="314A7AD9" w14:textId="77777777" w:rsidR="0010140B" w:rsidRDefault="0010140B" w:rsidP="00DC1B7D">
            <w:pPr>
              <w:spacing w:after="0" w:line="360" w:lineRule="auto"/>
              <w:jc w:val="center"/>
            </w:pPr>
            <w:r>
              <w:rPr>
                <w:rFonts w:eastAsia="Arial" w:cs="Arial"/>
                <w:b/>
                <w:color w:val="4D8E5A"/>
              </w:rPr>
              <w:t xml:space="preserve">3  </w:t>
            </w:r>
            <w:r>
              <w:rPr>
                <w:rFonts w:eastAsia="Arial" w:cs="Arial"/>
                <w:b/>
                <w:color w:val="4D8E5A"/>
                <w:sz w:val="20"/>
              </w:rPr>
              <w:t>18–36 MONTHS</w:t>
            </w:r>
          </w:p>
          <w:p w14:paraId="1157B206" w14:textId="77777777" w:rsidR="0010140B" w:rsidRDefault="0010140B" w:rsidP="00DC1B7D">
            <w:pPr>
              <w:spacing w:after="0" w:line="360" w:lineRule="auto"/>
              <w:jc w:val="center"/>
            </w:pPr>
            <w:r>
              <w:rPr>
                <w:rFonts w:eastAsia="Arial" w:cs="Arial"/>
                <w:b/>
                <w:color w:val="173653"/>
                <w:sz w:val="31"/>
              </w:rPr>
              <w:t>SCALE</w:t>
            </w:r>
          </w:p>
          <w:p w14:paraId="6C5545D3" w14:textId="77777777" w:rsidR="0010140B" w:rsidRDefault="0010140B" w:rsidP="00DC1B7D">
            <w:pPr>
              <w:pStyle w:val="ListBullet"/>
              <w:spacing w:line="360" w:lineRule="auto"/>
              <w:ind w:left="331" w:hanging="202"/>
              <w:jc w:val="center"/>
            </w:pPr>
            <w:r>
              <w:rPr>
                <w:rFonts w:cs="Arial"/>
                <w:color w:val="23384C"/>
              </w:rPr>
              <w:t>Adopt proven measures across businesses</w:t>
            </w:r>
          </w:p>
          <w:p w14:paraId="1E64B1F4" w14:textId="77777777" w:rsidR="0010140B" w:rsidRDefault="0010140B" w:rsidP="00DC1B7D">
            <w:pPr>
              <w:pStyle w:val="ListBullet"/>
              <w:spacing w:line="360" w:lineRule="auto"/>
              <w:ind w:left="331" w:hanging="202"/>
              <w:jc w:val="center"/>
            </w:pPr>
            <w:r>
              <w:rPr>
                <w:rFonts w:cs="Arial"/>
                <w:color w:val="23384C"/>
              </w:rPr>
              <w:t>Embed in acquisition integration</w:t>
            </w:r>
          </w:p>
          <w:p w14:paraId="180BB2B0" w14:textId="77777777" w:rsidR="0010140B" w:rsidRDefault="0010140B" w:rsidP="00DC1B7D">
            <w:pPr>
              <w:pStyle w:val="ListBullet"/>
              <w:spacing w:line="360" w:lineRule="auto"/>
              <w:ind w:left="331" w:hanging="202"/>
              <w:jc w:val="center"/>
            </w:pPr>
            <w:r>
              <w:rPr>
                <w:rFonts w:cs="Arial"/>
                <w:color w:val="23384C"/>
              </w:rPr>
              <w:t>Use evidence in operating reviews</w:t>
            </w:r>
          </w:p>
        </w:tc>
      </w:tr>
    </w:tbl>
    <w:p w14:paraId="17A7F273" w14:textId="77777777" w:rsidR="0010140B" w:rsidRDefault="0010140B" w:rsidP="00DC1B7D">
      <w:pPr>
        <w:spacing w:after="180" w:line="360" w:lineRule="auto"/>
      </w:pPr>
    </w:p>
    <w:tbl>
      <w:tblPr>
        <w:tblW w:w="10077" w:type="dxa"/>
        <w:jc w:val="center"/>
        <w:tblBorders>
          <w:top w:val="nil"/>
          <w:left w:val="nil"/>
          <w:bottom w:val="nil"/>
          <w:right w:val="nil"/>
          <w:insideH w:val="nil"/>
          <w:insideV w:val="nil"/>
        </w:tblBorders>
        <w:tblLayout w:type="fixed"/>
        <w:tblLook w:val="04A0" w:firstRow="1" w:lastRow="0" w:firstColumn="1" w:lastColumn="0" w:noHBand="0" w:noVBand="1"/>
      </w:tblPr>
      <w:tblGrid>
        <w:gridCol w:w="10077"/>
      </w:tblGrid>
      <w:tr w:rsidR="0010140B" w14:paraId="0561BF81" w14:textId="77777777" w:rsidTr="0010140B">
        <w:trPr>
          <w:trHeight w:val="61"/>
          <w:tblHeader/>
          <w:jc w:val="center"/>
        </w:trPr>
        <w:tc>
          <w:tcPr>
            <w:tcW w:w="10077" w:type="dxa"/>
            <w:tcBorders>
              <w:top w:val="single" w:sz="12" w:space="0" w:color="C89322"/>
              <w:left w:val="single" w:sz="12" w:space="0" w:color="C89322"/>
              <w:bottom w:val="single" w:sz="12" w:space="0" w:color="C89322"/>
              <w:right w:val="single" w:sz="12" w:space="0" w:color="C89322"/>
            </w:tcBorders>
            <w:shd w:val="clear" w:color="auto" w:fill="FBF3DF"/>
            <w:tcMar>
              <w:top w:w="90" w:type="dxa"/>
              <w:left w:w="90" w:type="dxa"/>
              <w:bottom w:w="90" w:type="dxa"/>
              <w:right w:w="90" w:type="dxa"/>
            </w:tcMar>
            <w:vAlign w:val="center"/>
          </w:tcPr>
          <w:p w14:paraId="210CDC07" w14:textId="77777777" w:rsidR="0010140B" w:rsidRDefault="0010140B" w:rsidP="00DC1B7D">
            <w:pPr>
              <w:spacing w:after="0" w:line="360" w:lineRule="auto"/>
              <w:jc w:val="center"/>
            </w:pPr>
            <w:r>
              <w:rPr>
                <w:rFonts w:eastAsia="Arial" w:cs="Arial"/>
                <w:b/>
                <w:color w:val="23384C"/>
                <w:sz w:val="20"/>
              </w:rPr>
              <w:t>GOVERNANCE THROUGHOUT</w:t>
            </w:r>
            <w:r>
              <w:rPr>
                <w:rFonts w:eastAsia="Arial" w:cs="Arial"/>
                <w:b/>
                <w:color w:val="23384C"/>
                <w:sz w:val="20"/>
              </w:rPr>
              <w:br/>
            </w:r>
            <w:r>
              <w:rPr>
                <w:rFonts w:eastAsia="Arial" w:cs="Arial"/>
                <w:b/>
                <w:color w:val="23384C"/>
                <w:sz w:val="18"/>
              </w:rPr>
              <w:t>Cross-functional ownership  •  quarterly learning review  •  controlled definitions</w:t>
            </w:r>
          </w:p>
        </w:tc>
      </w:tr>
    </w:tbl>
    <w:p w14:paraId="11FC6BDE" w14:textId="77777777" w:rsidR="009454B9" w:rsidRDefault="009454B9" w:rsidP="00DC1B7D">
      <w:pPr>
        <w:spacing w:line="360" w:lineRule="auto"/>
        <w:jc w:val="center"/>
      </w:pPr>
    </w:p>
    <w:bookmarkEnd w:id="131"/>
    <w:p w14:paraId="1BC2D960" w14:textId="77777777" w:rsidR="00BB6DBD" w:rsidRPr="00BB6DBD" w:rsidRDefault="00BB6DBD" w:rsidP="00DC1B7D">
      <w:pPr>
        <w:spacing w:line="360" w:lineRule="auto"/>
        <w:rPr>
          <w:rFonts w:cs="Arial"/>
          <w:szCs w:val="24"/>
        </w:rPr>
      </w:pPr>
      <w:r>
        <w:t xml:space="preserve">During months 0-6, Bunzl should agree definitions, owners, baselines and a small set of supplier and customer pilots. Months 6-18 should be used to run those pilots, connect operational and customer measures, examine unsuccessful as well as successful cases, and add targeted assurance. In months 18-36, proven measures and processes can be </w:t>
      </w:r>
      <w:r>
        <w:lastRenderedPageBreak/>
        <w:t>scaled and incorporated into acquisition integration and operating reviews. Figure 6.1 is therefore a learning sequence, not a guarantee that every pilot will progress to scale.</w:t>
      </w:r>
    </w:p>
    <w:p w14:paraId="1D19F46B" w14:textId="77777777" w:rsidR="00AB2427" w:rsidRDefault="00130A17" w:rsidP="00DC1B7D">
      <w:pPr>
        <w:spacing w:line="360" w:lineRule="auto"/>
      </w:pPr>
      <w:r>
        <w:t>Each pilot should end with an explicit evidence review. The review should compare the baseline with the observed result, identify missing data and alternative explanations, record the experience of the affected supplier or customer, and decide whether to scale, revise or stop the intervention. A product-transition pilot, for example, should not progress solely because the alternative was listed or purchased once; it should consider adoption, availability, functionality, complaints and the verified environmental attribute. A supplier pilot should examine timely closure and recurrence rather than assessment volume alone.</w:t>
      </w:r>
    </w:p>
    <w:p w14:paraId="07C27DB9" w14:textId="77777777" w:rsidR="00AB2427" w:rsidRDefault="00130A17" w:rsidP="00DC1B7D">
      <w:pPr>
        <w:spacing w:line="360" w:lineRule="auto"/>
      </w:pPr>
      <w:r>
        <w:t>Reporting should preserve unsuccessful and mixed results. Recording a rejected product, delayed remediation or customer concern creates evidence about the conditions under which SSCM does not produce the intended value. This is important for organisational learning and for the credibility of later external claims. It also aligns implementation with the analytical approach used in this dissertation: activities, mechanisms, outcomes and qualifications remain separate, and stronger conclusions are made only when the evidence chain is complete.</w:t>
      </w:r>
    </w:p>
    <w:p w14:paraId="4B5DD54F" w14:textId="77777777" w:rsidR="00BB6DBD" w:rsidRPr="00BB6DBD" w:rsidRDefault="009454B9" w:rsidP="00DC1B7D">
      <w:pPr>
        <w:pStyle w:val="Heading2"/>
        <w:jc w:val="left"/>
      </w:pPr>
      <w:bookmarkStart w:id="132" w:name="_Toc237017824"/>
      <w:bookmarkStart w:id="133" w:name="_Toc238218161"/>
      <w:r>
        <w:t xml:space="preserve">6.8 </w:t>
      </w:r>
      <w:r w:rsidR="00BB6DBD" w:rsidRPr="00BB6DBD">
        <w:t>Evaluation criteria and risks for implementation</w:t>
      </w:r>
      <w:bookmarkEnd w:id="132"/>
      <w:bookmarkEnd w:id="133"/>
    </w:p>
    <w:p w14:paraId="69CD0CE4" w14:textId="77777777" w:rsidR="00AB2427" w:rsidRDefault="00130A17" w:rsidP="00DC1B7D">
      <w:pPr>
        <w:spacing w:line="360" w:lineRule="auto"/>
      </w:pPr>
      <w:r>
        <w:t>Evaluation should focus on decision usefulness rather than the number of new indicators. Managers should be able to identify unresolved supplier risk, product transitions that customers adopt, initiatives associated with operational improvement and projects that do not justify further investment. Success is a clearer evidence chain and better decisions, not a larger reporting pack.</w:t>
      </w:r>
    </w:p>
    <w:p w14:paraId="7A7474D2" w14:textId="77777777" w:rsidR="00AB2427" w:rsidRDefault="00130A17" w:rsidP="00DC1B7D">
      <w:pPr>
        <w:spacing w:line="360" w:lineRule="auto"/>
      </w:pPr>
      <w:r>
        <w:t>Implementation risks include inconsistent definitions, excessive data collection, local resistance, survey fatigue and selective reporting of successful cases. Controls should include a limited indicator set, named data ownership, automated capture where proportionate, sampling and assurance, and explicit review of unsuccessful results. Supplier and customer records must also be subject to privacy and commercial-confidentiality controls.</w:t>
      </w:r>
    </w:p>
    <w:p w14:paraId="60B28F01" w14:textId="4BECA675" w:rsidR="00BB6DBD" w:rsidRPr="00BB6DBD" w:rsidRDefault="00BB6DBD" w:rsidP="00DC1B7D">
      <w:pPr>
        <w:pStyle w:val="Heading1"/>
        <w:spacing w:line="360" w:lineRule="auto"/>
        <w:jc w:val="left"/>
      </w:pPr>
      <w:bookmarkStart w:id="134" w:name="_Toc237017825"/>
      <w:bookmarkStart w:id="135" w:name="_Toc238218162"/>
      <w:r w:rsidRPr="00BB6DBD">
        <w:lastRenderedPageBreak/>
        <w:t>Conclusion</w:t>
      </w:r>
      <w:bookmarkEnd w:id="134"/>
      <w:bookmarkEnd w:id="135"/>
    </w:p>
    <w:p w14:paraId="3D24F6CD" w14:textId="77777777" w:rsidR="00AB2427" w:rsidRDefault="00130A17" w:rsidP="00DC1B7D">
      <w:pPr>
        <w:spacing w:line="360" w:lineRule="auto"/>
      </w:pPr>
      <w:r>
        <w:t>This dissertation critically evaluated how Bunzl plc's SSCM practices contribute to operational performance and customer satisfaction using public documents for reporting years 2022-2025. The study addressed a practical difficulty in corporate sustainability analysis: disclosed activities and indicators are often presented beside organisational outcomes even when the causal connection is not demonstrated. A qualitative documentary case design was used to separate practices, mechanisms, direct outcomes, proxies and qualifying evidence.</w:t>
      </w:r>
    </w:p>
    <w:p w14:paraId="4E1CDD5B" w14:textId="77777777" w:rsidR="00AB2427" w:rsidRDefault="00130A17" w:rsidP="00DC1B7D">
      <w:pPr>
        <w:spacing w:line="360" w:lineRule="auto"/>
      </w:pPr>
      <w:r>
        <w:t>RQ1 asked which SSCM practices are evidenced at Bunzl. The documents show an integrated set of supplier standards and assurance, product and material transition, carbon and resource management, digital and consolidated distribution, and customer-facing sustainability support. These activities reflect the role of a distributor that coordinates suppliers, product information, fulfilment and customer choice. The longitudinal evidence indicates that responsible sourcing and environmental management have become more formalised, although measurement maturity varies across areas.</w:t>
      </w:r>
    </w:p>
    <w:p w14:paraId="4464BF74" w14:textId="77777777" w:rsidR="00AB2427" w:rsidRDefault="00130A17" w:rsidP="00DC1B7D">
      <w:pPr>
        <w:spacing w:line="360" w:lineRule="auto"/>
      </w:pPr>
      <w:r>
        <w:t>RQ2 asked how SSCM contributes to operational performance. Four mechanisms are supported: improved risk visibility and response, resource and carbon efficiency, information quality, and service or procurement simplification. Evidence is strongest for supplier-process reach and environmental outcomes. It is weaker for Group-wide service, cost, resilience and profit effects. The 2025 result is important because supplier, portfolio and carbon indicators improved while adjusted operating profit fell at constant exchange rates and operating margin declined. This pattern does not disprove the value of SSCM; it shows that sustainability capability is one influence among market demand, cost, execution and organisational integration.</w:t>
      </w:r>
    </w:p>
    <w:p w14:paraId="6811A559" w14:textId="77777777" w:rsidR="00AB2427" w:rsidRDefault="00130A17" w:rsidP="00DC1B7D">
      <w:pPr>
        <w:spacing w:line="360" w:lineRule="auto"/>
      </w:pPr>
      <w:r>
        <w:t xml:space="preserve">RQ3 asked what evidence links SSCM with customer satisfaction or value. Customer engagement, transition advice, product information and selected contract cases demonstrate a customer-facing capability and some commercial relevance. However, no consistent Group-wide customer satisfaction measure was identified. Engagement counts include potential customers, contract outcomes are multi-causal and selected </w:t>
      </w:r>
      <w:r>
        <w:lastRenderedPageBreak/>
        <w:t>cases cannot establish prevalence. The study can therefore conclude that SSCM contributes to a customer value proposition, but cannot establish an organisation-wide satisfaction effect.</w:t>
      </w:r>
    </w:p>
    <w:p w14:paraId="080129DE" w14:textId="77777777" w:rsidR="00AB2427" w:rsidRDefault="00130A17" w:rsidP="00DC1B7D">
      <w:pPr>
        <w:spacing w:line="360" w:lineRule="auto"/>
      </w:pPr>
      <w:r>
        <w:t>The conceptual contribution is a distributor-focused practice-mechanism-outcome pathway. Supplier assurance, product data, category expertise, consolidation and customer relationships may combine into a valuable organisational capability, but the value is contingent on reliable service, commercially viable products and credible evidence. The TBL helped preserve distinct environmental, social and economic results; stakeholder theory clarified connected expectations; and the RBV explained why combined information, expertise and relationships may be more valuable than separate initiatives.</w:t>
      </w:r>
    </w:p>
    <w:p w14:paraId="2FAFD7A8" w14:textId="77777777" w:rsidR="00AB2427" w:rsidRDefault="00130A17" w:rsidP="00DC1B7D">
      <w:pPr>
        <w:spacing w:line="360" w:lineRule="auto"/>
      </w:pPr>
      <w:r>
        <w:t>Methodologically, the study demonstrates a transparent route from search terms to contextual codes, themes and bounded claims. The codebook, worked examples and sample evidence matrix in Appendix A show why assessment coverage was not treated as supplier impact, why customer engagement was not classified as satisfaction, and why environmental improvement was not converted into a financial claim. Cross-source comparison strengthened the analysis, although corporate reporting does not provide independent verification.</w:t>
      </w:r>
    </w:p>
    <w:p w14:paraId="07F10FBE" w14:textId="77777777" w:rsidR="00AB2427" w:rsidRDefault="00130A17" w:rsidP="00DC1B7D">
      <w:pPr>
        <w:spacing w:line="360" w:lineRule="auto"/>
      </w:pPr>
      <w:r>
        <w:t>The recommendations follow directly from these conclusions. A connected performance architecture would link sustainability practices with the operational or customer outcome they are intended to influence. Supplier assurance should add verified closure and recurrence measures to coverage; customer-level value accounts should connect transition support with adoption and feedback; product claims should be supported at the level of the stated attribute; and benefits realisation should sit within ordinary operating governance. A phased pilot-and-learn approach is more appropriate than immediate Group-wide expansion because the study identifies gaps in definitions, ownership and comparability.</w:t>
      </w:r>
    </w:p>
    <w:p w14:paraId="45F598FB" w14:textId="77777777" w:rsidR="00AB2427" w:rsidRDefault="00130A17" w:rsidP="00DC1B7D">
      <w:pPr>
        <w:spacing w:line="360" w:lineRule="auto"/>
      </w:pPr>
      <w:r>
        <w:t xml:space="preserve">The study remains limited to one company and publicly selected material. It includes no interviews, observation, operational-system access or independent supplier and customer data. Indicator definitions may change, and SSCM cannot be isolated from </w:t>
      </w:r>
      <w:r>
        <w:lastRenderedPageBreak/>
        <w:t>acquisitions, price, service, market conditions or wider organisational change. The findings are therefore analytically transferable to similar distributors rather than statistically generalisable.</w:t>
      </w:r>
    </w:p>
    <w:p w14:paraId="79FAAE6C" w14:textId="77777777" w:rsidR="00AB2427" w:rsidRDefault="00130A17" w:rsidP="00DC1B7D">
      <w:pPr>
        <w:spacing w:line="360" w:lineRule="auto"/>
      </w:pPr>
      <w:r>
        <w:t>Future research should combine documentary evidence with customer, supplier and employee data. Longitudinal mixed-method studies could relate specific sustainability interventions to satisfaction, retention, complaints, service reliability and cost. Supplier research could test whether corrective action reduces repeat non-compliance, while comparative case studies could assess whether the distributor-orchestration model applies across sectors. Research on unsuccessful product transitions and acquisition integration would also address the conditions that this study could observe but not measure directly.</w:t>
      </w:r>
    </w:p>
    <w:p w14:paraId="21024BE3" w14:textId="77777777" w:rsidR="00AB2427" w:rsidRDefault="00130A17" w:rsidP="00DC1B7D">
      <w:pPr>
        <w:spacing w:line="360" w:lineRule="auto"/>
      </w:pPr>
      <w:r>
        <w:t>The findings also have relevance beyond Bunzl. Distributors often exercise less direct control over production than manufacturers, yet they can influence which suppliers and products reach the market, how information is organised and how customers adopt alternatives. Evaluating that influence requires evidence at the points of coordination rather than assuming that Group-level sustainability and financial trends share a single cause. This is the principal analytical lesson of the case.</w:t>
      </w:r>
    </w:p>
    <w:p w14:paraId="7026179B" w14:textId="50BAB5D0" w:rsidR="00AB2427" w:rsidRDefault="00130A17" w:rsidP="00DC1B7D">
      <w:pPr>
        <w:spacing w:line="360" w:lineRule="auto"/>
      </w:pPr>
      <w:r>
        <w:t>Overall, SSCM is a strategically relevant enabling capability at Bunzl, not a sufficient cause of operational performance or customer satisfaction. Its contribution lies in better-informed sourcing, reduced environmental impact, coordinated product transitions and support for customer procurement. The next managerial step is to connect these practices with supplier, operational and customer outcomes at the level where they occur, so that claims can be tested and resources directed towards interventions that demonstrably create value.</w:t>
      </w:r>
    </w:p>
    <w:p w14:paraId="6BEA4AE3" w14:textId="1647D7C2" w:rsidR="00045A5B" w:rsidRDefault="00045A5B" w:rsidP="00DC1B7D">
      <w:pPr>
        <w:spacing w:line="360" w:lineRule="auto"/>
      </w:pPr>
    </w:p>
    <w:p w14:paraId="5D2CF987" w14:textId="77777777" w:rsidR="00045A5B" w:rsidRDefault="00045A5B" w:rsidP="00DC1B7D">
      <w:pPr>
        <w:spacing w:line="360" w:lineRule="auto"/>
      </w:pPr>
    </w:p>
    <w:p w14:paraId="006494D7" w14:textId="77777777" w:rsidR="008E0721" w:rsidRPr="0079219F" w:rsidRDefault="008E0721" w:rsidP="00DC1B7D">
      <w:pPr>
        <w:pStyle w:val="Heading1"/>
        <w:spacing w:line="360" w:lineRule="auto"/>
        <w:jc w:val="left"/>
      </w:pPr>
      <w:bookmarkStart w:id="136" w:name="_Toc237017826"/>
      <w:bookmarkStart w:id="137" w:name="_Toc238218163"/>
      <w:bookmarkEnd w:id="136"/>
      <w:r>
        <w:lastRenderedPageBreak/>
        <w:t>References</w:t>
      </w:r>
      <w:bookmarkEnd w:id="137"/>
    </w:p>
    <w:p w14:paraId="2DAEB594"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Ahi, P. and Searcy, C. (2013) ‘A comparative literature analysis of definitions for green and sustainable supply chain management’, </w:t>
      </w:r>
      <w:r w:rsidRPr="0079219F">
        <w:rPr>
          <w:i/>
          <w:color w:val="000000" w:themeColor="text1"/>
          <w:szCs w:val="24"/>
          <w:lang w:val="en-GB"/>
        </w:rPr>
        <w:t>Journal of Cleaner Production</w:t>
      </w:r>
      <w:r w:rsidRPr="0079219F">
        <w:rPr>
          <w:color w:val="000000" w:themeColor="text1"/>
          <w:szCs w:val="24"/>
          <w:lang w:val="en-GB"/>
        </w:rPr>
        <w:t>, 52, pp. 329–341. Available at: https://doi.org/10.1016/j.jclepro.2013.02.018.</w:t>
      </w:r>
    </w:p>
    <w:p w14:paraId="2278AE75"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Barney, J. (1991) ‘Firm resources and sustained competitive advantage’, </w:t>
      </w:r>
      <w:r w:rsidRPr="0079219F">
        <w:rPr>
          <w:i/>
          <w:color w:val="000000" w:themeColor="text1"/>
          <w:szCs w:val="24"/>
          <w:lang w:val="en-GB"/>
        </w:rPr>
        <w:t>Journal of</w:t>
      </w:r>
      <w:r>
        <w:rPr>
          <w:i/>
          <w:color w:val="000000" w:themeColor="text1"/>
          <w:szCs w:val="24"/>
          <w:lang w:val="en-GB"/>
        </w:rPr>
        <w:t xml:space="preserve"> </w:t>
      </w:r>
      <w:r w:rsidRPr="0079219F">
        <w:rPr>
          <w:i/>
          <w:color w:val="000000" w:themeColor="text1"/>
          <w:szCs w:val="24"/>
          <w:lang w:val="en-GB"/>
        </w:rPr>
        <w:t>Management</w:t>
      </w:r>
      <w:r w:rsidRPr="0079219F">
        <w:rPr>
          <w:color w:val="000000" w:themeColor="text1"/>
          <w:szCs w:val="24"/>
          <w:lang w:val="en-GB"/>
        </w:rPr>
        <w:t>, 17(1), pp. 99–120. Available at:</w:t>
      </w:r>
      <w:r>
        <w:rPr>
          <w:color w:val="000000" w:themeColor="text1"/>
          <w:szCs w:val="24"/>
          <w:lang w:val="en-GB"/>
        </w:rPr>
        <w:t xml:space="preserve"> </w:t>
      </w:r>
      <w:r w:rsidRPr="0079219F">
        <w:rPr>
          <w:color w:val="000000" w:themeColor="text1"/>
          <w:szCs w:val="24"/>
          <w:lang w:val="en-GB"/>
        </w:rPr>
        <w:t>https://doi.org/10.1177/014920639101700108.</w:t>
      </w:r>
    </w:p>
    <w:p w14:paraId="0AC98F81"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Boiral, O. (2013) ‘Sustainability reports as simulacra? A counter-account of A and A+ GRI reports’, </w:t>
      </w:r>
      <w:r w:rsidRPr="0079219F">
        <w:rPr>
          <w:i/>
          <w:color w:val="000000" w:themeColor="text1"/>
          <w:szCs w:val="24"/>
          <w:lang w:val="en-GB"/>
        </w:rPr>
        <w:t>Accounting, Auditing &amp; Accountability Journal</w:t>
      </w:r>
      <w:r w:rsidRPr="0079219F">
        <w:rPr>
          <w:color w:val="000000" w:themeColor="text1"/>
          <w:szCs w:val="24"/>
          <w:lang w:val="en-GB"/>
        </w:rPr>
        <w:t>, 26(7), pp. 1036–1071. Available at: https://doi.org/10.1108/AAAJ-04-2012-00998.</w:t>
      </w:r>
    </w:p>
    <w:p w14:paraId="719308E6"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Bowen, G.A. (2009) ‘Document analysis as a qualitative research method’, </w:t>
      </w:r>
      <w:r w:rsidRPr="0079219F">
        <w:rPr>
          <w:i/>
          <w:color w:val="000000" w:themeColor="text1"/>
          <w:szCs w:val="24"/>
          <w:lang w:val="en-GB"/>
        </w:rPr>
        <w:t>Qualitative Research Journal</w:t>
      </w:r>
      <w:r w:rsidRPr="0079219F">
        <w:rPr>
          <w:color w:val="000000" w:themeColor="text1"/>
          <w:szCs w:val="24"/>
          <w:lang w:val="en-GB"/>
        </w:rPr>
        <w:t>, 9(2), pp. 27–40. Available at: https://doi.org/10.3316/QRJ0902027.</w:t>
      </w:r>
    </w:p>
    <w:p w14:paraId="30C952DF"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Braun, V. and Clarke, V. (2006) ‘Using thematic analysis in psychology’, </w:t>
      </w:r>
      <w:r w:rsidRPr="0079219F">
        <w:rPr>
          <w:i/>
          <w:color w:val="000000" w:themeColor="text1"/>
          <w:szCs w:val="24"/>
          <w:lang w:val="en-GB"/>
        </w:rPr>
        <w:t>Qualitative Research in Psychology</w:t>
      </w:r>
      <w:r w:rsidRPr="0079219F">
        <w:rPr>
          <w:color w:val="000000" w:themeColor="text1"/>
          <w:szCs w:val="24"/>
          <w:lang w:val="en-GB"/>
        </w:rPr>
        <w:t>, 3(2), pp. 77–101. Available at: https://doi.org/10.1191/1478088706qp063oa.</w:t>
      </w:r>
    </w:p>
    <w:p w14:paraId="367CFD78"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Braun, V. and Clarke, V. (2021) ‘One size fits all? What counts as quality practice in (reflexive) thematic analysis?’, </w:t>
      </w:r>
      <w:r w:rsidRPr="0079219F">
        <w:rPr>
          <w:i/>
          <w:color w:val="000000" w:themeColor="text1"/>
          <w:szCs w:val="24"/>
          <w:lang w:val="en-GB"/>
        </w:rPr>
        <w:t>Qualitative Research in Psychology</w:t>
      </w:r>
      <w:r w:rsidRPr="0079219F">
        <w:rPr>
          <w:color w:val="000000" w:themeColor="text1"/>
          <w:szCs w:val="24"/>
          <w:lang w:val="en-GB"/>
        </w:rPr>
        <w:t>, 18(3), pp. 328–352. Available at: https://doi.org/10.1080/14780887.2020.1769238.</w:t>
      </w:r>
    </w:p>
    <w:p w14:paraId="7414B0DE"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(2022a) </w:t>
      </w:r>
      <w:r w:rsidRPr="0079219F">
        <w:rPr>
          <w:i/>
          <w:color w:val="000000" w:themeColor="text1"/>
          <w:szCs w:val="24"/>
          <w:lang w:val="en-GB"/>
        </w:rPr>
        <w:t>Annual Report 2022</w:t>
      </w:r>
      <w:r w:rsidRPr="0079219F">
        <w:rPr>
          <w:color w:val="000000" w:themeColor="text1"/>
          <w:szCs w:val="24"/>
          <w:lang w:val="en-GB"/>
        </w:rPr>
        <w:t>. London: Bunzl plc. Available at: https://www.bunzl.com/media/esolumzi/bunzl_ar22_interactive_pdf.pdf (Accessed: 7 August 2026).</w:t>
      </w:r>
    </w:p>
    <w:p w14:paraId="58D23167"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(2022b) </w:t>
      </w:r>
      <w:r w:rsidRPr="0079219F">
        <w:rPr>
          <w:i/>
          <w:color w:val="000000" w:themeColor="text1"/>
          <w:szCs w:val="24"/>
          <w:lang w:val="en-GB"/>
        </w:rPr>
        <w:t>Sustainability Report 2022</w:t>
      </w:r>
      <w:r w:rsidRPr="0079219F">
        <w:rPr>
          <w:color w:val="000000" w:themeColor="text1"/>
          <w:szCs w:val="24"/>
          <w:lang w:val="en-GB"/>
        </w:rPr>
        <w:t>. London: Bunzl plc. Available at: https://www.bunzl.com/media/ggce2tbs/bunzl_ar22_sustainability.pdf (Accessed: 7 August 2026).</w:t>
      </w:r>
    </w:p>
    <w:p w14:paraId="12BE26E5"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(2022c) </w:t>
      </w:r>
      <w:r w:rsidRPr="0079219F">
        <w:rPr>
          <w:i/>
          <w:color w:val="000000" w:themeColor="text1"/>
          <w:szCs w:val="24"/>
          <w:lang w:val="en-GB"/>
        </w:rPr>
        <w:t>SASB Reporting 2022</w:t>
      </w:r>
      <w:r w:rsidRPr="0079219F">
        <w:rPr>
          <w:color w:val="000000" w:themeColor="text1"/>
          <w:szCs w:val="24"/>
          <w:lang w:val="en-GB"/>
        </w:rPr>
        <w:t>. London: Bunzl plc. Available at: https://www.bunzl.com/media/kp3l0z3u/bunzl_ar22_sasb.pdf (Accessed: 7 August 2026).</w:t>
      </w:r>
    </w:p>
    <w:p w14:paraId="23E6D6F1"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(2023a) </w:t>
      </w:r>
      <w:r w:rsidRPr="0079219F">
        <w:rPr>
          <w:i/>
          <w:color w:val="000000" w:themeColor="text1"/>
          <w:szCs w:val="24"/>
          <w:lang w:val="en-GB"/>
        </w:rPr>
        <w:t>Annual Report 2023</w:t>
      </w:r>
      <w:r w:rsidRPr="0079219F">
        <w:rPr>
          <w:color w:val="000000" w:themeColor="text1"/>
          <w:szCs w:val="24"/>
          <w:lang w:val="en-GB"/>
        </w:rPr>
        <w:t>. London: Bunzl plc. Available at: https://www.bunzl.com/media/0aljxph1/annual-report-2023.pdf (Accessed: 7 August 2026).</w:t>
      </w:r>
    </w:p>
    <w:p w14:paraId="69D0946B"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lastRenderedPageBreak/>
        <w:t xml:space="preserve">Bunzl plc (2023b) </w:t>
      </w:r>
      <w:r w:rsidRPr="0079219F">
        <w:rPr>
          <w:i/>
          <w:color w:val="000000" w:themeColor="text1"/>
          <w:szCs w:val="24"/>
          <w:lang w:val="en-GB"/>
        </w:rPr>
        <w:t>Sustainability Report 2023</w:t>
      </w:r>
      <w:r w:rsidRPr="0079219F">
        <w:rPr>
          <w:color w:val="000000" w:themeColor="text1"/>
          <w:szCs w:val="24"/>
          <w:lang w:val="en-GB"/>
        </w:rPr>
        <w:t>. London: Bunzl plc. Available at: https://www.bunzl.com/media/qfagbloo/sustainability-report-2023.pdf (Accessed: 7 August 2026).</w:t>
      </w:r>
    </w:p>
    <w:p w14:paraId="01DAC7E8"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(2023c) </w:t>
      </w:r>
      <w:r w:rsidRPr="0079219F">
        <w:rPr>
          <w:i/>
          <w:color w:val="000000" w:themeColor="text1"/>
          <w:szCs w:val="24"/>
          <w:lang w:val="en-GB"/>
        </w:rPr>
        <w:t>Supplier Code of Conduct</w:t>
      </w:r>
      <w:r w:rsidRPr="0079219F">
        <w:rPr>
          <w:color w:val="000000" w:themeColor="text1"/>
          <w:szCs w:val="24"/>
          <w:lang w:val="en-GB"/>
        </w:rPr>
        <w:t>. London: Bunzl plc. Available at: https://www.bunzl.com/media/uokbznqo/bunzl-supplier-code-of-conduct_march-2023.pdf (Accessed: 7 August 2026).</w:t>
      </w:r>
    </w:p>
    <w:p w14:paraId="4133CC7F"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(2023d) </w:t>
      </w:r>
      <w:r w:rsidRPr="0079219F">
        <w:rPr>
          <w:i/>
          <w:color w:val="000000" w:themeColor="text1"/>
          <w:szCs w:val="24"/>
          <w:lang w:val="en-GB"/>
        </w:rPr>
        <w:t>Ethical Sourcing Policy</w:t>
      </w:r>
      <w:r w:rsidRPr="0079219F">
        <w:rPr>
          <w:color w:val="000000" w:themeColor="text1"/>
          <w:szCs w:val="24"/>
          <w:lang w:val="en-GB"/>
        </w:rPr>
        <w:t>. London: Bunzl plc. Available at: https://www.bunzl.com/media/exnnyzha/ethical-sourcing-policy_f_02-01-2023.pdf (Accessed: 7 August 2026).</w:t>
      </w:r>
    </w:p>
    <w:p w14:paraId="7B390D56"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(2023e) </w:t>
      </w:r>
      <w:r w:rsidRPr="0079219F">
        <w:rPr>
          <w:i/>
          <w:color w:val="000000" w:themeColor="text1"/>
          <w:szCs w:val="24"/>
          <w:lang w:val="en-GB"/>
        </w:rPr>
        <w:t>TCFD Index, SASB Reporting and ESG Appendix 2023</w:t>
      </w:r>
      <w:r w:rsidRPr="0079219F">
        <w:rPr>
          <w:color w:val="000000" w:themeColor="text1"/>
          <w:szCs w:val="24"/>
          <w:lang w:val="en-GB"/>
        </w:rPr>
        <w:t>. London: Bunzl plc. Available at: https://www.bunzl.com/media/nhkdawul/tcfd-index-sasb-reporting-and-esg-appendix.pdf (Accessed: 7 August 2026).</w:t>
      </w:r>
    </w:p>
    <w:p w14:paraId="56C18DFB"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(2024a) </w:t>
      </w:r>
      <w:r w:rsidRPr="0079219F">
        <w:rPr>
          <w:i/>
          <w:color w:val="000000" w:themeColor="text1"/>
          <w:szCs w:val="24"/>
          <w:lang w:val="en-GB"/>
        </w:rPr>
        <w:t>Annual Report 2024</w:t>
      </w:r>
      <w:r w:rsidRPr="0079219F">
        <w:rPr>
          <w:color w:val="000000" w:themeColor="text1"/>
          <w:szCs w:val="24"/>
          <w:lang w:val="en-GB"/>
        </w:rPr>
        <w:t>. London: Bunzl plc. Available at: https://www.bunzl.com/media/a0gjhtd2/annual-report-2024.pdf (Accessed: 7 August 2026).</w:t>
      </w:r>
    </w:p>
    <w:p w14:paraId="5A70CC32"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(2024b) </w:t>
      </w:r>
      <w:r w:rsidRPr="0079219F">
        <w:rPr>
          <w:i/>
          <w:color w:val="000000" w:themeColor="text1"/>
          <w:szCs w:val="24"/>
          <w:lang w:val="en-GB"/>
        </w:rPr>
        <w:t>Sustainability Report 2024</w:t>
      </w:r>
      <w:r w:rsidRPr="0079219F">
        <w:rPr>
          <w:color w:val="000000" w:themeColor="text1"/>
          <w:szCs w:val="24"/>
          <w:lang w:val="en-GB"/>
        </w:rPr>
        <w:t>. London: Bunzl plc. Available at: https://www.bunzl.com/media/gvzj4v5n/sustainability-report-2024.pdf (Accessed: 7 August 2026).</w:t>
      </w:r>
    </w:p>
    <w:p w14:paraId="3456773A"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(2025a) </w:t>
      </w:r>
      <w:r w:rsidRPr="0079219F">
        <w:rPr>
          <w:i/>
          <w:color w:val="000000" w:themeColor="text1"/>
          <w:szCs w:val="24"/>
          <w:lang w:val="en-GB"/>
        </w:rPr>
        <w:t>Annual Report 2025</w:t>
      </w:r>
      <w:r w:rsidRPr="0079219F">
        <w:rPr>
          <w:color w:val="000000" w:themeColor="text1"/>
          <w:szCs w:val="24"/>
          <w:lang w:val="en-GB"/>
        </w:rPr>
        <w:t>. London: Bunzl plc. Available at: https://www.bunzl.com/media/px0hi0zf/bunzl_ar25_interactive.pdf (Accessed: 7 August 2026).</w:t>
      </w:r>
    </w:p>
    <w:p w14:paraId="7428B679"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(2025b) </w:t>
      </w:r>
      <w:r w:rsidRPr="0079219F">
        <w:rPr>
          <w:i/>
          <w:color w:val="000000" w:themeColor="text1"/>
          <w:szCs w:val="24"/>
          <w:lang w:val="en-GB"/>
        </w:rPr>
        <w:t>Sustainability Report 2025</w:t>
      </w:r>
      <w:r w:rsidRPr="0079219F">
        <w:rPr>
          <w:color w:val="000000" w:themeColor="text1"/>
          <w:szCs w:val="24"/>
          <w:lang w:val="en-GB"/>
        </w:rPr>
        <w:t>. London: Bunzl plc. Available at: https://www.bunzl.com/media/sn1hfqvl/sustainability-report-2025.pdf (Accessed: 7 August 2026).</w:t>
      </w:r>
    </w:p>
    <w:p w14:paraId="58ED27F5"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Bunzl plc (2025c) </w:t>
      </w:r>
      <w:r w:rsidRPr="0079219F">
        <w:rPr>
          <w:i/>
          <w:color w:val="000000" w:themeColor="text1"/>
          <w:szCs w:val="24"/>
          <w:lang w:val="en-GB"/>
        </w:rPr>
        <w:t>Modern Slavery and Human Trafficking Statement 2024</w:t>
      </w:r>
      <w:r w:rsidRPr="0079219F">
        <w:rPr>
          <w:color w:val="000000" w:themeColor="text1"/>
          <w:szCs w:val="24"/>
          <w:lang w:val="en-GB"/>
        </w:rPr>
        <w:t>. London: Bunzl plc. Available at: https://www.bunzl.com/media/dwma4hur/bunzl_modernslavery_2024.pdf (Accessed: 7 August 2026).</w:t>
      </w:r>
    </w:p>
    <w:p w14:paraId="1D22C057"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Carter, C.R. and Rogers, D.S. (2008) ‘A framework of sustainable supply chain management: moving toward new theory’, </w:t>
      </w:r>
      <w:r w:rsidRPr="0079219F">
        <w:rPr>
          <w:i/>
          <w:color w:val="000000" w:themeColor="text1"/>
          <w:szCs w:val="24"/>
          <w:lang w:val="en-GB"/>
        </w:rPr>
        <w:t xml:space="preserve">International Journal of Physical Distribution &amp; </w:t>
      </w:r>
      <w:r w:rsidRPr="0079219F">
        <w:rPr>
          <w:i/>
          <w:color w:val="000000" w:themeColor="text1"/>
          <w:szCs w:val="24"/>
          <w:lang w:val="en-GB"/>
        </w:rPr>
        <w:lastRenderedPageBreak/>
        <w:t>Logistics Management</w:t>
      </w:r>
      <w:r w:rsidRPr="0079219F">
        <w:rPr>
          <w:color w:val="000000" w:themeColor="text1"/>
          <w:szCs w:val="24"/>
          <w:lang w:val="en-GB"/>
        </w:rPr>
        <w:t>, 38(5), pp. 360–387. Available at: https://doi.org/10.1108/09600030810882816.</w:t>
      </w:r>
    </w:p>
    <w:p w14:paraId="59399761"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Christopher, M. and Peck, H. (2004) ‘Building the resilient supply chain’, </w:t>
      </w:r>
      <w:r w:rsidRPr="0079219F">
        <w:rPr>
          <w:i/>
          <w:color w:val="000000" w:themeColor="text1"/>
          <w:szCs w:val="24"/>
          <w:lang w:val="en-GB"/>
        </w:rPr>
        <w:t>The International Journal of Logistics Management</w:t>
      </w:r>
      <w:r w:rsidRPr="0079219F">
        <w:rPr>
          <w:color w:val="000000" w:themeColor="text1"/>
          <w:szCs w:val="24"/>
          <w:lang w:val="en-GB"/>
        </w:rPr>
        <w:t>, 15(2), pp. 1–14. Available at: https://doi.org/10.1108/09574090410700275.</w:t>
      </w:r>
    </w:p>
    <w:p w14:paraId="117152E9"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Elkington, J. (1997) </w:t>
      </w:r>
      <w:r w:rsidRPr="0079219F">
        <w:rPr>
          <w:i/>
          <w:color w:val="000000" w:themeColor="text1"/>
          <w:szCs w:val="24"/>
          <w:lang w:val="en-GB"/>
        </w:rPr>
        <w:t>Cannibals with Forks: The Triple Bottom Line of 21st Century Business</w:t>
      </w:r>
      <w:r w:rsidRPr="0079219F">
        <w:rPr>
          <w:color w:val="000000" w:themeColor="text1"/>
          <w:szCs w:val="24"/>
          <w:lang w:val="en-GB"/>
        </w:rPr>
        <w:t>. Oxford: Capstone.</w:t>
      </w:r>
    </w:p>
    <w:p w14:paraId="438672FC"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Freeman, R.E. (1984) </w:t>
      </w:r>
      <w:r w:rsidRPr="0079219F">
        <w:rPr>
          <w:i/>
          <w:color w:val="000000" w:themeColor="text1"/>
          <w:szCs w:val="24"/>
          <w:lang w:val="en-GB"/>
        </w:rPr>
        <w:t>Strategic Management: A Stakeholder Approach</w:t>
      </w:r>
      <w:r w:rsidRPr="0079219F">
        <w:rPr>
          <w:color w:val="000000" w:themeColor="text1"/>
          <w:szCs w:val="24"/>
          <w:lang w:val="en-GB"/>
        </w:rPr>
        <w:t>. Boston, MA: Pitman.</w:t>
      </w:r>
    </w:p>
    <w:p w14:paraId="17F60C2F"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Gimenez, C. and Tachizawa, E.M. (2012) ‘Extending sustainability to suppliers: a systematic literature review’, </w:t>
      </w:r>
      <w:r w:rsidRPr="0079219F">
        <w:rPr>
          <w:i/>
          <w:color w:val="000000" w:themeColor="text1"/>
          <w:szCs w:val="24"/>
          <w:lang w:val="en-GB"/>
        </w:rPr>
        <w:t>Supply Chain Management: An International Journal</w:t>
      </w:r>
      <w:r w:rsidRPr="0079219F">
        <w:rPr>
          <w:color w:val="000000" w:themeColor="text1"/>
          <w:szCs w:val="24"/>
          <w:lang w:val="en-GB"/>
        </w:rPr>
        <w:t>, 17(5), pp. 531–543. Available at: https://doi.org/10.1108/13598541211258591.</w:t>
      </w:r>
    </w:p>
    <w:p w14:paraId="553E2A5C"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Golicic, S.L. and Smith, C.D. (2013) ‘A meta-analysis of environmentally sustainable supply chain management practices and firm performance’, </w:t>
      </w:r>
      <w:r w:rsidRPr="0079219F">
        <w:rPr>
          <w:i/>
          <w:color w:val="000000" w:themeColor="text1"/>
          <w:szCs w:val="24"/>
          <w:lang w:val="en-GB"/>
        </w:rPr>
        <w:t>Journal of Supply Chain Management</w:t>
      </w:r>
      <w:r w:rsidRPr="0079219F">
        <w:rPr>
          <w:color w:val="000000" w:themeColor="text1"/>
          <w:szCs w:val="24"/>
          <w:lang w:val="en-GB"/>
        </w:rPr>
        <w:t>, 49(2), pp. 78–95. Available at: https://doi.org/10.1111/jscm.12006.</w:t>
      </w:r>
    </w:p>
    <w:p w14:paraId="4CEBE99B"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Green, K.W., Jr, Zelbst, P.J., Meacham, J. and Bhadauria, V.S. (2012) ‘Green supply chain management practices: impact on performance’, </w:t>
      </w:r>
      <w:r w:rsidRPr="0079219F">
        <w:rPr>
          <w:i/>
          <w:color w:val="000000" w:themeColor="text1"/>
          <w:szCs w:val="24"/>
          <w:lang w:val="en-GB"/>
        </w:rPr>
        <w:t>Supply Chain Management: An International Journal</w:t>
      </w:r>
      <w:r w:rsidRPr="0079219F">
        <w:rPr>
          <w:color w:val="000000" w:themeColor="text1"/>
          <w:szCs w:val="24"/>
          <w:lang w:val="en-GB"/>
        </w:rPr>
        <w:t>, 17(3), pp. 290–305. Available at: https://doi.org/10.1108/13598541211227126.</w:t>
      </w:r>
    </w:p>
    <w:p w14:paraId="116DC584"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Homburg, C., Stierl, M. and Bornemann, T. (2013) ‘Corporate social responsibility in business-to-business markets: how organizational customers account for supplier corporate social responsibility engagement’, </w:t>
      </w:r>
      <w:r w:rsidRPr="0079219F">
        <w:rPr>
          <w:i/>
          <w:color w:val="000000" w:themeColor="text1"/>
          <w:szCs w:val="24"/>
          <w:lang w:val="en-GB"/>
        </w:rPr>
        <w:t>Journal of Marketing</w:t>
      </w:r>
      <w:r w:rsidRPr="0079219F">
        <w:rPr>
          <w:color w:val="000000" w:themeColor="text1"/>
          <w:szCs w:val="24"/>
          <w:lang w:val="en-GB"/>
        </w:rPr>
        <w:t>, 77(6), pp. 54–72. Available at: https://doi.org/10.1509/jm.12.0089.</w:t>
      </w:r>
    </w:p>
    <w:p w14:paraId="3B3F0323"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Koberg, E. and Longoni, A. (2019) ‘A systematic review of sustainable supply chain management in global supply chains’, </w:t>
      </w:r>
      <w:r w:rsidRPr="0079219F">
        <w:rPr>
          <w:i/>
          <w:color w:val="000000" w:themeColor="text1"/>
          <w:szCs w:val="24"/>
          <w:lang w:val="en-GB"/>
        </w:rPr>
        <w:t>Journal of Cleaner Production</w:t>
      </w:r>
      <w:r w:rsidRPr="0079219F">
        <w:rPr>
          <w:color w:val="000000" w:themeColor="text1"/>
          <w:szCs w:val="24"/>
          <w:lang w:val="en-GB"/>
        </w:rPr>
        <w:t>, 207, pp. 1084–1098. Available at: https://doi.org/10.1016/j.jclepro.2018.10.033.</w:t>
      </w:r>
    </w:p>
    <w:p w14:paraId="7B6839AA"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Lincoln, Y.S. and Guba, E.G. (1985) </w:t>
      </w:r>
      <w:r w:rsidRPr="0079219F">
        <w:rPr>
          <w:i/>
          <w:color w:val="000000" w:themeColor="text1"/>
          <w:szCs w:val="24"/>
          <w:lang w:val="en-GB"/>
        </w:rPr>
        <w:t>Naturalistic Inquiry</w:t>
      </w:r>
      <w:r w:rsidRPr="0079219F">
        <w:rPr>
          <w:color w:val="000000" w:themeColor="text1"/>
          <w:szCs w:val="24"/>
          <w:lang w:val="en-GB"/>
        </w:rPr>
        <w:t>. Beverly Hills, CA: Sage.</w:t>
      </w:r>
    </w:p>
    <w:p w14:paraId="68793ACC"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Luo, X. and Bhattacharya, C.B. (2006) ‘Corporate social responsibility, customer satisfaction, and market value’, </w:t>
      </w:r>
      <w:r w:rsidRPr="0079219F">
        <w:rPr>
          <w:i/>
          <w:color w:val="000000" w:themeColor="text1"/>
          <w:szCs w:val="24"/>
          <w:lang w:val="en-GB"/>
        </w:rPr>
        <w:t>Journal of Marketing</w:t>
      </w:r>
      <w:r w:rsidRPr="0079219F">
        <w:rPr>
          <w:color w:val="000000" w:themeColor="text1"/>
          <w:szCs w:val="24"/>
          <w:lang w:val="en-GB"/>
        </w:rPr>
        <w:t>, 70(4), pp. 1–18. Available at: https://doi.org/10.1509/jmkg.70.4.001.</w:t>
      </w:r>
    </w:p>
    <w:p w14:paraId="0DD190AF"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lastRenderedPageBreak/>
        <w:t xml:space="preserve">Norman, W. and MacDonald, C. (2004) ‘Getting to the bottom of “Triple Bottom Line”’, </w:t>
      </w:r>
      <w:r w:rsidRPr="0079219F">
        <w:rPr>
          <w:i/>
          <w:color w:val="000000" w:themeColor="text1"/>
          <w:szCs w:val="24"/>
          <w:lang w:val="en-GB"/>
        </w:rPr>
        <w:t>Business Ethics Quarterly</w:t>
      </w:r>
      <w:r w:rsidRPr="0079219F">
        <w:rPr>
          <w:color w:val="000000" w:themeColor="text1"/>
          <w:szCs w:val="24"/>
          <w:lang w:val="en-GB"/>
        </w:rPr>
        <w:t>, 14(2), pp. 243–262. Available at: https://doi.org/10.5840/beq200414211.</w:t>
      </w:r>
    </w:p>
    <w:p w14:paraId="3BA8449E"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Pagell, M. and Shevchenko, A. (2014) ‘Why research in sustainable supply chain management should have no future’, </w:t>
      </w:r>
      <w:r w:rsidRPr="0079219F">
        <w:rPr>
          <w:i/>
          <w:color w:val="000000" w:themeColor="text1"/>
          <w:szCs w:val="24"/>
          <w:lang w:val="en-GB"/>
        </w:rPr>
        <w:t>Journal of Supply Chain Management</w:t>
      </w:r>
      <w:r w:rsidRPr="0079219F">
        <w:rPr>
          <w:color w:val="000000" w:themeColor="text1"/>
          <w:szCs w:val="24"/>
          <w:lang w:val="en-GB"/>
        </w:rPr>
        <w:t>, 50(1), pp. 44–55. Available at: https://doi.org/10.1111/jscm.12037.</w:t>
      </w:r>
    </w:p>
    <w:p w14:paraId="415D4055"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Seuring, S. and Müller, M. (2008) ‘From a literature review to a conceptual framework for sustainable supply chain management’, </w:t>
      </w:r>
      <w:r w:rsidRPr="0079219F">
        <w:rPr>
          <w:i/>
          <w:color w:val="000000" w:themeColor="text1"/>
          <w:szCs w:val="24"/>
          <w:lang w:val="en-GB"/>
        </w:rPr>
        <w:t>Journal of Cleaner Production</w:t>
      </w:r>
      <w:r w:rsidRPr="0079219F">
        <w:rPr>
          <w:color w:val="000000" w:themeColor="text1"/>
          <w:szCs w:val="24"/>
          <w:lang w:val="en-GB"/>
        </w:rPr>
        <w:t>, 16(15), pp. 1699–1710. Available at: https://doi.org/10.1016/j.jclepro.2008.04.020.</w:t>
      </w:r>
    </w:p>
    <w:p w14:paraId="3179DC0A"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Tukamuhabwa, B.R., Stevenson, M., Busby, J. and Zorzini, M. (2015) ‘Supply chain resilience: definition, review and theoretical foundations for further study’, </w:t>
      </w:r>
      <w:r w:rsidRPr="0079219F">
        <w:rPr>
          <w:i/>
          <w:color w:val="000000" w:themeColor="text1"/>
          <w:szCs w:val="24"/>
          <w:lang w:val="en-GB"/>
        </w:rPr>
        <w:t>International Journal of Production Research</w:t>
      </w:r>
      <w:r w:rsidRPr="0079219F">
        <w:rPr>
          <w:color w:val="000000" w:themeColor="text1"/>
          <w:szCs w:val="24"/>
          <w:lang w:val="en-GB"/>
        </w:rPr>
        <w:t>, 53(18), pp. 5592–5623. Available at: https://doi.org/10.1080/00207543.2015.1037934.</w:t>
      </w:r>
    </w:p>
    <w:p w14:paraId="2AFB3956"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Vachon, S. and Klassen, R.D. (2008) ‘Environmental management and manufacturing performance: the role of collaboration in the supply chain’, </w:t>
      </w:r>
      <w:r w:rsidRPr="0079219F">
        <w:rPr>
          <w:i/>
          <w:color w:val="000000" w:themeColor="text1"/>
          <w:szCs w:val="24"/>
          <w:lang w:val="en-GB"/>
        </w:rPr>
        <w:t>International Journal of Production Economics</w:t>
      </w:r>
      <w:r w:rsidRPr="0079219F">
        <w:rPr>
          <w:color w:val="000000" w:themeColor="text1"/>
          <w:szCs w:val="24"/>
          <w:lang w:val="en-GB"/>
        </w:rPr>
        <w:t>, 111(2), pp. 299–315. Available at: https://doi.org/10.1016/j.ijpe.2006.11.030.</w:t>
      </w:r>
    </w:p>
    <w:p w14:paraId="02D35995"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Walker, H. and Jones, N. (2012) ‘Sustainable supply chain management across the UK private sector’, </w:t>
      </w:r>
      <w:r w:rsidRPr="0079219F">
        <w:rPr>
          <w:i/>
          <w:color w:val="000000" w:themeColor="text1"/>
          <w:szCs w:val="24"/>
          <w:lang w:val="en-GB"/>
        </w:rPr>
        <w:t>Supply Chain Management: An International Journal</w:t>
      </w:r>
      <w:r w:rsidRPr="0079219F">
        <w:rPr>
          <w:color w:val="000000" w:themeColor="text1"/>
          <w:szCs w:val="24"/>
          <w:lang w:val="en-GB"/>
        </w:rPr>
        <w:t>, 17(1), pp. 15–28. Available at: https://doi.org/10.1108/13598541211212177.</w:t>
      </w:r>
    </w:p>
    <w:p w14:paraId="01206B98"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World Commission on Environment and Development (1987) </w:t>
      </w:r>
      <w:r w:rsidRPr="0079219F">
        <w:rPr>
          <w:i/>
          <w:color w:val="000000" w:themeColor="text1"/>
          <w:szCs w:val="24"/>
          <w:lang w:val="en-GB"/>
        </w:rPr>
        <w:t>Our Common Future</w:t>
      </w:r>
      <w:r w:rsidRPr="0079219F">
        <w:rPr>
          <w:color w:val="000000" w:themeColor="text1"/>
          <w:szCs w:val="24"/>
          <w:lang w:val="en-GB"/>
        </w:rPr>
        <w:t>. Oxford: Oxford University Press. Available at: https://digitallibrary.un.org/record/139811 (Accessed: 7 August 2026).</w:t>
      </w:r>
    </w:p>
    <w:p w14:paraId="53CC5E1E"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Yadav, S., Choi, T.-M., Kumar, A., Luthra, S. and Naz, F. (2023) ‘A meta-analysis of sustainable supply chain practices and performance: the moderating roles of type of economy and innovation’, </w:t>
      </w:r>
      <w:r w:rsidRPr="0079219F">
        <w:rPr>
          <w:i/>
          <w:color w:val="000000" w:themeColor="text1"/>
          <w:szCs w:val="24"/>
          <w:lang w:val="en-GB"/>
        </w:rPr>
        <w:t>International Journal of Operations &amp; Production Management</w:t>
      </w:r>
      <w:r w:rsidRPr="0079219F">
        <w:rPr>
          <w:color w:val="000000" w:themeColor="text1"/>
          <w:szCs w:val="24"/>
          <w:lang w:val="en-GB"/>
        </w:rPr>
        <w:t>, 43(5), pp. 802–845. Available at: https://doi.org/10.1108/IJOPM-05-2022-0328.</w:t>
      </w:r>
    </w:p>
    <w:p w14:paraId="624382B3" w14:textId="77777777" w:rsidR="008E0721" w:rsidRPr="0079219F" w:rsidRDefault="008E0721" w:rsidP="00045A5B">
      <w:pPr>
        <w:spacing w:after="60" w:line="360" w:lineRule="auto"/>
        <w:rPr>
          <w:color w:val="000000" w:themeColor="text1"/>
          <w:szCs w:val="24"/>
        </w:rPr>
      </w:pPr>
      <w:r w:rsidRPr="0079219F">
        <w:rPr>
          <w:color w:val="000000" w:themeColor="text1"/>
          <w:szCs w:val="24"/>
          <w:lang w:val="en-GB"/>
        </w:rPr>
        <w:t xml:space="preserve">Yin, R.K. (2018) </w:t>
      </w:r>
      <w:r w:rsidRPr="0079219F">
        <w:rPr>
          <w:i/>
          <w:color w:val="000000" w:themeColor="text1"/>
          <w:szCs w:val="24"/>
          <w:lang w:val="en-GB"/>
        </w:rPr>
        <w:t>Case Study Research and Applications: Design and Methods</w:t>
      </w:r>
      <w:r w:rsidRPr="0079219F">
        <w:rPr>
          <w:color w:val="000000" w:themeColor="text1"/>
          <w:szCs w:val="24"/>
          <w:lang w:val="en-GB"/>
        </w:rPr>
        <w:t>. 6th edn. Thousand Oaks, CA: Sage.</w:t>
      </w:r>
    </w:p>
    <w:p w14:paraId="5D5EC7AA" w14:textId="77777777" w:rsidR="00AB2427" w:rsidRDefault="00130A17" w:rsidP="00DC1B7D">
      <w:pPr>
        <w:spacing w:line="360" w:lineRule="auto"/>
      </w:pPr>
      <w:r>
        <w:br w:type="page"/>
      </w:r>
    </w:p>
    <w:p w14:paraId="181EB5E7" w14:textId="59A7CFDC" w:rsidR="00AB2427" w:rsidRDefault="00130A17" w:rsidP="00045A5B">
      <w:pPr>
        <w:pStyle w:val="Heading1"/>
        <w:spacing w:line="360" w:lineRule="auto"/>
      </w:pPr>
      <w:bookmarkStart w:id="138" w:name="_Toc238218164"/>
      <w:r>
        <w:lastRenderedPageBreak/>
        <w:t>Appendix A: Sample Documentary Coding and Theme</w:t>
      </w:r>
      <w:r w:rsidR="00DC1B7D">
        <w:t xml:space="preserve"> </w:t>
      </w:r>
      <w:r>
        <w:t>Development</w:t>
      </w:r>
      <w:bookmarkEnd w:id="138"/>
    </w:p>
    <w:p w14:paraId="6D351D08" w14:textId="77777777" w:rsidR="00AB2427" w:rsidRDefault="00130A17" w:rsidP="00045A5B">
      <w:pPr>
        <w:spacing w:line="360" w:lineRule="auto"/>
      </w:pPr>
      <w:r>
        <w:t>This appendix provides examples of the working evidence matrix used in the analysis. It demonstrates how search terms located candidate wording, how the wording was read in context, and how the record was applied to a research question. The entries are illustrative rather than a duplicate of the full corpus.</w:t>
      </w:r>
    </w:p>
    <w:p w14:paraId="29A7AC00" w14:textId="77777777" w:rsidR="00AB2427" w:rsidRDefault="00130A17" w:rsidP="00045A5B">
      <w:pPr>
        <w:pStyle w:val="Heading2"/>
      </w:pPr>
      <w:bookmarkStart w:id="139" w:name="_Toc238218165"/>
      <w:r>
        <w:t>A.1 Sample coded records</w:t>
      </w:r>
      <w:bookmarkEnd w:id="139"/>
    </w:p>
    <w:p w14:paraId="207E4BA7" w14:textId="77777777" w:rsidR="00AB2427" w:rsidRDefault="00130A17" w:rsidP="00C91BB8">
      <w:pPr>
        <w:pStyle w:val="Heading4"/>
      </w:pPr>
      <w:r>
        <w:t>Table A.1 Sample coded records and analytical decisions</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9"/>
        <w:gridCol w:w="2797"/>
        <w:gridCol w:w="2474"/>
        <w:gridCol w:w="2965"/>
      </w:tblGrid>
      <w:tr w:rsidR="00AB2427" w:rsidRPr="00045A5B" w14:paraId="3229C5C6" w14:textId="77777777" w:rsidTr="00C91BB8">
        <w:trPr>
          <w:trHeight w:val="624"/>
          <w:tblHeader/>
          <w:jc w:val="center"/>
        </w:trPr>
        <w:tc>
          <w:tcPr>
            <w:tcW w:w="1829" w:type="dxa"/>
            <w:shd w:val="clear" w:color="auto" w:fill="D9E2F3"/>
            <w:tcMar>
              <w:top w:w="90" w:type="dxa"/>
              <w:left w:w="90" w:type="dxa"/>
              <w:bottom w:w="90" w:type="dxa"/>
              <w:right w:w="90" w:type="dxa"/>
            </w:tcMar>
            <w:vAlign w:val="center"/>
          </w:tcPr>
          <w:p w14:paraId="2828FC5E" w14:textId="77777777" w:rsidR="00AB2427" w:rsidRPr="00045A5B" w:rsidRDefault="00130A17" w:rsidP="00045A5B">
            <w:pPr>
              <w:spacing w:after="0" w:line="360" w:lineRule="auto"/>
              <w:rPr>
                <w:sz w:val="18"/>
                <w:szCs w:val="18"/>
              </w:rPr>
            </w:pPr>
            <w:r w:rsidRPr="00045A5B">
              <w:rPr>
                <w:b/>
                <w:sz w:val="18"/>
                <w:szCs w:val="18"/>
              </w:rPr>
              <w:t>Source and location</w:t>
            </w:r>
          </w:p>
        </w:tc>
        <w:tc>
          <w:tcPr>
            <w:tcW w:w="2797" w:type="dxa"/>
            <w:shd w:val="clear" w:color="auto" w:fill="D9E2F3"/>
            <w:tcMar>
              <w:top w:w="90" w:type="dxa"/>
              <w:left w:w="90" w:type="dxa"/>
              <w:bottom w:w="90" w:type="dxa"/>
              <w:right w:w="90" w:type="dxa"/>
            </w:tcMar>
            <w:vAlign w:val="center"/>
          </w:tcPr>
          <w:p w14:paraId="47666C8D" w14:textId="77777777" w:rsidR="00AB2427" w:rsidRPr="00045A5B" w:rsidRDefault="00130A17" w:rsidP="00045A5B">
            <w:pPr>
              <w:spacing w:after="0" w:line="360" w:lineRule="auto"/>
              <w:rPr>
                <w:sz w:val="18"/>
                <w:szCs w:val="18"/>
              </w:rPr>
            </w:pPr>
            <w:r w:rsidRPr="00045A5B">
              <w:rPr>
                <w:b/>
                <w:sz w:val="18"/>
                <w:szCs w:val="18"/>
              </w:rPr>
              <w:t>Located wording or source note</w:t>
            </w:r>
          </w:p>
        </w:tc>
        <w:tc>
          <w:tcPr>
            <w:tcW w:w="2474" w:type="dxa"/>
            <w:shd w:val="clear" w:color="auto" w:fill="D9E2F3"/>
            <w:tcMar>
              <w:top w:w="90" w:type="dxa"/>
              <w:left w:w="90" w:type="dxa"/>
              <w:bottom w:w="90" w:type="dxa"/>
              <w:right w:w="90" w:type="dxa"/>
            </w:tcMar>
            <w:vAlign w:val="center"/>
          </w:tcPr>
          <w:p w14:paraId="3F5F4539" w14:textId="77777777" w:rsidR="00AB2427" w:rsidRPr="00045A5B" w:rsidRDefault="00130A17" w:rsidP="00045A5B">
            <w:pPr>
              <w:spacing w:after="0" w:line="360" w:lineRule="auto"/>
              <w:rPr>
                <w:sz w:val="18"/>
                <w:szCs w:val="18"/>
              </w:rPr>
            </w:pPr>
            <w:r w:rsidRPr="00045A5B">
              <w:rPr>
                <w:b/>
                <w:sz w:val="18"/>
                <w:szCs w:val="18"/>
              </w:rPr>
              <w:t>Coding decision</w:t>
            </w:r>
          </w:p>
        </w:tc>
        <w:tc>
          <w:tcPr>
            <w:tcW w:w="2965" w:type="dxa"/>
            <w:shd w:val="clear" w:color="auto" w:fill="D9E2F3"/>
            <w:tcMar>
              <w:top w:w="90" w:type="dxa"/>
              <w:left w:w="90" w:type="dxa"/>
              <w:bottom w:w="90" w:type="dxa"/>
              <w:right w:w="90" w:type="dxa"/>
            </w:tcMar>
            <w:vAlign w:val="center"/>
          </w:tcPr>
          <w:p w14:paraId="44EF7A0B" w14:textId="77777777" w:rsidR="00AB2427" w:rsidRPr="00045A5B" w:rsidRDefault="00130A17" w:rsidP="00045A5B">
            <w:pPr>
              <w:spacing w:after="0" w:line="360" w:lineRule="auto"/>
              <w:rPr>
                <w:sz w:val="18"/>
                <w:szCs w:val="18"/>
              </w:rPr>
            </w:pPr>
            <w:r w:rsidRPr="00045A5B">
              <w:rPr>
                <w:b/>
                <w:sz w:val="18"/>
                <w:szCs w:val="18"/>
              </w:rPr>
              <w:t>Use in analysis</w:t>
            </w:r>
          </w:p>
        </w:tc>
      </w:tr>
      <w:tr w:rsidR="00AB2427" w:rsidRPr="00045A5B" w14:paraId="71532C0E" w14:textId="77777777" w:rsidTr="00C91BB8">
        <w:trPr>
          <w:trHeight w:val="2184"/>
          <w:jc w:val="center"/>
        </w:trPr>
        <w:tc>
          <w:tcPr>
            <w:tcW w:w="1829" w:type="dxa"/>
            <w:tcMar>
              <w:top w:w="90" w:type="dxa"/>
              <w:left w:w="90" w:type="dxa"/>
              <w:bottom w:w="90" w:type="dxa"/>
              <w:right w:w="90" w:type="dxa"/>
            </w:tcMar>
            <w:vAlign w:val="center"/>
          </w:tcPr>
          <w:p w14:paraId="0795053D" w14:textId="77777777" w:rsidR="00AB2427" w:rsidRPr="00045A5B" w:rsidRDefault="00130A17" w:rsidP="00045A5B">
            <w:pPr>
              <w:spacing w:after="0" w:line="360" w:lineRule="auto"/>
              <w:rPr>
                <w:sz w:val="18"/>
                <w:szCs w:val="18"/>
              </w:rPr>
            </w:pPr>
            <w:r w:rsidRPr="00045A5B">
              <w:rPr>
                <w:sz w:val="18"/>
                <w:szCs w:val="18"/>
              </w:rPr>
              <w:t>Bunzl plc (2022b), p. 53</w:t>
            </w:r>
          </w:p>
        </w:tc>
        <w:tc>
          <w:tcPr>
            <w:tcW w:w="2797" w:type="dxa"/>
            <w:tcMar>
              <w:top w:w="90" w:type="dxa"/>
              <w:left w:w="90" w:type="dxa"/>
              <w:bottom w:w="90" w:type="dxa"/>
              <w:right w:w="90" w:type="dxa"/>
            </w:tcMar>
            <w:vAlign w:val="center"/>
          </w:tcPr>
          <w:p w14:paraId="7AF6B37F" w14:textId="53314C4E" w:rsidR="00AB2427" w:rsidRPr="00045A5B" w:rsidRDefault="00130A17" w:rsidP="00045A5B">
            <w:pPr>
              <w:spacing w:after="0" w:line="360" w:lineRule="auto"/>
              <w:rPr>
                <w:sz w:val="18"/>
                <w:szCs w:val="18"/>
              </w:rPr>
            </w:pPr>
            <w:r w:rsidRPr="00045A5B">
              <w:rPr>
                <w:sz w:val="18"/>
                <w:szCs w:val="18"/>
              </w:rPr>
              <w:t>"</w:t>
            </w:r>
            <w:r w:rsidR="00126D50" w:rsidRPr="00045A5B">
              <w:rPr>
                <w:sz w:val="18"/>
                <w:szCs w:val="18"/>
              </w:rPr>
              <w:t>Assessed</w:t>
            </w:r>
            <w:r w:rsidRPr="00045A5B">
              <w:rPr>
                <w:sz w:val="18"/>
                <w:szCs w:val="18"/>
              </w:rPr>
              <w:t xml:space="preserve"> 930 suppliers and 834 had no critical issues"; the same passage records remediation progress and 16 terminated relationships.</w:t>
            </w:r>
          </w:p>
        </w:tc>
        <w:tc>
          <w:tcPr>
            <w:tcW w:w="2474" w:type="dxa"/>
            <w:tcMar>
              <w:top w:w="90" w:type="dxa"/>
              <w:left w:w="90" w:type="dxa"/>
              <w:bottom w:w="90" w:type="dxa"/>
              <w:right w:w="90" w:type="dxa"/>
            </w:tcMar>
            <w:vAlign w:val="center"/>
          </w:tcPr>
          <w:p w14:paraId="65511422" w14:textId="77777777" w:rsidR="00AB2427" w:rsidRPr="00045A5B" w:rsidRDefault="00130A17" w:rsidP="00045A5B">
            <w:pPr>
              <w:spacing w:after="0" w:line="360" w:lineRule="auto"/>
              <w:rPr>
                <w:sz w:val="18"/>
                <w:szCs w:val="18"/>
              </w:rPr>
            </w:pPr>
            <w:r w:rsidRPr="00045A5B">
              <w:rPr>
                <w:sz w:val="18"/>
                <w:szCs w:val="18"/>
              </w:rPr>
              <w:t>Assessment coverage; remediation status; sourcing consequence. Formal report and defined year; process evidence with limited outcome evidence.</w:t>
            </w:r>
          </w:p>
        </w:tc>
        <w:tc>
          <w:tcPr>
            <w:tcW w:w="2965" w:type="dxa"/>
            <w:tcMar>
              <w:top w:w="90" w:type="dxa"/>
              <w:left w:w="90" w:type="dxa"/>
              <w:bottom w:w="90" w:type="dxa"/>
              <w:right w:w="90" w:type="dxa"/>
            </w:tcMar>
            <w:vAlign w:val="center"/>
          </w:tcPr>
          <w:p w14:paraId="727E4613" w14:textId="77777777" w:rsidR="00AB2427" w:rsidRPr="00045A5B" w:rsidRDefault="00130A17" w:rsidP="00045A5B">
            <w:pPr>
              <w:spacing w:after="0" w:line="360" w:lineRule="auto"/>
              <w:rPr>
                <w:sz w:val="18"/>
                <w:szCs w:val="18"/>
              </w:rPr>
            </w:pPr>
            <w:r w:rsidRPr="00045A5B">
              <w:rPr>
                <w:sz w:val="18"/>
                <w:szCs w:val="18"/>
              </w:rPr>
              <w:t>Theme 1; RQ1 and RQ2. Supports wider assurance and action, but not a Group-wide labour-outcome claim.</w:t>
            </w:r>
          </w:p>
        </w:tc>
      </w:tr>
      <w:tr w:rsidR="00AB2427" w:rsidRPr="00045A5B" w14:paraId="176042B8" w14:textId="77777777" w:rsidTr="00C91BB8">
        <w:trPr>
          <w:trHeight w:val="1882"/>
          <w:jc w:val="center"/>
        </w:trPr>
        <w:tc>
          <w:tcPr>
            <w:tcW w:w="1829" w:type="dxa"/>
            <w:tcMar>
              <w:top w:w="90" w:type="dxa"/>
              <w:left w:w="90" w:type="dxa"/>
              <w:bottom w:w="90" w:type="dxa"/>
              <w:right w:w="90" w:type="dxa"/>
            </w:tcMar>
            <w:vAlign w:val="center"/>
          </w:tcPr>
          <w:p w14:paraId="1ECDF752" w14:textId="77777777" w:rsidR="00AB2427" w:rsidRPr="00045A5B" w:rsidRDefault="00130A17" w:rsidP="00045A5B">
            <w:pPr>
              <w:spacing w:after="0" w:line="360" w:lineRule="auto"/>
              <w:rPr>
                <w:sz w:val="18"/>
                <w:szCs w:val="18"/>
              </w:rPr>
            </w:pPr>
            <w:r w:rsidRPr="00045A5B">
              <w:rPr>
                <w:sz w:val="18"/>
                <w:szCs w:val="18"/>
              </w:rPr>
              <w:t>Bunzl plc (2025b), p. 51</w:t>
            </w:r>
          </w:p>
        </w:tc>
        <w:tc>
          <w:tcPr>
            <w:tcW w:w="2797" w:type="dxa"/>
            <w:tcMar>
              <w:top w:w="90" w:type="dxa"/>
              <w:left w:w="90" w:type="dxa"/>
              <w:bottom w:w="90" w:type="dxa"/>
              <w:right w:w="90" w:type="dxa"/>
            </w:tcMar>
            <w:vAlign w:val="center"/>
          </w:tcPr>
          <w:p w14:paraId="5E95BD5C" w14:textId="04BA21F6" w:rsidR="00AB2427" w:rsidRPr="00045A5B" w:rsidRDefault="00130A17" w:rsidP="00045A5B">
            <w:pPr>
              <w:spacing w:after="0" w:line="360" w:lineRule="auto"/>
              <w:rPr>
                <w:sz w:val="18"/>
                <w:szCs w:val="18"/>
              </w:rPr>
            </w:pPr>
            <w:r w:rsidRPr="00045A5B">
              <w:rPr>
                <w:sz w:val="18"/>
                <w:szCs w:val="18"/>
              </w:rPr>
              <w:t>"</w:t>
            </w:r>
            <w:r w:rsidR="00126D50" w:rsidRPr="00045A5B">
              <w:rPr>
                <w:sz w:val="18"/>
                <w:szCs w:val="18"/>
              </w:rPr>
              <w:t>Carbon</w:t>
            </w:r>
            <w:r w:rsidRPr="00045A5B">
              <w:rPr>
                <w:sz w:val="18"/>
                <w:szCs w:val="18"/>
              </w:rPr>
              <w:t xml:space="preserve"> efficiency has improved by 28%, with our absolute emissions reduced by 18%" against 2019; acquisition effects are stated separately.</w:t>
            </w:r>
          </w:p>
        </w:tc>
        <w:tc>
          <w:tcPr>
            <w:tcW w:w="2474" w:type="dxa"/>
            <w:tcMar>
              <w:top w:w="90" w:type="dxa"/>
              <w:left w:w="90" w:type="dxa"/>
              <w:bottom w:w="90" w:type="dxa"/>
              <w:right w:w="90" w:type="dxa"/>
            </w:tcMar>
            <w:vAlign w:val="center"/>
          </w:tcPr>
          <w:p w14:paraId="318E5195" w14:textId="77777777" w:rsidR="00AB2427" w:rsidRPr="00045A5B" w:rsidRDefault="00130A17" w:rsidP="00045A5B">
            <w:pPr>
              <w:spacing w:after="0" w:line="360" w:lineRule="auto"/>
              <w:rPr>
                <w:sz w:val="18"/>
                <w:szCs w:val="18"/>
              </w:rPr>
            </w:pPr>
            <w:r w:rsidRPr="00045A5B">
              <w:rPr>
                <w:sz w:val="18"/>
                <w:szCs w:val="18"/>
              </w:rPr>
              <w:t>Absolute emissions; carbon efficiency; baseline; acquisition qualifier. Direct reported environmental indicators.</w:t>
            </w:r>
          </w:p>
        </w:tc>
        <w:tc>
          <w:tcPr>
            <w:tcW w:w="2965" w:type="dxa"/>
            <w:tcMar>
              <w:top w:w="90" w:type="dxa"/>
              <w:left w:w="90" w:type="dxa"/>
              <w:bottom w:w="90" w:type="dxa"/>
              <w:right w:w="90" w:type="dxa"/>
            </w:tcMar>
            <w:vAlign w:val="center"/>
          </w:tcPr>
          <w:p w14:paraId="3BDC8ED5" w14:textId="77777777" w:rsidR="00AB2427" w:rsidRPr="00045A5B" w:rsidRDefault="00130A17" w:rsidP="00045A5B">
            <w:pPr>
              <w:spacing w:after="0" w:line="360" w:lineRule="auto"/>
              <w:rPr>
                <w:sz w:val="18"/>
                <w:szCs w:val="18"/>
              </w:rPr>
            </w:pPr>
            <w:r w:rsidRPr="00045A5B">
              <w:rPr>
                <w:sz w:val="18"/>
                <w:szCs w:val="18"/>
              </w:rPr>
              <w:t>Theme 3; RQ2. Supports environmental improvement, not an inferred cost or profit effect.</w:t>
            </w:r>
          </w:p>
        </w:tc>
      </w:tr>
      <w:tr w:rsidR="00AB2427" w:rsidRPr="00045A5B" w14:paraId="01FE1172" w14:textId="77777777" w:rsidTr="00C91BB8">
        <w:trPr>
          <w:trHeight w:val="1872"/>
          <w:jc w:val="center"/>
        </w:trPr>
        <w:tc>
          <w:tcPr>
            <w:tcW w:w="1829" w:type="dxa"/>
            <w:tcMar>
              <w:top w:w="90" w:type="dxa"/>
              <w:left w:w="90" w:type="dxa"/>
              <w:bottom w:w="90" w:type="dxa"/>
              <w:right w:w="90" w:type="dxa"/>
            </w:tcMar>
            <w:vAlign w:val="center"/>
          </w:tcPr>
          <w:p w14:paraId="62EC4F4E" w14:textId="77777777" w:rsidR="00AB2427" w:rsidRPr="00045A5B" w:rsidRDefault="00130A17" w:rsidP="00045A5B">
            <w:pPr>
              <w:spacing w:after="0" w:line="360" w:lineRule="auto"/>
              <w:rPr>
                <w:sz w:val="18"/>
                <w:szCs w:val="18"/>
              </w:rPr>
            </w:pPr>
            <w:r w:rsidRPr="00045A5B">
              <w:rPr>
                <w:sz w:val="18"/>
                <w:szCs w:val="18"/>
              </w:rPr>
              <w:t>Bunzl plc (2025b), p. 54</w:t>
            </w:r>
          </w:p>
        </w:tc>
        <w:tc>
          <w:tcPr>
            <w:tcW w:w="2797" w:type="dxa"/>
            <w:tcMar>
              <w:top w:w="90" w:type="dxa"/>
              <w:left w:w="90" w:type="dxa"/>
              <w:bottom w:w="90" w:type="dxa"/>
              <w:right w:w="90" w:type="dxa"/>
            </w:tcMar>
            <w:vAlign w:val="center"/>
          </w:tcPr>
          <w:p w14:paraId="1EAB4199" w14:textId="15351E7B" w:rsidR="00AB2427" w:rsidRPr="00045A5B" w:rsidRDefault="00130A17" w:rsidP="00045A5B">
            <w:pPr>
              <w:spacing w:after="0" w:line="360" w:lineRule="auto"/>
              <w:rPr>
                <w:sz w:val="18"/>
                <w:szCs w:val="18"/>
              </w:rPr>
            </w:pPr>
            <w:r w:rsidRPr="00045A5B">
              <w:rPr>
                <w:sz w:val="18"/>
                <w:szCs w:val="18"/>
              </w:rPr>
              <w:t>"</w:t>
            </w:r>
            <w:r w:rsidR="00126D50" w:rsidRPr="00045A5B">
              <w:rPr>
                <w:sz w:val="18"/>
                <w:szCs w:val="18"/>
              </w:rPr>
              <w:t>Proactive</w:t>
            </w:r>
            <w:r w:rsidRPr="00045A5B">
              <w:rPr>
                <w:sz w:val="18"/>
                <w:szCs w:val="18"/>
              </w:rPr>
              <w:t xml:space="preserve"> engagement with 331 existing and potential customers"; a related case records an RFP win of approximately €2 million.</w:t>
            </w:r>
          </w:p>
        </w:tc>
        <w:tc>
          <w:tcPr>
            <w:tcW w:w="2474" w:type="dxa"/>
            <w:tcMar>
              <w:top w:w="90" w:type="dxa"/>
              <w:left w:w="90" w:type="dxa"/>
              <w:bottom w:w="90" w:type="dxa"/>
              <w:right w:w="90" w:type="dxa"/>
            </w:tcMar>
            <w:vAlign w:val="center"/>
          </w:tcPr>
          <w:p w14:paraId="2B005164" w14:textId="77777777" w:rsidR="00AB2427" w:rsidRPr="00045A5B" w:rsidRDefault="00130A17" w:rsidP="00045A5B">
            <w:pPr>
              <w:spacing w:after="0" w:line="360" w:lineRule="auto"/>
              <w:rPr>
                <w:sz w:val="18"/>
                <w:szCs w:val="18"/>
              </w:rPr>
            </w:pPr>
            <w:r w:rsidRPr="00045A5B">
              <w:rPr>
                <w:sz w:val="18"/>
                <w:szCs w:val="18"/>
              </w:rPr>
              <w:t>Engagement reach; commercial proxy; selected case. Existing and potential customers are not separated in the count.</w:t>
            </w:r>
          </w:p>
        </w:tc>
        <w:tc>
          <w:tcPr>
            <w:tcW w:w="2965" w:type="dxa"/>
            <w:tcMar>
              <w:top w:w="90" w:type="dxa"/>
              <w:left w:w="90" w:type="dxa"/>
              <w:bottom w:w="90" w:type="dxa"/>
              <w:right w:w="90" w:type="dxa"/>
            </w:tcMar>
            <w:vAlign w:val="center"/>
          </w:tcPr>
          <w:p w14:paraId="463F35C1" w14:textId="77777777" w:rsidR="00AB2427" w:rsidRPr="00045A5B" w:rsidRDefault="00130A17" w:rsidP="00045A5B">
            <w:pPr>
              <w:spacing w:after="0" w:line="360" w:lineRule="auto"/>
              <w:rPr>
                <w:sz w:val="18"/>
                <w:szCs w:val="18"/>
              </w:rPr>
            </w:pPr>
            <w:r w:rsidRPr="00045A5B">
              <w:rPr>
                <w:sz w:val="18"/>
                <w:szCs w:val="18"/>
              </w:rPr>
              <w:t>Theme 4; RQ3. Supports customer-facing capability and selected commercial relevance, not satisfaction.</w:t>
            </w:r>
          </w:p>
        </w:tc>
      </w:tr>
      <w:tr w:rsidR="00AB2427" w:rsidRPr="00045A5B" w14:paraId="3910B704" w14:textId="77777777" w:rsidTr="00C91BB8">
        <w:trPr>
          <w:trHeight w:val="1560"/>
          <w:jc w:val="center"/>
        </w:trPr>
        <w:tc>
          <w:tcPr>
            <w:tcW w:w="1829" w:type="dxa"/>
            <w:tcMar>
              <w:top w:w="90" w:type="dxa"/>
              <w:left w:w="90" w:type="dxa"/>
              <w:bottom w:w="90" w:type="dxa"/>
              <w:right w:w="90" w:type="dxa"/>
            </w:tcMar>
            <w:vAlign w:val="center"/>
          </w:tcPr>
          <w:p w14:paraId="0AEFFE36" w14:textId="77777777" w:rsidR="00AB2427" w:rsidRPr="00045A5B" w:rsidRDefault="00130A17" w:rsidP="00045A5B">
            <w:pPr>
              <w:spacing w:after="0" w:line="360" w:lineRule="auto"/>
              <w:rPr>
                <w:sz w:val="18"/>
                <w:szCs w:val="18"/>
              </w:rPr>
            </w:pPr>
            <w:r w:rsidRPr="00045A5B">
              <w:rPr>
                <w:sz w:val="18"/>
                <w:szCs w:val="18"/>
              </w:rPr>
              <w:t>Bunzl plc (2025a), financial highlights</w:t>
            </w:r>
          </w:p>
        </w:tc>
        <w:tc>
          <w:tcPr>
            <w:tcW w:w="2797" w:type="dxa"/>
            <w:tcMar>
              <w:top w:w="90" w:type="dxa"/>
              <w:left w:w="90" w:type="dxa"/>
              <w:bottom w:w="90" w:type="dxa"/>
              <w:right w:w="90" w:type="dxa"/>
            </w:tcMar>
            <w:vAlign w:val="center"/>
          </w:tcPr>
          <w:p w14:paraId="33F80F26" w14:textId="77777777" w:rsidR="00AB2427" w:rsidRPr="00045A5B" w:rsidRDefault="00130A17" w:rsidP="00045A5B">
            <w:pPr>
              <w:spacing w:after="0" w:line="360" w:lineRule="auto"/>
              <w:rPr>
                <w:sz w:val="18"/>
                <w:szCs w:val="18"/>
              </w:rPr>
            </w:pPr>
            <w:r w:rsidRPr="00045A5B">
              <w:rPr>
                <w:sz w:val="18"/>
                <w:szCs w:val="18"/>
              </w:rPr>
              <w:t>Adjusted operating profit was £910.3m, down 4.3% at constant exchange rates; operating margin was 7.7% compared with 8.3% in 2024.</w:t>
            </w:r>
          </w:p>
        </w:tc>
        <w:tc>
          <w:tcPr>
            <w:tcW w:w="2474" w:type="dxa"/>
            <w:tcMar>
              <w:top w:w="90" w:type="dxa"/>
              <w:left w:w="90" w:type="dxa"/>
              <w:bottom w:w="90" w:type="dxa"/>
              <w:right w:w="90" w:type="dxa"/>
            </w:tcMar>
            <w:vAlign w:val="center"/>
          </w:tcPr>
          <w:p w14:paraId="4E69F1BF" w14:textId="77777777" w:rsidR="00AB2427" w:rsidRPr="00045A5B" w:rsidRDefault="00130A17" w:rsidP="00045A5B">
            <w:pPr>
              <w:spacing w:after="0" w:line="360" w:lineRule="auto"/>
              <w:rPr>
                <w:sz w:val="18"/>
                <w:szCs w:val="18"/>
              </w:rPr>
            </w:pPr>
            <w:r w:rsidRPr="00045A5B">
              <w:rPr>
                <w:sz w:val="18"/>
                <w:szCs w:val="18"/>
              </w:rPr>
              <w:t>Aggregate operational result; qualifying pattern. Formal, specific and comparable, but not an SSCM-specific measure.</w:t>
            </w:r>
          </w:p>
        </w:tc>
        <w:tc>
          <w:tcPr>
            <w:tcW w:w="2965" w:type="dxa"/>
            <w:tcMar>
              <w:top w:w="90" w:type="dxa"/>
              <w:left w:w="90" w:type="dxa"/>
              <w:bottom w:w="90" w:type="dxa"/>
              <w:right w:w="90" w:type="dxa"/>
            </w:tcMar>
            <w:vAlign w:val="center"/>
          </w:tcPr>
          <w:p w14:paraId="516C0BE2" w14:textId="77777777" w:rsidR="00AB2427" w:rsidRPr="00045A5B" w:rsidRDefault="00130A17" w:rsidP="00045A5B">
            <w:pPr>
              <w:spacing w:after="0" w:line="360" w:lineRule="auto"/>
              <w:rPr>
                <w:sz w:val="18"/>
                <w:szCs w:val="18"/>
              </w:rPr>
            </w:pPr>
            <w:r w:rsidRPr="00045A5B">
              <w:rPr>
                <w:sz w:val="18"/>
                <w:szCs w:val="18"/>
              </w:rPr>
              <w:t>Theme 3; RQ2. Prevents improved sustainability indicators from being presented as sufficient evidence of better Group performance.</w:t>
            </w:r>
          </w:p>
        </w:tc>
      </w:tr>
    </w:tbl>
    <w:p w14:paraId="1CC7251F" w14:textId="77777777" w:rsidR="00045A5B" w:rsidRDefault="00045A5B" w:rsidP="00045A5B">
      <w:pPr>
        <w:spacing w:line="360" w:lineRule="auto"/>
      </w:pPr>
    </w:p>
    <w:p w14:paraId="5149ED18" w14:textId="04F742B7" w:rsidR="00AB2427" w:rsidRDefault="00130A17" w:rsidP="00045A5B">
      <w:pPr>
        <w:spacing w:line="360" w:lineRule="auto"/>
      </w:pPr>
      <w:r>
        <w:t>The table shows that the same located passage can generate more than one code. The analytical decision is made from the surrounding wording and the type of evidence, not from a keyword count.</w:t>
      </w:r>
    </w:p>
    <w:p w14:paraId="1C1986FD" w14:textId="77777777" w:rsidR="00AB2427" w:rsidRDefault="00130A17" w:rsidP="00045A5B">
      <w:pPr>
        <w:pStyle w:val="Heading2"/>
        <w:pageBreakBefore/>
      </w:pPr>
      <w:bookmarkStart w:id="140" w:name="_Toc238218166"/>
      <w:r>
        <w:lastRenderedPageBreak/>
        <w:t>A.2 From coded records to final themes</w:t>
      </w:r>
      <w:bookmarkEnd w:id="140"/>
    </w:p>
    <w:p w14:paraId="1A5C6683" w14:textId="77777777" w:rsidR="00AB2427" w:rsidRDefault="00130A17" w:rsidP="00C91BB8">
      <w:pPr>
        <w:pStyle w:val="Heading4"/>
      </w:pPr>
      <w:r>
        <w:t xml:space="preserve">Table A.2 From coded </w:t>
      </w:r>
      <w:r w:rsidRPr="00C91BB8">
        <w:t>records</w:t>
      </w:r>
      <w:r>
        <w:t xml:space="preserve"> to final themes</w:t>
      </w:r>
    </w:p>
    <w:tbl>
      <w:tblPr>
        <w:tblW w:w="10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9"/>
        <w:gridCol w:w="2873"/>
        <w:gridCol w:w="2542"/>
        <w:gridCol w:w="2564"/>
      </w:tblGrid>
      <w:tr w:rsidR="00AB2427" w:rsidRPr="00C91BB8" w14:paraId="4D0F0FCA" w14:textId="77777777" w:rsidTr="00C91BB8">
        <w:trPr>
          <w:trHeight w:val="312"/>
          <w:tblHeader/>
          <w:jc w:val="center"/>
        </w:trPr>
        <w:tc>
          <w:tcPr>
            <w:tcW w:w="2099" w:type="dxa"/>
            <w:shd w:val="clear" w:color="auto" w:fill="D9E2F3"/>
            <w:tcMar>
              <w:top w:w="90" w:type="dxa"/>
              <w:left w:w="90" w:type="dxa"/>
              <w:bottom w:w="90" w:type="dxa"/>
              <w:right w:w="90" w:type="dxa"/>
            </w:tcMar>
            <w:vAlign w:val="center"/>
          </w:tcPr>
          <w:p w14:paraId="65D577D2" w14:textId="77777777" w:rsidR="00AB2427" w:rsidRPr="00C91BB8" w:rsidRDefault="00130A17" w:rsidP="00045A5B">
            <w:pPr>
              <w:spacing w:after="0" w:line="360" w:lineRule="auto"/>
              <w:rPr>
                <w:sz w:val="18"/>
                <w:szCs w:val="18"/>
              </w:rPr>
            </w:pPr>
            <w:r w:rsidRPr="00C91BB8">
              <w:rPr>
                <w:b/>
                <w:sz w:val="18"/>
                <w:szCs w:val="18"/>
              </w:rPr>
              <w:t>Final theme</w:t>
            </w:r>
          </w:p>
        </w:tc>
        <w:tc>
          <w:tcPr>
            <w:tcW w:w="2873" w:type="dxa"/>
            <w:shd w:val="clear" w:color="auto" w:fill="D9E2F3"/>
            <w:tcMar>
              <w:top w:w="90" w:type="dxa"/>
              <w:left w:w="90" w:type="dxa"/>
              <w:bottom w:w="90" w:type="dxa"/>
              <w:right w:w="90" w:type="dxa"/>
            </w:tcMar>
            <w:vAlign w:val="center"/>
          </w:tcPr>
          <w:p w14:paraId="49629106" w14:textId="77777777" w:rsidR="00AB2427" w:rsidRPr="00C91BB8" w:rsidRDefault="00130A17" w:rsidP="00045A5B">
            <w:pPr>
              <w:spacing w:after="0" w:line="360" w:lineRule="auto"/>
              <w:rPr>
                <w:sz w:val="18"/>
                <w:szCs w:val="18"/>
              </w:rPr>
            </w:pPr>
            <w:r w:rsidRPr="00C91BB8">
              <w:rPr>
                <w:b/>
                <w:sz w:val="18"/>
                <w:szCs w:val="18"/>
              </w:rPr>
              <w:t>Supporting coded pattern</w:t>
            </w:r>
          </w:p>
        </w:tc>
        <w:tc>
          <w:tcPr>
            <w:tcW w:w="2542" w:type="dxa"/>
            <w:shd w:val="clear" w:color="auto" w:fill="D9E2F3"/>
            <w:tcMar>
              <w:top w:w="90" w:type="dxa"/>
              <w:left w:w="90" w:type="dxa"/>
              <w:bottom w:w="90" w:type="dxa"/>
              <w:right w:w="90" w:type="dxa"/>
            </w:tcMar>
            <w:vAlign w:val="center"/>
          </w:tcPr>
          <w:p w14:paraId="656275EF" w14:textId="77777777" w:rsidR="00AB2427" w:rsidRPr="00C91BB8" w:rsidRDefault="00130A17" w:rsidP="00045A5B">
            <w:pPr>
              <w:spacing w:after="0" w:line="360" w:lineRule="auto"/>
              <w:rPr>
                <w:sz w:val="18"/>
                <w:szCs w:val="18"/>
              </w:rPr>
            </w:pPr>
            <w:r w:rsidRPr="00C91BB8">
              <w:rPr>
                <w:b/>
                <w:sz w:val="18"/>
                <w:szCs w:val="18"/>
              </w:rPr>
              <w:t>Qualifying record</w:t>
            </w:r>
          </w:p>
        </w:tc>
        <w:tc>
          <w:tcPr>
            <w:tcW w:w="2564" w:type="dxa"/>
            <w:shd w:val="clear" w:color="auto" w:fill="D9E2F3"/>
            <w:tcMar>
              <w:top w:w="90" w:type="dxa"/>
              <w:left w:w="90" w:type="dxa"/>
              <w:bottom w:w="90" w:type="dxa"/>
              <w:right w:w="90" w:type="dxa"/>
            </w:tcMar>
            <w:vAlign w:val="center"/>
          </w:tcPr>
          <w:p w14:paraId="0D533B1A" w14:textId="77777777" w:rsidR="00AB2427" w:rsidRPr="00C91BB8" w:rsidRDefault="00130A17" w:rsidP="00045A5B">
            <w:pPr>
              <w:spacing w:after="0" w:line="360" w:lineRule="auto"/>
              <w:rPr>
                <w:sz w:val="18"/>
                <w:szCs w:val="18"/>
              </w:rPr>
            </w:pPr>
            <w:r w:rsidRPr="00C91BB8">
              <w:rPr>
                <w:b/>
                <w:sz w:val="18"/>
                <w:szCs w:val="18"/>
              </w:rPr>
              <w:t>Bounded claim</w:t>
            </w:r>
          </w:p>
        </w:tc>
      </w:tr>
      <w:tr w:rsidR="00AB2427" w:rsidRPr="00C91BB8" w14:paraId="3E710BAA" w14:textId="77777777" w:rsidTr="00C91BB8">
        <w:trPr>
          <w:trHeight w:val="1560"/>
          <w:jc w:val="center"/>
        </w:trPr>
        <w:tc>
          <w:tcPr>
            <w:tcW w:w="2099" w:type="dxa"/>
            <w:tcMar>
              <w:top w:w="90" w:type="dxa"/>
              <w:left w:w="90" w:type="dxa"/>
              <w:bottom w:w="90" w:type="dxa"/>
              <w:right w:w="90" w:type="dxa"/>
            </w:tcMar>
            <w:vAlign w:val="center"/>
          </w:tcPr>
          <w:p w14:paraId="55DD8CD3" w14:textId="77777777" w:rsidR="00AB2427" w:rsidRPr="00C91BB8" w:rsidRDefault="00130A17" w:rsidP="00045A5B">
            <w:pPr>
              <w:spacing w:after="0" w:line="360" w:lineRule="auto"/>
              <w:rPr>
                <w:sz w:val="18"/>
                <w:szCs w:val="18"/>
              </w:rPr>
            </w:pPr>
            <w:r w:rsidRPr="00C91BB8">
              <w:rPr>
                <w:sz w:val="18"/>
                <w:szCs w:val="18"/>
              </w:rPr>
              <w:t>Formalisation of responsible sourcing</w:t>
            </w:r>
          </w:p>
        </w:tc>
        <w:tc>
          <w:tcPr>
            <w:tcW w:w="2873" w:type="dxa"/>
            <w:tcMar>
              <w:top w:w="90" w:type="dxa"/>
              <w:left w:w="90" w:type="dxa"/>
              <w:bottom w:w="90" w:type="dxa"/>
              <w:right w:w="90" w:type="dxa"/>
            </w:tcMar>
            <w:vAlign w:val="center"/>
          </w:tcPr>
          <w:p w14:paraId="2F706FB1" w14:textId="77777777" w:rsidR="00AB2427" w:rsidRPr="00C91BB8" w:rsidRDefault="00130A17" w:rsidP="00045A5B">
            <w:pPr>
              <w:spacing w:after="0" w:line="360" w:lineRule="auto"/>
              <w:rPr>
                <w:sz w:val="18"/>
                <w:szCs w:val="18"/>
              </w:rPr>
            </w:pPr>
            <w:r w:rsidRPr="00C91BB8">
              <w:rPr>
                <w:sz w:val="18"/>
                <w:szCs w:val="18"/>
              </w:rPr>
              <w:t>Standards, assessment totals, remediation and termination recur across policy and annual reporting.</w:t>
            </w:r>
          </w:p>
        </w:tc>
        <w:tc>
          <w:tcPr>
            <w:tcW w:w="2542" w:type="dxa"/>
            <w:tcMar>
              <w:top w:w="90" w:type="dxa"/>
              <w:left w:w="90" w:type="dxa"/>
              <w:bottom w:w="90" w:type="dxa"/>
              <w:right w:w="90" w:type="dxa"/>
            </w:tcMar>
            <w:vAlign w:val="center"/>
          </w:tcPr>
          <w:p w14:paraId="0779A881" w14:textId="77777777" w:rsidR="00AB2427" w:rsidRPr="00C91BB8" w:rsidRDefault="00130A17" w:rsidP="00045A5B">
            <w:pPr>
              <w:spacing w:after="0" w:line="360" w:lineRule="auto"/>
              <w:rPr>
                <w:sz w:val="18"/>
                <w:szCs w:val="18"/>
              </w:rPr>
            </w:pPr>
            <w:r w:rsidRPr="00C91BB8">
              <w:rPr>
                <w:sz w:val="18"/>
                <w:szCs w:val="18"/>
              </w:rPr>
              <w:t>Closure time, recurrence and deeper-tier outcomes are not consistently disclosed.</w:t>
            </w:r>
          </w:p>
        </w:tc>
        <w:tc>
          <w:tcPr>
            <w:tcW w:w="2564" w:type="dxa"/>
            <w:tcMar>
              <w:top w:w="90" w:type="dxa"/>
              <w:left w:w="90" w:type="dxa"/>
              <w:bottom w:w="90" w:type="dxa"/>
              <w:right w:w="90" w:type="dxa"/>
            </w:tcMar>
            <w:vAlign w:val="center"/>
          </w:tcPr>
          <w:p w14:paraId="6142101D" w14:textId="77777777" w:rsidR="00AB2427" w:rsidRPr="00C91BB8" w:rsidRDefault="00130A17" w:rsidP="00045A5B">
            <w:pPr>
              <w:spacing w:after="0" w:line="360" w:lineRule="auto"/>
              <w:rPr>
                <w:sz w:val="18"/>
                <w:szCs w:val="18"/>
              </w:rPr>
            </w:pPr>
            <w:r w:rsidRPr="00C91BB8">
              <w:rPr>
                <w:sz w:val="18"/>
                <w:szCs w:val="18"/>
              </w:rPr>
              <w:t>Supplier-assurance reach increased; ultimate social and operational effects remain only partly measured.</w:t>
            </w:r>
          </w:p>
        </w:tc>
      </w:tr>
      <w:tr w:rsidR="00AB2427" w:rsidRPr="00C91BB8" w14:paraId="38821047" w14:textId="77777777" w:rsidTr="00C91BB8">
        <w:trPr>
          <w:trHeight w:val="1248"/>
          <w:jc w:val="center"/>
        </w:trPr>
        <w:tc>
          <w:tcPr>
            <w:tcW w:w="2099" w:type="dxa"/>
            <w:tcMar>
              <w:top w:w="90" w:type="dxa"/>
              <w:left w:w="90" w:type="dxa"/>
              <w:bottom w:w="90" w:type="dxa"/>
              <w:right w:w="90" w:type="dxa"/>
            </w:tcMar>
            <w:vAlign w:val="center"/>
          </w:tcPr>
          <w:p w14:paraId="11D95E83" w14:textId="77777777" w:rsidR="00AB2427" w:rsidRPr="00C91BB8" w:rsidRDefault="00130A17" w:rsidP="00045A5B">
            <w:pPr>
              <w:spacing w:after="0" w:line="360" w:lineRule="auto"/>
              <w:rPr>
                <w:sz w:val="18"/>
                <w:szCs w:val="18"/>
              </w:rPr>
            </w:pPr>
            <w:r w:rsidRPr="00C91BB8">
              <w:rPr>
                <w:sz w:val="18"/>
                <w:szCs w:val="18"/>
              </w:rPr>
              <w:t>Product and material transition</w:t>
            </w:r>
          </w:p>
        </w:tc>
        <w:tc>
          <w:tcPr>
            <w:tcW w:w="2873" w:type="dxa"/>
            <w:tcMar>
              <w:top w:w="90" w:type="dxa"/>
              <w:left w:w="90" w:type="dxa"/>
              <w:bottom w:w="90" w:type="dxa"/>
              <w:right w:w="90" w:type="dxa"/>
            </w:tcMar>
            <w:vAlign w:val="center"/>
          </w:tcPr>
          <w:p w14:paraId="5B0B94B1" w14:textId="77777777" w:rsidR="00AB2427" w:rsidRPr="00C91BB8" w:rsidRDefault="00130A17" w:rsidP="00045A5B">
            <w:pPr>
              <w:spacing w:after="0" w:line="360" w:lineRule="auto"/>
              <w:rPr>
                <w:sz w:val="18"/>
                <w:szCs w:val="18"/>
              </w:rPr>
            </w:pPr>
            <w:r w:rsidRPr="00C91BB8">
              <w:rPr>
                <w:sz w:val="18"/>
                <w:szCs w:val="18"/>
              </w:rPr>
              <w:t>Alternative-material packaging and broader portfolio shares show commercial movement over time.</w:t>
            </w:r>
          </w:p>
        </w:tc>
        <w:tc>
          <w:tcPr>
            <w:tcW w:w="2542" w:type="dxa"/>
            <w:tcMar>
              <w:top w:w="90" w:type="dxa"/>
              <w:left w:w="90" w:type="dxa"/>
              <w:bottom w:w="90" w:type="dxa"/>
              <w:right w:w="90" w:type="dxa"/>
            </w:tcMar>
            <w:vAlign w:val="center"/>
          </w:tcPr>
          <w:p w14:paraId="6654209E" w14:textId="77777777" w:rsidR="00AB2427" w:rsidRPr="00C91BB8" w:rsidRDefault="00130A17" w:rsidP="00045A5B">
            <w:pPr>
              <w:spacing w:after="0" w:line="360" w:lineRule="auto"/>
              <w:rPr>
                <w:sz w:val="18"/>
                <w:szCs w:val="18"/>
              </w:rPr>
            </w:pPr>
            <w:r w:rsidRPr="00C91BB8">
              <w:rPr>
                <w:sz w:val="18"/>
                <w:szCs w:val="18"/>
              </w:rPr>
              <w:t>Category scope, acquisitions and whole-life impact limit comparison and interpretation.</w:t>
            </w:r>
          </w:p>
        </w:tc>
        <w:tc>
          <w:tcPr>
            <w:tcW w:w="2564" w:type="dxa"/>
            <w:tcMar>
              <w:top w:w="90" w:type="dxa"/>
              <w:left w:w="90" w:type="dxa"/>
              <w:bottom w:w="90" w:type="dxa"/>
              <w:right w:w="90" w:type="dxa"/>
            </w:tcMar>
            <w:vAlign w:val="center"/>
          </w:tcPr>
          <w:p w14:paraId="447430D4" w14:textId="77777777" w:rsidR="00AB2427" w:rsidRPr="00C91BB8" w:rsidRDefault="00130A17" w:rsidP="00045A5B">
            <w:pPr>
              <w:spacing w:after="0" w:line="360" w:lineRule="auto"/>
              <w:rPr>
                <w:sz w:val="18"/>
                <w:szCs w:val="18"/>
              </w:rPr>
            </w:pPr>
            <w:r w:rsidRPr="00C91BB8">
              <w:rPr>
                <w:sz w:val="18"/>
                <w:szCs w:val="18"/>
              </w:rPr>
              <w:t>Portfolio transition is evidenced; overall environmental superiority and satisfaction are not.</w:t>
            </w:r>
          </w:p>
        </w:tc>
      </w:tr>
      <w:tr w:rsidR="00AB2427" w:rsidRPr="00C91BB8" w14:paraId="441D80F9" w14:textId="77777777" w:rsidTr="00C91BB8">
        <w:trPr>
          <w:trHeight w:val="1570"/>
          <w:jc w:val="center"/>
        </w:trPr>
        <w:tc>
          <w:tcPr>
            <w:tcW w:w="2099" w:type="dxa"/>
            <w:tcMar>
              <w:top w:w="90" w:type="dxa"/>
              <w:left w:w="90" w:type="dxa"/>
              <w:bottom w:w="90" w:type="dxa"/>
              <w:right w:w="90" w:type="dxa"/>
            </w:tcMar>
            <w:vAlign w:val="center"/>
          </w:tcPr>
          <w:p w14:paraId="70B756C5" w14:textId="77777777" w:rsidR="00AB2427" w:rsidRPr="00C91BB8" w:rsidRDefault="00130A17" w:rsidP="00045A5B">
            <w:pPr>
              <w:spacing w:after="0" w:line="360" w:lineRule="auto"/>
              <w:rPr>
                <w:sz w:val="18"/>
                <w:szCs w:val="18"/>
              </w:rPr>
            </w:pPr>
            <w:r w:rsidRPr="00C91BB8">
              <w:rPr>
                <w:sz w:val="18"/>
                <w:szCs w:val="18"/>
              </w:rPr>
              <w:t>Environmental efficiency and attribution</w:t>
            </w:r>
          </w:p>
        </w:tc>
        <w:tc>
          <w:tcPr>
            <w:tcW w:w="2873" w:type="dxa"/>
            <w:tcMar>
              <w:top w:w="90" w:type="dxa"/>
              <w:left w:w="90" w:type="dxa"/>
              <w:bottom w:w="90" w:type="dxa"/>
              <w:right w:w="90" w:type="dxa"/>
            </w:tcMar>
            <w:vAlign w:val="center"/>
          </w:tcPr>
          <w:p w14:paraId="4488C1BF" w14:textId="77777777" w:rsidR="00AB2427" w:rsidRPr="00C91BB8" w:rsidRDefault="00130A17" w:rsidP="00045A5B">
            <w:pPr>
              <w:spacing w:after="0" w:line="360" w:lineRule="auto"/>
              <w:rPr>
                <w:sz w:val="18"/>
                <w:szCs w:val="18"/>
              </w:rPr>
            </w:pPr>
            <w:r w:rsidRPr="00C91BB8">
              <w:rPr>
                <w:sz w:val="18"/>
                <w:szCs w:val="18"/>
              </w:rPr>
              <w:t>Absolute emissions and carbon-efficiency indicators use a stated 2019 baseline; digital ordering shows adoption.</w:t>
            </w:r>
          </w:p>
        </w:tc>
        <w:tc>
          <w:tcPr>
            <w:tcW w:w="2542" w:type="dxa"/>
            <w:tcMar>
              <w:top w:w="90" w:type="dxa"/>
              <w:left w:w="90" w:type="dxa"/>
              <w:bottom w:w="90" w:type="dxa"/>
              <w:right w:w="90" w:type="dxa"/>
            </w:tcMar>
            <w:vAlign w:val="center"/>
          </w:tcPr>
          <w:p w14:paraId="4D7D91BB" w14:textId="77777777" w:rsidR="00AB2427" w:rsidRPr="00C91BB8" w:rsidRDefault="00130A17" w:rsidP="00045A5B">
            <w:pPr>
              <w:spacing w:after="0" w:line="360" w:lineRule="auto"/>
              <w:rPr>
                <w:sz w:val="18"/>
                <w:szCs w:val="18"/>
              </w:rPr>
            </w:pPr>
            <w:r w:rsidRPr="00C91BB8">
              <w:rPr>
                <w:sz w:val="18"/>
                <w:szCs w:val="18"/>
              </w:rPr>
              <w:t>Acquisitions affect year-on-year emissions; 2025 profit and margin weakened for wider reasons.</w:t>
            </w:r>
          </w:p>
        </w:tc>
        <w:tc>
          <w:tcPr>
            <w:tcW w:w="2564" w:type="dxa"/>
            <w:tcMar>
              <w:top w:w="90" w:type="dxa"/>
              <w:left w:w="90" w:type="dxa"/>
              <w:bottom w:w="90" w:type="dxa"/>
              <w:right w:w="90" w:type="dxa"/>
            </w:tcMar>
            <w:vAlign w:val="center"/>
          </w:tcPr>
          <w:p w14:paraId="654C8880" w14:textId="77777777" w:rsidR="00AB2427" w:rsidRPr="00C91BB8" w:rsidRDefault="00130A17" w:rsidP="00045A5B">
            <w:pPr>
              <w:spacing w:after="0" w:line="360" w:lineRule="auto"/>
              <w:rPr>
                <w:sz w:val="18"/>
                <w:szCs w:val="18"/>
              </w:rPr>
            </w:pPr>
            <w:r w:rsidRPr="00C91BB8">
              <w:rPr>
                <w:sz w:val="18"/>
                <w:szCs w:val="18"/>
              </w:rPr>
              <w:t>Environmental progress is evidenced; Group operational and financial effects cannot be isolated.</w:t>
            </w:r>
          </w:p>
        </w:tc>
      </w:tr>
      <w:tr w:rsidR="00AB2427" w:rsidRPr="00C91BB8" w14:paraId="45ECDEC7" w14:textId="77777777" w:rsidTr="00C91BB8">
        <w:trPr>
          <w:trHeight w:val="1560"/>
          <w:jc w:val="center"/>
        </w:trPr>
        <w:tc>
          <w:tcPr>
            <w:tcW w:w="2099" w:type="dxa"/>
            <w:tcMar>
              <w:top w:w="90" w:type="dxa"/>
              <w:left w:w="90" w:type="dxa"/>
              <w:bottom w:w="90" w:type="dxa"/>
              <w:right w:w="90" w:type="dxa"/>
            </w:tcMar>
            <w:vAlign w:val="center"/>
          </w:tcPr>
          <w:p w14:paraId="3AE9AE91" w14:textId="77777777" w:rsidR="00AB2427" w:rsidRPr="00C91BB8" w:rsidRDefault="00130A17" w:rsidP="00045A5B">
            <w:pPr>
              <w:spacing w:after="0" w:line="360" w:lineRule="auto"/>
              <w:rPr>
                <w:sz w:val="18"/>
                <w:szCs w:val="18"/>
              </w:rPr>
            </w:pPr>
            <w:r w:rsidRPr="00C91BB8">
              <w:rPr>
                <w:sz w:val="18"/>
                <w:szCs w:val="18"/>
              </w:rPr>
              <w:t>Customer-facing capability</w:t>
            </w:r>
          </w:p>
        </w:tc>
        <w:tc>
          <w:tcPr>
            <w:tcW w:w="2873" w:type="dxa"/>
            <w:tcMar>
              <w:top w:w="90" w:type="dxa"/>
              <w:left w:w="90" w:type="dxa"/>
              <w:bottom w:w="90" w:type="dxa"/>
              <w:right w:w="90" w:type="dxa"/>
            </w:tcMar>
            <w:vAlign w:val="center"/>
          </w:tcPr>
          <w:p w14:paraId="31DACFE9" w14:textId="77777777" w:rsidR="00AB2427" w:rsidRPr="00C91BB8" w:rsidRDefault="00130A17" w:rsidP="00045A5B">
            <w:pPr>
              <w:spacing w:after="0" w:line="360" w:lineRule="auto"/>
              <w:rPr>
                <w:sz w:val="18"/>
                <w:szCs w:val="18"/>
              </w:rPr>
            </w:pPr>
            <w:r w:rsidRPr="00C91BB8">
              <w:rPr>
                <w:sz w:val="18"/>
                <w:szCs w:val="18"/>
              </w:rPr>
              <w:t>Engagement, advisory support, product transitions and selected contract cases recur in customer sections.</w:t>
            </w:r>
          </w:p>
        </w:tc>
        <w:tc>
          <w:tcPr>
            <w:tcW w:w="2542" w:type="dxa"/>
            <w:tcMar>
              <w:top w:w="90" w:type="dxa"/>
              <w:left w:w="90" w:type="dxa"/>
              <w:bottom w:w="90" w:type="dxa"/>
              <w:right w:w="90" w:type="dxa"/>
            </w:tcMar>
            <w:vAlign w:val="center"/>
          </w:tcPr>
          <w:p w14:paraId="3266F251" w14:textId="77777777" w:rsidR="00AB2427" w:rsidRPr="00C91BB8" w:rsidRDefault="00130A17" w:rsidP="00045A5B">
            <w:pPr>
              <w:spacing w:after="0" w:line="360" w:lineRule="auto"/>
              <w:rPr>
                <w:sz w:val="18"/>
                <w:szCs w:val="18"/>
              </w:rPr>
            </w:pPr>
            <w:r w:rsidRPr="00C91BB8">
              <w:rPr>
                <w:sz w:val="18"/>
                <w:szCs w:val="18"/>
              </w:rPr>
              <w:t>No Group-wide satisfaction series; engagement includes prospects and cases are selected.</w:t>
            </w:r>
          </w:p>
        </w:tc>
        <w:tc>
          <w:tcPr>
            <w:tcW w:w="2564" w:type="dxa"/>
            <w:tcMar>
              <w:top w:w="90" w:type="dxa"/>
              <w:left w:w="90" w:type="dxa"/>
              <w:bottom w:w="90" w:type="dxa"/>
              <w:right w:w="90" w:type="dxa"/>
            </w:tcMar>
            <w:vAlign w:val="center"/>
          </w:tcPr>
          <w:p w14:paraId="326ACAA5" w14:textId="77777777" w:rsidR="00AB2427" w:rsidRPr="00C91BB8" w:rsidRDefault="00130A17" w:rsidP="00045A5B">
            <w:pPr>
              <w:spacing w:after="0" w:line="360" w:lineRule="auto"/>
              <w:rPr>
                <w:sz w:val="18"/>
                <w:szCs w:val="18"/>
              </w:rPr>
            </w:pPr>
            <w:r w:rsidRPr="00C91BB8">
              <w:rPr>
                <w:sz w:val="18"/>
                <w:szCs w:val="18"/>
              </w:rPr>
              <w:t>Customer-related value is plausible and sometimes commercially visible; satisfaction is not directly established.</w:t>
            </w:r>
          </w:p>
        </w:tc>
      </w:tr>
    </w:tbl>
    <w:p w14:paraId="72D04CD8" w14:textId="77777777" w:rsidR="00C91BB8" w:rsidRDefault="00C91BB8" w:rsidP="00045A5B">
      <w:pPr>
        <w:spacing w:line="360" w:lineRule="auto"/>
      </w:pPr>
    </w:p>
    <w:p w14:paraId="2B2B5308" w14:textId="120206EC" w:rsidR="00AB2427" w:rsidRDefault="00130A17" w:rsidP="00045A5B">
      <w:pPr>
        <w:spacing w:line="360" w:lineRule="auto"/>
      </w:pPr>
      <w:r>
        <w:t>These examples show how recurring records became themes and how contradictory, missing or scope-limited evidence changed the wording of the final claim. The same logic is applied in Table 4.1 and the answers to RQ1-RQ3.</w:t>
      </w:r>
    </w:p>
    <w:sectPr w:rsidR="00AB2427" w:rsidSect="008E0721">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E5F12" w14:textId="77777777" w:rsidR="00572908" w:rsidRDefault="00572908" w:rsidP="008E0721">
      <w:pPr>
        <w:spacing w:after="0" w:line="240" w:lineRule="auto"/>
      </w:pPr>
      <w:r>
        <w:separator/>
      </w:r>
    </w:p>
  </w:endnote>
  <w:endnote w:type="continuationSeparator" w:id="0">
    <w:p w14:paraId="327798FA" w14:textId="77777777" w:rsidR="00572908" w:rsidRDefault="00572908" w:rsidP="008E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5277"/>
      <w:docPartObj>
        <w:docPartGallery w:val="Page Numbers (Bottom of Page)"/>
        <w:docPartUnique/>
      </w:docPartObj>
    </w:sdtPr>
    <w:sdtEndPr/>
    <w:sdtContent>
      <w:p w14:paraId="491436D6" w14:textId="77777777" w:rsidR="007D7A7B" w:rsidRDefault="007D7A7B">
        <w:pPr>
          <w:pStyle w:val="Footer"/>
          <w:jc w:val="right"/>
        </w:pPr>
        <w:r>
          <w:t xml:space="preserve">Page | </w:t>
        </w:r>
        <w:r>
          <w:fldChar w:fldCharType="begin"/>
        </w:r>
        <w:r>
          <w:instrText xml:space="preserve"> PAGE   \* MERGEFORMAT </w:instrText>
        </w:r>
        <w:r>
          <w:fldChar w:fldCharType="separate"/>
        </w:r>
        <w:r w:rsidR="0036788F">
          <w:rPr>
            <w:noProof/>
          </w:rPr>
          <w:t>iii</w:t>
        </w:r>
        <w:r>
          <w:rPr>
            <w:noProof/>
          </w:rPr>
          <w:fldChar w:fldCharType="end"/>
        </w:r>
        <w:r>
          <w:t xml:space="preserve"> </w:t>
        </w:r>
      </w:p>
    </w:sdtContent>
  </w:sdt>
  <w:p w14:paraId="27888131" w14:textId="77777777" w:rsidR="008E0721" w:rsidRDefault="008E07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8401B" w14:textId="77777777" w:rsidR="008E0721" w:rsidRDefault="008E07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95B03" w14:textId="77777777" w:rsidR="008E0721" w:rsidRDefault="008E072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5850066"/>
      <w:docPartObj>
        <w:docPartGallery w:val="Page Numbers (Bottom of Page)"/>
        <w:docPartUnique/>
      </w:docPartObj>
    </w:sdtPr>
    <w:sdtEndPr/>
    <w:sdtContent>
      <w:p w14:paraId="5546767F" w14:textId="77777777" w:rsidR="008E0721" w:rsidRDefault="008E0721">
        <w:pPr>
          <w:pStyle w:val="Footer"/>
          <w:jc w:val="right"/>
        </w:pPr>
        <w:r>
          <w:t xml:space="preserve">Page | </w:t>
        </w:r>
        <w:r>
          <w:fldChar w:fldCharType="begin"/>
        </w:r>
        <w:r>
          <w:instrText xml:space="preserve"> PAGE   \* MERGEFORMAT </w:instrText>
        </w:r>
        <w:r>
          <w:fldChar w:fldCharType="separate"/>
        </w:r>
        <w:r w:rsidR="0036788F">
          <w:rPr>
            <w:noProof/>
          </w:rPr>
          <w:t>13</w:t>
        </w:r>
        <w:r>
          <w:rPr>
            <w:noProof/>
          </w:rPr>
          <w:fldChar w:fldCharType="end"/>
        </w:r>
        <w:r>
          <w:t xml:space="preserve"> </w:t>
        </w:r>
      </w:p>
    </w:sdtContent>
  </w:sdt>
  <w:p w14:paraId="0B3CCA3F" w14:textId="77777777" w:rsidR="008E0721" w:rsidRDefault="008E07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D3BB6" w14:textId="77777777" w:rsidR="00572908" w:rsidRDefault="00572908" w:rsidP="008E0721">
      <w:pPr>
        <w:spacing w:after="0" w:line="240" w:lineRule="auto"/>
      </w:pPr>
      <w:r>
        <w:separator/>
      </w:r>
    </w:p>
  </w:footnote>
  <w:footnote w:type="continuationSeparator" w:id="0">
    <w:p w14:paraId="1036156D" w14:textId="77777777" w:rsidR="00572908" w:rsidRDefault="00572908" w:rsidP="008E07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38B361DD"/>
    <w:multiLevelType w:val="hybridMultilevel"/>
    <w:tmpl w:val="0B561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996F7E"/>
    <w:multiLevelType w:val="multilevel"/>
    <w:tmpl w:val="8AB81D30"/>
    <w:lvl w:ilvl="0">
      <w:start w:val="1"/>
      <w:numFmt w:val="decimal"/>
      <w:lvlText w:val="%1."/>
      <w:lvlJc w:val="left"/>
      <w:pPr>
        <w:ind w:left="720" w:hanging="360"/>
      </w:pPr>
    </w:lvl>
    <w:lvl w:ilvl="1">
      <w:start w:val="8"/>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168"/>
    <w:rsid w:val="000326F6"/>
    <w:rsid w:val="00045A5B"/>
    <w:rsid w:val="0010140B"/>
    <w:rsid w:val="00116634"/>
    <w:rsid w:val="00126D50"/>
    <w:rsid w:val="00130A17"/>
    <w:rsid w:val="00151806"/>
    <w:rsid w:val="001C5EA3"/>
    <w:rsid w:val="001E1667"/>
    <w:rsid w:val="00335582"/>
    <w:rsid w:val="00335953"/>
    <w:rsid w:val="0036788F"/>
    <w:rsid w:val="004549E5"/>
    <w:rsid w:val="00572908"/>
    <w:rsid w:val="005E7655"/>
    <w:rsid w:val="005F1936"/>
    <w:rsid w:val="006A5647"/>
    <w:rsid w:val="00720668"/>
    <w:rsid w:val="00765D7A"/>
    <w:rsid w:val="007D7A7B"/>
    <w:rsid w:val="00810F0C"/>
    <w:rsid w:val="008E0721"/>
    <w:rsid w:val="00912D19"/>
    <w:rsid w:val="009218B4"/>
    <w:rsid w:val="009454B9"/>
    <w:rsid w:val="00A2581B"/>
    <w:rsid w:val="00AB2427"/>
    <w:rsid w:val="00B24BEA"/>
    <w:rsid w:val="00BB6DBD"/>
    <w:rsid w:val="00BE0C08"/>
    <w:rsid w:val="00C91BB8"/>
    <w:rsid w:val="00CF7CFE"/>
    <w:rsid w:val="00D10879"/>
    <w:rsid w:val="00D16935"/>
    <w:rsid w:val="00D46172"/>
    <w:rsid w:val="00D97D7E"/>
    <w:rsid w:val="00DC1B7D"/>
    <w:rsid w:val="00DC7168"/>
    <w:rsid w:val="00E10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DE15A"/>
  <w15:chartTrackingRefBased/>
  <w15:docId w15:val="{8AB7717D-B6F2-48CD-B8C1-51F625599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168"/>
    <w:pPr>
      <w:jc w:val="both"/>
    </w:pPr>
    <w:rPr>
      <w:rFonts w:ascii="Arial" w:hAnsi="Arial"/>
      <w:sz w:val="24"/>
    </w:rPr>
  </w:style>
  <w:style w:type="paragraph" w:styleId="Heading1">
    <w:name w:val="heading 1"/>
    <w:basedOn w:val="Normal"/>
    <w:next w:val="Normal"/>
    <w:link w:val="Heading1Char"/>
    <w:uiPriority w:val="9"/>
    <w:qFormat/>
    <w:rsid w:val="00DC7168"/>
    <w:pPr>
      <w:keepNext/>
      <w:keepLines/>
      <w:spacing w:before="240" w:after="0" w:line="48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C7168"/>
    <w:pPr>
      <w:keepNext/>
      <w:keepLines/>
      <w:spacing w:before="40" w:after="0" w:line="36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24BEA"/>
    <w:pPr>
      <w:keepNext/>
      <w:keepLines/>
      <w:spacing w:before="40" w:after="0" w:line="360" w:lineRule="auto"/>
      <w:outlineLvl w:val="2"/>
    </w:pPr>
    <w:rPr>
      <w:rFonts w:eastAsiaTheme="majorEastAsia" w:cstheme="majorBidi"/>
      <w:b/>
      <w:color w:val="000000" w:themeColor="text1"/>
      <w:sz w:val="27"/>
      <w:szCs w:val="24"/>
    </w:rPr>
  </w:style>
  <w:style w:type="paragraph" w:styleId="Heading4">
    <w:name w:val="heading 4"/>
    <w:basedOn w:val="Normal"/>
    <w:next w:val="Normal"/>
    <w:link w:val="Heading4Char"/>
    <w:uiPriority w:val="9"/>
    <w:unhideWhenUsed/>
    <w:qFormat/>
    <w:rsid w:val="00BE0C08"/>
    <w:pPr>
      <w:keepNext/>
      <w:keepLines/>
      <w:spacing w:before="40" w:after="0" w:line="360" w:lineRule="auto"/>
      <w:jc w:val="center"/>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168"/>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DC7168"/>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DC7168"/>
    <w:pPr>
      <w:ind w:left="720"/>
      <w:contextualSpacing/>
    </w:pPr>
  </w:style>
  <w:style w:type="character" w:customStyle="1" w:styleId="Heading3Char">
    <w:name w:val="Heading 3 Char"/>
    <w:basedOn w:val="DefaultParagraphFont"/>
    <w:link w:val="Heading3"/>
    <w:uiPriority w:val="9"/>
    <w:rsid w:val="00B24BEA"/>
    <w:rPr>
      <w:rFonts w:ascii="Arial" w:eastAsiaTheme="majorEastAsia" w:hAnsi="Arial" w:cstheme="majorBidi"/>
      <w:b/>
      <w:color w:val="000000" w:themeColor="text1"/>
      <w:sz w:val="27"/>
      <w:szCs w:val="24"/>
    </w:rPr>
  </w:style>
  <w:style w:type="character" w:customStyle="1" w:styleId="Heading4Char">
    <w:name w:val="Heading 4 Char"/>
    <w:basedOn w:val="DefaultParagraphFont"/>
    <w:link w:val="Heading4"/>
    <w:uiPriority w:val="9"/>
    <w:rsid w:val="00BE0C08"/>
    <w:rPr>
      <w:rFonts w:ascii="Arial" w:eastAsiaTheme="majorEastAsia" w:hAnsi="Arial" w:cstheme="majorBidi"/>
      <w:b/>
      <w:iCs/>
      <w:color w:val="000000" w:themeColor="text1"/>
      <w:sz w:val="24"/>
    </w:rPr>
  </w:style>
  <w:style w:type="character" w:styleId="Hyperlink">
    <w:name w:val="Hyperlink"/>
    <w:basedOn w:val="DefaultParagraphFont"/>
    <w:uiPriority w:val="99"/>
    <w:unhideWhenUsed/>
    <w:rsid w:val="008E0721"/>
    <w:rPr>
      <w:color w:val="0563C1" w:themeColor="hyperlink"/>
      <w:u w:val="single"/>
    </w:rPr>
  </w:style>
  <w:style w:type="character" w:customStyle="1" w:styleId="UnresolvedMention">
    <w:name w:val="Unresolved Mention"/>
    <w:basedOn w:val="DefaultParagraphFont"/>
    <w:uiPriority w:val="99"/>
    <w:semiHidden/>
    <w:unhideWhenUsed/>
    <w:rsid w:val="008E0721"/>
    <w:rPr>
      <w:color w:val="605E5C"/>
      <w:shd w:val="clear" w:color="auto" w:fill="E1DFDD"/>
    </w:rPr>
  </w:style>
  <w:style w:type="paragraph" w:styleId="Header">
    <w:name w:val="header"/>
    <w:basedOn w:val="Normal"/>
    <w:link w:val="HeaderChar"/>
    <w:uiPriority w:val="99"/>
    <w:unhideWhenUsed/>
    <w:rsid w:val="008E07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721"/>
    <w:rPr>
      <w:rFonts w:ascii="Arial" w:hAnsi="Arial"/>
      <w:sz w:val="24"/>
    </w:rPr>
  </w:style>
  <w:style w:type="paragraph" w:styleId="Footer">
    <w:name w:val="footer"/>
    <w:basedOn w:val="Normal"/>
    <w:link w:val="FooterChar"/>
    <w:uiPriority w:val="99"/>
    <w:unhideWhenUsed/>
    <w:rsid w:val="008E07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721"/>
    <w:rPr>
      <w:rFonts w:ascii="Arial" w:hAnsi="Arial"/>
      <w:sz w:val="24"/>
    </w:rPr>
  </w:style>
  <w:style w:type="paragraph" w:styleId="TOCHeading">
    <w:name w:val="TOC Heading"/>
    <w:basedOn w:val="Heading1"/>
    <w:next w:val="Normal"/>
    <w:uiPriority w:val="39"/>
    <w:unhideWhenUsed/>
    <w:qFormat/>
    <w:rsid w:val="008E072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E0721"/>
    <w:pPr>
      <w:spacing w:after="100"/>
    </w:pPr>
  </w:style>
  <w:style w:type="paragraph" w:styleId="TOC2">
    <w:name w:val="toc 2"/>
    <w:basedOn w:val="Normal"/>
    <w:next w:val="Normal"/>
    <w:autoRedefine/>
    <w:uiPriority w:val="39"/>
    <w:unhideWhenUsed/>
    <w:rsid w:val="008E0721"/>
    <w:pPr>
      <w:spacing w:after="100"/>
      <w:ind w:left="240"/>
    </w:pPr>
  </w:style>
  <w:style w:type="paragraph" w:styleId="TOC3">
    <w:name w:val="toc 3"/>
    <w:basedOn w:val="Normal"/>
    <w:next w:val="Normal"/>
    <w:autoRedefine/>
    <w:uiPriority w:val="39"/>
    <w:unhideWhenUsed/>
    <w:rsid w:val="008E0721"/>
    <w:pPr>
      <w:spacing w:after="100"/>
      <w:ind w:left="480"/>
    </w:pPr>
  </w:style>
  <w:style w:type="paragraph" w:customStyle="1" w:styleId="FrontTitle">
    <w:name w:val="Front Title"/>
    <w:rsid w:val="00D46172"/>
    <w:pPr>
      <w:keepNext/>
      <w:spacing w:after="240" w:line="276" w:lineRule="auto"/>
    </w:pPr>
    <w:rPr>
      <w:rFonts w:ascii="Arial" w:eastAsiaTheme="minorEastAsia" w:hAnsi="Arial"/>
      <w:b/>
      <w:color w:val="17324D"/>
      <w:sz w:val="36"/>
    </w:rPr>
  </w:style>
  <w:style w:type="paragraph" w:customStyle="1" w:styleId="TOCEntry">
    <w:name w:val="TOC Entry"/>
    <w:rsid w:val="00D46172"/>
    <w:pPr>
      <w:widowControl w:val="0"/>
      <w:spacing w:after="40" w:line="240" w:lineRule="auto"/>
    </w:pPr>
    <w:rPr>
      <w:rFonts w:ascii="Arial" w:eastAsiaTheme="minorEastAsia" w:hAnsi="Arial"/>
      <w:color w:val="243443"/>
      <w:sz w:val="18"/>
    </w:rPr>
  </w:style>
  <w:style w:type="paragraph" w:customStyle="1" w:styleId="ListHeading">
    <w:name w:val="List Heading"/>
    <w:rsid w:val="00D46172"/>
    <w:pPr>
      <w:spacing w:before="200" w:after="80" w:line="276" w:lineRule="auto"/>
    </w:pPr>
    <w:rPr>
      <w:rFonts w:ascii="Arial" w:eastAsiaTheme="minorEastAsia" w:hAnsi="Arial"/>
      <w:b/>
      <w:color w:val="1F6D73"/>
      <w:sz w:val="24"/>
    </w:rPr>
  </w:style>
  <w:style w:type="paragraph" w:styleId="ListBullet">
    <w:name w:val="List Bullet"/>
    <w:basedOn w:val="Normal"/>
    <w:uiPriority w:val="99"/>
    <w:unhideWhenUsed/>
    <w:rsid w:val="0010140B"/>
    <w:pPr>
      <w:numPr>
        <w:numId w:val="3"/>
      </w:numPr>
      <w:spacing w:after="0" w:line="240" w:lineRule="auto"/>
      <w:contextualSpacing/>
      <w:jc w:val="left"/>
    </w:pPr>
    <w:rPr>
      <w:rFonts w:eastAsia="Arial"/>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AACAE-FEA9-4555-8BDC-E535A17E4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67</Pages>
  <Words>18741</Words>
  <Characters>106825</Characters>
  <Application>Microsoft Office Word</Application>
  <DocSecurity>0</DocSecurity>
  <Lines>890</Lines>
  <Paragraphs>250</Paragraphs>
  <ScaleCrop>false</ScaleCrop>
  <HeadingPairs>
    <vt:vector size="2" baseType="variant">
      <vt:variant>
        <vt:lpstr>Title</vt:lpstr>
      </vt:variant>
      <vt:variant>
        <vt:i4>1</vt:i4>
      </vt:variant>
    </vt:vector>
  </HeadingPairs>
  <TitlesOfParts>
    <vt:vector size="1" baseType="lpstr">
      <vt:lpstr>How sustainable supply chain management affects operational performance and customer satisfaction: a study of Bunzl plc</vt:lpstr>
    </vt:vector>
  </TitlesOfParts>
  <Company/>
  <LinksUpToDate>false</LinksUpToDate>
  <CharactersWithSpaces>125316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sustainable supply chain management affects operational performance and customer satisfaction: a study of Bunzl plc</dc:title>
  <dc:subject>MBA Dissertation</dc:subject>
  <dc:creator>Takia Sultana</dc:creator>
  <cp:keywords/>
  <dc:description/>
  <cp:revision>8</cp:revision>
  <dcterms:created xsi:type="dcterms:W3CDTF">2026-08-07T08:26:00Z</dcterms:created>
  <dcterms:modified xsi:type="dcterms:W3CDTF">2026-08-25T12:53:00Z</dcterms:modified>
</cp:coreProperties>
</file>