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22668" w14:textId="679CAC55" w:rsidR="00862B9B" w:rsidRPr="00E14024" w:rsidRDefault="00862B9B" w:rsidP="00862B9B">
      <w:pPr>
        <w:jc w:val="both"/>
      </w:pPr>
      <w:r w:rsidRPr="00E14024">
        <w:t>From: Ryan Green &lt;ryan.green@bluelightlaw.com&gt;</w:t>
      </w:r>
    </w:p>
    <w:p w14:paraId="6826735B" w14:textId="5F00C38A" w:rsidR="00862B9B" w:rsidRPr="00E14024" w:rsidRDefault="00862B9B" w:rsidP="00862B9B">
      <w:pPr>
        <w:jc w:val="both"/>
      </w:pPr>
      <w:r w:rsidRPr="00E14024">
        <w:t xml:space="preserve">To: David Rose </w:t>
      </w:r>
      <w:r w:rsidR="00E14024" w:rsidRPr="00E14024">
        <w:t>&lt;david.rose@bluelightlaw.com&gt;</w:t>
      </w:r>
    </w:p>
    <w:p w14:paraId="19D9D001" w14:textId="7316AE10" w:rsidR="00E14024" w:rsidRDefault="00E14024" w:rsidP="00862B9B">
      <w:pPr>
        <w:jc w:val="both"/>
        <w:rPr>
          <w:rFonts w:cs="Arial"/>
        </w:rPr>
      </w:pPr>
      <w:r w:rsidRPr="00E14024">
        <w:t xml:space="preserve">Subject: </w:t>
      </w:r>
      <w:r>
        <w:t xml:space="preserve">Re: </w:t>
      </w:r>
      <w:r w:rsidRPr="00E14024">
        <w:rPr>
          <w:rFonts w:cs="Arial"/>
        </w:rPr>
        <w:t>Case ref: DR-19384/04</w:t>
      </w:r>
    </w:p>
    <w:p w14:paraId="2222E469" w14:textId="77777777" w:rsidR="00E14024" w:rsidRDefault="00E14024" w:rsidP="00862B9B">
      <w:pPr>
        <w:jc w:val="both"/>
        <w:rPr>
          <w:rFonts w:cs="Arial"/>
        </w:rPr>
      </w:pPr>
    </w:p>
    <w:p w14:paraId="5D82E4B1" w14:textId="39AF975D" w:rsidR="00E14024" w:rsidRDefault="00E14024" w:rsidP="00862B9B">
      <w:pPr>
        <w:jc w:val="both"/>
        <w:rPr>
          <w:rFonts w:cs="Arial"/>
        </w:rPr>
      </w:pPr>
      <w:r>
        <w:rPr>
          <w:rFonts w:cs="Arial"/>
        </w:rPr>
        <w:t>Dear David,</w:t>
      </w:r>
    </w:p>
    <w:p w14:paraId="01AA1B59" w14:textId="77777777" w:rsidR="00E14024" w:rsidRDefault="00E14024" w:rsidP="00862B9B">
      <w:pPr>
        <w:jc w:val="both"/>
        <w:rPr>
          <w:rFonts w:cs="Arial"/>
        </w:rPr>
      </w:pPr>
    </w:p>
    <w:p w14:paraId="59B4B789" w14:textId="79938B4B" w:rsidR="00E14024" w:rsidRDefault="00E14024" w:rsidP="00862B9B">
      <w:pPr>
        <w:jc w:val="both"/>
        <w:rPr>
          <w:rFonts w:cs="Arial"/>
        </w:rPr>
      </w:pPr>
      <w:r>
        <w:rPr>
          <w:rFonts w:cs="Arial"/>
        </w:rPr>
        <w:t>With regards to the two questions you asked me, I completed the necessary research and can report the following findings:</w:t>
      </w:r>
    </w:p>
    <w:p w14:paraId="2E63B62B" w14:textId="77777777" w:rsidR="00E14024" w:rsidRDefault="00E14024" w:rsidP="00862B9B">
      <w:pPr>
        <w:jc w:val="both"/>
      </w:pPr>
    </w:p>
    <w:p w14:paraId="55C330B8" w14:textId="77777777" w:rsidR="005D1315" w:rsidRDefault="00E14024" w:rsidP="00862B9B">
      <w:pPr>
        <w:jc w:val="both"/>
      </w:pPr>
      <w:r>
        <w:rPr>
          <w:u w:val="single"/>
        </w:rPr>
        <w:t>Question 1:</w:t>
      </w:r>
      <w:r>
        <w:t xml:space="preserve"> </w:t>
      </w:r>
      <w:r w:rsidR="00870302">
        <w:t xml:space="preserve">Having reviewed the Law Society Practice Note for this matter, firstly accepting this gift could be seen as a potential conflict of interest and raise the question of undue influence, although the firm’s regulatory policies should have been followed in this instance to indemnify us from such allegations. S2 states there are also some potential regulatory issues and that we should act in accordance with 1.2 SRA Code of Conduct with regards to ensuring we act in the client’s best interests and must not have taken unfair advantage of them. S3 refers to the preparation and execution of the will itself, there are circumstances in which it is considered appropriate for legal </w:t>
      </w:r>
      <w:r w:rsidR="008A146C">
        <w:t>practitioners</w:t>
      </w:r>
      <w:r w:rsidR="00870302">
        <w:t xml:space="preserve"> to accept gifts from a client in their will. </w:t>
      </w:r>
      <w:r w:rsidR="008A146C">
        <w:t>Such a situation would be if the gift is not considered to be substantial, and a gift meets this threshold if it is 1% or more of the client’s estate. As the combined value of Mrs. Spain’s gifts to us is £2000 her total estate would need to be worth £200,000 or less to meet this.</w:t>
      </w:r>
      <w:r w:rsidR="00327B7B">
        <w:t xml:space="preserve"> It is my understanding that if you considered them as two separate gifts, to meet the 1% threshold the estate would have to be worth £100,000 or less in its entirety.</w:t>
      </w:r>
      <w:r w:rsidR="008A146C">
        <w:t xml:space="preserve"> I have also researched the SRA Guidance for the Preparation of Wills, and it signposts to 6.1 SRA Code of Conduct that dictates we should not act in instances where there is an own interest conflict or the likelihood of one arising. The client should have ideally sought independent legal advice regarding the issue, there should also be an attendance note from the time which fully details the interaction with the client and state why they felt these gifts were necessary. It should have also been explained to the client that the gifts could become void if the will is challenged and should understand how other beneficiaries may perceive the situation. The firm’s COLP should have also been notified to assess the implications of the gift and whether we could still act in their best interests if they approved and gave effect to the will. </w:t>
      </w:r>
      <w:r w:rsidR="00412DC6">
        <w:t xml:space="preserve">The client would also need to have given written confirmation that she declined to pursue independent legal advice. </w:t>
      </w:r>
      <w:r w:rsidR="005D1315">
        <w:t xml:space="preserve">In the most extreme circumstances, there could even be grounds for declaring the will or part of it invalid. There is precedence for this in the case of </w:t>
      </w:r>
      <w:proofErr w:type="spellStart"/>
      <w:r w:rsidR="005D1315">
        <w:t>Wintle</w:t>
      </w:r>
      <w:proofErr w:type="spellEnd"/>
      <w:r w:rsidR="005D1315">
        <w:t xml:space="preserve"> v Nye [1959] where the House of Lords held that the gifts relating to the solicitor were invalid due to lack of evidence of the Testatrix’s knowledge and approval. </w:t>
      </w:r>
      <w:r w:rsidR="00412DC6">
        <w:t>Providing the above regulatory process has been followed correctly, the will is valid and adheres to the formalities of s9 Wills Act 1837, the estate is solvent</w:t>
      </w:r>
      <w:r w:rsidR="00327B7B">
        <w:t xml:space="preserve">, and the value of the gifts does not exceed 1% of the total estate value we can exercise our discretion whether to accept the gifts or not. </w:t>
      </w:r>
    </w:p>
    <w:p w14:paraId="4110710B" w14:textId="77777777" w:rsidR="00C834B9" w:rsidRDefault="00C834B9" w:rsidP="00862B9B">
      <w:pPr>
        <w:jc w:val="both"/>
      </w:pPr>
    </w:p>
    <w:p w14:paraId="5DA51A3B" w14:textId="5D1F3175" w:rsidR="00763567" w:rsidRDefault="005D3969" w:rsidP="00C834B9">
      <w:pPr>
        <w:jc w:val="both"/>
      </w:pPr>
      <w:r>
        <w:rPr>
          <w:u w:val="single"/>
        </w:rPr>
        <w:t>Question 2:</w:t>
      </w:r>
      <w:r>
        <w:t xml:space="preserve"> With regards to Mrs. Spain’s 3kg of gold, depending on the purity of the gold this could be worth between £78,300 and £208,770 (London Gold Centre, 2025)</w:t>
      </w:r>
      <w:r w:rsidR="007D0F5F">
        <w:t xml:space="preserve">. An </w:t>
      </w:r>
      <w:r w:rsidR="007D0F5F">
        <w:lastRenderedPageBreak/>
        <w:t xml:space="preserve">independent valuation will need to be sought by the Executor in accordance with s39 Administration of Estates Act 1925. </w:t>
      </w:r>
      <w:r w:rsidR="00320D6D">
        <w:t>Also,</w:t>
      </w:r>
      <w:r w:rsidR="007D0F5F">
        <w:t xml:space="preserve"> in accordance with s19 Trustee Act 2000 the Executor would be able to </w:t>
      </w:r>
      <w:r w:rsidR="0004536B">
        <w:t>insure the gold, if it is not already, and pay those premiums from the estate. Even though Fiona may be trustworthy and of good character, but we must proceed with caution as not to expose the firm to any liability if the estate is incorrectly distributed.</w:t>
      </w:r>
      <w:r w:rsidR="00A32CD2">
        <w:t xml:space="preserve"> With regards to transferring the asset to her and withholding that information from the other beneficiaries will not be able to happen, under the AEA 1925 all assets must be accounted for, and a proper valuation of all property is to be undertaken. We along with the Executor have a fiduciary responsibility to act in the best interests of the estate and to uphold the client’s right to testamentary freedom. There is also no mention of a secret trust, so it would be prudent to work on the presumption that the client made a will and provided for Fiona</w:t>
      </w:r>
      <w:r w:rsidR="00320D6D">
        <w:t>, if she wanted to le</w:t>
      </w:r>
      <w:r w:rsidR="00763567">
        <w:t>ave</w:t>
      </w:r>
      <w:r w:rsidR="00320D6D">
        <w:t xml:space="preserve"> the gold to her she did not take the opportunity to do so, The Gazette, (2025). Because the gold was not accounted for in the will, if there is no residuary clause or beneficiary in the will then any unaccounted assets will need to be distributed according to the rules of intestacy and s</w:t>
      </w:r>
      <w:r w:rsidR="00046035">
        <w:t>46</w:t>
      </w:r>
      <w:r w:rsidR="00320D6D">
        <w:t xml:space="preserve"> AEA 1925. This states that the spouse or civil partner would be the first in line to inherit</w:t>
      </w:r>
      <w:r w:rsidR="005D1315">
        <w:t xml:space="preserve">, then secondly the children, followed by parents and then siblings of the whole blood. The gold </w:t>
      </w:r>
      <w:r w:rsidR="00763567">
        <w:t>would</w:t>
      </w:r>
      <w:r w:rsidR="005D1315">
        <w:t xml:space="preserve"> also be subject to Inheritance Tax if the total value of the estate exceeds £325,000, Nisbet, (2024). </w:t>
      </w:r>
      <w:r w:rsidR="003166FF">
        <w:t xml:space="preserve">This is my current understanding of the situation </w:t>
      </w:r>
      <w:r w:rsidR="00A44B17">
        <w:t xml:space="preserve">based on the information available from the client. This does not mean that she has no recourse if she wished to pursue the matter, but it would involve litigation for a court to decide. With regards to the secret trust, there are three elements which are required for one to come into effect: there needs to be an intention on the part of the Testator to create a trust, there must have been an agreement between Mrs. Spain and Fiona, and the trust must still be enforceable even though it is omitted from the will, The Gazette, (2025). </w:t>
      </w:r>
      <w:r w:rsidR="00D65A9B">
        <w:t xml:space="preserve">Applying the case of Blackwell v Blackwell [1929], a verbal agreement between the Testator and the Trustee constitutes the establishment of a secret trust, but in this case the Testator also included a letter of wishes annexed with the will outlining his intent. Fiona will need to prove that her mother intended to create a secret trust, and according to s53 LPA 1925, for an express trust to be valid it must be in writing. However, in the case of McCormick v Grogan [1867] it was held that even though the Testator had communicated his wishes to the </w:t>
      </w:r>
      <w:r w:rsidR="00C834B9">
        <w:t>Trustee,</w:t>
      </w:r>
      <w:r w:rsidR="00D65A9B">
        <w:t xml:space="preserve"> and they agreed, and the fact that an </w:t>
      </w:r>
      <w:r w:rsidR="00C834B9">
        <w:t>attached</w:t>
      </w:r>
      <w:r w:rsidR="00D65A9B">
        <w:t xml:space="preserve"> letter outlining their intentions for the distribution of assets, that </w:t>
      </w:r>
      <w:r w:rsidR="00C834B9">
        <w:t xml:space="preserve">it was not appropriate to enforce the secret trust as the estate was not at risk of any fraudulent activity. There may also be an option to explore this from a </w:t>
      </w:r>
      <w:r w:rsidR="001751E8">
        <w:t>p</w:t>
      </w:r>
      <w:r w:rsidR="00C834B9">
        <w:t xml:space="preserve">roprietary </w:t>
      </w:r>
      <w:r w:rsidR="001751E8">
        <w:t>e</w:t>
      </w:r>
      <w:r w:rsidR="00C834B9">
        <w:t xml:space="preserve">stoppel angle, for Fiona to be able to pursue this route, the elements that make up a successful case for estoppel include and assurance having been made by Mrs. Spain, Fiona has to have relied on that assurance to her detriment – which could be proven by the fact that she could potentially lose out on a significant inheritance if it was to be distributed proportionately between the beneficiaries. The court must also agree that it would be unconscionable to deny Fiona the right to inherit, The Gazette, (2025). </w:t>
      </w:r>
      <w:r w:rsidR="00D16D5B">
        <w:t xml:space="preserve">The case of Spencer v Spencer [2023] also deals with a similar situation, where a beneficiary was promised a farm and was successful in bringing a claim demonstrating the requirements for estoppel. </w:t>
      </w:r>
      <w:r w:rsidR="00C834B9">
        <w:t xml:space="preserve">This is an </w:t>
      </w:r>
      <w:r w:rsidR="00C834B9">
        <w:lastRenderedPageBreak/>
        <w:t xml:space="preserve">incredibly delicate situation, please let me know if you require further assistance from me. </w:t>
      </w:r>
    </w:p>
    <w:p w14:paraId="081CD316" w14:textId="77777777" w:rsidR="00C834B9" w:rsidRDefault="00C834B9" w:rsidP="00C834B9">
      <w:pPr>
        <w:jc w:val="both"/>
      </w:pPr>
    </w:p>
    <w:p w14:paraId="24731124" w14:textId="77777777" w:rsidR="00D16D5B" w:rsidRDefault="00C834B9" w:rsidP="00763567">
      <w:pPr>
        <w:jc w:val="both"/>
      </w:pPr>
      <w:r>
        <w:t xml:space="preserve">Regards, </w:t>
      </w:r>
    </w:p>
    <w:p w14:paraId="743B63BA" w14:textId="56A5747F" w:rsidR="00763567" w:rsidRDefault="00C834B9" w:rsidP="00763567">
      <w:pPr>
        <w:jc w:val="both"/>
      </w:pPr>
      <w:r>
        <w:t>Ryan.</w:t>
      </w:r>
    </w:p>
    <w:p w14:paraId="2FF9EDE9" w14:textId="77777777" w:rsidR="00D16D5B" w:rsidRDefault="00D16D5B" w:rsidP="00763567">
      <w:pPr>
        <w:jc w:val="both"/>
      </w:pPr>
    </w:p>
    <w:p w14:paraId="12AF07C7" w14:textId="1C7BDBA1" w:rsidR="00D16D5B" w:rsidRPr="00D16D5B" w:rsidRDefault="00D16D5B" w:rsidP="00D16D5B">
      <w:pPr>
        <w:jc w:val="center"/>
        <w:rPr>
          <w:sz w:val="20"/>
          <w:szCs w:val="20"/>
        </w:rPr>
      </w:pPr>
      <w:r>
        <w:rPr>
          <w:sz w:val="20"/>
          <w:szCs w:val="20"/>
        </w:rPr>
        <w:t>[ARTICLE]</w:t>
      </w:r>
    </w:p>
    <w:p w14:paraId="738320F9" w14:textId="3F54B2C9" w:rsidR="00763567" w:rsidRDefault="00763567" w:rsidP="00AB0E6F">
      <w:pPr>
        <w:jc w:val="center"/>
        <w:rPr>
          <w:b/>
          <w:bCs/>
          <w:color w:val="4C94D8" w:themeColor="text2" w:themeTint="80"/>
          <w:sz w:val="32"/>
          <w:szCs w:val="32"/>
        </w:rPr>
      </w:pPr>
      <w:r>
        <w:rPr>
          <w:b/>
          <w:bCs/>
          <w:color w:val="4C94D8" w:themeColor="text2" w:themeTint="80"/>
          <w:sz w:val="32"/>
          <w:szCs w:val="32"/>
        </w:rPr>
        <w:t>Inheritance Tax: What You Need to Know</w:t>
      </w:r>
    </w:p>
    <w:p w14:paraId="45AD1DF7" w14:textId="57C8821E" w:rsidR="00763567" w:rsidRDefault="009C7D9D" w:rsidP="00763567">
      <w:pPr>
        <w:jc w:val="both"/>
        <w:rPr>
          <w:color w:val="000000" w:themeColor="text1"/>
        </w:rPr>
      </w:pPr>
      <w:r>
        <w:rPr>
          <w:color w:val="000000" w:themeColor="text1"/>
        </w:rPr>
        <w:t xml:space="preserve">Dealing with Inheritance Tax </w:t>
      </w:r>
      <w:r w:rsidR="004B42EC">
        <w:rPr>
          <w:color w:val="000000" w:themeColor="text1"/>
        </w:rPr>
        <w:t>(I</w:t>
      </w:r>
      <w:r w:rsidR="00AB0E6F">
        <w:rPr>
          <w:color w:val="000000" w:themeColor="text1"/>
        </w:rPr>
        <w:t>H</w:t>
      </w:r>
      <w:r w:rsidR="004B42EC">
        <w:rPr>
          <w:color w:val="000000" w:themeColor="text1"/>
        </w:rPr>
        <w:t xml:space="preserve">T) </w:t>
      </w:r>
      <w:r>
        <w:rPr>
          <w:color w:val="000000" w:themeColor="text1"/>
        </w:rPr>
        <w:t xml:space="preserve">can be a daunting experience at an already distressing time. This article will give you all the information you need you need to know, as well as discuss the effects it can have on your family situation. We will also look at some of the statistics surrounding this complex area and review some of the recent legal community discussions and reform ideas. </w:t>
      </w:r>
    </w:p>
    <w:p w14:paraId="2D045050" w14:textId="77777777" w:rsidR="009C7D9D" w:rsidRDefault="009C7D9D" w:rsidP="00763567">
      <w:pPr>
        <w:jc w:val="both"/>
        <w:rPr>
          <w:color w:val="000000" w:themeColor="text1"/>
        </w:rPr>
      </w:pPr>
    </w:p>
    <w:p w14:paraId="3F1E65EE" w14:textId="2683302A" w:rsidR="00C834B9" w:rsidRPr="00C834B9" w:rsidRDefault="00C834B9" w:rsidP="00763567">
      <w:pPr>
        <w:jc w:val="both"/>
        <w:rPr>
          <w:color w:val="000000" w:themeColor="text1"/>
          <w:u w:val="single"/>
        </w:rPr>
      </w:pPr>
      <w:r>
        <w:rPr>
          <w:color w:val="000000" w:themeColor="text1"/>
          <w:u w:val="single"/>
        </w:rPr>
        <w:t xml:space="preserve">What is Inheritance Tax? </w:t>
      </w:r>
    </w:p>
    <w:p w14:paraId="55EE3152" w14:textId="78D0ED18" w:rsidR="009C7D9D" w:rsidRDefault="009C7D9D" w:rsidP="00763567">
      <w:pPr>
        <w:jc w:val="both"/>
        <w:rPr>
          <w:color w:val="000000" w:themeColor="text1"/>
        </w:rPr>
      </w:pPr>
      <w:r>
        <w:rPr>
          <w:color w:val="000000" w:themeColor="text1"/>
        </w:rPr>
        <w:t xml:space="preserve">Put simply, it is the tax due on the net value of a deceased person’s estate, deducting the value of any debts that are owing.  </w:t>
      </w:r>
      <w:r w:rsidR="004B42EC">
        <w:rPr>
          <w:color w:val="000000" w:themeColor="text1"/>
        </w:rPr>
        <w:t>I</w:t>
      </w:r>
      <w:r w:rsidR="00AB0E6F">
        <w:rPr>
          <w:color w:val="000000" w:themeColor="text1"/>
        </w:rPr>
        <w:t>H</w:t>
      </w:r>
      <w:r w:rsidR="004B42EC">
        <w:rPr>
          <w:color w:val="000000" w:themeColor="text1"/>
        </w:rPr>
        <w:t>T is currently payable at a rate of 40% but is not payable on all estates. I</w:t>
      </w:r>
      <w:r w:rsidR="00AB0E6F">
        <w:rPr>
          <w:color w:val="000000" w:themeColor="text1"/>
        </w:rPr>
        <w:t>H</w:t>
      </w:r>
      <w:r w:rsidR="004B42EC">
        <w:rPr>
          <w:color w:val="000000" w:themeColor="text1"/>
        </w:rPr>
        <w:t xml:space="preserve">T is only payable on estates worth more than £325,000 with any estate falling below this threshold falling into what is classed as the ‘nil band’. There are a few ways in which you can reduce your taxable liabilities, for example if you pass your main home of residence to a spouse then this qualifies for relief from paying IT. Similarly, </w:t>
      </w:r>
      <w:r w:rsidR="00531898">
        <w:rPr>
          <w:color w:val="000000" w:themeColor="text1"/>
        </w:rPr>
        <w:t>any assets which are passed to a spouse whether in life or in death would also pass tax free. If</w:t>
      </w:r>
      <w:r w:rsidR="004B42EC">
        <w:rPr>
          <w:color w:val="000000" w:themeColor="text1"/>
        </w:rPr>
        <w:t xml:space="preserve"> you were to pass that home on to one of your children or other descendants then th</w:t>
      </w:r>
      <w:r w:rsidR="00531898">
        <w:rPr>
          <w:color w:val="000000" w:themeColor="text1"/>
        </w:rPr>
        <w:t xml:space="preserve">e minimum threshold is increased to £500,000. </w:t>
      </w:r>
    </w:p>
    <w:p w14:paraId="3F5E679E" w14:textId="77777777" w:rsidR="00531898" w:rsidRDefault="00531898" w:rsidP="00763567">
      <w:pPr>
        <w:jc w:val="both"/>
        <w:rPr>
          <w:color w:val="000000" w:themeColor="text1"/>
        </w:rPr>
      </w:pPr>
    </w:p>
    <w:p w14:paraId="2CA38175" w14:textId="513B458D" w:rsidR="00531898" w:rsidRDefault="00531898" w:rsidP="00763567">
      <w:pPr>
        <w:jc w:val="both"/>
        <w:rPr>
          <w:color w:val="000000" w:themeColor="text1"/>
        </w:rPr>
      </w:pPr>
      <w:r>
        <w:rPr>
          <w:color w:val="000000" w:themeColor="text1"/>
        </w:rPr>
        <w:t xml:space="preserve">HMRC reported that for the year 2020/21 </w:t>
      </w:r>
      <w:r w:rsidR="00596817">
        <w:rPr>
          <w:color w:val="000000" w:themeColor="text1"/>
        </w:rPr>
        <w:t>the total revenue raised for the treasury from I</w:t>
      </w:r>
      <w:r w:rsidR="00AB0E6F">
        <w:rPr>
          <w:color w:val="000000" w:themeColor="text1"/>
        </w:rPr>
        <w:t>H</w:t>
      </w:r>
      <w:r w:rsidR="00596817">
        <w:rPr>
          <w:color w:val="000000" w:themeColor="text1"/>
        </w:rPr>
        <w:t>T was almost £6bn! Also, out of all the estates that were administrated in that year just 3.7% of estates actually paid I</w:t>
      </w:r>
      <w:r w:rsidR="00AB0E6F">
        <w:rPr>
          <w:color w:val="000000" w:themeColor="text1"/>
        </w:rPr>
        <w:t>H</w:t>
      </w:r>
      <w:r w:rsidR="00596817">
        <w:rPr>
          <w:color w:val="000000" w:themeColor="text1"/>
        </w:rPr>
        <w:t xml:space="preserve">T. </w:t>
      </w:r>
    </w:p>
    <w:p w14:paraId="5F6EF9E1" w14:textId="77777777" w:rsidR="00596817" w:rsidRDefault="00596817" w:rsidP="00763567">
      <w:pPr>
        <w:jc w:val="both"/>
        <w:rPr>
          <w:color w:val="000000" w:themeColor="text1"/>
        </w:rPr>
      </w:pPr>
    </w:p>
    <w:p w14:paraId="2AFA4B0C" w14:textId="7F8BAF1D" w:rsidR="00C834B9" w:rsidRPr="00C834B9" w:rsidRDefault="00C834B9" w:rsidP="00763567">
      <w:pPr>
        <w:jc w:val="both"/>
        <w:rPr>
          <w:color w:val="000000" w:themeColor="text1"/>
          <w:u w:val="single"/>
        </w:rPr>
      </w:pPr>
      <w:r>
        <w:rPr>
          <w:color w:val="000000" w:themeColor="text1"/>
          <w:u w:val="single"/>
        </w:rPr>
        <w:t>What Does the Public Think About Inheritance Tax?</w:t>
      </w:r>
    </w:p>
    <w:p w14:paraId="092DDA8F" w14:textId="0876AFB8" w:rsidR="00596817" w:rsidRDefault="00596817" w:rsidP="00763567">
      <w:pPr>
        <w:jc w:val="both"/>
        <w:rPr>
          <w:color w:val="000000" w:themeColor="text1"/>
        </w:rPr>
      </w:pPr>
      <w:r>
        <w:rPr>
          <w:color w:val="000000" w:themeColor="text1"/>
        </w:rPr>
        <w:t>When YouGov conducted a recent poll asking, “How Fair is I</w:t>
      </w:r>
      <w:r w:rsidR="00AB0E6F">
        <w:rPr>
          <w:color w:val="000000" w:themeColor="text1"/>
        </w:rPr>
        <w:t>H</w:t>
      </w:r>
      <w:r>
        <w:rPr>
          <w:color w:val="000000" w:themeColor="text1"/>
        </w:rPr>
        <w:t xml:space="preserve">T?” </w:t>
      </w:r>
      <w:r w:rsidR="00E81F5B">
        <w:rPr>
          <w:color w:val="000000" w:themeColor="text1"/>
        </w:rPr>
        <w:t xml:space="preserve">the public replied loud and clear with just 5% agreeing the current rate of tax was </w:t>
      </w:r>
      <w:r w:rsidR="00E81F5B">
        <w:rPr>
          <w:i/>
          <w:iCs/>
          <w:color w:val="000000" w:themeColor="text1"/>
        </w:rPr>
        <w:t>Very Fair</w:t>
      </w:r>
      <w:r w:rsidR="00E81F5B">
        <w:rPr>
          <w:color w:val="000000" w:themeColor="text1"/>
        </w:rPr>
        <w:t xml:space="preserve">. There have been several voices in the discussion noting specifically how complex the </w:t>
      </w:r>
      <w:r w:rsidR="00B56DA4">
        <w:rPr>
          <w:color w:val="000000" w:themeColor="text1"/>
        </w:rPr>
        <w:t>I</w:t>
      </w:r>
      <w:r w:rsidR="00AB0E6F">
        <w:rPr>
          <w:color w:val="000000" w:themeColor="text1"/>
        </w:rPr>
        <w:t>H</w:t>
      </w:r>
      <w:r w:rsidR="00B56DA4">
        <w:rPr>
          <w:color w:val="000000" w:themeColor="text1"/>
        </w:rPr>
        <w:t xml:space="preserve">T process is currently, particularly referencing the fact that there are currently multiple nil-rate bands applying to spouses, civil partners and descendants. </w:t>
      </w:r>
      <w:r w:rsidR="00E81F5B">
        <w:rPr>
          <w:color w:val="000000" w:themeColor="text1"/>
        </w:rPr>
        <w:t xml:space="preserve"> </w:t>
      </w:r>
    </w:p>
    <w:p w14:paraId="565D6653" w14:textId="77777777" w:rsidR="00C834B9" w:rsidRDefault="00C834B9" w:rsidP="00763567">
      <w:pPr>
        <w:jc w:val="both"/>
        <w:rPr>
          <w:color w:val="000000" w:themeColor="text1"/>
        </w:rPr>
      </w:pPr>
    </w:p>
    <w:p w14:paraId="12DB5170" w14:textId="75974965" w:rsidR="00C834B9" w:rsidRDefault="00C834B9" w:rsidP="00763567">
      <w:pPr>
        <w:jc w:val="both"/>
        <w:rPr>
          <w:color w:val="000000" w:themeColor="text1"/>
        </w:rPr>
      </w:pPr>
      <w:r>
        <w:rPr>
          <w:color w:val="000000" w:themeColor="text1"/>
          <w:u w:val="single"/>
        </w:rPr>
        <w:t>Are There Ways to Protect Yourself from Paying Inheritance Tax?</w:t>
      </w:r>
    </w:p>
    <w:p w14:paraId="00AC7116" w14:textId="2F4343DF" w:rsidR="00C834B9" w:rsidRDefault="00AB0E6F" w:rsidP="00763567">
      <w:pPr>
        <w:jc w:val="both"/>
        <w:rPr>
          <w:color w:val="000000" w:themeColor="text1"/>
        </w:rPr>
      </w:pPr>
      <w:r>
        <w:rPr>
          <w:color w:val="000000" w:themeColor="text1"/>
        </w:rPr>
        <w:t xml:space="preserve">There are many ways people can mitigate the amount of IHT they pay on their estate, ranging from gifting assets prior to your death to creating trusts to ensure your wealth remains in the family. It is important to note that when it comes to gifting assets you have an annual allowance of up to £3000 and can also give subsequent gifts of up to £250 in value after this threshold has been met. Trusts still remain an effective way to plan around your IHT, but we would recommend seeking legal advice regarding this as there a </w:t>
      </w:r>
      <w:r>
        <w:rPr>
          <w:color w:val="000000" w:themeColor="text1"/>
        </w:rPr>
        <w:lastRenderedPageBreak/>
        <w:t xml:space="preserve">numerous different trusts, and all of them are different to set up and have different requirements to meet. </w:t>
      </w:r>
    </w:p>
    <w:p w14:paraId="49C162EA" w14:textId="77777777" w:rsidR="00AB0E6F" w:rsidRDefault="00AB0E6F" w:rsidP="00763567">
      <w:pPr>
        <w:jc w:val="both"/>
        <w:rPr>
          <w:color w:val="000000" w:themeColor="text1"/>
        </w:rPr>
      </w:pPr>
    </w:p>
    <w:p w14:paraId="679AA6CF" w14:textId="5E5F5F32" w:rsidR="00AB0E6F" w:rsidRDefault="00AB0E6F" w:rsidP="00763567">
      <w:pPr>
        <w:jc w:val="both"/>
        <w:rPr>
          <w:color w:val="000000" w:themeColor="text1"/>
        </w:rPr>
      </w:pPr>
      <w:r>
        <w:rPr>
          <w:color w:val="000000" w:themeColor="text1"/>
        </w:rPr>
        <w:t>Are you worried about how IHT may affect your estate and your loved ones when the time comes? Get in touch with our dedicated Wills, Probate &amp; Trusts team to discuss your options and ensure that the people you love are protected today</w:t>
      </w:r>
      <w:r w:rsidR="000C5158">
        <w:rPr>
          <w:color w:val="000000" w:themeColor="text1"/>
        </w:rPr>
        <w:t>!</w:t>
      </w:r>
    </w:p>
    <w:p w14:paraId="5B31D3C4" w14:textId="77777777" w:rsidR="000C5158" w:rsidRDefault="000C5158" w:rsidP="00763567">
      <w:pPr>
        <w:jc w:val="both"/>
        <w:rPr>
          <w:color w:val="000000" w:themeColor="text1"/>
        </w:rPr>
      </w:pPr>
    </w:p>
    <w:p w14:paraId="0DA6F8D6" w14:textId="32F47E49" w:rsidR="000C5158" w:rsidRDefault="000C5158" w:rsidP="00763567">
      <w:pPr>
        <w:jc w:val="both"/>
        <w:rPr>
          <w:color w:val="000000" w:themeColor="text1"/>
        </w:rPr>
      </w:pPr>
      <w:r>
        <w:rPr>
          <w:color w:val="000000" w:themeColor="text1"/>
          <w:u w:val="single"/>
        </w:rPr>
        <w:t>My Research Trail</w:t>
      </w:r>
    </w:p>
    <w:p w14:paraId="7E6D59F6" w14:textId="36E75982" w:rsidR="000C5158" w:rsidRDefault="000C5158" w:rsidP="00763567">
      <w:pPr>
        <w:jc w:val="both"/>
        <w:rPr>
          <w:color w:val="000000" w:themeColor="text1"/>
        </w:rPr>
      </w:pPr>
      <w:r>
        <w:rPr>
          <w:color w:val="000000" w:themeColor="text1"/>
        </w:rPr>
        <w:t xml:space="preserve">Firstly, I looked at the House of Commons Library and found a submission that discusses the current policy and debates surrounding IHT to gain an insight into the legislation which underpins this area and also to include and the points of interest from debates and discuss potential reforms. I also looked at YouGov as they recently conducted a poll which asked the general public to vote on what they think of the current IHT situation to provide the article with some statistical analysis of how society views IHT. I also reviewed the Inheritance Tax Review: First Report from the Office of Tax Simplification to include an understanding of how to deal with IHT when administrating an estate. I then looked at other solicitors a barrister’s websites to see how their articles on the matter were laid out and to see if there was any further relevant or statistical information to include in my article. </w:t>
      </w:r>
    </w:p>
    <w:p w14:paraId="1113E7DE" w14:textId="77777777" w:rsidR="000C5158" w:rsidRDefault="000C5158" w:rsidP="00763567">
      <w:pPr>
        <w:jc w:val="both"/>
        <w:rPr>
          <w:color w:val="000000" w:themeColor="text1"/>
        </w:rPr>
      </w:pPr>
    </w:p>
    <w:p w14:paraId="447A695C" w14:textId="21E11EC2" w:rsidR="000C5158" w:rsidRDefault="000C5158" w:rsidP="00763567">
      <w:pPr>
        <w:jc w:val="both"/>
        <w:rPr>
          <w:color w:val="000000" w:themeColor="text1"/>
        </w:rPr>
      </w:pPr>
      <w:r>
        <w:rPr>
          <w:color w:val="000000" w:themeColor="text1"/>
          <w:u w:val="single"/>
        </w:rPr>
        <w:t>My Reflection</w:t>
      </w:r>
    </w:p>
    <w:p w14:paraId="5EBB7C32" w14:textId="78855F79" w:rsidR="000C5158" w:rsidRDefault="000C5158" w:rsidP="00763567">
      <w:pPr>
        <w:jc w:val="both"/>
        <w:rPr>
          <w:color w:val="000000" w:themeColor="text1"/>
        </w:rPr>
      </w:pPr>
      <w:r>
        <w:rPr>
          <w:color w:val="000000" w:themeColor="text1"/>
        </w:rPr>
        <w:t xml:space="preserve">This follows the SRA’s ‘What? So What? Now What? Guidance. </w:t>
      </w:r>
    </w:p>
    <w:p w14:paraId="0CD8CC9D" w14:textId="77777777" w:rsidR="000C5158" w:rsidRDefault="000C5158" w:rsidP="00763567">
      <w:pPr>
        <w:jc w:val="both"/>
        <w:rPr>
          <w:color w:val="000000" w:themeColor="text1"/>
        </w:rPr>
      </w:pPr>
    </w:p>
    <w:p w14:paraId="31BF457F" w14:textId="7A0B53C1" w:rsidR="000C5158" w:rsidRDefault="000C5158" w:rsidP="00763567">
      <w:pPr>
        <w:jc w:val="both"/>
        <w:rPr>
          <w:color w:val="000000" w:themeColor="text1"/>
        </w:rPr>
      </w:pPr>
      <w:r>
        <w:rPr>
          <w:b/>
          <w:bCs/>
          <w:color w:val="000000" w:themeColor="text1"/>
        </w:rPr>
        <w:t>What?</w:t>
      </w:r>
      <w:r>
        <w:rPr>
          <w:color w:val="000000" w:themeColor="text1"/>
        </w:rPr>
        <w:t xml:space="preserve"> I was asked initially by my principal to research two questions regarding the specific matters of a case for a longstanding client who recently passed away. I was also asked to write an article for the company website about IHT </w:t>
      </w:r>
      <w:r w:rsidR="00B3405E">
        <w:rPr>
          <w:color w:val="000000" w:themeColor="text1"/>
        </w:rPr>
        <w:t xml:space="preserve">and then provide a reflection based on my performance of this task. </w:t>
      </w:r>
    </w:p>
    <w:p w14:paraId="4E30A00D" w14:textId="77777777" w:rsidR="00B3405E" w:rsidRDefault="00B3405E" w:rsidP="00763567">
      <w:pPr>
        <w:jc w:val="both"/>
        <w:rPr>
          <w:color w:val="000000" w:themeColor="text1"/>
        </w:rPr>
      </w:pPr>
    </w:p>
    <w:p w14:paraId="4E59E7FD" w14:textId="3C43244C" w:rsidR="00B3405E" w:rsidRDefault="00B3405E" w:rsidP="00763567">
      <w:pPr>
        <w:jc w:val="both"/>
        <w:rPr>
          <w:color w:val="000000" w:themeColor="text1"/>
        </w:rPr>
      </w:pPr>
      <w:r>
        <w:rPr>
          <w:b/>
          <w:bCs/>
          <w:color w:val="000000" w:themeColor="text1"/>
        </w:rPr>
        <w:t>So What?</w:t>
      </w:r>
      <w:r>
        <w:rPr>
          <w:color w:val="000000" w:themeColor="text1"/>
        </w:rPr>
        <w:t xml:space="preserve"> I feel like I really grasped to concept of what was asked of me, although I am still rather nervous when it comes to legal research for practical cases, I think I rose to the challenge by completing the research. I gave clear, relevant advice based on case law and legislation and this can be used to help David formulate his advice to the client. I think some of my response could benefit from more wider reading around these areas and this will allow me to develop a greater understanding of the complexities that can arise when dealing with clients and cases in the future. I would also tell myself to have more confidence in my abilities and not to feel so intimidated by practical legal research. I approached the task for the article well, but again felt a bit out of my depth researching IHT as I do not fully understand it. This again would benefit from further wider reading and will develop as I progress in my career. I included relevant information in a way that was easy for clients to digest, I did not use legal jargon and laid the article out with headings, so the reader was able to follow along and understand the information being communicated.</w:t>
      </w:r>
    </w:p>
    <w:p w14:paraId="4A4DBC26" w14:textId="77777777" w:rsidR="00B3405E" w:rsidRDefault="00B3405E" w:rsidP="00763567">
      <w:pPr>
        <w:jc w:val="both"/>
        <w:rPr>
          <w:color w:val="000000" w:themeColor="text1"/>
        </w:rPr>
      </w:pPr>
    </w:p>
    <w:p w14:paraId="2EF71686" w14:textId="5808FB88" w:rsidR="00B3405E" w:rsidRDefault="00B3405E" w:rsidP="00763567">
      <w:pPr>
        <w:jc w:val="both"/>
        <w:rPr>
          <w:color w:val="000000" w:themeColor="text1"/>
        </w:rPr>
      </w:pPr>
      <w:r>
        <w:rPr>
          <w:b/>
          <w:bCs/>
          <w:color w:val="000000" w:themeColor="text1"/>
        </w:rPr>
        <w:lastRenderedPageBreak/>
        <w:t>Now What?</w:t>
      </w:r>
      <w:r>
        <w:rPr>
          <w:color w:val="000000" w:themeColor="text1"/>
        </w:rPr>
        <w:t xml:space="preserve"> I will ensure that I build my confidence moving forward when it comes to legal research by taking a proactive approach to my wider reading. This will also ensure that I am always adhering to the principles of best practice and also that the client always receives the correct advice that is tailored to their individual circumstances. </w:t>
      </w:r>
    </w:p>
    <w:p w14:paraId="6B57D845" w14:textId="77777777" w:rsidR="00B3405E" w:rsidRDefault="00B3405E" w:rsidP="00763567">
      <w:pPr>
        <w:jc w:val="both"/>
        <w:rPr>
          <w:color w:val="000000" w:themeColor="text1"/>
        </w:rPr>
      </w:pPr>
    </w:p>
    <w:p w14:paraId="32B02A0A" w14:textId="77777777" w:rsidR="00B3405E" w:rsidRDefault="00B3405E" w:rsidP="00763567">
      <w:pPr>
        <w:jc w:val="both"/>
        <w:rPr>
          <w:color w:val="000000" w:themeColor="text1"/>
        </w:rPr>
      </w:pPr>
    </w:p>
    <w:p w14:paraId="41CA2389" w14:textId="77777777" w:rsidR="00B3405E" w:rsidRDefault="00B3405E" w:rsidP="00763567">
      <w:pPr>
        <w:jc w:val="both"/>
        <w:rPr>
          <w:color w:val="000000" w:themeColor="text1"/>
        </w:rPr>
      </w:pPr>
    </w:p>
    <w:p w14:paraId="660F71DF" w14:textId="77777777" w:rsidR="00D16D5B" w:rsidRDefault="00D16D5B" w:rsidP="00763567">
      <w:pPr>
        <w:jc w:val="both"/>
        <w:rPr>
          <w:color w:val="000000" w:themeColor="text1"/>
        </w:rPr>
      </w:pPr>
    </w:p>
    <w:p w14:paraId="3186DF86" w14:textId="77777777" w:rsidR="00D16D5B" w:rsidRDefault="00D16D5B" w:rsidP="00763567">
      <w:pPr>
        <w:jc w:val="both"/>
        <w:rPr>
          <w:color w:val="000000" w:themeColor="text1"/>
        </w:rPr>
      </w:pPr>
    </w:p>
    <w:p w14:paraId="2C7DF4D2" w14:textId="77777777" w:rsidR="00D16D5B" w:rsidRDefault="00D16D5B" w:rsidP="00763567">
      <w:pPr>
        <w:jc w:val="both"/>
        <w:rPr>
          <w:color w:val="000000" w:themeColor="text1"/>
        </w:rPr>
      </w:pPr>
    </w:p>
    <w:p w14:paraId="06CD5CC0" w14:textId="77777777" w:rsidR="00D16D5B" w:rsidRDefault="00D16D5B" w:rsidP="00763567">
      <w:pPr>
        <w:jc w:val="both"/>
        <w:rPr>
          <w:color w:val="000000" w:themeColor="text1"/>
        </w:rPr>
      </w:pPr>
    </w:p>
    <w:p w14:paraId="38BBB9F3" w14:textId="77777777" w:rsidR="00D16D5B" w:rsidRDefault="00D16D5B" w:rsidP="00763567">
      <w:pPr>
        <w:jc w:val="both"/>
        <w:rPr>
          <w:color w:val="000000" w:themeColor="text1"/>
        </w:rPr>
      </w:pPr>
    </w:p>
    <w:p w14:paraId="76DCFBFF" w14:textId="77777777" w:rsidR="00D16D5B" w:rsidRDefault="00D16D5B" w:rsidP="00763567">
      <w:pPr>
        <w:jc w:val="both"/>
        <w:rPr>
          <w:color w:val="000000" w:themeColor="text1"/>
        </w:rPr>
      </w:pPr>
    </w:p>
    <w:p w14:paraId="54D53844" w14:textId="77777777" w:rsidR="00D16D5B" w:rsidRDefault="00D16D5B" w:rsidP="00763567">
      <w:pPr>
        <w:jc w:val="both"/>
        <w:rPr>
          <w:color w:val="000000" w:themeColor="text1"/>
        </w:rPr>
      </w:pPr>
    </w:p>
    <w:p w14:paraId="2BDCDEBF" w14:textId="77777777" w:rsidR="00D16D5B" w:rsidRDefault="00D16D5B" w:rsidP="00763567">
      <w:pPr>
        <w:jc w:val="both"/>
        <w:rPr>
          <w:color w:val="000000" w:themeColor="text1"/>
        </w:rPr>
      </w:pPr>
    </w:p>
    <w:p w14:paraId="4250328C" w14:textId="77777777" w:rsidR="00D16D5B" w:rsidRDefault="00D16D5B" w:rsidP="00763567">
      <w:pPr>
        <w:jc w:val="both"/>
        <w:rPr>
          <w:color w:val="000000" w:themeColor="text1"/>
        </w:rPr>
      </w:pPr>
    </w:p>
    <w:p w14:paraId="0DA023AA" w14:textId="77777777" w:rsidR="00D16D5B" w:rsidRDefault="00D16D5B" w:rsidP="00763567">
      <w:pPr>
        <w:jc w:val="both"/>
        <w:rPr>
          <w:color w:val="000000" w:themeColor="text1"/>
        </w:rPr>
      </w:pPr>
    </w:p>
    <w:p w14:paraId="2A9995F7" w14:textId="77777777" w:rsidR="00D16D5B" w:rsidRDefault="00D16D5B" w:rsidP="00763567">
      <w:pPr>
        <w:jc w:val="both"/>
        <w:rPr>
          <w:color w:val="000000" w:themeColor="text1"/>
        </w:rPr>
      </w:pPr>
    </w:p>
    <w:p w14:paraId="5FE7C3C6" w14:textId="77777777" w:rsidR="00D16D5B" w:rsidRDefault="00D16D5B" w:rsidP="00763567">
      <w:pPr>
        <w:jc w:val="both"/>
        <w:rPr>
          <w:color w:val="000000" w:themeColor="text1"/>
        </w:rPr>
      </w:pPr>
    </w:p>
    <w:p w14:paraId="32A7F0EE" w14:textId="77777777" w:rsidR="00D16D5B" w:rsidRDefault="00D16D5B" w:rsidP="00763567">
      <w:pPr>
        <w:jc w:val="both"/>
        <w:rPr>
          <w:color w:val="000000" w:themeColor="text1"/>
        </w:rPr>
      </w:pPr>
    </w:p>
    <w:p w14:paraId="0283D254" w14:textId="77777777" w:rsidR="00D16D5B" w:rsidRDefault="00D16D5B" w:rsidP="00763567">
      <w:pPr>
        <w:jc w:val="both"/>
        <w:rPr>
          <w:color w:val="000000" w:themeColor="text1"/>
        </w:rPr>
      </w:pPr>
    </w:p>
    <w:p w14:paraId="2D550DDD" w14:textId="77777777" w:rsidR="00D16D5B" w:rsidRDefault="00D16D5B" w:rsidP="00763567">
      <w:pPr>
        <w:jc w:val="both"/>
        <w:rPr>
          <w:color w:val="000000" w:themeColor="text1"/>
        </w:rPr>
      </w:pPr>
    </w:p>
    <w:p w14:paraId="610F2027" w14:textId="77777777" w:rsidR="00D16D5B" w:rsidRDefault="00D16D5B" w:rsidP="00763567">
      <w:pPr>
        <w:jc w:val="both"/>
        <w:rPr>
          <w:color w:val="000000" w:themeColor="text1"/>
        </w:rPr>
      </w:pPr>
    </w:p>
    <w:p w14:paraId="7795BEF4" w14:textId="77777777" w:rsidR="00D16D5B" w:rsidRDefault="00D16D5B" w:rsidP="00763567">
      <w:pPr>
        <w:jc w:val="both"/>
        <w:rPr>
          <w:color w:val="000000" w:themeColor="text1"/>
        </w:rPr>
      </w:pPr>
    </w:p>
    <w:p w14:paraId="0C3E4498" w14:textId="77777777" w:rsidR="00D16D5B" w:rsidRDefault="00D16D5B" w:rsidP="00763567">
      <w:pPr>
        <w:jc w:val="both"/>
        <w:rPr>
          <w:color w:val="000000" w:themeColor="text1"/>
        </w:rPr>
      </w:pPr>
    </w:p>
    <w:p w14:paraId="0DF040D0" w14:textId="77777777" w:rsidR="00D16D5B" w:rsidRDefault="00D16D5B" w:rsidP="00763567">
      <w:pPr>
        <w:jc w:val="both"/>
        <w:rPr>
          <w:color w:val="000000" w:themeColor="text1"/>
        </w:rPr>
      </w:pPr>
    </w:p>
    <w:p w14:paraId="0CA483B3" w14:textId="77777777" w:rsidR="00D16D5B" w:rsidRDefault="00D16D5B" w:rsidP="00763567">
      <w:pPr>
        <w:jc w:val="both"/>
        <w:rPr>
          <w:color w:val="000000" w:themeColor="text1"/>
        </w:rPr>
      </w:pPr>
    </w:p>
    <w:p w14:paraId="73F15EAA" w14:textId="77777777" w:rsidR="00D16D5B" w:rsidRDefault="00D16D5B" w:rsidP="00763567">
      <w:pPr>
        <w:jc w:val="both"/>
        <w:rPr>
          <w:color w:val="000000" w:themeColor="text1"/>
        </w:rPr>
      </w:pPr>
    </w:p>
    <w:p w14:paraId="087DEF66" w14:textId="77777777" w:rsidR="00D16D5B" w:rsidRDefault="00D16D5B" w:rsidP="00763567">
      <w:pPr>
        <w:jc w:val="both"/>
        <w:rPr>
          <w:color w:val="000000" w:themeColor="text1"/>
        </w:rPr>
      </w:pPr>
    </w:p>
    <w:p w14:paraId="132C6D61" w14:textId="77777777" w:rsidR="00D16D5B" w:rsidRDefault="00D16D5B" w:rsidP="00763567">
      <w:pPr>
        <w:jc w:val="both"/>
        <w:rPr>
          <w:color w:val="000000" w:themeColor="text1"/>
        </w:rPr>
      </w:pPr>
    </w:p>
    <w:p w14:paraId="2F045FFC" w14:textId="77777777" w:rsidR="00D16D5B" w:rsidRDefault="00D16D5B" w:rsidP="00763567">
      <w:pPr>
        <w:jc w:val="both"/>
        <w:rPr>
          <w:color w:val="000000" w:themeColor="text1"/>
        </w:rPr>
      </w:pPr>
    </w:p>
    <w:p w14:paraId="05F0E10C" w14:textId="77777777" w:rsidR="00D16D5B" w:rsidRDefault="00D16D5B" w:rsidP="00763567">
      <w:pPr>
        <w:jc w:val="both"/>
        <w:rPr>
          <w:color w:val="000000" w:themeColor="text1"/>
        </w:rPr>
      </w:pPr>
    </w:p>
    <w:p w14:paraId="72B72FDF" w14:textId="77777777" w:rsidR="00D16D5B" w:rsidRDefault="00D16D5B" w:rsidP="00763567">
      <w:pPr>
        <w:jc w:val="both"/>
        <w:rPr>
          <w:color w:val="000000" w:themeColor="text1"/>
        </w:rPr>
      </w:pPr>
    </w:p>
    <w:p w14:paraId="3F12F909" w14:textId="77777777" w:rsidR="00D16D5B" w:rsidRDefault="00D16D5B" w:rsidP="00763567">
      <w:pPr>
        <w:jc w:val="both"/>
        <w:rPr>
          <w:color w:val="000000" w:themeColor="text1"/>
        </w:rPr>
      </w:pPr>
    </w:p>
    <w:p w14:paraId="59BF8942" w14:textId="77777777" w:rsidR="00D16D5B" w:rsidRDefault="00D16D5B" w:rsidP="00763567">
      <w:pPr>
        <w:jc w:val="both"/>
        <w:rPr>
          <w:color w:val="000000" w:themeColor="text1"/>
        </w:rPr>
      </w:pPr>
    </w:p>
    <w:p w14:paraId="6818A833" w14:textId="77777777" w:rsidR="00D16D5B" w:rsidRDefault="00D16D5B" w:rsidP="00763567">
      <w:pPr>
        <w:jc w:val="both"/>
        <w:rPr>
          <w:color w:val="000000" w:themeColor="text1"/>
        </w:rPr>
      </w:pPr>
    </w:p>
    <w:p w14:paraId="4839610E" w14:textId="77777777" w:rsidR="00D16D5B" w:rsidRDefault="00D16D5B" w:rsidP="00763567">
      <w:pPr>
        <w:jc w:val="both"/>
        <w:rPr>
          <w:color w:val="000000" w:themeColor="text1"/>
        </w:rPr>
      </w:pPr>
    </w:p>
    <w:p w14:paraId="19201E2B" w14:textId="77777777" w:rsidR="00D16D5B" w:rsidRDefault="00D16D5B" w:rsidP="00763567">
      <w:pPr>
        <w:jc w:val="both"/>
        <w:rPr>
          <w:color w:val="000000" w:themeColor="text1"/>
        </w:rPr>
      </w:pPr>
    </w:p>
    <w:p w14:paraId="1BE903DC" w14:textId="77777777" w:rsidR="00D16D5B" w:rsidRDefault="00D16D5B" w:rsidP="00763567">
      <w:pPr>
        <w:jc w:val="both"/>
        <w:rPr>
          <w:color w:val="000000" w:themeColor="text1"/>
        </w:rPr>
      </w:pPr>
    </w:p>
    <w:p w14:paraId="70DADC20" w14:textId="77777777" w:rsidR="00D16D5B" w:rsidRDefault="00D16D5B" w:rsidP="00763567">
      <w:pPr>
        <w:jc w:val="both"/>
        <w:rPr>
          <w:color w:val="000000" w:themeColor="text1"/>
        </w:rPr>
      </w:pPr>
    </w:p>
    <w:p w14:paraId="69640D9F" w14:textId="77777777" w:rsidR="00D16D5B" w:rsidRDefault="00D16D5B" w:rsidP="00763567">
      <w:pPr>
        <w:jc w:val="both"/>
        <w:rPr>
          <w:color w:val="000000" w:themeColor="text1"/>
        </w:rPr>
      </w:pPr>
    </w:p>
    <w:p w14:paraId="3D81E31F" w14:textId="77777777" w:rsidR="00D16D5B" w:rsidRDefault="00D16D5B" w:rsidP="00763567">
      <w:pPr>
        <w:jc w:val="both"/>
        <w:rPr>
          <w:color w:val="000000" w:themeColor="text1"/>
        </w:rPr>
      </w:pPr>
    </w:p>
    <w:p w14:paraId="142608A6" w14:textId="77777777" w:rsidR="00D16D5B" w:rsidRDefault="00D16D5B" w:rsidP="00763567">
      <w:pPr>
        <w:jc w:val="both"/>
        <w:rPr>
          <w:color w:val="000000" w:themeColor="text1"/>
        </w:rPr>
      </w:pPr>
    </w:p>
    <w:p w14:paraId="69B89B8B" w14:textId="77777777" w:rsidR="00B3405E" w:rsidRDefault="00B3405E" w:rsidP="00763567">
      <w:pPr>
        <w:jc w:val="both"/>
        <w:rPr>
          <w:color w:val="000000" w:themeColor="text1"/>
        </w:rPr>
      </w:pPr>
    </w:p>
    <w:p w14:paraId="692002AE" w14:textId="04B8A37E" w:rsidR="00B3405E" w:rsidRDefault="00B3405E" w:rsidP="00B3405E">
      <w:pPr>
        <w:rPr>
          <w:color w:val="000000" w:themeColor="text1"/>
        </w:rPr>
      </w:pPr>
      <w:r>
        <w:rPr>
          <w:color w:val="000000" w:themeColor="text1"/>
          <w:u w:val="single"/>
        </w:rPr>
        <w:lastRenderedPageBreak/>
        <w:t>REFERENCE LIST</w:t>
      </w:r>
    </w:p>
    <w:p w14:paraId="460B3B4C" w14:textId="77777777" w:rsidR="00B3405E" w:rsidRDefault="00B3405E" w:rsidP="00B3405E">
      <w:pPr>
        <w:rPr>
          <w:color w:val="000000" w:themeColor="text1"/>
        </w:rPr>
      </w:pPr>
    </w:p>
    <w:p w14:paraId="368C550A" w14:textId="1F1B44EC" w:rsidR="00D16D5B" w:rsidRDefault="00D16D5B" w:rsidP="00B3405E">
      <w:pPr>
        <w:rPr>
          <w:color w:val="000000" w:themeColor="text1"/>
        </w:rPr>
      </w:pPr>
      <w:r>
        <w:rPr>
          <w:color w:val="000000" w:themeColor="text1"/>
        </w:rPr>
        <w:t xml:space="preserve">Gov.uk, (2025), </w:t>
      </w:r>
      <w:r>
        <w:rPr>
          <w:i/>
          <w:iCs/>
          <w:color w:val="000000" w:themeColor="text1"/>
        </w:rPr>
        <w:t>How Inheritance Tax Works: Thresholds, Rules and Allowances</w:t>
      </w:r>
      <w:r>
        <w:rPr>
          <w:color w:val="000000" w:themeColor="text1"/>
        </w:rPr>
        <w:t>, Available at</w:t>
      </w:r>
      <w:r w:rsidR="00046035">
        <w:rPr>
          <w:color w:val="000000" w:themeColor="text1"/>
        </w:rPr>
        <w:t>:</w:t>
      </w:r>
      <w:r w:rsidR="00046035" w:rsidRPr="00046035">
        <w:t xml:space="preserve"> </w:t>
      </w:r>
      <w:hyperlink r:id="rId6" w:history="1">
        <w:r w:rsidR="00046035" w:rsidRPr="006A69E6">
          <w:rPr>
            <w:rStyle w:val="Hyperlink"/>
          </w:rPr>
          <w:t>https://www.gov.uk/inheritance-tax</w:t>
        </w:r>
      </w:hyperlink>
      <w:r w:rsidR="00046035">
        <w:rPr>
          <w:color w:val="000000" w:themeColor="text1"/>
        </w:rPr>
        <w:t xml:space="preserve"> (Accessed: 12-Mar-2025). </w:t>
      </w:r>
    </w:p>
    <w:p w14:paraId="25DC49BE" w14:textId="77777777" w:rsidR="00D16D5B" w:rsidRPr="00D16D5B" w:rsidRDefault="00D16D5B" w:rsidP="00B3405E">
      <w:pPr>
        <w:rPr>
          <w:color w:val="000000" w:themeColor="text1"/>
        </w:rPr>
      </w:pPr>
    </w:p>
    <w:p w14:paraId="4143FFF5" w14:textId="2228F7F9" w:rsidR="00EA28AD" w:rsidRDefault="00EA28AD" w:rsidP="00B3405E">
      <w:pPr>
        <w:rPr>
          <w:color w:val="000000" w:themeColor="text1"/>
        </w:rPr>
      </w:pPr>
      <w:r>
        <w:rPr>
          <w:color w:val="000000" w:themeColor="text1"/>
        </w:rPr>
        <w:t xml:space="preserve">London Gold Centre, (2025), </w:t>
      </w:r>
      <w:r>
        <w:rPr>
          <w:i/>
          <w:iCs/>
          <w:color w:val="000000" w:themeColor="text1"/>
        </w:rPr>
        <w:t>The Price of Gold Per Gram in the UK</w:t>
      </w:r>
      <w:r>
        <w:rPr>
          <w:color w:val="000000" w:themeColor="text1"/>
        </w:rPr>
        <w:t xml:space="preserve">, Available at: </w:t>
      </w:r>
      <w:hyperlink r:id="rId7" w:history="1">
        <w:r w:rsidRPr="006A69E6">
          <w:rPr>
            <w:rStyle w:val="Hyperlink"/>
          </w:rPr>
          <w:t>https://londongoldcentre.co.uk/gold-price-calculator/gold-price-per-gram/</w:t>
        </w:r>
      </w:hyperlink>
      <w:r>
        <w:rPr>
          <w:color w:val="000000" w:themeColor="text1"/>
        </w:rPr>
        <w:t xml:space="preserve"> (Accessed: 11-Mar-2025). </w:t>
      </w:r>
    </w:p>
    <w:p w14:paraId="0C96CB8A" w14:textId="77777777" w:rsidR="00EA28AD" w:rsidRDefault="00EA28AD" w:rsidP="00B3405E">
      <w:pPr>
        <w:rPr>
          <w:color w:val="000000" w:themeColor="text1"/>
        </w:rPr>
      </w:pPr>
    </w:p>
    <w:p w14:paraId="1958AB08" w14:textId="1B4F8887" w:rsidR="00EA28AD" w:rsidRDefault="00EA28AD" w:rsidP="00B3405E">
      <w:pPr>
        <w:rPr>
          <w:color w:val="000000" w:themeColor="text1"/>
        </w:rPr>
      </w:pPr>
      <w:r>
        <w:rPr>
          <w:color w:val="000000" w:themeColor="text1"/>
        </w:rPr>
        <w:t xml:space="preserve">Nisbet. A, (2024), </w:t>
      </w:r>
      <w:r>
        <w:rPr>
          <w:i/>
          <w:iCs/>
          <w:color w:val="000000" w:themeColor="text1"/>
        </w:rPr>
        <w:t>Five Things You Need to Know About Inheritance Tax</w:t>
      </w:r>
      <w:r>
        <w:rPr>
          <w:color w:val="000000" w:themeColor="text1"/>
        </w:rPr>
        <w:t xml:space="preserve">, St. James’s Place (SJP), Available at: </w:t>
      </w:r>
      <w:hyperlink r:id="rId8" w:history="1">
        <w:r w:rsidRPr="006A69E6">
          <w:rPr>
            <w:rStyle w:val="Hyperlink"/>
          </w:rPr>
          <w:t>https://www.sjp.co.uk/individuals/news/five-things-you-need-to-know-about-inheritance-tax#:~:text=Then%20subject%20to%20other%20available,be%20liable%20to%2040%25%20IHT</w:t>
        </w:r>
      </w:hyperlink>
      <w:r>
        <w:rPr>
          <w:color w:val="000000" w:themeColor="text1"/>
        </w:rPr>
        <w:t xml:space="preserve"> (Accessed: 12-Mar-2025). </w:t>
      </w:r>
    </w:p>
    <w:p w14:paraId="7B36731F" w14:textId="77777777" w:rsidR="00EA28AD" w:rsidRDefault="00EA28AD" w:rsidP="00B3405E">
      <w:pPr>
        <w:rPr>
          <w:color w:val="000000" w:themeColor="text1"/>
        </w:rPr>
      </w:pPr>
    </w:p>
    <w:p w14:paraId="4C79254E" w14:textId="1D3591BC" w:rsidR="00EA28AD" w:rsidRPr="00EA28AD" w:rsidRDefault="00EA28AD" w:rsidP="00B3405E">
      <w:pPr>
        <w:rPr>
          <w:color w:val="000000" w:themeColor="text1"/>
        </w:rPr>
      </w:pPr>
      <w:r>
        <w:rPr>
          <w:color w:val="000000" w:themeColor="text1"/>
        </w:rPr>
        <w:t xml:space="preserve">Office of Tax Simplification, (2018), </w:t>
      </w:r>
      <w:r>
        <w:rPr>
          <w:i/>
          <w:iCs/>
          <w:color w:val="000000" w:themeColor="text1"/>
        </w:rPr>
        <w:t>Inheritance Tax Review: First Report. Overview of the Tax and Dealing with Administration</w:t>
      </w:r>
      <w:r>
        <w:rPr>
          <w:color w:val="000000" w:themeColor="text1"/>
        </w:rPr>
        <w:t xml:space="preserve">, Available at: </w:t>
      </w:r>
      <w:hyperlink r:id="rId9" w:history="1">
        <w:r w:rsidRPr="006A69E6">
          <w:rPr>
            <w:rStyle w:val="Hyperlink"/>
          </w:rPr>
          <w:t>https://assets.publishing.service.gov.uk/media/5bf67ee4e5274a2af111f68b/Final_Inheritance_Tax_Report_-_web_copy.pdf</w:t>
        </w:r>
      </w:hyperlink>
      <w:r>
        <w:rPr>
          <w:color w:val="000000" w:themeColor="text1"/>
        </w:rPr>
        <w:t xml:space="preserve"> (Accessed: 13-Mar-2025). </w:t>
      </w:r>
    </w:p>
    <w:p w14:paraId="44ED8A7E" w14:textId="77777777" w:rsidR="00EA28AD" w:rsidRDefault="00EA28AD" w:rsidP="00B3405E">
      <w:pPr>
        <w:rPr>
          <w:color w:val="000000" w:themeColor="text1"/>
        </w:rPr>
      </w:pPr>
    </w:p>
    <w:p w14:paraId="61FCF3F2" w14:textId="391B1DC7" w:rsidR="00046035" w:rsidRPr="00046035" w:rsidRDefault="00046035" w:rsidP="00B3405E">
      <w:pPr>
        <w:rPr>
          <w:color w:val="000000" w:themeColor="text1"/>
        </w:rPr>
      </w:pPr>
      <w:r>
        <w:rPr>
          <w:color w:val="000000" w:themeColor="text1"/>
        </w:rPr>
        <w:t xml:space="preserve">Solicitor’s Regulation Authority, (2025), </w:t>
      </w:r>
      <w:r>
        <w:rPr>
          <w:i/>
          <w:iCs/>
          <w:color w:val="000000" w:themeColor="text1"/>
        </w:rPr>
        <w:t>Code of Conduct for Solicitors, RELs and RFLs</w:t>
      </w:r>
      <w:r>
        <w:rPr>
          <w:color w:val="000000" w:themeColor="text1"/>
        </w:rPr>
        <w:t xml:space="preserve">, Available at: </w:t>
      </w:r>
      <w:hyperlink r:id="rId10" w:history="1">
        <w:r w:rsidRPr="006A69E6">
          <w:rPr>
            <w:rStyle w:val="Hyperlink"/>
          </w:rPr>
          <w:t>https://www.sra.org.uk/solicitors/standards-regulations/code-conduct-solicitors/</w:t>
        </w:r>
      </w:hyperlink>
      <w:r>
        <w:rPr>
          <w:color w:val="000000" w:themeColor="text1"/>
        </w:rPr>
        <w:t xml:space="preserve"> (Accessed: 11-Mar-2025). </w:t>
      </w:r>
    </w:p>
    <w:p w14:paraId="426DD07E" w14:textId="77777777" w:rsidR="00046035" w:rsidRDefault="00046035" w:rsidP="00B3405E">
      <w:pPr>
        <w:rPr>
          <w:color w:val="000000" w:themeColor="text1"/>
        </w:rPr>
      </w:pPr>
    </w:p>
    <w:p w14:paraId="1F325D50" w14:textId="2C1B7CB7" w:rsidR="00EA28AD" w:rsidRDefault="00EA28AD" w:rsidP="00B3405E">
      <w:pPr>
        <w:rPr>
          <w:color w:val="000000" w:themeColor="text1"/>
        </w:rPr>
      </w:pPr>
      <w:r>
        <w:rPr>
          <w:color w:val="000000" w:themeColor="text1"/>
        </w:rPr>
        <w:t xml:space="preserve">Solicitor’s Regulation Authority, (2025), </w:t>
      </w:r>
      <w:r w:rsidR="00046035">
        <w:rPr>
          <w:i/>
          <w:iCs/>
          <w:color w:val="000000" w:themeColor="text1"/>
        </w:rPr>
        <w:t>Guidance: Drafting and Preparation of Wills</w:t>
      </w:r>
      <w:r w:rsidR="00046035">
        <w:rPr>
          <w:color w:val="000000" w:themeColor="text1"/>
        </w:rPr>
        <w:t xml:space="preserve">, Available at: </w:t>
      </w:r>
      <w:hyperlink r:id="rId11" w:history="1">
        <w:r w:rsidR="00046035" w:rsidRPr="006A69E6">
          <w:rPr>
            <w:rStyle w:val="Hyperlink"/>
          </w:rPr>
          <w:t>https://www.sra.org.uk/solicitors/guidance/drafting-preparation-wills/</w:t>
        </w:r>
      </w:hyperlink>
      <w:r w:rsidR="00046035">
        <w:rPr>
          <w:color w:val="000000" w:themeColor="text1"/>
        </w:rPr>
        <w:t xml:space="preserve"> (Accessed: 11-Mar-2025). </w:t>
      </w:r>
    </w:p>
    <w:p w14:paraId="332D8B47" w14:textId="77777777" w:rsidR="001751E8" w:rsidRDefault="001751E8" w:rsidP="00B3405E">
      <w:pPr>
        <w:rPr>
          <w:color w:val="000000" w:themeColor="text1"/>
        </w:rPr>
      </w:pPr>
    </w:p>
    <w:p w14:paraId="73127F38" w14:textId="52402ABB" w:rsidR="001751E8" w:rsidRPr="001751E8" w:rsidRDefault="001751E8" w:rsidP="00B3405E">
      <w:pPr>
        <w:rPr>
          <w:color w:val="000000" w:themeColor="text1"/>
        </w:rPr>
      </w:pPr>
      <w:r>
        <w:rPr>
          <w:color w:val="000000" w:themeColor="text1"/>
        </w:rPr>
        <w:t xml:space="preserve">Solicitor’s Regulation Authority, (2025), </w:t>
      </w:r>
      <w:r>
        <w:rPr>
          <w:i/>
          <w:iCs/>
          <w:color w:val="000000" w:themeColor="text1"/>
        </w:rPr>
        <w:t>What? So What? Now What? Framework for Reflection</w:t>
      </w:r>
      <w:r>
        <w:rPr>
          <w:color w:val="000000" w:themeColor="text1"/>
        </w:rPr>
        <w:t xml:space="preserve">, Available for download from: </w:t>
      </w:r>
      <w:hyperlink r:id="rId12" w:history="1">
        <w:r w:rsidRPr="006A69E6">
          <w:rPr>
            <w:rStyle w:val="Hyperlink"/>
          </w:rPr>
          <w:t>https://www.sra.org.uk/solicitors/resources/continuing-competence/templates/</w:t>
        </w:r>
      </w:hyperlink>
      <w:r>
        <w:rPr>
          <w:color w:val="000000" w:themeColor="text1"/>
        </w:rPr>
        <w:t xml:space="preserve"> (Accessed: 13-Mar-2025). </w:t>
      </w:r>
    </w:p>
    <w:p w14:paraId="33E3AE39" w14:textId="77777777" w:rsidR="00EA28AD" w:rsidRPr="00EA28AD" w:rsidRDefault="00EA28AD" w:rsidP="00B3405E">
      <w:pPr>
        <w:rPr>
          <w:color w:val="000000" w:themeColor="text1"/>
        </w:rPr>
      </w:pPr>
    </w:p>
    <w:p w14:paraId="0DFDE7ED" w14:textId="6E855B36" w:rsidR="00A1548B" w:rsidRDefault="00A1548B" w:rsidP="00B3405E">
      <w:pPr>
        <w:rPr>
          <w:color w:val="000000" w:themeColor="text1"/>
        </w:rPr>
      </w:pPr>
      <w:r>
        <w:rPr>
          <w:color w:val="000000" w:themeColor="text1"/>
        </w:rPr>
        <w:t xml:space="preserve">The Gazette, (2025), </w:t>
      </w:r>
      <w:r>
        <w:rPr>
          <w:i/>
          <w:iCs/>
          <w:color w:val="000000" w:themeColor="text1"/>
        </w:rPr>
        <w:t>The Duties of an Executor: What To Do When Someone Dies</w:t>
      </w:r>
      <w:r>
        <w:rPr>
          <w:color w:val="000000" w:themeColor="text1"/>
        </w:rPr>
        <w:t xml:space="preserve">, Available at: </w:t>
      </w:r>
      <w:hyperlink r:id="rId13" w:history="1">
        <w:r w:rsidRPr="006A69E6">
          <w:rPr>
            <w:rStyle w:val="Hyperlink"/>
          </w:rPr>
          <w:t>https://www.thegazette.co.uk/wills-and-probate/what-to-do-when-someone-dies-executor-duties</w:t>
        </w:r>
      </w:hyperlink>
      <w:r>
        <w:rPr>
          <w:color w:val="000000" w:themeColor="text1"/>
        </w:rPr>
        <w:t xml:space="preserve"> (Accessed: 11-Mar-2025). </w:t>
      </w:r>
    </w:p>
    <w:p w14:paraId="6A9B0B7D" w14:textId="77777777" w:rsidR="00D16D5B" w:rsidRDefault="00D16D5B" w:rsidP="00B3405E">
      <w:pPr>
        <w:rPr>
          <w:color w:val="000000" w:themeColor="text1"/>
        </w:rPr>
      </w:pPr>
    </w:p>
    <w:p w14:paraId="085F6C35" w14:textId="4CEFFE7B" w:rsidR="00D16D5B" w:rsidRPr="00D16D5B" w:rsidRDefault="00D16D5B" w:rsidP="00B3405E">
      <w:pPr>
        <w:rPr>
          <w:color w:val="000000" w:themeColor="text1"/>
        </w:rPr>
      </w:pPr>
      <w:r>
        <w:rPr>
          <w:color w:val="000000" w:themeColor="text1"/>
        </w:rPr>
        <w:t xml:space="preserve">The Gazette, (2025), </w:t>
      </w:r>
      <w:r>
        <w:rPr>
          <w:i/>
          <w:iCs/>
          <w:color w:val="000000" w:themeColor="text1"/>
        </w:rPr>
        <w:t>Proprietary Estoppel – Case Law Updates 2024</w:t>
      </w:r>
      <w:r>
        <w:rPr>
          <w:color w:val="000000" w:themeColor="text1"/>
        </w:rPr>
        <w:t xml:space="preserve">, Available at: </w:t>
      </w:r>
      <w:hyperlink r:id="rId14" w:history="1">
        <w:r w:rsidRPr="006A69E6">
          <w:rPr>
            <w:rStyle w:val="Hyperlink"/>
          </w:rPr>
          <w:t>https://www.thegazette.co.uk/all-notices/content/104292</w:t>
        </w:r>
      </w:hyperlink>
      <w:r>
        <w:rPr>
          <w:color w:val="000000" w:themeColor="text1"/>
        </w:rPr>
        <w:t xml:space="preserve"> (Accessed 11-Mar-2025). </w:t>
      </w:r>
    </w:p>
    <w:p w14:paraId="33933311" w14:textId="77777777" w:rsidR="00A1548B" w:rsidRDefault="00A1548B" w:rsidP="00B3405E">
      <w:pPr>
        <w:rPr>
          <w:color w:val="000000" w:themeColor="text1"/>
        </w:rPr>
      </w:pPr>
    </w:p>
    <w:p w14:paraId="6E8ABDFE" w14:textId="265F6B8F" w:rsidR="00A1548B" w:rsidRPr="001751E8" w:rsidRDefault="00A1548B" w:rsidP="00B3405E">
      <w:pPr>
        <w:rPr>
          <w:i/>
          <w:iCs/>
          <w:color w:val="000000" w:themeColor="text1"/>
        </w:rPr>
      </w:pPr>
      <w:r>
        <w:rPr>
          <w:color w:val="000000" w:themeColor="text1"/>
        </w:rPr>
        <w:t xml:space="preserve">The Gazette, (2025), </w:t>
      </w:r>
      <w:r>
        <w:rPr>
          <w:i/>
          <w:iCs/>
          <w:color w:val="000000" w:themeColor="text1"/>
        </w:rPr>
        <w:t>What You Need to Know About Secret Trusts</w:t>
      </w:r>
      <w:r>
        <w:rPr>
          <w:color w:val="000000" w:themeColor="text1"/>
        </w:rPr>
        <w:t xml:space="preserve">, Available at: </w:t>
      </w:r>
      <w:hyperlink r:id="rId15" w:history="1">
        <w:r w:rsidRPr="006A69E6">
          <w:rPr>
            <w:rStyle w:val="Hyperlink"/>
          </w:rPr>
          <w:t>https://www.thegazette.co.uk/all-notices/content/104118#:~:text=A%20secret%20trust%20arises%20where,another%20person%20(the%20beneficiary)</w:t>
        </w:r>
      </w:hyperlink>
      <w:r w:rsidRPr="00A1548B">
        <w:rPr>
          <w:color w:val="000000" w:themeColor="text1"/>
        </w:rPr>
        <w:t>.</w:t>
      </w:r>
      <w:r>
        <w:rPr>
          <w:color w:val="000000" w:themeColor="text1"/>
        </w:rPr>
        <w:t xml:space="preserve"> (Accessed: 12-Mar-2025). </w:t>
      </w:r>
      <w:r>
        <w:rPr>
          <w:i/>
          <w:iCs/>
          <w:color w:val="000000" w:themeColor="text1"/>
        </w:rPr>
        <w:t xml:space="preserve"> </w:t>
      </w:r>
    </w:p>
    <w:p w14:paraId="5D872DAD" w14:textId="605229BE" w:rsidR="00EA28AD" w:rsidRDefault="00B3405E" w:rsidP="00B3405E">
      <w:pPr>
        <w:rPr>
          <w:color w:val="000000" w:themeColor="text1"/>
        </w:rPr>
      </w:pPr>
      <w:r>
        <w:rPr>
          <w:color w:val="000000" w:themeColor="text1"/>
        </w:rPr>
        <w:lastRenderedPageBreak/>
        <w:t>The Law Society, (202</w:t>
      </w:r>
      <w:r w:rsidR="00A1548B">
        <w:rPr>
          <w:color w:val="000000" w:themeColor="text1"/>
        </w:rPr>
        <w:t xml:space="preserve">3), </w:t>
      </w:r>
      <w:r w:rsidR="00A1548B">
        <w:rPr>
          <w:i/>
          <w:iCs/>
          <w:color w:val="000000" w:themeColor="text1"/>
        </w:rPr>
        <w:t>Preparing a Will When A Client is Leaving a Gift to You, Family or Colleagues</w:t>
      </w:r>
      <w:r w:rsidR="00A1548B">
        <w:rPr>
          <w:color w:val="000000" w:themeColor="text1"/>
        </w:rPr>
        <w:t xml:space="preserve">, Practice Note, Available at: </w:t>
      </w:r>
      <w:hyperlink r:id="rId16" w:history="1">
        <w:r w:rsidR="00A1548B" w:rsidRPr="006A69E6">
          <w:rPr>
            <w:rStyle w:val="Hyperlink"/>
          </w:rPr>
          <w:t>https://www.lawsociety.org.uk/topics/private-client/preparing-a-will-when-your-client-is-leaving-a-gift-for-you-your-family-or-colleagues</w:t>
        </w:r>
      </w:hyperlink>
      <w:r w:rsidR="00A1548B">
        <w:rPr>
          <w:color w:val="000000" w:themeColor="text1"/>
        </w:rPr>
        <w:t xml:space="preserve"> (Accessed: 11-Mar-2025). </w:t>
      </w:r>
    </w:p>
    <w:p w14:paraId="537ABADC" w14:textId="77777777" w:rsidR="001751E8" w:rsidRDefault="001751E8" w:rsidP="00B3405E">
      <w:pPr>
        <w:rPr>
          <w:color w:val="000000" w:themeColor="text1"/>
        </w:rPr>
      </w:pPr>
    </w:p>
    <w:p w14:paraId="0780DA2D" w14:textId="6A3C0CDF" w:rsidR="00EA28AD" w:rsidRDefault="00EA28AD" w:rsidP="00B3405E">
      <w:pPr>
        <w:rPr>
          <w:color w:val="000000" w:themeColor="text1"/>
        </w:rPr>
      </w:pPr>
      <w:r>
        <w:rPr>
          <w:color w:val="000000" w:themeColor="text1"/>
        </w:rPr>
        <w:t xml:space="preserve">YouGov UK, (2024), </w:t>
      </w:r>
      <w:r>
        <w:rPr>
          <w:i/>
          <w:iCs/>
          <w:color w:val="000000" w:themeColor="text1"/>
        </w:rPr>
        <w:t>How Fair Is Inheritance Tax?</w:t>
      </w:r>
      <w:r>
        <w:rPr>
          <w:color w:val="000000" w:themeColor="text1"/>
        </w:rPr>
        <w:t xml:space="preserve">, Available at: </w:t>
      </w:r>
      <w:hyperlink r:id="rId17" w:history="1">
        <w:r w:rsidRPr="006A69E6">
          <w:rPr>
            <w:rStyle w:val="Hyperlink"/>
          </w:rPr>
          <w:t>https://yougov.co.uk/topics/politics/trackers/how-fair-is-inheritance-tax</w:t>
        </w:r>
      </w:hyperlink>
      <w:r>
        <w:rPr>
          <w:color w:val="000000" w:themeColor="text1"/>
        </w:rPr>
        <w:t xml:space="preserve"> (Accessed 13-Mar-2025). </w:t>
      </w:r>
    </w:p>
    <w:p w14:paraId="2AE063B4" w14:textId="77777777" w:rsidR="00046035" w:rsidRPr="00046035" w:rsidRDefault="00046035" w:rsidP="00B3405E">
      <w:pPr>
        <w:rPr>
          <w:color w:val="000000" w:themeColor="text1"/>
          <w:u w:val="single"/>
        </w:rPr>
      </w:pPr>
    </w:p>
    <w:p w14:paraId="2C76057A" w14:textId="46BCDF3A" w:rsidR="00046035" w:rsidRPr="00046035" w:rsidRDefault="00046035" w:rsidP="00B3405E">
      <w:pPr>
        <w:rPr>
          <w:color w:val="000000" w:themeColor="text1"/>
          <w:u w:val="single"/>
        </w:rPr>
      </w:pPr>
      <w:r w:rsidRPr="00046035">
        <w:rPr>
          <w:color w:val="000000" w:themeColor="text1"/>
          <w:u w:val="single"/>
        </w:rPr>
        <w:t>Legislation:</w:t>
      </w:r>
    </w:p>
    <w:p w14:paraId="2A4C9E19" w14:textId="6CDE7CB3" w:rsidR="00A1548B" w:rsidRDefault="00046035" w:rsidP="00B3405E">
      <w:pPr>
        <w:rPr>
          <w:color w:val="000000" w:themeColor="text1"/>
        </w:rPr>
      </w:pPr>
      <w:r>
        <w:rPr>
          <w:color w:val="000000" w:themeColor="text1"/>
        </w:rPr>
        <w:t>Administration of Estates Act 1925</w:t>
      </w:r>
    </w:p>
    <w:p w14:paraId="2154552E" w14:textId="534FE370" w:rsidR="00046035" w:rsidRDefault="00046035" w:rsidP="00B3405E">
      <w:pPr>
        <w:rPr>
          <w:color w:val="000000" w:themeColor="text1"/>
        </w:rPr>
      </w:pPr>
      <w:r>
        <w:rPr>
          <w:color w:val="000000" w:themeColor="text1"/>
        </w:rPr>
        <w:t>Law of Property Act 1925</w:t>
      </w:r>
    </w:p>
    <w:p w14:paraId="3AE3BDD3" w14:textId="3A3202D5" w:rsidR="00046035" w:rsidRDefault="00046035" w:rsidP="00B3405E">
      <w:pPr>
        <w:rPr>
          <w:color w:val="000000" w:themeColor="text1"/>
        </w:rPr>
      </w:pPr>
      <w:r>
        <w:rPr>
          <w:color w:val="000000" w:themeColor="text1"/>
        </w:rPr>
        <w:t>Trustees Act 2000</w:t>
      </w:r>
    </w:p>
    <w:p w14:paraId="1FA81A88" w14:textId="2B09A3F0" w:rsidR="00046035" w:rsidRPr="00046035" w:rsidRDefault="00046035" w:rsidP="00B3405E">
      <w:pPr>
        <w:rPr>
          <w:color w:val="000000" w:themeColor="text1"/>
        </w:rPr>
      </w:pPr>
      <w:r>
        <w:rPr>
          <w:color w:val="000000" w:themeColor="text1"/>
        </w:rPr>
        <w:t>Wills Act 1837</w:t>
      </w:r>
    </w:p>
    <w:p w14:paraId="0A5CD18C" w14:textId="77777777" w:rsidR="00A1548B" w:rsidRDefault="00A1548B" w:rsidP="00B3405E">
      <w:pPr>
        <w:rPr>
          <w:color w:val="000000" w:themeColor="text1"/>
        </w:rPr>
      </w:pPr>
    </w:p>
    <w:p w14:paraId="37353CF8" w14:textId="3022444B" w:rsidR="00046035" w:rsidRDefault="00046035" w:rsidP="00B3405E">
      <w:pPr>
        <w:rPr>
          <w:color w:val="000000" w:themeColor="text1"/>
        </w:rPr>
      </w:pPr>
      <w:r>
        <w:rPr>
          <w:color w:val="000000" w:themeColor="text1"/>
          <w:u w:val="single"/>
        </w:rPr>
        <w:t>Case Law:</w:t>
      </w:r>
    </w:p>
    <w:p w14:paraId="5875A6C0" w14:textId="32E2C7E6" w:rsidR="00046035" w:rsidRDefault="00046035" w:rsidP="00B3405E">
      <w:pPr>
        <w:rPr>
          <w:color w:val="000000" w:themeColor="text1"/>
        </w:rPr>
      </w:pPr>
      <w:r>
        <w:rPr>
          <w:color w:val="000000" w:themeColor="text1"/>
        </w:rPr>
        <w:t>Blackwell v Blackwell [1929]</w:t>
      </w:r>
    </w:p>
    <w:p w14:paraId="572CAFD3" w14:textId="653A6BC7" w:rsidR="00046035" w:rsidRDefault="00046035" w:rsidP="00B3405E">
      <w:pPr>
        <w:rPr>
          <w:color w:val="000000" w:themeColor="text1"/>
        </w:rPr>
      </w:pPr>
      <w:r>
        <w:rPr>
          <w:color w:val="000000" w:themeColor="text1"/>
        </w:rPr>
        <w:t>McCormick v Grogan [1867]</w:t>
      </w:r>
    </w:p>
    <w:p w14:paraId="7AEF67F4" w14:textId="2B5737B9" w:rsidR="00046035" w:rsidRDefault="00046035" w:rsidP="00B3405E">
      <w:pPr>
        <w:rPr>
          <w:color w:val="000000" w:themeColor="text1"/>
        </w:rPr>
      </w:pPr>
      <w:r>
        <w:rPr>
          <w:color w:val="000000" w:themeColor="text1"/>
        </w:rPr>
        <w:t>Spencer v Spencer [2023]</w:t>
      </w:r>
    </w:p>
    <w:p w14:paraId="430265FA" w14:textId="3F841947" w:rsidR="00046035" w:rsidRPr="00046035" w:rsidRDefault="00046035" w:rsidP="00B3405E">
      <w:pPr>
        <w:rPr>
          <w:color w:val="000000" w:themeColor="text1"/>
        </w:rPr>
      </w:pPr>
      <w:proofErr w:type="spellStart"/>
      <w:r>
        <w:rPr>
          <w:color w:val="000000" w:themeColor="text1"/>
        </w:rPr>
        <w:t>Wintle</w:t>
      </w:r>
      <w:proofErr w:type="spellEnd"/>
      <w:r>
        <w:rPr>
          <w:color w:val="000000" w:themeColor="text1"/>
        </w:rPr>
        <w:t xml:space="preserve"> v Nye [1959]</w:t>
      </w:r>
    </w:p>
    <w:sectPr w:rsidR="00046035" w:rsidRPr="00046035">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BFA57" w14:textId="77777777" w:rsidR="00E865D7" w:rsidRDefault="00E865D7" w:rsidP="00862B9B">
      <w:r>
        <w:separator/>
      </w:r>
    </w:p>
  </w:endnote>
  <w:endnote w:type="continuationSeparator" w:id="0">
    <w:p w14:paraId="0E3E3A32" w14:textId="77777777" w:rsidR="00E865D7" w:rsidRDefault="00E865D7" w:rsidP="00862B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998907" w14:textId="77777777" w:rsidR="00E865D7" w:rsidRDefault="00E865D7" w:rsidP="00862B9B">
      <w:r>
        <w:separator/>
      </w:r>
    </w:p>
  </w:footnote>
  <w:footnote w:type="continuationSeparator" w:id="0">
    <w:p w14:paraId="25A7BB2D" w14:textId="77777777" w:rsidR="00E865D7" w:rsidRDefault="00E865D7" w:rsidP="00862B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7B9AD" w14:textId="057ABE97" w:rsidR="00862B9B" w:rsidRDefault="00862B9B" w:rsidP="00862B9B">
    <w:pPr>
      <w:pStyle w:val="NoSpacing"/>
      <w:jc w:val="center"/>
      <w:rPr>
        <w:b/>
        <w:bCs/>
        <w:color w:val="4C94D8" w:themeColor="text2" w:themeTint="80"/>
      </w:rPr>
    </w:pPr>
    <w:r>
      <w:rPr>
        <w:b/>
        <w:bCs/>
        <w:color w:val="4C94D8" w:themeColor="text2" w:themeTint="80"/>
      </w:rPr>
      <w:t>BLUE LIGHT LAW LLP</w:t>
    </w:r>
  </w:p>
  <w:p w14:paraId="64203422" w14:textId="3E349E97" w:rsidR="00862B9B" w:rsidRDefault="00862B9B" w:rsidP="00862B9B">
    <w:pPr>
      <w:pStyle w:val="NoSpacing"/>
      <w:jc w:val="center"/>
      <w:rPr>
        <w:b/>
        <w:bCs/>
        <w:color w:val="4C94D8" w:themeColor="text2" w:themeTint="80"/>
      </w:rPr>
    </w:pPr>
    <w:r>
      <w:rPr>
        <w:b/>
        <w:bCs/>
        <w:color w:val="4C94D8" w:themeColor="text2" w:themeTint="80"/>
      </w:rPr>
      <w:t>Trinity Chambers, High Street, Swansea, SA1 1NE</w:t>
    </w:r>
  </w:p>
  <w:p w14:paraId="4EB7EBD7" w14:textId="71A3145B" w:rsidR="00862B9B" w:rsidRDefault="00862B9B" w:rsidP="00862B9B">
    <w:pPr>
      <w:pStyle w:val="NoSpacing"/>
      <w:jc w:val="center"/>
      <w:rPr>
        <w:color w:val="000000" w:themeColor="text1"/>
      </w:rPr>
    </w:pPr>
    <w:r>
      <w:rPr>
        <w:color w:val="000000" w:themeColor="text1"/>
      </w:rPr>
      <w:t xml:space="preserve">Tel: 01792 654321 | Email: Reception@bluelightlaw.com | DX: 543210 </w:t>
    </w:r>
  </w:p>
  <w:p w14:paraId="48EBBA65" w14:textId="1886ABAD" w:rsidR="00862B9B" w:rsidRDefault="00862B9B" w:rsidP="00862B9B">
    <w:pPr>
      <w:pStyle w:val="NoSpacing"/>
      <w:jc w:val="center"/>
      <w:rPr>
        <w:i/>
        <w:iCs/>
        <w:color w:val="000000" w:themeColor="text1"/>
      </w:rPr>
    </w:pPr>
    <w:r>
      <w:rPr>
        <w:i/>
        <w:iCs/>
        <w:color w:val="000000" w:themeColor="text1"/>
      </w:rPr>
      <w:t>Criminal Law – Family Law – Wills, Probate &amp; Trusts – Property Law – Commercial Law</w:t>
    </w:r>
  </w:p>
  <w:p w14:paraId="7874D275" w14:textId="4EC4FF5A" w:rsidR="00862B9B" w:rsidRDefault="00862B9B" w:rsidP="00862B9B">
    <w:pPr>
      <w:pStyle w:val="NoSpacing"/>
      <w:jc w:val="center"/>
      <w:rPr>
        <w:color w:val="4C94D8" w:themeColor="text2" w:themeTint="80"/>
      </w:rPr>
    </w:pPr>
    <w:r>
      <w:rPr>
        <w:color w:val="4C94D8" w:themeColor="text2" w:themeTint="80"/>
      </w:rPr>
      <w:t>_________________________________________________________________________________</w:t>
    </w:r>
  </w:p>
  <w:p w14:paraId="68965538" w14:textId="77777777" w:rsidR="00862B9B" w:rsidRPr="00862B9B" w:rsidRDefault="00862B9B" w:rsidP="00862B9B">
    <w:pPr>
      <w:pStyle w:val="NoSpacing"/>
      <w:jc w:val="center"/>
      <w:rPr>
        <w:color w:val="4C94D8" w:themeColor="text2" w:themeTint="8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B9B"/>
    <w:rsid w:val="0004536B"/>
    <w:rsid w:val="00046035"/>
    <w:rsid w:val="000C5158"/>
    <w:rsid w:val="001751E8"/>
    <w:rsid w:val="003166FF"/>
    <w:rsid w:val="00320D6D"/>
    <w:rsid w:val="00327B7B"/>
    <w:rsid w:val="003F2230"/>
    <w:rsid w:val="00407023"/>
    <w:rsid w:val="00412DC6"/>
    <w:rsid w:val="0044389D"/>
    <w:rsid w:val="004B42EC"/>
    <w:rsid w:val="00531898"/>
    <w:rsid w:val="00596817"/>
    <w:rsid w:val="005D1315"/>
    <w:rsid w:val="005D3969"/>
    <w:rsid w:val="0072706A"/>
    <w:rsid w:val="00763567"/>
    <w:rsid w:val="007D0F5F"/>
    <w:rsid w:val="008226E1"/>
    <w:rsid w:val="00862B9B"/>
    <w:rsid w:val="00870302"/>
    <w:rsid w:val="008A146C"/>
    <w:rsid w:val="009C7D9D"/>
    <w:rsid w:val="00A1548B"/>
    <w:rsid w:val="00A32CD2"/>
    <w:rsid w:val="00A44B17"/>
    <w:rsid w:val="00AB0E6F"/>
    <w:rsid w:val="00B3405E"/>
    <w:rsid w:val="00B56DA4"/>
    <w:rsid w:val="00C728B9"/>
    <w:rsid w:val="00C834B9"/>
    <w:rsid w:val="00D16D5B"/>
    <w:rsid w:val="00D65A9B"/>
    <w:rsid w:val="00E14024"/>
    <w:rsid w:val="00E81F5B"/>
    <w:rsid w:val="00E865D7"/>
    <w:rsid w:val="00E928F3"/>
    <w:rsid w:val="00EA28AD"/>
    <w:rsid w:val="00EC3B99"/>
    <w:rsid w:val="00FD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5ADAE"/>
  <w15:chartTrackingRefBased/>
  <w15:docId w15:val="{C3FD14B4-1978-7341-B8DE-981C243CD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2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2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2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2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2B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B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B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B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2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2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2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2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2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B9B"/>
    <w:rPr>
      <w:rFonts w:eastAsiaTheme="majorEastAsia" w:cstheme="majorBidi"/>
      <w:color w:val="272727" w:themeColor="text1" w:themeTint="D8"/>
    </w:rPr>
  </w:style>
  <w:style w:type="paragraph" w:styleId="Title">
    <w:name w:val="Title"/>
    <w:basedOn w:val="Normal"/>
    <w:next w:val="Normal"/>
    <w:link w:val="TitleChar"/>
    <w:uiPriority w:val="10"/>
    <w:qFormat/>
    <w:rsid w:val="00862B9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B9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B9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62B9B"/>
    <w:rPr>
      <w:i/>
      <w:iCs/>
      <w:color w:val="404040" w:themeColor="text1" w:themeTint="BF"/>
    </w:rPr>
  </w:style>
  <w:style w:type="paragraph" w:styleId="ListParagraph">
    <w:name w:val="List Paragraph"/>
    <w:basedOn w:val="Normal"/>
    <w:uiPriority w:val="34"/>
    <w:qFormat/>
    <w:rsid w:val="00862B9B"/>
    <w:pPr>
      <w:ind w:left="720"/>
      <w:contextualSpacing/>
    </w:pPr>
  </w:style>
  <w:style w:type="character" w:styleId="IntenseEmphasis">
    <w:name w:val="Intense Emphasis"/>
    <w:basedOn w:val="DefaultParagraphFont"/>
    <w:uiPriority w:val="21"/>
    <w:qFormat/>
    <w:rsid w:val="00862B9B"/>
    <w:rPr>
      <w:i/>
      <w:iCs/>
      <w:color w:val="0F4761" w:themeColor="accent1" w:themeShade="BF"/>
    </w:rPr>
  </w:style>
  <w:style w:type="paragraph" w:styleId="IntenseQuote">
    <w:name w:val="Intense Quote"/>
    <w:basedOn w:val="Normal"/>
    <w:next w:val="Normal"/>
    <w:link w:val="IntenseQuoteChar"/>
    <w:uiPriority w:val="30"/>
    <w:qFormat/>
    <w:rsid w:val="00862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2B9B"/>
    <w:rPr>
      <w:i/>
      <w:iCs/>
      <w:color w:val="0F4761" w:themeColor="accent1" w:themeShade="BF"/>
    </w:rPr>
  </w:style>
  <w:style w:type="character" w:styleId="IntenseReference">
    <w:name w:val="Intense Reference"/>
    <w:basedOn w:val="DefaultParagraphFont"/>
    <w:uiPriority w:val="32"/>
    <w:qFormat/>
    <w:rsid w:val="00862B9B"/>
    <w:rPr>
      <w:b/>
      <w:bCs/>
      <w:smallCaps/>
      <w:color w:val="0F4761" w:themeColor="accent1" w:themeShade="BF"/>
      <w:spacing w:val="5"/>
    </w:rPr>
  </w:style>
  <w:style w:type="paragraph" w:styleId="Header">
    <w:name w:val="header"/>
    <w:basedOn w:val="Normal"/>
    <w:link w:val="HeaderChar"/>
    <w:uiPriority w:val="99"/>
    <w:unhideWhenUsed/>
    <w:rsid w:val="00862B9B"/>
    <w:pPr>
      <w:tabs>
        <w:tab w:val="center" w:pos="4513"/>
        <w:tab w:val="right" w:pos="9026"/>
      </w:tabs>
    </w:pPr>
  </w:style>
  <w:style w:type="character" w:customStyle="1" w:styleId="HeaderChar">
    <w:name w:val="Header Char"/>
    <w:basedOn w:val="DefaultParagraphFont"/>
    <w:link w:val="Header"/>
    <w:uiPriority w:val="99"/>
    <w:rsid w:val="00862B9B"/>
  </w:style>
  <w:style w:type="paragraph" w:styleId="Footer">
    <w:name w:val="footer"/>
    <w:basedOn w:val="Normal"/>
    <w:link w:val="FooterChar"/>
    <w:uiPriority w:val="99"/>
    <w:unhideWhenUsed/>
    <w:rsid w:val="00862B9B"/>
    <w:pPr>
      <w:tabs>
        <w:tab w:val="center" w:pos="4513"/>
        <w:tab w:val="right" w:pos="9026"/>
      </w:tabs>
    </w:pPr>
  </w:style>
  <w:style w:type="character" w:customStyle="1" w:styleId="FooterChar">
    <w:name w:val="Footer Char"/>
    <w:basedOn w:val="DefaultParagraphFont"/>
    <w:link w:val="Footer"/>
    <w:uiPriority w:val="99"/>
    <w:rsid w:val="00862B9B"/>
  </w:style>
  <w:style w:type="paragraph" w:styleId="NoSpacing">
    <w:name w:val="No Spacing"/>
    <w:uiPriority w:val="1"/>
    <w:qFormat/>
    <w:rsid w:val="00862B9B"/>
  </w:style>
  <w:style w:type="character" w:styleId="Hyperlink">
    <w:name w:val="Hyperlink"/>
    <w:basedOn w:val="DefaultParagraphFont"/>
    <w:uiPriority w:val="99"/>
    <w:unhideWhenUsed/>
    <w:rsid w:val="00862B9B"/>
    <w:rPr>
      <w:color w:val="467886" w:themeColor="hyperlink"/>
      <w:u w:val="single"/>
    </w:rPr>
  </w:style>
  <w:style w:type="character" w:styleId="UnresolvedMention">
    <w:name w:val="Unresolved Mention"/>
    <w:basedOn w:val="DefaultParagraphFont"/>
    <w:uiPriority w:val="99"/>
    <w:semiHidden/>
    <w:unhideWhenUsed/>
    <w:rsid w:val="00862B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jp.co.uk/individuals/news/five-things-you-need-to-know-about-inheritance-tax#:~:text=Then%20subject%20to%20other%20available,be%20liable%20to%2040%25%20IHT" TargetMode="External"/><Relationship Id="rId13" Type="http://schemas.openxmlformats.org/officeDocument/2006/relationships/hyperlink" Target="https://www.thegazette.co.uk/wills-and-probate/what-to-do-when-someone-dies-executor-duties"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londongoldcentre.co.uk/gold-price-calculator/gold-price-per-gram/" TargetMode="External"/><Relationship Id="rId12" Type="http://schemas.openxmlformats.org/officeDocument/2006/relationships/hyperlink" Target="https://www.sra.org.uk/solicitors/resources/continuing-competence/templates/" TargetMode="External"/><Relationship Id="rId17" Type="http://schemas.openxmlformats.org/officeDocument/2006/relationships/hyperlink" Target="https://yougov.co.uk/topics/politics/trackers/how-fair-is-inheritance-tax" TargetMode="External"/><Relationship Id="rId2" Type="http://schemas.openxmlformats.org/officeDocument/2006/relationships/settings" Target="settings.xml"/><Relationship Id="rId16" Type="http://schemas.openxmlformats.org/officeDocument/2006/relationships/hyperlink" Target="https://www.lawsociety.org.uk/topics/private-client/preparing-a-will-when-your-client-is-leaving-a-gift-for-you-your-family-or-colleagu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inheritance-tax" TargetMode="External"/><Relationship Id="rId11" Type="http://schemas.openxmlformats.org/officeDocument/2006/relationships/hyperlink" Target="https://www.sra.org.uk/solicitors/guidance/drafting-preparation-wills/" TargetMode="External"/><Relationship Id="rId5" Type="http://schemas.openxmlformats.org/officeDocument/2006/relationships/endnotes" Target="endnotes.xml"/><Relationship Id="rId15" Type="http://schemas.openxmlformats.org/officeDocument/2006/relationships/hyperlink" Target="https://www.thegazette.co.uk/all-notices/content/104118#:~:text=A%20secret%20trust%20arises%20where,another%20person%20(the%20beneficiary)" TargetMode="External"/><Relationship Id="rId10" Type="http://schemas.openxmlformats.org/officeDocument/2006/relationships/hyperlink" Target="https://www.sra.org.uk/solicitors/standards-regulations/code-conduct-solicitor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assets.publishing.service.gov.uk/media/5bf67ee4e5274a2af111f68b/Final_Inheritance_Tax_Report_-_web_copy.pdf" TargetMode="External"/><Relationship Id="rId14" Type="http://schemas.openxmlformats.org/officeDocument/2006/relationships/hyperlink" Target="https://www.thegazette.co.uk/all-notices/content/104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7</Pages>
  <Words>2536</Words>
  <Characters>14458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16961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4</cp:revision>
  <dcterms:created xsi:type="dcterms:W3CDTF">2025-03-13T18:09:00Z</dcterms:created>
  <dcterms:modified xsi:type="dcterms:W3CDTF">2025-03-14T18:25:00Z</dcterms:modified>
</cp:coreProperties>
</file>