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Pr="00222957" w:rsidRDefault="00222957" w:rsidP="005C7BAD">
      <w:pPr>
        <w:jc w:val="center"/>
        <w:rPr>
          <w:rFonts w:ascii="Times New Roman" w:eastAsia="Aptos" w:hAnsi="Times New Roman" w:cs="Times New Roman"/>
          <w:b/>
          <w:bCs/>
          <w:sz w:val="48"/>
          <w:szCs w:val="48"/>
        </w:rPr>
      </w:pPr>
      <w:r w:rsidRPr="00222957">
        <w:rPr>
          <w:rFonts w:ascii="Times New Roman" w:eastAsia="Aptos" w:hAnsi="Times New Roman" w:cs="Times New Roman"/>
          <w:b/>
          <w:bCs/>
          <w:sz w:val="48"/>
          <w:szCs w:val="48"/>
        </w:rPr>
        <w:t>Module Title:  Hotel Placement – Managing Food &amp; Beverage Operations</w:t>
      </w:r>
    </w:p>
    <w:p w:rsidR="00222957" w:rsidRDefault="00222957" w:rsidP="005C7BAD">
      <w:pPr>
        <w:jc w:val="center"/>
        <w:rPr>
          <w:rFonts w:ascii="Times New Roman" w:eastAsia="Aptos" w:hAnsi="Times New Roman" w:cs="Times New Roman"/>
          <w:b/>
          <w:bCs/>
          <w:sz w:val="48"/>
          <w:szCs w:val="48"/>
        </w:rPr>
      </w:pPr>
    </w:p>
    <w:p w:rsidR="006C0C09" w:rsidRPr="00222957" w:rsidRDefault="00222957" w:rsidP="005C7BAD">
      <w:pPr>
        <w:jc w:val="center"/>
        <w:rPr>
          <w:rFonts w:ascii="Times New Roman" w:eastAsia="Aptos" w:hAnsi="Times New Roman" w:cs="Times New Roman"/>
          <w:b/>
          <w:bCs/>
          <w:sz w:val="48"/>
          <w:szCs w:val="48"/>
        </w:rPr>
      </w:pPr>
      <w:r w:rsidRPr="00222957">
        <w:rPr>
          <w:rFonts w:ascii="Times New Roman" w:eastAsia="Aptos" w:hAnsi="Times New Roman" w:cs="Times New Roman"/>
          <w:b/>
          <w:bCs/>
          <w:sz w:val="48"/>
          <w:szCs w:val="48"/>
        </w:rPr>
        <w:t>Module Code:  BMIH6002</w:t>
      </w:r>
    </w:p>
    <w:p w:rsidR="006C0C09" w:rsidRPr="00222957" w:rsidRDefault="00222957" w:rsidP="005C7BAD">
      <w:pPr>
        <w:pStyle w:val="Title"/>
        <w:rPr>
          <w:rFonts w:ascii="Times New Roman" w:hAnsi="Times New Roman" w:cs="Times New Roman"/>
          <w:color w:val="000000"/>
          <w:sz w:val="48"/>
          <w:szCs w:val="48"/>
        </w:rPr>
      </w:pPr>
      <w:r w:rsidRPr="00222957">
        <w:rPr>
          <w:rFonts w:ascii="Times New Roman" w:hAnsi="Times New Roman" w:cs="Times New Roman"/>
          <w:color w:val="000000"/>
          <w:sz w:val="48"/>
          <w:szCs w:val="48"/>
        </w:rPr>
        <w:t>Student name: Zakia Shirin Nishai</w:t>
      </w:r>
    </w:p>
    <w:p w:rsidR="006C0C09" w:rsidRPr="00222957" w:rsidRDefault="00222957" w:rsidP="005C7BAD">
      <w:pPr>
        <w:pStyle w:val="Title"/>
        <w:rPr>
          <w:rFonts w:ascii="Times New Roman" w:hAnsi="Times New Roman" w:cs="Times New Roman"/>
          <w:color w:val="000000"/>
          <w:sz w:val="48"/>
          <w:szCs w:val="48"/>
        </w:rPr>
      </w:pPr>
      <w:r w:rsidRPr="00222957">
        <w:rPr>
          <w:rFonts w:ascii="Times New Roman" w:hAnsi="Times New Roman" w:cs="Times New Roman"/>
          <w:color w:val="000000"/>
          <w:sz w:val="48"/>
          <w:szCs w:val="48"/>
        </w:rPr>
        <w:t>Student ID: 2208336</w:t>
      </w:r>
    </w:p>
    <w:p w:rsidR="006C0C09" w:rsidRDefault="00222957" w:rsidP="005C7BAD">
      <w:pPr>
        <w:jc w:val="center"/>
        <w:rPr>
          <w:sz w:val="32"/>
          <w:szCs w:val="32"/>
        </w:rPr>
      </w:pPr>
      <w:r w:rsidRPr="00222957">
        <w:rPr>
          <w:rFonts w:ascii="Times New Roman" w:hAnsi="Times New Roman" w:cs="Times New Roman"/>
          <w:b/>
          <w:color w:val="000000"/>
          <w:sz w:val="48"/>
          <w:szCs w:val="48"/>
        </w:rPr>
        <w:t>Lecturer’s name: Daniel Payne</w:t>
      </w: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B92F4F" w:rsidRPr="00B92F4F" w:rsidRDefault="00B92F4F" w:rsidP="00B92F4F">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32"/>
          <w:szCs w:val="32"/>
          <w:lang w:val="en-US"/>
        </w:rPr>
        <w:lastRenderedPageBreak/>
        <w:t>Introduction</w:t>
      </w:r>
      <w:r w:rsidRPr="00FC4846">
        <w:rPr>
          <w:rFonts w:ascii="Times New Roman" w:eastAsia="Times New Roman" w:hAnsi="Times New Roman" w:cs="Times New Roman"/>
          <w:sz w:val="24"/>
          <w:szCs w:val="24"/>
          <w:lang w:val="en-US"/>
        </w:rPr>
        <w:br/>
        <w:t>This reflective learning journal documents my 10-week placement in the Food and Beverage (F&amp;B) department at Apex City Quay Hotel and Spa, Dundee. The hotel’s F&amp;B operations encompass a day restaurant, a busy lounge bar serving spa guests, in-room dining, and medium-to-small banqueting events, including conferences and private functions. I was mentored by David Hotchkiss (Hotel Mentor) and worked closely with Kristiona (Restaurant Supervisor) and Claire (Restaurant Assistant Manager). My placement provided the opportunity to observe and contribute to restaurant operations, including a 300-guest conference buffet lunch, offering insight into managing large-scale service efficiently while maintaining high standards of quality. This learning log addresses three primary outcomes: shadowing supervisory practice, analysing management performance, and evaluating service standards, with a focus on connecting theoretical frameworks to practical applications and suggesting potential improvements (Hagg, 2013; Anon, 2010).</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t>Approach to reflection and connection to Level 4 learning</w:t>
      </w:r>
      <w:r w:rsidRPr="00FC4846">
        <w:rPr>
          <w:rFonts w:ascii="Times New Roman" w:eastAsia="Times New Roman" w:hAnsi="Times New Roman" w:cs="Times New Roman"/>
          <w:sz w:val="28"/>
          <w:szCs w:val="28"/>
          <w:lang w:val="en-US"/>
        </w:rPr>
        <w:br/>
      </w:r>
      <w:r w:rsidRPr="00FC4846">
        <w:rPr>
          <w:rFonts w:ascii="Times New Roman" w:eastAsia="Times New Roman" w:hAnsi="Times New Roman" w:cs="Times New Roman"/>
          <w:sz w:val="24"/>
          <w:szCs w:val="24"/>
          <w:lang w:val="en-US"/>
        </w:rPr>
        <w:t>I structured my reflection using Gibbs’ reflective cycle (description–feelings–evaluation–analysis–action) (Gibbs, 1988, as cited in Hagg, 2013), which enabled me to link practical experiences during placement to concepts learned in Level 4 Food &amp; Beverage Operations. The Level 4 module emphasised key skills such as service sequencing, effective teamwork, time management, allergen diligence, and maintaining performance under pressure (Cousins, 2020). These competencies provided a benchmark to assess my development at Level 6, particularly through exposure to supervisory responsibilities and cross-departmental coordination. By reflecting systematically, I could evaluate my professional growth, identify strengths, and note areas where further development was required (Johnston, Clark &amp; Shulver, 2012).</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t>Shadowing a supervisory role: progression from Level 4</w:t>
      </w:r>
      <w:r w:rsidRPr="00FC4846">
        <w:rPr>
          <w:rFonts w:ascii="Times New Roman" w:eastAsia="Times New Roman" w:hAnsi="Times New Roman" w:cs="Times New Roman"/>
          <w:sz w:val="28"/>
          <w:szCs w:val="28"/>
          <w:lang w:val="en-US"/>
        </w:rPr>
        <w:br/>
      </w:r>
      <w:r w:rsidRPr="00FC4846">
        <w:rPr>
          <w:rFonts w:ascii="Times New Roman" w:eastAsia="Times New Roman" w:hAnsi="Times New Roman" w:cs="Times New Roman"/>
          <w:sz w:val="24"/>
          <w:szCs w:val="24"/>
          <w:lang w:val="en-US"/>
        </w:rPr>
        <w:t xml:space="preserve">Shadowing Kristiona highlighted how supervisory work integrates pre-service preparation, live service, and post-service evaluation. I co-led pre-shift briefings covering menu changes, 86s, allergen alerts, and section allocation, verified mise en place, checked opening and </w:t>
      </w:r>
      <w:r w:rsidRPr="00FC4846">
        <w:rPr>
          <w:rFonts w:ascii="Times New Roman" w:eastAsia="Times New Roman" w:hAnsi="Times New Roman" w:cs="Times New Roman"/>
          <w:sz w:val="24"/>
          <w:szCs w:val="24"/>
          <w:lang w:val="en-US"/>
        </w:rPr>
        <w:lastRenderedPageBreak/>
        <w:t>closing lists, and actively managed live service during peak periods, including the 300-guest conference buffet lunch. Unlike my Level 4 experience, where my focus was limited to individual stations and personal task completion, I now appreciated the end-to-end flow of operations. I learned to consider cover forecasts, spa appointment waves, bar ticket peaks, and room-service demands, understanding how these variables impact overall service delivery (Johnston, 2012; Johnston, Clark &amp; Shulver, 2012).</w:t>
      </w: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Service operations theory frames the supervisor as the integrator of front-stage customer experience and back-stage processes (Johnston, Clark &amp; Shulver, 2012). I observed this in how Kristiona balanced guest wait times, kitchen capacity, and staff allocation in real time. Principles of variability management (Johnston, 2012) were applied to buffer walk-ins and ensure smooth buffet flow. My perspective shifted from the Level 4 mindset of “How do I serve my tables well?” to a supervisory mindset: “How do I stage the shift so everyone performs effectively?” This required me to prioritise pre-shift briefings, develop contingency plans, and provide micro-coaching on the floor, fostering team confidence and cohesion (Hagg, 2013; Anon, 2010).</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8"/>
          <w:szCs w:val="28"/>
          <w:lang w:val="en-US"/>
        </w:rPr>
      </w:pPr>
      <w:r w:rsidRPr="00FC4846">
        <w:rPr>
          <w:rFonts w:ascii="Times New Roman" w:eastAsia="Times New Roman" w:hAnsi="Times New Roman" w:cs="Times New Roman"/>
          <w:bCs/>
          <w:sz w:val="28"/>
          <w:szCs w:val="28"/>
          <w:lang w:val="en-US"/>
        </w:rPr>
        <w:t>Analysing management performance: standards, gaps, and improvements</w:t>
      </w: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t>Service quality and guest-experience gaps</w:t>
      </w:r>
      <w:r w:rsidRPr="00FC4846">
        <w:rPr>
          <w:rFonts w:ascii="Times New Roman" w:eastAsia="Times New Roman" w:hAnsi="Times New Roman" w:cs="Times New Roman"/>
          <w:sz w:val="24"/>
          <w:szCs w:val="24"/>
          <w:lang w:val="en-US"/>
        </w:rPr>
        <w:br/>
        <w:t>Performance evaluation focused on three key areas: service quality, food safety and compliance, and commercial control. Using the SERVQUAL model (Parasuraman, Zeithaml &amp; Berry, 1988), I identified minor gaps across Reliability (order accuracy and consistency of service), Responsiveness (acknowledgement within two minutes), Assurance (staff confidence in allergen knowledge), Empathy (flexibility for spa guests with time constraints), and Tangibles (table setting and servicescape). During peak bar periods, lapses were observed in allergen verification and runner communication. Additionally, noise from the bar affected the perceived calmness of the restaurant, particularly during afternoon tea service, highlighting how the physical layout of a service space can influence guest perception and staff behaviour (Bitner, 1992).</w:t>
      </w:r>
    </w:p>
    <w:p w:rsidR="00FC4846" w:rsidRDefault="00FC4846" w:rsidP="00FC4846">
      <w:pPr>
        <w:spacing w:before="100" w:beforeAutospacing="1" w:after="100" w:afterAutospacing="1" w:line="360" w:lineRule="auto"/>
        <w:rPr>
          <w:rFonts w:ascii="Times New Roman" w:eastAsia="Times New Roman" w:hAnsi="Times New Roman" w:cs="Times New Roman"/>
          <w:bCs/>
          <w:sz w:val="28"/>
          <w:szCs w:val="28"/>
          <w:lang w:val="en-US"/>
        </w:rPr>
      </w:pPr>
    </w:p>
    <w:p w:rsidR="00FC4846" w:rsidRDefault="00FC4846" w:rsidP="00FC4846">
      <w:pPr>
        <w:spacing w:before="100" w:beforeAutospacing="1" w:after="100" w:afterAutospacing="1" w:line="360" w:lineRule="auto"/>
        <w:rPr>
          <w:rFonts w:ascii="Times New Roman" w:eastAsia="Times New Roman" w:hAnsi="Times New Roman" w:cs="Times New Roman"/>
          <w:bCs/>
          <w:sz w:val="28"/>
          <w:szCs w:val="28"/>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8"/>
          <w:szCs w:val="28"/>
          <w:lang w:val="en-US"/>
        </w:rPr>
      </w:pPr>
      <w:r w:rsidRPr="00FC4846">
        <w:rPr>
          <w:rFonts w:ascii="Times New Roman" w:eastAsia="Times New Roman" w:hAnsi="Times New Roman" w:cs="Times New Roman"/>
          <w:bCs/>
          <w:sz w:val="28"/>
          <w:szCs w:val="28"/>
          <w:lang w:val="en-US"/>
        </w:rPr>
        <w:t>Implemented and proposed improvements</w:t>
      </w:r>
    </w:p>
    <w:p w:rsidR="00FC4846" w:rsidRPr="00FC4846" w:rsidRDefault="00FC4846" w:rsidP="00FC4846">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Pre-peak menu-confidence huddles</w:t>
      </w:r>
      <w:r w:rsidRPr="00FC4846">
        <w:rPr>
          <w:rFonts w:ascii="Times New Roman" w:eastAsia="Times New Roman" w:hAnsi="Times New Roman" w:cs="Times New Roman"/>
          <w:sz w:val="24"/>
          <w:szCs w:val="24"/>
          <w:lang w:val="en-US"/>
        </w:rPr>
        <w:t>: Conducted 10-minute briefings with Q&amp;A on specials, allergens, and recommended pairings, which improved communication and reduced errors (Davis et al., 2018; Cousins, 2020).</w:t>
      </w:r>
    </w:p>
    <w:p w:rsidR="00FC4846" w:rsidRPr="00FC4846" w:rsidRDefault="00FC4846" w:rsidP="00FC4846">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Visual service blueprint</w:t>
      </w:r>
      <w:r w:rsidRPr="00FC4846">
        <w:rPr>
          <w:rFonts w:ascii="Times New Roman" w:eastAsia="Times New Roman" w:hAnsi="Times New Roman" w:cs="Times New Roman"/>
          <w:sz w:val="24"/>
          <w:szCs w:val="24"/>
          <w:lang w:val="en-US"/>
        </w:rPr>
        <w:t>: Implemented at the pass to clarify bar–restaurant handoffs and prevent “limbo dishes” (Johnston, Clark &amp; Shulver, 2012).</w:t>
      </w:r>
    </w:p>
    <w:p w:rsidR="00FC4846" w:rsidRPr="00FC4846" w:rsidRDefault="00FC4846" w:rsidP="00FC4846">
      <w:pPr>
        <w:numPr>
          <w:ilvl w:val="0"/>
          <w:numId w:val="11"/>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Two-minute greet timer</w:t>
      </w:r>
      <w:r w:rsidRPr="00FC4846">
        <w:rPr>
          <w:rFonts w:ascii="Times New Roman" w:eastAsia="Times New Roman" w:hAnsi="Times New Roman" w:cs="Times New Roman"/>
          <w:sz w:val="24"/>
          <w:szCs w:val="24"/>
          <w:lang w:val="en-US"/>
        </w:rPr>
        <w:t>: Introduced at the podium to ensure prompt guest acknowledgment and align with “moments of truth” principles (Walker, 2021).</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t>Food safety, allergen assurance, and culture</w:t>
      </w:r>
      <w:r w:rsidRPr="00FC4846">
        <w:rPr>
          <w:rFonts w:ascii="Times New Roman" w:eastAsia="Times New Roman" w:hAnsi="Times New Roman" w:cs="Times New Roman"/>
          <w:sz w:val="24"/>
          <w:szCs w:val="24"/>
          <w:lang w:val="en-US"/>
        </w:rPr>
        <w:br/>
        <w:t>Level 4 HACCP training provided a foundation, but supervision revealed that embedding a culture of compliance is essential for risk reduction (Motarjemi &amp; Lelieveld, 2014; Zutshi, 2019). Working with Andrea (Housekeeping Supervisor), I standardised daily cross-checks of room-service trays and minibar items at 11:00, minimising cross-contamination risks. I also revised allergen scripts to ensure staff verified information against the allergen matrix rather than guessing, aligning with best-practice verification methods (Motarjemi &amp; Lelieveld, 2014). Additional improvements included weekly micro-drills and a red-tag returns shelf for allergen-bearing items, with supervisor sign-off required for clearance (Zutshi, 2019).</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t>Commercial control and productivity</w:t>
      </w:r>
      <w:r w:rsidRPr="00FC4846">
        <w:rPr>
          <w:rFonts w:ascii="Times New Roman" w:eastAsia="Times New Roman" w:hAnsi="Times New Roman" w:cs="Times New Roman"/>
          <w:sz w:val="24"/>
          <w:szCs w:val="24"/>
          <w:lang w:val="en-US"/>
        </w:rPr>
        <w:br/>
        <w:t>Guided by David Hotchkiss, I analysed sales mix, ticket times, and seat-turn efficiency. Adjustments such as resequencing dessert coffee orders during Friday peak periods improved workflow without the need for additional staffing. Capacity-buffering principles (Johnston, 2012) and targeted upselling strategies (Cousins, 2020; Walker, 2021) helped increase throughput and revenue while maintaining service standards, demonstrating how operational decisions directly influence commercial performance.</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lastRenderedPageBreak/>
        <w:t>Performance criteria and technical standards</w:t>
      </w:r>
      <w:r w:rsidRPr="00FC4846">
        <w:rPr>
          <w:rFonts w:ascii="Times New Roman" w:eastAsia="Times New Roman" w:hAnsi="Times New Roman" w:cs="Times New Roman"/>
          <w:sz w:val="28"/>
          <w:szCs w:val="28"/>
          <w:lang w:val="en-US"/>
        </w:rPr>
        <w:br/>
      </w:r>
      <w:r w:rsidRPr="00FC4846">
        <w:rPr>
          <w:rFonts w:ascii="Times New Roman" w:eastAsia="Times New Roman" w:hAnsi="Times New Roman" w:cs="Times New Roman"/>
          <w:sz w:val="24"/>
          <w:szCs w:val="24"/>
          <w:lang w:val="en-US"/>
        </w:rPr>
        <w:t>To meet Level 6 outcomes, I developed a concise performance pack for section leads, including:</w:t>
      </w:r>
    </w:p>
    <w:p w:rsidR="00FC4846" w:rsidRPr="00FC4846" w:rsidRDefault="00FC4846" w:rsidP="00FC4846">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Service sequence checklists</w:t>
      </w:r>
      <w:r w:rsidRPr="00FC4846">
        <w:rPr>
          <w:rFonts w:ascii="Times New Roman" w:eastAsia="Times New Roman" w:hAnsi="Times New Roman" w:cs="Times New Roman"/>
          <w:sz w:val="24"/>
          <w:szCs w:val="24"/>
          <w:lang w:val="en-US"/>
        </w:rPr>
        <w:t xml:space="preserve"> with time anchors and recovery scripts (Cousins, 2020).</w:t>
      </w:r>
    </w:p>
    <w:p w:rsidR="00FC4846" w:rsidRPr="00FC4846" w:rsidRDefault="00FC4846" w:rsidP="00FC4846">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Mise en place and closing shadow boards</w:t>
      </w:r>
      <w:r w:rsidRPr="00FC4846">
        <w:rPr>
          <w:rFonts w:ascii="Times New Roman" w:eastAsia="Times New Roman" w:hAnsi="Times New Roman" w:cs="Times New Roman"/>
          <w:sz w:val="24"/>
          <w:szCs w:val="24"/>
          <w:lang w:val="en-US"/>
        </w:rPr>
        <w:t xml:space="preserve"> to streamline bar opening and closing procedures (Rutherford &amp; O’Fallon, 2007).</w:t>
      </w:r>
    </w:p>
    <w:p w:rsidR="00FC4846" w:rsidRPr="00FC4846" w:rsidRDefault="00FC4846" w:rsidP="00FC4846">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Assurance behaviours</w:t>
      </w:r>
      <w:r w:rsidRPr="00FC4846">
        <w:rPr>
          <w:rFonts w:ascii="Times New Roman" w:eastAsia="Times New Roman" w:hAnsi="Times New Roman" w:cs="Times New Roman"/>
          <w:sz w:val="24"/>
          <w:szCs w:val="24"/>
          <w:lang w:val="en-US"/>
        </w:rPr>
        <w:t xml:space="preserve"> such as allergen verification, guest-name usage, and wine signposting (Walker, 2021).</w:t>
      </w:r>
    </w:p>
    <w:p w:rsidR="00FC4846" w:rsidRPr="00FC4846" w:rsidRDefault="00FC4846" w:rsidP="00FC4846">
      <w:pPr>
        <w:numPr>
          <w:ilvl w:val="0"/>
          <w:numId w:val="12"/>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4"/>
          <w:szCs w:val="24"/>
          <w:lang w:val="en-US"/>
        </w:rPr>
        <w:t>Sustainability measures</w:t>
      </w:r>
      <w:r w:rsidRPr="00FC4846">
        <w:rPr>
          <w:rFonts w:ascii="Times New Roman" w:eastAsia="Times New Roman" w:hAnsi="Times New Roman" w:cs="Times New Roman"/>
          <w:sz w:val="24"/>
          <w:szCs w:val="24"/>
          <w:lang w:val="en-US"/>
        </w:rPr>
        <w:t>: Daily prep-waste tracking and weekly feedback sessions to reinforce awareness and action (Walker, 2021).</w:t>
      </w: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These tools reinforced Level 4 foundations such as time management, attention to detail, and an inspection mindset, validating the progression from foundational skills to supervisory competencies (Hagg, 2013).</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8"/>
          <w:szCs w:val="28"/>
          <w:lang w:val="en-US"/>
        </w:rPr>
      </w:pPr>
      <w:r w:rsidRPr="00FC4846">
        <w:rPr>
          <w:rFonts w:ascii="Times New Roman" w:eastAsia="Times New Roman" w:hAnsi="Times New Roman" w:cs="Times New Roman"/>
          <w:bCs/>
          <w:sz w:val="28"/>
          <w:szCs w:val="28"/>
          <w:lang w:val="en-US"/>
        </w:rPr>
        <w:t>Collaboration and personal contribution</w:t>
      </w:r>
    </w:p>
    <w:p w:rsidR="00FC4846" w:rsidRPr="00FC4846" w:rsidRDefault="00FC4846" w:rsidP="00FC4846">
      <w:pPr>
        <w:numPr>
          <w:ilvl w:val="0"/>
          <w:numId w:val="13"/>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With Kristiona, I co-authored a one-page pre-shift briefing template covering covers, specials, 86s, allergen hot-spots, and sales focus (Cousins, 2020).</w:t>
      </w:r>
    </w:p>
    <w:p w:rsidR="00FC4846" w:rsidRPr="00FC4846" w:rsidRDefault="00FC4846" w:rsidP="00FC4846">
      <w:pPr>
        <w:numPr>
          <w:ilvl w:val="0"/>
          <w:numId w:val="13"/>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With Andrea, I implemented a colour-coded tray return system and a WhatsApp handover for stewarding to ensure consistent allergen compliance (Motarjemi &amp; Lelieveld, 2014).</w:t>
      </w:r>
    </w:p>
    <w:p w:rsidR="00FC4846" w:rsidRPr="00FC4846" w:rsidRDefault="00FC4846" w:rsidP="00FC4846">
      <w:pPr>
        <w:numPr>
          <w:ilvl w:val="0"/>
          <w:numId w:val="13"/>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With David Hotchkiss, I completed mid- and end-placement learning reviews using Hagg’s (2013) goal-review framework and Anon’s (2010) placement good-practice prompts.</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Default="00FC4846" w:rsidP="00FC4846">
      <w:pPr>
        <w:spacing w:before="100" w:beforeAutospacing="1" w:after="100" w:afterAutospacing="1" w:line="360" w:lineRule="auto"/>
        <w:rPr>
          <w:rFonts w:ascii="Times New Roman" w:eastAsia="Times New Roman" w:hAnsi="Times New Roman" w:cs="Times New Roman"/>
          <w:bCs/>
          <w:sz w:val="28"/>
          <w:szCs w:val="28"/>
          <w:lang w:val="en-US"/>
        </w:rPr>
      </w:pPr>
    </w:p>
    <w:p w:rsidR="00FC4846" w:rsidRDefault="00FC4846" w:rsidP="00FC4846">
      <w:pPr>
        <w:spacing w:before="100" w:beforeAutospacing="1" w:after="100" w:afterAutospacing="1" w:line="360" w:lineRule="auto"/>
        <w:rPr>
          <w:rFonts w:ascii="Times New Roman" w:eastAsia="Times New Roman" w:hAnsi="Times New Roman" w:cs="Times New Roman"/>
          <w:bCs/>
          <w:sz w:val="28"/>
          <w:szCs w:val="28"/>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28"/>
          <w:szCs w:val="28"/>
          <w:lang w:val="en-US"/>
        </w:rPr>
        <w:lastRenderedPageBreak/>
        <w:t>Critical comparison: Level 4 vs Level 6 perspective</w:t>
      </w:r>
      <w:r w:rsidRPr="00FC4846">
        <w:rPr>
          <w:rFonts w:ascii="Times New Roman" w:eastAsia="Times New Roman" w:hAnsi="Times New Roman" w:cs="Times New Roman"/>
          <w:sz w:val="24"/>
          <w:szCs w:val="24"/>
          <w:lang w:val="en-US"/>
        </w:rPr>
        <w:br/>
        <w:t>At Level 4, F&amp;B service was viewed primarily as a choreography of individual skills and standards, such as plate carrying, sequence discipline, and allergen awareness (Cousins, 2020; Motarjemi &amp; Lelieveld, 2014). Level 6 placement shifted my perspective, revealing F&amp;B as a system influenced by demand variability, cross-departmental dependencies, and spatial layout (Johnston, 2012; Bitner, 1992). I developed a greater awareness of operational interfaces, such as host–kitchen, bar–restaurant, and housekeeping–stewarding, and appreciated the impact of briefings, visual controls, and micro-learning on overall performance and guest perception (Johnston, Clark &amp; Shulver, 2012).</w:t>
      </w:r>
    </w:p>
    <w:p w:rsidR="00FC4846" w:rsidRPr="00FC4846" w:rsidRDefault="00FC4846" w:rsidP="00FC4846">
      <w:pPr>
        <w:spacing w:after="0" w:line="360" w:lineRule="auto"/>
        <w:rPr>
          <w:rFonts w:ascii="Times New Roman" w:eastAsia="Times New Roman" w:hAnsi="Times New Roman" w:cs="Times New Roman"/>
          <w:sz w:val="24"/>
          <w:szCs w:val="24"/>
          <w:lang w:val="en-US"/>
        </w:rPr>
      </w:pP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bCs/>
          <w:sz w:val="32"/>
          <w:szCs w:val="32"/>
          <w:lang w:val="en-US"/>
        </w:rPr>
        <w:t>Conclusion</w:t>
      </w:r>
      <w:r w:rsidRPr="00FC4846">
        <w:rPr>
          <w:rFonts w:ascii="Times New Roman" w:eastAsia="Times New Roman" w:hAnsi="Times New Roman" w:cs="Times New Roman"/>
          <w:sz w:val="32"/>
          <w:szCs w:val="32"/>
          <w:lang w:val="en-US"/>
        </w:rPr>
        <w:br/>
      </w:r>
      <w:r w:rsidRPr="00FC4846">
        <w:rPr>
          <w:rFonts w:ascii="Times New Roman" w:eastAsia="Times New Roman" w:hAnsi="Times New Roman" w:cs="Times New Roman"/>
          <w:sz w:val="24"/>
          <w:szCs w:val="24"/>
          <w:lang w:val="en-US"/>
        </w:rPr>
        <w:t>The placement enabled me to shadow supervisory tasks, analyse management performance, and consolidate technical and behavioural standards in alignment with Level 6 outcomes. Key developments included:</w:t>
      </w:r>
    </w:p>
    <w:p w:rsidR="00FC4846" w:rsidRPr="00FC4846" w:rsidRDefault="00FC4846" w:rsidP="00FC4846">
      <w:pPr>
        <w:numPr>
          <w:ilvl w:val="0"/>
          <w:numId w:val="14"/>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Adopting a systems perspective to manage flow and capacity effectively (Johnston, 2012).</w:t>
      </w:r>
    </w:p>
    <w:p w:rsidR="00FC4846" w:rsidRPr="00FC4846" w:rsidRDefault="00FC4846" w:rsidP="00FC4846">
      <w:pPr>
        <w:numPr>
          <w:ilvl w:val="0"/>
          <w:numId w:val="14"/>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Strengthening allergen assurance through micro-drills, scripts, and standardised verification processes (Motarjemi &amp; Lelieveld, 2014; Zutshi, 2019).</w:t>
      </w:r>
    </w:p>
    <w:p w:rsidR="00FC4846" w:rsidRPr="00FC4846" w:rsidRDefault="00FC4846" w:rsidP="00FC4846">
      <w:pPr>
        <w:numPr>
          <w:ilvl w:val="0"/>
          <w:numId w:val="14"/>
        </w:num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Standardising team cognition using high-leverage tools such as pre-shift templates, visual blueprints, and checklists (Cousins, 2020; Rutherford &amp; O’Fallon, 2007).</w:t>
      </w:r>
    </w:p>
    <w:p w:rsidR="00FC4846" w:rsidRPr="00FC4846" w:rsidRDefault="00FC4846" w:rsidP="00FC4846">
      <w:pPr>
        <w:spacing w:before="100" w:beforeAutospacing="1" w:after="100" w:afterAutospacing="1" w:line="360" w:lineRule="auto"/>
        <w:rPr>
          <w:rFonts w:ascii="Times New Roman" w:eastAsia="Times New Roman" w:hAnsi="Times New Roman" w:cs="Times New Roman"/>
          <w:sz w:val="24"/>
          <w:szCs w:val="24"/>
          <w:lang w:val="en-US"/>
        </w:rPr>
      </w:pPr>
      <w:r w:rsidRPr="00FC4846">
        <w:rPr>
          <w:rFonts w:ascii="Times New Roman" w:eastAsia="Times New Roman" w:hAnsi="Times New Roman" w:cs="Times New Roman"/>
          <w:sz w:val="24"/>
          <w:szCs w:val="24"/>
          <w:lang w:val="en-US"/>
        </w:rPr>
        <w:t>Recommendations: continue 10-minute menu-confidence huddles, maintain the red-tag allergen returns shelf with supervisor clearance, and sustain daily prep-waste tracking with weekly feedback. These actions are low-cost, practical, and strongly supported by literature on service operations, food safety, and hospitality management (Walker, 2021).</w:t>
      </w:r>
    </w:p>
    <w:p w:rsid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p>
    <w:p w:rsidR="00B92F4F" w:rsidRDefault="00B92F4F" w:rsidP="00B92F4F">
      <w:pPr>
        <w:spacing w:before="100" w:beforeAutospacing="1" w:after="100" w:afterAutospacing="1" w:line="360" w:lineRule="auto"/>
        <w:rPr>
          <w:rFonts w:ascii="Times New Roman" w:eastAsia="Times New Roman" w:hAnsi="Times New Roman" w:cs="Times New Roman"/>
          <w:bCs/>
          <w:sz w:val="32"/>
          <w:szCs w:val="32"/>
          <w:lang w:val="en-US"/>
        </w:rPr>
      </w:pPr>
    </w:p>
    <w:p w:rsidR="00FC4846" w:rsidRDefault="00FC4846" w:rsidP="00B92F4F">
      <w:pPr>
        <w:spacing w:before="100" w:beforeAutospacing="1" w:after="100" w:afterAutospacing="1" w:line="360" w:lineRule="auto"/>
        <w:rPr>
          <w:rFonts w:ascii="Times New Roman" w:eastAsia="Times New Roman" w:hAnsi="Times New Roman" w:cs="Times New Roman"/>
          <w:bCs/>
          <w:sz w:val="32"/>
          <w:szCs w:val="32"/>
          <w:lang w:val="en-US"/>
        </w:rPr>
      </w:pP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bCs/>
          <w:sz w:val="32"/>
          <w:szCs w:val="32"/>
          <w:lang w:val="en-US"/>
        </w:rPr>
        <w:lastRenderedPageBreak/>
        <w:t>References</w:t>
      </w:r>
      <w:r w:rsidRPr="00B92F4F">
        <w:rPr>
          <w:rFonts w:ascii="Times New Roman" w:eastAsia="Times New Roman" w:hAnsi="Times New Roman" w:cs="Times New Roman"/>
          <w:sz w:val="32"/>
          <w:szCs w:val="32"/>
          <w:lang w:val="en-US"/>
        </w:rPr>
        <w:br/>
      </w:r>
      <w:r w:rsidRPr="00B92F4F">
        <w:rPr>
          <w:rFonts w:ascii="Times New Roman" w:eastAsia="Times New Roman" w:hAnsi="Times New Roman" w:cs="Times New Roman"/>
          <w:sz w:val="24"/>
          <w:szCs w:val="24"/>
          <w:lang w:val="en-US"/>
        </w:rPr>
        <w:t xml:space="preserve">Anon. (2010). </w:t>
      </w:r>
      <w:r w:rsidRPr="00B92F4F">
        <w:rPr>
          <w:rFonts w:ascii="Times New Roman" w:eastAsia="Times New Roman" w:hAnsi="Times New Roman" w:cs="Times New Roman"/>
          <w:i/>
          <w:iCs/>
          <w:sz w:val="24"/>
          <w:szCs w:val="24"/>
          <w:lang w:val="en-US"/>
        </w:rPr>
        <w:t>A good practice guide for placement and other work-based learning opportunities in higher education – Good Practice for Placements Guides – Volume 2</w:t>
      </w:r>
      <w:r w:rsidRPr="00B92F4F">
        <w:rPr>
          <w:rFonts w:ascii="Times New Roman" w:eastAsia="Times New Roman" w:hAnsi="Times New Roman" w:cs="Times New Roman"/>
          <w:sz w:val="24"/>
          <w:szCs w:val="24"/>
          <w:lang w:val="en-US"/>
        </w:rPr>
        <w:t xml:space="preserve"> (52(4)). doi:10.1108/et.2010.00452dab.013</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Bitner, M. J. (1992). Servicescapes: The impact of physical surroundings on customers and employees. </w:t>
      </w:r>
      <w:r w:rsidRPr="00B92F4F">
        <w:rPr>
          <w:rFonts w:ascii="Times New Roman" w:eastAsia="Times New Roman" w:hAnsi="Times New Roman" w:cs="Times New Roman"/>
          <w:i/>
          <w:iCs/>
          <w:sz w:val="24"/>
          <w:szCs w:val="24"/>
          <w:lang w:val="en-US"/>
        </w:rPr>
        <w:t>Journal of Marketing, 56</w:t>
      </w:r>
      <w:r w:rsidRPr="00B92F4F">
        <w:rPr>
          <w:rFonts w:ascii="Times New Roman" w:eastAsia="Times New Roman" w:hAnsi="Times New Roman" w:cs="Times New Roman"/>
          <w:sz w:val="24"/>
          <w:szCs w:val="24"/>
          <w:lang w:val="en-US"/>
        </w:rPr>
        <w:t>(2), 57–71.</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Cousins, J. (2020). </w:t>
      </w:r>
      <w:r w:rsidRPr="00B92F4F">
        <w:rPr>
          <w:rFonts w:ascii="Times New Roman" w:eastAsia="Times New Roman" w:hAnsi="Times New Roman" w:cs="Times New Roman"/>
          <w:i/>
          <w:iCs/>
          <w:sz w:val="24"/>
          <w:szCs w:val="24"/>
          <w:lang w:val="en-US"/>
        </w:rPr>
        <w:t>Food and beverage service</w:t>
      </w:r>
      <w:r w:rsidRPr="00B92F4F">
        <w:rPr>
          <w:rFonts w:ascii="Times New Roman" w:eastAsia="Times New Roman" w:hAnsi="Times New Roman" w:cs="Times New Roman"/>
          <w:sz w:val="24"/>
          <w:szCs w:val="24"/>
          <w:lang w:val="en-US"/>
        </w:rPr>
        <w:t xml:space="preserve"> (9th ed.). London: Hodder Education Group.</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Davis, B., Lockwood, A., Pantelidis, I. S., &amp; Alcott, P. (2018). </w:t>
      </w:r>
      <w:r w:rsidRPr="00B92F4F">
        <w:rPr>
          <w:rFonts w:ascii="Times New Roman" w:eastAsia="Times New Roman" w:hAnsi="Times New Roman" w:cs="Times New Roman"/>
          <w:i/>
          <w:iCs/>
          <w:sz w:val="24"/>
          <w:szCs w:val="24"/>
          <w:lang w:val="en-US"/>
        </w:rPr>
        <w:t>Food and beverage management</w:t>
      </w:r>
      <w:r w:rsidRPr="00B92F4F">
        <w:rPr>
          <w:rFonts w:ascii="Times New Roman" w:eastAsia="Times New Roman" w:hAnsi="Times New Roman" w:cs="Times New Roman"/>
          <w:sz w:val="24"/>
          <w:szCs w:val="24"/>
          <w:lang w:val="en-US"/>
        </w:rPr>
        <w:t>. London: Routledge.</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Hagg, E. (2013). </w:t>
      </w:r>
      <w:r w:rsidRPr="00B92F4F">
        <w:rPr>
          <w:rFonts w:ascii="Times New Roman" w:eastAsia="Times New Roman" w:hAnsi="Times New Roman" w:cs="Times New Roman"/>
          <w:i/>
          <w:iCs/>
          <w:sz w:val="24"/>
          <w:szCs w:val="24"/>
          <w:lang w:val="en-US"/>
        </w:rPr>
        <w:t>Internship guide: Work placements step by step</w:t>
      </w:r>
      <w:r w:rsidRPr="00B92F4F">
        <w:rPr>
          <w:rFonts w:ascii="Times New Roman" w:eastAsia="Times New Roman" w:hAnsi="Times New Roman" w:cs="Times New Roman"/>
          <w:sz w:val="24"/>
          <w:szCs w:val="24"/>
          <w:lang w:val="en-US"/>
        </w:rPr>
        <w:t xml:space="preserve"> (5th ed.). The Hague: Eleven International Publishing.</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Johnston, R. (2012). </w:t>
      </w:r>
      <w:r w:rsidRPr="00B92F4F">
        <w:rPr>
          <w:rFonts w:ascii="Times New Roman" w:eastAsia="Times New Roman" w:hAnsi="Times New Roman" w:cs="Times New Roman"/>
          <w:i/>
          <w:iCs/>
          <w:sz w:val="24"/>
          <w:szCs w:val="24"/>
          <w:lang w:val="en-US"/>
        </w:rPr>
        <w:t>Service operations management: Improving service delivery</w:t>
      </w:r>
      <w:r w:rsidRPr="00B92F4F">
        <w:rPr>
          <w:rFonts w:ascii="Times New Roman" w:eastAsia="Times New Roman" w:hAnsi="Times New Roman" w:cs="Times New Roman"/>
          <w:sz w:val="24"/>
          <w:szCs w:val="24"/>
          <w:lang w:val="en-US"/>
        </w:rPr>
        <w:t xml:space="preserve"> (4th ed.). Harlow: Pearson.</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Johnston, R., Clark, G., &amp; Shulver, M. (2012). </w:t>
      </w:r>
      <w:r w:rsidRPr="00B92F4F">
        <w:rPr>
          <w:rFonts w:ascii="Times New Roman" w:eastAsia="Times New Roman" w:hAnsi="Times New Roman" w:cs="Times New Roman"/>
          <w:i/>
          <w:iCs/>
          <w:sz w:val="24"/>
          <w:szCs w:val="24"/>
          <w:lang w:val="en-US"/>
        </w:rPr>
        <w:t>Service operations management: Improving service delivery</w:t>
      </w:r>
      <w:r w:rsidRPr="00B92F4F">
        <w:rPr>
          <w:rFonts w:ascii="Times New Roman" w:eastAsia="Times New Roman" w:hAnsi="Times New Roman" w:cs="Times New Roman"/>
          <w:sz w:val="24"/>
          <w:szCs w:val="24"/>
          <w:lang w:val="en-US"/>
        </w:rPr>
        <w:t xml:space="preserve"> (5th ed.). London: Pearson.</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Motarjemi, Y., &amp; Lelieveld, H. (2014). </w:t>
      </w:r>
      <w:r w:rsidRPr="00B92F4F">
        <w:rPr>
          <w:rFonts w:ascii="Times New Roman" w:eastAsia="Times New Roman" w:hAnsi="Times New Roman" w:cs="Times New Roman"/>
          <w:i/>
          <w:iCs/>
          <w:sz w:val="24"/>
          <w:szCs w:val="24"/>
          <w:lang w:val="en-US"/>
        </w:rPr>
        <w:t>Food safety management: A practical guide for the food industry</w:t>
      </w:r>
      <w:r w:rsidRPr="00B92F4F">
        <w:rPr>
          <w:rFonts w:ascii="Times New Roman" w:eastAsia="Times New Roman" w:hAnsi="Times New Roman" w:cs="Times New Roman"/>
          <w:sz w:val="24"/>
          <w:szCs w:val="24"/>
          <w:lang w:val="en-US"/>
        </w:rPr>
        <w:t>. Amsterdam: Academic Press.</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Parasuraman, A., Zeithaml, V. A., &amp; Berry, L. L. (1988). SERVQUAL: A multiple-item scale for measuring consumer perceptions of service quality. </w:t>
      </w:r>
      <w:r w:rsidRPr="00B92F4F">
        <w:rPr>
          <w:rFonts w:ascii="Times New Roman" w:eastAsia="Times New Roman" w:hAnsi="Times New Roman" w:cs="Times New Roman"/>
          <w:i/>
          <w:iCs/>
          <w:sz w:val="24"/>
          <w:szCs w:val="24"/>
          <w:lang w:val="en-US"/>
        </w:rPr>
        <w:t>Journal of Retailing, 64</w:t>
      </w:r>
      <w:r w:rsidRPr="00B92F4F">
        <w:rPr>
          <w:rFonts w:ascii="Times New Roman" w:eastAsia="Times New Roman" w:hAnsi="Times New Roman" w:cs="Times New Roman"/>
          <w:sz w:val="24"/>
          <w:szCs w:val="24"/>
          <w:lang w:val="en-US"/>
        </w:rPr>
        <w:t>(1), 12–40.</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Rutherford, D. G., &amp; O’Fallon, M. J. (Eds.). (2007). </w:t>
      </w:r>
      <w:r w:rsidRPr="00B92F4F">
        <w:rPr>
          <w:rFonts w:ascii="Times New Roman" w:eastAsia="Times New Roman" w:hAnsi="Times New Roman" w:cs="Times New Roman"/>
          <w:i/>
          <w:iCs/>
          <w:sz w:val="24"/>
          <w:szCs w:val="24"/>
          <w:lang w:val="en-US"/>
        </w:rPr>
        <w:t>Hotel management and operations</w:t>
      </w:r>
      <w:r w:rsidRPr="00B92F4F">
        <w:rPr>
          <w:rFonts w:ascii="Times New Roman" w:eastAsia="Times New Roman" w:hAnsi="Times New Roman" w:cs="Times New Roman"/>
          <w:sz w:val="24"/>
          <w:szCs w:val="24"/>
          <w:lang w:val="en-US"/>
        </w:rPr>
        <w:t xml:space="preserve"> (4th ed.). Hoboken, NJ: John Wiley.</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t xml:space="preserve">Walker, J. R. (2021). </w:t>
      </w:r>
      <w:r w:rsidRPr="00B92F4F">
        <w:rPr>
          <w:rFonts w:ascii="Times New Roman" w:eastAsia="Times New Roman" w:hAnsi="Times New Roman" w:cs="Times New Roman"/>
          <w:i/>
          <w:iCs/>
          <w:sz w:val="24"/>
          <w:szCs w:val="24"/>
          <w:lang w:val="en-US"/>
        </w:rPr>
        <w:t>Introduction to hospitality</w:t>
      </w:r>
      <w:r w:rsidRPr="00B92F4F">
        <w:rPr>
          <w:rFonts w:ascii="Times New Roman" w:eastAsia="Times New Roman" w:hAnsi="Times New Roman" w:cs="Times New Roman"/>
          <w:sz w:val="24"/>
          <w:szCs w:val="24"/>
          <w:lang w:val="en-US"/>
        </w:rPr>
        <w:t xml:space="preserve"> (8th ed.). Harlow: Pearson Education Limited.</w:t>
      </w: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sz w:val="24"/>
          <w:szCs w:val="24"/>
          <w:lang w:val="en-US"/>
        </w:rPr>
        <w:lastRenderedPageBreak/>
        <w:t xml:space="preserve">Zutshi, A. (2019). How to develop well-informed and assured teams to embed food safety compliance in the UK catering and hospitality industry. </w:t>
      </w:r>
      <w:r w:rsidRPr="00B92F4F">
        <w:rPr>
          <w:rFonts w:ascii="Times New Roman" w:eastAsia="Times New Roman" w:hAnsi="Times New Roman" w:cs="Times New Roman"/>
          <w:i/>
          <w:iCs/>
          <w:sz w:val="24"/>
          <w:szCs w:val="24"/>
          <w:lang w:val="en-US"/>
        </w:rPr>
        <w:t>Perspectives in Public Health, 139</w:t>
      </w:r>
      <w:r w:rsidRPr="00B92F4F">
        <w:rPr>
          <w:rFonts w:ascii="Times New Roman" w:eastAsia="Times New Roman" w:hAnsi="Times New Roman" w:cs="Times New Roman"/>
          <w:sz w:val="24"/>
          <w:szCs w:val="24"/>
          <w:lang w:val="en-US"/>
        </w:rPr>
        <w:t>(6), 294–295.</w:t>
      </w:r>
    </w:p>
    <w:p w:rsidR="006C0C09" w:rsidRDefault="006C0C09">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B92F4F" w:rsidRDefault="00B92F4F">
      <w:pPr>
        <w:spacing w:before="100" w:beforeAutospacing="1" w:after="100" w:afterAutospacing="1" w:line="360" w:lineRule="auto"/>
        <w:outlineLvl w:val="2"/>
        <w:rPr>
          <w:rFonts w:ascii="Times New Roman" w:eastAsia="Times New Roman" w:hAnsi="Times New Roman" w:cs="Times New Roman"/>
          <w:bCs/>
          <w:sz w:val="27"/>
          <w:szCs w:val="27"/>
          <w:lang w:val="en-US"/>
        </w:rPr>
      </w:pPr>
    </w:p>
    <w:p w:rsidR="00FC4846" w:rsidRDefault="00FC4846" w:rsidP="00B92F4F">
      <w:pPr>
        <w:spacing w:before="100" w:beforeAutospacing="1" w:after="100" w:afterAutospacing="1" w:line="360" w:lineRule="auto"/>
        <w:rPr>
          <w:rFonts w:ascii="Times New Roman" w:eastAsia="Times New Roman" w:hAnsi="Times New Roman" w:cs="Times New Roman"/>
          <w:b/>
          <w:bCs/>
          <w:sz w:val="32"/>
          <w:szCs w:val="32"/>
          <w:lang w:val="en-US"/>
        </w:rPr>
      </w:pPr>
    </w:p>
    <w:p w:rsidR="00FC4846" w:rsidRDefault="00FC4846" w:rsidP="00B92F4F">
      <w:pPr>
        <w:spacing w:before="100" w:beforeAutospacing="1" w:after="100" w:afterAutospacing="1" w:line="360" w:lineRule="auto"/>
        <w:rPr>
          <w:rFonts w:ascii="Times New Roman" w:eastAsia="Times New Roman" w:hAnsi="Times New Roman" w:cs="Times New Roman"/>
          <w:b/>
          <w:bCs/>
          <w:sz w:val="32"/>
          <w:szCs w:val="32"/>
          <w:lang w:val="en-US"/>
        </w:rPr>
      </w:pPr>
    </w:p>
    <w:p w:rsidR="00B92F4F" w:rsidRPr="00B92F4F" w:rsidRDefault="00B92F4F" w:rsidP="00B92F4F">
      <w:pPr>
        <w:spacing w:before="100" w:beforeAutospacing="1" w:after="100" w:afterAutospacing="1" w:line="360" w:lineRule="auto"/>
        <w:rPr>
          <w:rFonts w:ascii="Times New Roman" w:eastAsia="Times New Roman" w:hAnsi="Times New Roman" w:cs="Times New Roman"/>
          <w:sz w:val="32"/>
          <w:szCs w:val="32"/>
          <w:lang w:val="en-US"/>
        </w:rPr>
      </w:pPr>
      <w:r w:rsidRPr="00B92F4F">
        <w:rPr>
          <w:rFonts w:ascii="Times New Roman" w:eastAsia="Times New Roman" w:hAnsi="Times New Roman" w:cs="Times New Roman"/>
          <w:b/>
          <w:bCs/>
          <w:sz w:val="32"/>
          <w:szCs w:val="32"/>
          <w:lang w:val="en-US"/>
        </w:rPr>
        <w:t>Appendix — Learning objectives and evaluation</w:t>
      </w:r>
    </w:p>
    <w:p w:rsidR="00B92F4F" w:rsidRPr="00B92F4F" w:rsidRDefault="00B92F4F" w:rsidP="00B92F4F">
      <w:pPr>
        <w:numPr>
          <w:ilvl w:val="0"/>
          <w:numId w:val="10"/>
        </w:num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b/>
          <w:bCs/>
          <w:sz w:val="24"/>
          <w:szCs w:val="24"/>
          <w:lang w:val="en-US"/>
        </w:rPr>
        <w:t>Lead pre-shift briefings independently by Week 6</w:t>
      </w:r>
      <w:r w:rsidRPr="00B92F4F">
        <w:rPr>
          <w:rFonts w:ascii="Times New Roman" w:eastAsia="Times New Roman" w:hAnsi="Times New Roman" w:cs="Times New Roman"/>
          <w:sz w:val="24"/>
          <w:szCs w:val="24"/>
          <w:lang w:val="en-US"/>
        </w:rPr>
        <w:t>: Achieved. Four briefings conducted, timed 4–5 minutes, staff engagement ≥80% eye contact (Hagg, 2013; Anon, 2010).</w:t>
      </w:r>
    </w:p>
    <w:p w:rsidR="00B92F4F" w:rsidRPr="00B92F4F" w:rsidRDefault="00B92F4F" w:rsidP="00B92F4F">
      <w:pPr>
        <w:numPr>
          <w:ilvl w:val="0"/>
          <w:numId w:val="10"/>
        </w:num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b/>
          <w:bCs/>
          <w:sz w:val="24"/>
          <w:szCs w:val="24"/>
          <w:lang w:val="en-US"/>
        </w:rPr>
        <w:t>Strengthen allergen assurance (weekly drill, zero unverified answers)</w:t>
      </w:r>
      <w:r w:rsidRPr="00B92F4F">
        <w:rPr>
          <w:rFonts w:ascii="Times New Roman" w:eastAsia="Times New Roman" w:hAnsi="Times New Roman" w:cs="Times New Roman"/>
          <w:sz w:val="24"/>
          <w:szCs w:val="24"/>
          <w:lang w:val="en-US"/>
        </w:rPr>
        <w:t>: Partly achieved. No unverified answers after Week 5; minor hesitations resolved via scripts and drills (Motarjemi &amp; Lelieveld, 2014; Zutshi, 2019).</w:t>
      </w:r>
    </w:p>
    <w:p w:rsidR="00B92F4F" w:rsidRPr="00B92F4F" w:rsidRDefault="00B92F4F" w:rsidP="00B92F4F">
      <w:pPr>
        <w:numPr>
          <w:ilvl w:val="0"/>
          <w:numId w:val="10"/>
        </w:numPr>
        <w:spacing w:before="100" w:beforeAutospacing="1" w:after="100" w:afterAutospacing="1" w:line="360" w:lineRule="auto"/>
        <w:rPr>
          <w:rFonts w:ascii="Times New Roman" w:eastAsia="Times New Roman" w:hAnsi="Times New Roman" w:cs="Times New Roman"/>
          <w:sz w:val="24"/>
          <w:szCs w:val="24"/>
          <w:lang w:val="en-US"/>
        </w:rPr>
      </w:pPr>
      <w:r w:rsidRPr="00B92F4F">
        <w:rPr>
          <w:rFonts w:ascii="Times New Roman" w:eastAsia="Times New Roman" w:hAnsi="Times New Roman" w:cs="Times New Roman"/>
          <w:b/>
          <w:bCs/>
          <w:sz w:val="24"/>
          <w:szCs w:val="24"/>
          <w:lang w:val="en-US"/>
        </w:rPr>
        <w:t>Improve Friday peak throughput (~3 minutes reduction per main course without extra server)</w:t>
      </w:r>
      <w:r w:rsidRPr="00B92F4F">
        <w:rPr>
          <w:rFonts w:ascii="Times New Roman" w:eastAsia="Times New Roman" w:hAnsi="Times New Roman" w:cs="Times New Roman"/>
          <w:sz w:val="24"/>
          <w:szCs w:val="24"/>
          <w:lang w:val="en-US"/>
        </w:rPr>
        <w:t>: Achieved. Resequencing orders and adding a 45-minute runner reduced mains ticket time by 2–4 minutes (Johnston, 2012; Davis et al., 2018).</w:t>
      </w:r>
    </w:p>
    <w:p w:rsidR="00B92F4F" w:rsidRDefault="00B92F4F">
      <w:pPr>
        <w:spacing w:before="100" w:beforeAutospacing="1" w:after="100" w:afterAutospacing="1" w:line="360" w:lineRule="auto"/>
        <w:outlineLvl w:val="2"/>
        <w:rPr>
          <w:rFonts w:ascii="Times New Roman" w:eastAsia="Times New Roman" w:hAnsi="Times New Roman" w:cs="Times New Roman"/>
          <w:bCs/>
          <w:sz w:val="27"/>
          <w:szCs w:val="27"/>
          <w:lang w:val="en-US"/>
        </w:rPr>
      </w:pPr>
    </w:p>
    <w:sectPr w:rsidR="00B92F4F" w:rsidSect="007A2B3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20A8" w:rsidRDefault="001520A8">
      <w:pPr>
        <w:spacing w:line="240" w:lineRule="auto"/>
      </w:pPr>
      <w:r>
        <w:separator/>
      </w:r>
    </w:p>
  </w:endnote>
  <w:endnote w:type="continuationSeparator" w:id="1">
    <w:p w:rsidR="001520A8" w:rsidRDefault="001520A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20A8" w:rsidRDefault="001520A8">
      <w:pPr>
        <w:spacing w:after="0"/>
      </w:pPr>
      <w:r>
        <w:separator/>
      </w:r>
    </w:p>
  </w:footnote>
  <w:footnote w:type="continuationSeparator" w:id="1">
    <w:p w:rsidR="001520A8" w:rsidRDefault="001520A8">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24615C"/>
    <w:multiLevelType w:val="multilevel"/>
    <w:tmpl w:val="8286D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D1C6C69"/>
    <w:multiLevelType w:val="multilevel"/>
    <w:tmpl w:val="A3EE8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D61566"/>
    <w:multiLevelType w:val="multilevel"/>
    <w:tmpl w:val="22D6156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nsid w:val="274A7570"/>
    <w:multiLevelType w:val="multilevel"/>
    <w:tmpl w:val="274A757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nsid w:val="2B482767"/>
    <w:multiLevelType w:val="multilevel"/>
    <w:tmpl w:val="9540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E872050"/>
    <w:multiLevelType w:val="multilevel"/>
    <w:tmpl w:val="A8925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20D5967"/>
    <w:multiLevelType w:val="multilevel"/>
    <w:tmpl w:val="17FC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BC950DE"/>
    <w:multiLevelType w:val="multilevel"/>
    <w:tmpl w:val="23222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11F61F2"/>
    <w:multiLevelType w:val="multilevel"/>
    <w:tmpl w:val="511F61F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nsid w:val="58015960"/>
    <w:multiLevelType w:val="multilevel"/>
    <w:tmpl w:val="58015960"/>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0">
    <w:nsid w:val="62F80933"/>
    <w:multiLevelType w:val="multilevel"/>
    <w:tmpl w:val="51F6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CD27B31"/>
    <w:multiLevelType w:val="multilevel"/>
    <w:tmpl w:val="BAAC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0FE1503"/>
    <w:multiLevelType w:val="multilevel"/>
    <w:tmpl w:val="70FE1503"/>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3">
    <w:nsid w:val="7882742B"/>
    <w:multiLevelType w:val="multilevel"/>
    <w:tmpl w:val="C3F2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2"/>
  </w:num>
  <w:num w:numId="3">
    <w:abstractNumId w:val="3"/>
  </w:num>
  <w:num w:numId="4">
    <w:abstractNumId w:val="2"/>
  </w:num>
  <w:num w:numId="5">
    <w:abstractNumId w:val="9"/>
  </w:num>
  <w:num w:numId="6">
    <w:abstractNumId w:val="11"/>
  </w:num>
  <w:num w:numId="7">
    <w:abstractNumId w:val="13"/>
  </w:num>
  <w:num w:numId="8">
    <w:abstractNumId w:val="1"/>
  </w:num>
  <w:num w:numId="9">
    <w:abstractNumId w:val="7"/>
  </w:num>
  <w:num w:numId="10">
    <w:abstractNumId w:val="5"/>
  </w:num>
  <w:num w:numId="11">
    <w:abstractNumId w:val="6"/>
  </w:num>
  <w:num w:numId="12">
    <w:abstractNumId w:val="10"/>
  </w:num>
  <w:num w:numId="13">
    <w:abstractNumId w:val="4"/>
  </w:num>
  <w:num w:numId="1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F14DB"/>
    <w:rsid w:val="001520A8"/>
    <w:rsid w:val="001C5BFF"/>
    <w:rsid w:val="001E6E2F"/>
    <w:rsid w:val="00222957"/>
    <w:rsid w:val="002725C5"/>
    <w:rsid w:val="002C2272"/>
    <w:rsid w:val="00386554"/>
    <w:rsid w:val="003D6237"/>
    <w:rsid w:val="004F14DB"/>
    <w:rsid w:val="005C7BAD"/>
    <w:rsid w:val="006C0C09"/>
    <w:rsid w:val="007359B3"/>
    <w:rsid w:val="007A2B37"/>
    <w:rsid w:val="008E0AA2"/>
    <w:rsid w:val="00955940"/>
    <w:rsid w:val="00974114"/>
    <w:rsid w:val="00B85056"/>
    <w:rsid w:val="00B92F4F"/>
    <w:rsid w:val="00DC4C2F"/>
    <w:rsid w:val="00E75AAE"/>
    <w:rsid w:val="00ED5B54"/>
    <w:rsid w:val="00F424B7"/>
    <w:rsid w:val="00FC4846"/>
    <w:rsid w:val="0D8A4873"/>
    <w:rsid w:val="348641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GB" w:bidi="bn-BD"/>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Normal (Web)"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2B37"/>
    <w:pPr>
      <w:spacing w:after="160" w:line="259" w:lineRule="auto"/>
    </w:pPr>
    <w:rPr>
      <w:sz w:val="22"/>
      <w:szCs w:val="22"/>
      <w:lang w:eastAsia="en-US" w:bidi="ar-SA"/>
    </w:rPr>
  </w:style>
  <w:style w:type="paragraph" w:styleId="Heading3">
    <w:name w:val="heading 3"/>
    <w:basedOn w:val="Normal"/>
    <w:link w:val="Heading3Char"/>
    <w:uiPriority w:val="9"/>
    <w:qFormat/>
    <w:rsid w:val="007A2B3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link w:val="Heading4Char"/>
    <w:uiPriority w:val="9"/>
    <w:qFormat/>
    <w:rsid w:val="007A2B37"/>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A2B37"/>
    <w:rPr>
      <w:i/>
      <w:iCs/>
    </w:rPr>
  </w:style>
  <w:style w:type="paragraph" w:styleId="NormalWeb">
    <w:name w:val="Normal (Web)"/>
    <w:basedOn w:val="Normal"/>
    <w:uiPriority w:val="99"/>
    <w:semiHidden/>
    <w:unhideWhenUsed/>
    <w:qFormat/>
    <w:rsid w:val="007A2B3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7A2B37"/>
    <w:rPr>
      <w:b/>
      <w:bCs/>
    </w:rPr>
  </w:style>
  <w:style w:type="paragraph" w:styleId="Title">
    <w:name w:val="Title"/>
    <w:basedOn w:val="Normal"/>
    <w:next w:val="Normal"/>
    <w:link w:val="TitleChar"/>
    <w:uiPriority w:val="99"/>
    <w:qFormat/>
    <w:rsid w:val="007A2B37"/>
    <w:pPr>
      <w:keepNext/>
      <w:keepLines/>
      <w:widowControl w:val="0"/>
      <w:spacing w:before="200" w:after="100" w:afterAutospacing="1" w:line="360" w:lineRule="auto"/>
      <w:jc w:val="center"/>
    </w:pPr>
    <w:rPr>
      <w:rFonts w:ascii="Arial" w:eastAsia="Times New Roman" w:hAnsi="Arial" w:cs="Arial"/>
      <w:b/>
      <w:sz w:val="36"/>
      <w:szCs w:val="36"/>
      <w:lang w:val="en-US"/>
    </w:rPr>
  </w:style>
  <w:style w:type="character" w:customStyle="1" w:styleId="Heading3Char">
    <w:name w:val="Heading 3 Char"/>
    <w:basedOn w:val="DefaultParagraphFont"/>
    <w:link w:val="Heading3"/>
    <w:uiPriority w:val="9"/>
    <w:qFormat/>
    <w:rsid w:val="007A2B37"/>
    <w:rPr>
      <w:rFonts w:ascii="Times New Roman" w:eastAsia="Times New Roman" w:hAnsi="Times New Roman" w:cs="Times New Roman"/>
      <w:b/>
      <w:bCs/>
      <w:sz w:val="27"/>
      <w:szCs w:val="27"/>
      <w:lang w:val="en-US"/>
    </w:rPr>
  </w:style>
  <w:style w:type="character" w:customStyle="1" w:styleId="Heading4Char">
    <w:name w:val="Heading 4 Char"/>
    <w:basedOn w:val="DefaultParagraphFont"/>
    <w:link w:val="Heading4"/>
    <w:uiPriority w:val="9"/>
    <w:qFormat/>
    <w:rsid w:val="007A2B37"/>
    <w:rPr>
      <w:rFonts w:ascii="Times New Roman" w:eastAsia="Times New Roman" w:hAnsi="Times New Roman" w:cs="Times New Roman"/>
      <w:b/>
      <w:bCs/>
      <w:sz w:val="24"/>
      <w:szCs w:val="24"/>
      <w:lang w:val="en-US"/>
    </w:rPr>
  </w:style>
  <w:style w:type="character" w:customStyle="1" w:styleId="TitleChar">
    <w:name w:val="Title Char"/>
    <w:basedOn w:val="DefaultParagraphFont"/>
    <w:link w:val="Title"/>
    <w:uiPriority w:val="99"/>
    <w:qFormat/>
    <w:rsid w:val="007A2B37"/>
    <w:rPr>
      <w:rFonts w:ascii="Arial" w:eastAsia="Times New Roman" w:hAnsi="Arial" w:cs="Arial"/>
      <w:b/>
      <w:sz w:val="36"/>
      <w:szCs w:val="36"/>
      <w:lang w:val="en-US"/>
    </w:rPr>
  </w:style>
</w:styles>
</file>

<file path=word/webSettings.xml><?xml version="1.0" encoding="utf-8"?>
<w:webSettings xmlns:r="http://schemas.openxmlformats.org/officeDocument/2006/relationships" xmlns:w="http://schemas.openxmlformats.org/wordprocessingml/2006/main">
  <w:divs>
    <w:div w:id="528295525">
      <w:bodyDiv w:val="1"/>
      <w:marLeft w:val="0"/>
      <w:marRight w:val="0"/>
      <w:marTop w:val="0"/>
      <w:marBottom w:val="0"/>
      <w:divBdr>
        <w:top w:val="none" w:sz="0" w:space="0" w:color="auto"/>
        <w:left w:val="none" w:sz="0" w:space="0" w:color="auto"/>
        <w:bottom w:val="none" w:sz="0" w:space="0" w:color="auto"/>
        <w:right w:val="none" w:sz="0" w:space="0" w:color="auto"/>
      </w:divBdr>
    </w:div>
    <w:div w:id="1583875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8</Pages>
  <Words>1761</Words>
  <Characters>10044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Mamun</dc:creator>
  <cp:lastModifiedBy>Mamun</cp:lastModifiedBy>
  <cp:revision>8</cp:revision>
  <dcterms:created xsi:type="dcterms:W3CDTF">2025-11-07T10:30:00Z</dcterms:created>
  <dcterms:modified xsi:type="dcterms:W3CDTF">2025-11-07T19:58:00Z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6485AACBCBAD4DFFA1D52650F0BB34E6_12</vt:lpwstr>
  </property>
</Properties>
</file>