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51CE" w:rsidRPr="00E551CE" w:rsidRDefault="00E551CE" w:rsidP="00E551CE">
      <w:pPr>
        <w:spacing w:before="0"/>
        <w:rPr>
          <w:b/>
          <w:szCs w:val="24"/>
        </w:rPr>
      </w:pPr>
      <w:r w:rsidRPr="00E551CE">
        <w:rPr>
          <w:b/>
          <w:szCs w:val="24"/>
        </w:rPr>
        <w:t>EQUALITY: KEY CONCEPTS</w:t>
      </w:r>
    </w:p>
    <w:p w:rsidR="00E551CE" w:rsidRPr="00E551CE" w:rsidRDefault="00E551CE" w:rsidP="00E551CE">
      <w:pPr>
        <w:spacing w:before="0"/>
        <w:rPr>
          <w:b/>
          <w:szCs w:val="24"/>
        </w:rPr>
      </w:pPr>
      <w:r w:rsidRPr="00E551CE">
        <w:rPr>
          <w:b/>
          <w:szCs w:val="24"/>
        </w:rPr>
        <w:t>CHAPTER 1</w:t>
      </w:r>
    </w:p>
    <w:p w:rsidR="00E551CE" w:rsidRPr="00E551CE" w:rsidRDefault="00E551CE" w:rsidP="00E551CE">
      <w:pPr>
        <w:spacing w:before="0"/>
        <w:rPr>
          <w:b/>
          <w:szCs w:val="24"/>
        </w:rPr>
      </w:pPr>
      <w:r w:rsidRPr="00E551CE">
        <w:rPr>
          <w:b/>
          <w:szCs w:val="24"/>
        </w:rPr>
        <w:t>PROTECTED CHARACTERISTICS</w:t>
      </w:r>
    </w:p>
    <w:p w:rsidR="00E551CE" w:rsidRDefault="00E551CE" w:rsidP="00E551CE">
      <w:pPr>
        <w:spacing w:before="0"/>
        <w:rPr>
          <w:szCs w:val="24"/>
        </w:rPr>
      </w:pPr>
    </w:p>
    <w:p w:rsidR="00E551CE" w:rsidRPr="00E551CE" w:rsidRDefault="00E551CE" w:rsidP="00E551CE">
      <w:pPr>
        <w:spacing w:before="0"/>
        <w:rPr>
          <w:szCs w:val="24"/>
        </w:rPr>
      </w:pPr>
      <w:r w:rsidRPr="00E551CE">
        <w:rPr>
          <w:szCs w:val="24"/>
        </w:rPr>
        <w:t>The following characteristics are protected characteristics—</w:t>
      </w:r>
    </w:p>
    <w:p w:rsidR="00E551CE" w:rsidRPr="00E551CE" w:rsidRDefault="00E551CE" w:rsidP="00E551CE">
      <w:pPr>
        <w:pStyle w:val="ListParagraph"/>
        <w:numPr>
          <w:ilvl w:val="0"/>
          <w:numId w:val="1"/>
        </w:numPr>
        <w:spacing w:before="0"/>
        <w:jc w:val="left"/>
        <w:rPr>
          <w:szCs w:val="24"/>
        </w:rPr>
      </w:pPr>
      <w:r w:rsidRPr="00E551CE">
        <w:rPr>
          <w:szCs w:val="24"/>
        </w:rPr>
        <w:t>age;</w:t>
      </w:r>
    </w:p>
    <w:p w:rsidR="00E551CE" w:rsidRPr="00E551CE" w:rsidRDefault="00E551CE" w:rsidP="00E551CE">
      <w:pPr>
        <w:pStyle w:val="ListParagraph"/>
        <w:numPr>
          <w:ilvl w:val="0"/>
          <w:numId w:val="1"/>
        </w:numPr>
        <w:spacing w:before="0"/>
        <w:jc w:val="left"/>
        <w:rPr>
          <w:szCs w:val="24"/>
        </w:rPr>
      </w:pPr>
      <w:r w:rsidRPr="00E551CE">
        <w:rPr>
          <w:szCs w:val="24"/>
        </w:rPr>
        <w:t>disability;</w:t>
      </w:r>
    </w:p>
    <w:p w:rsidR="00E551CE" w:rsidRPr="00E551CE" w:rsidRDefault="00E551CE" w:rsidP="00E551CE">
      <w:pPr>
        <w:pStyle w:val="ListParagraph"/>
        <w:numPr>
          <w:ilvl w:val="0"/>
          <w:numId w:val="1"/>
        </w:numPr>
        <w:spacing w:before="0"/>
        <w:jc w:val="left"/>
        <w:rPr>
          <w:szCs w:val="24"/>
        </w:rPr>
      </w:pPr>
      <w:r w:rsidRPr="00E551CE">
        <w:rPr>
          <w:szCs w:val="24"/>
        </w:rPr>
        <w:t>gender reassignment;</w:t>
      </w:r>
    </w:p>
    <w:p w:rsidR="00E551CE" w:rsidRPr="00E551CE" w:rsidRDefault="00E551CE" w:rsidP="00E551CE">
      <w:pPr>
        <w:pStyle w:val="ListParagraph"/>
        <w:numPr>
          <w:ilvl w:val="0"/>
          <w:numId w:val="1"/>
        </w:numPr>
        <w:spacing w:before="0"/>
        <w:jc w:val="left"/>
        <w:rPr>
          <w:szCs w:val="24"/>
        </w:rPr>
      </w:pPr>
      <w:r w:rsidRPr="00E551CE">
        <w:rPr>
          <w:szCs w:val="24"/>
        </w:rPr>
        <w:t>marriage and civil partnership;</w:t>
      </w:r>
    </w:p>
    <w:p w:rsidR="00E551CE" w:rsidRPr="00E551CE" w:rsidRDefault="00E551CE" w:rsidP="00E551CE">
      <w:pPr>
        <w:pStyle w:val="ListParagraph"/>
        <w:numPr>
          <w:ilvl w:val="0"/>
          <w:numId w:val="1"/>
        </w:numPr>
        <w:spacing w:before="0"/>
        <w:jc w:val="left"/>
        <w:rPr>
          <w:szCs w:val="24"/>
        </w:rPr>
      </w:pPr>
      <w:r w:rsidRPr="00E551CE">
        <w:rPr>
          <w:szCs w:val="24"/>
        </w:rPr>
        <w:t>pregnancy and maternity;</w:t>
      </w:r>
    </w:p>
    <w:p w:rsidR="00E551CE" w:rsidRPr="00E551CE" w:rsidRDefault="00E551CE" w:rsidP="00E551CE">
      <w:pPr>
        <w:pStyle w:val="ListParagraph"/>
        <w:numPr>
          <w:ilvl w:val="0"/>
          <w:numId w:val="1"/>
        </w:numPr>
        <w:spacing w:before="0"/>
        <w:jc w:val="left"/>
        <w:rPr>
          <w:szCs w:val="24"/>
        </w:rPr>
      </w:pPr>
      <w:r w:rsidRPr="00E551CE">
        <w:rPr>
          <w:szCs w:val="24"/>
        </w:rPr>
        <w:t>race;</w:t>
      </w:r>
    </w:p>
    <w:p w:rsidR="00E551CE" w:rsidRPr="00E551CE" w:rsidRDefault="00E551CE" w:rsidP="00E551CE">
      <w:pPr>
        <w:pStyle w:val="ListParagraph"/>
        <w:numPr>
          <w:ilvl w:val="0"/>
          <w:numId w:val="1"/>
        </w:numPr>
        <w:spacing w:before="0"/>
        <w:jc w:val="left"/>
        <w:rPr>
          <w:szCs w:val="24"/>
        </w:rPr>
      </w:pPr>
      <w:r w:rsidRPr="00E551CE">
        <w:rPr>
          <w:szCs w:val="24"/>
        </w:rPr>
        <w:t>religion or belief;</w:t>
      </w:r>
    </w:p>
    <w:p w:rsidR="00E551CE" w:rsidRPr="00E551CE" w:rsidRDefault="00E551CE" w:rsidP="00E551CE">
      <w:pPr>
        <w:pStyle w:val="ListParagraph"/>
        <w:numPr>
          <w:ilvl w:val="0"/>
          <w:numId w:val="1"/>
        </w:numPr>
        <w:spacing w:before="0"/>
        <w:jc w:val="left"/>
        <w:rPr>
          <w:szCs w:val="24"/>
        </w:rPr>
      </w:pPr>
      <w:r w:rsidRPr="00E551CE">
        <w:rPr>
          <w:szCs w:val="24"/>
        </w:rPr>
        <w:t>sex;</w:t>
      </w:r>
    </w:p>
    <w:p w:rsidR="00E551CE" w:rsidRPr="00E551CE" w:rsidRDefault="00E551CE" w:rsidP="00E551CE">
      <w:pPr>
        <w:pStyle w:val="ListParagraph"/>
        <w:numPr>
          <w:ilvl w:val="0"/>
          <w:numId w:val="1"/>
        </w:numPr>
        <w:spacing w:before="0"/>
        <w:jc w:val="left"/>
        <w:rPr>
          <w:szCs w:val="24"/>
        </w:rPr>
      </w:pPr>
      <w:proofErr w:type="gramStart"/>
      <w:r w:rsidRPr="00E551CE">
        <w:rPr>
          <w:szCs w:val="24"/>
        </w:rPr>
        <w:t>sexual</w:t>
      </w:r>
      <w:proofErr w:type="gramEnd"/>
      <w:r w:rsidRPr="00E551CE">
        <w:rPr>
          <w:szCs w:val="24"/>
        </w:rPr>
        <w:t xml:space="preserve"> orientation.</w:t>
      </w:r>
    </w:p>
    <w:p w:rsidR="00E551CE" w:rsidRDefault="00E551CE" w:rsidP="00E551CE">
      <w:pPr>
        <w:spacing w:before="0"/>
        <w:jc w:val="both"/>
        <w:rPr>
          <w:b/>
          <w:szCs w:val="24"/>
        </w:rPr>
      </w:pPr>
      <w:r w:rsidRPr="00E551CE">
        <w:rPr>
          <w:b/>
          <w:szCs w:val="24"/>
        </w:rPr>
        <w:t>Age</w:t>
      </w:r>
    </w:p>
    <w:p w:rsidR="00E551CE" w:rsidRPr="00E551CE" w:rsidRDefault="00E551CE" w:rsidP="00E551CE">
      <w:pPr>
        <w:spacing w:before="0"/>
        <w:jc w:val="both"/>
        <w:rPr>
          <w:b/>
          <w:szCs w:val="24"/>
        </w:rPr>
      </w:pP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(1) In relation to the protected characteristic of age—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who has a particular protected characteristic is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of a particular age group;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persons who share a protected characteristic is a reference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to</w:t>
      </w:r>
      <w:proofErr w:type="gramEnd"/>
      <w:r w:rsidRPr="00E551CE">
        <w:rPr>
          <w:szCs w:val="24"/>
        </w:rPr>
        <w:t xml:space="preserve"> persons of the same age group.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(2) A reference to an age group is a reference to a group of persons defined by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reference</w:t>
      </w:r>
      <w:proofErr w:type="gramEnd"/>
      <w:r w:rsidRPr="00E551CE">
        <w:rPr>
          <w:szCs w:val="24"/>
        </w:rPr>
        <w:t xml:space="preserve"> to age, whether by reference to a particular age or to a range of ages.</w:t>
      </w:r>
    </w:p>
    <w:p w:rsidR="00E551CE" w:rsidRDefault="00E551CE" w:rsidP="00E551CE">
      <w:pPr>
        <w:spacing w:before="0"/>
        <w:jc w:val="both"/>
        <w:rPr>
          <w:szCs w:val="24"/>
        </w:rPr>
      </w:pPr>
    </w:p>
    <w:p w:rsidR="00E551CE" w:rsidRDefault="00E551CE" w:rsidP="00E551CE">
      <w:pPr>
        <w:spacing w:before="0"/>
        <w:jc w:val="both"/>
        <w:rPr>
          <w:b/>
          <w:szCs w:val="24"/>
        </w:rPr>
      </w:pPr>
      <w:r w:rsidRPr="00E551CE">
        <w:rPr>
          <w:b/>
          <w:szCs w:val="24"/>
        </w:rPr>
        <w:t>Disability</w:t>
      </w:r>
    </w:p>
    <w:p w:rsidR="00E551CE" w:rsidRPr="00E551CE" w:rsidRDefault="00E551CE" w:rsidP="00E551CE">
      <w:pPr>
        <w:spacing w:before="0"/>
        <w:jc w:val="both"/>
        <w:rPr>
          <w:b/>
          <w:szCs w:val="24"/>
        </w:rPr>
      </w:pP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(1) A person (P) has a disability if—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>(a) P has a physical or mental impairment, and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the</w:t>
      </w:r>
      <w:proofErr w:type="gramEnd"/>
      <w:r w:rsidRPr="00E551CE">
        <w:rPr>
          <w:szCs w:val="24"/>
        </w:rPr>
        <w:t xml:space="preserve"> impairment has a substantial and long-term adverse effect on P’s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ability</w:t>
      </w:r>
      <w:proofErr w:type="gramEnd"/>
      <w:r w:rsidRPr="00E551CE">
        <w:rPr>
          <w:szCs w:val="24"/>
        </w:rPr>
        <w:t xml:space="preserve"> to carry out normal day-to-day activities.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(2) A reference to a disabled person is a reference to a person who has a disability.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(3) In relation to the protected characteristic of disability—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who has a particular protected characteristic is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who has a particular disability;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persons who share a protected characteristic is a reference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to</w:t>
      </w:r>
      <w:proofErr w:type="gramEnd"/>
      <w:r w:rsidRPr="00E551CE">
        <w:rPr>
          <w:szCs w:val="24"/>
        </w:rPr>
        <w:t xml:space="preserve"> persons who have the same disability.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(4) This Act (except Part 12 and section 190) applies in relation to a person who has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had</w:t>
      </w:r>
      <w:proofErr w:type="gramEnd"/>
      <w:r w:rsidRPr="00E551CE">
        <w:rPr>
          <w:szCs w:val="24"/>
        </w:rPr>
        <w:t xml:space="preserve"> a disability as it applies in relation to a person who has the disability;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accordingly</w:t>
      </w:r>
      <w:proofErr w:type="gramEnd"/>
      <w:r w:rsidRPr="00E551CE">
        <w:rPr>
          <w:szCs w:val="24"/>
        </w:rPr>
        <w:t xml:space="preserve"> (except in that Part and that section)—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(however expressed) to a person who has a disability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includes</w:t>
      </w:r>
      <w:proofErr w:type="gramEnd"/>
      <w:r w:rsidRPr="00E551CE">
        <w:rPr>
          <w:szCs w:val="24"/>
        </w:rPr>
        <w:t xml:space="preserve"> a reference to a person who has had the disability, and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(however expressed) to a person who does not have a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disability</w:t>
      </w:r>
      <w:proofErr w:type="gramEnd"/>
      <w:r w:rsidRPr="00E551CE">
        <w:rPr>
          <w:szCs w:val="24"/>
        </w:rPr>
        <w:t xml:space="preserve"> includes a reference to a person who has not had the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disability</w:t>
      </w:r>
      <w:proofErr w:type="gramEnd"/>
      <w:r w:rsidRPr="00E551CE">
        <w:rPr>
          <w:szCs w:val="24"/>
        </w:rPr>
        <w:t>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(5) A Minister of the Crown may issue guidance about matters to be taken into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account</w:t>
      </w:r>
      <w:proofErr w:type="gramEnd"/>
      <w:r w:rsidRPr="00E551CE">
        <w:rPr>
          <w:szCs w:val="24"/>
        </w:rPr>
        <w:t xml:space="preserve"> in deciding any question for the purposes of subsection (1).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(6) Schedule 1 (disability: supplementary provision) has effect.</w:t>
      </w:r>
    </w:p>
    <w:p w:rsidR="00E551CE" w:rsidRDefault="00E551CE" w:rsidP="00E551CE">
      <w:pPr>
        <w:spacing w:before="0"/>
        <w:jc w:val="both"/>
        <w:rPr>
          <w:b/>
          <w:szCs w:val="24"/>
        </w:rPr>
      </w:pPr>
      <w:r w:rsidRPr="00E551CE">
        <w:rPr>
          <w:b/>
          <w:szCs w:val="24"/>
        </w:rPr>
        <w:lastRenderedPageBreak/>
        <w:t>Gender reassignment</w:t>
      </w:r>
    </w:p>
    <w:p w:rsidR="00E551CE" w:rsidRPr="00E551CE" w:rsidRDefault="00E551CE" w:rsidP="00E551CE">
      <w:pPr>
        <w:spacing w:before="0"/>
        <w:jc w:val="both"/>
        <w:rPr>
          <w:b/>
          <w:szCs w:val="24"/>
        </w:rPr>
      </w:pP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(1) A person has the protected characteristic of gender reassignment if the person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is</w:t>
      </w:r>
      <w:proofErr w:type="gramEnd"/>
      <w:r w:rsidRPr="00E551CE">
        <w:rPr>
          <w:szCs w:val="24"/>
        </w:rPr>
        <w:t xml:space="preserve"> proposing to undergo, is undergoing or has undergone a process (or part of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process) for the purpose of reassigning the person’s sex by changing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physiological</w:t>
      </w:r>
      <w:proofErr w:type="gramEnd"/>
      <w:r w:rsidRPr="00E551CE">
        <w:rPr>
          <w:szCs w:val="24"/>
        </w:rPr>
        <w:t xml:space="preserve"> or other attributes of sex.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(2) A reference to a transsexual person is a reference to a person who has the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protected</w:t>
      </w:r>
      <w:proofErr w:type="gramEnd"/>
      <w:r w:rsidRPr="00E551CE">
        <w:rPr>
          <w:szCs w:val="24"/>
        </w:rPr>
        <w:t xml:space="preserve"> characteristic of gender reassignment.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(3) In relation to the protected characteristic of gender reassignment—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who has a particular protected characteristic is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transsexual person;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persons who share a protected characteristic is a reference</w:t>
      </w:r>
    </w:p>
    <w:p w:rsid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to</w:t>
      </w:r>
      <w:proofErr w:type="gramEnd"/>
      <w:r w:rsidRPr="00E551CE">
        <w:rPr>
          <w:szCs w:val="24"/>
        </w:rPr>
        <w:t xml:space="preserve"> transsexual persons.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</w:p>
    <w:p w:rsidR="00E551CE" w:rsidRDefault="00E551CE" w:rsidP="00E551CE">
      <w:pPr>
        <w:spacing w:before="0"/>
        <w:jc w:val="both"/>
        <w:rPr>
          <w:b/>
          <w:szCs w:val="24"/>
        </w:rPr>
      </w:pPr>
      <w:r w:rsidRPr="00E551CE">
        <w:rPr>
          <w:b/>
          <w:szCs w:val="24"/>
        </w:rPr>
        <w:t>Marriage and civil partnership</w:t>
      </w:r>
    </w:p>
    <w:p w:rsidR="00E551CE" w:rsidRPr="00E551CE" w:rsidRDefault="00E551CE" w:rsidP="00E551CE">
      <w:pPr>
        <w:spacing w:before="0"/>
        <w:jc w:val="both"/>
        <w:rPr>
          <w:b/>
          <w:szCs w:val="24"/>
        </w:rPr>
      </w:pP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(1) A person has the protected characteristic of marriage and civil partnership if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the</w:t>
      </w:r>
      <w:proofErr w:type="gramEnd"/>
      <w:r w:rsidRPr="00E551CE">
        <w:rPr>
          <w:szCs w:val="24"/>
        </w:rPr>
        <w:t xml:space="preserve"> person is married or is a civil partner.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(2) In relation to the protected characteristic of marriage and civil partnership—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who has a particular protected characteristic is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who is married or is a civil partner;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persons who share a protected characteristic is a reference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to</w:t>
      </w:r>
      <w:proofErr w:type="gramEnd"/>
      <w:r w:rsidRPr="00E551CE">
        <w:rPr>
          <w:szCs w:val="24"/>
        </w:rPr>
        <w:t xml:space="preserve"> persons who are married or are civil partners.</w:t>
      </w:r>
    </w:p>
    <w:p w:rsidR="00E551CE" w:rsidRDefault="00E551CE" w:rsidP="00E551CE">
      <w:pPr>
        <w:spacing w:before="0"/>
        <w:jc w:val="both"/>
        <w:rPr>
          <w:szCs w:val="24"/>
        </w:rPr>
      </w:pPr>
    </w:p>
    <w:p w:rsidR="00E551CE" w:rsidRDefault="00E551CE" w:rsidP="00E551CE">
      <w:pPr>
        <w:spacing w:before="0"/>
        <w:jc w:val="both"/>
        <w:rPr>
          <w:b/>
          <w:szCs w:val="24"/>
        </w:rPr>
      </w:pPr>
      <w:r w:rsidRPr="00E551CE">
        <w:rPr>
          <w:b/>
          <w:szCs w:val="24"/>
        </w:rPr>
        <w:t>Race</w:t>
      </w:r>
    </w:p>
    <w:p w:rsidR="00E551CE" w:rsidRPr="00E551CE" w:rsidRDefault="00E551CE" w:rsidP="00E551CE">
      <w:pPr>
        <w:spacing w:before="0"/>
        <w:jc w:val="both"/>
        <w:rPr>
          <w:b/>
          <w:szCs w:val="24"/>
        </w:rPr>
      </w:pP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(1) Race includes—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colour</w:t>
      </w:r>
      <w:proofErr w:type="gramEnd"/>
      <w:r w:rsidRPr="00E551CE">
        <w:rPr>
          <w:szCs w:val="24"/>
        </w:rPr>
        <w:t>;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nationality</w:t>
      </w:r>
      <w:proofErr w:type="gramEnd"/>
      <w:r w:rsidRPr="00E551CE">
        <w:rPr>
          <w:szCs w:val="24"/>
        </w:rPr>
        <w:t>;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(c) </w:t>
      </w:r>
      <w:proofErr w:type="gramStart"/>
      <w:r w:rsidRPr="00E551CE">
        <w:rPr>
          <w:szCs w:val="24"/>
        </w:rPr>
        <w:t>ethnic</w:t>
      </w:r>
      <w:proofErr w:type="gramEnd"/>
      <w:r w:rsidRPr="00E551CE">
        <w:rPr>
          <w:szCs w:val="24"/>
        </w:rPr>
        <w:t xml:space="preserve"> or national origins.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(2) In relation to the protected characteristic of race—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who has a particular protected characteristic is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of a particular racial group;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persons who share a protected characteristic is a reference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to</w:t>
      </w:r>
      <w:proofErr w:type="gramEnd"/>
      <w:r w:rsidRPr="00E551CE">
        <w:rPr>
          <w:szCs w:val="24"/>
        </w:rPr>
        <w:t xml:space="preserve"> persons of the same racial group.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(3) A racial group is a group of persons defined by reference to race; and a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reference</w:t>
      </w:r>
      <w:proofErr w:type="gramEnd"/>
      <w:r w:rsidRPr="00E551CE">
        <w:rPr>
          <w:szCs w:val="24"/>
        </w:rPr>
        <w:t xml:space="preserve"> to a person’s racial group is a reference to a racial group into which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the</w:t>
      </w:r>
      <w:proofErr w:type="gramEnd"/>
      <w:r w:rsidRPr="00E551CE">
        <w:rPr>
          <w:szCs w:val="24"/>
        </w:rPr>
        <w:t xml:space="preserve"> person falls.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(4) The fact that a racial group comprises two or more distinct racial groups does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not</w:t>
      </w:r>
      <w:proofErr w:type="gramEnd"/>
      <w:r w:rsidRPr="00E551CE">
        <w:rPr>
          <w:szCs w:val="24"/>
        </w:rPr>
        <w:t xml:space="preserve"> prevent it from constituting a particular racial group.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(5) A Minister of the Crown may by order—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amend</w:t>
      </w:r>
      <w:proofErr w:type="gramEnd"/>
      <w:r w:rsidRPr="00E551CE">
        <w:rPr>
          <w:szCs w:val="24"/>
        </w:rPr>
        <w:t xml:space="preserve"> this section so as to provide for caste to be an aspect of race;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amend</w:t>
      </w:r>
      <w:proofErr w:type="gramEnd"/>
      <w:r w:rsidRPr="00E551CE">
        <w:rPr>
          <w:szCs w:val="24"/>
        </w:rPr>
        <w:t xml:space="preserve"> this Act so as to provide for an exception to a provision of this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>Act to apply, or not to apply, to caste or to apply, or not to apply, to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caste</w:t>
      </w:r>
      <w:proofErr w:type="gramEnd"/>
      <w:r w:rsidRPr="00E551CE">
        <w:rPr>
          <w:szCs w:val="24"/>
        </w:rPr>
        <w:t xml:space="preserve"> in specified circumstances.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(6) The power under section 207(4</w:t>
      </w:r>
      <w:proofErr w:type="gramStart"/>
      <w:r w:rsidRPr="00E551CE">
        <w:rPr>
          <w:szCs w:val="24"/>
        </w:rPr>
        <w:t>)(</w:t>
      </w:r>
      <w:proofErr w:type="gramEnd"/>
      <w:r w:rsidRPr="00E551CE">
        <w:rPr>
          <w:szCs w:val="24"/>
        </w:rPr>
        <w:t>b), in its application to subsection (5), includes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power</w:t>
      </w:r>
      <w:proofErr w:type="gramEnd"/>
      <w:r w:rsidRPr="00E551CE">
        <w:rPr>
          <w:szCs w:val="24"/>
        </w:rPr>
        <w:t xml:space="preserve"> to amend this Act.</w:t>
      </w:r>
    </w:p>
    <w:p w:rsidR="00E551CE" w:rsidRDefault="00E551CE" w:rsidP="00E551CE">
      <w:pPr>
        <w:spacing w:before="0"/>
        <w:jc w:val="both"/>
        <w:rPr>
          <w:szCs w:val="24"/>
        </w:rPr>
      </w:pPr>
    </w:p>
    <w:p w:rsidR="00E551CE" w:rsidRDefault="00E551CE" w:rsidP="00E551CE">
      <w:pPr>
        <w:spacing w:before="0"/>
        <w:jc w:val="both"/>
        <w:rPr>
          <w:b/>
          <w:szCs w:val="24"/>
        </w:rPr>
      </w:pPr>
      <w:r w:rsidRPr="00E551CE">
        <w:rPr>
          <w:b/>
          <w:szCs w:val="24"/>
        </w:rPr>
        <w:t>Religion or belief</w:t>
      </w:r>
    </w:p>
    <w:p w:rsidR="00E551CE" w:rsidRPr="00E551CE" w:rsidRDefault="00E551CE" w:rsidP="00E551CE">
      <w:pPr>
        <w:spacing w:before="0"/>
        <w:jc w:val="both"/>
        <w:rPr>
          <w:b/>
          <w:szCs w:val="24"/>
        </w:rPr>
      </w:pP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(1) Religion means any religion and a reference to religion includes a reference to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lack of religion.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(2) Belief means any religious or philosophical belief and a reference to belief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proofErr w:type="gramStart"/>
      <w:r w:rsidRPr="00E551CE">
        <w:rPr>
          <w:szCs w:val="24"/>
        </w:rPr>
        <w:t>includes</w:t>
      </w:r>
      <w:proofErr w:type="gramEnd"/>
      <w:r w:rsidRPr="00E551CE">
        <w:rPr>
          <w:szCs w:val="24"/>
        </w:rPr>
        <w:t xml:space="preserve"> a reference to a lack of belief.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(3) In relation to the protected characteristic of religion or belief—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who has a particular protected characteristic is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of a particular religion or belief;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persons who share a protected characteristic is a reference</w:t>
      </w:r>
    </w:p>
    <w:p w:rsid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to</w:t>
      </w:r>
      <w:proofErr w:type="gramEnd"/>
      <w:r w:rsidRPr="00E551CE">
        <w:rPr>
          <w:szCs w:val="24"/>
        </w:rPr>
        <w:t xml:space="preserve"> persons who are of the same religion or belief.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</w:p>
    <w:p w:rsidR="00E551CE" w:rsidRDefault="00E551CE" w:rsidP="00E551CE">
      <w:pPr>
        <w:spacing w:before="0"/>
        <w:jc w:val="both"/>
        <w:rPr>
          <w:b/>
          <w:szCs w:val="24"/>
        </w:rPr>
      </w:pPr>
      <w:r w:rsidRPr="00E551CE">
        <w:rPr>
          <w:b/>
          <w:szCs w:val="24"/>
        </w:rPr>
        <w:t>Sex</w:t>
      </w:r>
    </w:p>
    <w:p w:rsidR="00E551CE" w:rsidRPr="00E551CE" w:rsidRDefault="00E551CE" w:rsidP="00E551CE">
      <w:pPr>
        <w:spacing w:before="0"/>
        <w:jc w:val="both"/>
        <w:rPr>
          <w:b/>
          <w:szCs w:val="24"/>
        </w:rPr>
      </w:pP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In relation to the protected characteristic of sex—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who has a particular protected characteristic is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man or to a woman;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persons who share a protected characteristic is a reference</w:t>
      </w:r>
    </w:p>
    <w:p w:rsid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to</w:t>
      </w:r>
      <w:proofErr w:type="gramEnd"/>
      <w:r w:rsidRPr="00E551CE">
        <w:rPr>
          <w:szCs w:val="24"/>
        </w:rPr>
        <w:t xml:space="preserve"> persons of the same sex.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</w:p>
    <w:p w:rsidR="00E551CE" w:rsidRDefault="00E551CE" w:rsidP="00E551CE">
      <w:pPr>
        <w:spacing w:before="0"/>
        <w:jc w:val="both"/>
        <w:rPr>
          <w:b/>
          <w:szCs w:val="24"/>
        </w:rPr>
      </w:pPr>
      <w:r w:rsidRPr="00E551CE">
        <w:rPr>
          <w:b/>
          <w:szCs w:val="24"/>
        </w:rPr>
        <w:t>Sexual orientation</w:t>
      </w:r>
    </w:p>
    <w:p w:rsidR="00E551CE" w:rsidRPr="00E551CE" w:rsidRDefault="00E551CE" w:rsidP="00E551CE">
      <w:pPr>
        <w:spacing w:before="0"/>
        <w:jc w:val="both"/>
        <w:rPr>
          <w:b/>
          <w:szCs w:val="24"/>
        </w:rPr>
      </w:pP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(1) Sexual orientation means a person’s sexual orientation towards—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persons</w:t>
      </w:r>
      <w:proofErr w:type="gramEnd"/>
      <w:r w:rsidRPr="00E551CE">
        <w:rPr>
          <w:szCs w:val="24"/>
        </w:rPr>
        <w:t xml:space="preserve"> of the same sex,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persons</w:t>
      </w:r>
      <w:proofErr w:type="gramEnd"/>
      <w:r w:rsidRPr="00E551CE">
        <w:rPr>
          <w:szCs w:val="24"/>
        </w:rPr>
        <w:t xml:space="preserve"> of the opposite sex, or</w:t>
      </w:r>
      <w:bookmarkStart w:id="0" w:name="_GoBack"/>
      <w:bookmarkEnd w:id="0"/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(c) </w:t>
      </w:r>
      <w:proofErr w:type="gramStart"/>
      <w:r w:rsidRPr="00E551CE">
        <w:rPr>
          <w:szCs w:val="24"/>
        </w:rPr>
        <w:t>persons</w:t>
      </w:r>
      <w:proofErr w:type="gramEnd"/>
      <w:r w:rsidRPr="00E551CE">
        <w:rPr>
          <w:szCs w:val="24"/>
        </w:rPr>
        <w:t xml:space="preserve"> of either sex.</w:t>
      </w:r>
    </w:p>
    <w:p w:rsidR="00E551CE" w:rsidRPr="00E551CE" w:rsidRDefault="00E551CE" w:rsidP="00E551CE">
      <w:pPr>
        <w:spacing w:before="0"/>
        <w:jc w:val="both"/>
        <w:rPr>
          <w:szCs w:val="24"/>
        </w:rPr>
      </w:pPr>
      <w:r w:rsidRPr="00E551CE">
        <w:rPr>
          <w:szCs w:val="24"/>
        </w:rPr>
        <w:t>(2) In relation to the protected characteristic of sexual orientation—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(a)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who has a particular protected characteristic is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a person who is of a particular sexual orientation;</w:t>
      </w:r>
    </w:p>
    <w:p w:rsidR="00E551CE" w:rsidRPr="00E551CE" w:rsidRDefault="00E551CE" w:rsidP="00E551CE">
      <w:pPr>
        <w:spacing w:before="0"/>
        <w:ind w:left="720"/>
        <w:jc w:val="both"/>
        <w:rPr>
          <w:szCs w:val="24"/>
        </w:rPr>
      </w:pPr>
      <w:r w:rsidRPr="00E551CE">
        <w:rPr>
          <w:szCs w:val="24"/>
        </w:rPr>
        <w:t xml:space="preserve">(b) </w:t>
      </w:r>
      <w:proofErr w:type="gramStart"/>
      <w:r w:rsidRPr="00E551CE">
        <w:rPr>
          <w:szCs w:val="24"/>
        </w:rPr>
        <w:t>a</w:t>
      </w:r>
      <w:proofErr w:type="gramEnd"/>
      <w:r w:rsidRPr="00E551CE">
        <w:rPr>
          <w:szCs w:val="24"/>
        </w:rPr>
        <w:t xml:space="preserve"> reference to persons who share a protected characteristic is a reference</w:t>
      </w:r>
    </w:p>
    <w:p w:rsidR="00AF00D7" w:rsidRPr="006260F8" w:rsidRDefault="00E551CE" w:rsidP="00E551CE">
      <w:pPr>
        <w:spacing w:before="0"/>
        <w:ind w:left="720"/>
        <w:jc w:val="both"/>
        <w:rPr>
          <w:szCs w:val="24"/>
        </w:rPr>
      </w:pPr>
      <w:proofErr w:type="gramStart"/>
      <w:r w:rsidRPr="00E551CE">
        <w:rPr>
          <w:szCs w:val="24"/>
        </w:rPr>
        <w:t>to</w:t>
      </w:r>
      <w:proofErr w:type="gramEnd"/>
      <w:r w:rsidRPr="00E551CE">
        <w:rPr>
          <w:szCs w:val="24"/>
        </w:rPr>
        <w:t xml:space="preserve"> persons who are of the same sexual orientation.</w:t>
      </w:r>
    </w:p>
    <w:sectPr w:rsidR="00AF00D7" w:rsidRPr="006260F8" w:rsidSect="00E551CE">
      <w:headerReference w:type="default" r:id="rId8"/>
      <w:footerReference w:type="default" r:id="rId9"/>
      <w:pgSz w:w="11906" w:h="16838"/>
      <w:pgMar w:top="1440" w:right="1134" w:bottom="1440" w:left="1133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551CE" w:rsidRDefault="00E551CE" w:rsidP="00303453">
      <w:pPr>
        <w:spacing w:before="0"/>
      </w:pPr>
      <w:r>
        <w:separator/>
      </w:r>
    </w:p>
  </w:endnote>
  <w:endnote w:type="continuationSeparator" w:id="0">
    <w:p w:rsidR="00E551CE" w:rsidRDefault="00E551CE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03453" w:rsidRDefault="00303453">
    <w:pPr>
      <w:pStyle w:val="Footer"/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32391CD" wp14:editId="569D0ED5">
          <wp:simplePos x="0" y="0"/>
          <wp:positionH relativeFrom="column">
            <wp:posOffset>1560195</wp:posOffset>
          </wp:positionH>
          <wp:positionV relativeFrom="paragraph">
            <wp:posOffset>-104775</wp:posOffset>
          </wp:positionV>
          <wp:extent cx="3154556" cy="523875"/>
          <wp:effectExtent l="0" t="0" r="8255" b="0"/>
          <wp:wrapNone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4556" cy="5238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551CE" w:rsidRDefault="00E551CE" w:rsidP="00303453">
      <w:pPr>
        <w:spacing w:before="0"/>
      </w:pPr>
      <w:r>
        <w:separator/>
      </w:r>
    </w:p>
  </w:footnote>
  <w:footnote w:type="continuationSeparator" w:id="0">
    <w:p w:rsidR="00E551CE" w:rsidRDefault="00E551CE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260F8" w:rsidRDefault="00E551CE" w:rsidP="00B17205">
    <w:pPr>
      <w:pStyle w:val="Header"/>
      <w:tabs>
        <w:tab w:val="left" w:pos="3570"/>
        <w:tab w:val="center" w:pos="6979"/>
      </w:tabs>
      <w:rPr>
        <w:b/>
      </w:rPr>
    </w:pPr>
    <w:r>
      <w:rPr>
        <w:b/>
        <w:noProof/>
        <w:lang w:eastAsia="en-GB"/>
      </w:rPr>
      <w:drawing>
        <wp:anchor distT="0" distB="0" distL="114300" distR="114300" simplePos="0" relativeHeight="251661312" behindDoc="0" locked="0" layoutInCell="1" allowOverlap="1" wp14:anchorId="6DF21CAD" wp14:editId="7C42F84E">
          <wp:simplePos x="0" y="0"/>
          <wp:positionH relativeFrom="column">
            <wp:posOffset>5523865</wp:posOffset>
          </wp:positionH>
          <wp:positionV relativeFrom="paragraph">
            <wp:posOffset>-97790</wp:posOffset>
          </wp:positionV>
          <wp:extent cx="752475" cy="752475"/>
          <wp:effectExtent l="0" t="0" r="9525" b="9525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b/>
        <w:noProof/>
        <w:lang w:eastAsia="en-GB"/>
      </w:rPr>
      <w:drawing>
        <wp:anchor distT="0" distB="0" distL="114300" distR="114300" simplePos="0" relativeHeight="251659264" behindDoc="0" locked="0" layoutInCell="1" allowOverlap="1" wp14:anchorId="05CD0C20" wp14:editId="2656E093">
          <wp:simplePos x="0" y="0"/>
          <wp:positionH relativeFrom="column">
            <wp:posOffset>-153035</wp:posOffset>
          </wp:positionH>
          <wp:positionV relativeFrom="paragraph">
            <wp:posOffset>-97790</wp:posOffset>
          </wp:positionV>
          <wp:extent cx="752475" cy="752475"/>
          <wp:effectExtent l="0" t="0" r="9525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6260F8">
      <w:rPr>
        <w:b/>
      </w:rPr>
      <w:t>The Social Empowerment Group</w:t>
    </w:r>
  </w:p>
  <w:p w:rsidR="00E551CE" w:rsidRPr="00303453" w:rsidRDefault="00E551CE" w:rsidP="00B17205">
    <w:pPr>
      <w:pStyle w:val="Header"/>
      <w:tabs>
        <w:tab w:val="left" w:pos="3570"/>
        <w:tab w:val="center" w:pos="6979"/>
      </w:tabs>
      <w:rPr>
        <w:b/>
        <w:sz w:val="32"/>
        <w:szCs w:val="32"/>
      </w:rPr>
    </w:pPr>
    <w:r>
      <w:rPr>
        <w:b/>
      </w:rPr>
      <w:t>Handout – The Equality Act 2010 – Protected Characteristics</w:t>
    </w:r>
  </w:p>
  <w:p w:rsidR="00303453" w:rsidRPr="00303453" w:rsidRDefault="00303453">
    <w:pPr>
      <w:pStyle w:val="Header"/>
      <w:rPr>
        <w:b/>
        <w:sz w:val="32"/>
        <w:szCs w:val="32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A85646E"/>
    <w:multiLevelType w:val="hybridMultilevel"/>
    <w:tmpl w:val="5C76A900"/>
    <w:lvl w:ilvl="0" w:tplc="0809000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551CE"/>
    <w:rsid w:val="0023691A"/>
    <w:rsid w:val="002A4253"/>
    <w:rsid w:val="00303453"/>
    <w:rsid w:val="003C0DB3"/>
    <w:rsid w:val="006260F8"/>
    <w:rsid w:val="0068173D"/>
    <w:rsid w:val="00AF00D7"/>
    <w:rsid w:val="00B17205"/>
    <w:rsid w:val="00BC0B83"/>
    <w:rsid w:val="00D30409"/>
    <w:rsid w:val="00E551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551C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551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ocial%20Empowerment%20Blank%20Template%20(portrait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Social Empowerment Blank Template (portrait).dotx</Template>
  <TotalTime>8</TotalTime>
  <Pages>3</Pages>
  <Words>865</Words>
  <Characters>4933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2017-09-13T11:30:00Z</cp:lastPrinted>
  <dcterms:created xsi:type="dcterms:W3CDTF">2017-11-19T18:51:00Z</dcterms:created>
  <dcterms:modified xsi:type="dcterms:W3CDTF">2017-11-19T18:59:00Z</dcterms:modified>
</cp:coreProperties>
</file>