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B4BF66" w14:textId="77777777" w:rsidR="006367EA" w:rsidRPr="006367EA" w:rsidRDefault="006367EA" w:rsidP="006367EA">
      <w:pPr>
        <w:spacing w:after="160"/>
        <w:jc w:val="left"/>
        <w:rPr>
          <w:rFonts w:ascii="Aptos" w:eastAsia="Aptos" w:hAnsi="Aptos" w:cs="Times New Roman"/>
          <w:sz w:val="24"/>
          <w:szCs w:val="24"/>
          <w:lang w:val="en-GB" w:bidi="ar-SA"/>
          <w14:ligatures w14:val="none"/>
        </w:rPr>
      </w:pPr>
      <w:r w:rsidRPr="006367EA">
        <w:rPr>
          <w:rFonts w:ascii="Aptos" w:eastAsia="Aptos" w:hAnsi="Aptos" w:cs="Times New Roman"/>
          <w:noProof/>
          <w:sz w:val="24"/>
          <w:szCs w:val="24"/>
          <w:lang w:val="en-GB" w:bidi="ar-SA"/>
          <w14:ligatures w14:val="none"/>
        </w:rPr>
        <w:drawing>
          <wp:inline distT="0" distB="0" distL="0" distR="0" wp14:anchorId="0D4E9FC1" wp14:editId="1C537A0B">
            <wp:extent cx="3345180" cy="1343660"/>
            <wp:effectExtent l="0" t="0" r="0" b="0"/>
            <wp:docPr id="2" name="Picture 2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180" cy="1343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1FA750" w14:textId="77777777" w:rsidR="006367EA" w:rsidRPr="006367EA" w:rsidRDefault="006367EA" w:rsidP="006367EA">
      <w:pPr>
        <w:spacing w:after="160"/>
        <w:jc w:val="left"/>
        <w:rPr>
          <w:rFonts w:ascii="Segoe UI" w:eastAsia="Aptos" w:hAnsi="Segoe UI" w:cs="Segoe UI"/>
          <w:b/>
          <w:bCs/>
          <w:color w:val="1D2125"/>
          <w:sz w:val="24"/>
          <w:szCs w:val="24"/>
          <w:lang w:val="en-GB" w:bidi="ar-SA"/>
          <w14:ligatures w14:val="none"/>
        </w:rPr>
      </w:pPr>
    </w:p>
    <w:p w14:paraId="60627A2F" w14:textId="77777777" w:rsidR="006367EA" w:rsidRPr="006367EA" w:rsidRDefault="006367EA" w:rsidP="006367EA">
      <w:pPr>
        <w:spacing w:after="160"/>
        <w:jc w:val="left"/>
        <w:rPr>
          <w:rFonts w:eastAsia="Aptos" w:cs="Arial"/>
          <w:b/>
          <w:bCs/>
          <w:color w:val="1D2125"/>
          <w:sz w:val="36"/>
          <w:szCs w:val="36"/>
          <w:lang w:val="en-GB" w:bidi="ar-SA"/>
          <w14:ligatures w14:val="none"/>
        </w:rPr>
      </w:pPr>
    </w:p>
    <w:p w14:paraId="3CF639E9" w14:textId="77777777" w:rsidR="006367EA" w:rsidRPr="006367EA" w:rsidRDefault="006367EA" w:rsidP="006367EA">
      <w:pPr>
        <w:spacing w:after="160"/>
        <w:jc w:val="center"/>
        <w:rPr>
          <w:rFonts w:eastAsia="Aptos" w:cs="Arial"/>
          <w:b/>
          <w:bCs/>
          <w:color w:val="1D2125"/>
          <w:sz w:val="32"/>
          <w:szCs w:val="32"/>
          <w:lang w:val="en-GB" w:bidi="ar-SA"/>
          <w14:ligatures w14:val="none"/>
        </w:rPr>
      </w:pPr>
      <w:r w:rsidRPr="006367EA">
        <w:rPr>
          <w:rFonts w:ascii="Segoe UI" w:eastAsia="Aptos" w:hAnsi="Segoe UI" w:cs="Segoe UI"/>
          <w:b/>
          <w:bCs/>
          <w:color w:val="1D2125"/>
          <w:sz w:val="32"/>
          <w:szCs w:val="32"/>
          <w:shd w:val="clear" w:color="auto" w:fill="FFFFFF"/>
          <w:lang w:val="en-GB" w:bidi="ar-SA"/>
          <w14:ligatures w14:val="none"/>
        </w:rPr>
        <w:t>Changemakers: Creativity and Value Creation</w:t>
      </w:r>
    </w:p>
    <w:p w14:paraId="4D187B82" w14:textId="77777777" w:rsidR="006367EA" w:rsidRPr="006367EA" w:rsidRDefault="006367EA" w:rsidP="006367EA">
      <w:pPr>
        <w:spacing w:after="160"/>
        <w:jc w:val="center"/>
        <w:rPr>
          <w:rFonts w:eastAsia="Aptos" w:cs="Arial"/>
          <w:b/>
          <w:bCs/>
          <w:color w:val="1D2125"/>
          <w:sz w:val="32"/>
          <w:szCs w:val="32"/>
          <w:lang w:val="en-GB" w:bidi="ar-SA"/>
          <w14:ligatures w14:val="none"/>
        </w:rPr>
      </w:pPr>
      <w:r w:rsidRPr="006367EA">
        <w:rPr>
          <w:rFonts w:eastAsia="Aptos" w:cs="Arial"/>
          <w:b/>
          <w:bCs/>
          <w:color w:val="1D2125"/>
          <w:sz w:val="32"/>
          <w:szCs w:val="32"/>
          <w:lang w:val="en-GB" w:bidi="ar-SA"/>
          <w14:ligatures w14:val="none"/>
        </w:rPr>
        <w:t>Professions (BMHP5014)</w:t>
      </w:r>
    </w:p>
    <w:p w14:paraId="3F46F83A" w14:textId="77777777" w:rsidR="006367EA" w:rsidRPr="006367EA" w:rsidRDefault="006367EA" w:rsidP="006367EA">
      <w:pPr>
        <w:spacing w:after="160"/>
        <w:jc w:val="center"/>
        <w:rPr>
          <w:rFonts w:eastAsia="Aptos" w:cs="Arial"/>
          <w:b/>
          <w:bCs/>
          <w:color w:val="1D2125"/>
          <w:sz w:val="36"/>
          <w:szCs w:val="36"/>
          <w:lang w:val="en-GB" w:bidi="ar-SA"/>
          <w14:ligatures w14:val="none"/>
        </w:rPr>
      </w:pPr>
    </w:p>
    <w:p w14:paraId="20ADA649" w14:textId="77777777" w:rsidR="006367EA" w:rsidRPr="006367EA" w:rsidRDefault="006367EA" w:rsidP="006367EA">
      <w:pPr>
        <w:spacing w:after="160"/>
        <w:jc w:val="center"/>
        <w:rPr>
          <w:rFonts w:eastAsia="Aptos" w:cs="Arial"/>
          <w:b/>
          <w:bCs/>
          <w:color w:val="1D2125"/>
          <w:sz w:val="36"/>
          <w:szCs w:val="36"/>
          <w:lang w:val="en-GB" w:bidi="ar-SA"/>
          <w14:ligatures w14:val="none"/>
        </w:rPr>
      </w:pPr>
    </w:p>
    <w:p w14:paraId="40D0F07F" w14:textId="77777777" w:rsidR="006367EA" w:rsidRPr="006367EA" w:rsidRDefault="006367EA" w:rsidP="006367EA">
      <w:pPr>
        <w:spacing w:after="160"/>
        <w:jc w:val="left"/>
        <w:rPr>
          <w:rFonts w:eastAsia="Aptos" w:cs="Arial"/>
          <w:color w:val="1D2125"/>
          <w:sz w:val="24"/>
          <w:szCs w:val="24"/>
          <w:lang w:val="en-GB" w:bidi="ar-SA"/>
          <w14:ligatures w14:val="none"/>
        </w:rPr>
      </w:pPr>
      <w:r w:rsidRPr="006367EA">
        <w:rPr>
          <w:rFonts w:eastAsia="Aptos" w:cs="Arial"/>
          <w:b/>
          <w:bCs/>
          <w:color w:val="000000"/>
          <w:sz w:val="24"/>
          <w:szCs w:val="24"/>
          <w:lang w:val="en-GB" w:bidi="ar-SA"/>
          <w14:ligatures w14:val="none"/>
        </w:rPr>
        <w:t>Component 1:</w:t>
      </w:r>
      <w:r w:rsidRPr="006367EA">
        <w:rPr>
          <w:rFonts w:ascii="Aptos" w:eastAsia="Aptos" w:hAnsi="Aptos" w:cs="Times New Roman"/>
          <w:sz w:val="20"/>
          <w:szCs w:val="20"/>
          <w:lang w:val="en-GB" w:bidi="ar-SA"/>
          <w14:ligatures w14:val="none"/>
        </w:rPr>
        <w:t xml:space="preserve"> </w:t>
      </w:r>
      <w:r w:rsidRPr="006367EA">
        <w:rPr>
          <w:rFonts w:eastAsia="Aptos" w:cs="Arial"/>
          <w:b/>
          <w:bCs/>
          <w:color w:val="000000"/>
          <w:sz w:val="24"/>
          <w:szCs w:val="24"/>
          <w:lang w:val="en-GB" w:bidi="ar-SA"/>
          <w14:ligatures w14:val="none"/>
        </w:rPr>
        <w:t>Online portfolio of set exercises</w:t>
      </w:r>
    </w:p>
    <w:p w14:paraId="2AA717E6" w14:textId="77777777" w:rsidR="006367EA" w:rsidRPr="006367EA" w:rsidRDefault="006367EA" w:rsidP="006367EA">
      <w:pPr>
        <w:spacing w:after="160"/>
        <w:jc w:val="left"/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</w:pPr>
    </w:p>
    <w:p w14:paraId="674C8B46" w14:textId="71ED4737" w:rsidR="006367EA" w:rsidRPr="006367EA" w:rsidRDefault="006367EA" w:rsidP="006367EA">
      <w:pPr>
        <w:spacing w:after="160"/>
        <w:jc w:val="left"/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</w:pPr>
      <w:r w:rsidRPr="006367EA"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  <w:t>Student name:</w:t>
      </w:r>
      <w:r w:rsidRPr="006367EA">
        <w:rPr>
          <w:sz w:val="18"/>
          <w:szCs w:val="24"/>
        </w:rPr>
        <w:t xml:space="preserve"> </w:t>
      </w:r>
      <w:r w:rsidR="000D7A0F"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  <w:t xml:space="preserve">Mercy </w:t>
      </w:r>
      <w:proofErr w:type="spellStart"/>
      <w:r w:rsidR="000D7A0F"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  <w:t>Reoja</w:t>
      </w:r>
      <w:proofErr w:type="spellEnd"/>
      <w:r w:rsidR="000D7A0F"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  <w:t xml:space="preserve"> Fiel</w:t>
      </w:r>
    </w:p>
    <w:p w14:paraId="7E87E986" w14:textId="2A3C7960" w:rsidR="006367EA" w:rsidRPr="006367EA" w:rsidRDefault="006367EA" w:rsidP="006367EA">
      <w:pPr>
        <w:spacing w:after="160"/>
        <w:jc w:val="left"/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</w:pPr>
      <w:r w:rsidRPr="006367EA"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  <w:t>Student number:</w:t>
      </w:r>
      <w:r w:rsidR="000D7A0F"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  <w:t xml:space="preserve"> 2427852</w:t>
      </w:r>
    </w:p>
    <w:p w14:paraId="057D4081" w14:textId="1206F4C4" w:rsidR="006367EA" w:rsidRPr="006367EA" w:rsidRDefault="006367EA" w:rsidP="006367EA">
      <w:pPr>
        <w:spacing w:after="160"/>
        <w:jc w:val="left"/>
        <w:rPr>
          <w:sz w:val="18"/>
          <w:szCs w:val="24"/>
        </w:rPr>
      </w:pPr>
      <w:r w:rsidRPr="006367EA"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  <w:t>Lecturer’s name:</w:t>
      </w:r>
      <w:r w:rsidRPr="006367EA">
        <w:rPr>
          <w:sz w:val="18"/>
          <w:szCs w:val="24"/>
        </w:rPr>
        <w:t xml:space="preserve"> </w:t>
      </w:r>
      <w:r w:rsidR="000D7A0F" w:rsidRPr="006367EA"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  <w:t>Laila Surani</w:t>
      </w:r>
    </w:p>
    <w:p w14:paraId="3F16A580" w14:textId="2EEA0F88" w:rsidR="006367EA" w:rsidRPr="006367EA" w:rsidRDefault="006367EA" w:rsidP="000D7A0F">
      <w:pPr>
        <w:spacing w:after="160"/>
        <w:jc w:val="left"/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</w:pPr>
      <w:r w:rsidRPr="006367EA">
        <w:rPr>
          <w:rFonts w:eastAsia="Aptos" w:cs="Arial"/>
          <w:b/>
          <w:bCs/>
          <w:color w:val="1D2125"/>
          <w:sz w:val="24"/>
          <w:szCs w:val="24"/>
          <w:lang w:val="en-GB" w:bidi="ar-SA"/>
          <w14:ligatures w14:val="none"/>
        </w:rPr>
        <w:t xml:space="preserve"> </w:t>
      </w:r>
    </w:p>
    <w:p w14:paraId="62D80806" w14:textId="77777777" w:rsidR="006367EA" w:rsidRPr="006367EA" w:rsidRDefault="006367EA" w:rsidP="006367EA">
      <w:pPr>
        <w:spacing w:after="160"/>
        <w:jc w:val="left"/>
        <w:rPr>
          <w:rFonts w:ascii="Aptos" w:eastAsia="Aptos" w:hAnsi="Aptos" w:cs="Times New Roman"/>
          <w:sz w:val="36"/>
          <w:szCs w:val="36"/>
          <w:lang w:val="en-GB" w:bidi="ar-SA"/>
          <w14:ligatures w14:val="none"/>
        </w:rPr>
      </w:pPr>
    </w:p>
    <w:p w14:paraId="14B8B6EF" w14:textId="77777777" w:rsidR="006367EA" w:rsidRPr="006367EA" w:rsidRDefault="006367EA" w:rsidP="006367EA">
      <w:pPr>
        <w:spacing w:after="160"/>
        <w:jc w:val="left"/>
        <w:rPr>
          <w:rFonts w:eastAsia="Aptos" w:cs="Arial"/>
          <w:sz w:val="36"/>
          <w:szCs w:val="36"/>
          <w:lang w:val="en-GB" w:bidi="ar-SA"/>
          <w14:ligatures w14:val="none"/>
        </w:rPr>
      </w:pPr>
    </w:p>
    <w:p w14:paraId="51239749" w14:textId="77777777" w:rsidR="00240338" w:rsidRDefault="00240338">
      <w:pPr>
        <w:spacing w:after="160" w:line="278" w:lineRule="auto"/>
        <w:jc w:val="left"/>
      </w:pPr>
      <w:r>
        <w:br w:type="page"/>
      </w:r>
    </w:p>
    <w:sdt>
      <w:sdtPr>
        <w:rPr>
          <w:rFonts w:ascii="Arial" w:eastAsiaTheme="minorHAnsi" w:hAnsi="Arial" w:cstheme="minorBidi"/>
          <w:color w:val="auto"/>
          <w:kern w:val="2"/>
          <w:sz w:val="22"/>
          <w:szCs w:val="30"/>
          <w:lang w:bidi="bn-IN"/>
          <w14:ligatures w14:val="standardContextual"/>
        </w:rPr>
        <w:id w:val="10670853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0B66DD" w14:textId="2D02E182" w:rsidR="00240338" w:rsidRDefault="00240338">
          <w:pPr>
            <w:pStyle w:val="TOCHeading"/>
          </w:pPr>
          <w:r>
            <w:t>Table of Contents</w:t>
          </w:r>
        </w:p>
        <w:p w14:paraId="6768F532" w14:textId="465473F4" w:rsidR="006367EA" w:rsidRDefault="0024033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6302593" w:history="1">
            <w:r w:rsidR="006367EA" w:rsidRPr="00AD7432">
              <w:rPr>
                <w:rStyle w:val="Hyperlink"/>
                <w:noProof/>
              </w:rPr>
              <w:t>Introduction</w:t>
            </w:r>
            <w:r w:rsidR="006367EA">
              <w:rPr>
                <w:noProof/>
                <w:webHidden/>
              </w:rPr>
              <w:tab/>
            </w:r>
            <w:r w:rsidR="006367EA">
              <w:rPr>
                <w:noProof/>
                <w:webHidden/>
              </w:rPr>
              <w:fldChar w:fldCharType="begin"/>
            </w:r>
            <w:r w:rsidR="006367EA">
              <w:rPr>
                <w:noProof/>
                <w:webHidden/>
              </w:rPr>
              <w:instrText xml:space="preserve"> PAGEREF _Toc236302593 \h </w:instrText>
            </w:r>
            <w:r w:rsidR="006367EA">
              <w:rPr>
                <w:noProof/>
                <w:webHidden/>
              </w:rPr>
            </w:r>
            <w:r w:rsidR="006367EA">
              <w:rPr>
                <w:noProof/>
                <w:webHidden/>
              </w:rPr>
              <w:fldChar w:fldCharType="separate"/>
            </w:r>
            <w:r w:rsidR="006367EA">
              <w:rPr>
                <w:noProof/>
                <w:webHidden/>
              </w:rPr>
              <w:t>3</w:t>
            </w:r>
            <w:r w:rsidR="006367EA">
              <w:rPr>
                <w:noProof/>
                <w:webHidden/>
              </w:rPr>
              <w:fldChar w:fldCharType="end"/>
            </w:r>
          </w:hyperlink>
        </w:p>
        <w:p w14:paraId="40935AA7" w14:textId="47B02648" w:rsidR="006367EA" w:rsidRDefault="006367E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4"/>
            </w:rPr>
          </w:pPr>
          <w:hyperlink w:anchor="_Toc236302594" w:history="1">
            <w:r w:rsidRPr="00AD7432">
              <w:rPr>
                <w:rStyle w:val="Hyperlink"/>
                <w:noProof/>
              </w:rPr>
              <w:t>Task 1- Defining Key Concepts in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_Toc236302594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098A30" w14:textId="104E2031" w:rsidR="006367EA" w:rsidRDefault="006367E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4"/>
            </w:rPr>
          </w:pPr>
          <w:hyperlink w:anchor="_Toc236302595" w:history="1">
            <w:r w:rsidRPr="00AD7432">
              <w:rPr>
                <w:rStyle w:val="Hyperlink"/>
                <w:noProof/>
              </w:rPr>
              <w:t>Task 2- Mind Map: Staff Burnout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_Toc236302595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074541" w14:textId="4136990A" w:rsidR="006367EA" w:rsidRDefault="006367E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4"/>
            </w:rPr>
          </w:pPr>
          <w:hyperlink w:anchor="_Toc236302596" w:history="1">
            <w:r w:rsidRPr="00AD7432">
              <w:rPr>
                <w:rStyle w:val="Hyperlink"/>
                <w:noProof/>
              </w:rPr>
              <w:t>Task 3 - Self-Reflection of Group Activity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_Toc236302596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F8A527" w14:textId="435389F0" w:rsidR="006367EA" w:rsidRDefault="006367E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4"/>
            </w:rPr>
          </w:pPr>
          <w:hyperlink w:anchor="_Toc236302597" w:history="1">
            <w:r w:rsidRPr="00AD7432">
              <w:rPr>
                <w:rStyle w:val="Hyperlink"/>
                <w:noProof/>
              </w:rPr>
              <w:t>Task 4 – Case Study Analysis of a UK 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_Toc236302597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E4C180" w14:textId="490D45B8" w:rsidR="006367EA" w:rsidRDefault="006367E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4"/>
            </w:rPr>
          </w:pPr>
          <w:hyperlink w:anchor="_Toc236302598" w:history="1">
            <w:r w:rsidRPr="00AD7432">
              <w:rPr>
                <w:rStyle w:val="Hyperlink"/>
                <w:noProof/>
              </w:rPr>
              <w:t>Task 5 - Research Task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_Toc236302598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E040C3" w14:textId="2C8A6E47" w:rsidR="006367EA" w:rsidRDefault="006367E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4"/>
            </w:rPr>
          </w:pPr>
          <w:hyperlink w:anchor="_Toc236302599" w:history="1">
            <w:r w:rsidRPr="00AD7432">
              <w:rPr>
                <w:rStyle w:val="Hyperlink"/>
                <w:noProof/>
              </w:rPr>
              <w:t>Task 6 - Exploring Digital Innovation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_Toc236302599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215D05" w14:textId="42E6D404" w:rsidR="006367EA" w:rsidRDefault="006367E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4"/>
            </w:rPr>
          </w:pPr>
          <w:hyperlink w:anchor="_Toc236302600" w:history="1">
            <w:r w:rsidRPr="00AD7432">
              <w:rPr>
                <w:rStyle w:val="Hyperlink"/>
                <w:noProof/>
              </w:rPr>
              <w:t>Task 7 – Understanding the NHS Leadership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_Toc236302600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FA5D09" w14:textId="5B74777B" w:rsidR="006367EA" w:rsidRDefault="006367E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4"/>
            </w:rPr>
          </w:pPr>
          <w:hyperlink w:anchor="_Toc236302601" w:history="1">
            <w:r w:rsidRPr="00AD7432">
              <w:rPr>
                <w:rStyle w:val="Hyperlink"/>
                <w:noProof/>
              </w:rPr>
              <w:t>Task 8 – Self-Reflection Journal Entry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_Toc236302601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D00267" w14:textId="7FCC0AA4" w:rsidR="006367EA" w:rsidRDefault="006367E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4"/>
            </w:rPr>
          </w:pPr>
          <w:hyperlink w:anchor="_Toc236302602" w:history="1">
            <w:r w:rsidRPr="00AD7432">
              <w:rPr>
                <w:rStyle w:val="Hyperlink"/>
                <w:rFonts w:eastAsia="Times New Roman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_Toc236302602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7616E8" w14:textId="12F904FC" w:rsidR="00240338" w:rsidRDefault="00240338">
          <w:r>
            <w:rPr>
              <w:b/>
              <w:bCs/>
              <w:noProof/>
            </w:rPr>
            <w:fldChar w:fldCharType="end"/>
          </w:r>
        </w:p>
      </w:sdtContent>
    </w:sdt>
    <w:p w14:paraId="22762616" w14:textId="60A911FA" w:rsidR="009F780E" w:rsidRDefault="009F780E" w:rsidP="00240338">
      <w:r>
        <w:br w:type="page"/>
      </w:r>
    </w:p>
    <w:p w14:paraId="3C37050E" w14:textId="77777777" w:rsidR="009F780E" w:rsidRDefault="009F780E" w:rsidP="009F780E">
      <w:pPr>
        <w:pStyle w:val="Heading1"/>
      </w:pPr>
      <w:bookmarkStart w:id="0" w:name="_Toc236302593"/>
      <w:r>
        <w:lastRenderedPageBreak/>
        <w:t>Introduction</w:t>
      </w:r>
      <w:bookmarkEnd w:id="0"/>
    </w:p>
    <w:p w14:paraId="05F583E8" w14:textId="21451B3D" w:rsidR="009F780E" w:rsidRDefault="004869C9" w:rsidP="004A0352">
      <w:r>
        <w:t xml:space="preserve">The portfolio has analysed </w:t>
      </w:r>
      <w:r w:rsidRPr="004869C9">
        <w:t xml:space="preserve">the application of creativity, innovation, leadership </w:t>
      </w:r>
      <w:r>
        <w:t>framework in health and social care setting. Through the analysis,</w:t>
      </w:r>
      <w:r w:rsidR="004A0352" w:rsidRPr="004A0352">
        <w:t xml:space="preserve"> practical examples and reflective learning</w:t>
      </w:r>
      <w:r w:rsidR="004A0352">
        <w:t xml:space="preserve"> the portfolio demonstrates </w:t>
      </w:r>
      <w:r w:rsidR="004A0352" w:rsidRPr="004A0352">
        <w:t>how theoretical concepts can inform service improvement, support person-centred care</w:t>
      </w:r>
      <w:r w:rsidR="004A0352">
        <w:t xml:space="preserve"> by improving the professional practice in complex healthcare setting.</w:t>
      </w:r>
      <w:r>
        <w:t xml:space="preserve"> </w:t>
      </w:r>
      <w:r w:rsidR="009F780E">
        <w:br w:type="page"/>
      </w:r>
    </w:p>
    <w:p w14:paraId="695DD692" w14:textId="77777777" w:rsidR="00154779" w:rsidRDefault="00154779" w:rsidP="00154779">
      <w:pPr>
        <w:pStyle w:val="Heading1"/>
      </w:pPr>
      <w:bookmarkStart w:id="1" w:name="_Toc236302594"/>
      <w:r w:rsidRPr="00154779">
        <w:lastRenderedPageBreak/>
        <w:t>Task 1- Defining Key Concepts in Practice</w:t>
      </w:r>
      <w:bookmarkEnd w:id="1"/>
    </w:p>
    <w:p w14:paraId="7670C0FB" w14:textId="2EC5FD87" w:rsidR="0045558F" w:rsidRDefault="00154779" w:rsidP="009F780E">
      <w:r w:rsidRPr="00154779">
        <w:rPr>
          <w:b/>
          <w:bCs/>
        </w:rPr>
        <w:t>Innovation:</w:t>
      </w:r>
      <w:r>
        <w:t xml:space="preserve"> Innovation refers to materializing of </w:t>
      </w:r>
      <w:r w:rsidRPr="00154779">
        <w:t>new ideas, processes or services that e</w:t>
      </w:r>
      <w:r>
        <w:t>nhance</w:t>
      </w:r>
      <w:r w:rsidRPr="00154779">
        <w:t xml:space="preserve"> organisational performance or patient outcomes</w:t>
      </w:r>
      <w:r w:rsidR="00240338">
        <w:t xml:space="preserve"> </w:t>
      </w:r>
      <w:r w:rsidR="00240338" w:rsidRPr="00240338">
        <w:t xml:space="preserve">(Schwartz, </w:t>
      </w:r>
      <w:proofErr w:type="spellStart"/>
      <w:r w:rsidR="00240338" w:rsidRPr="00240338">
        <w:t>Sundelin</w:t>
      </w:r>
      <w:proofErr w:type="spellEnd"/>
      <w:r w:rsidR="00240338" w:rsidRPr="00240338">
        <w:t xml:space="preserve"> and </w:t>
      </w:r>
      <w:proofErr w:type="spellStart"/>
      <w:r w:rsidR="00240338" w:rsidRPr="00240338">
        <w:t>Jemstedt</w:t>
      </w:r>
      <w:proofErr w:type="spellEnd"/>
      <w:r w:rsidR="00240338" w:rsidRPr="00240338">
        <w:t>, 2025)</w:t>
      </w:r>
      <w:r w:rsidRPr="00154779">
        <w:t>. Rogers' Diffusion of Innovation</w:t>
      </w:r>
      <w:r>
        <w:t xml:space="preserve"> demonstrates that </w:t>
      </w:r>
      <w:r w:rsidRPr="00154779">
        <w:t>adoption depends on the perceived advantage and usability of an innovation</w:t>
      </w:r>
      <w:r>
        <w:t xml:space="preserve">. In health and social care, the innovation is expected to improve the service and improve the efficiency of the process. For example, virtual warding arrangement of NHS </w:t>
      </w:r>
      <w:r w:rsidRPr="00154779">
        <w:t>eligible patients to receive hospital-level care at home through remote monitoring, reducing avoidable admissions.</w:t>
      </w:r>
    </w:p>
    <w:p w14:paraId="6450D166" w14:textId="77777777" w:rsidR="0098402C" w:rsidRDefault="0098402C" w:rsidP="009F780E">
      <w:pPr>
        <w:rPr>
          <w:b/>
          <w:bCs/>
        </w:rPr>
      </w:pPr>
    </w:p>
    <w:p w14:paraId="46D28A4A" w14:textId="63AC4E9D" w:rsidR="00154779" w:rsidRDefault="00154779" w:rsidP="009F780E">
      <w:r w:rsidRPr="00240338">
        <w:rPr>
          <w:b/>
          <w:bCs/>
        </w:rPr>
        <w:t>Creativity</w:t>
      </w:r>
      <w:r>
        <w:t xml:space="preserve">: </w:t>
      </w:r>
      <w:r w:rsidR="00546B10" w:rsidRPr="00546B10">
        <w:t>Creativity is defined as the tendency to generate or recognize ideas, alternatives, or possibilities that may be useful in solving problems, communicating</w:t>
      </w:r>
      <w:r w:rsidR="00546B10">
        <w:t xml:space="preserve"> with objectives</w:t>
      </w:r>
      <w:r w:rsidR="00240338">
        <w:t xml:space="preserve"> </w:t>
      </w:r>
      <w:r w:rsidR="00240338" w:rsidRPr="00240338">
        <w:t>(Smith, 2019)</w:t>
      </w:r>
      <w:r w:rsidR="00546B10">
        <w:t xml:space="preserve">. </w:t>
      </w:r>
      <w:r w:rsidR="00546B10" w:rsidRPr="00546B10">
        <w:t>Amabile's Componential Theory suggests creativity develops through expertise, creative thinking and intrinsic motivation</w:t>
      </w:r>
      <w:r w:rsidR="00546B10">
        <w:t xml:space="preserve">. Within health and social care, this term advocates for </w:t>
      </w:r>
      <w:r w:rsidR="00546B10" w:rsidRPr="00546B10">
        <w:t>person-centred interventions that respond to individual needs</w:t>
      </w:r>
      <w:r w:rsidR="00546B10">
        <w:t xml:space="preserve"> properly. For instance, experienced therapists are found to </w:t>
      </w:r>
      <w:r w:rsidR="00546B10" w:rsidRPr="00546B10">
        <w:t>design personalised rehabilitation activities to improve patient engagement and recovery.</w:t>
      </w:r>
    </w:p>
    <w:p w14:paraId="48FC3FC5" w14:textId="075454F4" w:rsidR="00154779" w:rsidRPr="00546B10" w:rsidRDefault="00546B10" w:rsidP="009F780E">
      <w:pPr>
        <w:rPr>
          <w:b/>
          <w:bCs/>
          <w:i/>
          <w:iCs/>
        </w:rPr>
      </w:pPr>
      <w:r w:rsidRPr="00546B10">
        <w:rPr>
          <w:b/>
          <w:bCs/>
          <w:i/>
          <w:iCs/>
        </w:rPr>
        <w:t>Following table defines and demonstrates innovation, creativity, value creation…</w:t>
      </w:r>
    </w:p>
    <w:tbl>
      <w:tblPr>
        <w:tblStyle w:val="TableGrid"/>
        <w:tblW w:w="9535" w:type="dxa"/>
        <w:tblLook w:val="04A0" w:firstRow="1" w:lastRow="0" w:firstColumn="1" w:lastColumn="0" w:noHBand="0" w:noVBand="1"/>
      </w:tblPr>
      <w:tblGrid>
        <w:gridCol w:w="1346"/>
        <w:gridCol w:w="1948"/>
        <w:gridCol w:w="2191"/>
        <w:gridCol w:w="1980"/>
        <w:gridCol w:w="2070"/>
      </w:tblGrid>
      <w:tr w:rsidR="00546B10" w:rsidRPr="00154779" w14:paraId="3642DE22" w14:textId="77777777" w:rsidTr="00546B10">
        <w:tc>
          <w:tcPr>
            <w:tcW w:w="0" w:type="auto"/>
            <w:shd w:val="clear" w:color="auto" w:fill="000000" w:themeFill="text1"/>
            <w:hideMark/>
          </w:tcPr>
          <w:p w14:paraId="2B996E5A" w14:textId="77777777" w:rsidR="00154779" w:rsidRPr="00154779" w:rsidRDefault="00154779" w:rsidP="00154779">
            <w:pPr>
              <w:spacing w:line="240" w:lineRule="auto"/>
              <w:jc w:val="center"/>
              <w:rPr>
                <w:rFonts w:eastAsia="Times New Roman" w:cs="Arial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154779">
              <w:rPr>
                <w:rFonts w:eastAsia="Times New Roman" w:cs="Arial"/>
                <w:b/>
                <w:bCs/>
                <w:kern w:val="0"/>
                <w:sz w:val="20"/>
                <w:szCs w:val="20"/>
                <w14:ligatures w14:val="none"/>
              </w:rPr>
              <w:t>Concept</w:t>
            </w:r>
          </w:p>
        </w:tc>
        <w:tc>
          <w:tcPr>
            <w:tcW w:w="0" w:type="auto"/>
            <w:shd w:val="clear" w:color="auto" w:fill="000000" w:themeFill="text1"/>
            <w:hideMark/>
          </w:tcPr>
          <w:p w14:paraId="382B4CE9" w14:textId="77777777" w:rsidR="00154779" w:rsidRPr="00154779" w:rsidRDefault="00154779" w:rsidP="00154779">
            <w:pPr>
              <w:spacing w:line="240" w:lineRule="auto"/>
              <w:jc w:val="center"/>
              <w:rPr>
                <w:rFonts w:eastAsia="Times New Roman" w:cs="Arial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154779">
              <w:rPr>
                <w:rFonts w:eastAsia="Times New Roman" w:cs="Arial"/>
                <w:b/>
                <w:bCs/>
                <w:kern w:val="0"/>
                <w:sz w:val="20"/>
                <w:szCs w:val="20"/>
                <w14:ligatures w14:val="none"/>
              </w:rPr>
              <w:t>Academic definition</w:t>
            </w:r>
          </w:p>
        </w:tc>
        <w:tc>
          <w:tcPr>
            <w:tcW w:w="2191" w:type="dxa"/>
            <w:shd w:val="clear" w:color="auto" w:fill="000000" w:themeFill="text1"/>
            <w:hideMark/>
          </w:tcPr>
          <w:p w14:paraId="703254CB" w14:textId="77777777" w:rsidR="00154779" w:rsidRPr="00154779" w:rsidRDefault="00154779" w:rsidP="00154779">
            <w:pPr>
              <w:spacing w:line="240" w:lineRule="auto"/>
              <w:jc w:val="center"/>
              <w:rPr>
                <w:rFonts w:eastAsia="Times New Roman" w:cs="Arial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154779">
              <w:rPr>
                <w:rFonts w:eastAsia="Times New Roman" w:cs="Arial"/>
                <w:b/>
                <w:bCs/>
                <w:kern w:val="0"/>
                <w:sz w:val="20"/>
                <w:szCs w:val="20"/>
                <w14:ligatures w14:val="none"/>
              </w:rPr>
              <w:t>Supporting theory</w:t>
            </w:r>
          </w:p>
        </w:tc>
        <w:tc>
          <w:tcPr>
            <w:tcW w:w="1980" w:type="dxa"/>
            <w:shd w:val="clear" w:color="auto" w:fill="000000" w:themeFill="text1"/>
            <w:hideMark/>
          </w:tcPr>
          <w:p w14:paraId="55EBDAE4" w14:textId="77777777" w:rsidR="00154779" w:rsidRPr="00154779" w:rsidRDefault="00154779" w:rsidP="00154779">
            <w:pPr>
              <w:spacing w:line="240" w:lineRule="auto"/>
              <w:jc w:val="center"/>
              <w:rPr>
                <w:rFonts w:eastAsia="Times New Roman" w:cs="Arial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154779">
              <w:rPr>
                <w:rFonts w:eastAsia="Times New Roman" w:cs="Arial"/>
                <w:b/>
                <w:bCs/>
                <w:kern w:val="0"/>
                <w:sz w:val="20"/>
                <w:szCs w:val="20"/>
                <w14:ligatures w14:val="none"/>
              </w:rPr>
              <w:t>Health and social care example</w:t>
            </w:r>
          </w:p>
        </w:tc>
        <w:tc>
          <w:tcPr>
            <w:tcW w:w="2070" w:type="dxa"/>
            <w:shd w:val="clear" w:color="auto" w:fill="000000" w:themeFill="text1"/>
            <w:hideMark/>
          </w:tcPr>
          <w:p w14:paraId="54395370" w14:textId="77777777" w:rsidR="00154779" w:rsidRPr="00154779" w:rsidRDefault="00154779" w:rsidP="00154779">
            <w:pPr>
              <w:spacing w:line="240" w:lineRule="auto"/>
              <w:jc w:val="center"/>
              <w:rPr>
                <w:rFonts w:eastAsia="Times New Roman" w:cs="Arial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154779">
              <w:rPr>
                <w:rFonts w:eastAsia="Times New Roman" w:cs="Arial"/>
                <w:b/>
                <w:bCs/>
                <w:kern w:val="0"/>
                <w:sz w:val="20"/>
                <w:szCs w:val="20"/>
                <w14:ligatures w14:val="none"/>
              </w:rPr>
              <w:t>Contribution to practice</w:t>
            </w:r>
          </w:p>
        </w:tc>
      </w:tr>
      <w:tr w:rsidR="00154779" w:rsidRPr="00154779" w14:paraId="3A83D0E8" w14:textId="77777777" w:rsidTr="00546B10">
        <w:tc>
          <w:tcPr>
            <w:tcW w:w="0" w:type="auto"/>
            <w:hideMark/>
          </w:tcPr>
          <w:p w14:paraId="3E508E27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b/>
                <w:bCs/>
                <w:kern w:val="0"/>
                <w:szCs w:val="22"/>
                <w14:ligatures w14:val="none"/>
              </w:rPr>
              <w:t>Innovation</w:t>
            </w:r>
          </w:p>
        </w:tc>
        <w:tc>
          <w:tcPr>
            <w:tcW w:w="0" w:type="auto"/>
            <w:hideMark/>
          </w:tcPr>
          <w:p w14:paraId="336A32CE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Implementation of new ideas that improve services and outcomes.</w:t>
            </w:r>
          </w:p>
        </w:tc>
        <w:tc>
          <w:tcPr>
            <w:tcW w:w="2191" w:type="dxa"/>
            <w:hideMark/>
          </w:tcPr>
          <w:p w14:paraId="0C2BCB00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Rogers' Diffusion of Innovation Theory highlights successful adoption based on perceived benefit and compatibility.</w:t>
            </w:r>
          </w:p>
        </w:tc>
        <w:tc>
          <w:tcPr>
            <w:tcW w:w="1980" w:type="dxa"/>
            <w:hideMark/>
          </w:tcPr>
          <w:p w14:paraId="07178164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NHS Virtual Wards provide remote monitoring and hospital-level care at home.</w:t>
            </w:r>
          </w:p>
        </w:tc>
        <w:tc>
          <w:tcPr>
            <w:tcW w:w="2070" w:type="dxa"/>
            <w:hideMark/>
          </w:tcPr>
          <w:p w14:paraId="2BCB8A42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Improves service efficiency, accessibility and patient safety while reducing pressure on hospital capacity.</w:t>
            </w:r>
          </w:p>
        </w:tc>
      </w:tr>
      <w:tr w:rsidR="00154779" w:rsidRPr="00154779" w14:paraId="23E05F38" w14:textId="77777777" w:rsidTr="00546B10">
        <w:tc>
          <w:tcPr>
            <w:tcW w:w="0" w:type="auto"/>
            <w:hideMark/>
          </w:tcPr>
          <w:p w14:paraId="6DF22055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b/>
                <w:bCs/>
                <w:kern w:val="0"/>
                <w:szCs w:val="22"/>
                <w14:ligatures w14:val="none"/>
              </w:rPr>
              <w:t>Creativity</w:t>
            </w:r>
          </w:p>
        </w:tc>
        <w:tc>
          <w:tcPr>
            <w:tcW w:w="0" w:type="auto"/>
            <w:hideMark/>
          </w:tcPr>
          <w:p w14:paraId="7CCF44BA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Development of original and useful solutions to practical problems.</w:t>
            </w:r>
          </w:p>
        </w:tc>
        <w:tc>
          <w:tcPr>
            <w:tcW w:w="2191" w:type="dxa"/>
            <w:hideMark/>
          </w:tcPr>
          <w:p w14:paraId="368C8A7B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Amabile's Componential Theory links creativity with expertise, creative skills and motivation.</w:t>
            </w:r>
          </w:p>
        </w:tc>
        <w:tc>
          <w:tcPr>
            <w:tcW w:w="1980" w:type="dxa"/>
            <w:hideMark/>
          </w:tcPr>
          <w:p w14:paraId="48A974B6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Personalised rehabilitation programmes designed by occupational therapists.</w:t>
            </w:r>
          </w:p>
        </w:tc>
        <w:tc>
          <w:tcPr>
            <w:tcW w:w="2070" w:type="dxa"/>
            <w:hideMark/>
          </w:tcPr>
          <w:p w14:paraId="27EF56C4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Encourages person-centred care and flexible problem-solving for diverse patient needs.</w:t>
            </w:r>
          </w:p>
        </w:tc>
      </w:tr>
      <w:tr w:rsidR="00154779" w:rsidRPr="00154779" w14:paraId="49B9F739" w14:textId="77777777" w:rsidTr="00546B10">
        <w:tc>
          <w:tcPr>
            <w:tcW w:w="0" w:type="auto"/>
            <w:hideMark/>
          </w:tcPr>
          <w:p w14:paraId="71B19BCA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b/>
                <w:bCs/>
                <w:kern w:val="0"/>
                <w:szCs w:val="22"/>
                <w14:ligatures w14:val="none"/>
              </w:rPr>
              <w:t>Value Creation</w:t>
            </w:r>
          </w:p>
        </w:tc>
        <w:tc>
          <w:tcPr>
            <w:tcW w:w="0" w:type="auto"/>
            <w:hideMark/>
          </w:tcPr>
          <w:p w14:paraId="45B29A48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Achieving better outcomes through efficient use of healthcare resources.</w:t>
            </w:r>
          </w:p>
        </w:tc>
        <w:tc>
          <w:tcPr>
            <w:tcW w:w="2191" w:type="dxa"/>
            <w:hideMark/>
          </w:tcPr>
          <w:p w14:paraId="6FD58668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Porter's Value-Based Healthcare framework focuses on outcomes relative to costs.</w:t>
            </w:r>
          </w:p>
        </w:tc>
        <w:tc>
          <w:tcPr>
            <w:tcW w:w="1980" w:type="dxa"/>
            <w:hideMark/>
          </w:tcPr>
          <w:p w14:paraId="6D924435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Multidisciplinary care planning across professional teams.</w:t>
            </w:r>
          </w:p>
        </w:tc>
        <w:tc>
          <w:tcPr>
            <w:tcW w:w="2070" w:type="dxa"/>
            <w:hideMark/>
          </w:tcPr>
          <w:p w14:paraId="1F4F8BFC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Enhances care quality, patient satisfaction and resource utilisation simultaneously.</w:t>
            </w:r>
          </w:p>
        </w:tc>
      </w:tr>
      <w:tr w:rsidR="00154779" w:rsidRPr="00154779" w14:paraId="44974181" w14:textId="77777777" w:rsidTr="00546B10">
        <w:tc>
          <w:tcPr>
            <w:tcW w:w="0" w:type="auto"/>
            <w:hideMark/>
          </w:tcPr>
          <w:p w14:paraId="7E4E13C7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b/>
                <w:bCs/>
                <w:kern w:val="0"/>
                <w:szCs w:val="22"/>
                <w14:ligatures w14:val="none"/>
              </w:rPr>
              <w:t>Change</w:t>
            </w:r>
          </w:p>
        </w:tc>
        <w:tc>
          <w:tcPr>
            <w:tcW w:w="0" w:type="auto"/>
            <w:hideMark/>
          </w:tcPr>
          <w:p w14:paraId="1459C3D7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Planned improvement that embeds new working practices into routine care.</w:t>
            </w:r>
          </w:p>
        </w:tc>
        <w:tc>
          <w:tcPr>
            <w:tcW w:w="2191" w:type="dxa"/>
            <w:hideMark/>
          </w:tcPr>
          <w:p w14:paraId="52BABD09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Lewin's three-stage model provides a structured approach to implementing change.</w:t>
            </w:r>
          </w:p>
        </w:tc>
        <w:tc>
          <w:tcPr>
            <w:tcW w:w="1980" w:type="dxa"/>
            <w:hideMark/>
          </w:tcPr>
          <w:p w14:paraId="60F2E95F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Adoption of Electronic Health Records across NHS organisations.</w:t>
            </w:r>
          </w:p>
        </w:tc>
        <w:tc>
          <w:tcPr>
            <w:tcW w:w="2070" w:type="dxa"/>
            <w:hideMark/>
          </w:tcPr>
          <w:p w14:paraId="61EFB8F4" w14:textId="77777777" w:rsidR="00154779" w:rsidRPr="00154779" w:rsidRDefault="00154779" w:rsidP="00154779">
            <w:pPr>
              <w:spacing w:line="240" w:lineRule="auto"/>
              <w:jc w:val="left"/>
              <w:rPr>
                <w:rFonts w:eastAsia="Times New Roman" w:cs="Arial"/>
                <w:kern w:val="0"/>
                <w:szCs w:val="22"/>
                <w14:ligatures w14:val="none"/>
              </w:rPr>
            </w:pPr>
            <w:r w:rsidRPr="00154779">
              <w:rPr>
                <w:rFonts w:eastAsia="Times New Roman" w:cs="Arial"/>
                <w:kern w:val="0"/>
                <w:szCs w:val="22"/>
                <w14:ligatures w14:val="none"/>
              </w:rPr>
              <w:t>Strengthens communication, continuity of care and organisational effectiveness.</w:t>
            </w:r>
          </w:p>
        </w:tc>
      </w:tr>
    </w:tbl>
    <w:p w14:paraId="2B315084" w14:textId="77777777" w:rsidR="00154779" w:rsidRDefault="00154779" w:rsidP="009F780E"/>
    <w:p w14:paraId="3A1C2170" w14:textId="7756E77E" w:rsidR="009F780E" w:rsidRDefault="00546B10" w:rsidP="009F780E">
      <w:r w:rsidRPr="00240338">
        <w:rPr>
          <w:b/>
          <w:bCs/>
        </w:rPr>
        <w:t>Value creation</w:t>
      </w:r>
      <w:r>
        <w:t xml:space="preserve">: Value creation is regarded as the process through which outcomes are improved </w:t>
      </w:r>
      <w:r w:rsidRPr="00546B10">
        <w:t>while making effective use of available resources</w:t>
      </w:r>
      <w:r w:rsidR="00240338">
        <w:t xml:space="preserve"> </w:t>
      </w:r>
      <w:r w:rsidR="00240338" w:rsidRPr="00240338">
        <w:t>(Menon, 2020)</w:t>
      </w:r>
      <w:r w:rsidRPr="00546B10">
        <w:t>.</w:t>
      </w:r>
      <w:r>
        <w:t xml:space="preserve"> Health care is expected to create value through </w:t>
      </w:r>
      <w:r w:rsidRPr="00546B10">
        <w:t>better clinical</w:t>
      </w:r>
      <w:r>
        <w:t xml:space="preserve"> approach that is </w:t>
      </w:r>
      <w:r w:rsidRPr="00546B10">
        <w:t>relative to the cost of care.</w:t>
      </w:r>
      <w:r>
        <w:t xml:space="preserve"> for example, the integrated care process and planning </w:t>
      </w:r>
      <w:r w:rsidRPr="00546B10">
        <w:t>illustrates this concept by enhancing care coordination, reducing duplication and improving patient experience.</w:t>
      </w:r>
    </w:p>
    <w:p w14:paraId="7EB5F00A" w14:textId="77777777" w:rsidR="0098402C" w:rsidRDefault="0098402C" w:rsidP="009F780E">
      <w:pPr>
        <w:rPr>
          <w:b/>
          <w:bCs/>
        </w:rPr>
      </w:pPr>
    </w:p>
    <w:p w14:paraId="14FF88C7" w14:textId="0B7E1345" w:rsidR="00386C76" w:rsidRDefault="00546B10" w:rsidP="009F780E">
      <w:r w:rsidRPr="00240338">
        <w:rPr>
          <w:b/>
          <w:bCs/>
        </w:rPr>
        <w:t>Change</w:t>
      </w:r>
      <w:r>
        <w:t xml:space="preserve">: Change is the planned transition from the prevailed foundation to enhanced </w:t>
      </w:r>
      <w:r w:rsidRPr="00546B10">
        <w:t>ways of working</w:t>
      </w:r>
      <w:r w:rsidR="00240338">
        <w:t xml:space="preserve"> </w:t>
      </w:r>
      <w:r w:rsidR="00240338" w:rsidRPr="00240338">
        <w:t>(Greener and Hughes, 2024)</w:t>
      </w:r>
      <w:r w:rsidRPr="00546B10">
        <w:t>.</w:t>
      </w:r>
      <w:r>
        <w:t xml:space="preserve"> For example, </w:t>
      </w:r>
      <w:r w:rsidRPr="00546B10">
        <w:t>Lewin's Change Management Model proposes that sustainable improvement occurs through unfreezing, changing and refreezing organisational behaviours</w:t>
      </w:r>
      <w:r>
        <w:t xml:space="preserve">. In Health and social care, installing the electronic healthcare recording has enhanced the communication by reducing the </w:t>
      </w:r>
      <w:r w:rsidRPr="00546B10">
        <w:t>documentation errors</w:t>
      </w:r>
      <w:r>
        <w:t xml:space="preserve"> and improving the </w:t>
      </w:r>
      <w:r w:rsidRPr="00546B10">
        <w:t>continuity of care across NHS services.</w:t>
      </w:r>
    </w:p>
    <w:p w14:paraId="18AB6C90" w14:textId="77777777" w:rsidR="0098402C" w:rsidRDefault="0098402C" w:rsidP="00386C76">
      <w:pPr>
        <w:pStyle w:val="Heading1"/>
      </w:pPr>
      <w:bookmarkStart w:id="2" w:name="_Toc236302595"/>
    </w:p>
    <w:p w14:paraId="34119A21" w14:textId="415C9ACC" w:rsidR="00546B10" w:rsidRDefault="00386C76" w:rsidP="00386C76">
      <w:pPr>
        <w:pStyle w:val="Heading1"/>
      </w:pPr>
      <w:r>
        <w:t xml:space="preserve">Task 2- </w:t>
      </w:r>
      <w:r w:rsidRPr="00386C76">
        <w:t>Mind Map: Staff Burnout in Health and Social Care</w:t>
      </w:r>
      <w:bookmarkEnd w:id="2"/>
    </w:p>
    <w:p w14:paraId="5D4F151A" w14:textId="2007ED7B" w:rsidR="00386C76" w:rsidRPr="00386C76" w:rsidRDefault="00386C76" w:rsidP="00386C76">
      <w:pPr>
        <w:rPr>
          <w:b/>
          <w:bCs/>
        </w:rPr>
      </w:pPr>
      <w:r w:rsidRPr="00386C76">
        <w:rPr>
          <w:b/>
          <w:bCs/>
        </w:rPr>
        <w:t xml:space="preserve">Mind Mapping of a problem (Staff Burnout) </w:t>
      </w:r>
    </w:p>
    <w:p w14:paraId="5622FF9F" w14:textId="2925E8AB" w:rsidR="00386C76" w:rsidRDefault="00386C76" w:rsidP="00386C76">
      <w:pPr>
        <w:jc w:val="center"/>
      </w:pPr>
      <w:r>
        <w:rPr>
          <w:noProof/>
        </w:rPr>
        <w:drawing>
          <wp:inline distT="0" distB="0" distL="0" distR="0" wp14:anchorId="2E5BA4BD" wp14:editId="0F08DDBE">
            <wp:extent cx="5417599" cy="3040912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37675" cy="30521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FD69C2" w14:textId="101B5E4C" w:rsidR="00386C76" w:rsidRDefault="00386C76" w:rsidP="00386C76">
      <w:r>
        <w:t xml:space="preserve">Through the long-time working in workplace, staff gets tired with working. For this reason, staff </w:t>
      </w:r>
      <w:r w:rsidRPr="00386C76">
        <w:t>burnout has become a significant challenge across UK health and social care because increasing service demand often exceeds workforce capacity.</w:t>
      </w:r>
      <w:r>
        <w:t xml:space="preserve"> Basically, employee burnout issues from multiple and critical </w:t>
      </w:r>
      <w:r w:rsidRPr="00386C76">
        <w:t>organisational factors, including staffing shortages, excessive workload and emotional pressure, rather than a single cause</w:t>
      </w:r>
      <w:r w:rsidR="00240338">
        <w:t xml:space="preserve"> </w:t>
      </w:r>
      <w:r w:rsidR="00240338" w:rsidRPr="00240338">
        <w:t>(Greener and Hughes, 2024)</w:t>
      </w:r>
      <w:r>
        <w:t xml:space="preserve">. These determinants </w:t>
      </w:r>
      <w:r>
        <w:lastRenderedPageBreak/>
        <w:t xml:space="preserve">are expected to weaken the </w:t>
      </w:r>
      <w:r w:rsidRPr="00386C76">
        <w:t>wellbeing, increase clinical errors, prolong waiting times and negatively affect patient experience.</w:t>
      </w:r>
      <w:r>
        <w:t xml:space="preserve"> For example, the doctors, nurses, care workers, staff, managers and leaders are all get impacted due to the staff burnout in workplace. </w:t>
      </w:r>
      <w:r w:rsidRPr="00386C76">
        <w:t>If burnout remains unaddressed, healthcare organisations may experience declining workforce retention and reduced quality of care</w:t>
      </w:r>
      <w:r>
        <w:t xml:space="preserve">. The proposed solution will be implementing the supportive leadership, implementing the staff </w:t>
      </w:r>
      <w:r w:rsidRPr="00386C76">
        <w:t>wellbeing initiatives and digital technologies that reduce administrative burden</w:t>
      </w:r>
      <w:r>
        <w:t>.</w:t>
      </w:r>
    </w:p>
    <w:p w14:paraId="0FAD6059" w14:textId="77777777" w:rsidR="0098402C" w:rsidRDefault="0098402C" w:rsidP="00386C76">
      <w:pPr>
        <w:pStyle w:val="Heading1"/>
      </w:pPr>
      <w:bookmarkStart w:id="3" w:name="_Toc236302596"/>
    </w:p>
    <w:p w14:paraId="556A56C1" w14:textId="03708BBC" w:rsidR="00386C76" w:rsidRDefault="00386C76" w:rsidP="00386C76">
      <w:pPr>
        <w:pStyle w:val="Heading1"/>
      </w:pPr>
      <w:r w:rsidRPr="00386C76">
        <w:t>Task 3 - Self-Reflection of Group Activity</w:t>
      </w:r>
      <w:bookmarkEnd w:id="3"/>
    </w:p>
    <w:p w14:paraId="6A463E61" w14:textId="1FC49E9C" w:rsidR="00386C76" w:rsidRDefault="00386C76" w:rsidP="00386C76">
      <w:r>
        <w:t xml:space="preserve">Through the </w:t>
      </w:r>
      <w:r w:rsidRPr="00386C76">
        <w:t>Gibbs' Reflective Cycle (Gibbs, 1988)</w:t>
      </w:r>
      <w:r>
        <w:t xml:space="preserve">, I have been able to reflect my </w:t>
      </w:r>
      <w:r w:rsidRPr="00386C76">
        <w:t>participation in the classroom activity exploring divergent and convergent thinking.</w:t>
      </w:r>
      <w:r w:rsidR="008816DB">
        <w:t xml:space="preserve"> Divergent thinking promotes the creation of </w:t>
      </w:r>
      <w:r w:rsidR="008816DB" w:rsidRPr="008816DB">
        <w:t>multiple creative ideas, whereas convergent thinking involves evaluating those ideas to identify the most practical solution.</w:t>
      </w:r>
      <w:r w:rsidR="008816DB">
        <w:t xml:space="preserve"> During the group working in our team, we initially </w:t>
      </w:r>
      <w:r w:rsidR="008816DB" w:rsidRPr="008816DB">
        <w:t>produced several approaches to improving patient communication</w:t>
      </w:r>
      <w:r w:rsidR="00240338">
        <w:t xml:space="preserve"> </w:t>
      </w:r>
      <w:r w:rsidR="00240338" w:rsidRPr="00240338">
        <w:t xml:space="preserve">(Alan T. </w:t>
      </w:r>
      <w:proofErr w:type="spellStart"/>
      <w:r w:rsidR="00240338" w:rsidRPr="00240338">
        <w:t>Belasen</w:t>
      </w:r>
      <w:proofErr w:type="spellEnd"/>
      <w:r w:rsidR="00240338" w:rsidRPr="00240338">
        <w:t xml:space="preserve">, </w:t>
      </w:r>
      <w:proofErr w:type="spellStart"/>
      <w:proofErr w:type="gramStart"/>
      <w:r w:rsidR="00240338" w:rsidRPr="00240338">
        <w:t>Ph.D</w:t>
      </w:r>
      <w:proofErr w:type="spellEnd"/>
      <w:proofErr w:type="gramEnd"/>
      <w:r w:rsidR="00240338" w:rsidRPr="00240338">
        <w:t xml:space="preserve">, Barry Eisenberg, </w:t>
      </w:r>
      <w:proofErr w:type="spellStart"/>
      <w:proofErr w:type="gramStart"/>
      <w:r w:rsidR="00240338" w:rsidRPr="00240338">
        <w:t>Ph.D</w:t>
      </w:r>
      <w:proofErr w:type="spellEnd"/>
      <w:proofErr w:type="gramEnd"/>
      <w:r w:rsidR="00240338" w:rsidRPr="00240338">
        <w:t xml:space="preserve"> and Jill Borgos, </w:t>
      </w:r>
      <w:proofErr w:type="spellStart"/>
      <w:proofErr w:type="gramStart"/>
      <w:r w:rsidR="00240338" w:rsidRPr="00240338">
        <w:t>Ph.D</w:t>
      </w:r>
      <w:proofErr w:type="spellEnd"/>
      <w:proofErr w:type="gramEnd"/>
      <w:r w:rsidR="00240338" w:rsidRPr="00240338">
        <w:t>, 2024)</w:t>
      </w:r>
      <w:r w:rsidR="008816DB" w:rsidRPr="008816DB">
        <w:t>.</w:t>
      </w:r>
      <w:r w:rsidR="008816DB">
        <w:t xml:space="preserve"> Soon after, the team experienced different </w:t>
      </w:r>
      <w:r w:rsidR="008816DB" w:rsidRPr="008816DB">
        <w:t>opinions</w:t>
      </w:r>
      <w:r w:rsidR="008816DB">
        <w:t xml:space="preserve"> from different members that </w:t>
      </w:r>
      <w:r w:rsidR="008816DB" w:rsidRPr="008816DB">
        <w:t>made it difficult to reach consensus.</w:t>
      </w:r>
      <w:r w:rsidR="008816DB">
        <w:t xml:space="preserve"> So, I came to suggest </w:t>
      </w:r>
      <w:r w:rsidR="008816DB" w:rsidRPr="008816DB">
        <w:t>listing the advantages and limitations of each idea</w:t>
      </w:r>
      <w:r w:rsidR="008816DB">
        <w:t xml:space="preserve"> that enabled us to analyse and </w:t>
      </w:r>
      <w:r w:rsidR="008816DB" w:rsidRPr="008816DB">
        <w:t>evaluate options objectively and agree on developing a digital appointment reminder system.</w:t>
      </w:r>
    </w:p>
    <w:p w14:paraId="4109661C" w14:textId="77777777" w:rsidR="008816DB" w:rsidRDefault="008816DB" w:rsidP="00386C76">
      <w:r>
        <w:t xml:space="preserve">The experience demonstrates that I enjoy </w:t>
      </w:r>
      <w:r w:rsidRPr="008816DB">
        <w:t>generating creative ideas but recognised that effective innovation also requires critical evaluation and collaborative decision-making.</w:t>
      </w:r>
      <w:r>
        <w:t xml:space="preserve"> The final decision was supported by the alternative opinions give by the team members and </w:t>
      </w:r>
      <w:r w:rsidRPr="008816DB">
        <w:t>diverse perspectives often strengthen final decisions.</w:t>
      </w:r>
      <w:r>
        <w:t xml:space="preserve"> Given the scenario, </w:t>
      </w:r>
      <w:r w:rsidRPr="008816DB">
        <w:t>creativity in health and social care</w:t>
      </w:r>
      <w:r>
        <w:t xml:space="preserve"> appeared as </w:t>
      </w:r>
      <w:r w:rsidRPr="008816DB">
        <w:t>evidence-informed</w:t>
      </w:r>
      <w:r>
        <w:t xml:space="preserve">, practical and </w:t>
      </w:r>
      <w:r w:rsidRPr="008816DB">
        <w:t>focused on improving patient outcomes rather than simply producing novel ideas.</w:t>
      </w:r>
      <w:r>
        <w:t xml:space="preserve"> In future I will promote q</w:t>
      </w:r>
      <w:r w:rsidRPr="008816DB">
        <w:t>uieter members to contribute earlier</w:t>
      </w:r>
      <w:r>
        <w:t xml:space="preserve"> and also suggest them </w:t>
      </w:r>
      <w:r w:rsidRPr="008816DB">
        <w:t>structured decision-making techniques</w:t>
      </w:r>
      <w:r>
        <w:t>.</w:t>
      </w:r>
    </w:p>
    <w:p w14:paraId="436CD40A" w14:textId="77777777" w:rsidR="0098402C" w:rsidRDefault="0098402C" w:rsidP="008816DB">
      <w:pPr>
        <w:pStyle w:val="Heading1"/>
      </w:pPr>
      <w:bookmarkStart w:id="4" w:name="_Toc236302597"/>
    </w:p>
    <w:p w14:paraId="7100B8EA" w14:textId="095600E4" w:rsidR="008816DB" w:rsidRDefault="008816DB" w:rsidP="008816DB">
      <w:pPr>
        <w:pStyle w:val="Heading1"/>
      </w:pPr>
      <w:r w:rsidRPr="008816DB">
        <w:t>Task 4 – Case Study Analysis of a UK Innovation</w:t>
      </w:r>
      <w:bookmarkEnd w:id="4"/>
    </w:p>
    <w:p w14:paraId="33E33FE3" w14:textId="60E225E3" w:rsidR="008816DB" w:rsidRDefault="006C017F" w:rsidP="00386C76">
      <w:r>
        <w:t>“</w:t>
      </w:r>
      <w:r w:rsidRPr="006C017F">
        <w:t>Virtual Wards programme</w:t>
      </w:r>
      <w:r>
        <w:t xml:space="preserve">” is regarded as the significant innovation of NHS. It was </w:t>
      </w:r>
      <w:r w:rsidRPr="006C017F">
        <w:t>developed to address increasing hospital demand, bed shortages and the need for continuous monitoring of patients</w:t>
      </w:r>
      <w:r>
        <w:t xml:space="preserve">. The NHS involved in redesigning </w:t>
      </w:r>
      <w:r w:rsidRPr="006C017F">
        <w:t>care delivery by combining remote monitoring technologies with multidisciplinary clinical support</w:t>
      </w:r>
      <w:r>
        <w:t xml:space="preserve"> and it enabled the </w:t>
      </w:r>
      <w:r w:rsidRPr="006C017F">
        <w:t>patients to receive hospital-level care safely within their own homes.</w:t>
      </w:r>
    </w:p>
    <w:p w14:paraId="1382C309" w14:textId="55EF1ECC" w:rsidR="006C017F" w:rsidRDefault="006C017F" w:rsidP="00386C76">
      <w:r>
        <w:lastRenderedPageBreak/>
        <w:t>From the perspective of “</w:t>
      </w:r>
      <w:r w:rsidRPr="006C017F">
        <w:t>Rogers' Diffusion of Innovation Theory</w:t>
      </w:r>
      <w:r>
        <w:t xml:space="preserve">” innovation healthcare is </w:t>
      </w:r>
      <w:r w:rsidRPr="006C017F">
        <w:t>readily adopted when their advantages are visible and compatible with existing clinical practice</w:t>
      </w:r>
      <w:r>
        <w:t xml:space="preserve">. In this regard, the virtual wards reflect the </w:t>
      </w:r>
      <w:r w:rsidRPr="006C017F">
        <w:t>principle by integrating familiar digital technologies into established care pathways rather than replacing professional judgement.</w:t>
      </w:r>
      <w:r>
        <w:t xml:space="preserve"> As a result, the patients are expected to get benefited from the </w:t>
      </w:r>
      <w:r w:rsidRPr="006C017F">
        <w:t>greater comfort, reduced exposure to hospital-acquired infections and increased independence.</w:t>
      </w:r>
      <w:r>
        <w:t xml:space="preserve"> In addition, the healthcare professionals who are being involved in this system gain </w:t>
      </w:r>
      <w:r w:rsidRPr="006C017F">
        <w:t>improved bed availability and more efficient resource allocation</w:t>
      </w:r>
      <w:r>
        <w:t xml:space="preserve">. The NHS is the key beneficiary of it because it </w:t>
      </w:r>
      <w:r w:rsidRPr="006C017F">
        <w:t>benefits from reduced hospital occupancy and enhanced service capacity</w:t>
      </w:r>
      <w:r w:rsidR="00240338">
        <w:t xml:space="preserve"> </w:t>
      </w:r>
      <w:r w:rsidR="00240338" w:rsidRPr="00240338">
        <w:t>(</w:t>
      </w:r>
      <w:proofErr w:type="spellStart"/>
      <w:r w:rsidR="00240338" w:rsidRPr="00240338">
        <w:t>Turkoski</w:t>
      </w:r>
      <w:proofErr w:type="spellEnd"/>
      <w:r w:rsidR="00240338" w:rsidRPr="00240338">
        <w:t>, 2023)</w:t>
      </w:r>
      <w:r w:rsidRPr="006C017F">
        <w:t>.</w:t>
      </w:r>
      <w:r>
        <w:t xml:space="preserve"> Since the model integrates different </w:t>
      </w:r>
      <w:r w:rsidRPr="006C017F">
        <w:t>technological innovation with multidisciplinary collaboration</w:t>
      </w:r>
      <w:r>
        <w:t xml:space="preserve">, the virtual ward arrangement can be </w:t>
      </w:r>
      <w:r w:rsidRPr="006C017F">
        <w:t>potential for wider implementation across community-based health and social care services.</w:t>
      </w:r>
    </w:p>
    <w:p w14:paraId="04F20319" w14:textId="77777777" w:rsidR="0098402C" w:rsidRDefault="0098402C" w:rsidP="006C017F">
      <w:pPr>
        <w:pStyle w:val="Heading1"/>
      </w:pPr>
      <w:bookmarkStart w:id="5" w:name="_Toc236302598"/>
    </w:p>
    <w:p w14:paraId="4C0373FF" w14:textId="410F59BA" w:rsidR="006C017F" w:rsidRDefault="006C017F" w:rsidP="006C017F">
      <w:pPr>
        <w:pStyle w:val="Heading1"/>
      </w:pPr>
      <w:r w:rsidRPr="006C017F">
        <w:t>Task 5 - Research Task</w:t>
      </w:r>
      <w:bookmarkEnd w:id="5"/>
    </w:p>
    <w:p w14:paraId="743A0F22" w14:textId="51E3FF92" w:rsidR="006C017F" w:rsidRDefault="006C017F" w:rsidP="006C017F">
      <w:r>
        <w:t>Current Issue: Staff Burnout</w:t>
      </w:r>
    </w:p>
    <w:p w14:paraId="006EBE3D" w14:textId="0F2540DB" w:rsidR="006C017F" w:rsidRDefault="006C017F" w:rsidP="006C017F">
      <w:r>
        <w:t>The “</w:t>
      </w:r>
      <w:r w:rsidRPr="006C017F">
        <w:t>Staff Burnout</w:t>
      </w:r>
      <w:r>
        <w:t xml:space="preserve">” has become burning question in healthcare setting because </w:t>
      </w:r>
      <w:r w:rsidRPr="006C017F">
        <w:t>sustained workload pressures reduce workforce wellbeing and compromise care quality</w:t>
      </w:r>
      <w:r w:rsidR="00240338">
        <w:t xml:space="preserve"> </w:t>
      </w:r>
      <w:r w:rsidR="00240338" w:rsidRPr="00240338">
        <w:t>(Murphy, 2023)</w:t>
      </w:r>
      <w:r w:rsidRPr="006C017F">
        <w:t>.</w:t>
      </w:r>
      <w:r w:rsidR="00AD7CDB">
        <w:t xml:space="preserve"> For example, </w:t>
      </w:r>
      <w:r w:rsidR="00AD7CDB" w:rsidRPr="00AD7CDB">
        <w:t>Maslach's Burnout Theory</w:t>
      </w:r>
      <w:r w:rsidR="00AD7CDB">
        <w:t xml:space="preserve"> posits that </w:t>
      </w:r>
      <w:r w:rsidR="00AD7CDB" w:rsidRPr="00AD7CDB">
        <w:t>exhaustion, depersonalisation and reduced personal accomplishment develop</w:t>
      </w:r>
      <w:r w:rsidR="00AD7CDB">
        <w:t xml:space="preserve"> once the professional </w:t>
      </w:r>
      <w:r w:rsidR="00AD7CDB" w:rsidRPr="00AD7CDB">
        <w:t>demands consistently exceed available resources</w:t>
      </w:r>
      <w:r w:rsidR="00AD7CDB">
        <w:t xml:space="preserve">. According to West et., al. (2019), the </w:t>
      </w:r>
      <w:r w:rsidR="00AD7CDB" w:rsidRPr="00AD7CDB">
        <w:t>excessive workload, administrative burden and poor organisational support</w:t>
      </w:r>
      <w:r w:rsidR="00AD7CDB">
        <w:t xml:space="preserve"> are the key determinants of </w:t>
      </w:r>
      <w:r w:rsidR="00AD7CDB" w:rsidRPr="00AD7CDB">
        <w:t>burnout among healthcare professionals.</w:t>
      </w:r>
      <w:r w:rsidR="00AD7CDB">
        <w:t xml:space="preserve"> The research later critically analysed that </w:t>
      </w:r>
      <w:r w:rsidR="00AD7CDB" w:rsidRPr="00AD7CDB">
        <w:t>burnout is associated with reduced job satisfaction, increased staff turnover and lower patient safety.</w:t>
      </w:r>
    </w:p>
    <w:p w14:paraId="59FF68CA" w14:textId="68881E24" w:rsidR="00AD7CDB" w:rsidRDefault="00AD7CDB" w:rsidP="006C017F">
      <w:r w:rsidRPr="00AD7CDB">
        <w:t>Woo et al. (2020)</w:t>
      </w:r>
      <w:r>
        <w:t xml:space="preserve"> came to demonstrate that the excessive emotional demands and </w:t>
      </w:r>
      <w:r w:rsidRPr="00AD7CDB">
        <w:t>inadequate staffing significantly increase burnout among nurses</w:t>
      </w:r>
      <w:r>
        <w:t xml:space="preserve"> and it also influences the </w:t>
      </w:r>
      <w:r w:rsidRPr="00AD7CDB">
        <w:t>both psychological wellbeing and quality of patient care.</w:t>
      </w:r>
      <w:r>
        <w:t xml:space="preserve"> the study also demonstrated that the burnout </w:t>
      </w:r>
      <w:r w:rsidRPr="00AD7CDB">
        <w:t>results primarily from organisational factors rather than personal weakness.</w:t>
      </w:r>
      <w:r>
        <w:t xml:space="preserve"> It then suggests improved leadership, supportive leadership and </w:t>
      </w:r>
      <w:r w:rsidRPr="00AD7CDB">
        <w:t>staff wellbeing initiatives</w:t>
      </w:r>
      <w:r>
        <w:t xml:space="preserve"> for </w:t>
      </w:r>
      <w:r w:rsidRPr="00AD7CDB">
        <w:t>delivering safe, sustainable and high-quality health and social care services</w:t>
      </w:r>
      <w:r w:rsidR="00240338">
        <w:t xml:space="preserve"> </w:t>
      </w:r>
      <w:r w:rsidR="00240338" w:rsidRPr="00240338">
        <w:t>(</w:t>
      </w:r>
      <w:proofErr w:type="spellStart"/>
      <w:r w:rsidR="00240338" w:rsidRPr="00240338">
        <w:t>Gorter</w:t>
      </w:r>
      <w:proofErr w:type="spellEnd"/>
      <w:r w:rsidR="00240338" w:rsidRPr="00240338">
        <w:t xml:space="preserve"> and Freeman, 2022)</w:t>
      </w:r>
      <w:r w:rsidRPr="00AD7CDB">
        <w:t>.</w:t>
      </w:r>
      <w:r>
        <w:t xml:space="preserve"> These studies came to suggest that availability improved workforce planning can mitigate the staff burnout significantly.</w:t>
      </w:r>
    </w:p>
    <w:p w14:paraId="2E53ECD4" w14:textId="77777777" w:rsidR="0098402C" w:rsidRDefault="0098402C" w:rsidP="00A73037">
      <w:pPr>
        <w:pStyle w:val="Heading1"/>
      </w:pPr>
      <w:bookmarkStart w:id="6" w:name="_Toc236302599"/>
    </w:p>
    <w:p w14:paraId="7E7F48B3" w14:textId="77777777" w:rsidR="0098402C" w:rsidRDefault="0098402C" w:rsidP="00A73037">
      <w:pPr>
        <w:pStyle w:val="Heading1"/>
      </w:pPr>
    </w:p>
    <w:p w14:paraId="627B6940" w14:textId="77777777" w:rsidR="0098402C" w:rsidRDefault="0098402C" w:rsidP="00A73037">
      <w:pPr>
        <w:pStyle w:val="Heading1"/>
      </w:pPr>
    </w:p>
    <w:p w14:paraId="5757B81D" w14:textId="7414F156" w:rsidR="00A73037" w:rsidRDefault="00A73037" w:rsidP="00A73037">
      <w:pPr>
        <w:pStyle w:val="Heading1"/>
      </w:pPr>
      <w:r w:rsidRPr="00A73037">
        <w:t>Task 6 - Exploring Digital Innovation in Health and Social Care</w:t>
      </w:r>
      <w:bookmarkEnd w:id="6"/>
    </w:p>
    <w:p w14:paraId="60CC847D" w14:textId="77777777" w:rsidR="00A73037" w:rsidRDefault="00A73037" w:rsidP="006C017F">
      <w:r w:rsidRPr="00A73037">
        <w:rPr>
          <w:b/>
          <w:bCs/>
        </w:rPr>
        <w:t>Benefit of using wearable health technologies</w:t>
      </w:r>
      <w:r>
        <w:t xml:space="preserve">: </w:t>
      </w:r>
    </w:p>
    <w:p w14:paraId="72C08602" w14:textId="6CB647C6" w:rsidR="00AD7CDB" w:rsidRDefault="00A73037" w:rsidP="006C017F">
      <w:r>
        <w:t xml:space="preserve">The key benefit of </w:t>
      </w:r>
      <w:r w:rsidRPr="00A73037">
        <w:t>wearable health technologies is continuous monitoring</w:t>
      </w:r>
      <w:r>
        <w:t xml:space="preserve"> because it enables the </w:t>
      </w:r>
      <w:r w:rsidRPr="00A73037">
        <w:t>earlier detection of changes in chronic health conditions.</w:t>
      </w:r>
      <w:r>
        <w:t xml:space="preserve"> For example, ‘</w:t>
      </w:r>
      <w:r w:rsidRPr="00A73037">
        <w:t>smartwatches</w:t>
      </w:r>
      <w:r>
        <w:t xml:space="preserve">’ is expected to keep recording the patient’s </w:t>
      </w:r>
      <w:r w:rsidRPr="00A73037">
        <w:t>heart rate, physical activity and oxygen saturation in real time</w:t>
      </w:r>
      <w:r>
        <w:t xml:space="preserve">. So, it enables the </w:t>
      </w:r>
      <w:r w:rsidRPr="00A73037">
        <w:t>healthcare professionals to identify deterioration before complications occur.</w:t>
      </w:r>
      <w:r>
        <w:t xml:space="preserve"> For instance, the patients with chronic heart disease might </w:t>
      </w:r>
      <w:r w:rsidRPr="00A73037">
        <w:t>be monitored remotely, enabling timely intervention and reducing unnecessary hospital admissions</w:t>
      </w:r>
      <w:r w:rsidR="00240338">
        <w:t xml:space="preserve"> </w:t>
      </w:r>
      <w:r w:rsidR="00240338" w:rsidRPr="00240338">
        <w:t>(Satish Nambisan, Kalle Lyytinen and Yoo, 2020)</w:t>
      </w:r>
      <w:r w:rsidRPr="00A73037">
        <w:t>.</w:t>
      </w:r>
      <w:r>
        <w:t xml:space="preserve"> The “</w:t>
      </w:r>
      <w:r w:rsidRPr="00A73037">
        <w:t>Technology Acceptance Model</w:t>
      </w:r>
      <w:r>
        <w:t xml:space="preserve">” relates that </w:t>
      </w:r>
      <w:r w:rsidRPr="00A73037">
        <w:t>healthcare technologies are more likely to improve care when users perceive them as useful</w:t>
      </w:r>
      <w:r>
        <w:t>, conducive</w:t>
      </w:r>
      <w:r w:rsidRPr="00A73037">
        <w:t xml:space="preserve"> and easy to use</w:t>
      </w:r>
      <w:r>
        <w:t xml:space="preserve">. For this reason, the wearable technologies can improve </w:t>
      </w:r>
      <w:r w:rsidRPr="00A73037">
        <w:t>self-management while supporting proactive clinical decision-making.</w:t>
      </w:r>
      <w:r>
        <w:t xml:space="preserve"> </w:t>
      </w:r>
    </w:p>
    <w:p w14:paraId="40BB8E4B" w14:textId="764E98C7" w:rsidR="00A73037" w:rsidRDefault="00A73037">
      <w:pPr>
        <w:spacing w:after="160" w:line="278" w:lineRule="auto"/>
        <w:jc w:val="left"/>
      </w:pPr>
      <w:r>
        <w:br w:type="page"/>
      </w:r>
    </w:p>
    <w:p w14:paraId="4047F9B6" w14:textId="2945D7FF" w:rsidR="00A73037" w:rsidRPr="00A73037" w:rsidRDefault="00A73037" w:rsidP="006C017F">
      <w:pPr>
        <w:rPr>
          <w:b/>
          <w:bCs/>
        </w:rPr>
      </w:pPr>
      <w:r w:rsidRPr="00A73037">
        <w:rPr>
          <w:b/>
          <w:bCs/>
        </w:rPr>
        <w:lastRenderedPageBreak/>
        <w:t>Electronic Health Records and Healthcare</w:t>
      </w:r>
    </w:p>
    <w:p w14:paraId="6DA606A4" w14:textId="62883D83" w:rsidR="00A73037" w:rsidRDefault="00A73037" w:rsidP="006C017F">
      <w:r>
        <w:t xml:space="preserve">This technology is expected to enhance </w:t>
      </w:r>
      <w:r w:rsidRPr="00A73037">
        <w:t>communication by providing authorized healthcare professionals with immediate access to accurate and up-to-date patient information.</w:t>
      </w:r>
      <w:r>
        <w:t xml:space="preserve"> Doctors, nurses, staff and </w:t>
      </w:r>
      <w:r w:rsidRPr="00A73037">
        <w:t>health professionals</w:t>
      </w:r>
      <w:r>
        <w:t xml:space="preserve"> can </w:t>
      </w:r>
      <w:r w:rsidRPr="00A73037">
        <w:t>review the same clinical history, treatment plans and medication records, reducing duplication and communication errors</w:t>
      </w:r>
      <w:r w:rsidR="00240338">
        <w:t xml:space="preserve"> </w:t>
      </w:r>
      <w:r w:rsidR="00240338" w:rsidRPr="00240338">
        <w:t>(</w:t>
      </w:r>
      <w:proofErr w:type="spellStart"/>
      <w:r w:rsidR="00240338" w:rsidRPr="00240338">
        <w:t>Oelhafen</w:t>
      </w:r>
      <w:proofErr w:type="spellEnd"/>
      <w:r w:rsidR="00240338" w:rsidRPr="00240338">
        <w:t>, 2024)</w:t>
      </w:r>
      <w:r w:rsidRPr="00A73037">
        <w:t>.</w:t>
      </w:r>
      <w:r>
        <w:t xml:space="preserve"> For Instance, the </w:t>
      </w:r>
      <w:r w:rsidRPr="00A73037">
        <w:t>patient's allergy information</w:t>
      </w:r>
      <w:r w:rsidR="00250A10">
        <w:t xml:space="preserve"> </w:t>
      </w:r>
      <w:r w:rsidR="00250A10" w:rsidRPr="00250A10">
        <w:t xml:space="preserve">recorded in an </w:t>
      </w:r>
      <w:r w:rsidR="00250A10">
        <w:t xml:space="preserve">HER can be assessed, evaluated promptly that improves the patient safety and comfort. From the perspective of TAM, it suggests that </w:t>
      </w:r>
      <w:r w:rsidR="00250A10" w:rsidRPr="00250A10">
        <w:t>healthcare professionals are more willing to use digital systems when they improve efficiency and clinical performance</w:t>
      </w:r>
      <w:r w:rsidR="00250A10">
        <w:t>.</w:t>
      </w:r>
    </w:p>
    <w:p w14:paraId="07CF93D2" w14:textId="177AF67B" w:rsidR="0098402C" w:rsidRDefault="0098402C" w:rsidP="006C017F">
      <w:r>
        <w:rPr>
          <w:noProof/>
        </w:rPr>
        <w:drawing>
          <wp:inline distT="0" distB="0" distL="0" distR="0" wp14:anchorId="634E8D0C" wp14:editId="642DE166">
            <wp:extent cx="2772383" cy="6008377"/>
            <wp:effectExtent l="0" t="0" r="0" b="0"/>
            <wp:docPr id="1369407270" name="Picture 1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9407270" name="Picture 1" descr="A screenshot of a phone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7505" cy="6127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00A0CA" w14:textId="1ACB4C39" w:rsidR="00250A10" w:rsidRPr="00250A10" w:rsidRDefault="00250A10" w:rsidP="006C017F">
      <w:pPr>
        <w:rPr>
          <w:b/>
          <w:bCs/>
        </w:rPr>
      </w:pPr>
      <w:r w:rsidRPr="00250A10">
        <w:rPr>
          <w:b/>
          <w:bCs/>
        </w:rPr>
        <w:lastRenderedPageBreak/>
        <w:t>Digital Technology for Preventative Care and Health Promotion</w:t>
      </w:r>
    </w:p>
    <w:p w14:paraId="6F46BCE6" w14:textId="34990857" w:rsidR="00250A10" w:rsidRDefault="00250A10" w:rsidP="006C017F">
      <w:r>
        <w:t xml:space="preserve">Digital technology advocates for the </w:t>
      </w:r>
      <w:r w:rsidRPr="00250A10">
        <w:t>preventative care</w:t>
      </w:r>
      <w:r>
        <w:t xml:space="preserve"> through encouraging the patients to</w:t>
      </w:r>
      <w:r w:rsidRPr="00250A10">
        <w:t xml:space="preserve"> recognise health risks and adopt healthier behaviours before illness develops.</w:t>
      </w:r>
      <w:r>
        <w:t xml:space="preserve"> For example, the mobile health applications like </w:t>
      </w:r>
      <w:r w:rsidRPr="00250A10">
        <w:t>wearable devices and NHS digital platforms</w:t>
      </w:r>
      <w:r>
        <w:t xml:space="preserve"> deliver </w:t>
      </w:r>
      <w:r w:rsidRPr="00250A10">
        <w:t>personalised reminders for physical activity, medication adherence and health screening</w:t>
      </w:r>
      <w:r w:rsidR="00240338">
        <w:t xml:space="preserve"> </w:t>
      </w:r>
      <w:r w:rsidR="00240338" w:rsidRPr="00240338">
        <w:t>(</w:t>
      </w:r>
      <w:proofErr w:type="spellStart"/>
      <w:r w:rsidR="00240338" w:rsidRPr="00240338">
        <w:t>Oelhafen</w:t>
      </w:r>
      <w:proofErr w:type="spellEnd"/>
      <w:r w:rsidR="00240338" w:rsidRPr="00240338">
        <w:t>, 2024)</w:t>
      </w:r>
      <w:r w:rsidRPr="00250A10">
        <w:t>.</w:t>
      </w:r>
      <w:r>
        <w:t xml:space="preserve"> “National Health System Better Health” program is expected to promote the </w:t>
      </w:r>
      <w:r w:rsidRPr="00250A10">
        <w:t>healthier eating, weight management and regular exercise through online guidance and behaviour-tracking tools.</w:t>
      </w:r>
      <w:r>
        <w:t xml:space="preserve"> It involves in increasing the health awareness among the people and supporting the </w:t>
      </w:r>
      <w:r w:rsidRPr="00250A10">
        <w:t>early interventio</w:t>
      </w:r>
      <w:r>
        <w:t xml:space="preserve">n. in addition, these innovations are expected to decline </w:t>
      </w:r>
      <w:r w:rsidRPr="00250A10">
        <w:t>preventable disease and promote healthier lifestyles.</w:t>
      </w:r>
      <w:r>
        <w:t xml:space="preserve"> However, the success of these digital technologies relies upon the </w:t>
      </w:r>
      <w:r w:rsidRPr="00250A10">
        <w:t>users recognising their value and actively engaging with the technology</w:t>
      </w:r>
      <w:r>
        <w:t>.</w:t>
      </w:r>
    </w:p>
    <w:p w14:paraId="0F6D2AC0" w14:textId="77777777" w:rsidR="0098402C" w:rsidRDefault="0098402C" w:rsidP="00250A10">
      <w:pPr>
        <w:pStyle w:val="Heading1"/>
      </w:pPr>
      <w:bookmarkStart w:id="7" w:name="_Toc236302600"/>
    </w:p>
    <w:p w14:paraId="26154C98" w14:textId="3381A394" w:rsidR="00AD7CDB" w:rsidRDefault="00250A10" w:rsidP="00250A10">
      <w:pPr>
        <w:pStyle w:val="Heading1"/>
      </w:pPr>
      <w:r w:rsidRPr="00250A10">
        <w:t>Task 7 – Understanding the NHS Leadership Framework</w:t>
      </w:r>
      <w:bookmarkEnd w:id="7"/>
    </w:p>
    <w:p w14:paraId="1D13CADD" w14:textId="560F5E14" w:rsidR="00250A10" w:rsidRDefault="00250A10" w:rsidP="006C017F">
      <w:pPr>
        <w:rPr>
          <w:b/>
          <w:bCs/>
        </w:rPr>
      </w:pPr>
      <w:r w:rsidRPr="00250A10">
        <w:rPr>
          <w:b/>
          <w:bCs/>
        </w:rPr>
        <w:t>NHS Leadership Framework</w:t>
      </w:r>
    </w:p>
    <w:p w14:paraId="1A3C7D61" w14:textId="2DC2543B" w:rsidR="00250A10" w:rsidRPr="00250A10" w:rsidRDefault="00250A10" w:rsidP="006C017F">
      <w:r w:rsidRPr="00250A10">
        <w:t>NHS Healthcare Leadership Model</w:t>
      </w:r>
      <w:r>
        <w:t xml:space="preserve"> determines the key </w:t>
      </w:r>
      <w:r w:rsidRPr="00250A10">
        <w:t>leadership behaviours</w:t>
      </w:r>
      <w:r>
        <w:t xml:space="preserve"> that is required with in order to </w:t>
      </w:r>
      <w:r w:rsidRPr="00250A10">
        <w:t>deliver safe, compassionate and continuously improving health and social care services</w:t>
      </w:r>
      <w:r w:rsidR="00240338">
        <w:t xml:space="preserve"> </w:t>
      </w:r>
      <w:r w:rsidR="00240338" w:rsidRPr="00240338">
        <w:t>(NHS, 2013)</w:t>
      </w:r>
      <w:r w:rsidRPr="00250A10">
        <w:t>.</w:t>
      </w:r>
      <w:r>
        <w:t xml:space="preserve"> The healthcare leadership model focuses on the significant behaviours like </w:t>
      </w:r>
      <w:r w:rsidRPr="00250A10">
        <w:t>inspiring shared purpose, leading with care,</w:t>
      </w:r>
      <w:r w:rsidR="009C50D8">
        <w:t xml:space="preserve"> sharing vision,</w:t>
      </w:r>
      <w:r w:rsidRPr="00250A10">
        <w:t xml:space="preserve"> evaluating information, engaging the team, developing capability</w:t>
      </w:r>
      <w:r w:rsidR="009C50D8">
        <w:t xml:space="preserve">. These are really necessary to improve the patient’s outcome because these do not only focus </w:t>
      </w:r>
      <w:r w:rsidR="009C50D8" w:rsidRPr="009C50D8">
        <w:t>on management responsibilities, the framework encourages leaders at every level to promote collaboration</w:t>
      </w:r>
      <w:r w:rsidR="009C50D8">
        <w:t xml:space="preserve">. Promoting collaboration, learning and service quality improvement are necessary in </w:t>
      </w:r>
      <w:r w:rsidR="009C50D8" w:rsidRPr="009C50D8">
        <w:t>health and social care</w:t>
      </w:r>
      <w:r w:rsidR="009C50D8">
        <w:t xml:space="preserve"> where the successful leadership approach is expected to </w:t>
      </w:r>
      <w:r w:rsidR="009C50D8" w:rsidRPr="009C50D8">
        <w:t>patient safety, staff wellbeing and organisational performance</w:t>
      </w:r>
      <w:r w:rsidR="00240338">
        <w:t xml:space="preserve"> </w:t>
      </w:r>
      <w:r w:rsidR="00240338" w:rsidRPr="00240338">
        <w:t>(NHS, 2013)</w:t>
      </w:r>
      <w:r w:rsidR="009C50D8" w:rsidRPr="009C50D8">
        <w:t>.</w:t>
      </w:r>
      <w:r w:rsidR="009C50D8">
        <w:t xml:space="preserve"> The leadership framework also leads to innovation through promoting </w:t>
      </w:r>
      <w:r w:rsidR="009C50D8" w:rsidRPr="009C50D8">
        <w:t>leaders to create environments where staff feel confident to share ideas, challenge existing practice and participate in continuous improvement initiatives.</w:t>
      </w:r>
      <w:r w:rsidR="009C50D8">
        <w:t xml:space="preserve"> As a result, the leadership framework improves the </w:t>
      </w:r>
      <w:r w:rsidR="009C50D8" w:rsidRPr="009C50D8">
        <w:t>service quality and value creation by aligning professional behaviours</w:t>
      </w:r>
      <w:r w:rsidR="009C50D8">
        <w:t>.</w:t>
      </w:r>
    </w:p>
    <w:p w14:paraId="2F94868C" w14:textId="77777777" w:rsidR="0098402C" w:rsidRDefault="0098402C" w:rsidP="006C017F">
      <w:pPr>
        <w:rPr>
          <w:b/>
          <w:bCs/>
        </w:rPr>
      </w:pPr>
    </w:p>
    <w:p w14:paraId="59F1F8C7" w14:textId="6A0DD440" w:rsidR="00250A10" w:rsidRPr="001D37FF" w:rsidRDefault="009C50D8" w:rsidP="006C017F">
      <w:pPr>
        <w:rPr>
          <w:b/>
          <w:bCs/>
        </w:rPr>
      </w:pPr>
      <w:r w:rsidRPr="001D37FF">
        <w:rPr>
          <w:b/>
          <w:bCs/>
        </w:rPr>
        <w:t xml:space="preserve">Leadership </w:t>
      </w:r>
      <w:proofErr w:type="spellStart"/>
      <w:r w:rsidRPr="001D37FF">
        <w:rPr>
          <w:b/>
          <w:bCs/>
        </w:rPr>
        <w:t>Behaviour</w:t>
      </w:r>
      <w:proofErr w:type="spellEnd"/>
      <w:r w:rsidRPr="001D37FF">
        <w:rPr>
          <w:b/>
          <w:bCs/>
        </w:rPr>
        <w:t>: Leading with Care</w:t>
      </w:r>
    </w:p>
    <w:p w14:paraId="7E359C0E" w14:textId="148F52B6" w:rsidR="009C50D8" w:rsidRDefault="009C50D8" w:rsidP="006C017F">
      <w:r>
        <w:t>Among the different leadership behaviours, the “</w:t>
      </w:r>
      <w:r w:rsidRPr="009C50D8">
        <w:t>Leading with Care</w:t>
      </w:r>
      <w:r>
        <w:t>” is expected to play key role in promoting the creativity, collaboration and communication</w:t>
      </w:r>
      <w:r w:rsidR="00240338">
        <w:t xml:space="preserve"> </w:t>
      </w:r>
      <w:r w:rsidR="00240338" w:rsidRPr="00240338">
        <w:t>(Murphy, 2023)</w:t>
      </w:r>
      <w:r>
        <w:t xml:space="preserve">. Here, the leaders being involved demonstrates </w:t>
      </w:r>
      <w:r w:rsidRPr="009C50D8">
        <w:t>respect</w:t>
      </w:r>
      <w:r>
        <w:t>, empathy and</w:t>
      </w:r>
      <w:r w:rsidRPr="009C50D8">
        <w:t xml:space="preserve"> psychological safety create environments where healthcare professionals feel comfortable proposing new ideas without fear of criticism.</w:t>
      </w:r>
      <w:r>
        <w:t xml:space="preserve"> This leadership behaviour is related to the t</w:t>
      </w:r>
      <w:r w:rsidRPr="009C50D8">
        <w:t>ransformational Leadership Theory</w:t>
      </w:r>
      <w:r>
        <w:t xml:space="preserve"> where the </w:t>
      </w:r>
      <w:r>
        <w:lastRenderedPageBreak/>
        <w:t>supportive leaders encourage the employees by</w:t>
      </w:r>
      <w:r w:rsidRPr="009C50D8">
        <w:t xml:space="preserve"> encouragement, shared purpose and professional development</w:t>
      </w:r>
      <w:r>
        <w:t xml:space="preserve">. This type of leadership behaviour can encourage innovation, collaboration and enhances the </w:t>
      </w:r>
      <w:r w:rsidRPr="009C50D8">
        <w:t>multidisciplinary collaboration and ultimately enhances patient experiences through more responsive and compassionate care.</w:t>
      </w:r>
    </w:p>
    <w:p w14:paraId="7915D774" w14:textId="77777777" w:rsidR="0098402C" w:rsidRDefault="0098402C" w:rsidP="006C017F">
      <w:pPr>
        <w:rPr>
          <w:b/>
          <w:bCs/>
        </w:rPr>
      </w:pPr>
    </w:p>
    <w:p w14:paraId="415231CF" w14:textId="6FFA86E4" w:rsidR="009C50D8" w:rsidRPr="001D37FF" w:rsidRDefault="009C50D8" w:rsidP="006C017F">
      <w:pPr>
        <w:rPr>
          <w:b/>
          <w:bCs/>
        </w:rPr>
      </w:pPr>
      <w:r w:rsidRPr="001D37FF">
        <w:rPr>
          <w:b/>
          <w:bCs/>
        </w:rPr>
        <w:t>Reflective Learning</w:t>
      </w:r>
    </w:p>
    <w:p w14:paraId="426A80CF" w14:textId="263C8978" w:rsidR="009C50D8" w:rsidRDefault="009C50D8" w:rsidP="006C017F">
      <w:r>
        <w:t xml:space="preserve">The critical analysis of </w:t>
      </w:r>
      <w:r w:rsidRPr="009C50D8">
        <w:t>NHS Leadership Framework</w:t>
      </w:r>
      <w:r>
        <w:t xml:space="preserve"> improves my </w:t>
      </w:r>
      <w:r w:rsidRPr="009C50D8">
        <w:t>understanding that innovation depends not only on technology but also on effective leadership behaviours.</w:t>
      </w:r>
      <w:r>
        <w:t xml:space="preserve"> I now can recognise that the </w:t>
      </w:r>
      <w:r w:rsidR="001D37FF" w:rsidRPr="001D37FF">
        <w:t>creativity develops more successfully within supportive organisational cultures</w:t>
      </w:r>
      <w:r w:rsidR="001D37FF">
        <w:t xml:space="preserve"> because the </w:t>
      </w:r>
      <w:r w:rsidR="001D37FF" w:rsidRPr="001D37FF">
        <w:t>continuous learning</w:t>
      </w:r>
      <w:r w:rsidR="001D37FF">
        <w:t xml:space="preserve"> is necessary to pursue the creativity at the workplace. This understanding will impact on the future professional learning by encouraging </w:t>
      </w:r>
      <w:r w:rsidR="001D37FF" w:rsidRPr="001D37FF">
        <w:t>me to communicate openly, value diverse perspectives and contribute actively to service improvement initiatives</w:t>
      </w:r>
      <w:r w:rsidR="001D37FF">
        <w:t xml:space="preserve">. </w:t>
      </w:r>
    </w:p>
    <w:p w14:paraId="12682C87" w14:textId="77777777" w:rsidR="0098402C" w:rsidRDefault="0098402C" w:rsidP="00B91DDD">
      <w:pPr>
        <w:pStyle w:val="Heading1"/>
      </w:pPr>
      <w:bookmarkStart w:id="8" w:name="_Toc236302601"/>
    </w:p>
    <w:p w14:paraId="33707947" w14:textId="55F77C4B" w:rsidR="00B91DDD" w:rsidRDefault="00B91DDD" w:rsidP="00B91DDD">
      <w:pPr>
        <w:pStyle w:val="Heading1"/>
      </w:pPr>
      <w:r w:rsidRPr="00B91DDD">
        <w:t>Task 8 – Self-Reflection Journal Entry</w:t>
      </w:r>
      <w:bookmarkEnd w:id="8"/>
    </w:p>
    <w:p w14:paraId="4E9F9243" w14:textId="16252E57" w:rsidR="00B91DDD" w:rsidRDefault="00B91DDD" w:rsidP="006C017F">
      <w:r>
        <w:t xml:space="preserve">Through this module, I come to understand the </w:t>
      </w:r>
      <w:r w:rsidRPr="00B91DDD">
        <w:t>creativity, innovation, and value creation</w:t>
      </w:r>
      <w:r>
        <w:t xml:space="preserve"> in health and social care setting.</w:t>
      </w:r>
      <w:r w:rsidR="004869C9">
        <w:t xml:space="preserve"> This module, </w:t>
      </w:r>
      <w:r w:rsidR="004869C9" w:rsidRPr="004869C9">
        <w:t>significantly broadened my understanding of how creativity, innovation and value creation contribute to improving health and social care.</w:t>
      </w:r>
      <w:r w:rsidR="004869C9">
        <w:t xml:space="preserve"> For example, I viewed the innovation as </w:t>
      </w:r>
      <w:r w:rsidR="004869C9" w:rsidRPr="004869C9">
        <w:t>introduction of new technologies</w:t>
      </w:r>
      <w:r w:rsidR="004869C9">
        <w:t xml:space="preserve"> but the broad examination helped me recognise </w:t>
      </w:r>
      <w:r w:rsidR="004869C9" w:rsidRPr="004869C9">
        <w:t>that meaningful innovation also depends on collaboration, evidence-based decision-making and person-centred leadership.</w:t>
      </w:r>
    </w:p>
    <w:p w14:paraId="29CC8416" w14:textId="07D52F18" w:rsidR="001D37FF" w:rsidRDefault="004869C9" w:rsidP="006C017F">
      <w:r w:rsidRPr="004869C9">
        <w:t>Gibbs' Reflective Cycle</w:t>
      </w:r>
      <w:r>
        <w:t xml:space="preserve"> (1998) enabled me to evaluate </w:t>
      </w:r>
      <w:r w:rsidRPr="004869C9">
        <w:t>not only what I learned but also how my thinking developed throughout the module.</w:t>
      </w:r>
      <w:r>
        <w:t xml:space="preserve"> Especially, evaluating the NHS innovations and the leadership framework </w:t>
      </w:r>
      <w:r w:rsidRPr="004869C9">
        <w:t>demonstrated that sustainable improvements arise when creative ideas are effectively implemented and supported by multidisciplinary teamwork.</w:t>
      </w:r>
      <w:r>
        <w:t xml:space="preserve"> The learning I gained through the module has enhanced my </w:t>
      </w:r>
      <w:r w:rsidRPr="004869C9">
        <w:t>confidence in using reflective practice to evaluate my own performance</w:t>
      </w:r>
      <w:r>
        <w:t>.</w:t>
      </w:r>
    </w:p>
    <w:p w14:paraId="72919BFB" w14:textId="4ADC9E6A" w:rsidR="00240338" w:rsidRDefault="0098402C">
      <w:pPr>
        <w:spacing w:after="160" w:line="278" w:lineRule="auto"/>
        <w:jc w:val="left"/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0CB616A9" wp14:editId="5CD7F70F">
            <wp:extent cx="3835021" cy="4464996"/>
            <wp:effectExtent l="0" t="0" r="635" b="5715"/>
            <wp:docPr id="1854252043" name="Picture 2" descr="A screenshot of a cell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4252043" name="Picture 2" descr="A screenshot of a cellphone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4413" cy="4801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40338">
        <w:rPr>
          <w:b/>
          <w:bCs/>
        </w:rPr>
        <w:br w:type="page"/>
      </w:r>
    </w:p>
    <w:p w14:paraId="36E2211F" w14:textId="77777777" w:rsidR="00240338" w:rsidRPr="00240338" w:rsidRDefault="00240338" w:rsidP="00240338">
      <w:pPr>
        <w:pStyle w:val="Heading1"/>
        <w:rPr>
          <w:rFonts w:eastAsia="Times New Roman"/>
        </w:rPr>
      </w:pPr>
      <w:bookmarkStart w:id="9" w:name="_Toc236302602"/>
      <w:r w:rsidRPr="00240338">
        <w:rPr>
          <w:rFonts w:eastAsia="Times New Roman"/>
        </w:rPr>
        <w:lastRenderedPageBreak/>
        <w:t>Reference list</w:t>
      </w:r>
      <w:bookmarkEnd w:id="9"/>
    </w:p>
    <w:p w14:paraId="1C1D6609" w14:textId="77777777" w:rsidR="00240338" w:rsidRPr="00240338" w:rsidRDefault="00240338" w:rsidP="00240338">
      <w:pPr>
        <w:pStyle w:val="ListParagraph"/>
        <w:numPr>
          <w:ilvl w:val="0"/>
          <w:numId w:val="1"/>
        </w:numPr>
        <w:ind w:left="360"/>
      </w:pPr>
      <w:r w:rsidRPr="00240338">
        <w:t xml:space="preserve">Alan T. </w:t>
      </w:r>
      <w:proofErr w:type="spellStart"/>
      <w:r w:rsidRPr="00240338">
        <w:t>Belasen</w:t>
      </w:r>
      <w:proofErr w:type="spellEnd"/>
      <w:r w:rsidRPr="00240338">
        <w:t xml:space="preserve">, </w:t>
      </w:r>
      <w:proofErr w:type="spellStart"/>
      <w:proofErr w:type="gramStart"/>
      <w:r w:rsidRPr="00240338">
        <w:t>Ph.D</w:t>
      </w:r>
      <w:proofErr w:type="spellEnd"/>
      <w:proofErr w:type="gramEnd"/>
      <w:r w:rsidRPr="00240338">
        <w:t xml:space="preserve">, Barry Eisenberg, </w:t>
      </w:r>
      <w:proofErr w:type="spellStart"/>
      <w:proofErr w:type="gramStart"/>
      <w:r w:rsidRPr="00240338">
        <w:t>Ph.D</w:t>
      </w:r>
      <w:proofErr w:type="spellEnd"/>
      <w:proofErr w:type="gramEnd"/>
      <w:r w:rsidRPr="00240338">
        <w:t xml:space="preserve"> and Jill Borgos, </w:t>
      </w:r>
      <w:proofErr w:type="spellStart"/>
      <w:proofErr w:type="gramStart"/>
      <w:r w:rsidRPr="00240338">
        <w:t>Ph.D</w:t>
      </w:r>
      <w:proofErr w:type="spellEnd"/>
      <w:proofErr w:type="gramEnd"/>
      <w:r w:rsidRPr="00240338">
        <w:t xml:space="preserve"> (2024). </w:t>
      </w:r>
      <w:r w:rsidRPr="00240338">
        <w:rPr>
          <w:i/>
          <w:iCs/>
        </w:rPr>
        <w:t>Transforming leadership, improving the patient experience</w:t>
      </w:r>
      <w:r w:rsidRPr="00240338">
        <w:t>. CRC Press.</w:t>
      </w:r>
    </w:p>
    <w:p w14:paraId="2EE0393E" w14:textId="77777777" w:rsidR="00240338" w:rsidRPr="00240338" w:rsidRDefault="00240338" w:rsidP="00240338">
      <w:pPr>
        <w:pStyle w:val="ListParagraph"/>
        <w:numPr>
          <w:ilvl w:val="0"/>
          <w:numId w:val="1"/>
        </w:numPr>
        <w:ind w:left="360"/>
      </w:pPr>
      <w:proofErr w:type="spellStart"/>
      <w:r w:rsidRPr="00240338">
        <w:t>Gorter</w:t>
      </w:r>
      <w:proofErr w:type="spellEnd"/>
      <w:r w:rsidRPr="00240338">
        <w:t xml:space="preserve">, R.C. and Freeman, R. (2022). Burnout and engagement in relation with job demands and resources among dental staff in Northern Ireland. </w:t>
      </w:r>
      <w:r w:rsidRPr="00240338">
        <w:rPr>
          <w:i/>
          <w:iCs/>
        </w:rPr>
        <w:t>Community Dentistry and Oral Epidemiology</w:t>
      </w:r>
      <w:r w:rsidRPr="00240338">
        <w:t>, 39(1), pp.87–95. doi:10.1111/j.1600-0528.2010.</w:t>
      </w:r>
      <w:proofErr w:type="gramStart"/>
      <w:r w:rsidRPr="00240338">
        <w:t>00568.x.</w:t>
      </w:r>
      <w:proofErr w:type="gramEnd"/>
    </w:p>
    <w:p w14:paraId="6B00CE6C" w14:textId="77777777" w:rsidR="00240338" w:rsidRPr="00240338" w:rsidRDefault="00240338" w:rsidP="00240338">
      <w:pPr>
        <w:pStyle w:val="ListParagraph"/>
        <w:numPr>
          <w:ilvl w:val="0"/>
          <w:numId w:val="1"/>
        </w:numPr>
        <w:ind w:left="360"/>
      </w:pPr>
      <w:r w:rsidRPr="00240338">
        <w:t xml:space="preserve">Greener, T. and Hughes, M. (2024). Managing change before change management. </w:t>
      </w:r>
      <w:r w:rsidRPr="00240338">
        <w:rPr>
          <w:i/>
          <w:iCs/>
        </w:rPr>
        <w:t>Strategic Change</w:t>
      </w:r>
      <w:r w:rsidRPr="00240338">
        <w:t>, 15(4), pp.205–212. doi:10.1002/jsc.762.</w:t>
      </w:r>
    </w:p>
    <w:p w14:paraId="18FBE957" w14:textId="77777777" w:rsidR="00240338" w:rsidRPr="00240338" w:rsidRDefault="00240338" w:rsidP="00240338">
      <w:pPr>
        <w:pStyle w:val="ListParagraph"/>
        <w:numPr>
          <w:ilvl w:val="0"/>
          <w:numId w:val="1"/>
        </w:numPr>
        <w:ind w:left="360"/>
      </w:pPr>
      <w:r w:rsidRPr="00240338">
        <w:t xml:space="preserve">Menon, </w:t>
      </w:r>
      <w:proofErr w:type="spellStart"/>
      <w:r w:rsidRPr="00240338">
        <w:t>Arun.B</w:t>
      </w:r>
      <w:proofErr w:type="spellEnd"/>
      <w:r w:rsidRPr="00240338">
        <w:t xml:space="preserve">. (2020). value and value co-creation. </w:t>
      </w:r>
      <w:r w:rsidRPr="00240338">
        <w:rPr>
          <w:i/>
          <w:iCs/>
        </w:rPr>
        <w:t xml:space="preserve">Global Journal </w:t>
      </w:r>
      <w:proofErr w:type="gramStart"/>
      <w:r w:rsidRPr="00240338">
        <w:rPr>
          <w:i/>
          <w:iCs/>
        </w:rPr>
        <w:t>For</w:t>
      </w:r>
      <w:proofErr w:type="gramEnd"/>
      <w:r w:rsidRPr="00240338">
        <w:rPr>
          <w:i/>
          <w:iCs/>
        </w:rPr>
        <w:t xml:space="preserve"> Research Analysis</w:t>
      </w:r>
      <w:r w:rsidRPr="00240338">
        <w:t>, 3(1), pp.42–43. doi:10.15373/22778160/january2014/33.</w:t>
      </w:r>
    </w:p>
    <w:p w14:paraId="13337BDC" w14:textId="77777777" w:rsidR="00240338" w:rsidRPr="00240338" w:rsidRDefault="00240338" w:rsidP="00240338">
      <w:pPr>
        <w:pStyle w:val="ListParagraph"/>
        <w:numPr>
          <w:ilvl w:val="0"/>
          <w:numId w:val="1"/>
        </w:numPr>
        <w:ind w:left="360"/>
      </w:pPr>
      <w:r w:rsidRPr="00240338">
        <w:t xml:space="preserve">Mullins, C. and Constable, G. (2024). </w:t>
      </w:r>
      <w:r w:rsidRPr="00240338">
        <w:rPr>
          <w:i/>
          <w:iCs/>
        </w:rPr>
        <w:t>Leadership and teambuilding in primary care</w:t>
      </w:r>
      <w:r w:rsidRPr="00240338">
        <w:t xml:space="preserve">. </w:t>
      </w:r>
      <w:proofErr w:type="gramStart"/>
      <w:r w:rsidRPr="00240338">
        <w:t>Oxford ;</w:t>
      </w:r>
      <w:proofErr w:type="gramEnd"/>
      <w:r w:rsidRPr="00240338">
        <w:t xml:space="preserve"> New York: Radcliffe.</w:t>
      </w:r>
    </w:p>
    <w:p w14:paraId="392364D0" w14:textId="77777777" w:rsidR="00240338" w:rsidRPr="00240338" w:rsidRDefault="00240338" w:rsidP="00240338">
      <w:pPr>
        <w:pStyle w:val="ListParagraph"/>
        <w:numPr>
          <w:ilvl w:val="0"/>
          <w:numId w:val="1"/>
        </w:numPr>
        <w:ind w:left="360"/>
      </w:pPr>
      <w:r w:rsidRPr="00240338">
        <w:t xml:space="preserve">Murphy, D.H. (2023). </w:t>
      </w:r>
      <w:r w:rsidRPr="00240338">
        <w:rPr>
          <w:i/>
          <w:iCs/>
        </w:rPr>
        <w:t>Staff burnout</w:t>
      </w:r>
      <w:r w:rsidRPr="00240338">
        <w:t xml:space="preserve">. Rockville, Md.: National Institute </w:t>
      </w:r>
      <w:proofErr w:type="gramStart"/>
      <w:r w:rsidRPr="00240338">
        <w:t>On</w:t>
      </w:r>
      <w:proofErr w:type="gramEnd"/>
      <w:r w:rsidRPr="00240338">
        <w:t xml:space="preserve"> Drug Abuse, Division </w:t>
      </w:r>
      <w:proofErr w:type="gramStart"/>
      <w:r w:rsidRPr="00240338">
        <w:t>Of</w:t>
      </w:r>
      <w:proofErr w:type="gramEnd"/>
      <w:r w:rsidRPr="00240338">
        <w:t xml:space="preserve"> Resource Development, Manpower </w:t>
      </w:r>
      <w:proofErr w:type="gramStart"/>
      <w:r w:rsidRPr="00240338">
        <w:t>And</w:t>
      </w:r>
      <w:proofErr w:type="gramEnd"/>
      <w:r w:rsidRPr="00240338">
        <w:t xml:space="preserve"> Training Branch.</w:t>
      </w:r>
    </w:p>
    <w:p w14:paraId="1DDF5AC1" w14:textId="77777777" w:rsidR="00240338" w:rsidRPr="00240338" w:rsidRDefault="00240338" w:rsidP="00240338">
      <w:pPr>
        <w:pStyle w:val="ListParagraph"/>
        <w:numPr>
          <w:ilvl w:val="0"/>
          <w:numId w:val="1"/>
        </w:numPr>
        <w:ind w:left="360"/>
      </w:pPr>
      <w:r w:rsidRPr="00240338">
        <w:t xml:space="preserve">NHS (2013). </w:t>
      </w:r>
      <w:proofErr w:type="spellStart"/>
      <w:r w:rsidRPr="00240338">
        <w:t>nhs</w:t>
      </w:r>
      <w:proofErr w:type="spellEnd"/>
      <w:r w:rsidRPr="00240338">
        <w:t xml:space="preserve"> leadership academy </w:t>
      </w:r>
      <w:proofErr w:type="spellStart"/>
      <w:r w:rsidRPr="00240338">
        <w:t>programmes</w:t>
      </w:r>
      <w:proofErr w:type="spellEnd"/>
      <w:r w:rsidRPr="00240338">
        <w:t xml:space="preserve"> aim to develop better healthcare leaders. </w:t>
      </w:r>
      <w:r w:rsidRPr="00240338">
        <w:rPr>
          <w:i/>
          <w:iCs/>
        </w:rPr>
        <w:t>The Pharmaceutical Journal</w:t>
      </w:r>
      <w:r w:rsidRPr="00240338">
        <w:t>. doi:10.1211/pj.2013.11122570.</w:t>
      </w:r>
    </w:p>
    <w:p w14:paraId="1CA953C4" w14:textId="77777777" w:rsidR="00240338" w:rsidRPr="00240338" w:rsidRDefault="00240338" w:rsidP="00240338">
      <w:pPr>
        <w:pStyle w:val="ListParagraph"/>
        <w:numPr>
          <w:ilvl w:val="0"/>
          <w:numId w:val="1"/>
        </w:numPr>
        <w:ind w:left="360"/>
      </w:pPr>
      <w:proofErr w:type="spellStart"/>
      <w:r w:rsidRPr="00240338">
        <w:t>Oelhafen</w:t>
      </w:r>
      <w:proofErr w:type="spellEnd"/>
      <w:r w:rsidRPr="00240338">
        <w:t xml:space="preserve">, S. (2024). Digital health in perinatal care: exploring usage, attitudes, and needs among </w:t>
      </w:r>
      <w:proofErr w:type="spellStart"/>
      <w:r w:rsidRPr="00240338">
        <w:t>swiss</w:t>
      </w:r>
      <w:proofErr w:type="spellEnd"/>
      <w:r w:rsidRPr="00240338">
        <w:t xml:space="preserve"> women in urban and rural settings. </w:t>
      </w:r>
      <w:r w:rsidRPr="00240338">
        <w:rPr>
          <w:i/>
          <w:iCs/>
        </w:rPr>
        <w:t>DIGITAL HEALTH</w:t>
      </w:r>
      <w:r w:rsidRPr="00240338">
        <w:t>, 10. doi:10.1177/20552076241277671.</w:t>
      </w:r>
    </w:p>
    <w:p w14:paraId="26FF3BC7" w14:textId="77777777" w:rsidR="00240338" w:rsidRPr="00240338" w:rsidRDefault="00240338" w:rsidP="00240338">
      <w:pPr>
        <w:pStyle w:val="ListParagraph"/>
        <w:numPr>
          <w:ilvl w:val="0"/>
          <w:numId w:val="1"/>
        </w:numPr>
        <w:ind w:left="360"/>
      </w:pPr>
      <w:r w:rsidRPr="00240338">
        <w:t xml:space="preserve">Satish Nambisan, Kalle Lyytinen and Yoo, Y. (2020). </w:t>
      </w:r>
      <w:r w:rsidRPr="00240338">
        <w:rPr>
          <w:i/>
          <w:iCs/>
        </w:rPr>
        <w:t>Handbook of digital innovation</w:t>
      </w:r>
      <w:r w:rsidRPr="00240338">
        <w:t>. Edward Elgar Publishing.</w:t>
      </w:r>
    </w:p>
    <w:p w14:paraId="28A51643" w14:textId="77777777" w:rsidR="00240338" w:rsidRPr="00240338" w:rsidRDefault="00240338" w:rsidP="00240338">
      <w:pPr>
        <w:pStyle w:val="ListParagraph"/>
        <w:numPr>
          <w:ilvl w:val="0"/>
          <w:numId w:val="1"/>
        </w:numPr>
        <w:ind w:left="360"/>
      </w:pPr>
      <w:r w:rsidRPr="00240338">
        <w:t xml:space="preserve">Schwartz, B.L., </w:t>
      </w:r>
      <w:proofErr w:type="spellStart"/>
      <w:r w:rsidRPr="00240338">
        <w:t>Sundelin</w:t>
      </w:r>
      <w:proofErr w:type="spellEnd"/>
      <w:r w:rsidRPr="00240338">
        <w:t xml:space="preserve">, T. and </w:t>
      </w:r>
      <w:proofErr w:type="spellStart"/>
      <w:r w:rsidRPr="00240338">
        <w:t>Jemstedt</w:t>
      </w:r>
      <w:proofErr w:type="spellEnd"/>
      <w:r w:rsidRPr="00240338">
        <w:t xml:space="preserve">, A. (2025). Meta-metacognition: processes underlying judgments about metacognition. </w:t>
      </w:r>
      <w:r w:rsidRPr="00240338">
        <w:rPr>
          <w:i/>
          <w:iCs/>
        </w:rPr>
        <w:t>New Ideas in Psychology</w:t>
      </w:r>
      <w:r w:rsidRPr="00240338">
        <w:t xml:space="preserve">, 82, p.101254. </w:t>
      </w:r>
      <w:proofErr w:type="gramStart"/>
      <w:r w:rsidRPr="00240338">
        <w:t>doi:10.1016/j.newideapsych</w:t>
      </w:r>
      <w:proofErr w:type="gramEnd"/>
      <w:r w:rsidRPr="00240338">
        <w:t>.2026.101254.</w:t>
      </w:r>
    </w:p>
    <w:p w14:paraId="6053E16E" w14:textId="77777777" w:rsidR="00240338" w:rsidRPr="00240338" w:rsidRDefault="00240338" w:rsidP="00240338">
      <w:pPr>
        <w:pStyle w:val="ListParagraph"/>
        <w:numPr>
          <w:ilvl w:val="0"/>
          <w:numId w:val="1"/>
        </w:numPr>
        <w:ind w:left="360"/>
      </w:pPr>
      <w:r w:rsidRPr="00240338">
        <w:t xml:space="preserve">Smith, G. (2019). How should creativity be defined? </w:t>
      </w:r>
      <w:r w:rsidRPr="00240338">
        <w:rPr>
          <w:i/>
          <w:iCs/>
        </w:rPr>
        <w:t>Creativity Research Journal</w:t>
      </w:r>
      <w:r w:rsidRPr="00240338">
        <w:t>, 17(2), pp.293–295. doi:10.1207/s15326934crj1702&amp;3_14.</w:t>
      </w:r>
    </w:p>
    <w:p w14:paraId="0CFC11AE" w14:textId="77777777" w:rsidR="00240338" w:rsidRPr="00240338" w:rsidRDefault="00240338" w:rsidP="00240338">
      <w:pPr>
        <w:pStyle w:val="ListParagraph"/>
        <w:numPr>
          <w:ilvl w:val="0"/>
          <w:numId w:val="1"/>
        </w:numPr>
        <w:ind w:left="360"/>
      </w:pPr>
      <w:proofErr w:type="spellStart"/>
      <w:r w:rsidRPr="00240338">
        <w:t>Turkoski</w:t>
      </w:r>
      <w:proofErr w:type="spellEnd"/>
      <w:r w:rsidRPr="00240338">
        <w:t xml:space="preserve">, B.B. (2023). Improving patient safety by improving medication communication. </w:t>
      </w:r>
      <w:proofErr w:type="spellStart"/>
      <w:r w:rsidRPr="00240338">
        <w:rPr>
          <w:i/>
          <w:iCs/>
        </w:rPr>
        <w:t>Orthopaedic</w:t>
      </w:r>
      <w:proofErr w:type="spellEnd"/>
      <w:r w:rsidRPr="00240338">
        <w:rPr>
          <w:i/>
          <w:iCs/>
        </w:rPr>
        <w:t xml:space="preserve"> Nursing</w:t>
      </w:r>
      <w:r w:rsidRPr="00240338">
        <w:t>, 28(3), pp.150–152. doi:10.1097/nor.0b013e3181a50a84.</w:t>
      </w:r>
    </w:p>
    <w:p w14:paraId="0D6AC4F5" w14:textId="77777777" w:rsidR="009C50D8" w:rsidRPr="009C50D8" w:rsidRDefault="009C50D8" w:rsidP="00240338">
      <w:pPr>
        <w:rPr>
          <w:b/>
          <w:bCs/>
        </w:rPr>
      </w:pPr>
    </w:p>
    <w:sectPr w:rsidR="009C50D8" w:rsidRPr="009C50D8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B5E708" w14:textId="77777777" w:rsidR="00EC075E" w:rsidRDefault="00EC075E" w:rsidP="00240338">
      <w:pPr>
        <w:spacing w:line="240" w:lineRule="auto"/>
      </w:pPr>
      <w:r>
        <w:separator/>
      </w:r>
    </w:p>
  </w:endnote>
  <w:endnote w:type="continuationSeparator" w:id="0">
    <w:p w14:paraId="2DFCCA86" w14:textId="77777777" w:rsidR="00EC075E" w:rsidRDefault="00EC075E" w:rsidP="0024033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824648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6559F5E" w14:textId="0A5B1170" w:rsidR="00240338" w:rsidRDefault="0024033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447F75" w14:textId="77777777" w:rsidR="00240338" w:rsidRDefault="002403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491F03" w14:textId="77777777" w:rsidR="00EC075E" w:rsidRDefault="00EC075E" w:rsidP="00240338">
      <w:pPr>
        <w:spacing w:line="240" w:lineRule="auto"/>
      </w:pPr>
      <w:r>
        <w:separator/>
      </w:r>
    </w:p>
  </w:footnote>
  <w:footnote w:type="continuationSeparator" w:id="0">
    <w:p w14:paraId="0F233D6B" w14:textId="77777777" w:rsidR="00EC075E" w:rsidRDefault="00EC075E" w:rsidP="00240338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F3742"/>
    <w:multiLevelType w:val="hybridMultilevel"/>
    <w:tmpl w:val="4814BD2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837240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558F"/>
    <w:rsid w:val="00063506"/>
    <w:rsid w:val="000D4764"/>
    <w:rsid w:val="000D7A0F"/>
    <w:rsid w:val="00154779"/>
    <w:rsid w:val="001D37FF"/>
    <w:rsid w:val="00240338"/>
    <w:rsid w:val="00250A10"/>
    <w:rsid w:val="002913E7"/>
    <w:rsid w:val="00386C76"/>
    <w:rsid w:val="0045558F"/>
    <w:rsid w:val="004869C9"/>
    <w:rsid w:val="004A0352"/>
    <w:rsid w:val="00546B10"/>
    <w:rsid w:val="006367EA"/>
    <w:rsid w:val="006C017F"/>
    <w:rsid w:val="008816DB"/>
    <w:rsid w:val="0098402C"/>
    <w:rsid w:val="009C50D8"/>
    <w:rsid w:val="009F780E"/>
    <w:rsid w:val="00A73037"/>
    <w:rsid w:val="00AD7CDB"/>
    <w:rsid w:val="00B91DDD"/>
    <w:rsid w:val="00EC07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E8E60"/>
  <w15:chartTrackingRefBased/>
  <w15:docId w15:val="{7CB2BA13-28BD-4AC2-A784-48CE015272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30"/>
        <w:lang w:val="en-US" w:eastAsia="en-US" w:bidi="bn-IN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780E"/>
    <w:pPr>
      <w:spacing w:after="0" w:line="360" w:lineRule="auto"/>
      <w:jc w:val="both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6C76"/>
    <w:pPr>
      <w:keepNext/>
      <w:keepLines/>
      <w:outlineLvl w:val="0"/>
    </w:pPr>
    <w:rPr>
      <w:rFonts w:eastAsiaTheme="majorEastAsia" w:cstheme="majorBidi"/>
      <w:b/>
      <w:color w:val="0F4761" w:themeColor="accent1" w:themeShade="BF"/>
      <w:sz w:val="26"/>
      <w:szCs w:val="5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55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55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55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55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558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558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558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558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6C76"/>
    <w:rPr>
      <w:rFonts w:ascii="Arial" w:eastAsiaTheme="majorEastAsia" w:hAnsi="Arial" w:cstheme="majorBidi"/>
      <w:b/>
      <w:color w:val="0F4761" w:themeColor="accent1" w:themeShade="BF"/>
      <w:sz w:val="26"/>
      <w:szCs w:val="5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558F"/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558F"/>
    <w:rPr>
      <w:rFonts w:eastAsiaTheme="majorEastAsia" w:cstheme="majorBidi"/>
      <w:color w:val="0F4761" w:themeColor="accent1" w:themeShade="BF"/>
      <w:sz w:val="28"/>
      <w:szCs w:val="3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55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55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55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55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55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55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55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45558F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55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45558F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4555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55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55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55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55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55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558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547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240338"/>
    <w:pPr>
      <w:spacing w:after="0" w:line="240" w:lineRule="auto"/>
      <w:jc w:val="both"/>
    </w:pPr>
    <w:rPr>
      <w:rFonts w:ascii="Arial" w:hAnsi="Arial"/>
      <w:sz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240338"/>
    <w:pPr>
      <w:spacing w:before="240" w:line="259" w:lineRule="auto"/>
      <w:jc w:val="left"/>
      <w:outlineLvl w:val="9"/>
    </w:pPr>
    <w:rPr>
      <w:rFonts w:asciiTheme="majorHAnsi" w:hAnsiTheme="majorHAnsi"/>
      <w:b w:val="0"/>
      <w:kern w:val="0"/>
      <w:sz w:val="32"/>
      <w:szCs w:val="32"/>
      <w:lang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4033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40338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40338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0338"/>
    <w:rPr>
      <w:rFonts w:ascii="Arial" w:hAnsi="Arial"/>
      <w:sz w:val="22"/>
    </w:rPr>
  </w:style>
  <w:style w:type="paragraph" w:styleId="Footer">
    <w:name w:val="footer"/>
    <w:basedOn w:val="Normal"/>
    <w:link w:val="FooterChar"/>
    <w:uiPriority w:val="99"/>
    <w:unhideWhenUsed/>
    <w:rsid w:val="00240338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0338"/>
    <w:rPr>
      <w:rFonts w:ascii="Arial" w:hAnsi="Arial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600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8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15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13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0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36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09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352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75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32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6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85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7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93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2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77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9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1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1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61CDFC-17CF-4851-85F3-A88FBD0097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2874</Words>
  <Characters>16387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Mercy Reoja Fiel (2427852)</cp:lastModifiedBy>
  <cp:revision>2</cp:revision>
  <dcterms:created xsi:type="dcterms:W3CDTF">2026-07-30T17:52:00Z</dcterms:created>
  <dcterms:modified xsi:type="dcterms:W3CDTF">2026-07-30T17:52:00Z</dcterms:modified>
</cp:coreProperties>
</file>