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6845AF79" w14:textId="768301D1" w:rsidR="00D83A40" w:rsidRDefault="00D83A40" w:rsidP="00D83A40">
      <w:pPr>
        <w:pStyle w:val="AssignHeader"/>
      </w:pPr>
      <w:r>
        <w:t>A critical evaluation and the identification of next teaching and learning steps focusing</w:t>
      </w:r>
    </w:p>
    <w:p w14:paraId="75A85F74" w14:textId="65B78EFC" w:rsidR="00D83A40" w:rsidRDefault="00D83A40" w:rsidP="00D83A40">
      <w:pPr>
        <w:pStyle w:val="AssignHeader"/>
      </w:pPr>
      <w:r>
        <w:t>on a case study of an individual learner or a group</w:t>
      </w:r>
    </w:p>
    <w:p w14:paraId="118CB437" w14:textId="5F010897" w:rsidR="006419C3" w:rsidRDefault="00D83A40" w:rsidP="00D83A40">
      <w:pPr>
        <w:pStyle w:val="AssignHeader"/>
      </w:pPr>
      <w:r>
        <w:t>of learners, based on an observed critical incident.</w:t>
      </w:r>
    </w:p>
    <w:p w14:paraId="11419B84" w14:textId="77777777" w:rsidR="00D83A40" w:rsidRDefault="00D83A40" w:rsidP="00CD1240">
      <w:pPr>
        <w:pStyle w:val="AssignSubHeader"/>
      </w:pPr>
    </w:p>
    <w:p w14:paraId="43B0E024" w14:textId="67CA4AEA" w:rsidR="00A64FC4" w:rsidRDefault="00A64FC4" w:rsidP="00A64FC4">
      <w:pPr>
        <w:pStyle w:val="AssignBody"/>
      </w:pPr>
      <w:r>
        <w:t xml:space="preserve">Arguably, one of the most important areas of teaching practice is the ability to evaluate one’s own practice and performance. This is often done </w:t>
      </w:r>
      <w:proofErr w:type="gramStart"/>
      <w:r>
        <w:t>through the use of</w:t>
      </w:r>
      <w:proofErr w:type="gramEnd"/>
      <w:r>
        <w:t xml:space="preserve"> reflective models (</w:t>
      </w:r>
      <w:r w:rsidR="0036275C">
        <w:t>Gibb</w:t>
      </w:r>
      <w:r w:rsidR="00DB2B0A">
        <w:t>s</w:t>
      </w:r>
      <w:r w:rsidR="0036275C" w:rsidRPr="0020292A">
        <w:t>, 1988</w:t>
      </w:r>
      <w:r w:rsidR="00C3571F">
        <w:t xml:space="preserve">; </w:t>
      </w:r>
      <w:r w:rsidR="009B3258">
        <w:t>K</w:t>
      </w:r>
      <w:r w:rsidR="008F6173">
        <w:t>olb et al., 2001</w:t>
      </w:r>
      <w:r w:rsidR="009B3258">
        <w:t xml:space="preserve">; </w:t>
      </w:r>
      <w:r w:rsidR="00C3571F">
        <w:t>Rolfe</w:t>
      </w:r>
      <w:r w:rsidR="009B3258">
        <w:t xml:space="preserve"> et al.</w:t>
      </w:r>
      <w:r w:rsidR="00C3571F">
        <w:t xml:space="preserve">, </w:t>
      </w:r>
      <w:r w:rsidR="008F6173">
        <w:t>2001</w:t>
      </w:r>
      <w:r w:rsidR="006C2CA7" w:rsidRPr="00C3571F">
        <w:t>).</w:t>
      </w:r>
      <w:r w:rsidR="006C2CA7">
        <w:t xml:space="preserve"> Generally, these models involve taking an experience and reflecting upon the experience through research or prior knowledge, including looking at the other possible actions or solutions that could have been used in the situation. A conclusion is then drawn as to what would have improved the experience and, in some models, an action plan is drawn up to deal with similar situations in the future.</w:t>
      </w:r>
      <w:r w:rsidR="00A143BB">
        <w:t xml:space="preserve"> These reflection models can be most useful in teaching practice when examining a critical incident (Tripp, 2012); an insignificant moment which is made significant through exploration.</w:t>
      </w:r>
      <w:r w:rsidR="0054657F">
        <w:t xml:space="preserve"> This can help teachers to reflect on their own performance and further improve themselves. </w:t>
      </w:r>
    </w:p>
    <w:p w14:paraId="20D3B616" w14:textId="74FD20B0" w:rsidR="0054657F" w:rsidRDefault="0054657F" w:rsidP="00A64FC4">
      <w:pPr>
        <w:pStyle w:val="AssignBody"/>
      </w:pPr>
    </w:p>
    <w:p w14:paraId="2DDBF0B5" w14:textId="7043F991" w:rsidR="0054657F" w:rsidRDefault="0054657F" w:rsidP="00A64FC4">
      <w:pPr>
        <w:pStyle w:val="AssignBody"/>
      </w:pPr>
      <w:r>
        <w:t xml:space="preserve">This essay will focus on a critical incident taken from an observation </w:t>
      </w:r>
      <w:r w:rsidR="003A5A89">
        <w:t>in</w:t>
      </w:r>
      <w:r>
        <w:t xml:space="preserve"> a classroom. It will examine the incident itself and the methodology before looking in depth at 3 possible solutions to the issues that the incident highlights. This research will be used to form a conclusion, detailing possible alternatives to the situation witnessed in the incident. This will be used in conjunction with the teacher standards for Wales and Professor Donaldson’s Successful Futures (2015) for me to devise an action plan to best inform and develop my own personal teaching practice.  </w:t>
      </w:r>
    </w:p>
    <w:p w14:paraId="308160B3" w14:textId="77777777" w:rsidR="006C2CA7" w:rsidRDefault="006C2CA7" w:rsidP="00A64FC4">
      <w:pPr>
        <w:pStyle w:val="AssignBody"/>
      </w:pPr>
    </w:p>
    <w:p w14:paraId="144B5ABF" w14:textId="6919ED44" w:rsidR="00A64FC4" w:rsidRDefault="00A64FC4" w:rsidP="00A64FC4">
      <w:pPr>
        <w:pStyle w:val="AssignBody"/>
      </w:pPr>
      <w:r w:rsidRPr="00A64FC4">
        <w:t>The critical incident I observed took place in a two-form entry primary school in an affluent area of Cardiff. The school includes a nursery and two specialist provision units for pupils with severe and complex needs. There are 523 pupils on the school roll as of 2018, 64 of these pupils being part-time students of the nursery (</w:t>
      </w:r>
      <w:r w:rsidRPr="008C3E9D">
        <w:t>Estyn</w:t>
      </w:r>
      <w:r w:rsidR="008C3E9D" w:rsidRPr="008C3E9D">
        <w:t>, 2018</w:t>
      </w:r>
      <w:r w:rsidRPr="00A64FC4">
        <w:t>). 8% of pupils are eligible for free school meals and 9% are identified as having additional learning needs (ALN), both of which are well below the national average for Wales (Estyn</w:t>
      </w:r>
      <w:r w:rsidR="008C3E9D">
        <w:t>, 2018</w:t>
      </w:r>
      <w:r w:rsidRPr="00A64FC4">
        <w:t>). A third of the pupils are from ethnic minorities and a quarter speak English as an additional language (EAL) (</w:t>
      </w:r>
      <w:r w:rsidRPr="008C3E9D">
        <w:t>Estyn</w:t>
      </w:r>
      <w:r w:rsidR="008C3E9D">
        <w:t>, 2018</w:t>
      </w:r>
      <w:r w:rsidRPr="00A64FC4">
        <w:t>). It is classified as a ‘Green School’ and has been assigned an ‘A’ for improvement by the National School Categorisation System in Wales (</w:t>
      </w:r>
      <w:r w:rsidR="008201E3">
        <w:t xml:space="preserve">Welsh Government, </w:t>
      </w:r>
      <w:r w:rsidR="008201E3">
        <w:lastRenderedPageBreak/>
        <w:t>2019</w:t>
      </w:r>
      <w:r w:rsidRPr="00A64FC4">
        <w:t>). This means that the school needs little support to improve itself and has a high capacity to help to improve other schools. Estyn categorised the school as ‘good’ in all categories (Estyn</w:t>
      </w:r>
      <w:r w:rsidR="00BC296F">
        <w:t>, 2018</w:t>
      </w:r>
      <w:r w:rsidRPr="00A64FC4">
        <w:t xml:space="preserve">). The incident took place in one of the reception classes of the school, where children were aged 4-5 years old. For this essay, the school name and any pupil names will be omitted in order to ensure anonymity in accordance with BERA’s 2018 guidelines (BERA, 2018). </w:t>
      </w:r>
    </w:p>
    <w:p w14:paraId="4B6CF14A" w14:textId="77777777" w:rsidR="0021772E" w:rsidRPr="00A64FC4" w:rsidRDefault="0021772E" w:rsidP="00A64FC4">
      <w:pPr>
        <w:pStyle w:val="AssignBody"/>
      </w:pPr>
    </w:p>
    <w:p w14:paraId="29E4FFB2" w14:textId="3D26ECDB" w:rsidR="00A64FC4" w:rsidRDefault="00A64FC4" w:rsidP="00A64FC4">
      <w:pPr>
        <w:pStyle w:val="AssignBody"/>
      </w:pPr>
      <w:r w:rsidRPr="00A64FC4">
        <w:t>When choosing material for analysis, it was important that the right methodology was used. The chosen methodology was a non-participant observation; the researcher was in the room as a passive observer watching the lesson take place.  This was an appropriate method for several reasons. Firstly, it allows the researcher to make judgements for themselves based on body language and non-verbal communication as well as the verbal communication of the pupils and teacher. This gives the researcher a much better overview of the behaviours as there is a chance that subtle movements such as fidgeting (the insignificance of which is characteristic of a critical incident (Tripp, 2012)) would be missed on a video playback (Allen, 2017). Furthermore, it was important that observations were carried out by non-participants as opposed to participants because this allowed an element of objectivity. There were no emotional attachments between the researcher and the class or pupils, so any specific incidents spotted were not influenced by bias and open to objective reflection (Cohen, Manion &amp; Morrison, 2002). It should be noted, however, that the methodology did have its limitations. The primary limitation was the risk of the ‘Hawthorne Effect’ (Adair, 1984). This effect outlines the idea that people change their behaviour when they are aware that they are being observed. This is likely to be an issue in a primary classroom however, from an ethical perspective, it is important that the children are aware that they are being observed so they are able to consent and raise any objections they may have (</w:t>
      </w:r>
      <w:r w:rsidR="0038279B" w:rsidRPr="00A64FC4">
        <w:t>Adair, 1984</w:t>
      </w:r>
      <w:r w:rsidR="0038279B">
        <w:t xml:space="preserve">; </w:t>
      </w:r>
      <w:proofErr w:type="spellStart"/>
      <w:r w:rsidRPr="00A64FC4">
        <w:t>McCambridge</w:t>
      </w:r>
      <w:proofErr w:type="spellEnd"/>
      <w:r w:rsidR="00334099">
        <w:t>, Witton &amp;</w:t>
      </w:r>
      <w:r w:rsidR="006B5083">
        <w:t xml:space="preserve"> </w:t>
      </w:r>
      <w:proofErr w:type="spellStart"/>
      <w:r w:rsidR="006B5083">
        <w:t>Elbourne</w:t>
      </w:r>
      <w:proofErr w:type="spellEnd"/>
      <w:r w:rsidRPr="00A64FC4">
        <w:t xml:space="preserve">, 2014). Whilst the Hawthorne Effect is a definite limitation to the methodology, the ethical considerations of working with children outweighed the possible slight behaviour changes that the pupils may exhibit. </w:t>
      </w:r>
    </w:p>
    <w:p w14:paraId="768C2CE4" w14:textId="77777777" w:rsidR="0021772E" w:rsidRPr="00A64FC4" w:rsidRDefault="0021772E" w:rsidP="00A64FC4">
      <w:pPr>
        <w:pStyle w:val="AssignBody"/>
      </w:pPr>
    </w:p>
    <w:p w14:paraId="51320CE1" w14:textId="2A79B1F4" w:rsidR="00A64FC4" w:rsidRPr="00A64FC4" w:rsidRDefault="00A64FC4" w:rsidP="00A64FC4">
      <w:pPr>
        <w:pStyle w:val="AssignBody"/>
      </w:pPr>
      <w:r w:rsidRPr="00A64FC4">
        <w:t xml:space="preserve">Once the observation was carried out, the findings were used to form a case study; where one specific incident is explored in depth (Wyse et al., 2016). </w:t>
      </w:r>
      <w:proofErr w:type="gramStart"/>
      <w:r w:rsidRPr="00A64FC4">
        <w:t>Similar to</w:t>
      </w:r>
      <w:proofErr w:type="gramEnd"/>
      <w:r w:rsidRPr="00A64FC4">
        <w:t xml:space="preserve"> the observation method, the case study method of analysis also has strengths and limitations. A case study allows behaviour to be examined in a real-life situation which is significantly preferable to controlled lab studies where behaviour could be influenced by the false and unfamiliar situation (Cohen, Manion &amp; Morrison, 2002). It also allows a more in-depth analysis to focus in on one group or one pupil as opposed to comparing large numbers of pupils to one another (Kumar, 2019). However, real-life nature of a case study fails to control for </w:t>
      </w:r>
      <w:r w:rsidRPr="00A64FC4">
        <w:lastRenderedPageBreak/>
        <w:t>extraneous variables, so it is impossible to say exactly what causes any behaviours witnessed (Kumar, 2019). Within the case study, a critical incident was selected to explore in further depth. A critical incident is a moment or an event that is initially mundane, but</w:t>
      </w:r>
      <w:r w:rsidR="00C5195D">
        <w:t>,</w:t>
      </w:r>
      <w:r w:rsidRPr="00A64FC4">
        <w:t xml:space="preserve"> through exploration, a judgement is formed surrounding the observed incident (Tripp, 2012). It is this incident that will be outlined next in the essay and will then be looked at in further depth. </w:t>
      </w:r>
    </w:p>
    <w:p w14:paraId="6131233C" w14:textId="77777777" w:rsidR="0021772E" w:rsidRDefault="0021772E" w:rsidP="00A64FC4">
      <w:pPr>
        <w:pStyle w:val="AssignBody"/>
      </w:pPr>
    </w:p>
    <w:p w14:paraId="0824FCF1" w14:textId="2656F7F7" w:rsidR="00A64FC4" w:rsidRDefault="00A64FC4" w:rsidP="00A64FC4">
      <w:pPr>
        <w:pStyle w:val="AssignBody"/>
      </w:pPr>
      <w:r w:rsidRPr="00A64FC4">
        <w:t xml:space="preserve">The incident itself </w:t>
      </w:r>
      <w:r w:rsidR="007B411B">
        <w:t>took place in an observation of a reception class (see appendix 1). It surrounded</w:t>
      </w:r>
      <w:r w:rsidRPr="00A64FC4">
        <w:t xml:space="preserve"> a pupil (pupil X) who had a diagnosis of Autism Spectrum Disorder (ASD). He was non-verbal and had a 1:1 support assistant with him </w:t>
      </w:r>
      <w:proofErr w:type="gramStart"/>
      <w:r w:rsidRPr="00A64FC4">
        <w:t>at all times</w:t>
      </w:r>
      <w:proofErr w:type="gramEnd"/>
      <w:r w:rsidRPr="00A64FC4">
        <w:t>. The boy was included in the class but during the carpet time in the observed morning session, he was kept at the back of the room with his 1:1. He was not engaging in the work of the rest of the class or interacting with his classmates. Rather, he was left to play with the tap and the water in the sink or was bounced on the knee of his 1:1 support assistant who was sat on a chair at the back of the room. This observation made me question how he was benefi</w:t>
      </w:r>
      <w:r w:rsidR="00127AB5">
        <w:t>t</w:t>
      </w:r>
      <w:r w:rsidRPr="00A64FC4">
        <w:t xml:space="preserve">ting being in the classroom. Was it really the best place for him to be?  Or was there a way to keep him in the classroom but engage him in the teaching that the other children were benefitting from? </w:t>
      </w:r>
    </w:p>
    <w:p w14:paraId="685A9BFB" w14:textId="77777777" w:rsidR="0021772E" w:rsidRPr="00A64FC4" w:rsidRDefault="0021772E" w:rsidP="00A64FC4">
      <w:pPr>
        <w:pStyle w:val="AssignBody"/>
      </w:pPr>
    </w:p>
    <w:p w14:paraId="0E085DEE" w14:textId="6D44C7BF" w:rsidR="00A64FC4" w:rsidRDefault="00A64FC4" w:rsidP="00A64FC4">
      <w:pPr>
        <w:pStyle w:val="AssignBody"/>
      </w:pPr>
      <w:r w:rsidRPr="00A64FC4">
        <w:t xml:space="preserve">Pupil X not being fully integrated into the classroom does breach several of the 4 purposes of the new curriculum for Wales, as suggested by professor Graham Donaldson (Donaldson, 2015).  Firstly, Donaldson proposed that schools should aim to ensure that all pupils leave school as ambitious, capable learners. If pupil X is not fully integrated into lessons, it is unlikely that he will engage fully in the teaching and take on board vital skills for learning (Wang and </w:t>
      </w:r>
      <w:proofErr w:type="spellStart"/>
      <w:r w:rsidRPr="00A64FC4">
        <w:t>Degol</w:t>
      </w:r>
      <w:proofErr w:type="spellEnd"/>
      <w:r w:rsidRPr="00A64FC4">
        <w:t xml:space="preserve">, 2014). Consequently, </w:t>
      </w:r>
      <w:r w:rsidR="005C75FD">
        <w:t xml:space="preserve">it is possible that </w:t>
      </w:r>
      <w:r w:rsidRPr="00A64FC4">
        <w:t xml:space="preserve">pupil </w:t>
      </w:r>
      <w:r w:rsidR="00E5462F">
        <w:t>X would not</w:t>
      </w:r>
      <w:r w:rsidRPr="00A64FC4">
        <w:t xml:space="preserve"> leave school as a capable learner if he is not engaging in the learning material. </w:t>
      </w:r>
    </w:p>
    <w:p w14:paraId="5F2707EC" w14:textId="77777777" w:rsidR="0021772E" w:rsidRPr="00A64FC4" w:rsidRDefault="0021772E" w:rsidP="00A64FC4">
      <w:pPr>
        <w:pStyle w:val="AssignBody"/>
      </w:pPr>
    </w:p>
    <w:p w14:paraId="720825A9" w14:textId="242D6BD3" w:rsidR="00A64FC4" w:rsidRPr="00A64FC4" w:rsidRDefault="00A64FC4" w:rsidP="00A64FC4">
      <w:pPr>
        <w:pStyle w:val="AssignBody"/>
      </w:pPr>
      <w:r w:rsidRPr="00A64FC4">
        <w:t xml:space="preserve">Furthermore, Donaldson proposed that by the time they leave school, all pupils should be healthy, confident individuals (Donaldson, 2015). If pupil X is kept at the back of the room, he is not taking part in group discussions of collaborative learning techniques. Without this vital socialisation, it is possible that the pupil will be lacking in confidence as the social world is vital to developing confidence in a child (Barrell, 2010). This, again, directly goes against Donaldson’s curriculum purpose that all children should leave as confident individuals.  </w:t>
      </w:r>
    </w:p>
    <w:p w14:paraId="1E24B443" w14:textId="77777777" w:rsidR="00BC1B14" w:rsidRDefault="00BC1B14" w:rsidP="00A64FC4">
      <w:pPr>
        <w:pStyle w:val="AssignBody"/>
      </w:pPr>
    </w:p>
    <w:p w14:paraId="3D99B90F" w14:textId="7793CAE0" w:rsidR="00A64FC4" w:rsidRDefault="00A64FC4" w:rsidP="00A64FC4">
      <w:pPr>
        <w:pStyle w:val="AssignBody"/>
      </w:pPr>
      <w:r w:rsidRPr="00A64FC4">
        <w:t>Finally, Donaldson put forward that pupils should become ethical, informed citizens through their schooling (Donaldson, 2015). This incident goes against this purpose in several ways. If pupil X is clearly segregated from his classmates, the other children in the class will see him as different, as he is treated differently</w:t>
      </w:r>
      <w:r w:rsidR="001651BA">
        <w:t xml:space="preserve"> and they will consequently mimic this, </w:t>
      </w:r>
      <w:r w:rsidR="007C613E">
        <w:t xml:space="preserve">also treating </w:t>
      </w:r>
      <w:r w:rsidR="007C613E">
        <w:lastRenderedPageBreak/>
        <w:t>pupil X differently.</w:t>
      </w:r>
      <w:r w:rsidRPr="00A64FC4">
        <w:t xml:space="preserve"> Influential psychologist Vygotsky concluded that the disability of a child is only as limiting as others see it to be (Vygotsky, cited in </w:t>
      </w:r>
      <w:proofErr w:type="spellStart"/>
      <w:r w:rsidRPr="00A64FC4">
        <w:t>Gindis</w:t>
      </w:r>
      <w:proofErr w:type="spellEnd"/>
      <w:r w:rsidRPr="00A64FC4">
        <w:t>, 1999). If children are all treated the same, research has found that they do not see disability as a significant difference (</w:t>
      </w:r>
      <w:proofErr w:type="spellStart"/>
      <w:r w:rsidRPr="00A64FC4">
        <w:t>Nevile</w:t>
      </w:r>
      <w:proofErr w:type="spellEnd"/>
      <w:r w:rsidRPr="00A64FC4">
        <w:t xml:space="preserve">, 2007). Thus, if a child with a disability is excluded, his classmates could potentially be less accepting of disability and less ethically informed. </w:t>
      </w:r>
      <w:r w:rsidR="00121787">
        <w:t>Further</w:t>
      </w:r>
      <w:r w:rsidRPr="00A64FC4">
        <w:t xml:space="preserve">more, this purpose specifies that children should leave as citizens of society. If pupil X is not integrated into society in its </w:t>
      </w:r>
      <w:r w:rsidR="00313F8D">
        <w:t xml:space="preserve">earliest </w:t>
      </w:r>
      <w:r w:rsidRPr="00A64FC4">
        <w:t xml:space="preserve">form (in the classroom society), it is unlikely that he is being prepared to be a citizen in Wales and the rest of the world upon leaving school. I will next look at the literature and key theories surrounding the main themes and learning strategies in this incident. </w:t>
      </w:r>
    </w:p>
    <w:p w14:paraId="188017BA" w14:textId="77777777" w:rsidR="00BC1B14" w:rsidRPr="00A64FC4" w:rsidRDefault="00BC1B14" w:rsidP="00A64FC4">
      <w:pPr>
        <w:pStyle w:val="AssignBody"/>
      </w:pPr>
    </w:p>
    <w:p w14:paraId="4D5D473F" w14:textId="37DAE2D9" w:rsidR="00A64FC4" w:rsidRDefault="00A64FC4" w:rsidP="00A64FC4">
      <w:pPr>
        <w:pStyle w:val="AssignBody"/>
      </w:pPr>
      <w:r w:rsidRPr="00A64FC4">
        <w:t xml:space="preserve">Whilst it could be argued that pupil </w:t>
      </w:r>
      <w:r w:rsidR="00313F8D">
        <w:t>X</w:t>
      </w:r>
      <w:r w:rsidRPr="00A64FC4">
        <w:t xml:space="preserve"> will be able to learn at his own pace, allowing him not to engage in the lesson content conflicts with the behaviourist theory of learning. First proposed as a theory by Watson (1913), it suggested that children learn best through the association of a stimulus with a response (classical conditioning) (Pavlov, </w:t>
      </w:r>
      <w:r w:rsidR="00E56680">
        <w:t>1902</w:t>
      </w:r>
      <w:r w:rsidRPr="00A64FC4">
        <w:t>). It was further developed by Skinner (193</w:t>
      </w:r>
      <w:r w:rsidR="00ED5804">
        <w:t>8</w:t>
      </w:r>
      <w:r w:rsidRPr="00A64FC4">
        <w:t>) who developed operant conditioning; learning occurs through the association between a stimulus and a consequence through reinforcement. This reinforcement can be both positive and negative so will consequently either increase or discourage a behaviour. According to the theory of behaviourism, pupil X would need to be engaging in the learning in order to gain positive or negative reinforcement and for learning to occur. However, behaviourism has been widely criticised as it is primarily based on animal studies and it does not allow for free will and personal choice (</w:t>
      </w:r>
      <w:r w:rsidR="00C876E7">
        <w:t>Stewart, 2012</w:t>
      </w:r>
      <w:r w:rsidRPr="00A64FC4">
        <w:t xml:space="preserve">). </w:t>
      </w:r>
    </w:p>
    <w:p w14:paraId="0D7BFE53" w14:textId="77777777" w:rsidR="00941F5B" w:rsidRPr="00A64FC4" w:rsidRDefault="00941F5B" w:rsidP="00A64FC4">
      <w:pPr>
        <w:pStyle w:val="AssignBody"/>
      </w:pPr>
    </w:p>
    <w:p w14:paraId="0E830AB7" w14:textId="7C70E0CB" w:rsidR="00A64FC4" w:rsidRDefault="00A64FC4" w:rsidP="00A64FC4">
      <w:pPr>
        <w:pStyle w:val="AssignBody"/>
      </w:pPr>
      <w:r w:rsidRPr="00A64FC4">
        <w:t>It is evident that</w:t>
      </w:r>
      <w:r w:rsidR="00883906">
        <w:t>, in this incident,</w:t>
      </w:r>
      <w:r w:rsidRPr="00A64FC4">
        <w:t xml:space="preserve"> pupil X is not learning to his full potential away from his peers, but this leads to the question of what the </w:t>
      </w:r>
      <w:r w:rsidR="000A592A">
        <w:t xml:space="preserve">possible </w:t>
      </w:r>
      <w:r w:rsidRPr="00A64FC4">
        <w:t>alternatives are for him. Firstly, there is the option of specialist provision units. Literature has argued that education for ASD is best provided in an environment where the curriculum can be arranged around that child, and that specialist provision allows a tailor made experience with smaller classes and more teacher attention for each pupil (Barnar</w:t>
      </w:r>
      <w:r w:rsidR="0046166D">
        <w:t>d</w:t>
      </w:r>
      <w:r w:rsidRPr="00A64FC4">
        <w:t xml:space="preserve">, 2000; Jindal-Snape et al., 2005). However, other studies have argued that a conducive environment for a pupil with ASD can be made in any environment, </w:t>
      </w:r>
      <w:proofErr w:type="gramStart"/>
      <w:r w:rsidRPr="00A64FC4">
        <w:t>as long as</w:t>
      </w:r>
      <w:proofErr w:type="gramEnd"/>
      <w:r w:rsidRPr="00A64FC4">
        <w:t xml:space="preserve"> the staff have adequate training and are suitably equipped to teach that child (Smith and Brown, 2000). </w:t>
      </w:r>
    </w:p>
    <w:p w14:paraId="522DCD97" w14:textId="77777777" w:rsidR="00941F5B" w:rsidRPr="00A64FC4" w:rsidRDefault="00941F5B" w:rsidP="00A64FC4">
      <w:pPr>
        <w:pStyle w:val="AssignBody"/>
      </w:pPr>
    </w:p>
    <w:p w14:paraId="543EC541" w14:textId="0404AE2F" w:rsidR="00A64FC4" w:rsidRDefault="00A64FC4" w:rsidP="00A64FC4">
      <w:pPr>
        <w:pStyle w:val="AssignBody"/>
      </w:pPr>
      <w:r w:rsidRPr="00A64FC4">
        <w:t>Specialist provision units often have a heavy weighting towards the humanist style of learning (Holt</w:t>
      </w:r>
      <w:r w:rsidR="009016A9">
        <w:t xml:space="preserve"> and </w:t>
      </w:r>
      <w:proofErr w:type="spellStart"/>
      <w:r w:rsidR="009016A9">
        <w:t>Fromme</w:t>
      </w:r>
      <w:proofErr w:type="spellEnd"/>
      <w:r w:rsidRPr="00A64FC4">
        <w:t xml:space="preserve">, 1964) in that pupils have high levels of autonomy in what activities they choose to do. In his humanist approach, John Holt proposes that children learn best when their emotions and wellbeing are the highest priority. They </w:t>
      </w:r>
      <w:proofErr w:type="gramStart"/>
      <w:r w:rsidRPr="00A64FC4">
        <w:t>are allowed to</w:t>
      </w:r>
      <w:proofErr w:type="gramEnd"/>
      <w:r w:rsidRPr="00A64FC4">
        <w:t xml:space="preserve"> </w:t>
      </w:r>
      <w:r w:rsidRPr="00A64FC4">
        <w:lastRenderedPageBreak/>
        <w:t>make their own decisions about their learning and explore topics in their own way. The humanist approach has support as it builds the child as a whole – a child cannot learn without first having an emotional grounding (</w:t>
      </w:r>
      <w:proofErr w:type="spellStart"/>
      <w:r w:rsidRPr="00A64FC4">
        <w:t>Veugelers</w:t>
      </w:r>
      <w:proofErr w:type="spellEnd"/>
      <w:r w:rsidRPr="00A64FC4">
        <w:t>, 2011; Tangney, 2014). However, it has also been widely criticised due to the unrestricted nature if the theory. It is rare a child would choose to participate in lessons if they have a more enjoyable alternative (</w:t>
      </w:r>
      <w:proofErr w:type="spellStart"/>
      <w:r w:rsidRPr="00A64FC4">
        <w:t>Kayes</w:t>
      </w:r>
      <w:proofErr w:type="spellEnd"/>
      <w:r w:rsidRPr="00A64FC4">
        <w:t xml:space="preserve">, 2002; Khatib, </w:t>
      </w:r>
      <w:proofErr w:type="spellStart"/>
      <w:r w:rsidRPr="00A64FC4">
        <w:t>Sarem</w:t>
      </w:r>
      <w:proofErr w:type="spellEnd"/>
      <w:r w:rsidRPr="00A64FC4">
        <w:t xml:space="preserve"> and Hamidi, 2013).</w:t>
      </w:r>
    </w:p>
    <w:p w14:paraId="04AF42C1" w14:textId="77777777" w:rsidR="00941F5B" w:rsidRPr="00A64FC4" w:rsidRDefault="00941F5B" w:rsidP="00A64FC4">
      <w:pPr>
        <w:pStyle w:val="AssignBody"/>
      </w:pPr>
    </w:p>
    <w:p w14:paraId="07221FFD" w14:textId="05B8B4BC" w:rsidR="00A64FC4" w:rsidRDefault="00A64FC4" w:rsidP="00A64FC4">
      <w:pPr>
        <w:pStyle w:val="AssignBody"/>
      </w:pPr>
      <w:r w:rsidRPr="00A64FC4">
        <w:t xml:space="preserve">However, one of the main issues surrounding specialist units is the socialisation with other children. Whilst it can be positive for children to interact with peers who have a similar disability, conditions in specialist settings can be severe and this can have a serious impact on levels of communication. Poor social skills in children with learning difficulties have been associated with poor behaviours in school environments (Humphrey and Symes, 2010) so </w:t>
      </w:r>
      <w:proofErr w:type="gramStart"/>
      <w:r w:rsidRPr="00A64FC4">
        <w:t>it is clear that social</w:t>
      </w:r>
      <w:proofErr w:type="gramEnd"/>
      <w:r w:rsidRPr="00A64FC4">
        <w:t xml:space="preserve"> skills are important. Socialisation is also key to another influential learning theory – Social Learning Theory (Bandura</w:t>
      </w:r>
      <w:r w:rsidR="00A120C3">
        <w:t xml:space="preserve"> and Wa</w:t>
      </w:r>
      <w:r w:rsidR="0055651A">
        <w:t>l</w:t>
      </w:r>
      <w:r w:rsidR="00A120C3">
        <w:t>ters</w:t>
      </w:r>
      <w:r w:rsidRPr="00A64FC4">
        <w:t>, 1977). Bandura observed that children who witnessed adults being violent to bobo dolls reacted in a similar way when they were left alone with the dolls, suggesting that learning occurs through observation of a model (Bandura</w:t>
      </w:r>
      <w:r w:rsidR="000A502D">
        <w:t xml:space="preserve"> and Walters</w:t>
      </w:r>
      <w:r w:rsidRPr="00A64FC4">
        <w:t>, 1977). If pupil X is not interacting with his peers, or if his peers are taking part in different areas of learning, he will not see them as models. With no models to observe, he cannot learn through observations. Social Learning Theory does have its criticisms, however. It fails to explain why children do not imitate all behaviours that they observe, and why they exhibit behaviours that they have never seen (</w:t>
      </w:r>
      <w:r w:rsidR="00FA2009">
        <w:t xml:space="preserve">Perry, Martin </w:t>
      </w:r>
      <w:r w:rsidR="001A0461">
        <w:t xml:space="preserve">&amp; </w:t>
      </w:r>
      <w:proofErr w:type="spellStart"/>
      <w:r w:rsidR="001A0461">
        <w:t>Toplis</w:t>
      </w:r>
      <w:proofErr w:type="spellEnd"/>
      <w:r w:rsidR="001A0461">
        <w:t>, 2013</w:t>
      </w:r>
      <w:r w:rsidRPr="00A64FC4">
        <w:t xml:space="preserve">). It also has been labelled as reductionist as it puts behaviours solely </w:t>
      </w:r>
      <w:proofErr w:type="gramStart"/>
      <w:r w:rsidRPr="00A64FC4">
        <w:t>as a consequence of</w:t>
      </w:r>
      <w:proofErr w:type="gramEnd"/>
      <w:r w:rsidRPr="00A64FC4">
        <w:t xml:space="preserve"> the environment. It has been argued that behaviours are often too complex to be all acquired from one single </w:t>
      </w:r>
      <w:r w:rsidRPr="000C4BED">
        <w:t>process (</w:t>
      </w:r>
      <w:proofErr w:type="spellStart"/>
      <w:r w:rsidR="00361BD1" w:rsidRPr="000C4BED">
        <w:rPr>
          <w:rFonts w:cs="Arial"/>
          <w:color w:val="222222"/>
          <w:shd w:val="clear" w:color="auto" w:fill="FFFFFF"/>
        </w:rPr>
        <w:t>Illeris</w:t>
      </w:r>
      <w:proofErr w:type="spellEnd"/>
      <w:r w:rsidR="00361BD1" w:rsidRPr="000C4BED">
        <w:rPr>
          <w:rFonts w:cs="Arial"/>
          <w:color w:val="222222"/>
          <w:shd w:val="clear" w:color="auto" w:fill="FFFFFF"/>
        </w:rPr>
        <w:t>, 2016</w:t>
      </w:r>
      <w:r w:rsidRPr="000C4BED">
        <w:t>).</w:t>
      </w:r>
    </w:p>
    <w:p w14:paraId="219D7616" w14:textId="77777777" w:rsidR="00847B45" w:rsidRPr="00A64FC4" w:rsidRDefault="00847B45" w:rsidP="00A64FC4">
      <w:pPr>
        <w:pStyle w:val="AssignBody"/>
      </w:pPr>
    </w:p>
    <w:p w14:paraId="4331EA6D" w14:textId="7BE0021A" w:rsidR="00A64FC4" w:rsidRDefault="00A64FC4" w:rsidP="00A64FC4">
      <w:pPr>
        <w:pStyle w:val="AssignBody"/>
      </w:pPr>
      <w:r w:rsidRPr="00A64FC4">
        <w:t>Children with special educational needs (SEN) have been found to show more pro-social behaviours in a mainstream school compared to a specialist school (</w:t>
      </w:r>
      <w:proofErr w:type="spellStart"/>
      <w:r w:rsidRPr="00A64FC4">
        <w:t>Bouto</w:t>
      </w:r>
      <w:r w:rsidR="000B64A3">
        <w:t>t</w:t>
      </w:r>
      <w:proofErr w:type="spellEnd"/>
      <w:r w:rsidRPr="00A64FC4">
        <w:t xml:space="preserve"> and Bryant, 2005). This has been disputed, in fact SEN children in mainstream schools have displayed worse social skills than when in a specialist environment (Reed, Osborne &amp; Waddington, 201</w:t>
      </w:r>
      <w:r w:rsidR="00FA69F6">
        <w:t>2</w:t>
      </w:r>
      <w:r w:rsidRPr="00A64FC4">
        <w:t>) but this effect can be overcome when the teaching practices of the specialist provision are introduced into a mainstream school (</w:t>
      </w:r>
      <w:proofErr w:type="spellStart"/>
      <w:r w:rsidRPr="00A64FC4">
        <w:t>Panerai</w:t>
      </w:r>
      <w:proofErr w:type="spellEnd"/>
      <w:r w:rsidRPr="00A64FC4">
        <w:t xml:space="preserve"> et al, 2009). There are questions, however, about how practical this is likely to be with a much higher pupil to staff ratio in a mainstream setting. Whilst mainstream settings appear to be more beneficial for the social skills of SEN pupils, physical presence in a mainstream classroom is not enough to improve social skills. The pupil needs to be interacting with peers regularly in order to boost these skills (Waddington and Reed, 201</w:t>
      </w:r>
      <w:r w:rsidR="004C7FF7">
        <w:t>7</w:t>
      </w:r>
      <w:r w:rsidRPr="00A64FC4">
        <w:t xml:space="preserve">). </w:t>
      </w:r>
    </w:p>
    <w:p w14:paraId="001D6409" w14:textId="77777777" w:rsidR="00847B45" w:rsidRPr="00A64FC4" w:rsidRDefault="00847B45" w:rsidP="00A64FC4">
      <w:pPr>
        <w:pStyle w:val="AssignBody"/>
      </w:pPr>
    </w:p>
    <w:p w14:paraId="6CFB364E" w14:textId="2852704B" w:rsidR="00A64FC4" w:rsidRDefault="00A64FC4" w:rsidP="00A64FC4">
      <w:pPr>
        <w:pStyle w:val="AssignBody"/>
      </w:pPr>
      <w:r w:rsidRPr="00A64FC4">
        <w:lastRenderedPageBreak/>
        <w:t xml:space="preserve">The </w:t>
      </w:r>
      <w:r w:rsidR="001E3118">
        <w:t>‘</w:t>
      </w:r>
      <w:r w:rsidRPr="00A64FC4">
        <w:t>Every Child Matters</w:t>
      </w:r>
      <w:r w:rsidR="001E3118">
        <w:t>’</w:t>
      </w:r>
      <w:r w:rsidRPr="00A64FC4">
        <w:t xml:space="preserve"> government legislation (</w:t>
      </w:r>
      <w:r w:rsidR="00C7208C">
        <w:t xml:space="preserve">Department for </w:t>
      </w:r>
      <w:r w:rsidR="002B736F">
        <w:t>Education and Skills, 2003</w:t>
      </w:r>
      <w:r w:rsidRPr="00A64FC4">
        <w:t>) outlines that children should be placed in the best setting for their learning. This is potentially a mainstream setting for pupils with SEN providing that the appropriate provisions are in place. There are several techniques which could be employed in the classroom to try and integrate pupil X into mainstream lessons. Technology is one of the most commonly used, and with the new curriculum for Wales having an emphasis on digital competency (Donaldson, 2015), it is an appropriate tool to improve learning whilst still fulfilling the curriculum needs. The use of an iPad has been found to improve motivation for children with SEN (</w:t>
      </w:r>
      <w:proofErr w:type="spellStart"/>
      <w:r w:rsidRPr="00A64FC4">
        <w:t>Alper</w:t>
      </w:r>
      <w:proofErr w:type="spellEnd"/>
      <w:r w:rsidRPr="00A64FC4">
        <w:t>, 2018); Children with ASD who have been reluctant to participate in literacy lessons were happy to make comic strips when asked to carry out the task on an iPad (Oakley</w:t>
      </w:r>
      <w:r w:rsidR="00403DF0">
        <w:t xml:space="preserve"> et al.</w:t>
      </w:r>
      <w:r w:rsidRPr="00A64FC4">
        <w:t xml:space="preserve">, 2013). This use of technology has been found to benefit more than just SEN children. Less able children have also benefited (Oakley, </w:t>
      </w:r>
      <w:proofErr w:type="spellStart"/>
      <w:r w:rsidRPr="00A64FC4">
        <w:t>Wildy</w:t>
      </w:r>
      <w:proofErr w:type="spellEnd"/>
      <w:r w:rsidRPr="00A64FC4">
        <w:t xml:space="preserve"> and Berman, 2018) and class motivation is generally raised (</w:t>
      </w:r>
      <w:r w:rsidR="009E772A">
        <w:t>Francis</w:t>
      </w:r>
      <w:r w:rsidRPr="00A64FC4">
        <w:t>, 2017). Technology based toolkits to assist with autism have in fact been found to be most beneficial when introduced to the whole class as an inclusive concept (Costl</w:t>
      </w:r>
      <w:r w:rsidR="00E35901">
        <w:t>e</w:t>
      </w:r>
      <w:r w:rsidRPr="00A64FC4">
        <w:t xml:space="preserve">y et al., 2019). This technique of full class provision would potentially benefit the whole class whilst ensuring that the SEN child is not singled out as different, thus promoting inclusion and, as outlined by </w:t>
      </w:r>
      <w:proofErr w:type="spellStart"/>
      <w:r w:rsidRPr="00A64FC4">
        <w:t>Vyygotsky</w:t>
      </w:r>
      <w:proofErr w:type="spellEnd"/>
      <w:r w:rsidRPr="00A64FC4">
        <w:t xml:space="preserve"> (Vygotsky, cited in </w:t>
      </w:r>
      <w:proofErr w:type="spellStart"/>
      <w:r w:rsidRPr="00A64FC4">
        <w:t>Gindis</w:t>
      </w:r>
      <w:proofErr w:type="spellEnd"/>
      <w:r w:rsidRPr="00A64FC4">
        <w:t xml:space="preserve">, 1999), it will encourage the child with SEN to look past their disability. The </w:t>
      </w:r>
      <w:r w:rsidR="0073289A">
        <w:t>W</w:t>
      </w:r>
      <w:r w:rsidRPr="00A64FC4">
        <w:t xml:space="preserve">elsh government have published a document which outlines assistive technologies that would help with the teaching of pupils with SEN (Welsh </w:t>
      </w:r>
      <w:r w:rsidRPr="00D1088B">
        <w:t>Government</w:t>
      </w:r>
      <w:r w:rsidRPr="00A64FC4">
        <w:t xml:space="preserve">, 2015). This is a tool that can be easily accessed by teachers in order to find new technologies that could be used to increase the inclusion within their classroom. </w:t>
      </w:r>
    </w:p>
    <w:p w14:paraId="19546D75" w14:textId="77777777" w:rsidR="009D451D" w:rsidRPr="00A64FC4" w:rsidRDefault="009D451D" w:rsidP="00A64FC4">
      <w:pPr>
        <w:pStyle w:val="AssignBody"/>
      </w:pPr>
    </w:p>
    <w:p w14:paraId="46C92309" w14:textId="0FA6A2A4" w:rsidR="00E642F8" w:rsidRPr="00A64FC4" w:rsidRDefault="00A64FC4" w:rsidP="00A64FC4">
      <w:pPr>
        <w:pStyle w:val="AssignBody"/>
      </w:pPr>
      <w:r w:rsidRPr="00A64FC4">
        <w:t xml:space="preserve">Another way that pupils with SEN can be integrated into the classroom is through involving other pupils in their learning. This could be </w:t>
      </w:r>
      <w:proofErr w:type="gramStart"/>
      <w:r w:rsidRPr="00A64FC4">
        <w:t>through the use of</w:t>
      </w:r>
      <w:proofErr w:type="gramEnd"/>
      <w:r w:rsidRPr="00A64FC4">
        <w:t xml:space="preserve"> peer teaching – pupils who are more able helping those who are less able to understand a concept </w:t>
      </w:r>
      <w:r w:rsidR="008D171B">
        <w:t>(</w:t>
      </w:r>
      <w:proofErr w:type="spellStart"/>
      <w:r w:rsidRPr="00A64FC4">
        <w:t>Mortweet</w:t>
      </w:r>
      <w:proofErr w:type="spellEnd"/>
      <w:r w:rsidR="008D171B">
        <w:t xml:space="preserve"> et al.</w:t>
      </w:r>
      <w:r w:rsidRPr="00A64FC4">
        <w:t>, 199</w:t>
      </w:r>
      <w:r w:rsidR="008D171B">
        <w:t>9</w:t>
      </w:r>
      <w:r w:rsidRPr="00A64FC4">
        <w:t>). Peer teaching is supported by Vygotsky’s theory of learning. Unlike Piaget’s structured learning theory (</w:t>
      </w:r>
      <w:r w:rsidR="003D0ED1">
        <w:t>1936</w:t>
      </w:r>
      <w:r w:rsidRPr="00A64FC4">
        <w:t>), Vygotsky emphasised the social aspect of learning. He proposed that learning was took place when pupils were taught within their proximal zone of development (ZPD) which is an area within which tasks are achievable but currently out of the pupils reach. The learning is scaffolded by a more knowledgeable other (MKO</w:t>
      </w:r>
      <w:r w:rsidR="00DD5211" w:rsidRPr="00A64FC4">
        <w:t>),</w:t>
      </w:r>
      <w:r w:rsidRPr="00A64FC4">
        <w:t xml:space="preserve"> so a structure is laid out. This helps the pupil tackle the task with help until they </w:t>
      </w:r>
      <w:proofErr w:type="gramStart"/>
      <w:r w:rsidRPr="00A64FC4">
        <w:t>are able to</w:t>
      </w:r>
      <w:proofErr w:type="gramEnd"/>
      <w:r w:rsidRPr="00A64FC4">
        <w:t xml:space="preserve"> attempt the task alone (Vygotsky, </w:t>
      </w:r>
      <w:r w:rsidR="00687095">
        <w:t>1978</w:t>
      </w:r>
      <w:r w:rsidRPr="00A64FC4">
        <w:t xml:space="preserve">).  The use of peer teaching has been found to be beneficial for pupils </w:t>
      </w:r>
      <w:r w:rsidR="006F0D17">
        <w:t xml:space="preserve">both </w:t>
      </w:r>
      <w:r w:rsidRPr="00A64FC4">
        <w:t>with and without disabilities in areas of reading, writing, maths and science (</w:t>
      </w:r>
      <w:proofErr w:type="spellStart"/>
      <w:r w:rsidR="00F53F9B" w:rsidRPr="00A64FC4">
        <w:t>Calhoon</w:t>
      </w:r>
      <w:proofErr w:type="spellEnd"/>
      <w:r w:rsidR="00F53F9B" w:rsidRPr="00A64FC4">
        <w:t xml:space="preserve"> &amp; Fuchs, 2003</w:t>
      </w:r>
      <w:r w:rsidR="00F53F9B">
        <w:t xml:space="preserve">; </w:t>
      </w:r>
      <w:r w:rsidRPr="00A64FC4">
        <w:t xml:space="preserve">Mastropieri et al., 2006; </w:t>
      </w:r>
      <w:proofErr w:type="spellStart"/>
      <w:r w:rsidRPr="00A64FC4">
        <w:t>Stenhoff</w:t>
      </w:r>
      <w:proofErr w:type="spellEnd"/>
      <w:r w:rsidRPr="00A64FC4">
        <w:t xml:space="preserve"> and </w:t>
      </w:r>
      <w:proofErr w:type="spellStart"/>
      <w:r w:rsidRPr="00A64FC4">
        <w:t>Liggnugaris</w:t>
      </w:r>
      <w:proofErr w:type="spellEnd"/>
      <w:r w:rsidRPr="00A64FC4">
        <w:t>/Kraft, 2007). It not only has beneficial effects on the pupil doing the learning but also the pupil who is acting as the tutor. Indeed, peer tutoring has been found to be most beneficial to the tutor, improving their self-</w:t>
      </w:r>
      <w:r w:rsidRPr="00A64FC4">
        <w:lastRenderedPageBreak/>
        <w:t>esteem and self-worth (</w:t>
      </w:r>
      <w:proofErr w:type="spellStart"/>
      <w:r w:rsidRPr="00A64FC4">
        <w:t>Alwi</w:t>
      </w:r>
      <w:proofErr w:type="spellEnd"/>
      <w:r w:rsidRPr="00A64FC4">
        <w:t>, Soomro &amp; Rauf, 2016). As well as this, it boosts the social interactions between pupils (</w:t>
      </w:r>
      <w:proofErr w:type="spellStart"/>
      <w:r w:rsidR="0004563F">
        <w:t>Aldabas</w:t>
      </w:r>
      <w:proofErr w:type="spellEnd"/>
      <w:r w:rsidR="0004563F">
        <w:t>, 2019)</w:t>
      </w:r>
      <w:r w:rsidRPr="00A64FC4">
        <w:t xml:space="preserve"> which, as previously highlighted, is fundamentally important for children with SEN.</w:t>
      </w:r>
    </w:p>
    <w:p w14:paraId="6CFEF0C7" w14:textId="73863A65" w:rsidR="00A64FC4" w:rsidRDefault="00A64FC4" w:rsidP="00A64FC4">
      <w:pPr>
        <w:pStyle w:val="AssignBody"/>
      </w:pPr>
      <w:r w:rsidRPr="00A64FC4">
        <w:t>It is not just the pupils who benefit from the peer teaching. It can also prove beneficial to the teacher. The pupils assisting each other can ease the time pressures on the teacher as the pupils can deal with the teaching of concepts whilst the teachers can assist with pupils who need an in-depth explanation or have issues which cannot be helped by peer teaching (</w:t>
      </w:r>
      <w:proofErr w:type="spellStart"/>
      <w:r w:rsidRPr="00A64FC4">
        <w:t>Maheady</w:t>
      </w:r>
      <w:proofErr w:type="spellEnd"/>
      <w:r w:rsidRPr="00A64FC4">
        <w:t xml:space="preserve">, Harper &amp; Mallette, 2001). This will assist the teacher in meeting the needs of all the pupils in an increasingly diverse classroom (Carter and Kennedy, 2006; </w:t>
      </w:r>
      <w:proofErr w:type="spellStart"/>
      <w:r w:rsidRPr="00A64FC4">
        <w:t>Okil</w:t>
      </w:r>
      <w:r w:rsidR="00D5382A">
        <w:t>w</w:t>
      </w:r>
      <w:r w:rsidRPr="00A64FC4">
        <w:t>a</w:t>
      </w:r>
      <w:proofErr w:type="spellEnd"/>
      <w:r w:rsidRPr="00A64FC4">
        <w:t xml:space="preserve"> and Shelby, 2010). Peer teaching does have fundamental flaws, however. Whilst it is beneficial to the self-esteem and emotional development of those more able pupils who are acting as ‘tutors’, it does not progress their learning and it is important they continue to progress in their knowledge and understanding (</w:t>
      </w:r>
      <w:r w:rsidR="00A13C18">
        <w:t xml:space="preserve">Ali, </w:t>
      </w:r>
      <w:proofErr w:type="spellStart"/>
      <w:r w:rsidR="00A13C18">
        <w:t>Anwer</w:t>
      </w:r>
      <w:proofErr w:type="spellEnd"/>
      <w:r w:rsidR="00A13C18">
        <w:t xml:space="preserve"> &amp; Jaff</w:t>
      </w:r>
      <w:r w:rsidR="00AD2AD1">
        <w:t>a</w:t>
      </w:r>
      <w:r w:rsidR="00A13C18">
        <w:t>r</w:t>
      </w:r>
      <w:r w:rsidR="00D42912">
        <w:t>, 2015</w:t>
      </w:r>
      <w:r w:rsidRPr="00A64FC4">
        <w:t>). Moreover, peer tutoring is potentially difficult for pupils who have English as a second language or those who have communication disorders. For pupils who have a communication disorder such as ASD, like pupil X, it could be difficult for them to engage in peer tutoring (Rogoff, 1990).</w:t>
      </w:r>
    </w:p>
    <w:p w14:paraId="6BA4B44C" w14:textId="77777777" w:rsidR="00E642F8" w:rsidRPr="00A64FC4" w:rsidRDefault="00E642F8" w:rsidP="00A64FC4">
      <w:pPr>
        <w:pStyle w:val="AssignBody"/>
      </w:pPr>
    </w:p>
    <w:p w14:paraId="0B67EFEB" w14:textId="5D256049" w:rsidR="00A64FC4" w:rsidRDefault="00A64FC4" w:rsidP="00A64FC4">
      <w:pPr>
        <w:pStyle w:val="AssignBody"/>
      </w:pPr>
      <w:r w:rsidRPr="00A64FC4">
        <w:t xml:space="preserve">When looking at </w:t>
      </w:r>
      <w:proofErr w:type="gramStart"/>
      <w:r w:rsidRPr="00A64FC4">
        <w:t>particular scenarios</w:t>
      </w:r>
      <w:proofErr w:type="gramEnd"/>
      <w:r w:rsidRPr="00A64FC4">
        <w:t>, such as the one mentioned above with pupil X, it is important that a specific method of reflection is followed by using a reflection model. When looking at my critical incident, I had initially planned to use Rolfe</w:t>
      </w:r>
      <w:r w:rsidR="009B3258">
        <w:t xml:space="preserve"> et al</w:t>
      </w:r>
      <w:r w:rsidRPr="00A64FC4">
        <w:t>’s reflection model (</w:t>
      </w:r>
      <w:r w:rsidR="009B3258">
        <w:t>2001</w:t>
      </w:r>
      <w:r w:rsidRPr="00A64FC4">
        <w:t>). This model has 3 main questions. Firstly</w:t>
      </w:r>
      <w:r w:rsidR="00897284">
        <w:t>,</w:t>
      </w:r>
      <w:r w:rsidRPr="00A64FC4">
        <w:t xml:space="preserve"> it asks ‘what?’. This is a description of the incident that is being reflected upon. Next, there is ‘so what?’. This is where the meaning behind the incident is discussed and theory and prior knowledge is applied. Rolfe</w:t>
      </w:r>
      <w:r w:rsidR="009B3258">
        <w:t xml:space="preserve"> et al</w:t>
      </w:r>
      <w:r w:rsidRPr="00A64FC4">
        <w:t>’s model finishes with ‘now what?’. Here, next steps are identified as to what could be done differently and what measures could be in place within the classroom if the situation was to occur again. Rolfe</w:t>
      </w:r>
      <w:r w:rsidR="008B7255">
        <w:t xml:space="preserve"> et al</w:t>
      </w:r>
      <w:r w:rsidRPr="00A64FC4">
        <w:t>’s model is a good baseline when looking at a situation and it has 3 easy to follow, memorable steps however it does not allow for any in depth analysis as the researcher only looks at the incident in a superficial way (</w:t>
      </w:r>
      <w:r w:rsidR="008C17F7">
        <w:t>Bishop and Blake, 2007</w:t>
      </w:r>
      <w:r w:rsidRPr="00A64FC4">
        <w:t>). Based on this criticism, I decided to instead use Gibbs</w:t>
      </w:r>
      <w:r w:rsidR="00E16C49">
        <w:t>’</w:t>
      </w:r>
      <w:r w:rsidRPr="00A64FC4">
        <w:t xml:space="preserve"> reflective model (Gibb</w:t>
      </w:r>
      <w:r w:rsidR="00E16C49">
        <w:t>s</w:t>
      </w:r>
      <w:r w:rsidRPr="00A64FC4">
        <w:t xml:space="preserve">, </w:t>
      </w:r>
      <w:r w:rsidR="00ED0F9D" w:rsidRPr="0020292A">
        <w:t>1988</w:t>
      </w:r>
      <w:r w:rsidRPr="00A64FC4">
        <w:t>). This model begins in the same way as Rolfe</w:t>
      </w:r>
      <w:r w:rsidR="008B7255">
        <w:t xml:space="preserve"> at al</w:t>
      </w:r>
      <w:r w:rsidRPr="00A64FC4">
        <w:t>’s model; with a description of an incident which has taken place. However, the next step of Gibbs</w:t>
      </w:r>
      <w:r w:rsidR="00E16C49">
        <w:t>’</w:t>
      </w:r>
      <w:r w:rsidRPr="00A64FC4">
        <w:t xml:space="preserve"> model is to reflect on the feelings of the researcher, followed by good and bad points of the incident that occurred. This allows the researcher to look beneath the surface and explore potential motivators or reasons behind the incident instead of purely looking at theories to explain behaviours. Once this emotional level has been examined, it is then that theory is applied and research into these areas is examined. From this point, the evidence is weighed up and a conclusion is reached as to what the alternative possibilities would be to resolve the given scenario. An action plan is </w:t>
      </w:r>
      <w:r w:rsidRPr="00A64FC4">
        <w:lastRenderedPageBreak/>
        <w:t>then drawn up to establish what the best course of action would be if this situation was to occur again. I chose to use Gibbs</w:t>
      </w:r>
      <w:r w:rsidR="00E16C49">
        <w:t>’</w:t>
      </w:r>
      <w:r w:rsidRPr="00A64FC4">
        <w:t xml:space="preserve"> model of reflection for both my reflection upon pupil X and in my own future reflective practice as there is a growing body of research supporting the role of emotions in teaching styles and good practice (</w:t>
      </w:r>
      <w:proofErr w:type="spellStart"/>
      <w:r w:rsidRPr="00A64FC4">
        <w:t>Zembylas</w:t>
      </w:r>
      <w:proofErr w:type="spellEnd"/>
      <w:r w:rsidRPr="00A64FC4">
        <w:t xml:space="preserve">, 2014; </w:t>
      </w:r>
      <w:proofErr w:type="spellStart"/>
      <w:r w:rsidRPr="00A64FC4">
        <w:t>Yoo</w:t>
      </w:r>
      <w:proofErr w:type="spellEnd"/>
      <w:r w:rsidRPr="00A64FC4">
        <w:t xml:space="preserve"> and Carter, 2017). I feel it is particularly important to acknowledge the importance of this emotional role to gauge the complexity of pedagogical decision and choices in the classroom. In the reflection upon pupil X’s incident, I used the ARC model (see appendix 2) to record my feelings.  </w:t>
      </w:r>
    </w:p>
    <w:p w14:paraId="75E7823F" w14:textId="77777777" w:rsidR="00E642F8" w:rsidRPr="00A64FC4" w:rsidRDefault="00E642F8" w:rsidP="00A64FC4">
      <w:pPr>
        <w:pStyle w:val="AssignBody"/>
      </w:pPr>
    </w:p>
    <w:p w14:paraId="2D6BB3F5" w14:textId="0867A8A7" w:rsidR="00A64FC4" w:rsidRDefault="00A64FC4" w:rsidP="00A64FC4">
      <w:pPr>
        <w:pStyle w:val="AssignBody"/>
      </w:pPr>
      <w:r w:rsidRPr="00A64FC4">
        <w:t>When Gibbs</w:t>
      </w:r>
      <w:r w:rsidR="00E16C49">
        <w:t>’</w:t>
      </w:r>
      <w:r w:rsidRPr="00A64FC4">
        <w:t xml:space="preserve"> model is applied to the incident observed involving pupil X, the next step would be to weigh up the possible solutions to improve his educational inclusion. A specialist unit would be a realistic possibility for pupil X as the school has its own unit in the building. This would mean that pupil X could remain at his current school, but his peers would change. However, given pupil X’s young age, it is possible that his social skills could be at risk if he was to be placed in specialist provision </w:t>
      </w:r>
      <w:r w:rsidR="003A6D02">
        <w:t>(</w:t>
      </w:r>
      <w:proofErr w:type="spellStart"/>
      <w:r w:rsidRPr="00A64FC4">
        <w:t>Bouto</w:t>
      </w:r>
      <w:r w:rsidR="003A6D02">
        <w:t>t</w:t>
      </w:r>
      <w:proofErr w:type="spellEnd"/>
      <w:r w:rsidRPr="00A64FC4">
        <w:t xml:space="preserve"> and Bryant, 2005). It should be ensured that every effort is made to integrate him into the mainstream classroom and, only if mainstream integration is not a viable solution, specialist inclusion should be an option. Using technology as a classroom-wide provision would be beneficial, not only to pupil X, but also to the other pupils in the class (</w:t>
      </w:r>
      <w:r w:rsidR="002E1426" w:rsidRPr="00A64FC4">
        <w:t>Oakley</w:t>
      </w:r>
      <w:r w:rsidR="00103C25">
        <w:t xml:space="preserve"> </w:t>
      </w:r>
      <w:r w:rsidR="00150E34">
        <w:t>et al.</w:t>
      </w:r>
      <w:r w:rsidR="002E1426" w:rsidRPr="00A64FC4">
        <w:t>, 2013</w:t>
      </w:r>
      <w:r w:rsidR="002E1426">
        <w:t xml:space="preserve">; </w:t>
      </w:r>
      <w:r w:rsidR="00CC25BD" w:rsidRPr="00A64FC4">
        <w:t xml:space="preserve">Oakley, </w:t>
      </w:r>
      <w:proofErr w:type="spellStart"/>
      <w:r w:rsidR="00CC25BD" w:rsidRPr="00A64FC4">
        <w:t>Wildy</w:t>
      </w:r>
      <w:proofErr w:type="spellEnd"/>
      <w:r w:rsidR="00CC25BD" w:rsidRPr="00A64FC4">
        <w:t xml:space="preserve"> and Berman, 2018</w:t>
      </w:r>
      <w:r w:rsidRPr="00A64FC4">
        <w:t>) as technology enhanced learning has shown to promote learning, as well as fulfilling the digital competency framework within the curriculum (</w:t>
      </w:r>
      <w:r w:rsidR="00DB0498">
        <w:t>Welsh Government, 2018</w:t>
      </w:r>
      <w:r w:rsidRPr="00A64FC4">
        <w:t xml:space="preserve">). However, it is not always practical; not all schools have enough technology for all pupils to use simultaneously and some lessons do not lend themselves to technology. It is important that skills such as writing are developed as well as the use of technology. Peer teaching could also be used with pupil X and, like technology use, this can be beneficial to </w:t>
      </w:r>
      <w:proofErr w:type="gramStart"/>
      <w:r w:rsidRPr="00A64FC4">
        <w:t>all of</w:t>
      </w:r>
      <w:proofErr w:type="gramEnd"/>
      <w:r w:rsidRPr="00A64FC4">
        <w:t xml:space="preserve"> the children in the class. Concepts can be outlines to pupils in a different way and the ‘tutor’ children can develop self-efficacy and self-worth. This is unlikely to be a viable solution to use too often however, because pupils acting as tutors are not learning, they are just going back over material that they understand. For pupil X, it is potentially most beneficial to use a combination of these methods – technology for some lessons and pupil teaching for others. Through these techniques, he should build his social skills through peer interaction and this could encourage him to choose to integrate himself into more sessions with his peers in the classroom. </w:t>
      </w:r>
    </w:p>
    <w:p w14:paraId="3F7EFB8C" w14:textId="77777777" w:rsidR="00E642F8" w:rsidRPr="00A64FC4" w:rsidRDefault="00E642F8" w:rsidP="00A64FC4">
      <w:pPr>
        <w:pStyle w:val="AssignBody"/>
      </w:pPr>
    </w:p>
    <w:p w14:paraId="17E39094" w14:textId="665912BA" w:rsidR="00A64FC4" w:rsidRDefault="00A64FC4" w:rsidP="00A64FC4">
      <w:pPr>
        <w:pStyle w:val="AssignBody"/>
      </w:pPr>
      <w:r w:rsidRPr="00A64FC4">
        <w:t>From a personal viewpoint, I have found Gibbs</w:t>
      </w:r>
      <w:r w:rsidR="00C47024">
        <w:t>’</w:t>
      </w:r>
      <w:r w:rsidRPr="00A64FC4">
        <w:t xml:space="preserve"> reflective model to be particularly useful when looking at my own practice. I need to be aware of my emotions whilst I am teaching in the classroom and I will write down my feelings after any incident that I think it worth </w:t>
      </w:r>
      <w:r w:rsidRPr="00A64FC4">
        <w:lastRenderedPageBreak/>
        <w:t xml:space="preserve">reflecting upon. I will ensure to consider these emotions and combine this with my knowledge of theory to decide what I should do differently if the same situation was to occur again. </w:t>
      </w:r>
    </w:p>
    <w:p w14:paraId="530613E7" w14:textId="77777777" w:rsidR="00255BEC" w:rsidRPr="00A64FC4" w:rsidRDefault="00255BEC" w:rsidP="00A64FC4">
      <w:pPr>
        <w:pStyle w:val="AssignBody"/>
      </w:pPr>
    </w:p>
    <w:p w14:paraId="102E37B0" w14:textId="1589FA59" w:rsidR="00A64FC4" w:rsidRPr="00A64FC4" w:rsidRDefault="00A64FC4" w:rsidP="00A64FC4">
      <w:pPr>
        <w:pStyle w:val="AssignBody"/>
      </w:pPr>
      <w:r w:rsidRPr="00A64FC4">
        <w:t xml:space="preserve">In conclusion, an observation carried out in a class led me to take </w:t>
      </w:r>
      <w:proofErr w:type="gramStart"/>
      <w:r w:rsidRPr="00A64FC4">
        <w:t>particular notice</w:t>
      </w:r>
      <w:proofErr w:type="gramEnd"/>
      <w:r w:rsidRPr="00A64FC4">
        <w:t xml:space="preserve"> to one incident. The critical incident that I witnessed involved a pupil with ASD not being engaged into lessons with his peers. This had potential impacts on his social development as well as his academic development (</w:t>
      </w:r>
      <w:r w:rsidR="007C79C2">
        <w:t>Skinner, 193</w:t>
      </w:r>
      <w:r w:rsidR="00ED5804">
        <w:t>8</w:t>
      </w:r>
      <w:r w:rsidR="007C79C2">
        <w:t xml:space="preserve">; </w:t>
      </w:r>
      <w:r w:rsidR="007C79C2" w:rsidRPr="00A64FC4">
        <w:t xml:space="preserve">Vygotsky, cited in </w:t>
      </w:r>
      <w:proofErr w:type="spellStart"/>
      <w:r w:rsidR="007C79C2" w:rsidRPr="00A64FC4">
        <w:t>Gindis</w:t>
      </w:r>
      <w:proofErr w:type="spellEnd"/>
      <w:r w:rsidR="007C79C2" w:rsidRPr="00A64FC4">
        <w:t>, 1999</w:t>
      </w:r>
      <w:r w:rsidRPr="00A64FC4">
        <w:t>). Possible solutions were examined including specialist provisions</w:t>
      </w:r>
      <w:r w:rsidR="00E70EA2">
        <w:t>;</w:t>
      </w:r>
      <w:r w:rsidRPr="00A64FC4">
        <w:t xml:space="preserve"> using technology to integrate the pupil and more knowledgeable pupils tutoring other pupils. Specialist provisions were found to carry the risk of limiting the pupil’s social development further but, whilst neither peer tutoring nor the use of technology were deemed to be practical permanent solutions, they could both be used in conjunction to integrate the pupil. In turn, this would hopefully boost the pupil’s confidence and encourage him to integrate himself into lessons with his peers more regularly. The use of Gibbs</w:t>
      </w:r>
      <w:r w:rsidR="00C47024">
        <w:t>’</w:t>
      </w:r>
      <w:r w:rsidRPr="00A64FC4">
        <w:t xml:space="preserve"> reflective model (Gibb</w:t>
      </w:r>
      <w:r w:rsidR="00C47024">
        <w:t>s</w:t>
      </w:r>
      <w:r w:rsidRPr="00A64FC4">
        <w:t xml:space="preserve">, </w:t>
      </w:r>
      <w:r w:rsidR="003D28E6" w:rsidRPr="0020292A">
        <w:t>1988</w:t>
      </w:r>
      <w:r w:rsidRPr="00A64FC4">
        <w:t xml:space="preserve">) in this analysis enables me to get closer to the teacher training standards for Wales </w:t>
      </w:r>
      <w:r w:rsidR="0004136D">
        <w:t>(Welsh Government, 2017)</w:t>
      </w:r>
      <w:r w:rsidRPr="00A64FC4">
        <w:t xml:space="preserve"> as reflective practice is fundamental to continuous professional learning – one of the current standards</w:t>
      </w:r>
      <w:r w:rsidR="000B4322">
        <w:t>.</w:t>
      </w:r>
      <w:r w:rsidRPr="00A64FC4">
        <w:t xml:space="preserve"> Reflecting on my own personal practice will enable me to learn from my mistakes or successes and help me to constantly build upon my own teaching. What’s more, the standards outline that practitioners should be capable of taking responsibility for themselves (</w:t>
      </w:r>
      <w:r w:rsidR="0004136D">
        <w:t>Welsh Government, 2017)</w:t>
      </w:r>
      <w:r w:rsidR="0004136D">
        <w:t>.</w:t>
      </w:r>
      <w:r w:rsidR="0004136D" w:rsidRPr="00A64FC4">
        <w:t xml:space="preserve"> </w:t>
      </w:r>
      <w:r w:rsidRPr="00A64FC4">
        <w:t xml:space="preserve">Reflection models enable me to examine my own practices instead of relying on anyone else’s critique, thus making me more self-sufficient.  </w:t>
      </w:r>
    </w:p>
    <w:p w14:paraId="581B1E12" w14:textId="77777777" w:rsidR="00A64FC4" w:rsidRPr="00A64FC4" w:rsidRDefault="00A64FC4" w:rsidP="00A64FC4">
      <w:pPr>
        <w:pStyle w:val="AssignBody"/>
      </w:pPr>
    </w:p>
    <w:p w14:paraId="2D4E29E7" w14:textId="34A97FD1" w:rsidR="00A64FC4" w:rsidRPr="00E611D9" w:rsidRDefault="007A72DC" w:rsidP="00A64FC4">
      <w:pPr>
        <w:pStyle w:val="AssignBody"/>
      </w:pPr>
      <w:r>
        <w:t>Word count: 4202</w:t>
      </w:r>
    </w:p>
    <w:p w14:paraId="0D2F6EA6" w14:textId="65994326" w:rsidR="00E611D9" w:rsidRDefault="00E611D9" w:rsidP="00E611D9">
      <w:pPr>
        <w:pStyle w:val="AssignBody"/>
      </w:pPr>
    </w:p>
    <w:p w14:paraId="43B1FAEC" w14:textId="1DF3FBB7" w:rsidR="007A72DC" w:rsidRDefault="007A72DC" w:rsidP="00E611D9">
      <w:pPr>
        <w:pStyle w:val="AssignBody"/>
      </w:pPr>
    </w:p>
    <w:p w14:paraId="340C5600" w14:textId="584C1285" w:rsidR="007A72DC" w:rsidRDefault="007A72DC" w:rsidP="00E611D9">
      <w:pPr>
        <w:pStyle w:val="AssignBody"/>
      </w:pPr>
    </w:p>
    <w:p w14:paraId="796F4DF5" w14:textId="3E0EA172" w:rsidR="007A72DC" w:rsidRDefault="007A72DC" w:rsidP="00E611D9">
      <w:pPr>
        <w:pStyle w:val="AssignBody"/>
      </w:pPr>
    </w:p>
    <w:p w14:paraId="52546C8D" w14:textId="0BD54AC5" w:rsidR="007A72DC" w:rsidRDefault="007A72DC" w:rsidP="00E611D9">
      <w:pPr>
        <w:pStyle w:val="AssignBody"/>
      </w:pPr>
    </w:p>
    <w:p w14:paraId="10A2307A" w14:textId="392A61AE" w:rsidR="007A72DC" w:rsidRDefault="007A72DC" w:rsidP="00E611D9">
      <w:pPr>
        <w:pStyle w:val="AssignBody"/>
      </w:pPr>
    </w:p>
    <w:p w14:paraId="29F2343E" w14:textId="4BCAF4CE" w:rsidR="007A72DC" w:rsidRDefault="007A72DC" w:rsidP="00E611D9">
      <w:pPr>
        <w:pStyle w:val="AssignBody"/>
      </w:pPr>
    </w:p>
    <w:p w14:paraId="441E6B36" w14:textId="5E03D16E" w:rsidR="007A72DC" w:rsidRDefault="007A72DC" w:rsidP="00E611D9">
      <w:pPr>
        <w:pStyle w:val="AssignBody"/>
      </w:pPr>
    </w:p>
    <w:p w14:paraId="5386487E" w14:textId="6197FA50" w:rsidR="007A72DC" w:rsidRDefault="007A72DC" w:rsidP="00E611D9">
      <w:pPr>
        <w:pStyle w:val="AssignBody"/>
      </w:pPr>
    </w:p>
    <w:p w14:paraId="1E6AC886" w14:textId="019B8105" w:rsidR="007A72DC" w:rsidRDefault="007A72DC" w:rsidP="00E611D9">
      <w:pPr>
        <w:pStyle w:val="AssignBody"/>
      </w:pPr>
    </w:p>
    <w:p w14:paraId="45B1431B" w14:textId="3C6835AE" w:rsidR="007A72DC" w:rsidRDefault="007A72DC" w:rsidP="00E611D9">
      <w:pPr>
        <w:pStyle w:val="AssignBody"/>
      </w:pPr>
    </w:p>
    <w:p w14:paraId="04E03579" w14:textId="28700D98" w:rsidR="007A72DC" w:rsidRDefault="007A72DC" w:rsidP="00E611D9">
      <w:pPr>
        <w:pStyle w:val="AssignBody"/>
      </w:pPr>
    </w:p>
    <w:p w14:paraId="6DC64141" w14:textId="69C24DED" w:rsidR="007A72DC" w:rsidRDefault="007A72DC" w:rsidP="00E611D9">
      <w:pPr>
        <w:pStyle w:val="AssignBody"/>
      </w:pPr>
    </w:p>
    <w:p w14:paraId="5E346BEA" w14:textId="1C1CE2A7" w:rsidR="007A72DC" w:rsidRDefault="007A72DC" w:rsidP="00E611D9">
      <w:pPr>
        <w:pStyle w:val="AssignBody"/>
      </w:pPr>
    </w:p>
    <w:p w14:paraId="7B4EBAED" w14:textId="77777777" w:rsidR="00CF0BC4" w:rsidRPr="009D5FD9" w:rsidRDefault="00CF0BC4" w:rsidP="00CF0BC4">
      <w:pPr>
        <w:spacing w:line="360" w:lineRule="auto"/>
        <w:rPr>
          <w:rFonts w:ascii="Arial" w:hAnsi="Arial" w:cs="Arial"/>
          <w:b/>
          <w:bCs/>
          <w:color w:val="222222"/>
          <w:shd w:val="clear" w:color="auto" w:fill="FFFFFF"/>
        </w:rPr>
      </w:pPr>
      <w:r w:rsidRPr="009D5FD9">
        <w:rPr>
          <w:rFonts w:ascii="Arial" w:hAnsi="Arial" w:cs="Arial"/>
          <w:b/>
          <w:bCs/>
          <w:color w:val="222222"/>
          <w:shd w:val="clear" w:color="auto" w:fill="FFFFFF"/>
        </w:rPr>
        <w:t>References</w:t>
      </w:r>
    </w:p>
    <w:p w14:paraId="16660046"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Adair, J.G., 1984. The Hawthorne effect: a reconsideration of the methodological </w:t>
      </w:r>
      <w:proofErr w:type="spellStart"/>
      <w:r w:rsidRPr="009D5FD9">
        <w:rPr>
          <w:rFonts w:ascii="Arial" w:hAnsi="Arial" w:cs="Arial"/>
          <w:color w:val="222222"/>
          <w:shd w:val="clear" w:color="auto" w:fill="FFFFFF"/>
        </w:rPr>
        <w:t>artifact</w:t>
      </w:r>
      <w:proofErr w:type="spellEnd"/>
      <w:r w:rsidRPr="009D5FD9">
        <w:rPr>
          <w:rFonts w:ascii="Arial" w:hAnsi="Arial" w:cs="Arial"/>
          <w:color w:val="222222"/>
          <w:shd w:val="clear" w:color="auto" w:fill="FFFFFF"/>
        </w:rPr>
        <w:t>. </w:t>
      </w:r>
      <w:r w:rsidRPr="009D5FD9">
        <w:rPr>
          <w:rFonts w:ascii="Arial" w:hAnsi="Arial" w:cs="Arial"/>
          <w:i/>
          <w:iCs/>
          <w:color w:val="222222"/>
          <w:shd w:val="clear" w:color="auto" w:fill="FFFFFF"/>
        </w:rPr>
        <w:t>Journal of applied psychology</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69</w:t>
      </w:r>
      <w:r w:rsidRPr="009D5FD9">
        <w:rPr>
          <w:rFonts w:ascii="Arial" w:hAnsi="Arial" w:cs="Arial"/>
          <w:color w:val="222222"/>
          <w:shd w:val="clear" w:color="auto" w:fill="FFFFFF"/>
        </w:rPr>
        <w:t>(2), p.334.</w:t>
      </w:r>
    </w:p>
    <w:p w14:paraId="62253FBD"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Aldabas</w:t>
      </w:r>
      <w:proofErr w:type="spellEnd"/>
      <w:r w:rsidRPr="009D5FD9">
        <w:rPr>
          <w:rFonts w:ascii="Arial" w:hAnsi="Arial" w:cs="Arial"/>
          <w:color w:val="222222"/>
          <w:shd w:val="clear" w:color="auto" w:fill="FFFFFF"/>
        </w:rPr>
        <w:t>, R., 2019. Effectiveness of peer-mediated interventions (PMIs) on children with autism spectrum disorder (ASD): a systematic review. </w:t>
      </w:r>
      <w:r w:rsidRPr="009D5FD9">
        <w:rPr>
          <w:rFonts w:ascii="Arial" w:hAnsi="Arial" w:cs="Arial"/>
          <w:i/>
          <w:iCs/>
          <w:color w:val="222222"/>
          <w:shd w:val="clear" w:color="auto" w:fill="FFFFFF"/>
        </w:rPr>
        <w:t>Early Child Development and Care</w:t>
      </w:r>
      <w:r w:rsidRPr="009D5FD9">
        <w:rPr>
          <w:rFonts w:ascii="Arial" w:hAnsi="Arial" w:cs="Arial"/>
          <w:color w:val="222222"/>
          <w:shd w:val="clear" w:color="auto" w:fill="FFFFFF"/>
        </w:rPr>
        <w:t>, pp.1-18.</w:t>
      </w:r>
    </w:p>
    <w:p w14:paraId="4A0B2C59"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Ali, N., </w:t>
      </w:r>
      <w:proofErr w:type="spellStart"/>
      <w:r w:rsidRPr="009D5FD9">
        <w:rPr>
          <w:rFonts w:ascii="Arial" w:hAnsi="Arial" w:cs="Arial"/>
          <w:color w:val="222222"/>
          <w:shd w:val="clear" w:color="auto" w:fill="FFFFFF"/>
        </w:rPr>
        <w:t>Anwer</w:t>
      </w:r>
      <w:proofErr w:type="spellEnd"/>
      <w:r w:rsidRPr="009D5FD9">
        <w:rPr>
          <w:rFonts w:ascii="Arial" w:hAnsi="Arial" w:cs="Arial"/>
          <w:color w:val="222222"/>
          <w:shd w:val="clear" w:color="auto" w:fill="FFFFFF"/>
        </w:rPr>
        <w:t>, M. and Jaffar, A., 2015. Impact of peer tutoring on learning of students. </w:t>
      </w:r>
      <w:r w:rsidRPr="009D5FD9">
        <w:rPr>
          <w:rFonts w:ascii="Arial" w:hAnsi="Arial" w:cs="Arial"/>
          <w:i/>
          <w:iCs/>
          <w:color w:val="222222"/>
          <w:shd w:val="clear" w:color="auto" w:fill="FFFFFF"/>
        </w:rPr>
        <w:t>Journal for Studies in Management and Planning</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w:t>
      </w:r>
      <w:r w:rsidRPr="009D5FD9">
        <w:rPr>
          <w:rFonts w:ascii="Arial" w:hAnsi="Arial" w:cs="Arial"/>
          <w:color w:val="222222"/>
          <w:shd w:val="clear" w:color="auto" w:fill="FFFFFF"/>
        </w:rPr>
        <w:t>(2).</w:t>
      </w:r>
    </w:p>
    <w:p w14:paraId="29B12162"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Allen, M. ed., 2017. </w:t>
      </w:r>
      <w:r w:rsidRPr="009D5FD9">
        <w:rPr>
          <w:rFonts w:ascii="Arial" w:hAnsi="Arial" w:cs="Arial"/>
          <w:i/>
          <w:iCs/>
          <w:color w:val="222222"/>
          <w:shd w:val="clear" w:color="auto" w:fill="FFFFFF"/>
        </w:rPr>
        <w:t xml:space="preserve">The SAGE </w:t>
      </w:r>
      <w:proofErr w:type="spellStart"/>
      <w:r w:rsidRPr="009D5FD9">
        <w:rPr>
          <w:rFonts w:ascii="Arial" w:hAnsi="Arial" w:cs="Arial"/>
          <w:i/>
          <w:iCs/>
          <w:color w:val="222222"/>
          <w:shd w:val="clear" w:color="auto" w:fill="FFFFFF"/>
        </w:rPr>
        <w:t>encyclopedia</w:t>
      </w:r>
      <w:proofErr w:type="spellEnd"/>
      <w:r w:rsidRPr="009D5FD9">
        <w:rPr>
          <w:rFonts w:ascii="Arial" w:hAnsi="Arial" w:cs="Arial"/>
          <w:i/>
          <w:iCs/>
          <w:color w:val="222222"/>
          <w:shd w:val="clear" w:color="auto" w:fill="FFFFFF"/>
        </w:rPr>
        <w:t xml:space="preserve"> of communication research methods</w:t>
      </w:r>
      <w:r w:rsidRPr="009D5FD9">
        <w:rPr>
          <w:rFonts w:ascii="Arial" w:hAnsi="Arial" w:cs="Arial"/>
          <w:color w:val="222222"/>
          <w:shd w:val="clear" w:color="auto" w:fill="FFFFFF"/>
        </w:rPr>
        <w:t>. SAGE Publications.</w:t>
      </w:r>
    </w:p>
    <w:p w14:paraId="0B5A7848"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Alper</w:t>
      </w:r>
      <w:proofErr w:type="spellEnd"/>
      <w:r w:rsidRPr="009D5FD9">
        <w:rPr>
          <w:rFonts w:ascii="Arial" w:hAnsi="Arial" w:cs="Arial"/>
          <w:color w:val="222222"/>
          <w:shd w:val="clear" w:color="auto" w:fill="FFFFFF"/>
        </w:rPr>
        <w:t>, M., 2018. Inclusive sensory ethnography: Studying new media and neurodiversity in everyday life. </w:t>
      </w:r>
      <w:r w:rsidRPr="009D5FD9">
        <w:rPr>
          <w:rFonts w:ascii="Arial" w:hAnsi="Arial" w:cs="Arial"/>
          <w:i/>
          <w:iCs/>
          <w:color w:val="222222"/>
          <w:shd w:val="clear" w:color="auto" w:fill="FFFFFF"/>
        </w:rPr>
        <w:t>new media &amp; society</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(10), pp.3560-3579.</w:t>
      </w:r>
    </w:p>
    <w:p w14:paraId="28C5272B"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Alwi</w:t>
      </w:r>
      <w:proofErr w:type="spellEnd"/>
      <w:r w:rsidRPr="009D5FD9">
        <w:rPr>
          <w:rFonts w:ascii="Arial" w:hAnsi="Arial" w:cs="Arial"/>
          <w:color w:val="222222"/>
          <w:shd w:val="clear" w:color="auto" w:fill="FFFFFF"/>
        </w:rPr>
        <w:t>, S.K.K., Rauf, M.B. and Soomro, S., 2016. Effects of cross and same age peer tutoring on reading attitudes of primary school students. </w:t>
      </w:r>
      <w:r w:rsidRPr="009D5FD9">
        <w:rPr>
          <w:rFonts w:ascii="Arial" w:hAnsi="Arial" w:cs="Arial"/>
          <w:i/>
          <w:iCs/>
          <w:color w:val="222222"/>
          <w:shd w:val="clear" w:color="auto" w:fill="FFFFFF"/>
        </w:rPr>
        <w:t>The Sindh University Journal of Education-SUJE</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45</w:t>
      </w:r>
      <w:r w:rsidRPr="009D5FD9">
        <w:rPr>
          <w:rFonts w:ascii="Arial" w:hAnsi="Arial" w:cs="Arial"/>
          <w:color w:val="222222"/>
          <w:shd w:val="clear" w:color="auto" w:fill="FFFFFF"/>
        </w:rPr>
        <w:t>(1).</w:t>
      </w:r>
    </w:p>
    <w:p w14:paraId="2E7C5B43"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Bandura, A. and Walters, R.H., 1977. </w:t>
      </w:r>
      <w:r w:rsidRPr="009D5FD9">
        <w:rPr>
          <w:rFonts w:ascii="Arial" w:hAnsi="Arial" w:cs="Arial"/>
          <w:i/>
          <w:iCs/>
          <w:color w:val="222222"/>
          <w:shd w:val="clear" w:color="auto" w:fill="FFFFFF"/>
        </w:rPr>
        <w:t>Social learning theory</w:t>
      </w:r>
      <w:r w:rsidRPr="009D5FD9">
        <w:rPr>
          <w:rFonts w:ascii="Arial" w:hAnsi="Arial" w:cs="Arial"/>
          <w:color w:val="222222"/>
          <w:shd w:val="clear" w:color="auto" w:fill="FFFFFF"/>
        </w:rPr>
        <w:t xml:space="preserve"> (Vol. 1). Englewood Cliffs, NJ: </w:t>
      </w:r>
      <w:bookmarkStart w:id="0" w:name="_GoBack"/>
      <w:proofErr w:type="gramStart"/>
      <w:r w:rsidRPr="009D5FD9">
        <w:rPr>
          <w:rFonts w:ascii="Arial" w:hAnsi="Arial" w:cs="Arial"/>
          <w:color w:val="222222"/>
          <w:shd w:val="clear" w:color="auto" w:fill="FFFFFF"/>
        </w:rPr>
        <w:t>Prentice-hall</w:t>
      </w:r>
      <w:bookmarkEnd w:id="0"/>
      <w:proofErr w:type="gramEnd"/>
      <w:r w:rsidRPr="009D5FD9">
        <w:rPr>
          <w:rFonts w:ascii="Arial" w:hAnsi="Arial" w:cs="Arial"/>
          <w:color w:val="222222"/>
          <w:shd w:val="clear" w:color="auto" w:fill="FFFFFF"/>
        </w:rPr>
        <w:t>.</w:t>
      </w:r>
    </w:p>
    <w:p w14:paraId="73C5ED7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Barnard, J., 2000. </w:t>
      </w:r>
      <w:r w:rsidRPr="009D5FD9">
        <w:rPr>
          <w:rFonts w:ascii="Arial" w:hAnsi="Arial" w:cs="Arial"/>
          <w:i/>
          <w:iCs/>
          <w:color w:val="222222"/>
          <w:shd w:val="clear" w:color="auto" w:fill="FFFFFF"/>
        </w:rPr>
        <w:t xml:space="preserve">Inclusion and autism: </w:t>
      </w:r>
      <w:proofErr w:type="gramStart"/>
      <w:r w:rsidRPr="009D5FD9">
        <w:rPr>
          <w:rFonts w:ascii="Arial" w:hAnsi="Arial" w:cs="Arial"/>
          <w:i/>
          <w:iCs/>
          <w:color w:val="222222"/>
          <w:shd w:val="clear" w:color="auto" w:fill="FFFFFF"/>
        </w:rPr>
        <w:t>Is</w:t>
      </w:r>
      <w:proofErr w:type="gramEnd"/>
      <w:r w:rsidRPr="009D5FD9">
        <w:rPr>
          <w:rFonts w:ascii="Arial" w:hAnsi="Arial" w:cs="Arial"/>
          <w:i/>
          <w:iCs/>
          <w:color w:val="222222"/>
          <w:shd w:val="clear" w:color="auto" w:fill="FFFFFF"/>
        </w:rPr>
        <w:t xml:space="preserve"> it working? 1,000 examples of inclusion in education and adult life from the National Autistic Society's members</w:t>
      </w:r>
      <w:r w:rsidRPr="009D5FD9">
        <w:rPr>
          <w:rFonts w:ascii="Arial" w:hAnsi="Arial" w:cs="Arial"/>
          <w:color w:val="222222"/>
          <w:shd w:val="clear" w:color="auto" w:fill="FFFFFF"/>
        </w:rPr>
        <w:t>. National Autistic Society.</w:t>
      </w:r>
    </w:p>
    <w:p w14:paraId="0B34873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Barrell, R., 2010. The importance of interpersonal skills. </w:t>
      </w:r>
      <w:r w:rsidRPr="009D5FD9">
        <w:rPr>
          <w:rFonts w:ascii="Arial" w:hAnsi="Arial" w:cs="Arial"/>
          <w:i/>
          <w:iCs/>
          <w:color w:val="222222"/>
          <w:shd w:val="clear" w:color="auto" w:fill="FFFFFF"/>
        </w:rPr>
        <w:t xml:space="preserve">Transforming </w:t>
      </w:r>
      <w:proofErr w:type="gramStart"/>
      <w:r w:rsidRPr="009D5FD9">
        <w:rPr>
          <w:rFonts w:ascii="Arial" w:hAnsi="Arial" w:cs="Arial"/>
          <w:i/>
          <w:iCs/>
          <w:color w:val="222222"/>
          <w:shd w:val="clear" w:color="auto" w:fill="FFFFFF"/>
        </w:rPr>
        <w:t>The</w:t>
      </w:r>
      <w:proofErr w:type="gramEnd"/>
      <w:r w:rsidRPr="009D5FD9">
        <w:rPr>
          <w:rFonts w:ascii="Arial" w:hAnsi="Arial" w:cs="Arial"/>
          <w:i/>
          <w:iCs/>
          <w:color w:val="222222"/>
          <w:shd w:val="clear" w:color="auto" w:fill="FFFFFF"/>
        </w:rPr>
        <w:t xml:space="preserve"> Role Of The </w:t>
      </w:r>
      <w:proofErr w:type="spellStart"/>
      <w:r w:rsidRPr="009D5FD9">
        <w:rPr>
          <w:rFonts w:ascii="Arial" w:hAnsi="Arial" w:cs="Arial"/>
          <w:i/>
          <w:iCs/>
          <w:color w:val="222222"/>
          <w:shd w:val="clear" w:color="auto" w:fill="FFFFFF"/>
        </w:rPr>
        <w:t>Senco</w:t>
      </w:r>
      <w:proofErr w:type="spellEnd"/>
      <w:r w:rsidRPr="009D5FD9">
        <w:rPr>
          <w:rFonts w:ascii="Arial" w:hAnsi="Arial" w:cs="Arial"/>
          <w:i/>
          <w:iCs/>
          <w:color w:val="222222"/>
          <w:shd w:val="clear" w:color="auto" w:fill="FFFFFF"/>
        </w:rPr>
        <w:t>: Achieving The National Award For Sen Coordination</w:t>
      </w:r>
      <w:r w:rsidRPr="009D5FD9">
        <w:rPr>
          <w:rFonts w:ascii="Arial" w:hAnsi="Arial" w:cs="Arial"/>
          <w:color w:val="222222"/>
          <w:shd w:val="clear" w:color="auto" w:fill="FFFFFF"/>
        </w:rPr>
        <w:t>, p.168.</w:t>
      </w:r>
    </w:p>
    <w:p w14:paraId="79340273"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Bishop, G. and Blake, J., 2007. Reflective practice: a guide to reflective practice with workbook: for </w:t>
      </w:r>
      <w:proofErr w:type="gramStart"/>
      <w:r w:rsidRPr="009D5FD9">
        <w:rPr>
          <w:rFonts w:ascii="Arial" w:hAnsi="Arial" w:cs="Arial"/>
          <w:color w:val="222222"/>
          <w:shd w:val="clear" w:color="auto" w:fill="FFFFFF"/>
        </w:rPr>
        <w:t>post graduate</w:t>
      </w:r>
      <w:proofErr w:type="gramEnd"/>
      <w:r w:rsidRPr="009D5FD9">
        <w:rPr>
          <w:rFonts w:ascii="Arial" w:hAnsi="Arial" w:cs="Arial"/>
          <w:color w:val="222222"/>
          <w:shd w:val="clear" w:color="auto" w:fill="FFFFFF"/>
        </w:rPr>
        <w:t xml:space="preserve"> and post experience learners.</w:t>
      </w:r>
    </w:p>
    <w:p w14:paraId="5B4EDBD4"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Boutot</w:t>
      </w:r>
      <w:proofErr w:type="spellEnd"/>
      <w:r w:rsidRPr="009D5FD9">
        <w:rPr>
          <w:rFonts w:ascii="Arial" w:hAnsi="Arial" w:cs="Arial"/>
          <w:color w:val="222222"/>
          <w:shd w:val="clear" w:color="auto" w:fill="FFFFFF"/>
        </w:rPr>
        <w:t>, E.A. and Bryant, D.P., 2005. Social integration of students with autism in inclusive settings. </w:t>
      </w:r>
      <w:r w:rsidRPr="009D5FD9">
        <w:rPr>
          <w:rFonts w:ascii="Arial" w:hAnsi="Arial" w:cs="Arial"/>
          <w:i/>
          <w:iCs/>
          <w:color w:val="222222"/>
          <w:shd w:val="clear" w:color="auto" w:fill="FFFFFF"/>
        </w:rPr>
        <w:t>Education and Training in Developmental Disabilities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40</w:t>
      </w:r>
      <w:r w:rsidRPr="009D5FD9">
        <w:rPr>
          <w:rFonts w:ascii="Arial" w:hAnsi="Arial" w:cs="Arial"/>
          <w:color w:val="222222"/>
          <w:shd w:val="clear" w:color="auto" w:fill="FFFFFF"/>
        </w:rPr>
        <w:t>(1), pp.14-23.</w:t>
      </w:r>
    </w:p>
    <w:p w14:paraId="7B543D23" w14:textId="77777777" w:rsidR="00CF0BC4" w:rsidRPr="009D5FD9" w:rsidRDefault="00CF0BC4" w:rsidP="00CF0BC4">
      <w:pPr>
        <w:spacing w:line="360" w:lineRule="auto"/>
        <w:rPr>
          <w:rFonts w:ascii="Arial" w:hAnsi="Arial" w:cs="Arial"/>
          <w:color w:val="333333"/>
          <w:shd w:val="clear" w:color="auto" w:fill="FFFFFF"/>
        </w:rPr>
      </w:pPr>
      <w:r w:rsidRPr="009D5FD9">
        <w:rPr>
          <w:rFonts w:ascii="Arial" w:hAnsi="Arial" w:cs="Arial"/>
          <w:color w:val="333333"/>
          <w:shd w:val="clear" w:color="auto" w:fill="FFFFFF"/>
        </w:rPr>
        <w:t>British Educational Research Association (BERA) (2018) </w:t>
      </w:r>
      <w:r w:rsidRPr="009D5FD9">
        <w:rPr>
          <w:rStyle w:val="Emphasis"/>
          <w:rFonts w:ascii="Arial" w:hAnsi="Arial" w:cs="Arial"/>
          <w:color w:val="333333"/>
          <w:shd w:val="clear" w:color="auto" w:fill="FFFFFF"/>
        </w:rPr>
        <w:t>Ethical guidelines for educational research</w:t>
      </w:r>
      <w:r w:rsidRPr="009D5FD9">
        <w:rPr>
          <w:rFonts w:ascii="Arial" w:hAnsi="Arial" w:cs="Arial"/>
          <w:color w:val="333333"/>
          <w:shd w:val="clear" w:color="auto" w:fill="FFFFFF"/>
        </w:rPr>
        <w:t xml:space="preserve">. 4th </w:t>
      </w:r>
      <w:proofErr w:type="spellStart"/>
      <w:r w:rsidRPr="009D5FD9">
        <w:rPr>
          <w:rFonts w:ascii="Arial" w:hAnsi="Arial" w:cs="Arial"/>
          <w:color w:val="333333"/>
          <w:shd w:val="clear" w:color="auto" w:fill="FFFFFF"/>
        </w:rPr>
        <w:t>edn</w:t>
      </w:r>
      <w:proofErr w:type="spellEnd"/>
      <w:r w:rsidRPr="009D5FD9">
        <w:rPr>
          <w:rFonts w:ascii="Arial" w:hAnsi="Arial" w:cs="Arial"/>
          <w:color w:val="333333"/>
          <w:shd w:val="clear" w:color="auto" w:fill="FFFFFF"/>
        </w:rPr>
        <w:t>. Available at: </w:t>
      </w:r>
      <w:hyperlink r:id="rId11" w:history="1">
        <w:r w:rsidRPr="009D5FD9">
          <w:rPr>
            <w:rStyle w:val="Hyperlink"/>
            <w:rFonts w:ascii="Arial" w:hAnsi="Arial" w:cs="Arial"/>
            <w:color w:val="337AB7"/>
            <w:shd w:val="clear" w:color="auto" w:fill="FFFFFF"/>
          </w:rPr>
          <w:t>https://www.bera.ac.uk/researchers-resources/publications/ethical-guidelines-for-educational-research-2018</w:t>
        </w:r>
      </w:hyperlink>
      <w:r w:rsidRPr="009D5FD9">
        <w:rPr>
          <w:rFonts w:ascii="Arial" w:hAnsi="Arial" w:cs="Arial"/>
          <w:color w:val="333333"/>
          <w:shd w:val="clear" w:color="auto" w:fill="FFFFFF"/>
        </w:rPr>
        <w:t> (Accessed: 15 October 2019)</w:t>
      </w:r>
    </w:p>
    <w:p w14:paraId="69BA61D9"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lastRenderedPageBreak/>
        <w:t>Calhoon</w:t>
      </w:r>
      <w:proofErr w:type="spellEnd"/>
      <w:r w:rsidRPr="009D5FD9">
        <w:rPr>
          <w:rFonts w:ascii="Arial" w:hAnsi="Arial" w:cs="Arial"/>
          <w:color w:val="222222"/>
          <w:shd w:val="clear" w:color="auto" w:fill="FFFFFF"/>
        </w:rPr>
        <w:t>, M.B. and Fuchs, L.S., 2003. The effects of peer-assisted learning strategies and curriculum-based measurement on the mathematics performance of secondary students with disabilities.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24</w:t>
      </w:r>
      <w:r w:rsidRPr="009D5FD9">
        <w:rPr>
          <w:rFonts w:ascii="Arial" w:hAnsi="Arial" w:cs="Arial"/>
          <w:color w:val="222222"/>
          <w:shd w:val="clear" w:color="auto" w:fill="FFFFFF"/>
        </w:rPr>
        <w:t>(4), pp.235-245.</w:t>
      </w:r>
    </w:p>
    <w:p w14:paraId="2E489EA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Carter, E.W. and Kennedy, C.H., 2006. Promoting access to the general curriculum using peer support strategies. </w:t>
      </w:r>
      <w:r w:rsidRPr="009D5FD9">
        <w:rPr>
          <w:rFonts w:ascii="Arial" w:hAnsi="Arial" w:cs="Arial"/>
          <w:i/>
          <w:iCs/>
          <w:color w:val="222222"/>
          <w:shd w:val="clear" w:color="auto" w:fill="FFFFFF"/>
        </w:rPr>
        <w:t>Research and Practice for Persons with Severe Disabilities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31</w:t>
      </w:r>
      <w:r w:rsidRPr="009D5FD9">
        <w:rPr>
          <w:rFonts w:ascii="Arial" w:hAnsi="Arial" w:cs="Arial"/>
          <w:color w:val="222222"/>
          <w:shd w:val="clear" w:color="auto" w:fill="FFFFFF"/>
        </w:rPr>
        <w:t>(4), pp.284-292.</w:t>
      </w:r>
    </w:p>
    <w:p w14:paraId="32FBE1FC"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Cohen, L., Manion, L. and Morrison, K., 2002. </w:t>
      </w:r>
      <w:r w:rsidRPr="009D5FD9">
        <w:rPr>
          <w:rFonts w:ascii="Arial" w:hAnsi="Arial" w:cs="Arial"/>
          <w:i/>
          <w:iCs/>
          <w:color w:val="222222"/>
          <w:shd w:val="clear" w:color="auto" w:fill="FFFFFF"/>
        </w:rPr>
        <w:t>Research methods in education</w:t>
      </w:r>
      <w:r w:rsidRPr="009D5FD9">
        <w:rPr>
          <w:rFonts w:ascii="Arial" w:hAnsi="Arial" w:cs="Arial"/>
          <w:color w:val="222222"/>
          <w:shd w:val="clear" w:color="auto" w:fill="FFFFFF"/>
        </w:rPr>
        <w:t xml:space="preserve">. </w:t>
      </w:r>
      <w:proofErr w:type="spellStart"/>
      <w:r w:rsidRPr="009D5FD9">
        <w:rPr>
          <w:rFonts w:ascii="Arial" w:hAnsi="Arial" w:cs="Arial"/>
          <w:color w:val="222222"/>
          <w:shd w:val="clear" w:color="auto" w:fill="FFFFFF"/>
        </w:rPr>
        <w:t>routledge</w:t>
      </w:r>
      <w:proofErr w:type="spellEnd"/>
      <w:r w:rsidRPr="009D5FD9">
        <w:rPr>
          <w:rFonts w:ascii="Arial" w:hAnsi="Arial" w:cs="Arial"/>
          <w:color w:val="222222"/>
          <w:shd w:val="clear" w:color="auto" w:fill="FFFFFF"/>
        </w:rPr>
        <w:t>.</w:t>
      </w:r>
    </w:p>
    <w:p w14:paraId="04194E8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Costley, D., Macdonald, L., </w:t>
      </w:r>
      <w:proofErr w:type="spellStart"/>
      <w:r w:rsidRPr="009D5FD9">
        <w:rPr>
          <w:rFonts w:ascii="Arial" w:hAnsi="Arial" w:cs="Arial"/>
          <w:color w:val="222222"/>
          <w:shd w:val="clear" w:color="auto" w:fill="FFFFFF"/>
        </w:rPr>
        <w:t>Trembath</w:t>
      </w:r>
      <w:proofErr w:type="spellEnd"/>
      <w:r w:rsidRPr="009D5FD9">
        <w:rPr>
          <w:rFonts w:ascii="Arial" w:hAnsi="Arial" w:cs="Arial"/>
          <w:color w:val="222222"/>
          <w:shd w:val="clear" w:color="auto" w:fill="FFFFFF"/>
        </w:rPr>
        <w:t>, D., Ashburner, J., Haas, K. and Keen, D., 2019. Utilisation of an intervention to support students on the autism spectrum: examining teachers' responses to Finished! the On-task Toolkit. </w:t>
      </w:r>
      <w:r w:rsidRPr="009D5FD9">
        <w:rPr>
          <w:rFonts w:ascii="Arial" w:hAnsi="Arial" w:cs="Arial"/>
          <w:i/>
          <w:iCs/>
          <w:color w:val="222222"/>
          <w:shd w:val="clear" w:color="auto" w:fill="FFFFFF"/>
        </w:rPr>
        <w:t>Journal of International Special Needs Education</w:t>
      </w:r>
      <w:r w:rsidRPr="009D5FD9">
        <w:rPr>
          <w:rFonts w:ascii="Arial" w:hAnsi="Arial" w:cs="Arial"/>
          <w:color w:val="222222"/>
          <w:shd w:val="clear" w:color="auto" w:fill="FFFFFF"/>
        </w:rPr>
        <w:t>.</w:t>
      </w:r>
    </w:p>
    <w:p w14:paraId="59E72E12" w14:textId="77777777" w:rsidR="00CF0BC4" w:rsidRPr="009D5FD9" w:rsidRDefault="00CF0BC4" w:rsidP="00CF0BC4">
      <w:pPr>
        <w:spacing w:line="360" w:lineRule="auto"/>
        <w:rPr>
          <w:rFonts w:ascii="Arial" w:hAnsi="Arial" w:cs="Arial"/>
        </w:rPr>
      </w:pPr>
      <w:r w:rsidRPr="009D5FD9">
        <w:rPr>
          <w:rFonts w:ascii="Arial" w:hAnsi="Arial" w:cs="Arial"/>
        </w:rPr>
        <w:t xml:space="preserve">Department for Education and Skills (2003) </w:t>
      </w:r>
      <w:r w:rsidRPr="009D5FD9">
        <w:rPr>
          <w:rFonts w:ascii="Arial" w:hAnsi="Arial" w:cs="Arial"/>
          <w:i/>
          <w:iCs/>
        </w:rPr>
        <w:t>Every Child Matters</w:t>
      </w:r>
      <w:r w:rsidRPr="009D5FD9">
        <w:rPr>
          <w:rFonts w:ascii="Arial" w:hAnsi="Arial" w:cs="Arial"/>
        </w:rPr>
        <w:t>. London: Department for Education and Skills.</w:t>
      </w:r>
    </w:p>
    <w:p w14:paraId="14DF40E2" w14:textId="77777777" w:rsidR="00CF0BC4" w:rsidRPr="009D5FD9" w:rsidRDefault="00CF0BC4" w:rsidP="00CF0BC4">
      <w:pPr>
        <w:spacing w:line="360" w:lineRule="auto"/>
        <w:rPr>
          <w:rFonts w:ascii="Arial" w:hAnsi="Arial" w:cs="Arial"/>
          <w:shd w:val="clear" w:color="auto" w:fill="FFFFFF"/>
        </w:rPr>
      </w:pPr>
      <w:r w:rsidRPr="009D5FD9">
        <w:rPr>
          <w:rFonts w:ascii="Arial" w:hAnsi="Arial" w:cs="Arial"/>
          <w:shd w:val="clear" w:color="auto" w:fill="FFFFFF"/>
        </w:rPr>
        <w:t>Donaldson, G. (2015). </w:t>
      </w:r>
      <w:r w:rsidRPr="009D5FD9">
        <w:rPr>
          <w:rFonts w:ascii="Arial" w:hAnsi="Arial" w:cs="Arial"/>
          <w:i/>
          <w:iCs/>
          <w:shd w:val="clear" w:color="auto" w:fill="FFFFFF"/>
        </w:rPr>
        <w:t>Successful Futures: Independent review of curriculum and assessment arrangements in Wales</w:t>
      </w:r>
      <w:r w:rsidRPr="009D5FD9">
        <w:rPr>
          <w:rFonts w:ascii="Arial" w:hAnsi="Arial" w:cs="Arial"/>
          <w:shd w:val="clear" w:color="auto" w:fill="FFFFFF"/>
        </w:rPr>
        <w:t xml:space="preserve">. </w:t>
      </w:r>
      <w:proofErr w:type="spellStart"/>
      <w:r w:rsidRPr="009D5FD9">
        <w:rPr>
          <w:rFonts w:ascii="Arial" w:hAnsi="Arial" w:cs="Arial"/>
          <w:shd w:val="clear" w:color="auto" w:fill="FFFFFF"/>
        </w:rPr>
        <w:t>Caerdydd</w:t>
      </w:r>
      <w:proofErr w:type="spellEnd"/>
      <w:r w:rsidRPr="009D5FD9">
        <w:rPr>
          <w:rFonts w:ascii="Arial" w:hAnsi="Arial" w:cs="Arial"/>
          <w:shd w:val="clear" w:color="auto" w:fill="FFFFFF"/>
        </w:rPr>
        <w:t xml:space="preserve">: </w:t>
      </w:r>
      <w:proofErr w:type="spellStart"/>
      <w:r w:rsidRPr="009D5FD9">
        <w:rPr>
          <w:rFonts w:ascii="Arial" w:hAnsi="Arial" w:cs="Arial"/>
          <w:shd w:val="clear" w:color="auto" w:fill="FFFFFF"/>
        </w:rPr>
        <w:t>Llywodraeth</w:t>
      </w:r>
      <w:proofErr w:type="spellEnd"/>
      <w:r w:rsidRPr="009D5FD9">
        <w:rPr>
          <w:rFonts w:ascii="Arial" w:hAnsi="Arial" w:cs="Arial"/>
          <w:shd w:val="clear" w:color="auto" w:fill="FFFFFF"/>
        </w:rPr>
        <w:t xml:space="preserve"> </w:t>
      </w:r>
      <w:proofErr w:type="spellStart"/>
      <w:r w:rsidRPr="009D5FD9">
        <w:rPr>
          <w:rFonts w:ascii="Arial" w:hAnsi="Arial" w:cs="Arial"/>
          <w:shd w:val="clear" w:color="auto" w:fill="FFFFFF"/>
        </w:rPr>
        <w:t>Cenedlaethol</w:t>
      </w:r>
      <w:proofErr w:type="spellEnd"/>
      <w:r w:rsidRPr="009D5FD9">
        <w:rPr>
          <w:rFonts w:ascii="Arial" w:hAnsi="Arial" w:cs="Arial"/>
          <w:shd w:val="clear" w:color="auto" w:fill="FFFFFF"/>
        </w:rPr>
        <w:t xml:space="preserve"> Cymru.</w:t>
      </w:r>
    </w:p>
    <w:p w14:paraId="53C8D77F" w14:textId="77777777" w:rsidR="00CF0BC4" w:rsidRPr="009D5FD9" w:rsidRDefault="00CF0BC4" w:rsidP="00CF0BC4">
      <w:pPr>
        <w:spacing w:line="360" w:lineRule="auto"/>
        <w:rPr>
          <w:rFonts w:ascii="Arial" w:hAnsi="Arial" w:cs="Arial"/>
        </w:rPr>
      </w:pPr>
      <w:r w:rsidRPr="009D5FD9">
        <w:rPr>
          <w:rFonts w:ascii="Arial" w:hAnsi="Arial" w:cs="Arial"/>
        </w:rPr>
        <w:t xml:space="preserve">Estyn (2018) </w:t>
      </w:r>
      <w:r w:rsidRPr="009D5FD9">
        <w:rPr>
          <w:rFonts w:ascii="Arial" w:hAnsi="Arial" w:cs="Arial"/>
          <w:i/>
          <w:iCs/>
        </w:rPr>
        <w:t xml:space="preserve">A report on XXXXXXXXXXX. </w:t>
      </w:r>
      <w:r w:rsidRPr="009D5FD9">
        <w:rPr>
          <w:rFonts w:ascii="Arial" w:hAnsi="Arial" w:cs="Arial"/>
        </w:rPr>
        <w:t xml:space="preserve">Available at: </w:t>
      </w:r>
      <w:hyperlink r:id="rId12" w:history="1">
        <w:r w:rsidRPr="009D5FD9">
          <w:rPr>
            <w:rStyle w:val="Hyperlink"/>
            <w:rFonts w:ascii="Arial" w:hAnsi="Arial" w:cs="Arial"/>
          </w:rPr>
          <w:t>https://www.estyn.gov.wales/sites/www.estyn.gov.wales/files/documents/</w:t>
        </w:r>
        <w:r w:rsidRPr="009D5FD9">
          <w:rPr>
            <w:rStyle w:val="Hyperlink"/>
            <w:rFonts w:ascii="Arial" w:hAnsi="Arial" w:cs="Arial"/>
          </w:rPr>
          <w:t>X</w:t>
        </w:r>
        <w:r w:rsidRPr="009D5FD9">
          <w:rPr>
            <w:rStyle w:val="Hyperlink"/>
            <w:rFonts w:ascii="Arial" w:hAnsi="Arial" w:cs="Arial"/>
          </w:rPr>
          <w:t>XXXXXXXXXXXXX.pdf</w:t>
        </w:r>
      </w:hyperlink>
      <w:r w:rsidRPr="009D5FD9">
        <w:rPr>
          <w:rFonts w:ascii="Arial" w:hAnsi="Arial" w:cs="Arial"/>
        </w:rPr>
        <w:t xml:space="preserve"> (Accessed: 13 October 2019)</w:t>
      </w:r>
    </w:p>
    <w:p w14:paraId="5B00023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Francis, J., 2017. The effects of technology on student motivation and engagement in classroom-based learning.</w:t>
      </w:r>
    </w:p>
    <w:p w14:paraId="2A620B7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Gibbs, G., 1988. Learning by doing: A guide to teaching and learning methods. </w:t>
      </w:r>
      <w:r w:rsidRPr="009D5FD9">
        <w:rPr>
          <w:rFonts w:ascii="Arial" w:hAnsi="Arial" w:cs="Arial"/>
          <w:i/>
          <w:iCs/>
          <w:color w:val="222222"/>
          <w:shd w:val="clear" w:color="auto" w:fill="FFFFFF"/>
        </w:rPr>
        <w:t>Further Education Unit</w:t>
      </w:r>
      <w:r w:rsidRPr="009D5FD9">
        <w:rPr>
          <w:rFonts w:ascii="Arial" w:hAnsi="Arial" w:cs="Arial"/>
          <w:color w:val="222222"/>
          <w:shd w:val="clear" w:color="auto" w:fill="FFFFFF"/>
        </w:rPr>
        <w:t>.</w:t>
      </w:r>
    </w:p>
    <w:p w14:paraId="0E5DB383"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Gindis</w:t>
      </w:r>
      <w:proofErr w:type="spellEnd"/>
      <w:r w:rsidRPr="009D5FD9">
        <w:rPr>
          <w:rFonts w:ascii="Arial" w:hAnsi="Arial" w:cs="Arial"/>
          <w:color w:val="222222"/>
          <w:shd w:val="clear" w:color="auto" w:fill="FFFFFF"/>
        </w:rPr>
        <w:t>, B., 1999. Vygotsky's vision: Reshaping the practice of special education for the 21st century.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(6), pp.333-340.</w:t>
      </w:r>
    </w:p>
    <w:p w14:paraId="3BBC6AA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Holt, J.C. and </w:t>
      </w:r>
      <w:proofErr w:type="spellStart"/>
      <w:r w:rsidRPr="009D5FD9">
        <w:rPr>
          <w:rFonts w:ascii="Arial" w:hAnsi="Arial" w:cs="Arial"/>
          <w:color w:val="222222"/>
          <w:shd w:val="clear" w:color="auto" w:fill="FFFFFF"/>
        </w:rPr>
        <w:t>Fromme</w:t>
      </w:r>
      <w:proofErr w:type="spellEnd"/>
      <w:r w:rsidRPr="009D5FD9">
        <w:rPr>
          <w:rFonts w:ascii="Arial" w:hAnsi="Arial" w:cs="Arial"/>
          <w:color w:val="222222"/>
          <w:shd w:val="clear" w:color="auto" w:fill="FFFFFF"/>
        </w:rPr>
        <w:t>, A., 1964. </w:t>
      </w:r>
      <w:r w:rsidRPr="009D5FD9">
        <w:rPr>
          <w:rFonts w:ascii="Arial" w:hAnsi="Arial" w:cs="Arial"/>
          <w:i/>
          <w:iCs/>
          <w:color w:val="222222"/>
          <w:shd w:val="clear" w:color="auto" w:fill="FFFFFF"/>
        </w:rPr>
        <w:t>How children fail</w:t>
      </w:r>
      <w:r w:rsidRPr="009D5FD9">
        <w:rPr>
          <w:rFonts w:ascii="Arial" w:hAnsi="Arial" w:cs="Arial"/>
          <w:color w:val="222222"/>
          <w:shd w:val="clear" w:color="auto" w:fill="FFFFFF"/>
        </w:rPr>
        <w:t> (Vol. 5). New York: Pitman.</w:t>
      </w:r>
    </w:p>
    <w:p w14:paraId="465550A1"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Illeris</w:t>
      </w:r>
      <w:proofErr w:type="spellEnd"/>
      <w:r w:rsidRPr="009D5FD9">
        <w:rPr>
          <w:rFonts w:ascii="Arial" w:hAnsi="Arial" w:cs="Arial"/>
          <w:color w:val="222222"/>
          <w:shd w:val="clear" w:color="auto" w:fill="FFFFFF"/>
        </w:rPr>
        <w:t>, K., 2016. </w:t>
      </w:r>
      <w:r w:rsidRPr="009D5FD9">
        <w:rPr>
          <w:rFonts w:ascii="Arial" w:hAnsi="Arial" w:cs="Arial"/>
          <w:i/>
          <w:iCs/>
          <w:color w:val="222222"/>
          <w:shd w:val="clear" w:color="auto" w:fill="FFFFFF"/>
        </w:rPr>
        <w:t>How we learn: Learning and non-learning in school and beyond</w:t>
      </w:r>
      <w:r w:rsidRPr="009D5FD9">
        <w:rPr>
          <w:rFonts w:ascii="Arial" w:hAnsi="Arial" w:cs="Arial"/>
          <w:color w:val="222222"/>
          <w:shd w:val="clear" w:color="auto" w:fill="FFFFFF"/>
        </w:rPr>
        <w:t>. Routledge.</w:t>
      </w:r>
    </w:p>
    <w:p w14:paraId="52030BE6"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Jindal-Snape, D., Douglas, W., Topping, K.J., Kerr, C. and Smith, E.F., 2005. Effective Education for Children with Autistic Spectrum Disorder: Perceptions of Parents and Professionals. </w:t>
      </w:r>
      <w:r w:rsidRPr="009D5FD9">
        <w:rPr>
          <w:rFonts w:ascii="Arial" w:hAnsi="Arial" w:cs="Arial"/>
          <w:i/>
          <w:iCs/>
          <w:color w:val="222222"/>
          <w:shd w:val="clear" w:color="auto" w:fill="FFFFFF"/>
        </w:rPr>
        <w:t>International Journal of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(1), pp.77-87.</w:t>
      </w:r>
    </w:p>
    <w:p w14:paraId="59EC6778"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lastRenderedPageBreak/>
        <w:t>Kayes</w:t>
      </w:r>
      <w:proofErr w:type="spellEnd"/>
      <w:r w:rsidRPr="009D5FD9">
        <w:rPr>
          <w:rFonts w:ascii="Arial" w:hAnsi="Arial" w:cs="Arial"/>
          <w:color w:val="222222"/>
          <w:shd w:val="clear" w:color="auto" w:fill="FFFFFF"/>
        </w:rPr>
        <w:t>, D.C., 2002. Experiential learning and its critics: Preserving the role of experience in management learning and education. </w:t>
      </w:r>
      <w:r w:rsidRPr="009D5FD9">
        <w:rPr>
          <w:rFonts w:ascii="Arial" w:hAnsi="Arial" w:cs="Arial"/>
          <w:i/>
          <w:iCs/>
          <w:color w:val="222222"/>
          <w:shd w:val="clear" w:color="auto" w:fill="FFFFFF"/>
        </w:rPr>
        <w:t>Academy of Management Learning &amp;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w:t>
      </w:r>
      <w:r w:rsidRPr="009D5FD9">
        <w:rPr>
          <w:rFonts w:ascii="Arial" w:hAnsi="Arial" w:cs="Arial"/>
          <w:color w:val="222222"/>
          <w:shd w:val="clear" w:color="auto" w:fill="FFFFFF"/>
        </w:rPr>
        <w:t>(2), pp.137-149.</w:t>
      </w:r>
    </w:p>
    <w:p w14:paraId="5D4A5C8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Khatib, M., </w:t>
      </w:r>
      <w:proofErr w:type="spellStart"/>
      <w:r w:rsidRPr="009D5FD9">
        <w:rPr>
          <w:rFonts w:ascii="Arial" w:hAnsi="Arial" w:cs="Arial"/>
          <w:color w:val="222222"/>
          <w:shd w:val="clear" w:color="auto" w:fill="FFFFFF"/>
        </w:rPr>
        <w:t>Sarem</w:t>
      </w:r>
      <w:proofErr w:type="spellEnd"/>
      <w:r w:rsidRPr="009D5FD9">
        <w:rPr>
          <w:rFonts w:ascii="Arial" w:hAnsi="Arial" w:cs="Arial"/>
          <w:color w:val="222222"/>
          <w:shd w:val="clear" w:color="auto" w:fill="FFFFFF"/>
        </w:rPr>
        <w:t>, S.N. and Hamidi, H., 2013. Humanistic Education: Concerns, Implications and Applications. </w:t>
      </w:r>
      <w:r w:rsidRPr="009D5FD9">
        <w:rPr>
          <w:rFonts w:ascii="Arial" w:hAnsi="Arial" w:cs="Arial"/>
          <w:i/>
          <w:iCs/>
          <w:color w:val="222222"/>
          <w:shd w:val="clear" w:color="auto" w:fill="FFFFFF"/>
        </w:rPr>
        <w:t>Journal of Language Teaching &amp; Research</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w:t>
      </w:r>
      <w:r w:rsidRPr="009D5FD9">
        <w:rPr>
          <w:rFonts w:ascii="Arial" w:hAnsi="Arial" w:cs="Arial"/>
          <w:color w:val="222222"/>
          <w:shd w:val="clear" w:color="auto" w:fill="FFFFFF"/>
        </w:rPr>
        <w:t>(1).</w:t>
      </w:r>
    </w:p>
    <w:p w14:paraId="08CCA381"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Kolb, D.A., Boyatzis, R.E. and </w:t>
      </w:r>
      <w:proofErr w:type="spellStart"/>
      <w:r w:rsidRPr="009D5FD9">
        <w:rPr>
          <w:rFonts w:ascii="Arial" w:hAnsi="Arial" w:cs="Arial"/>
          <w:color w:val="222222"/>
          <w:shd w:val="clear" w:color="auto" w:fill="FFFFFF"/>
        </w:rPr>
        <w:t>Mainemelis</w:t>
      </w:r>
      <w:proofErr w:type="spellEnd"/>
      <w:r w:rsidRPr="009D5FD9">
        <w:rPr>
          <w:rFonts w:ascii="Arial" w:hAnsi="Arial" w:cs="Arial"/>
          <w:color w:val="222222"/>
          <w:shd w:val="clear" w:color="auto" w:fill="FFFFFF"/>
        </w:rPr>
        <w:t>, C., 2001. Experiential learning theory: Previous research and new directions. </w:t>
      </w:r>
      <w:r w:rsidRPr="009D5FD9">
        <w:rPr>
          <w:rFonts w:ascii="Arial" w:hAnsi="Arial" w:cs="Arial"/>
          <w:i/>
          <w:iCs/>
          <w:color w:val="222222"/>
          <w:shd w:val="clear" w:color="auto" w:fill="FFFFFF"/>
        </w:rPr>
        <w:t>Perspectives on thinking, learning, and cognitive styles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w:t>
      </w:r>
      <w:r w:rsidRPr="009D5FD9">
        <w:rPr>
          <w:rFonts w:ascii="Arial" w:hAnsi="Arial" w:cs="Arial"/>
          <w:color w:val="222222"/>
          <w:shd w:val="clear" w:color="auto" w:fill="FFFFFF"/>
        </w:rPr>
        <w:t>(8), pp.227-247.</w:t>
      </w:r>
    </w:p>
    <w:p w14:paraId="2DA9340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Kumar, R., 2019. </w:t>
      </w:r>
      <w:r w:rsidRPr="009D5FD9">
        <w:rPr>
          <w:rFonts w:ascii="Arial" w:hAnsi="Arial" w:cs="Arial"/>
          <w:i/>
          <w:iCs/>
          <w:color w:val="222222"/>
          <w:shd w:val="clear" w:color="auto" w:fill="FFFFFF"/>
        </w:rPr>
        <w:t>Research methodology: A step-by-step guide for beginners</w:t>
      </w:r>
      <w:r w:rsidRPr="009D5FD9">
        <w:rPr>
          <w:rFonts w:ascii="Arial" w:hAnsi="Arial" w:cs="Arial"/>
          <w:color w:val="222222"/>
          <w:shd w:val="clear" w:color="auto" w:fill="FFFFFF"/>
        </w:rPr>
        <w:t>. Sage Publications Limited.</w:t>
      </w:r>
    </w:p>
    <w:p w14:paraId="4F3DB1CE"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Maheady</w:t>
      </w:r>
      <w:proofErr w:type="spellEnd"/>
      <w:r w:rsidRPr="009D5FD9">
        <w:rPr>
          <w:rFonts w:ascii="Arial" w:hAnsi="Arial" w:cs="Arial"/>
          <w:color w:val="222222"/>
          <w:shd w:val="clear" w:color="auto" w:fill="FFFFFF"/>
        </w:rPr>
        <w:t>, L., Harper, G.F. and Mallette, B., 2001. Peer-mediated instruction and interventions and students with mild disabilities.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22</w:t>
      </w:r>
      <w:r w:rsidRPr="009D5FD9">
        <w:rPr>
          <w:rFonts w:ascii="Arial" w:hAnsi="Arial" w:cs="Arial"/>
          <w:color w:val="222222"/>
          <w:shd w:val="clear" w:color="auto" w:fill="FFFFFF"/>
        </w:rPr>
        <w:t>(1), pp.4-14.</w:t>
      </w:r>
    </w:p>
    <w:p w14:paraId="0CDB0DB2"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Mastropieri, M.A., Scruggs, T.E., Norland, J.J., Berkeley, S., McDuffie, K., </w:t>
      </w:r>
      <w:proofErr w:type="spellStart"/>
      <w:r w:rsidRPr="009D5FD9">
        <w:rPr>
          <w:rFonts w:ascii="Arial" w:hAnsi="Arial" w:cs="Arial"/>
          <w:color w:val="222222"/>
          <w:shd w:val="clear" w:color="auto" w:fill="FFFFFF"/>
        </w:rPr>
        <w:t>Tornquist</w:t>
      </w:r>
      <w:proofErr w:type="spellEnd"/>
      <w:r w:rsidRPr="009D5FD9">
        <w:rPr>
          <w:rFonts w:ascii="Arial" w:hAnsi="Arial" w:cs="Arial"/>
          <w:color w:val="222222"/>
          <w:shd w:val="clear" w:color="auto" w:fill="FFFFFF"/>
        </w:rPr>
        <w:t>, E.H. and Connors, N., 2006. Differentiated curriculum enhancement in inclusive middle school science: Effects on classroom and high-stakes tests. </w:t>
      </w:r>
      <w:r w:rsidRPr="009D5FD9">
        <w:rPr>
          <w:rFonts w:ascii="Arial" w:hAnsi="Arial" w:cs="Arial"/>
          <w:i/>
          <w:iCs/>
          <w:color w:val="222222"/>
          <w:shd w:val="clear" w:color="auto" w:fill="FFFFFF"/>
        </w:rPr>
        <w:t>The Journal of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40</w:t>
      </w:r>
      <w:r w:rsidRPr="009D5FD9">
        <w:rPr>
          <w:rFonts w:ascii="Arial" w:hAnsi="Arial" w:cs="Arial"/>
          <w:color w:val="222222"/>
          <w:shd w:val="clear" w:color="auto" w:fill="FFFFFF"/>
        </w:rPr>
        <w:t>(3), pp.130-137.</w:t>
      </w:r>
    </w:p>
    <w:p w14:paraId="4AA921AE"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McCambridge</w:t>
      </w:r>
      <w:proofErr w:type="spellEnd"/>
      <w:r w:rsidRPr="009D5FD9">
        <w:rPr>
          <w:rFonts w:ascii="Arial" w:hAnsi="Arial" w:cs="Arial"/>
          <w:color w:val="222222"/>
          <w:shd w:val="clear" w:color="auto" w:fill="FFFFFF"/>
        </w:rPr>
        <w:t xml:space="preserve">, J., Witton, J. and </w:t>
      </w:r>
      <w:proofErr w:type="spellStart"/>
      <w:r w:rsidRPr="009D5FD9">
        <w:rPr>
          <w:rFonts w:ascii="Arial" w:hAnsi="Arial" w:cs="Arial"/>
          <w:color w:val="222222"/>
          <w:shd w:val="clear" w:color="auto" w:fill="FFFFFF"/>
        </w:rPr>
        <w:t>Elbourne</w:t>
      </w:r>
      <w:proofErr w:type="spellEnd"/>
      <w:r w:rsidRPr="009D5FD9">
        <w:rPr>
          <w:rFonts w:ascii="Arial" w:hAnsi="Arial" w:cs="Arial"/>
          <w:color w:val="222222"/>
          <w:shd w:val="clear" w:color="auto" w:fill="FFFFFF"/>
        </w:rPr>
        <w:t>, D.R., 2014. Systematic review of the Hawthorne effect: new concepts are needed to study research participation effects. </w:t>
      </w:r>
      <w:r w:rsidRPr="009D5FD9">
        <w:rPr>
          <w:rFonts w:ascii="Arial" w:hAnsi="Arial" w:cs="Arial"/>
          <w:i/>
          <w:iCs/>
          <w:color w:val="222222"/>
          <w:shd w:val="clear" w:color="auto" w:fill="FFFFFF"/>
        </w:rPr>
        <w:t>Journal of clinical epidemiology</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67</w:t>
      </w:r>
      <w:r w:rsidRPr="009D5FD9">
        <w:rPr>
          <w:rFonts w:ascii="Arial" w:hAnsi="Arial" w:cs="Arial"/>
          <w:color w:val="222222"/>
          <w:shd w:val="clear" w:color="auto" w:fill="FFFFFF"/>
        </w:rPr>
        <w:t>(3), pp.267-277.</w:t>
      </w:r>
    </w:p>
    <w:p w14:paraId="557DFD01"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Mortweet</w:t>
      </w:r>
      <w:proofErr w:type="spellEnd"/>
      <w:r w:rsidRPr="009D5FD9">
        <w:rPr>
          <w:rFonts w:ascii="Arial" w:hAnsi="Arial" w:cs="Arial"/>
          <w:color w:val="222222"/>
          <w:shd w:val="clear" w:color="auto" w:fill="FFFFFF"/>
        </w:rPr>
        <w:t xml:space="preserve">, S.L., Utley, C.A., Walker, D., Dawson, H.L., </w:t>
      </w:r>
      <w:proofErr w:type="spellStart"/>
      <w:r w:rsidRPr="009D5FD9">
        <w:rPr>
          <w:rFonts w:ascii="Arial" w:hAnsi="Arial" w:cs="Arial"/>
          <w:color w:val="222222"/>
          <w:shd w:val="clear" w:color="auto" w:fill="FFFFFF"/>
        </w:rPr>
        <w:t>Delquadri</w:t>
      </w:r>
      <w:proofErr w:type="spellEnd"/>
      <w:r w:rsidRPr="009D5FD9">
        <w:rPr>
          <w:rFonts w:ascii="Arial" w:hAnsi="Arial" w:cs="Arial"/>
          <w:color w:val="222222"/>
          <w:shd w:val="clear" w:color="auto" w:fill="FFFFFF"/>
        </w:rPr>
        <w:t xml:space="preserve">, J.C., Reddy, S.S., Greenwood, C.R., Hamilton, S. and Ledford, D., 1999. </w:t>
      </w:r>
      <w:proofErr w:type="spellStart"/>
      <w:r w:rsidRPr="009D5FD9">
        <w:rPr>
          <w:rFonts w:ascii="Arial" w:hAnsi="Arial" w:cs="Arial"/>
          <w:color w:val="222222"/>
          <w:shd w:val="clear" w:color="auto" w:fill="FFFFFF"/>
        </w:rPr>
        <w:t>Classwide</w:t>
      </w:r>
      <w:proofErr w:type="spellEnd"/>
      <w:r w:rsidRPr="009D5FD9">
        <w:rPr>
          <w:rFonts w:ascii="Arial" w:hAnsi="Arial" w:cs="Arial"/>
          <w:color w:val="222222"/>
          <w:shd w:val="clear" w:color="auto" w:fill="FFFFFF"/>
        </w:rPr>
        <w:t xml:space="preserve"> peer tutoring: Teaching students with mild mental retardation in inclusive classrooms. </w:t>
      </w:r>
      <w:r w:rsidRPr="009D5FD9">
        <w:rPr>
          <w:rFonts w:ascii="Arial" w:hAnsi="Arial" w:cs="Arial"/>
          <w:i/>
          <w:iCs/>
          <w:color w:val="222222"/>
          <w:shd w:val="clear" w:color="auto" w:fill="FFFFFF"/>
        </w:rPr>
        <w:t>Exceptional Children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65</w:t>
      </w:r>
      <w:r w:rsidRPr="009D5FD9">
        <w:rPr>
          <w:rFonts w:ascii="Arial" w:hAnsi="Arial" w:cs="Arial"/>
          <w:color w:val="222222"/>
          <w:shd w:val="clear" w:color="auto" w:fill="FFFFFF"/>
        </w:rPr>
        <w:t>(4), pp.524-536.</w:t>
      </w:r>
    </w:p>
    <w:p w14:paraId="5D6005AC"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Nevile</w:t>
      </w:r>
      <w:proofErr w:type="spellEnd"/>
      <w:r w:rsidRPr="009D5FD9">
        <w:rPr>
          <w:rFonts w:ascii="Arial" w:hAnsi="Arial" w:cs="Arial"/>
          <w:color w:val="222222"/>
          <w:shd w:val="clear" w:color="auto" w:fill="FFFFFF"/>
        </w:rPr>
        <w:t>, A., 2007. Amartya K. Sen and social exclusion. </w:t>
      </w:r>
      <w:r w:rsidRPr="009D5FD9">
        <w:rPr>
          <w:rFonts w:ascii="Arial" w:hAnsi="Arial" w:cs="Arial"/>
          <w:i/>
          <w:iCs/>
          <w:color w:val="222222"/>
          <w:shd w:val="clear" w:color="auto" w:fill="FFFFFF"/>
        </w:rPr>
        <w:t>Development in Practice</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17</w:t>
      </w:r>
      <w:r w:rsidRPr="009D5FD9">
        <w:rPr>
          <w:rFonts w:ascii="Arial" w:hAnsi="Arial" w:cs="Arial"/>
          <w:color w:val="222222"/>
          <w:shd w:val="clear" w:color="auto" w:fill="FFFFFF"/>
        </w:rPr>
        <w:t>(2), pp.249-255.</w:t>
      </w:r>
    </w:p>
    <w:p w14:paraId="47C6906B"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Oakley, G., Howitt, C., Garwood, R. and </w:t>
      </w:r>
      <w:proofErr w:type="spellStart"/>
      <w:r w:rsidRPr="009D5FD9">
        <w:rPr>
          <w:rFonts w:ascii="Arial" w:hAnsi="Arial" w:cs="Arial"/>
          <w:color w:val="222222"/>
          <w:shd w:val="clear" w:color="auto" w:fill="FFFFFF"/>
        </w:rPr>
        <w:t>Durack</w:t>
      </w:r>
      <w:proofErr w:type="spellEnd"/>
      <w:r w:rsidRPr="009D5FD9">
        <w:rPr>
          <w:rFonts w:ascii="Arial" w:hAnsi="Arial" w:cs="Arial"/>
          <w:color w:val="222222"/>
          <w:shd w:val="clear" w:color="auto" w:fill="FFFFFF"/>
        </w:rPr>
        <w:t>, A.R., 2013. Becoming multimodal authors: Pre-service teachers' interventions to support young children with autism. </w:t>
      </w:r>
      <w:r w:rsidRPr="009D5FD9">
        <w:rPr>
          <w:rFonts w:ascii="Arial" w:hAnsi="Arial" w:cs="Arial"/>
          <w:i/>
          <w:iCs/>
          <w:color w:val="222222"/>
          <w:shd w:val="clear" w:color="auto" w:fill="FFFFFF"/>
        </w:rPr>
        <w:t>Australasian Journal of Early Childhood</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38</w:t>
      </w:r>
      <w:r w:rsidRPr="009D5FD9">
        <w:rPr>
          <w:rFonts w:ascii="Arial" w:hAnsi="Arial" w:cs="Arial"/>
          <w:color w:val="222222"/>
          <w:shd w:val="clear" w:color="auto" w:fill="FFFFFF"/>
        </w:rPr>
        <w:t>(3), pp.86-96.</w:t>
      </w:r>
    </w:p>
    <w:p w14:paraId="279F392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Oakley, G., </w:t>
      </w:r>
      <w:proofErr w:type="spellStart"/>
      <w:r w:rsidRPr="009D5FD9">
        <w:rPr>
          <w:rFonts w:ascii="Arial" w:hAnsi="Arial" w:cs="Arial"/>
          <w:color w:val="222222"/>
          <w:shd w:val="clear" w:color="auto" w:fill="FFFFFF"/>
        </w:rPr>
        <w:t>Wildy</w:t>
      </w:r>
      <w:proofErr w:type="spellEnd"/>
      <w:r w:rsidRPr="009D5FD9">
        <w:rPr>
          <w:rFonts w:ascii="Arial" w:hAnsi="Arial" w:cs="Arial"/>
          <w:color w:val="222222"/>
          <w:shd w:val="clear" w:color="auto" w:fill="FFFFFF"/>
        </w:rPr>
        <w:t>, H. and Berman, Y.E., 2018. Multimodal digital text creation using tablets and open-ended creative apps to improve the literacy learning of children in early childhood classrooms. </w:t>
      </w:r>
      <w:r w:rsidRPr="009D5FD9">
        <w:rPr>
          <w:rFonts w:ascii="Arial" w:hAnsi="Arial" w:cs="Arial"/>
          <w:i/>
          <w:iCs/>
          <w:color w:val="222222"/>
          <w:shd w:val="clear" w:color="auto" w:fill="FFFFFF"/>
        </w:rPr>
        <w:t>Journal of Early Childhood Literacy</w:t>
      </w:r>
      <w:r w:rsidRPr="009D5FD9">
        <w:rPr>
          <w:rFonts w:ascii="Arial" w:hAnsi="Arial" w:cs="Arial"/>
          <w:color w:val="222222"/>
          <w:shd w:val="clear" w:color="auto" w:fill="FFFFFF"/>
        </w:rPr>
        <w:t>, p.1468798418779171.</w:t>
      </w:r>
    </w:p>
    <w:p w14:paraId="226076AB"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lastRenderedPageBreak/>
        <w:t>Okilwa</w:t>
      </w:r>
      <w:proofErr w:type="spellEnd"/>
      <w:r w:rsidRPr="009D5FD9">
        <w:rPr>
          <w:rFonts w:ascii="Arial" w:hAnsi="Arial" w:cs="Arial"/>
          <w:color w:val="222222"/>
          <w:shd w:val="clear" w:color="auto" w:fill="FFFFFF"/>
        </w:rPr>
        <w:t>, N.S. and Shelby, L., 2010. The effects of peer tutoring on academic performance of students with disabilities in grades 6 through 12: A synthesis of the literature. </w:t>
      </w:r>
      <w:r w:rsidRPr="009D5FD9">
        <w:rPr>
          <w:rFonts w:ascii="Arial" w:hAnsi="Arial" w:cs="Arial"/>
          <w:i/>
          <w:iCs/>
          <w:color w:val="222222"/>
          <w:shd w:val="clear" w:color="auto" w:fill="FFFFFF"/>
        </w:rPr>
        <w:t>Remedial and Special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31</w:t>
      </w:r>
      <w:r w:rsidRPr="009D5FD9">
        <w:rPr>
          <w:rFonts w:ascii="Arial" w:hAnsi="Arial" w:cs="Arial"/>
          <w:color w:val="222222"/>
          <w:shd w:val="clear" w:color="auto" w:fill="FFFFFF"/>
        </w:rPr>
        <w:t>(6), pp.450-463.</w:t>
      </w:r>
    </w:p>
    <w:p w14:paraId="69B54E5E"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Panerai</w:t>
      </w:r>
      <w:proofErr w:type="spellEnd"/>
      <w:r w:rsidRPr="009D5FD9">
        <w:rPr>
          <w:rFonts w:ascii="Arial" w:hAnsi="Arial" w:cs="Arial"/>
          <w:color w:val="222222"/>
          <w:shd w:val="clear" w:color="auto" w:fill="FFFFFF"/>
        </w:rPr>
        <w:t xml:space="preserve">, S., </w:t>
      </w:r>
      <w:proofErr w:type="spellStart"/>
      <w:r w:rsidRPr="009D5FD9">
        <w:rPr>
          <w:rFonts w:ascii="Arial" w:hAnsi="Arial" w:cs="Arial"/>
          <w:color w:val="222222"/>
          <w:shd w:val="clear" w:color="auto" w:fill="FFFFFF"/>
        </w:rPr>
        <w:t>Zingale</w:t>
      </w:r>
      <w:proofErr w:type="spellEnd"/>
      <w:r w:rsidRPr="009D5FD9">
        <w:rPr>
          <w:rFonts w:ascii="Arial" w:hAnsi="Arial" w:cs="Arial"/>
          <w:color w:val="222222"/>
          <w:shd w:val="clear" w:color="auto" w:fill="FFFFFF"/>
        </w:rPr>
        <w:t xml:space="preserve">, M., </w:t>
      </w:r>
      <w:proofErr w:type="spellStart"/>
      <w:r w:rsidRPr="009D5FD9">
        <w:rPr>
          <w:rFonts w:ascii="Arial" w:hAnsi="Arial" w:cs="Arial"/>
          <w:color w:val="222222"/>
          <w:shd w:val="clear" w:color="auto" w:fill="FFFFFF"/>
        </w:rPr>
        <w:t>Trubia</w:t>
      </w:r>
      <w:proofErr w:type="spellEnd"/>
      <w:r w:rsidRPr="009D5FD9">
        <w:rPr>
          <w:rFonts w:ascii="Arial" w:hAnsi="Arial" w:cs="Arial"/>
          <w:color w:val="222222"/>
          <w:shd w:val="clear" w:color="auto" w:fill="FFFFFF"/>
        </w:rPr>
        <w:t xml:space="preserve">, G., </w:t>
      </w:r>
      <w:proofErr w:type="spellStart"/>
      <w:r w:rsidRPr="009D5FD9">
        <w:rPr>
          <w:rFonts w:ascii="Arial" w:hAnsi="Arial" w:cs="Arial"/>
          <w:color w:val="222222"/>
          <w:shd w:val="clear" w:color="auto" w:fill="FFFFFF"/>
        </w:rPr>
        <w:t>Finocchiaro</w:t>
      </w:r>
      <w:proofErr w:type="spellEnd"/>
      <w:r w:rsidRPr="009D5FD9">
        <w:rPr>
          <w:rFonts w:ascii="Arial" w:hAnsi="Arial" w:cs="Arial"/>
          <w:color w:val="222222"/>
          <w:shd w:val="clear" w:color="auto" w:fill="FFFFFF"/>
        </w:rPr>
        <w:t xml:space="preserve">, M., Zuccarello, R., </w:t>
      </w:r>
      <w:proofErr w:type="spellStart"/>
      <w:r w:rsidRPr="009D5FD9">
        <w:rPr>
          <w:rFonts w:ascii="Arial" w:hAnsi="Arial" w:cs="Arial"/>
          <w:color w:val="222222"/>
          <w:shd w:val="clear" w:color="auto" w:fill="FFFFFF"/>
        </w:rPr>
        <w:t>Ferri</w:t>
      </w:r>
      <w:proofErr w:type="spellEnd"/>
      <w:r w:rsidRPr="009D5FD9">
        <w:rPr>
          <w:rFonts w:ascii="Arial" w:hAnsi="Arial" w:cs="Arial"/>
          <w:color w:val="222222"/>
          <w:shd w:val="clear" w:color="auto" w:fill="FFFFFF"/>
        </w:rPr>
        <w:t>, R. and Elia, M., 2009. Special education versus inclusive education: the role of the TEACCH program. </w:t>
      </w:r>
      <w:r w:rsidRPr="009D5FD9">
        <w:rPr>
          <w:rFonts w:ascii="Arial" w:hAnsi="Arial" w:cs="Arial"/>
          <w:i/>
          <w:iCs/>
          <w:color w:val="222222"/>
          <w:shd w:val="clear" w:color="auto" w:fill="FFFFFF"/>
        </w:rPr>
        <w:t>Journal of autism and developmental disorders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39</w:t>
      </w:r>
      <w:r w:rsidRPr="009D5FD9">
        <w:rPr>
          <w:rFonts w:ascii="Arial" w:hAnsi="Arial" w:cs="Arial"/>
          <w:color w:val="222222"/>
          <w:shd w:val="clear" w:color="auto" w:fill="FFFFFF"/>
        </w:rPr>
        <w:t>(6), pp.874-882.</w:t>
      </w:r>
    </w:p>
    <w:p w14:paraId="6B8C5A97"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Pavlov, I.P., 1902. </w:t>
      </w:r>
      <w:r w:rsidRPr="009D5FD9">
        <w:rPr>
          <w:rFonts w:ascii="Arial" w:hAnsi="Arial" w:cs="Arial"/>
          <w:i/>
          <w:iCs/>
          <w:color w:val="222222"/>
          <w:shd w:val="clear" w:color="auto" w:fill="FFFFFF"/>
        </w:rPr>
        <w:t>The Work of the Digestive Glands</w:t>
      </w:r>
      <w:r w:rsidRPr="009D5FD9">
        <w:rPr>
          <w:rFonts w:ascii="Arial" w:hAnsi="Arial" w:cs="Arial"/>
          <w:color w:val="222222"/>
          <w:shd w:val="clear" w:color="auto" w:fill="FFFFFF"/>
        </w:rPr>
        <w:t>. Charles Griffin.</w:t>
      </w:r>
    </w:p>
    <w:p w14:paraId="027C4905"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Perry, M.L., Martin, T.J. and </w:t>
      </w:r>
      <w:proofErr w:type="spellStart"/>
      <w:r w:rsidRPr="009D5FD9">
        <w:rPr>
          <w:rFonts w:ascii="Arial" w:hAnsi="Arial" w:cs="Arial"/>
          <w:color w:val="222222"/>
          <w:shd w:val="clear" w:color="auto" w:fill="FFFFFF"/>
        </w:rPr>
        <w:t>Toplis</w:t>
      </w:r>
      <w:proofErr w:type="spellEnd"/>
      <w:r w:rsidRPr="009D5FD9">
        <w:rPr>
          <w:rFonts w:ascii="Arial" w:hAnsi="Arial" w:cs="Arial"/>
          <w:color w:val="222222"/>
          <w:shd w:val="clear" w:color="auto" w:fill="FFFFFF"/>
        </w:rPr>
        <w:t>, R.M., 2013. Bandura, Albert (1925–). </w:t>
      </w:r>
      <w:proofErr w:type="spellStart"/>
      <w:r w:rsidRPr="009D5FD9">
        <w:rPr>
          <w:rFonts w:ascii="Arial" w:hAnsi="Arial" w:cs="Arial"/>
          <w:i/>
          <w:iCs/>
          <w:color w:val="222222"/>
          <w:shd w:val="clear" w:color="auto" w:fill="FFFFFF"/>
        </w:rPr>
        <w:t>Encyclopedia</w:t>
      </w:r>
      <w:proofErr w:type="spellEnd"/>
      <w:r w:rsidRPr="009D5FD9">
        <w:rPr>
          <w:rFonts w:ascii="Arial" w:hAnsi="Arial" w:cs="Arial"/>
          <w:i/>
          <w:iCs/>
          <w:color w:val="222222"/>
          <w:shd w:val="clear" w:color="auto" w:fill="FFFFFF"/>
        </w:rPr>
        <w:t xml:space="preserve"> of Special Education: A Reference for the Education of Children, Adolescents, and Adults with Disabilities and Other Exceptional Individuals</w:t>
      </w:r>
      <w:r w:rsidRPr="009D5FD9">
        <w:rPr>
          <w:rFonts w:ascii="Arial" w:hAnsi="Arial" w:cs="Arial"/>
          <w:color w:val="222222"/>
          <w:shd w:val="clear" w:color="auto" w:fill="FFFFFF"/>
        </w:rPr>
        <w:t>.</w:t>
      </w:r>
    </w:p>
    <w:p w14:paraId="750A0986" w14:textId="77777777" w:rsidR="00CF0BC4" w:rsidRPr="009D5FD9" w:rsidRDefault="00CF0BC4" w:rsidP="00CF0BC4">
      <w:pPr>
        <w:spacing w:line="360" w:lineRule="auto"/>
        <w:rPr>
          <w:rFonts w:ascii="Arial" w:hAnsi="Arial" w:cs="Arial"/>
          <w:color w:val="000000"/>
          <w:shd w:val="clear" w:color="auto" w:fill="FFFFFF"/>
        </w:rPr>
      </w:pPr>
      <w:r w:rsidRPr="009D5FD9">
        <w:rPr>
          <w:rFonts w:ascii="Arial" w:hAnsi="Arial" w:cs="Arial"/>
          <w:color w:val="000000"/>
          <w:shd w:val="clear" w:color="auto" w:fill="FFFFFF"/>
        </w:rPr>
        <w:t>Piaget, J. (1936). </w:t>
      </w:r>
      <w:r w:rsidRPr="009D5FD9">
        <w:rPr>
          <w:rStyle w:val="Emphasis"/>
          <w:rFonts w:ascii="Arial" w:hAnsi="Arial" w:cs="Arial"/>
          <w:color w:val="000000"/>
          <w:shd w:val="clear" w:color="auto" w:fill="FFFFFF"/>
        </w:rPr>
        <w:t>Origins of intelligence in the child.</w:t>
      </w:r>
      <w:r w:rsidRPr="009D5FD9">
        <w:rPr>
          <w:rFonts w:ascii="Arial" w:hAnsi="Arial" w:cs="Arial"/>
          <w:color w:val="000000"/>
          <w:shd w:val="clear" w:color="auto" w:fill="FFFFFF"/>
        </w:rPr>
        <w:t> London: Routledge &amp; Kegan Paul.</w:t>
      </w:r>
    </w:p>
    <w:p w14:paraId="1D1C492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Reed, P., Osborne, L.A. and Waddington, E.M., 2012. A comparative study of the impact of mainstream and special school placement on the behaviour of children with Autism Spectrum Disorders. </w:t>
      </w:r>
      <w:r w:rsidRPr="009D5FD9">
        <w:rPr>
          <w:rFonts w:ascii="Arial" w:hAnsi="Arial" w:cs="Arial"/>
          <w:i/>
          <w:iCs/>
          <w:color w:val="222222"/>
          <w:shd w:val="clear" w:color="auto" w:fill="FFFFFF"/>
        </w:rPr>
        <w:t>British Educational Research Journal</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38</w:t>
      </w:r>
      <w:r w:rsidRPr="009D5FD9">
        <w:rPr>
          <w:rFonts w:ascii="Arial" w:hAnsi="Arial" w:cs="Arial"/>
          <w:color w:val="222222"/>
          <w:shd w:val="clear" w:color="auto" w:fill="FFFFFF"/>
        </w:rPr>
        <w:t>(5), pp.749-763.</w:t>
      </w:r>
    </w:p>
    <w:p w14:paraId="613018B0"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Rogoff, B., 1990. </w:t>
      </w:r>
      <w:r w:rsidRPr="009D5FD9">
        <w:rPr>
          <w:rFonts w:ascii="Arial" w:hAnsi="Arial" w:cs="Arial"/>
          <w:i/>
          <w:iCs/>
          <w:color w:val="222222"/>
          <w:shd w:val="clear" w:color="auto" w:fill="FFFFFF"/>
        </w:rPr>
        <w:t>Apprenticeship in thinking: Cognitive development in social context</w:t>
      </w:r>
      <w:r w:rsidRPr="009D5FD9">
        <w:rPr>
          <w:rFonts w:ascii="Arial" w:hAnsi="Arial" w:cs="Arial"/>
          <w:color w:val="222222"/>
          <w:shd w:val="clear" w:color="auto" w:fill="FFFFFF"/>
        </w:rPr>
        <w:t>. Oxford university press.</w:t>
      </w:r>
    </w:p>
    <w:p w14:paraId="0D3013DF" w14:textId="77777777" w:rsidR="00CF0BC4" w:rsidRPr="009D5FD9" w:rsidRDefault="00CF0BC4" w:rsidP="00CF0BC4">
      <w:pPr>
        <w:spacing w:line="360" w:lineRule="auto"/>
        <w:rPr>
          <w:rFonts w:ascii="Arial" w:hAnsi="Arial" w:cs="Arial"/>
        </w:rPr>
      </w:pPr>
      <w:r w:rsidRPr="009D5FD9">
        <w:rPr>
          <w:rFonts w:ascii="Arial" w:hAnsi="Arial" w:cs="Arial"/>
        </w:rPr>
        <w:t>Rolfe, G., Freshwater, D. and Jasper, M. (2001). </w:t>
      </w:r>
      <w:r w:rsidRPr="009D5FD9">
        <w:rPr>
          <w:rStyle w:val="Emphasis"/>
          <w:rFonts w:ascii="Arial" w:hAnsi="Arial" w:cs="Arial"/>
          <w:bdr w:val="none" w:sz="0" w:space="0" w:color="auto" w:frame="1"/>
        </w:rPr>
        <w:t>Critical reflection in nursing and the helping professions: a user’s guide.</w:t>
      </w:r>
      <w:r w:rsidRPr="009D5FD9">
        <w:rPr>
          <w:rFonts w:ascii="Arial" w:hAnsi="Arial" w:cs="Arial"/>
        </w:rPr>
        <w:t> Basingstoke: Palgrave Macmillan.</w:t>
      </w:r>
    </w:p>
    <w:p w14:paraId="08771620"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Skinner, B.F., 1938. The </w:t>
      </w:r>
      <w:proofErr w:type="spellStart"/>
      <w:r w:rsidRPr="009D5FD9">
        <w:rPr>
          <w:rFonts w:ascii="Arial" w:hAnsi="Arial" w:cs="Arial"/>
          <w:color w:val="222222"/>
          <w:shd w:val="clear" w:color="auto" w:fill="FFFFFF"/>
        </w:rPr>
        <w:t>behavior</w:t>
      </w:r>
      <w:proofErr w:type="spellEnd"/>
      <w:r w:rsidRPr="009D5FD9">
        <w:rPr>
          <w:rFonts w:ascii="Arial" w:hAnsi="Arial" w:cs="Arial"/>
          <w:color w:val="222222"/>
          <w:shd w:val="clear" w:color="auto" w:fill="FFFFFF"/>
        </w:rPr>
        <w:t xml:space="preserve"> of organisms: an experimental analysis.</w:t>
      </w:r>
    </w:p>
    <w:p w14:paraId="5B98815F"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Smith, E. and Brown, C., 2000. Creating an autism friendly environment. </w:t>
      </w:r>
      <w:r w:rsidRPr="009D5FD9">
        <w:rPr>
          <w:rFonts w:ascii="Arial" w:hAnsi="Arial" w:cs="Arial"/>
          <w:i/>
          <w:iCs/>
          <w:color w:val="222222"/>
          <w:shd w:val="clear" w:color="auto" w:fill="FFFFFF"/>
        </w:rPr>
        <w:t>Educational Psychology in Scotland</w:t>
      </w:r>
      <w:r w:rsidRPr="009D5FD9">
        <w:rPr>
          <w:rFonts w:ascii="Arial" w:hAnsi="Arial" w:cs="Arial"/>
          <w:color w:val="222222"/>
          <w:shd w:val="clear" w:color="auto" w:fill="FFFFFF"/>
        </w:rPr>
        <w:t>, </w:t>
      </w:r>
      <w:r w:rsidRPr="009D5FD9">
        <w:rPr>
          <w:rFonts w:ascii="Arial" w:hAnsi="Arial" w:cs="Arial"/>
          <w:i/>
          <w:iCs/>
          <w:color w:val="222222"/>
          <w:shd w:val="clear" w:color="auto" w:fill="FFFFFF"/>
        </w:rPr>
        <w:t>5</w:t>
      </w:r>
      <w:r w:rsidRPr="009D5FD9">
        <w:rPr>
          <w:rFonts w:ascii="Arial" w:hAnsi="Arial" w:cs="Arial"/>
          <w:color w:val="222222"/>
          <w:shd w:val="clear" w:color="auto" w:fill="FFFFFF"/>
        </w:rPr>
        <w:t>(3), pp.23-25.</w:t>
      </w:r>
    </w:p>
    <w:p w14:paraId="04A7F8C0"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Stenhoff</w:t>
      </w:r>
      <w:proofErr w:type="spellEnd"/>
      <w:r w:rsidRPr="009D5FD9">
        <w:rPr>
          <w:rFonts w:ascii="Arial" w:hAnsi="Arial" w:cs="Arial"/>
          <w:color w:val="222222"/>
          <w:shd w:val="clear" w:color="auto" w:fill="FFFFFF"/>
        </w:rPr>
        <w:t xml:space="preserve">, D.M. and </w:t>
      </w:r>
      <w:proofErr w:type="spellStart"/>
      <w:r w:rsidRPr="009D5FD9">
        <w:rPr>
          <w:rFonts w:ascii="Arial" w:hAnsi="Arial" w:cs="Arial"/>
          <w:color w:val="222222"/>
          <w:shd w:val="clear" w:color="auto" w:fill="FFFFFF"/>
        </w:rPr>
        <w:t>Lignugaris</w:t>
      </w:r>
      <w:proofErr w:type="spellEnd"/>
      <w:r w:rsidRPr="009D5FD9">
        <w:rPr>
          <w:rFonts w:ascii="Arial" w:hAnsi="Arial" w:cs="Arial"/>
          <w:color w:val="222222"/>
          <w:shd w:val="clear" w:color="auto" w:fill="FFFFFF"/>
        </w:rPr>
        <w:t>/Kraft, B., 2007. A review of the effects of peer tutoring on students with mild disabilities in secondary settings. </w:t>
      </w:r>
      <w:r w:rsidRPr="009D5FD9">
        <w:rPr>
          <w:rFonts w:ascii="Arial" w:hAnsi="Arial" w:cs="Arial"/>
          <w:i/>
          <w:iCs/>
          <w:color w:val="222222"/>
          <w:shd w:val="clear" w:color="auto" w:fill="FFFFFF"/>
        </w:rPr>
        <w:t>Exceptional children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74</w:t>
      </w:r>
      <w:r w:rsidRPr="009D5FD9">
        <w:rPr>
          <w:rFonts w:ascii="Arial" w:hAnsi="Arial" w:cs="Arial"/>
          <w:color w:val="222222"/>
          <w:shd w:val="clear" w:color="auto" w:fill="FFFFFF"/>
        </w:rPr>
        <w:t>(1), pp.8-30.</w:t>
      </w:r>
    </w:p>
    <w:p w14:paraId="3AFE8C0E"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Stewart, M., 2012. Understanding learning: theories and critique. </w:t>
      </w:r>
      <w:r w:rsidRPr="009D5FD9">
        <w:rPr>
          <w:rFonts w:ascii="Arial" w:hAnsi="Arial" w:cs="Arial"/>
          <w:i/>
          <w:iCs/>
          <w:color w:val="222222"/>
          <w:shd w:val="clear" w:color="auto" w:fill="FFFFFF"/>
        </w:rPr>
        <w:t>University teaching in focus: A learning-centred approach</w:t>
      </w:r>
      <w:r w:rsidRPr="009D5FD9">
        <w:rPr>
          <w:rFonts w:ascii="Arial" w:hAnsi="Arial" w:cs="Arial"/>
          <w:color w:val="222222"/>
          <w:shd w:val="clear" w:color="auto" w:fill="FFFFFF"/>
        </w:rPr>
        <w:t>, pp.3-20.</w:t>
      </w:r>
    </w:p>
    <w:p w14:paraId="524FD8AA" w14:textId="77777777" w:rsidR="00CF0BC4"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Symes, W. and Humphrey, N., 2010. Peer-group indicators of social inclusion among pupils with autistic spectrum disorders (ASD) in mainstream secondary schools: A comparative study. </w:t>
      </w:r>
      <w:r w:rsidRPr="009D5FD9">
        <w:rPr>
          <w:rFonts w:ascii="Arial" w:hAnsi="Arial" w:cs="Arial"/>
          <w:i/>
          <w:iCs/>
          <w:color w:val="222222"/>
          <w:shd w:val="clear" w:color="auto" w:fill="FFFFFF"/>
        </w:rPr>
        <w:t>School Psychology International</w:t>
      </w:r>
      <w:r w:rsidRPr="009D5FD9">
        <w:rPr>
          <w:rFonts w:ascii="Arial" w:hAnsi="Arial" w:cs="Arial"/>
          <w:color w:val="222222"/>
          <w:shd w:val="clear" w:color="auto" w:fill="FFFFFF"/>
        </w:rPr>
        <w:t>, </w:t>
      </w:r>
      <w:r w:rsidRPr="009D5FD9">
        <w:rPr>
          <w:rFonts w:ascii="Arial" w:hAnsi="Arial" w:cs="Arial"/>
          <w:i/>
          <w:iCs/>
          <w:color w:val="222222"/>
          <w:shd w:val="clear" w:color="auto" w:fill="FFFFFF"/>
        </w:rPr>
        <w:t>31</w:t>
      </w:r>
      <w:r w:rsidRPr="009D5FD9">
        <w:rPr>
          <w:rFonts w:ascii="Arial" w:hAnsi="Arial" w:cs="Arial"/>
          <w:color w:val="222222"/>
          <w:shd w:val="clear" w:color="auto" w:fill="FFFFFF"/>
        </w:rPr>
        <w:t>(5), pp.478-494.</w:t>
      </w:r>
    </w:p>
    <w:p w14:paraId="5C37DAF5" w14:textId="77777777" w:rsidR="00CF0BC4" w:rsidRPr="00F03A3E" w:rsidRDefault="00CF0BC4" w:rsidP="00CF0BC4">
      <w:pPr>
        <w:spacing w:line="360" w:lineRule="auto"/>
        <w:rPr>
          <w:rFonts w:ascii="Arial" w:hAnsi="Arial" w:cs="Arial"/>
          <w:color w:val="222222"/>
          <w:shd w:val="clear" w:color="auto" w:fill="FFFFFF"/>
        </w:rPr>
      </w:pPr>
      <w:r w:rsidRPr="00F03A3E">
        <w:rPr>
          <w:rFonts w:ascii="Arial" w:hAnsi="Arial" w:cs="Arial"/>
          <w:color w:val="222222"/>
          <w:shd w:val="clear" w:color="auto" w:fill="FFFFFF"/>
        </w:rPr>
        <w:t>Tangney, S., 2014. Student-centred learning: a humanist perspective. </w:t>
      </w:r>
      <w:r w:rsidRPr="00F03A3E">
        <w:rPr>
          <w:rFonts w:ascii="Arial" w:hAnsi="Arial" w:cs="Arial"/>
          <w:i/>
          <w:iCs/>
          <w:color w:val="222222"/>
          <w:shd w:val="clear" w:color="auto" w:fill="FFFFFF"/>
        </w:rPr>
        <w:t>Teaching in higher Education</w:t>
      </w:r>
      <w:r w:rsidRPr="00F03A3E">
        <w:rPr>
          <w:rFonts w:ascii="Arial" w:hAnsi="Arial" w:cs="Arial"/>
          <w:color w:val="222222"/>
          <w:shd w:val="clear" w:color="auto" w:fill="FFFFFF"/>
        </w:rPr>
        <w:t>, </w:t>
      </w:r>
      <w:r w:rsidRPr="00F03A3E">
        <w:rPr>
          <w:rFonts w:ascii="Arial" w:hAnsi="Arial" w:cs="Arial"/>
          <w:i/>
          <w:iCs/>
          <w:color w:val="222222"/>
          <w:shd w:val="clear" w:color="auto" w:fill="FFFFFF"/>
        </w:rPr>
        <w:t>19</w:t>
      </w:r>
      <w:r w:rsidRPr="00F03A3E">
        <w:rPr>
          <w:rFonts w:ascii="Arial" w:hAnsi="Arial" w:cs="Arial"/>
          <w:color w:val="222222"/>
          <w:shd w:val="clear" w:color="auto" w:fill="FFFFFF"/>
        </w:rPr>
        <w:t>(3), pp.266-275.</w:t>
      </w:r>
    </w:p>
    <w:p w14:paraId="65D7C3BD" w14:textId="77777777" w:rsidR="00CF0BC4" w:rsidRPr="009D5FD9" w:rsidRDefault="00CF0BC4" w:rsidP="00CF0BC4">
      <w:pPr>
        <w:spacing w:line="360" w:lineRule="auto"/>
        <w:rPr>
          <w:rFonts w:ascii="Arial" w:hAnsi="Arial" w:cs="Arial"/>
        </w:rPr>
      </w:pPr>
      <w:r w:rsidRPr="009D5FD9">
        <w:rPr>
          <w:rFonts w:ascii="Arial" w:hAnsi="Arial" w:cs="Arial"/>
        </w:rPr>
        <w:lastRenderedPageBreak/>
        <w:t xml:space="preserve">Tripp, D. (2012) </w:t>
      </w:r>
      <w:r w:rsidRPr="00F03A3E">
        <w:rPr>
          <w:rFonts w:ascii="Arial" w:hAnsi="Arial" w:cs="Arial"/>
          <w:i/>
          <w:iCs/>
        </w:rPr>
        <w:t>Critical Incidents in Teaching: Developing Professional Judgement</w:t>
      </w:r>
      <w:r w:rsidRPr="009D5FD9">
        <w:rPr>
          <w:rFonts w:ascii="Arial" w:hAnsi="Arial" w:cs="Arial"/>
        </w:rPr>
        <w:t>.  London; New York: Routledge Falmer</w:t>
      </w:r>
      <w:r>
        <w:rPr>
          <w:rFonts w:ascii="Arial" w:hAnsi="Arial" w:cs="Arial"/>
        </w:rPr>
        <w:t>.</w:t>
      </w:r>
    </w:p>
    <w:p w14:paraId="217D2897"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Veugelers</w:t>
      </w:r>
      <w:proofErr w:type="spellEnd"/>
      <w:r w:rsidRPr="009D5FD9">
        <w:rPr>
          <w:rFonts w:ascii="Arial" w:hAnsi="Arial" w:cs="Arial"/>
          <w:color w:val="222222"/>
          <w:shd w:val="clear" w:color="auto" w:fill="FFFFFF"/>
        </w:rPr>
        <w:t>, W., 2011. A humanist perspective on moral development and citizenship education: empowering autonomy, humanity and democracy. In </w:t>
      </w:r>
      <w:r w:rsidRPr="009D5FD9">
        <w:rPr>
          <w:rFonts w:ascii="Arial" w:hAnsi="Arial" w:cs="Arial"/>
          <w:i/>
          <w:iCs/>
          <w:color w:val="222222"/>
          <w:shd w:val="clear" w:color="auto" w:fill="FFFFFF"/>
        </w:rPr>
        <w:t>Education and humanism</w:t>
      </w:r>
      <w:r w:rsidRPr="009D5FD9">
        <w:rPr>
          <w:rFonts w:ascii="Arial" w:hAnsi="Arial" w:cs="Arial"/>
          <w:color w:val="222222"/>
          <w:shd w:val="clear" w:color="auto" w:fill="FFFFFF"/>
        </w:rPr>
        <w:t> (pp. 9-34). Brill Sense.</w:t>
      </w:r>
    </w:p>
    <w:p w14:paraId="598AF72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Vygotsky, L.S., 1978. </w:t>
      </w:r>
      <w:r w:rsidRPr="009D5FD9">
        <w:rPr>
          <w:rFonts w:ascii="Arial" w:hAnsi="Arial" w:cs="Arial"/>
          <w:i/>
          <w:iCs/>
          <w:color w:val="222222"/>
          <w:shd w:val="clear" w:color="auto" w:fill="FFFFFF"/>
        </w:rPr>
        <w:t>Mind in society: The development of higher psychological processes</w:t>
      </w:r>
      <w:r w:rsidRPr="009D5FD9">
        <w:rPr>
          <w:rFonts w:ascii="Arial" w:hAnsi="Arial" w:cs="Arial"/>
          <w:color w:val="222222"/>
          <w:shd w:val="clear" w:color="auto" w:fill="FFFFFF"/>
        </w:rPr>
        <w:t>. Harvard university press.</w:t>
      </w:r>
    </w:p>
    <w:p w14:paraId="43388C41" w14:textId="52EA392C"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Waddington, E.M. and Reed, P., 2017. Comparison of the effects of mainstream and special school on National Curriculum outcomes in children with autism spectrum disorder: an archive</w:t>
      </w:r>
      <w:r w:rsidRPr="009D5FD9">
        <w:rPr>
          <w:rFonts w:ascii="Cambria Math" w:hAnsi="Cambria Math" w:cs="Cambria Math"/>
          <w:color w:val="222222"/>
          <w:shd w:val="clear" w:color="auto" w:fill="FFFFFF"/>
        </w:rPr>
        <w:t>‐</w:t>
      </w:r>
      <w:r w:rsidRPr="009D5FD9">
        <w:rPr>
          <w:rFonts w:ascii="Arial" w:hAnsi="Arial" w:cs="Arial"/>
          <w:color w:val="222222"/>
          <w:shd w:val="clear" w:color="auto" w:fill="FFFFFF"/>
        </w:rPr>
        <w:t>based analysis. </w:t>
      </w:r>
      <w:r w:rsidRPr="009D5FD9">
        <w:rPr>
          <w:rFonts w:ascii="Arial" w:hAnsi="Arial" w:cs="Arial"/>
          <w:i/>
          <w:iCs/>
          <w:color w:val="222222"/>
          <w:shd w:val="clear" w:color="auto" w:fill="FFFFFF"/>
        </w:rPr>
        <w:t>Journal of Research in Special Educational Needs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17</w:t>
      </w:r>
      <w:r w:rsidRPr="009D5FD9">
        <w:rPr>
          <w:rFonts w:ascii="Arial" w:hAnsi="Arial" w:cs="Arial"/>
          <w:color w:val="222222"/>
          <w:shd w:val="clear" w:color="auto" w:fill="FFFFFF"/>
        </w:rPr>
        <w:t>(2), pp.132-142.</w:t>
      </w:r>
    </w:p>
    <w:p w14:paraId="6B696178"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Wang, M.T. and </w:t>
      </w:r>
      <w:proofErr w:type="spellStart"/>
      <w:r w:rsidRPr="009D5FD9">
        <w:rPr>
          <w:rFonts w:ascii="Arial" w:hAnsi="Arial" w:cs="Arial"/>
          <w:color w:val="222222"/>
          <w:shd w:val="clear" w:color="auto" w:fill="FFFFFF"/>
        </w:rPr>
        <w:t>Degol</w:t>
      </w:r>
      <w:proofErr w:type="spellEnd"/>
      <w:r w:rsidRPr="009D5FD9">
        <w:rPr>
          <w:rFonts w:ascii="Arial" w:hAnsi="Arial" w:cs="Arial"/>
          <w:color w:val="222222"/>
          <w:shd w:val="clear" w:color="auto" w:fill="FFFFFF"/>
        </w:rPr>
        <w:t>, J., 2014. Staying engaged: Knowledge and research needs in student engagement. </w:t>
      </w:r>
      <w:r w:rsidRPr="009D5FD9">
        <w:rPr>
          <w:rFonts w:ascii="Arial" w:hAnsi="Arial" w:cs="Arial"/>
          <w:i/>
          <w:iCs/>
          <w:color w:val="222222"/>
          <w:shd w:val="clear" w:color="auto" w:fill="FFFFFF"/>
        </w:rPr>
        <w:t>Child development perspectives</w:t>
      </w:r>
      <w:r w:rsidRPr="009D5FD9">
        <w:rPr>
          <w:rFonts w:ascii="Arial" w:hAnsi="Arial" w:cs="Arial"/>
          <w:color w:val="222222"/>
          <w:shd w:val="clear" w:color="auto" w:fill="FFFFFF"/>
        </w:rPr>
        <w:t>, </w:t>
      </w:r>
      <w:r w:rsidRPr="009D5FD9">
        <w:rPr>
          <w:rFonts w:ascii="Arial" w:hAnsi="Arial" w:cs="Arial"/>
          <w:i/>
          <w:iCs/>
          <w:color w:val="222222"/>
          <w:shd w:val="clear" w:color="auto" w:fill="FFFFFF"/>
        </w:rPr>
        <w:t>8</w:t>
      </w:r>
      <w:r w:rsidRPr="009D5FD9">
        <w:rPr>
          <w:rFonts w:ascii="Arial" w:hAnsi="Arial" w:cs="Arial"/>
          <w:color w:val="222222"/>
          <w:shd w:val="clear" w:color="auto" w:fill="FFFFFF"/>
        </w:rPr>
        <w:t>(3), pp.137-143.</w:t>
      </w:r>
    </w:p>
    <w:p w14:paraId="44CD19DA"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 xml:space="preserve">Watson, J.B., 1913. Psychology as the </w:t>
      </w:r>
      <w:proofErr w:type="spellStart"/>
      <w:r w:rsidRPr="009D5FD9">
        <w:rPr>
          <w:rFonts w:ascii="Arial" w:hAnsi="Arial" w:cs="Arial"/>
          <w:color w:val="222222"/>
          <w:shd w:val="clear" w:color="auto" w:fill="FFFFFF"/>
        </w:rPr>
        <w:t>behaviorist</w:t>
      </w:r>
      <w:proofErr w:type="spellEnd"/>
      <w:r w:rsidRPr="009D5FD9">
        <w:rPr>
          <w:rFonts w:ascii="Arial" w:hAnsi="Arial" w:cs="Arial"/>
          <w:color w:val="222222"/>
          <w:shd w:val="clear" w:color="auto" w:fill="FFFFFF"/>
        </w:rPr>
        <w:t xml:space="preserve"> views it. </w:t>
      </w:r>
      <w:r w:rsidRPr="009D5FD9">
        <w:rPr>
          <w:rFonts w:ascii="Arial" w:hAnsi="Arial" w:cs="Arial"/>
          <w:i/>
          <w:iCs/>
          <w:color w:val="222222"/>
          <w:shd w:val="clear" w:color="auto" w:fill="FFFFFF"/>
        </w:rPr>
        <w:t>Psychological review</w:t>
      </w:r>
      <w:r w:rsidRPr="009D5FD9">
        <w:rPr>
          <w:rFonts w:ascii="Arial" w:hAnsi="Arial" w:cs="Arial"/>
          <w:color w:val="222222"/>
          <w:shd w:val="clear" w:color="auto" w:fill="FFFFFF"/>
        </w:rPr>
        <w:t>, </w:t>
      </w:r>
      <w:r w:rsidRPr="009D5FD9">
        <w:rPr>
          <w:rFonts w:ascii="Arial" w:hAnsi="Arial" w:cs="Arial"/>
          <w:i/>
          <w:iCs/>
          <w:color w:val="222222"/>
          <w:shd w:val="clear" w:color="auto" w:fill="FFFFFF"/>
        </w:rPr>
        <w:t>20</w:t>
      </w:r>
      <w:r w:rsidRPr="009D5FD9">
        <w:rPr>
          <w:rFonts w:ascii="Arial" w:hAnsi="Arial" w:cs="Arial"/>
          <w:color w:val="222222"/>
          <w:shd w:val="clear" w:color="auto" w:fill="FFFFFF"/>
        </w:rPr>
        <w:t>(2), p.158.</w:t>
      </w:r>
    </w:p>
    <w:p w14:paraId="0B659159"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(2015) </w:t>
      </w:r>
      <w:r w:rsidRPr="009D5FD9">
        <w:rPr>
          <w:rFonts w:ascii="Arial" w:hAnsi="Arial" w:cs="Arial"/>
          <w:i/>
          <w:iCs/>
        </w:rPr>
        <w:t xml:space="preserve">Assistive technology - Guidance for teaching practitioners to support learners with specific learning difficulties. </w:t>
      </w:r>
      <w:r w:rsidRPr="009D5FD9">
        <w:rPr>
          <w:rFonts w:ascii="Arial" w:hAnsi="Arial" w:cs="Arial"/>
        </w:rPr>
        <w:t xml:space="preserve">Available at: </w:t>
      </w:r>
      <w:hyperlink r:id="rId13" w:history="1">
        <w:r w:rsidRPr="009D5FD9">
          <w:rPr>
            <w:rStyle w:val="Hyperlink"/>
            <w:rFonts w:ascii="Arial" w:hAnsi="Arial" w:cs="Arial"/>
          </w:rPr>
          <w:t>https://gov.wales/assistive-technology-guidance-teaching-practitioners-support-learners-specific-learning</w:t>
        </w:r>
      </w:hyperlink>
      <w:r w:rsidRPr="009D5FD9">
        <w:rPr>
          <w:rFonts w:ascii="Arial" w:hAnsi="Arial" w:cs="Arial"/>
        </w:rPr>
        <w:t xml:space="preserve"> (Accessed: 16 October 2019). </w:t>
      </w:r>
    </w:p>
    <w:p w14:paraId="5285ABF1"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(2017) </w:t>
      </w:r>
      <w:r w:rsidRPr="009D5FD9">
        <w:rPr>
          <w:rFonts w:ascii="Arial" w:hAnsi="Arial" w:cs="Arial"/>
          <w:i/>
          <w:iCs/>
        </w:rPr>
        <w:t xml:space="preserve">Professional standards for teaching and leadership. </w:t>
      </w:r>
      <w:r w:rsidRPr="009D5FD9">
        <w:rPr>
          <w:rFonts w:ascii="Arial" w:hAnsi="Arial" w:cs="Arial"/>
        </w:rPr>
        <w:t xml:space="preserve">Available at: </w:t>
      </w:r>
      <w:hyperlink r:id="rId14" w:history="1">
        <w:r w:rsidRPr="009D5FD9">
          <w:rPr>
            <w:rStyle w:val="Hyperlink"/>
            <w:rFonts w:ascii="Arial" w:hAnsi="Arial" w:cs="Arial"/>
          </w:rPr>
          <w:t>https://hwb.gov.wales/professional-development/professional-standards</w:t>
        </w:r>
      </w:hyperlink>
      <w:r w:rsidRPr="009D5FD9">
        <w:rPr>
          <w:rFonts w:ascii="Arial" w:hAnsi="Arial" w:cs="Arial"/>
        </w:rPr>
        <w:t xml:space="preserve"> (Accessed: 19</w:t>
      </w:r>
      <w:r w:rsidRPr="009D5FD9">
        <w:rPr>
          <w:rFonts w:ascii="Arial" w:hAnsi="Arial" w:cs="Arial"/>
          <w:vertAlign w:val="superscript"/>
        </w:rPr>
        <w:t xml:space="preserve"> </w:t>
      </w:r>
      <w:r w:rsidRPr="009D5FD9">
        <w:rPr>
          <w:rFonts w:ascii="Arial" w:hAnsi="Arial" w:cs="Arial"/>
        </w:rPr>
        <w:t>October 2019).</w:t>
      </w:r>
    </w:p>
    <w:p w14:paraId="6D22279F"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(2018) </w:t>
      </w:r>
      <w:r w:rsidRPr="009D5FD9">
        <w:rPr>
          <w:rFonts w:ascii="Arial" w:hAnsi="Arial" w:cs="Arial"/>
          <w:i/>
          <w:iCs/>
        </w:rPr>
        <w:t xml:space="preserve">Digital Competence Framework Guidance. </w:t>
      </w:r>
      <w:r w:rsidRPr="009D5FD9">
        <w:rPr>
          <w:rFonts w:ascii="Arial" w:hAnsi="Arial" w:cs="Arial"/>
        </w:rPr>
        <w:t xml:space="preserve">Cardiff: Welsh Government. </w:t>
      </w:r>
    </w:p>
    <w:p w14:paraId="5256EE41" w14:textId="77777777" w:rsidR="00CF0BC4" w:rsidRPr="009D5FD9" w:rsidRDefault="00CF0BC4" w:rsidP="00CF0BC4">
      <w:pPr>
        <w:spacing w:line="360" w:lineRule="auto"/>
        <w:rPr>
          <w:rFonts w:ascii="Arial" w:hAnsi="Arial" w:cs="Arial"/>
        </w:rPr>
      </w:pPr>
      <w:r w:rsidRPr="009D5FD9">
        <w:rPr>
          <w:rFonts w:ascii="Arial" w:hAnsi="Arial" w:cs="Arial"/>
        </w:rPr>
        <w:t xml:space="preserve">Welsh Government (2019) </w:t>
      </w:r>
      <w:r w:rsidRPr="009D5FD9">
        <w:rPr>
          <w:rFonts w:ascii="Arial" w:hAnsi="Arial" w:cs="Arial"/>
          <w:i/>
          <w:iCs/>
        </w:rPr>
        <w:t xml:space="preserve">My Local School. </w:t>
      </w:r>
      <w:r w:rsidRPr="009D5FD9">
        <w:rPr>
          <w:rFonts w:ascii="Arial" w:hAnsi="Arial" w:cs="Arial"/>
        </w:rPr>
        <w:t xml:space="preserve">Available at: </w:t>
      </w:r>
      <w:hyperlink r:id="rId15" w:history="1">
        <w:r w:rsidRPr="009D5FD9">
          <w:rPr>
            <w:rStyle w:val="Hyperlink"/>
            <w:rFonts w:ascii="Arial" w:hAnsi="Arial" w:cs="Arial"/>
          </w:rPr>
          <w:t>http://mylocalschool.gov.wales/School/XXXXXX?lang=en</w:t>
        </w:r>
      </w:hyperlink>
      <w:r w:rsidRPr="009D5FD9">
        <w:rPr>
          <w:rFonts w:ascii="Arial" w:hAnsi="Arial" w:cs="Arial"/>
        </w:rPr>
        <w:t xml:space="preserve"> (Accessed: 13 October 2019)</w:t>
      </w:r>
    </w:p>
    <w:p w14:paraId="6BFF183D" w14:textId="77777777" w:rsidR="00CF0BC4" w:rsidRPr="009D5FD9" w:rsidRDefault="00CF0BC4" w:rsidP="00CF0BC4">
      <w:pPr>
        <w:spacing w:line="360" w:lineRule="auto"/>
        <w:rPr>
          <w:rFonts w:ascii="Arial" w:hAnsi="Arial" w:cs="Arial"/>
          <w:color w:val="222222"/>
          <w:shd w:val="clear" w:color="auto" w:fill="FFFFFF"/>
        </w:rPr>
      </w:pPr>
      <w:r w:rsidRPr="009D5FD9">
        <w:rPr>
          <w:rFonts w:ascii="Arial" w:hAnsi="Arial" w:cs="Arial"/>
          <w:color w:val="222222"/>
          <w:shd w:val="clear" w:color="auto" w:fill="FFFFFF"/>
        </w:rPr>
        <w:t>Wyse, D., Selwyn, N., Smith, E. and Suter, L.E. eds., 2016. </w:t>
      </w:r>
      <w:r w:rsidRPr="009D5FD9">
        <w:rPr>
          <w:rFonts w:ascii="Arial" w:hAnsi="Arial" w:cs="Arial"/>
          <w:i/>
          <w:iCs/>
          <w:color w:val="222222"/>
          <w:shd w:val="clear" w:color="auto" w:fill="FFFFFF"/>
        </w:rPr>
        <w:t>The BERA/SAGE handbook of educational research</w:t>
      </w:r>
      <w:r w:rsidRPr="009D5FD9">
        <w:rPr>
          <w:rFonts w:ascii="Arial" w:hAnsi="Arial" w:cs="Arial"/>
          <w:color w:val="222222"/>
          <w:shd w:val="clear" w:color="auto" w:fill="FFFFFF"/>
        </w:rPr>
        <w:t>. Sage.</w:t>
      </w:r>
    </w:p>
    <w:p w14:paraId="3451DA31" w14:textId="77777777" w:rsidR="00CF0BC4" w:rsidRPr="009D5FD9"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Yoo</w:t>
      </w:r>
      <w:proofErr w:type="spellEnd"/>
      <w:r w:rsidRPr="009D5FD9">
        <w:rPr>
          <w:rFonts w:ascii="Arial" w:hAnsi="Arial" w:cs="Arial"/>
          <w:color w:val="222222"/>
          <w:shd w:val="clear" w:color="auto" w:fill="FFFFFF"/>
        </w:rPr>
        <w:t>, J. and Carter, D., 2017. Teacher emotion and learning as praxis: Professional development that matters.</w:t>
      </w:r>
    </w:p>
    <w:p w14:paraId="1B2FD0B3" w14:textId="51220F49" w:rsidR="007A72DC" w:rsidRDefault="00CF0BC4" w:rsidP="00CF0BC4">
      <w:pPr>
        <w:spacing w:line="360" w:lineRule="auto"/>
        <w:rPr>
          <w:rFonts w:ascii="Arial" w:hAnsi="Arial" w:cs="Arial"/>
          <w:color w:val="222222"/>
          <w:shd w:val="clear" w:color="auto" w:fill="FFFFFF"/>
        </w:rPr>
      </w:pPr>
      <w:proofErr w:type="spellStart"/>
      <w:r w:rsidRPr="009D5FD9">
        <w:rPr>
          <w:rFonts w:ascii="Arial" w:hAnsi="Arial" w:cs="Arial"/>
          <w:color w:val="222222"/>
          <w:shd w:val="clear" w:color="auto" w:fill="FFFFFF"/>
        </w:rPr>
        <w:t>Zembylas</w:t>
      </w:r>
      <w:proofErr w:type="spellEnd"/>
      <w:r w:rsidRPr="009D5FD9">
        <w:rPr>
          <w:rFonts w:ascii="Arial" w:hAnsi="Arial" w:cs="Arial"/>
          <w:color w:val="222222"/>
          <w:shd w:val="clear" w:color="auto" w:fill="FFFFFF"/>
        </w:rPr>
        <w:t>, M., 2014. The place of emotion in teacher reflection: Elias, Foucault and ‘critical emotional reflexivity’. </w:t>
      </w:r>
      <w:r w:rsidRPr="009D5FD9">
        <w:rPr>
          <w:rFonts w:ascii="Arial" w:hAnsi="Arial" w:cs="Arial"/>
          <w:i/>
          <w:iCs/>
          <w:color w:val="222222"/>
          <w:shd w:val="clear" w:color="auto" w:fill="FFFFFF"/>
        </w:rPr>
        <w:t>Power and Education</w:t>
      </w:r>
      <w:r w:rsidRPr="009D5FD9">
        <w:rPr>
          <w:rFonts w:ascii="Arial" w:hAnsi="Arial" w:cs="Arial"/>
          <w:color w:val="222222"/>
          <w:shd w:val="clear" w:color="auto" w:fill="FFFFFF"/>
        </w:rPr>
        <w:t>, </w:t>
      </w:r>
      <w:r w:rsidRPr="009D5FD9">
        <w:rPr>
          <w:rFonts w:ascii="Arial" w:hAnsi="Arial" w:cs="Arial"/>
          <w:i/>
          <w:iCs/>
          <w:color w:val="222222"/>
          <w:shd w:val="clear" w:color="auto" w:fill="FFFFFF"/>
        </w:rPr>
        <w:t>6</w:t>
      </w:r>
      <w:r w:rsidRPr="009D5FD9">
        <w:rPr>
          <w:rFonts w:ascii="Arial" w:hAnsi="Arial" w:cs="Arial"/>
          <w:color w:val="222222"/>
          <w:shd w:val="clear" w:color="auto" w:fill="FFFFFF"/>
        </w:rPr>
        <w:t>(2), pp.210-222.</w:t>
      </w:r>
    </w:p>
    <w:p w14:paraId="22B13498" w14:textId="19CE222F" w:rsidR="00F76751" w:rsidRDefault="00A3263B" w:rsidP="0069346E">
      <w:pPr>
        <w:spacing w:line="360" w:lineRule="auto"/>
        <w:jc w:val="center"/>
        <w:rPr>
          <w:rFonts w:ascii="Arial" w:hAnsi="Arial" w:cs="Arial"/>
          <w:b/>
          <w:bCs/>
          <w:color w:val="222222"/>
          <w:shd w:val="clear" w:color="auto" w:fill="FFFFFF"/>
        </w:rPr>
      </w:pPr>
      <w:r w:rsidRPr="0069346E">
        <w:rPr>
          <w:rFonts w:ascii="Arial" w:hAnsi="Arial" w:cs="Arial"/>
          <w:b/>
          <w:bCs/>
          <w:color w:val="222222"/>
          <w:shd w:val="clear" w:color="auto" w:fill="FFFFFF"/>
        </w:rPr>
        <w:lastRenderedPageBreak/>
        <w:t>Appendices</w:t>
      </w:r>
    </w:p>
    <w:p w14:paraId="14021C86" w14:textId="7D0EBD35" w:rsidR="0069346E" w:rsidRDefault="0069346E" w:rsidP="0069346E">
      <w:pPr>
        <w:spacing w:line="360" w:lineRule="auto"/>
        <w:rPr>
          <w:rFonts w:ascii="Arial" w:hAnsi="Arial" w:cs="Arial"/>
          <w:color w:val="222222"/>
          <w:shd w:val="clear" w:color="auto" w:fill="FFFFFF"/>
        </w:rPr>
      </w:pPr>
      <w:r w:rsidRPr="0069346E">
        <w:rPr>
          <w:rFonts w:ascii="Arial" w:hAnsi="Arial" w:cs="Arial"/>
          <w:color w:val="222222"/>
          <w:shd w:val="clear" w:color="auto" w:fill="FFFFFF"/>
        </w:rPr>
        <w:t>Appendix 1</w:t>
      </w:r>
      <w:r>
        <w:rPr>
          <w:rFonts w:ascii="Arial" w:hAnsi="Arial" w:cs="Arial"/>
          <w:noProof/>
          <w:color w:val="222222"/>
          <w:shd w:val="clear" w:color="auto" w:fill="FFFFFF"/>
        </w:rPr>
        <w:drawing>
          <wp:inline distT="0" distB="0" distL="0" distR="0" wp14:anchorId="648F7438" wp14:editId="6C11AC60">
            <wp:extent cx="7642225" cy="5731510"/>
            <wp:effectExtent l="2858"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eption lesson.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97D8E78" w14:textId="78EA3061" w:rsidR="0069346E" w:rsidRDefault="0069346E" w:rsidP="0069346E">
      <w:pPr>
        <w:spacing w:line="360" w:lineRule="auto"/>
        <w:rPr>
          <w:rFonts w:ascii="Arial" w:hAnsi="Arial" w:cs="Arial"/>
          <w:color w:val="222222"/>
          <w:shd w:val="clear" w:color="auto" w:fill="FFFFFF"/>
        </w:rPr>
      </w:pPr>
    </w:p>
    <w:p w14:paraId="214B877F" w14:textId="77777777" w:rsidR="00EF28F1" w:rsidRDefault="0069346E" w:rsidP="0069346E">
      <w:pPr>
        <w:spacing w:line="360" w:lineRule="auto"/>
        <w:rPr>
          <w:rFonts w:ascii="Arial" w:hAnsi="Arial" w:cs="Arial"/>
          <w:noProof/>
          <w:color w:val="222222"/>
          <w:shd w:val="clear" w:color="auto" w:fill="FFFFFF"/>
        </w:rPr>
      </w:pPr>
      <w:r>
        <w:rPr>
          <w:rFonts w:ascii="Arial" w:hAnsi="Arial" w:cs="Arial"/>
          <w:color w:val="222222"/>
          <w:shd w:val="clear" w:color="auto" w:fill="FFFFFF"/>
        </w:rPr>
        <w:lastRenderedPageBreak/>
        <w:t>Appendix 2</w:t>
      </w:r>
    </w:p>
    <w:p w14:paraId="4B4EE5A9" w14:textId="6999E1BC" w:rsidR="0069346E" w:rsidRDefault="00EF28F1"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016617E8" wp14:editId="615ECC76">
            <wp:extent cx="8259765" cy="6194652"/>
            <wp:effectExtent l="381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ception ARC.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8265329" cy="6198825"/>
                    </a:xfrm>
                    <a:prstGeom prst="rect">
                      <a:avLst/>
                    </a:prstGeom>
                  </pic:spPr>
                </pic:pic>
              </a:graphicData>
            </a:graphic>
          </wp:inline>
        </w:drawing>
      </w:r>
    </w:p>
    <w:p w14:paraId="4F75D7E4" w14:textId="6E6FB39C" w:rsidR="00EF28F1" w:rsidRDefault="00EF28F1"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3</w:t>
      </w:r>
      <w:r w:rsidR="00131913">
        <w:rPr>
          <w:rFonts w:ascii="Arial" w:hAnsi="Arial" w:cs="Arial"/>
          <w:color w:val="222222"/>
          <w:shd w:val="clear" w:color="auto" w:fill="FFFFFF"/>
        </w:rPr>
        <w:t>a</w:t>
      </w:r>
      <w:r w:rsidR="00131913">
        <w:rPr>
          <w:rFonts w:ascii="Arial" w:hAnsi="Arial" w:cs="Arial"/>
          <w:noProof/>
          <w:color w:val="222222"/>
          <w:shd w:val="clear" w:color="auto" w:fill="FFFFFF"/>
        </w:rPr>
        <w:drawing>
          <wp:inline distT="0" distB="0" distL="0" distR="0" wp14:anchorId="7EFD8F17" wp14:editId="77354318">
            <wp:extent cx="8113715" cy="6085118"/>
            <wp:effectExtent l="4763" t="0" r="6667" b="6668"/>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Yr 6 Reading.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8120474" cy="6090187"/>
                    </a:xfrm>
                    <a:prstGeom prst="rect">
                      <a:avLst/>
                    </a:prstGeom>
                  </pic:spPr>
                </pic:pic>
              </a:graphicData>
            </a:graphic>
          </wp:inline>
        </w:drawing>
      </w:r>
    </w:p>
    <w:p w14:paraId="4E4A62B4" w14:textId="16B9771F" w:rsidR="00131913" w:rsidRDefault="00131913" w:rsidP="0069346E">
      <w:pPr>
        <w:spacing w:line="360" w:lineRule="auto"/>
        <w:rPr>
          <w:rFonts w:ascii="Arial" w:hAnsi="Arial" w:cs="Arial"/>
          <w:color w:val="222222"/>
          <w:shd w:val="clear" w:color="auto" w:fill="FFFFFF"/>
        </w:rPr>
      </w:pPr>
    </w:p>
    <w:p w14:paraId="641BB108" w14:textId="49C18D95" w:rsidR="00131913" w:rsidRDefault="00131913"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3b</w:t>
      </w:r>
      <w:r>
        <w:rPr>
          <w:rFonts w:ascii="Arial" w:hAnsi="Arial" w:cs="Arial"/>
          <w:noProof/>
          <w:color w:val="222222"/>
          <w:shd w:val="clear" w:color="auto" w:fill="FFFFFF"/>
        </w:rPr>
        <w:drawing>
          <wp:inline distT="0" distB="0" distL="0" distR="0" wp14:anchorId="788B8627" wp14:editId="71AB0A93">
            <wp:extent cx="8208965" cy="6156553"/>
            <wp:effectExtent l="0" t="254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r6 Reading2.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213314" cy="6159815"/>
                    </a:xfrm>
                    <a:prstGeom prst="rect">
                      <a:avLst/>
                    </a:prstGeom>
                  </pic:spPr>
                </pic:pic>
              </a:graphicData>
            </a:graphic>
          </wp:inline>
        </w:drawing>
      </w:r>
    </w:p>
    <w:p w14:paraId="2161616D" w14:textId="2FE35356" w:rsidR="00F62FA1" w:rsidRDefault="00F62FA1" w:rsidP="0069346E">
      <w:pPr>
        <w:spacing w:line="360" w:lineRule="auto"/>
        <w:rPr>
          <w:rFonts w:ascii="Arial" w:hAnsi="Arial" w:cs="Arial"/>
          <w:color w:val="222222"/>
          <w:shd w:val="clear" w:color="auto" w:fill="FFFFFF"/>
        </w:rPr>
      </w:pPr>
    </w:p>
    <w:p w14:paraId="3F00E1AF" w14:textId="12F8DB34" w:rsidR="00F62FA1" w:rsidRDefault="0040735F"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4</w:t>
      </w:r>
    </w:p>
    <w:p w14:paraId="6FFE11C9" w14:textId="7BDF3BE3" w:rsidR="0040735F" w:rsidRDefault="0040735F"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2FA84A46" wp14:editId="46FD3B78">
            <wp:extent cx="8094665" cy="6070831"/>
            <wp:effectExtent l="2223" t="0" r="4127" b="4128"/>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Yr6 Reading Arc.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8099765" cy="6074656"/>
                    </a:xfrm>
                    <a:prstGeom prst="rect">
                      <a:avLst/>
                    </a:prstGeom>
                  </pic:spPr>
                </pic:pic>
              </a:graphicData>
            </a:graphic>
          </wp:inline>
        </w:drawing>
      </w:r>
    </w:p>
    <w:p w14:paraId="3E0976BD" w14:textId="0C1D137E" w:rsidR="0050248A" w:rsidRDefault="0050248A" w:rsidP="0069346E">
      <w:pPr>
        <w:spacing w:line="360" w:lineRule="auto"/>
        <w:rPr>
          <w:rFonts w:ascii="Arial" w:hAnsi="Arial" w:cs="Arial"/>
          <w:color w:val="222222"/>
          <w:shd w:val="clear" w:color="auto" w:fill="FFFFFF"/>
        </w:rPr>
      </w:pPr>
    </w:p>
    <w:p w14:paraId="528192A7" w14:textId="435C0643" w:rsidR="0050248A" w:rsidRDefault="0050248A"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5a</w:t>
      </w:r>
    </w:p>
    <w:p w14:paraId="3C68FEEC" w14:textId="17D15174" w:rsidR="0050248A" w:rsidRDefault="0050248A"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6EBC0263" wp14:editId="1B188C76">
            <wp:extent cx="8018465" cy="6013682"/>
            <wp:effectExtent l="0" t="7302"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Yr6 Maths.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8023860" cy="6017728"/>
                    </a:xfrm>
                    <a:prstGeom prst="rect">
                      <a:avLst/>
                    </a:prstGeom>
                  </pic:spPr>
                </pic:pic>
              </a:graphicData>
            </a:graphic>
          </wp:inline>
        </w:drawing>
      </w:r>
    </w:p>
    <w:p w14:paraId="542E86A9" w14:textId="6987F19D" w:rsidR="0050248A" w:rsidRDefault="0050248A" w:rsidP="0069346E">
      <w:pPr>
        <w:spacing w:line="360" w:lineRule="auto"/>
        <w:rPr>
          <w:rFonts w:ascii="Arial" w:hAnsi="Arial" w:cs="Arial"/>
          <w:color w:val="222222"/>
          <w:shd w:val="clear" w:color="auto" w:fill="FFFFFF"/>
        </w:rPr>
      </w:pPr>
    </w:p>
    <w:p w14:paraId="1F4D063A" w14:textId="11660ED7" w:rsidR="0050248A" w:rsidRDefault="0050248A"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5b</w:t>
      </w:r>
    </w:p>
    <w:p w14:paraId="13541391" w14:textId="0F7DEC5B" w:rsidR="0050248A" w:rsidRDefault="0050248A"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3967DC2D" wp14:editId="26B882C8">
            <wp:extent cx="8220090" cy="6164897"/>
            <wp:effectExtent l="0" t="952" r="8572" b="8573"/>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Yr6 Maths 2.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8223982" cy="6167816"/>
                    </a:xfrm>
                    <a:prstGeom prst="rect">
                      <a:avLst/>
                    </a:prstGeom>
                  </pic:spPr>
                </pic:pic>
              </a:graphicData>
            </a:graphic>
          </wp:inline>
        </w:drawing>
      </w:r>
    </w:p>
    <w:p w14:paraId="6CE10D49" w14:textId="622CC9D5" w:rsidR="00D86D98" w:rsidRDefault="00D86D98"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6</w:t>
      </w:r>
    </w:p>
    <w:p w14:paraId="6B47D707" w14:textId="23CE1661" w:rsidR="00D86D98" w:rsidRDefault="00D86D98"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04B4613E" wp14:editId="5B2E8C6D">
            <wp:extent cx="8202615" cy="6151791"/>
            <wp:effectExtent l="0" t="3175" r="5080" b="508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Yr6 Maths ARC.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8205974" cy="6154310"/>
                    </a:xfrm>
                    <a:prstGeom prst="rect">
                      <a:avLst/>
                    </a:prstGeom>
                  </pic:spPr>
                </pic:pic>
              </a:graphicData>
            </a:graphic>
          </wp:inline>
        </w:drawing>
      </w:r>
    </w:p>
    <w:p w14:paraId="343D467B" w14:textId="0BD53DF6" w:rsidR="00D86D98" w:rsidRDefault="00D86D98"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7a</w:t>
      </w:r>
    </w:p>
    <w:p w14:paraId="0EB6C443" w14:textId="178D131D" w:rsidR="00D86D98" w:rsidRDefault="00D86D98"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78672900" wp14:editId="6BFB021D">
            <wp:extent cx="8247065" cy="6185127"/>
            <wp:effectExtent l="2223" t="0" r="4127" b="4128"/>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Yr6 Morning.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8255590" cy="6191521"/>
                    </a:xfrm>
                    <a:prstGeom prst="rect">
                      <a:avLst/>
                    </a:prstGeom>
                  </pic:spPr>
                </pic:pic>
              </a:graphicData>
            </a:graphic>
          </wp:inline>
        </w:drawing>
      </w:r>
    </w:p>
    <w:p w14:paraId="1A230DB0" w14:textId="5AB29CD4" w:rsidR="002A0A6B" w:rsidRDefault="002A0A6B"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7b</w:t>
      </w:r>
    </w:p>
    <w:p w14:paraId="113763BC" w14:textId="44BF1EBE" w:rsidR="002A0A6B" w:rsidRDefault="002A0A6B" w:rsidP="0069346E">
      <w:pPr>
        <w:spacing w:line="360" w:lineRule="auto"/>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1C35CD33" wp14:editId="5A3F2D71">
            <wp:extent cx="8088315" cy="6066068"/>
            <wp:effectExtent l="1588"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Yr6 morning session2.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8092182" cy="6068968"/>
                    </a:xfrm>
                    <a:prstGeom prst="rect">
                      <a:avLst/>
                    </a:prstGeom>
                  </pic:spPr>
                </pic:pic>
              </a:graphicData>
            </a:graphic>
          </wp:inline>
        </w:drawing>
      </w:r>
    </w:p>
    <w:p w14:paraId="730B3EEE" w14:textId="117A1D7C" w:rsidR="00A84707" w:rsidRDefault="00A84707" w:rsidP="0069346E">
      <w:pPr>
        <w:spacing w:line="360" w:lineRule="auto"/>
        <w:rPr>
          <w:rFonts w:ascii="Arial" w:hAnsi="Arial" w:cs="Arial"/>
          <w:color w:val="222222"/>
          <w:shd w:val="clear" w:color="auto" w:fill="FFFFFF"/>
        </w:rPr>
      </w:pPr>
    </w:p>
    <w:p w14:paraId="14C9DC9D" w14:textId="656FE6D3" w:rsidR="00A84707" w:rsidRPr="0069346E" w:rsidRDefault="00A84707" w:rsidP="006934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 8</w:t>
      </w:r>
      <w:r>
        <w:rPr>
          <w:rFonts w:ascii="Arial" w:hAnsi="Arial" w:cs="Arial"/>
          <w:noProof/>
          <w:color w:val="222222"/>
          <w:shd w:val="clear" w:color="auto" w:fill="FFFFFF"/>
        </w:rPr>
        <w:drawing>
          <wp:inline distT="0" distB="0" distL="0" distR="0" wp14:anchorId="10F715B4" wp14:editId="6481A860">
            <wp:extent cx="8323265" cy="6242276"/>
            <wp:effectExtent l="0" t="7302"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Yr6 Morning ARC.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8330694" cy="6247848"/>
                    </a:xfrm>
                    <a:prstGeom prst="rect">
                      <a:avLst/>
                    </a:prstGeom>
                  </pic:spPr>
                </pic:pic>
              </a:graphicData>
            </a:graphic>
          </wp:inline>
        </w:drawing>
      </w:r>
    </w:p>
    <w:sectPr w:rsidR="00A84707" w:rsidRPr="0069346E">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3D9BD" w14:textId="77777777" w:rsidR="001440F5" w:rsidRDefault="001440F5" w:rsidP="00E611D9">
      <w:pPr>
        <w:spacing w:after="0" w:line="240" w:lineRule="auto"/>
      </w:pPr>
      <w:r>
        <w:separator/>
      </w:r>
    </w:p>
  </w:endnote>
  <w:endnote w:type="continuationSeparator" w:id="0">
    <w:p w14:paraId="30AD88BD" w14:textId="77777777" w:rsidR="001440F5" w:rsidRDefault="001440F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A64FC4" w:rsidRDefault="00A64FC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A64FC4" w:rsidRDefault="00A64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737FCE" w14:textId="77777777" w:rsidR="001440F5" w:rsidRDefault="001440F5" w:rsidP="00E611D9">
      <w:pPr>
        <w:spacing w:after="0" w:line="240" w:lineRule="auto"/>
      </w:pPr>
      <w:r>
        <w:separator/>
      </w:r>
    </w:p>
  </w:footnote>
  <w:footnote w:type="continuationSeparator" w:id="0">
    <w:p w14:paraId="61710604" w14:textId="77777777" w:rsidR="001440F5" w:rsidRDefault="001440F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64FC4" w:rsidRPr="00E611D9" w14:paraId="746C0110" w14:textId="77777777" w:rsidTr="00E611D9">
      <w:tc>
        <w:tcPr>
          <w:tcW w:w="4508" w:type="dxa"/>
        </w:tcPr>
        <w:p w14:paraId="739FBAFA" w14:textId="1EAE1DAD" w:rsidR="00A64FC4" w:rsidRPr="00E611D9" w:rsidRDefault="00A64FC4">
          <w:pPr>
            <w:pStyle w:val="Header"/>
            <w:rPr>
              <w:rFonts w:ascii="Arial" w:hAnsi="Arial" w:cs="Arial"/>
            </w:rPr>
          </w:pPr>
          <w:r w:rsidRPr="00E611D9">
            <w:rPr>
              <w:rFonts w:ascii="Arial" w:hAnsi="Arial" w:cs="Arial"/>
            </w:rPr>
            <w:t>E</w:t>
          </w:r>
          <w:r>
            <w:rPr>
              <w:rFonts w:ascii="Arial" w:hAnsi="Arial" w:cs="Arial"/>
            </w:rPr>
            <w:t>CAD6007</w:t>
          </w:r>
        </w:p>
      </w:tc>
      <w:tc>
        <w:tcPr>
          <w:tcW w:w="4508" w:type="dxa"/>
        </w:tcPr>
        <w:p w14:paraId="51D506A0" w14:textId="7AB146A7" w:rsidR="00A64FC4" w:rsidRPr="00E611D9" w:rsidRDefault="00A64FC4" w:rsidP="00E611D9">
          <w:pPr>
            <w:pStyle w:val="Header"/>
            <w:jc w:val="right"/>
            <w:rPr>
              <w:rFonts w:ascii="Arial" w:hAnsi="Arial" w:cs="Arial"/>
            </w:rPr>
          </w:pPr>
          <w:r>
            <w:rPr>
              <w:rFonts w:ascii="Arial" w:hAnsi="Arial" w:cs="Arial"/>
            </w:rPr>
            <w:t xml:space="preserve"> Student Number: </w:t>
          </w:r>
          <w:r w:rsidR="008F4CAA">
            <w:rPr>
              <w:rFonts w:ascii="Arial" w:hAnsi="Arial" w:cs="Arial"/>
            </w:rPr>
            <w:t>1900051</w:t>
          </w:r>
        </w:p>
      </w:tc>
    </w:tr>
  </w:tbl>
  <w:p w14:paraId="31028CA5" w14:textId="60CD5227" w:rsidR="00A64FC4" w:rsidRDefault="00A64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9F6F0D"/>
    <w:multiLevelType w:val="hybridMultilevel"/>
    <w:tmpl w:val="44AABFF8"/>
    <w:lvl w:ilvl="0" w:tplc="25EC4A6C">
      <w:start w:val="1"/>
      <w:numFmt w:val="bullet"/>
      <w:lvlText w:val=""/>
      <w:lvlJc w:val="left"/>
      <w:pPr>
        <w:tabs>
          <w:tab w:val="num" w:pos="720"/>
        </w:tabs>
        <w:ind w:left="720" w:hanging="360"/>
      </w:pPr>
      <w:rPr>
        <w:rFonts w:ascii="Wingdings" w:hAnsi="Wingdings" w:hint="default"/>
      </w:rPr>
    </w:lvl>
    <w:lvl w:ilvl="1" w:tplc="A8BCA284">
      <w:start w:val="1"/>
      <w:numFmt w:val="bullet"/>
      <w:lvlText w:val=""/>
      <w:lvlJc w:val="left"/>
      <w:pPr>
        <w:tabs>
          <w:tab w:val="num" w:pos="1440"/>
        </w:tabs>
        <w:ind w:left="1440" w:hanging="360"/>
      </w:pPr>
      <w:rPr>
        <w:rFonts w:ascii="Wingdings" w:hAnsi="Wingdings" w:hint="default"/>
      </w:rPr>
    </w:lvl>
    <w:lvl w:ilvl="2" w:tplc="10F630D2" w:tentative="1">
      <w:start w:val="1"/>
      <w:numFmt w:val="bullet"/>
      <w:lvlText w:val=""/>
      <w:lvlJc w:val="left"/>
      <w:pPr>
        <w:tabs>
          <w:tab w:val="num" w:pos="2160"/>
        </w:tabs>
        <w:ind w:left="2160" w:hanging="360"/>
      </w:pPr>
      <w:rPr>
        <w:rFonts w:ascii="Wingdings" w:hAnsi="Wingdings" w:hint="default"/>
      </w:rPr>
    </w:lvl>
    <w:lvl w:ilvl="3" w:tplc="5F6E9A54" w:tentative="1">
      <w:start w:val="1"/>
      <w:numFmt w:val="bullet"/>
      <w:lvlText w:val=""/>
      <w:lvlJc w:val="left"/>
      <w:pPr>
        <w:tabs>
          <w:tab w:val="num" w:pos="2880"/>
        </w:tabs>
        <w:ind w:left="2880" w:hanging="360"/>
      </w:pPr>
      <w:rPr>
        <w:rFonts w:ascii="Wingdings" w:hAnsi="Wingdings" w:hint="default"/>
      </w:rPr>
    </w:lvl>
    <w:lvl w:ilvl="4" w:tplc="2240759E" w:tentative="1">
      <w:start w:val="1"/>
      <w:numFmt w:val="bullet"/>
      <w:lvlText w:val=""/>
      <w:lvlJc w:val="left"/>
      <w:pPr>
        <w:tabs>
          <w:tab w:val="num" w:pos="3600"/>
        </w:tabs>
        <w:ind w:left="3600" w:hanging="360"/>
      </w:pPr>
      <w:rPr>
        <w:rFonts w:ascii="Wingdings" w:hAnsi="Wingdings" w:hint="default"/>
      </w:rPr>
    </w:lvl>
    <w:lvl w:ilvl="5" w:tplc="A664C25C" w:tentative="1">
      <w:start w:val="1"/>
      <w:numFmt w:val="bullet"/>
      <w:lvlText w:val=""/>
      <w:lvlJc w:val="left"/>
      <w:pPr>
        <w:tabs>
          <w:tab w:val="num" w:pos="4320"/>
        </w:tabs>
        <w:ind w:left="4320" w:hanging="360"/>
      </w:pPr>
      <w:rPr>
        <w:rFonts w:ascii="Wingdings" w:hAnsi="Wingdings" w:hint="default"/>
      </w:rPr>
    </w:lvl>
    <w:lvl w:ilvl="6" w:tplc="E98ACFB2" w:tentative="1">
      <w:start w:val="1"/>
      <w:numFmt w:val="bullet"/>
      <w:lvlText w:val=""/>
      <w:lvlJc w:val="left"/>
      <w:pPr>
        <w:tabs>
          <w:tab w:val="num" w:pos="5040"/>
        </w:tabs>
        <w:ind w:left="5040" w:hanging="360"/>
      </w:pPr>
      <w:rPr>
        <w:rFonts w:ascii="Wingdings" w:hAnsi="Wingdings" w:hint="default"/>
      </w:rPr>
    </w:lvl>
    <w:lvl w:ilvl="7" w:tplc="5596C56C" w:tentative="1">
      <w:start w:val="1"/>
      <w:numFmt w:val="bullet"/>
      <w:lvlText w:val=""/>
      <w:lvlJc w:val="left"/>
      <w:pPr>
        <w:tabs>
          <w:tab w:val="num" w:pos="5760"/>
        </w:tabs>
        <w:ind w:left="5760" w:hanging="360"/>
      </w:pPr>
      <w:rPr>
        <w:rFonts w:ascii="Wingdings" w:hAnsi="Wingdings" w:hint="default"/>
      </w:rPr>
    </w:lvl>
    <w:lvl w:ilvl="8" w:tplc="6C9058E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405EAB"/>
    <w:multiLevelType w:val="hybridMultilevel"/>
    <w:tmpl w:val="6E981D0C"/>
    <w:lvl w:ilvl="0" w:tplc="24FC5C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136D"/>
    <w:rsid w:val="0004563F"/>
    <w:rsid w:val="000964F7"/>
    <w:rsid w:val="000A502D"/>
    <w:rsid w:val="000A592A"/>
    <w:rsid w:val="000B4322"/>
    <w:rsid w:val="000B64A3"/>
    <w:rsid w:val="000C4BED"/>
    <w:rsid w:val="000C67E2"/>
    <w:rsid w:val="00103C25"/>
    <w:rsid w:val="00121787"/>
    <w:rsid w:val="00127AB5"/>
    <w:rsid w:val="00131913"/>
    <w:rsid w:val="001440F5"/>
    <w:rsid w:val="00150E34"/>
    <w:rsid w:val="001651BA"/>
    <w:rsid w:val="001A0461"/>
    <w:rsid w:val="001E3118"/>
    <w:rsid w:val="0020292A"/>
    <w:rsid w:val="0021772E"/>
    <w:rsid w:val="002229F0"/>
    <w:rsid w:val="00255BEC"/>
    <w:rsid w:val="002A0A6B"/>
    <w:rsid w:val="002B736F"/>
    <w:rsid w:val="002E1426"/>
    <w:rsid w:val="00313F8D"/>
    <w:rsid w:val="00334099"/>
    <w:rsid w:val="00361BD1"/>
    <w:rsid w:val="0036275C"/>
    <w:rsid w:val="0038279B"/>
    <w:rsid w:val="003A5A89"/>
    <w:rsid w:val="003A6D02"/>
    <w:rsid w:val="003D0ED1"/>
    <w:rsid w:val="003D28E6"/>
    <w:rsid w:val="00403DF0"/>
    <w:rsid w:val="0040735F"/>
    <w:rsid w:val="00457620"/>
    <w:rsid w:val="0046166D"/>
    <w:rsid w:val="00467F32"/>
    <w:rsid w:val="004C7FF7"/>
    <w:rsid w:val="0050248A"/>
    <w:rsid w:val="0054657F"/>
    <w:rsid w:val="0055651A"/>
    <w:rsid w:val="005C75FD"/>
    <w:rsid w:val="006419C3"/>
    <w:rsid w:val="00687095"/>
    <w:rsid w:val="0069346E"/>
    <w:rsid w:val="006B5083"/>
    <w:rsid w:val="006B5861"/>
    <w:rsid w:val="006C2CA7"/>
    <w:rsid w:val="006F0D17"/>
    <w:rsid w:val="0070333C"/>
    <w:rsid w:val="0073289A"/>
    <w:rsid w:val="0078652E"/>
    <w:rsid w:val="00790F1B"/>
    <w:rsid w:val="007A72DC"/>
    <w:rsid w:val="007B411B"/>
    <w:rsid w:val="007C613E"/>
    <w:rsid w:val="007C79C2"/>
    <w:rsid w:val="00817F7A"/>
    <w:rsid w:val="008201E3"/>
    <w:rsid w:val="00834BC6"/>
    <w:rsid w:val="0083729C"/>
    <w:rsid w:val="00847B45"/>
    <w:rsid w:val="00883906"/>
    <w:rsid w:val="00897284"/>
    <w:rsid w:val="008B7255"/>
    <w:rsid w:val="008C17F7"/>
    <w:rsid w:val="008C3E9D"/>
    <w:rsid w:val="008D171B"/>
    <w:rsid w:val="008F4CAA"/>
    <w:rsid w:val="008F6173"/>
    <w:rsid w:val="009016A9"/>
    <w:rsid w:val="00941F5B"/>
    <w:rsid w:val="009B3258"/>
    <w:rsid w:val="009D451D"/>
    <w:rsid w:val="009E772A"/>
    <w:rsid w:val="00A120C3"/>
    <w:rsid w:val="00A13C18"/>
    <w:rsid w:val="00A143BB"/>
    <w:rsid w:val="00A3263B"/>
    <w:rsid w:val="00A64FC4"/>
    <w:rsid w:val="00A810E4"/>
    <w:rsid w:val="00A84707"/>
    <w:rsid w:val="00AD2AD1"/>
    <w:rsid w:val="00BC1B14"/>
    <w:rsid w:val="00BC296F"/>
    <w:rsid w:val="00BC5147"/>
    <w:rsid w:val="00BC651E"/>
    <w:rsid w:val="00C3571F"/>
    <w:rsid w:val="00C47024"/>
    <w:rsid w:val="00C5195D"/>
    <w:rsid w:val="00C66448"/>
    <w:rsid w:val="00C7208C"/>
    <w:rsid w:val="00C876E7"/>
    <w:rsid w:val="00CC25BD"/>
    <w:rsid w:val="00CD1240"/>
    <w:rsid w:val="00CF0BC4"/>
    <w:rsid w:val="00D1088B"/>
    <w:rsid w:val="00D42912"/>
    <w:rsid w:val="00D5382A"/>
    <w:rsid w:val="00D83A40"/>
    <w:rsid w:val="00D86D98"/>
    <w:rsid w:val="00DB0498"/>
    <w:rsid w:val="00DB2B0A"/>
    <w:rsid w:val="00DD5211"/>
    <w:rsid w:val="00E16C49"/>
    <w:rsid w:val="00E35901"/>
    <w:rsid w:val="00E41D46"/>
    <w:rsid w:val="00E5462F"/>
    <w:rsid w:val="00E56680"/>
    <w:rsid w:val="00E611D9"/>
    <w:rsid w:val="00E642F8"/>
    <w:rsid w:val="00E70EA2"/>
    <w:rsid w:val="00E96D86"/>
    <w:rsid w:val="00ED0F9D"/>
    <w:rsid w:val="00ED5804"/>
    <w:rsid w:val="00EF28F1"/>
    <w:rsid w:val="00EF39E7"/>
    <w:rsid w:val="00F53F9B"/>
    <w:rsid w:val="00F62FA1"/>
    <w:rsid w:val="00F76751"/>
    <w:rsid w:val="00FA2009"/>
    <w:rsid w:val="00FA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F0B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4FC4"/>
    <w:pPr>
      <w:ind w:left="720"/>
      <w:contextualSpacing/>
    </w:pPr>
  </w:style>
  <w:style w:type="character" w:styleId="Emphasis">
    <w:name w:val="Emphasis"/>
    <w:basedOn w:val="DefaultParagraphFont"/>
    <w:uiPriority w:val="20"/>
    <w:qFormat/>
    <w:rsid w:val="00CF0BC4"/>
    <w:rPr>
      <w:i/>
      <w:iCs/>
    </w:rPr>
  </w:style>
  <w:style w:type="character" w:styleId="Hyperlink">
    <w:name w:val="Hyperlink"/>
    <w:basedOn w:val="DefaultParagraphFont"/>
    <w:uiPriority w:val="99"/>
    <w:unhideWhenUsed/>
    <w:rsid w:val="00CF0BC4"/>
    <w:rPr>
      <w:color w:val="0000FF"/>
      <w:u w:val="single"/>
    </w:rPr>
  </w:style>
  <w:style w:type="character" w:styleId="FollowedHyperlink">
    <w:name w:val="FollowedHyperlink"/>
    <w:basedOn w:val="DefaultParagraphFont"/>
    <w:uiPriority w:val="99"/>
    <w:semiHidden/>
    <w:unhideWhenUsed/>
    <w:rsid w:val="00CF0B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ov.wales/assistive-technology-guidance-teaching-practitioners-support-learners-specific-learning" TargetMode="Externa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hyperlink" Target="https://www.estyn.gov.wales/sites/www.estyn.gov.wales/files/documents/XXXXXXXXXXXXXX.pdf" TargetMode="External"/><Relationship Id="rId17" Type="http://schemas.openxmlformats.org/officeDocument/2006/relationships/image" Target="media/image2.jpeg"/><Relationship Id="rId25"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image" Target="media/image9.jpeg"/><Relationship Id="rId5" Type="http://schemas.openxmlformats.org/officeDocument/2006/relationships/numbering" Target="numbering.xml"/><Relationship Id="rId15" Type="http://schemas.openxmlformats.org/officeDocument/2006/relationships/hyperlink" Target="http://mylocalschool.gov.wales/School/XXXXXX?lang=en" TargetMode="External"/><Relationship Id="rId23" Type="http://schemas.openxmlformats.org/officeDocument/2006/relationships/image" Target="media/image8.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professional-development/professional-standards" TargetMode="External"/><Relationship Id="rId22" Type="http://schemas.openxmlformats.org/officeDocument/2006/relationships/image" Target="media/image7.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C607C7-4CF0-45D8-8E7B-7498FEA7A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3212</TotalTime>
  <Pages>25</Pages>
  <Words>5497</Words>
  <Characters>31334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Eilidh Brailey</cp:lastModifiedBy>
  <cp:revision>110</cp:revision>
  <dcterms:created xsi:type="dcterms:W3CDTF">2019-10-21T18:58:00Z</dcterms:created>
  <dcterms:modified xsi:type="dcterms:W3CDTF">2019-10-28T18:07:00Z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