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png" ContentType="image/png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_rels/document.xml.rels" ContentType="application/vnd.openxmlformats-package.relationship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spacing w:before="0" w:after="160"/>
        <w:rPr>
          <w:sz w:val="24"/>
          <w:szCs w:val="24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Care council for Wales. (2014) Social services and wellbeing (Wales) act 2014, Welsh Government, Available: Principles-Resource-Guide_March-17[2653].pdf, (Accessed: 25th March 2021).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Child abuse and neglect. Available at: </w:t>
      </w:r>
      <w:hyperlink r:id="rId2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https://www.nice.org.uk/guidance/ng76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. (Accessed: 14th March 2021)</w:t>
      </w:r>
    </w:p>
    <w:p>
      <w:pPr>
        <w:pStyle w:val="Normal"/>
        <w:rPr/>
      </w:pPr>
      <w:r>
        <w:rPr>
          <w:sz w:val="24"/>
          <w:szCs w:val="24"/>
        </w:rPr>
        <w:t xml:space="preserve">Children Act (1989) Available at: </w:t>
      </w:r>
      <w:hyperlink r:id="rId3">
        <w:r>
          <w:rPr>
            <w:rStyle w:val="InternetLink"/>
            <w:sz w:val="24"/>
            <w:szCs w:val="24"/>
          </w:rPr>
          <w:t>https://www.legislation.gov.ukpga/1989/41/contents</w:t>
        </w:r>
      </w:hyperlink>
      <w:r>
        <w:rPr>
          <w:sz w:val="24"/>
          <w:szCs w:val="24"/>
        </w:rPr>
        <w:t xml:space="preserve"> Accessed on (24/03/21).</w:t>
      </w:r>
    </w:p>
    <w:p>
      <w:pPr>
        <w:pStyle w:val="Normal"/>
        <w:spacing w:before="0" w:after="160"/>
        <w:rPr>
          <w:sz w:val="24"/>
          <w:szCs w:val="24"/>
        </w:rPr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Chou, I.J., Kong, S.S., Chung, </w:t>
      </w:r>
      <w:r>
        <w:rPr/>
        <w:drawing>
          <wp:inline distT="0" distB="0" distL="0" distR="0">
            <wp:extent cx="152400" cy="152400"/>
            <wp:effectExtent l="0" t="0" r="0" b="0"/>
            <wp:docPr id="1" name="Image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2" descr="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., See, L.C., Kuo, C.F., Lin, J.J., Wang, H.S., Lin, K.L. and Hung, P.C. (2019) ‘Evaluation of the effect of the child protection act on serious child physical abuse in Taiwa’, Child abuse &amp; neglect, 95, p.104066. 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Citizens Advice. (2021) Child abuse - police involvement. Available at: </w:t>
      </w:r>
      <w:hyperlink r:id="rId5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https://www.citizensadvice.org.uk/family/children-and-young-people/child-abuse/police-involvement/child-abuse-police-involvement/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. (Accessed: 14th March 2021).</w:t>
      </w:r>
    </w:p>
    <w:p>
      <w:pPr>
        <w:pStyle w:val="Normal"/>
        <w:spacing w:before="0" w:after="160"/>
        <w:rPr>
          <w:sz w:val="24"/>
          <w:szCs w:val="24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College of nursing (2020) Health Visiting. Available at: Health visiting | Children and young people | Royal College of Nursing (rcn.org.uk) (Accessed on 23rd March 2021).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College of Policing. (2020) Major investigation and public protection Police response to concern for a child. Available at: </w:t>
      </w:r>
      <w:hyperlink r:id="rId6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https://www.app.college.police.uk/app-content/major-investigation-and-public-protection/child-abuse/concern-for-a-child/#:~:text=Under%20the%20Children%20Act%201989,until%20a%20child%20is%20found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. (Accessed: 14th March 2021).</w:t>
      </w:r>
    </w:p>
    <w:p>
      <w:pPr>
        <w:pStyle w:val="Normal"/>
        <w:spacing w:before="0" w:after="160"/>
        <w:rPr/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Data Protection Act. (2018) Available at: </w:t>
      </w:r>
      <w:hyperlink r:id="rId7" w:tgtFrame="_blank">
        <w:r>
          <w:rPr>
            <w:rStyle w:val="InternetLink"/>
            <w:rFonts w:eastAsia="inherit" w:cs="inherit" w:ascii="Segoe UI Historic;Segoe UI;Helvetica;Arial;sans-serif" w:hAnsi="Segoe UI Historic;Segoe UI;Helvetica;Arial;sans-serif"/>
            <w:b w:val="false"/>
            <w:bCs w:val="false"/>
            <w:i w:val="false"/>
            <w:iCs w:val="false"/>
            <w:caps w:val="false"/>
            <w:smallCaps w:val="false"/>
            <w:color w:val="050505"/>
            <w:spacing w:val="0"/>
            <w:sz w:val="24"/>
            <w:szCs w:val="24"/>
            <w:u w:val="single"/>
            <w:shd w:fill="auto" w:val="clear"/>
          </w:rPr>
          <w:t>https://www.legislation.gov.uk/ukpga/2018/12/part/1/enacted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 </w:t>
      </w: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(Accessed: 18th March 2021.) 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Departments of Justice, (2015c) Code of Practice for the Detention, Treatment and Questioning of Persons by Police Officers. Available at: </w:t>
      </w:r>
      <w:hyperlink r:id="rId8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https://www.justice-ni.gov.uk/sites/default/files/publications/doj/16-06-pace-code-c-2015.pdf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. (Accessed: 14th March 2021). Gov. (1997) Sex Offenders Act 1997. Available at: </w:t>
      </w:r>
      <w:hyperlink r:id="rId9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https://www.legislation.gov.uk/ukpga/1997/51/pdfs/ukpga_19970051_en.pdf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. (14th March 2021).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Department of Justice. (2015a) Code of Practice for the exercise by police officers of statutory powers of stop and search. Available at: </w:t>
      </w:r>
      <w:hyperlink r:id="rId10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https://www.justice-ni.gov.uk/sites/default/files/publications/doj/pace-code-a-2015.pdf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. (Accessed: 14th March 2021). 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Department of Justice. (2015b) Code of Practice for searches of premises by police officers and the seizure of property found by police officers on persons or premises. Available at:</w:t>
      </w:r>
      <w:hyperlink r:id="rId11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https://www.justice-ni.gov.uk/sites/default/files/publications/doj/pace-code-b-2015.pdf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. (Accessed: 14th March 2021).</w:t>
      </w:r>
    </w:p>
    <w:p>
      <w:pPr>
        <w:pStyle w:val="Normal"/>
        <w:spacing w:before="0" w:after="160"/>
        <w:rPr/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Equality Act. (2010) Available at: </w:t>
      </w:r>
      <w:hyperlink r:id="rId12" w:tgtFrame="_blank">
        <w:r>
          <w:rPr>
            <w:rStyle w:val="InternetLink"/>
            <w:rFonts w:eastAsia="inherit" w:cs="inherit" w:ascii="Segoe UI Historic;Segoe UI;Helvetica;Arial;sans-serif" w:hAnsi="Segoe UI Historic;Segoe UI;Helvetica;Arial;sans-serif"/>
            <w:b w:val="false"/>
            <w:bCs w:val="false"/>
            <w:i w:val="false"/>
            <w:iCs w:val="false"/>
            <w:caps w:val="false"/>
            <w:smallCaps w:val="false"/>
            <w:color w:val="050505"/>
            <w:spacing w:val="0"/>
            <w:sz w:val="24"/>
            <w:szCs w:val="24"/>
            <w:u w:val="single"/>
            <w:shd w:fill="auto" w:val="clear"/>
          </w:rPr>
          <w:t>https://www.legislation.gov.uk/ukpga/2010/15/contents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 </w:t>
      </w: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(Accessed: 23rd March 2021).</w:t>
      </w: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 </w:t>
      </w:r>
    </w:p>
    <w:p>
      <w:pPr>
        <w:pStyle w:val="Normal"/>
        <w:spacing w:before="0" w:after="160"/>
        <w:rPr/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Estyn. (2020) Welcome to Estyn, Welsh government, Available: </w:t>
      </w:r>
      <w:hyperlink r:id="rId13" w:tgtFrame="_blank">
        <w:r>
          <w:rPr>
            <w:rStyle w:val="InternetLink"/>
            <w:rFonts w:eastAsia="inherit" w:cs="inherit" w:ascii="Segoe UI Historic;Segoe UI;Helvetica;Arial;sans-serif" w:hAnsi="Segoe UI Historic;Segoe UI;Helvetica;Arial;sans-serif"/>
            <w:b w:val="false"/>
            <w:bCs w:val="false"/>
            <w:i w:val="false"/>
            <w:iCs w:val="false"/>
            <w:caps w:val="false"/>
            <w:smallCaps w:val="false"/>
            <w:color w:val="050505"/>
            <w:spacing w:val="0"/>
            <w:sz w:val="24"/>
            <w:szCs w:val="24"/>
            <w:u w:val="single"/>
            <w:shd w:fill="auto" w:val="clear"/>
          </w:rPr>
          <w:t>https://www.estyn.gov.wales/about-us</w:t>
        </w:r>
      </w:hyperlink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, (Accessed: 25th March 2021). 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Family Support Worker role. Avaliable at: </w:t>
      </w:r>
      <w:hyperlink r:id="rId14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https://nationalcareers.service.gov.uk/job-profiles/family-support-worker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 (Accessed 22nd March 2021) Charlotte N.B. Grey1 and Louise Woodfine (2019)</w:t>
      </w: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24/03/21).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Forester, H. (2017) Police Record Checks – What Can They Disclose?. Available at: </w:t>
      </w:r>
      <w:hyperlink r:id="rId15" w:tgtFrame="_blank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https://www.lawnow.org/police-record-checks-what-can-they-disclose/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. (Accessed: 14th March 2021). Nice. (2017)</w:t>
      </w:r>
    </w:p>
    <w:p>
      <w:pPr>
        <w:pStyle w:val="Normal"/>
        <w:spacing w:before="0" w:after="160"/>
        <w:rPr/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 </w:t>
      </w:r>
      <w:r>
        <w:rPr>
          <w:sz w:val="24"/>
          <w:szCs w:val="24"/>
        </w:rPr>
        <w:t xml:space="preserve">Gov.uk (2010) United Nations Convention on the Rights of the Child (UNCRC): </w:t>
      </w:r>
      <w:r>
        <w:rPr>
          <w:i/>
          <w:iCs/>
          <w:sz w:val="24"/>
          <w:szCs w:val="24"/>
        </w:rPr>
        <w:t xml:space="preserve">how legislation underpins implementation in England- Publications Available at: </w:t>
      </w:r>
      <w:hyperlink r:id="rId16">
        <w:r>
          <w:rPr>
            <w:rStyle w:val="InternetLink"/>
            <w:i/>
            <w:iCs/>
            <w:sz w:val="24"/>
            <w:szCs w:val="24"/>
          </w:rPr>
          <w:t>https://www.gov.uk/government/publications/united-nations-convention-on-the-rights-of-the-child/</w:t>
        </w:r>
      </w:hyperlink>
      <w:r>
        <w:rPr>
          <w:i/>
          <w:iCs/>
          <w:sz w:val="24"/>
          <w:szCs w:val="24"/>
        </w:rPr>
        <w:t xml:space="preserve"> (</w:t>
      </w:r>
      <w:r>
        <w:rPr>
          <w:i w:val="false"/>
          <w:iCs w:val="false"/>
          <w:sz w:val="24"/>
          <w:szCs w:val="24"/>
        </w:rPr>
        <w:t>Accessed on: 19/03/21).</w:t>
      </w:r>
    </w:p>
    <w:p>
      <w:pPr>
        <w:pStyle w:val="Normal"/>
        <w:spacing w:before="0" w:after="160"/>
        <w:rPr>
          <w:sz w:val="24"/>
          <w:szCs w:val="24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HM Government. (2018) Working Together to Safeguard Children. Available at: Working Together to Safeguard Children 2018 (publishing.service.gov.uk) (Accessed: 19th March 2021). </w:t>
      </w:r>
    </w:p>
    <w:p>
      <w:pPr>
        <w:pStyle w:val="Normal"/>
        <w:rPr/>
      </w:pPr>
      <w:r>
        <w:rPr>
          <w:sz w:val="24"/>
          <w:szCs w:val="24"/>
        </w:rPr>
        <w:t xml:space="preserve">Human Rights Act (1998) Available at: </w:t>
      </w:r>
      <w:hyperlink r:id="rId17">
        <w:r>
          <w:rPr>
            <w:rStyle w:val="InternetLink"/>
            <w:sz w:val="24"/>
            <w:szCs w:val="24"/>
          </w:rPr>
          <w:t>Human Rights Act 1998 (legislation.gov.uk)</w:t>
        </w:r>
      </w:hyperlink>
      <w:r>
        <w:rPr>
          <w:sz w:val="24"/>
          <w:szCs w:val="24"/>
        </w:rPr>
        <w:t xml:space="preserve"> (Accessed on 24/03/21)</w:t>
      </w:r>
    </w:p>
    <w:p>
      <w:pPr>
        <w:pStyle w:val="Normal"/>
        <w:spacing w:before="0" w:after="160"/>
        <w:rPr/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Mental Capacity Act. (2005) Available at: </w:t>
      </w:r>
      <w:hyperlink r:id="rId18" w:tgtFrame="_blank">
        <w:r>
          <w:rPr>
            <w:rStyle w:val="InternetLink"/>
            <w:rFonts w:eastAsia="inherit" w:cs="inherit" w:ascii="Segoe UI Historic;Segoe UI;Helvetica;Arial;sans-serif" w:hAnsi="Segoe UI Historic;Segoe UI;Helvetica;Arial;sans-serif"/>
            <w:b w:val="false"/>
            <w:bCs w:val="false"/>
            <w:i w:val="false"/>
            <w:iCs w:val="false"/>
            <w:caps w:val="false"/>
            <w:smallCaps w:val="false"/>
            <w:color w:val="050505"/>
            <w:spacing w:val="0"/>
            <w:sz w:val="24"/>
            <w:szCs w:val="24"/>
            <w:u w:val="single"/>
            <w:shd w:fill="auto" w:val="clear"/>
          </w:rPr>
          <w:t>https://legislation.gov.uk/ukpga/2005/9/part/1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 </w:t>
      </w: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(Accessed: 18th March 2021). Children Act. (1989) Available at: </w:t>
      </w:r>
      <w:hyperlink r:id="rId19" w:tgtFrame="_blank">
        <w:r>
          <w:rPr>
            <w:rStyle w:val="InternetLink"/>
            <w:rFonts w:eastAsia="inherit" w:cs="inherit" w:ascii="Segoe UI Historic;Segoe UI;Helvetica;Arial;sans-serif" w:hAnsi="Segoe UI Historic;Segoe UI;Helvetica;Arial;sans-serif"/>
            <w:b w:val="false"/>
            <w:bCs w:val="false"/>
            <w:i w:val="false"/>
            <w:iCs w:val="false"/>
            <w:caps w:val="false"/>
            <w:smallCaps w:val="false"/>
            <w:color w:val="050505"/>
            <w:spacing w:val="0"/>
            <w:sz w:val="24"/>
            <w:szCs w:val="24"/>
            <w:u w:val="single"/>
            <w:shd w:fill="auto" w:val="clear"/>
          </w:rPr>
          <w:t>https://legislation.gov.uk/ukpga/1989/41/contents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 </w:t>
      </w: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(Accessed: 19th March 2021).</w:t>
      </w:r>
    </w:p>
    <w:p>
      <w:pPr>
        <w:pStyle w:val="Normal"/>
        <w:spacing w:before="0" w:after="160"/>
        <w:rPr/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North Wales Safeguarding Board (2019) </w:t>
      </w: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/>
          <w:iCs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Supporting Children, Supporting Parents A North Wales Multi-Agency Protocol </w:t>
      </w: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Available at: </w:t>
      </w:r>
      <w:hyperlink r:id="rId20">
        <w:r>
          <w:rPr>
            <w:rStyle w:val="InternetLink"/>
            <w:rFonts w:eastAsia="inherit" w:cs="inherit" w:ascii="Segoe UI Historic;Segoe UI;Helvetica;Arial;sans-serif" w:hAnsi="Segoe UI Historic;Segoe UI;Helvetica;Arial;sans-serif"/>
            <w:b w:val="false"/>
            <w:bCs w:val="false"/>
            <w:i w:val="false"/>
            <w:iCs w:val="false"/>
            <w:caps w:val="false"/>
            <w:smallCaps w:val="false"/>
            <w:spacing w:val="0"/>
            <w:sz w:val="24"/>
            <w:szCs w:val="24"/>
            <w:shd w:fill="auto" w:val="clear"/>
          </w:rPr>
          <w:t>https://www.northwalessafeguarding.wales</w:t>
        </w:r>
      </w:hyperlink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 (Accessed on </w:t>
      </w: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NHS (no date)</w:t>
      </w:r>
    </w:p>
    <w:p>
      <w:pPr>
        <w:pStyle w:val="Normal"/>
        <w:spacing w:before="0" w:after="160"/>
        <w:rPr/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Nottingham Safeguarding Children Board (2019) </w:t>
      </w:r>
      <w:r>
        <w:rPr>
          <w:rFonts w:eastAsia="inherit" w:cs="inherit" w:ascii="inherit" w:hAnsi="inherit"/>
          <w:b w:val="false"/>
          <w:bCs w:val="false"/>
          <w:i/>
          <w:iCs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Safeguarding Children With Drug and Alcohol Using Parents. </w:t>
      </w: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Available at: </w:t>
      </w:r>
      <w:hyperlink r:id="rId21">
        <w:r>
          <w:rPr>
            <w:rStyle w:val="InternetLink"/>
            <w:rFonts w:eastAsia="inherit" w:cs="inherit" w:ascii="inherit" w:hAnsi="inherit"/>
            <w:b w:val="false"/>
            <w:bCs w:val="false"/>
            <w:i w:val="false"/>
            <w:iCs w:val="false"/>
            <w:caps w:val="false"/>
            <w:smallCaps w:val="false"/>
            <w:spacing w:val="0"/>
            <w:sz w:val="24"/>
            <w:szCs w:val="24"/>
            <w:shd w:fill="auto" w:val="clear"/>
          </w:rPr>
          <w:t>https://www.proceduresonline.com/</w:t>
        </w:r>
      </w:hyperlink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 (Accessed on 24/03/21).</w:t>
      </w:r>
    </w:p>
    <w:p>
      <w:pPr>
        <w:pStyle w:val="Normal"/>
        <w:spacing w:before="0" w:after="160"/>
        <w:rPr>
          <w:sz w:val="24"/>
          <w:szCs w:val="24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NSPCC (2021) Every childhood is worth fighting for. Available at: Neglect is also Child Abuse: Know All About It | NSPCC (Accessed on 23rd March 2021). </w:t>
      </w:r>
    </w:p>
    <w:p>
      <w:pPr>
        <w:pStyle w:val="Normal"/>
        <w:rPr>
          <w:sz w:val="24"/>
          <w:szCs w:val="24"/>
        </w:rPr>
      </w:pPr>
      <w:r>
        <w:rPr>
          <w:rFonts w:ascii="inherit" w:hAnsi="inherit"/>
          <w:b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 </w:t>
      </w: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NSPCC Learning. (2020) Definitions and signs of child abuse: Guidance for professionals who work with children on how to recognise the signs of child abuse. (Accessed: 23rd March 2021).</w:t>
      </w:r>
    </w:p>
    <w:p>
      <w:pPr>
        <w:pStyle w:val="Normal"/>
        <w:widowControl/>
        <w:spacing w:before="0" w:after="160"/>
        <w:ind w:left="0" w:right="0" w:hanging="0"/>
        <w:rPr>
          <w:sz w:val="24"/>
          <w:szCs w:val="24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Pithouse, A. and Crowley, A. (2016) ‘Tackling child neglect: key developments in Wales’, Research Policy and Planning, 32 (1) , pp. 25-37.</w:t>
      </w:r>
    </w:p>
    <w:p>
      <w:pPr>
        <w:pStyle w:val="Normal"/>
        <w:widowControl/>
        <w:spacing w:before="0" w:after="160"/>
        <w:ind w:left="0" w:right="0" w:hanging="0"/>
        <w:rPr>
          <w:sz w:val="24"/>
          <w:szCs w:val="24"/>
        </w:rPr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Pritchard-Jones, L. (2018) ‘Adults at risk”:“vulnerability” by any other name?’, The Journal of Adult Protection, 20(1), pp. 47-58. Schwartz, J.C. (2014) ‘Police indemnification’,NYUL Re, 89(3), pp.885-1005. Stering, R. (2008) Police officer's handbook: An analytical and administrative guide. Burlington: Jones &amp; Bartlett Publishers.</w:t>
      </w:r>
    </w:p>
    <w:p>
      <w:pPr>
        <w:pStyle w:val="Normal"/>
        <w:widowControl/>
        <w:spacing w:before="0" w:after="160"/>
        <w:ind w:left="0" w:right="0" w:hanging="0"/>
        <w:rPr>
          <w:sz w:val="24"/>
          <w:szCs w:val="24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RCPCH (no date) Growth Charts. Available at: Growth charts (rcpch.ac.uk) (Accessed on 23rd March 2021). </w:t>
      </w:r>
    </w:p>
    <w:p>
      <w:pPr>
        <w:pStyle w:val="Normal"/>
        <w:spacing w:before="0" w:after="0"/>
        <w:rPr/>
      </w:pPr>
      <w:r>
        <w:rPr>
          <w:rFonts w:ascii="Segoe UI;system-ui;Apple Color Emoji;Segoe UI Emoji;sans-serif;serif;EmojiFont" w:hAnsi="Segoe UI;system-ui;Apple Color Emoji;Segoe UI Emoji;sans-serif;serif;EmojiFont"/>
          <w:b w:val="false"/>
          <w:i w:val="false"/>
          <w:iCs w:val="false"/>
          <w:caps w:val="false"/>
          <w:smallCaps w:val="false"/>
          <w:color w:val="000000"/>
          <w:spacing w:val="0"/>
          <w:sz w:val="24"/>
          <w:szCs w:val="24"/>
          <w:shd w:fill="FFFFFF" w:val="clear"/>
        </w:rPr>
        <w:t xml:space="preserve">Social Services and Well-being Act (2014) Available at: </w:t>
      </w:r>
      <w:hyperlink r:id="rId22">
        <w:r>
          <w:rPr>
            <w:rStyle w:val="InternetLink"/>
            <w:rFonts w:ascii="Segoe UI;system-ui;Apple Color Emoji;Segoe UI Emoji;sans-serif;serif;EmojiFont" w:hAnsi="Segoe UI;system-ui;Apple Color Emoji;Segoe UI Emoji;sans-serif;serif;EmojiFont"/>
            <w:b w:val="false"/>
            <w:i w:val="false"/>
            <w:iCs w:val="false"/>
            <w:caps w:val="false"/>
            <w:smallCaps w:val="false"/>
            <w:color w:val="000000"/>
            <w:spacing w:val="0"/>
            <w:sz w:val="24"/>
            <w:szCs w:val="24"/>
            <w:shd w:fill="FFFFFF" w:val="clear"/>
          </w:rPr>
          <w:t>Social Services and Well-being (Wales) Act 2014 (legislation.gov.uk)</w:t>
        </w:r>
      </w:hyperlink>
      <w:r>
        <w:rPr>
          <w:rFonts w:ascii="Segoe UI;system-ui;Apple Color Emoji;Segoe UI Emoji;sans-serif;serif;EmojiFont" w:hAnsi="Segoe UI;system-ui;Apple Color Emoji;Segoe UI Emoji;sans-serif;serif;EmojiFont"/>
          <w:b w:val="false"/>
          <w:i w:val="false"/>
          <w:iCs w:val="false"/>
          <w:caps w:val="false"/>
          <w:smallCaps w:val="false"/>
          <w:color w:val="000000"/>
          <w:spacing w:val="0"/>
          <w:sz w:val="24"/>
          <w:szCs w:val="24"/>
          <w:shd w:fill="FFFFFF" w:val="clear"/>
        </w:rPr>
        <w:t xml:space="preserve"> (Accessed on 24/03/21) </w:t>
      </w:r>
    </w:p>
    <w:p>
      <w:pPr>
        <w:pStyle w:val="Normal"/>
        <w:spacing w:before="0" w:after="0"/>
        <w:rPr>
          <w:rFonts w:ascii="Segoe UI;system-ui;Apple Color Emoji;Segoe UI Emoji;sans-serif;serif;EmojiFont" w:hAnsi="Segoe UI;system-ui;Apple Color Emoji;Segoe UI Emoji;sans-serif;serif;EmojiFont"/>
          <w:b w:val="false"/>
          <w:b w:val="false"/>
          <w:i w:val="false"/>
          <w:i w:val="false"/>
          <w:iCs w:val="false"/>
          <w:caps w:val="false"/>
          <w:smallCaps w:val="false"/>
          <w:color w:val="000000"/>
          <w:spacing w:val="0"/>
          <w:shd w:fill="FFFFFF" w:val="clear"/>
        </w:rPr>
      </w:pPr>
      <w:r>
        <w:rPr>
          <w:rFonts w:ascii="Segoe UI;system-ui;Apple Color Emoji;Segoe UI Emoji;sans-serif;serif;EmojiFont" w:hAnsi="Segoe UI;system-ui;Apple Color Emoji;Segoe UI Emoji;sans-serif;serif;EmojiFont"/>
          <w:b w:val="false"/>
          <w:i w:val="false"/>
          <w:iCs w:val="false"/>
          <w:caps w:val="false"/>
          <w:smallCaps w:val="false"/>
          <w:color w:val="000000"/>
          <w:spacing w:val="0"/>
          <w:shd w:fill="FFFFFF" w:val="clear"/>
        </w:rPr>
      </w:r>
    </w:p>
    <w:p>
      <w:pPr>
        <w:pStyle w:val="Normal"/>
        <w:widowControl/>
        <w:spacing w:before="0" w:after="0"/>
        <w:ind w:left="0" w:right="0" w:hanging="0"/>
        <w:rPr/>
      </w:pPr>
      <w:r>
        <w:rPr>
          <w:rFonts w:ascii="Segoe UI;system-ui;Apple Color Emoji;Segoe UI Emoji;sans-serif;serif;EmojiFont" w:hAnsi="Segoe UI;system-ui;Apple Color Emoji;Segoe UI Emoji;sans-serif;serif;EmojiFont"/>
          <w:b w:val="false"/>
          <w:i w:val="false"/>
          <w:iCs w:val="false"/>
          <w:caps w:val="false"/>
          <w:smallCaps w:val="false"/>
          <w:color w:val="000000"/>
          <w:spacing w:val="0"/>
          <w:sz w:val="24"/>
          <w:szCs w:val="24"/>
          <w:shd w:fill="FFFFFF" w:val="clear"/>
        </w:rPr>
        <w:t>Social Care Wales (no date) Wales Safeguarding Procedures 2019. Available at: </w:t>
      </w:r>
      <w:hyperlink r:id="rId23" w:tgtFrame="_blank">
        <w:r>
          <w:rPr>
            <w:rStyle w:val="InternetLink"/>
            <w:rFonts w:ascii="Segoe UI;system-ui;Apple Color Emoji;Segoe UI Emoji;sans-serif;serif;EmojiFont" w:hAnsi="Segoe UI;system-ui;Apple Color Emoji;Segoe UI Emoji;sans-serif;serif;EmojiFont"/>
            <w:b w:val="false"/>
            <w:i w:val="false"/>
            <w:iCs w:val="false"/>
            <w:caps w:val="false"/>
            <w:smallCaps w:val="false"/>
            <w:color w:val="000000"/>
            <w:spacing w:val="0"/>
            <w:sz w:val="24"/>
            <w:szCs w:val="24"/>
            <w:shd w:fill="FFFFFF" w:val="clear"/>
          </w:rPr>
          <w:t>https://www.safeguarding.wales</w:t>
        </w:r>
      </w:hyperlink>
      <w:r>
        <w:rPr>
          <w:rFonts w:ascii="Segoe UI;system-ui;Apple Color Emoji;Segoe UI Emoji;sans-serif;serif;EmojiFont" w:hAnsi="Segoe UI;system-ui;Apple Color Emoji;Segoe UI Emoji;sans-serif;serif;EmojiFont"/>
          <w:b w:val="false"/>
          <w:i w:val="false"/>
          <w:iCs w:val="false"/>
          <w:caps w:val="false"/>
          <w:smallCaps w:val="false"/>
          <w:color w:val="000000"/>
          <w:spacing w:val="0"/>
          <w:sz w:val="24"/>
          <w:szCs w:val="24"/>
          <w:shd w:fill="FFFFFF" w:val="clear"/>
        </w:rPr>
        <w:t>. (Accessed: 18th March 2021).</w:t>
      </w:r>
    </w:p>
    <w:p>
      <w:pPr>
        <w:pStyle w:val="Normal"/>
        <w:spacing w:before="0" w:after="0"/>
        <w:rPr>
          <w:rFonts w:ascii="Segoe UI Historic;Segoe UI;Helvetica;Arial;sans-serif" w:hAnsi="Segoe UI Historic;Segoe UI;Helvetica;Arial;sans-serif" w:eastAsia="inherit" w:cs="inherit"/>
          <w:b w:val="false"/>
          <w:b w:val="false"/>
          <w:bCs w:val="false"/>
          <w:i w:val="false"/>
          <w:i w:val="false"/>
          <w:iCs w:val="false"/>
          <w:caps w:val="false"/>
          <w:smallCaps w:val="false"/>
          <w:color w:val="050505"/>
          <w:spacing w:val="0"/>
          <w:shd w:fill="auto" w:val="clear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hd w:fill="auto" w:val="clear"/>
        </w:rPr>
      </w:r>
    </w:p>
    <w:p>
      <w:pPr>
        <w:pStyle w:val="Normal"/>
        <w:spacing w:before="0" w:after="160"/>
        <w:rPr>
          <w:sz w:val="24"/>
          <w:szCs w:val="24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The UK immunisation schedule (2019) The routine immunisation schedule. Available at: Green book of Immunisation - Chapter 11 - the UK immunisation schedule (publishing.service.gov.uk) (Accessed on 23rd March 2021).</w:t>
      </w:r>
    </w:p>
    <w:p>
      <w:pPr>
        <w:pStyle w:val="Normal"/>
        <w:spacing w:before="0" w:after="0"/>
        <w:rPr>
          <w:sz w:val="24"/>
          <w:szCs w:val="24"/>
        </w:rPr>
      </w:pPr>
      <w:r>
        <w:rPr>
          <w:rFonts w:ascii="inherit" w:hAnsi="inherit"/>
          <w:b w:val="false"/>
          <w:i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>Unicef (no date) The United Nations Convention on the Rights of the Child 1989. Available at: UN Convention on the Rights of the Child (UNCRC) - Unicef UK (Accessed: 23rd March 2021)</w:t>
      </w:r>
    </w:p>
    <w:p>
      <w:pPr>
        <w:pStyle w:val="Normal"/>
        <w:spacing w:before="0" w:after="160"/>
        <w:rPr/>
      </w:pPr>
      <w:r>
        <w:rPr>
          <w:rFonts w:ascii="inherit" w:hAnsi="inherit"/>
          <w:b w:val="false"/>
          <w:i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Voices of those with lived experiences of homelessness and adversity in Wales. Public Health Wales, Available at: </w:t>
      </w:r>
      <w:hyperlink r:id="rId24" w:tgtFrame="_blank">
        <w:r>
          <w:rPr>
            <w:rStyle w:val="InternetLink"/>
            <w:rFonts w:ascii="inherit" w:hAnsi="inherit"/>
            <w:b w:val="false"/>
            <w:i w:val="false"/>
            <w:caps w:val="false"/>
            <w:smallCaps w:val="false"/>
            <w:color w:val="1C1E21"/>
            <w:spacing w:val="0"/>
            <w:sz w:val="24"/>
            <w:szCs w:val="24"/>
            <w:u w:val="single"/>
            <w:shd w:fill="auto" w:val="clear"/>
          </w:rPr>
          <w:t>https://phw.nhs.wales/files/aces/voices-of-those-with-lived-experiences-of-homelessness-and-adversity-in-wales-informing-prevention-and-response-2019/</w:t>
        </w:r>
      </w:hyperlink>
      <w:r>
        <w:rPr>
          <w:rFonts w:ascii="inherit" w:hAnsi="inherit"/>
          <w:b w:val="false"/>
          <w:i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 (Accessed 22nd March 2021)</w:t>
      </w:r>
    </w:p>
    <w:p>
      <w:pPr>
        <w:pStyle w:val="Normal"/>
        <w:spacing w:before="0" w:after="160"/>
        <w:rPr>
          <w:sz w:val="24"/>
          <w:szCs w:val="24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Welsh Government (2019) An overview of the Healthy Child Wales Programme. Available at: Microsoft Word - HCWP Welsh Gov document - published version[1].docx (Accessed on 23rd March 2021).</w:t>
      </w: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 </w:t>
      </w:r>
    </w:p>
    <w:p>
      <w:pPr>
        <w:pStyle w:val="Normal"/>
        <w:spacing w:before="0" w:after="160"/>
        <w:rPr/>
      </w:pPr>
      <w:r>
        <w:rPr>
          <w:i w:val="false"/>
          <w:iCs w:val="false"/>
          <w:sz w:val="24"/>
          <w:szCs w:val="24"/>
        </w:rPr>
        <w:t xml:space="preserve">Welsh Assembly Government (2011) </w:t>
      </w:r>
      <w:r>
        <w:rPr>
          <w:i/>
          <w:iCs/>
          <w:sz w:val="24"/>
          <w:szCs w:val="24"/>
        </w:rPr>
        <w:t xml:space="preserve">Substance misuse Service and System improvement </w:t>
      </w:r>
      <w:r>
        <w:rPr>
          <w:i w:val="false"/>
          <w:iCs w:val="false"/>
          <w:sz w:val="24"/>
          <w:szCs w:val="24"/>
        </w:rPr>
        <w:t xml:space="preserve">Available at: </w:t>
      </w:r>
      <w:hyperlink r:id="rId25">
        <w:r>
          <w:rPr>
            <w:rStyle w:val="InternetLink"/>
            <w:i w:val="false"/>
            <w:iCs w:val="false"/>
            <w:sz w:val="24"/>
            <w:szCs w:val="24"/>
          </w:rPr>
          <w:t>https://gov.wales/sites/default/files/publications/2019-02/integrated</w:t>
        </w:r>
      </w:hyperlink>
      <w:r>
        <w:rPr>
          <w:i w:val="false"/>
          <w:iCs w:val="false"/>
          <w:sz w:val="24"/>
          <w:szCs w:val="24"/>
        </w:rPr>
        <w:t xml:space="preserve"> (Accessed on 24/03/21).</w:t>
      </w:r>
    </w:p>
    <w:p>
      <w:pPr>
        <w:pStyle w:val="Normal"/>
        <w:spacing w:before="0" w:after="160"/>
        <w:rPr/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 xml:space="preserve">yan, B.J. Coppola, D. Canyon, D.V. Brickhouse, M. and Swienton, R. (2020) COVID-19 community stabilization and sustainability framework: an integration of the Maslow hierarchy of needs and social determinants of health, Disaster medicine and public health preparedness, DOI </w:t>
      </w:r>
      <w:hyperlink r:id="rId26" w:tgtFrame="_blank">
        <w:r>
          <w:rPr>
            <w:rStyle w:val="InternetLink"/>
            <w:rFonts w:eastAsia="inherit" w:cs="inherit" w:ascii="Segoe UI Historic;Segoe UI;Helvetica;Arial;sans-serif" w:hAnsi="Segoe UI Historic;Segoe UI;Helvetica;Arial;sans-serif"/>
            <w:b w:val="false"/>
            <w:bCs w:val="false"/>
            <w:i w:val="false"/>
            <w:iCs w:val="false"/>
            <w:caps w:val="false"/>
            <w:smallCaps w:val="false"/>
            <w:color w:val="050505"/>
            <w:spacing w:val="0"/>
            <w:sz w:val="24"/>
            <w:szCs w:val="24"/>
            <w:u w:val="single"/>
            <w:shd w:fill="auto" w:val="clear"/>
          </w:rPr>
          <w:t>https://doi.org/10.1017/dmp.2020.109</w:t>
        </w:r>
      </w:hyperlink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4"/>
          <w:szCs w:val="24"/>
          <w:shd w:fill="auto" w:val="clear"/>
        </w:rPr>
        <w:t>, 14(5), pp.623-629.</w:t>
      </w: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4"/>
          <w:szCs w:val="24"/>
          <w:shd w:fill="auto" w:val="clear"/>
        </w:rPr>
        <w:t xml:space="preserve"> </w:t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3"/>
          <w:szCs w:val="23"/>
          <w:shd w:fill="auto" w:val="clear"/>
        </w:rPr>
        <w:t xml:space="preserve"> </w:t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i w:val="false"/>
          <w:iCs w:val="false"/>
        </w:rPr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3"/>
          <w:szCs w:val="23"/>
          <w:shd w:fill="auto" w:val="clear"/>
        </w:rPr>
        <w:t xml:space="preserve"> </w:t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3"/>
          <w:szCs w:val="23"/>
          <w:shd w:fill="auto" w:val="clear"/>
        </w:rPr>
        <w:t xml:space="preserve"> </w:t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i w:val="false"/>
          <w:iCs w:val="false"/>
        </w:rPr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rFonts w:eastAsia="inherit" w:cs="inherit" w:ascii="Segoe UI Historic;Segoe UI;Helvetica;Arial;sans-serif" w:hAnsi="Segoe UI Historic;Segoe UI;Helvetica;Arial;sans-serif"/>
          <w:b w:val="false"/>
          <w:bCs w:val="false"/>
          <w:i w:val="false"/>
          <w:iCs w:val="false"/>
          <w:caps w:val="false"/>
          <w:smallCaps w:val="false"/>
          <w:color w:val="050505"/>
          <w:spacing w:val="0"/>
          <w:sz w:val="23"/>
          <w:szCs w:val="23"/>
          <w:shd w:fill="auto" w:val="clear"/>
        </w:rPr>
        <w:t xml:space="preserve"> </w:t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rFonts w:eastAsia="inherit" w:cs="inherit" w:ascii="inherit" w:hAnsi="inherit"/>
          <w:b w:val="false"/>
          <w:bCs w:val="false"/>
          <w:i w:val="false"/>
          <w:iCs w:val="false"/>
          <w:caps w:val="false"/>
          <w:smallCaps w:val="false"/>
          <w:color w:val="1C1E21"/>
          <w:spacing w:val="0"/>
          <w:sz w:val="23"/>
          <w:szCs w:val="23"/>
          <w:shd w:fill="auto" w:val="clear"/>
        </w:rPr>
        <w:t xml:space="preserve"> </w:t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i w:val="false"/>
          <w:iCs w:val="false"/>
        </w:rPr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i w:val="false"/>
          <w:iCs w:val="false"/>
        </w:rPr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i w:val="false"/>
          <w:iCs w:val="false"/>
        </w:rPr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i w:val="false"/>
          <w:iCs w:val="false"/>
        </w:rPr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>
          <w:i w:val="false"/>
          <w:iCs w:val="false"/>
        </w:rPr>
      </w:r>
    </w:p>
    <w:p>
      <w:pPr>
        <w:pStyle w:val="Normal"/>
        <w:spacing w:before="0" w:after="160"/>
        <w:rPr>
          <w:i w:val="false"/>
          <w:i w:val="false"/>
          <w:iCs w:val="false"/>
        </w:rPr>
      </w:pPr>
      <w:r>
        <w:rPr/>
      </w:r>
    </w:p>
    <w:sectPr>
      <w:headerReference w:type="default" r:id="rId27"/>
      <w:footerReference w:type="default" r:id="rId28"/>
      <w:type w:val="nextPage"/>
      <w:pgSz w:w="11906" w:h="16838"/>
      <w:pgMar w:left="1440" w:right="1440" w:header="720" w:top="1440" w:footer="720" w:bottom="1440" w:gutter="0"/>
      <w:pgNumType w:fmt="decimal"/>
      <w:formProt w:val="false"/>
      <w:textDirection w:val="lrTb"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libri">
    <w:charset w:val="00"/>
    <w:family w:val="roman"/>
    <w:pitch w:val="variable"/>
  </w:font>
  <w:font w:name="Liberation Serif">
    <w:altName w:val="Times New Roman"/>
    <w:charset w:val="00"/>
    <w:family w:val="swiss"/>
    <w:pitch w:val="variable"/>
  </w:font>
  <w:font w:name="Liberation Sans">
    <w:altName w:val="Arial"/>
    <w:charset w:val="00"/>
    <w:family w:val="roman"/>
    <w:pitch w:val="variable"/>
  </w:font>
  <w:font w:name="Segoe UI Historic">
    <w:altName w:val="Segoe UI"/>
    <w:charset w:val="00"/>
    <w:family w:val="roman"/>
    <w:pitch w:val="variable"/>
  </w:font>
  <w:font w:name="inherit">
    <w:charset w:val="00"/>
    <w:family w:val="roman"/>
    <w:pitch w:val="variable"/>
  </w:font>
  <w:font w:name="Segoe UI">
    <w:altName w:val="system-ui"/>
    <w:charset w:val="00"/>
    <w:family w:val="roman"/>
    <w:pitch w:val="variable"/>
  </w:font>
  <w:font w:name="Segoe UI Historic">
    <w:altName w:val="Segoe UI"/>
    <w:charset w:val="00"/>
    <w:family w:val="auto"/>
    <w:pitch w:val="default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tbl>
    <w:tblPr>
      <w:tblStyle w:val="TableNormal"/>
      <w:tblW w:w="9015" w:type="dxa"/>
      <w:jc w:val="left"/>
      <w:tblInd w:w="0" w:type="dxa"/>
      <w:tblLayout w:type="fixed"/>
      <w:tblCellMar>
        <w:top w:w="0" w:type="dxa"/>
        <w:left w:w="108" w:type="dxa"/>
        <w:bottom w:w="0" w:type="dxa"/>
        <w:right w:w="108" w:type="dxa"/>
      </w:tblCellMar>
      <w:tblLook w:firstRow="1" w:noVBand="1" w:lastRow="0" w:firstColumn="1" w:lastColumn="0" w:noHBand="1" w:val="06a0"/>
    </w:tblPr>
    <w:tblGrid>
      <w:gridCol w:w="3005"/>
      <w:gridCol w:w="3005"/>
      <w:gridCol w:w="3005"/>
    </w:tblGrid>
    <w:tr>
      <w:trPr/>
      <w:tc>
        <w:tcPr>
          <w:tcW w:w="3005" w:type="dxa"/>
          <w:tcBorders/>
        </w:tcPr>
        <w:p>
          <w:pPr>
            <w:pStyle w:val="Header"/>
            <w:widowControl w:val="false"/>
            <w:suppressAutoHyphens w:val="true"/>
            <w:bidi w:val="0"/>
            <w:spacing w:before="0" w:after="0"/>
            <w:ind w:left="-115" w:hanging="0"/>
            <w:jc w:val="left"/>
            <w:rPr>
              <w:rFonts w:ascii="Calibri" w:hAnsi="Calibri" w:eastAsia="Calibri" w:cs=""/>
              <w:kern w:val="0"/>
              <w:sz w:val="22"/>
              <w:szCs w:val="22"/>
              <w:lang w:val="en-GB" w:eastAsia="en-US" w:bidi="ar-SA"/>
            </w:rPr>
          </w:pPr>
          <w:r>
            <w:rPr>
              <w:rFonts w:eastAsia="Calibri" w:cs=""/>
              <w:kern w:val="0"/>
              <w:sz w:val="22"/>
              <w:szCs w:val="22"/>
              <w:lang w:val="en-GB" w:eastAsia="en-US" w:bidi="ar-SA"/>
            </w:rPr>
          </w:r>
        </w:p>
      </w:tc>
      <w:tc>
        <w:tcPr>
          <w:tcW w:w="3005" w:type="dxa"/>
          <w:tcBorders/>
        </w:tcPr>
        <w:p>
          <w:pPr>
            <w:pStyle w:val="Header"/>
            <w:widowControl w:val="false"/>
            <w:suppressAutoHyphens w:val="true"/>
            <w:bidi w:val="0"/>
            <w:spacing w:before="0" w:after="0"/>
            <w:jc w:val="center"/>
            <w:rPr>
              <w:rFonts w:ascii="Calibri" w:hAnsi="Calibri" w:eastAsia="Calibri" w:cs=""/>
              <w:kern w:val="0"/>
              <w:sz w:val="22"/>
              <w:szCs w:val="22"/>
              <w:lang w:val="en-GB" w:eastAsia="en-US" w:bidi="ar-SA"/>
            </w:rPr>
          </w:pPr>
          <w:r>
            <w:rPr>
              <w:rFonts w:eastAsia="Calibri" w:cs=""/>
              <w:kern w:val="0"/>
              <w:sz w:val="22"/>
              <w:szCs w:val="22"/>
              <w:lang w:val="en-GB" w:eastAsia="en-US" w:bidi="ar-SA"/>
            </w:rPr>
          </w:r>
        </w:p>
      </w:tc>
      <w:tc>
        <w:tcPr>
          <w:tcW w:w="3005" w:type="dxa"/>
          <w:tcBorders/>
        </w:tcPr>
        <w:p>
          <w:pPr>
            <w:pStyle w:val="Header"/>
            <w:widowControl w:val="false"/>
            <w:suppressAutoHyphens w:val="true"/>
            <w:bidi w:val="0"/>
            <w:spacing w:before="0" w:after="0"/>
            <w:ind w:right="-115" w:hanging="0"/>
            <w:jc w:val="right"/>
            <w:rPr>
              <w:rFonts w:ascii="Calibri" w:hAnsi="Calibri" w:eastAsia="Calibri" w:cs=""/>
              <w:kern w:val="0"/>
              <w:sz w:val="22"/>
              <w:szCs w:val="22"/>
              <w:lang w:val="en-GB" w:eastAsia="en-US" w:bidi="ar-SA"/>
            </w:rPr>
          </w:pPr>
          <w:r>
            <w:rPr>
              <w:rFonts w:eastAsia="Calibri" w:cs=""/>
              <w:kern w:val="0"/>
              <w:sz w:val="22"/>
              <w:szCs w:val="22"/>
              <w:lang w:val="en-GB" w:eastAsia="en-US" w:bidi="ar-SA"/>
            </w:rPr>
          </w:r>
        </w:p>
      </w:tc>
    </w:tr>
  </w:tbl>
  <w:p>
    <w:pPr>
      <w:pStyle w:val="Footer"/>
      <w:bidi w:val="0"/>
      <w:rPr/>
    </w:pPr>
    <w:r>
      <w:rPr/>
    </w:r>
  </w:p>
</w:ftr>
</file>

<file path=word/header1.xml><?xml version="1.0" encoding="utf-8"?>
<w:hd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p>
    <w:pPr>
      <w:pStyle w:val="Header"/>
      <w:bidi w:val="0"/>
      <w:rPr/>
    </w:pPr>
    <w:r>
      <w:rPr/>
    </w:r>
  </w:p>
  <w:p>
    <w:pPr>
      <w:pStyle w:val="Header"/>
      <w:widowControl/>
      <w:bidi w:val="0"/>
      <w:ind w:left="0" w:right="0" w:hanging="0"/>
      <w:rPr/>
    </w:pPr>
    <w:r>
      <w:rPr>
        <w:rFonts w:ascii="Segoe UI Historic;Segoe UI;Helvetica;Arial;sans-serif" w:hAnsi="Segoe UI Historic;Segoe UI;Helvetica;Arial;sans-serif"/>
        <w:b w:val="false"/>
        <w:i w:val="false"/>
        <w:caps w:val="false"/>
        <w:smallCaps w:val="false"/>
        <w:color w:val="050505"/>
        <w:spacing w:val="0"/>
        <w:sz w:val="23"/>
      </w:rPr>
      <w:t xml:space="preserve">1402983/ </w:t>
    </w:r>
    <w:r>
      <w:rPr>
        <w:rFonts w:ascii="Segoe UI Historic;Segoe UI;Helvetica;Arial;sans-serif" w:hAnsi="Segoe UI Historic;Segoe UI;Helvetica;Arial;sans-serif"/>
        <w:b w:val="false"/>
        <w:i w:val="false"/>
        <w:caps w:val="false"/>
        <w:smallCaps w:val="false"/>
        <w:color w:val="050505"/>
        <w:spacing w:val="0"/>
        <w:sz w:val="23"/>
      </w:rPr>
      <w:t>2011722</w:t>
    </w:r>
    <w:r>
      <w:rPr/>
      <w:t xml:space="preserve"> / </w:t>
    </w:r>
    <w:r>
      <w:rPr>
        <w:rFonts w:ascii="Segoe UI Historic;Segoe UI;Helvetica;Arial;sans-serif" w:hAnsi="Segoe UI Historic;Segoe UI;Helvetica;Arial;sans-serif"/>
        <w:b w:val="false"/>
        <w:i w:val="false"/>
        <w:caps w:val="false"/>
        <w:smallCaps w:val="false"/>
        <w:color w:val="050505"/>
        <w:spacing w:val="0"/>
        <w:sz w:val="23"/>
      </w:rPr>
      <w:t>1903041</w:t>
    </w:r>
    <w:r>
      <w:rPr/>
      <w:t xml:space="preserve"> / </w:t>
    </w:r>
    <w:r>
      <w:rPr>
        <w:rFonts w:ascii="Segoe UI Historic;Segoe UI;Helvetica;Arial;sans-serif" w:hAnsi="Segoe UI Historic;Segoe UI;Helvetica;Arial;sans-serif"/>
        <w:b w:val="false"/>
        <w:i w:val="false"/>
        <w:caps w:val="false"/>
        <w:smallCaps w:val="false"/>
        <w:color w:val="050505"/>
        <w:spacing w:val="0"/>
        <w:sz w:val="23"/>
      </w:rPr>
      <w:t>1901074</w:t>
    </w:r>
    <w:r>
      <w:rPr/>
      <w:t xml:space="preserve"> / </w:t>
    </w:r>
    <w:r>
      <w:rPr>
        <w:rFonts w:ascii="Segoe UI Historic;Segoe UI;Helvetica;Arial;sans-serif" w:hAnsi="Segoe UI Historic;Segoe UI;Helvetica;Arial;sans-serif"/>
        <w:b w:val="false"/>
        <w:i w:val="false"/>
        <w:caps w:val="false"/>
        <w:smallCaps w:val="false"/>
        <w:color w:val="050505"/>
        <w:spacing w:val="0"/>
        <w:sz w:val="23"/>
      </w:rPr>
      <w:t>1802930</w:t>
    </w:r>
    <w:r>
      <w:rPr/>
      <w:t xml:space="preserve"> / </w:t>
    </w:r>
    <w:r>
      <w:rPr>
        <w:rFonts w:ascii="Segoe UI Historic;Segoe UI;Helvetica;Arial;sans-serif" w:hAnsi="Segoe UI Historic;Segoe UI;Helvetica;Arial;sans-serif"/>
        <w:b w:val="false"/>
        <w:i w:val="false"/>
        <w:caps w:val="false"/>
        <w:smallCaps w:val="false"/>
        <w:color w:val="050505"/>
        <w:spacing w:val="0"/>
        <w:sz w:val="23"/>
      </w:rPr>
      <w:t>1902552</w:t>
    </w:r>
    <w:r>
      <w:rPr/>
      <w:t xml:space="preserve"> </w:t>
    </w:r>
  </w:p>
</w:hdr>
</file>

<file path=word/settings.xml><?xml version="1.0" encoding="utf-8"?>
<w:settings xmlns:w="http://schemas.openxmlformats.org/wordprocessingml/2006/main">
  <w:zoom w:percent="100"/>
  <w:defaultTabStop w:val="720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en-GB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 w:val="22"/>
        <w:szCs w:val="22"/>
        <w:lang w:val="en-GB" w:eastAsia="en-US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pPr>
      <w:widowControl/>
      <w:suppressAutoHyphens w:val="true"/>
      <w:bidi w:val="0"/>
      <w:spacing w:lineRule="auto" w:line="259" w:before="0" w:after="160"/>
      <w:jc w:val="left"/>
    </w:pPr>
    <w:rPr>
      <w:rFonts w:ascii="Calibri" w:hAnsi="Calibri" w:eastAsia="Calibri" w:cs="" w:asciiTheme="minorHAnsi" w:cstheme="minorBidi" w:eastAsiaTheme="minorHAnsi" w:hAnsiTheme="minorHAnsi"/>
      <w:color w:val="auto"/>
      <w:kern w:val="0"/>
      <w:sz w:val="22"/>
      <w:szCs w:val="22"/>
      <w:lang w:val="en-GB" w:eastAsia="en-US" w:bidi="ar-SA"/>
    </w:rPr>
  </w:style>
  <w:style w:type="paragraph" w:styleId="Heading3">
    <w:name w:val="Heading 3"/>
    <w:basedOn w:val="Heading"/>
    <w:next w:val="TextBody"/>
    <w:qFormat/>
    <w:pPr>
      <w:spacing w:before="140" w:after="120"/>
      <w:outlineLvl w:val="2"/>
    </w:pPr>
    <w:rPr>
      <w:rFonts w:ascii="Liberation Serif" w:hAnsi="Liberation Serif" w:eastAsia="Segoe UI" w:cs="Tahoma"/>
      <w:b/>
      <w:bCs/>
      <w:sz w:val="28"/>
      <w:szCs w:val="28"/>
    </w:rPr>
  </w:style>
  <w:style w:type="paragraph" w:styleId="Heading4">
    <w:name w:val="Heading 4"/>
    <w:basedOn w:val="Heading"/>
    <w:next w:val="TextBody"/>
    <w:qFormat/>
    <w:pPr>
      <w:spacing w:before="120" w:after="120"/>
      <w:outlineLvl w:val="3"/>
    </w:pPr>
    <w:rPr>
      <w:rFonts w:ascii="Liberation Serif" w:hAnsi="Liberation Serif" w:eastAsia="Segoe UI" w:cs="Tahoma"/>
      <w:b/>
      <w:bCs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HeaderChar" w:customStyle="1">
    <w:name w:val="Header Char"/>
    <w:basedOn w:val="DefaultParagraphFont"/>
    <w:link w:val="Header"/>
    <w:uiPriority w:val="99"/>
    <w:qFormat/>
    <w:rPr/>
  </w:style>
  <w:style w:type="character" w:styleId="FooterChar" w:customStyle="1">
    <w:name w:val="Footer Char"/>
    <w:basedOn w:val="DefaultParagraphFont"/>
    <w:link w:val="Footer"/>
    <w:uiPriority w:val="99"/>
    <w:qFormat/>
    <w:rPr/>
  </w:style>
  <w:style w:type="character" w:styleId="InternetLink">
    <w:name w:val="Hyperlink"/>
    <w:rPr>
      <w:color w:val="000080"/>
      <w:u w:val="single"/>
      <w:lang w:val="zxx" w:eastAsia="zxx" w:bidi="zxx"/>
    </w:rPr>
  </w:style>
  <w:style w:type="character" w:styleId="StrongEmphasis">
    <w:name w:val="Strong Emphasis"/>
    <w:qFormat/>
    <w:rPr>
      <w:b/>
      <w:bCs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Arial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  <w:style w:type="paragraph" w:styleId="HeaderandFooter">
    <w:name w:val="Header and Footer"/>
    <w:basedOn w:val="Normal"/>
    <w:qFormat/>
    <w:pPr/>
    <w:rPr/>
  </w:style>
  <w:style w:type="paragraph" w:styleId="Header">
    <w:name w:val="Header"/>
    <w:basedOn w:val="Normal"/>
    <w:link w:val="HeaderChar"/>
    <w:uiPriority w:val="99"/>
    <w:unhideWhenUsed/>
    <w:pPr>
      <w:tabs>
        <w:tab w:val="clear" w:pos="720"/>
        <w:tab w:val="center" w:pos="4680" w:leader="none"/>
        <w:tab w:val="right" w:pos="9360" w:leader="none"/>
      </w:tabs>
      <w:spacing w:lineRule="auto" w:line="240" w:before="0" w:after="0"/>
    </w:pPr>
    <w:rPr/>
  </w:style>
  <w:style w:type="paragraph" w:styleId="Footer">
    <w:name w:val="Footer"/>
    <w:basedOn w:val="Normal"/>
    <w:link w:val="FooterChar"/>
    <w:uiPriority w:val="99"/>
    <w:unhideWhenUsed/>
    <w:pPr>
      <w:tabs>
        <w:tab w:val="clear" w:pos="720"/>
        <w:tab w:val="center" w:pos="4680" w:leader="none"/>
        <w:tab w:val="right" w:pos="9360" w:leader="none"/>
      </w:tabs>
      <w:spacing w:lineRule="auto" w:line="240" w:before="0" w:after="0"/>
    </w:pPr>
    <w:rPr/>
  </w:style>
  <w:style w:type="paragraph" w:styleId="TableContents">
    <w:name w:val="Table Contents"/>
    <w:basedOn w:val="Normal"/>
    <w:qFormat/>
    <w:pPr>
      <w:widowControl w:val="false"/>
      <w:suppressLineNumbers/>
    </w:pPr>
    <w:rPr/>
  </w:style>
  <w:style w:type="paragraph" w:styleId="TableHeading">
    <w:name w:val="Table Heading"/>
    <w:basedOn w:val="TableContents"/>
    <w:qFormat/>
    <w:pPr>
      <w:suppressLineNumbers/>
      <w:jc w:val="center"/>
    </w:pPr>
    <w:rPr>
      <w:b/>
      <w:bCs/>
    </w:rPr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yperlink" Target="https://www.nice.org.uk/guidance/ng76?fbclid=IwAR3UB9aue7LF8GzBIyHTJgyHasEu0muATkydQBLRHHZwhJJ-YuRZxmp32Uw" TargetMode="External"/><Relationship Id="rId3" Type="http://schemas.openxmlformats.org/officeDocument/2006/relationships/hyperlink" Target="https://www.legislation.gov.ukpga/1989/41/contents" TargetMode="External"/><Relationship Id="rId4" Type="http://schemas.openxmlformats.org/officeDocument/2006/relationships/image" Target="media/image1.png"/><Relationship Id="rId5" Type="http://schemas.openxmlformats.org/officeDocument/2006/relationships/hyperlink" Target="https://l.facebook.com/l.php?u=https%3A%2F%2Fwww.citizensadvice.org.uk%2Ffamily%2Fchildren-and-young-people%2Fchild-abuse%2Fpolice-involvement%2Fchild-abuse-police-involvement%2F%3Ffbclid%3DIwAR0q3xfRBNoCngWv5DhkqxTg_S1nPYAsW8Pzqrxty5DpllXZ6z3yHiOReSw&amp;h=AT0Z5EStQ8rzmBlrxe9RA_FSssahBezUyGAlCdicIznOPkWnEEA02fVeW6DNmczgpntdBGPVsWQFGF85BUS3jh3GWKC8FLZIbZiOXzISGaNkcT78Qbqz4dJm3bJAB4qyV-DgXw" TargetMode="External"/><Relationship Id="rId6" Type="http://schemas.openxmlformats.org/officeDocument/2006/relationships/hyperlink" Target="https://l.facebook.com/l.php?u=https%3A%2F%2Fwww.app.college.police.uk%2Fapp-content%2Fmajor-investigation-and-public-protection%2Fchild-abuse%2Fconcern-for-a-child%2F%3Ffbclid%3DIwAR2zKSS8icxr83fAh2gixmQjkp9wziZHmNEaQrMf66JJfdrBaly75mn8J1o%23%3A~%3Atext%3DUnder%2520the%2520Children%2520Act%25201989%2Cuntil%2520a%2520child%2520is%2520found&amp;h=AT0Z5EStQ8rzmBlrxe9RA_FSssahBezUyGAlCdicIznOPkWnEEA02fVeW6DNmczgpntdBGPVsWQFGF85BUS3jh3GWKC8FLZIbZiOXzISGaNkcT78Qbqz4dJm3bJAB4qyV-DgXw" TargetMode="External"/><Relationship Id="rId7" Type="http://schemas.openxmlformats.org/officeDocument/2006/relationships/hyperlink" Target="https://www.legislation.gov.uk/ukpga/2018/12/part/1/enacted?fbclid=IwAR0SibN7Ghuguop4FPAFiDRY0F32KnWW69s54gBn-AGJ9V6p6gJEM4SyeVU" TargetMode="External"/><Relationship Id="rId8" Type="http://schemas.openxmlformats.org/officeDocument/2006/relationships/hyperlink" Target="https://www.justice-ni.gov.uk/sites/default/files/publications/doj/16-06-pace-code-c-2015.pdf?fbclid=IwAR0jMzH26DIvcpXhrH2QANMxjzx0Ix8-oW5TCXza3krn8n1rA1KjysB1LKc" TargetMode="External"/><Relationship Id="rId9" Type="http://schemas.openxmlformats.org/officeDocument/2006/relationships/hyperlink" Target="https://l.facebook.com/l.php?u=https%3A%2F%2Fwww.legislation.gov.uk%2Fukpga%2F1997%2F51%2Fpdfs%2Fukpga_19970051_en.pdf%3Ffbclid%3DIwAR0LRXMFeXDSH-ECdq8VpE8s4cc0lO_RVVJTDchK0IkNTLm3SifTLzRBDGA&amp;h=AT0Z5EStQ8rzmBlrxe9RA_FSssahBezUyGAlCdicIznOPkWnEEA02fVeW6DNmczgpntdBGPVsWQFGF85BUS3jh3GWKC8FLZIbZiOXzISGaNkcT78Qbqz4dJm3bJAB4qyV-DgXw" TargetMode="External"/><Relationship Id="rId10" Type="http://schemas.openxmlformats.org/officeDocument/2006/relationships/hyperlink" Target="https://l.facebook.com/l.php?u=https%3A%2F%2Fwww.justice-ni.gov.uk%2Fsites%2Fdefault%2Ffiles%2Fpublications%2Fdoj%2Fpace-code-a-2015.pdf%3Ffbclid%3DIwAR0_HY98zKQ5h6Ev6UZ_EG-vkBjKKajuzZySwUYYNCH-RGnacUgaOgi8c4g&amp;h=AT0Z5EStQ8rzmBlrxe9RA_FSssahBezUyGAlCdicIznOPkWnEEA02fVeW6DNmczgpntdBGPVsWQFGF85BUS3jh3GWKC8FLZIbZiOXzISGaNkcT78Qbqz4dJm3bJAB4qyV-DgXw" TargetMode="External"/><Relationship Id="rId11" Type="http://schemas.openxmlformats.org/officeDocument/2006/relationships/hyperlink" Target="https://l.facebook.com/l.php?u=https%3A%2F%2Fwww.justice-ni.gov.uk%2Fsites%2Fdefault%2Ffiles%2Fpublications%2Fdoj%2Fpace-code-b-2015.pdf%3Ffbclid%3DIwAR2DRQ0PO462YDB79SsGuAxcAa8NOXGnP7dcjIrQYg1tHKb_4i61yF3bTxA&amp;h=AT0Z5EStQ8rzmBlrxe9RA_FSssahBezUyGAlCdicIznOPkWnEEA02fVeW6DNmczgpntdBGPVsWQFGF85BUS3jh3GWKC8FLZIbZiOXzISGaNkcT78Qbqz4dJm3bJAB4qyV-DgXw" TargetMode="External"/><Relationship Id="rId12" Type="http://schemas.openxmlformats.org/officeDocument/2006/relationships/hyperlink" Target="https://www.legislation.gov.uk/ukpga/2010/15/contents?fbclid=IwAR3w5m9Wbj5qXDA5s2bSttM-sm3ZJsXCo7ShtltclRoWpwKhyovHIoT_TeE" TargetMode="External"/><Relationship Id="rId13" Type="http://schemas.openxmlformats.org/officeDocument/2006/relationships/hyperlink" Target="https://www.estyn.gov.wales/about-us?fbclid=IwAR0LRXMFeXDSH-ECdq8VpE8s4cc0lO_RVVJTDchK0IkNTLm3SifTLzRBDGA" TargetMode="External"/><Relationship Id="rId14" Type="http://schemas.openxmlformats.org/officeDocument/2006/relationships/hyperlink" Target="https://nationalcareers.service.gov.uk/job-profiles/family-support-worker?fbclid=IwAR173-eG6klbYA8WO30Ep5VKCT6pvEIeFC-eV09bK-vqXF0lNZhpAUq4pEk" TargetMode="External"/><Relationship Id="rId15" Type="http://schemas.openxmlformats.org/officeDocument/2006/relationships/hyperlink" Target="https://l.facebook.com/l.php?u=https%3A%2F%2Fwww.lawnow.org%2Fpolice-record-checks-what-can-they-disclose%2F%3Ffbclid%3DIwAR2T2LzmgXEA1rGKSIYLj0vp_Jg4YojT6ZYwwF7Ny6OhfweeNljDpTbY3NA&amp;h=AT0Z5EStQ8rzmBlrxe9RA_FSssahBezUyGAlCdicIznOPkWnEEA02fVeW6DNmczgpntdBGPVsWQFGF85BUS3jh3GWKC8FLZIbZiOXzISGaNkcT78Qbqz4dJm3bJAB4qyV-DgXw" TargetMode="External"/><Relationship Id="rId16" Type="http://schemas.openxmlformats.org/officeDocument/2006/relationships/hyperlink" Target="https://www.gov.uk/government/publications/united-nations-convention-on-the-rights-of-the-child/" TargetMode="External"/><Relationship Id="rId17" Type="http://schemas.openxmlformats.org/officeDocument/2006/relationships/hyperlink" Target="https://www.legislation.gov.uk/ukpga/1998/42/contents" TargetMode="External"/><Relationship Id="rId18" Type="http://schemas.openxmlformats.org/officeDocument/2006/relationships/hyperlink" Target="https://l.facebook.com/l.php?u=https%3A%2F%2Flegislation.gov.uk%2Fukpga%2F2005%2F9%2Fpart%2F1%3Ffbclid%3DIwAR0qhXW6yM1hn1PQ4ou5BRnpt5KQa_fF4cpSb3QLHzwWFaqex8UrnIkDxqQ&amp;h=AT0Z5EStQ8rzmBlrxe9RA_FSssahBezUyGAlCdicIznOPkWnEEA02fVeW6DNmczgpntdBGPVsWQFGF85BUS3jh3GWKC8FLZIbZiOXzISGaNkcT78Qbqz4dJm3bJAB4qyV-DgXw" TargetMode="External"/><Relationship Id="rId19" Type="http://schemas.openxmlformats.org/officeDocument/2006/relationships/hyperlink" Target="https://l.facebook.com/l.php?u=https%3A%2F%2Flegislation.gov.uk%2Fukpga%2F1989%2F41%2Fcontents%3Ffbclid%3DIwAR2PX8BV4ZnbNwlab4afZQ-F7o2CtrPig1hccH5Oqe8XGhkbempql2UQ4uk&amp;h=AT0Z5EStQ8rzmBlrxe9RA_FSssahBezUyGAlCdicIznOPkWnEEA02fVeW6DNmczgpntdBGPVsWQFGF85BUS3jh3GWKC8FLZIbZiOXzISGaNkcT78Qbqz4dJm3bJAB4qyV-DgXw" TargetMode="External"/><Relationship Id="rId20" Type="http://schemas.openxmlformats.org/officeDocument/2006/relationships/hyperlink" Target="https://www.northwalessafeguarding.wales/" TargetMode="External"/><Relationship Id="rId21" Type="http://schemas.openxmlformats.org/officeDocument/2006/relationships/hyperlink" Target="https://www.proceduresonline.com/" TargetMode="External"/><Relationship Id="rId22" Type="http://schemas.openxmlformats.org/officeDocument/2006/relationships/hyperlink" Target="https://www.legislation.gov.uk/anaw/2014/4/contents" TargetMode="External"/><Relationship Id="rId23" Type="http://schemas.openxmlformats.org/officeDocument/2006/relationships/hyperlink" Target="https://eur01.safelinks.protection.outlook.com/?url=https%3A%2F%2Fwww.safeguarding.wales%2F&amp;data=04|01||25fe3797f705482261de08d8edfebd9f|4e0f11f9046e45059cb8db2152311e21|0|0|637521026329735288|Unknown|TWFpbGZsb3d8eyJWIjoiMC4wLjAwMDAiLCJQIjoiV2luMzIiLCJBTiI6Ik1haWwiLCJXVCI6Mn0%3D|1000&amp;sdata=AGtGXhDri1i6MLNH1vtSTn3gjDsBVnisALbcTLOzSt0%3D&amp;reserved=0" TargetMode="External"/><Relationship Id="rId24" Type="http://schemas.openxmlformats.org/officeDocument/2006/relationships/hyperlink" Target="https://l.facebook.com/l.php?u=https%3A%2F%2Fphw.nhs.wales%2Ffiles%2Faces%2Fvoices-of-those-with-lived-experiences-of-homelessness-and-adversity-in-wales-informing-prevention-and-response-2019%2F%3Ffbclid%3DIwAR05zNK3VXVAAjaDzLuLa-arbUuAZkJlYXNU5_m0LNNFvM4PbeE11-1m_io&amp;h=AT0Z5EStQ8rzmBlrxe9RA_FSssahBezUyGAlCdicIznOPkWnEEA02fVeW6DNmczgpntdBGPVsWQFGF85BUS3jh3GWKC8FLZIbZiOXzISGaNkcT78Qbqz4dJm3bJAB4qyV-DgXw" TargetMode="External"/><Relationship Id="rId25" Type="http://schemas.openxmlformats.org/officeDocument/2006/relationships/hyperlink" Target="https://gov.wales/sites/default/files/publications/2019-02/integrated" TargetMode="External"/><Relationship Id="rId26" Type="http://schemas.openxmlformats.org/officeDocument/2006/relationships/hyperlink" Target="https://doi.org/10.1017/dmp.2020.109?fbclid=IwAR0q3xfRBNoCngWv5DhkqxTg_S1nPYAsW8Pzqrxty5DpllXZ6z3yHiOReSw" TargetMode="External"/><Relationship Id="rId27" Type="http://schemas.openxmlformats.org/officeDocument/2006/relationships/header" Target="header1.xml"/><Relationship Id="rId28" Type="http://schemas.openxmlformats.org/officeDocument/2006/relationships/footer" Target="footer1.xml"/><Relationship Id="rId29" Type="http://schemas.openxmlformats.org/officeDocument/2006/relationships/fontTable" Target="fontTable.xml"/><Relationship Id="rId30" Type="http://schemas.openxmlformats.org/officeDocument/2006/relationships/settings" Target="settings.xml"/><Relationship Id="rId31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Application>LibreOffice/7.0.3.1$Windows_X86_64 LibreOffice_project/d7547858d014d4cf69878db179d326fc3483e082</Application>
  <Pages>4</Pages>
  <Words>783</Words>
  <Characters>6167</Characters>
  <CharactersWithSpaces>6935</CharactersWithSpaces>
  <Paragraphs>40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2021-03-23T14:40:16Z</dcterms:created>
  <dc:creator>Rachel Lavina Jones (1402983)</dc:creator>
  <dc:description/>
  <dc:language>en-GB</dc:language>
  <cp:lastModifiedBy/>
  <dcterms:modified xsi:type="dcterms:W3CDTF">2021-03-26T13:46:43Z</dcterms:modified>
  <cp:revision>16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0</vt:bool>
  </property>
  <property fmtid="{D5CDD505-2E9C-101B-9397-08002B2CF9AE}" pid="5" name="LinksUpToDate">
    <vt:bool>0</vt:bool>
  </property>
  <property fmtid="{D5CDD505-2E9C-101B-9397-08002B2CF9AE}" pid="6" name="ScaleCrop">
    <vt:bool>0</vt:bool>
  </property>
  <property fmtid="{D5CDD505-2E9C-101B-9397-08002B2CF9AE}" pid="7" name="ShareDoc">
    <vt:bool>0</vt:bool>
  </property>
</Properties>
</file>