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9F6471" w14:textId="10CF242A" w:rsidR="00206B05" w:rsidRPr="00C476F9" w:rsidRDefault="00B00B3D" w:rsidP="00853FA6">
      <w:pPr>
        <w:spacing w:before="100" w:beforeAutospacing="1" w:after="100" w:afterAutospacing="1" w:line="240" w:lineRule="auto"/>
        <w:rPr>
          <w:rFonts w:ascii="Arial" w:eastAsia="Times New Roman" w:hAnsi="Arial" w:cs="Arial"/>
          <w:b/>
          <w:bCs/>
          <w:kern w:val="0"/>
          <w:sz w:val="36"/>
          <w:szCs w:val="36"/>
          <w:lang w:eastAsia="en-GB"/>
          <w14:ligatures w14:val="none"/>
        </w:rPr>
      </w:pPr>
      <w:r w:rsidRPr="00C476F9">
        <w:rPr>
          <w:rFonts w:ascii="Arial" w:eastAsia="Times New Roman" w:hAnsi="Arial" w:cs="Arial"/>
          <w:b/>
          <w:bCs/>
          <w:kern w:val="0"/>
          <w:sz w:val="36"/>
          <w:szCs w:val="36"/>
          <w:lang w:eastAsia="en-GB"/>
          <w14:ligatures w14:val="none"/>
        </w:rPr>
        <w:t xml:space="preserve">Student name/ ID </w:t>
      </w:r>
      <w:r w:rsidR="002A7B0B" w:rsidRPr="00C476F9">
        <w:rPr>
          <w:rFonts w:ascii="Arial" w:eastAsia="Times New Roman" w:hAnsi="Arial" w:cs="Arial"/>
          <w:b/>
          <w:bCs/>
          <w:kern w:val="0"/>
          <w:sz w:val="36"/>
          <w:szCs w:val="36"/>
          <w:lang w:eastAsia="en-GB"/>
          <w14:ligatures w14:val="none"/>
        </w:rPr>
        <w:t xml:space="preserve">               </w:t>
      </w:r>
      <w:r w:rsidRPr="00C476F9">
        <w:rPr>
          <w:rFonts w:ascii="Arial" w:eastAsia="Times New Roman" w:hAnsi="Arial" w:cs="Arial"/>
          <w:b/>
          <w:bCs/>
          <w:kern w:val="0"/>
          <w:sz w:val="36"/>
          <w:szCs w:val="36"/>
          <w:lang w:eastAsia="en-GB"/>
          <w14:ligatures w14:val="none"/>
        </w:rPr>
        <w:t xml:space="preserve"> Nasreen Akhtar 2132945</w:t>
      </w:r>
    </w:p>
    <w:p w14:paraId="6ACD7EB6" w14:textId="61CCF7E3" w:rsidR="00936700" w:rsidRPr="00C476F9" w:rsidRDefault="00936700" w:rsidP="00853FA6">
      <w:pPr>
        <w:spacing w:before="100" w:beforeAutospacing="1" w:after="100" w:afterAutospacing="1" w:line="240" w:lineRule="auto"/>
        <w:rPr>
          <w:rFonts w:ascii="Arial" w:eastAsia="Times New Roman" w:hAnsi="Arial" w:cs="Arial"/>
          <w:b/>
          <w:bCs/>
          <w:kern w:val="0"/>
          <w:sz w:val="36"/>
          <w:szCs w:val="36"/>
          <w:lang w:eastAsia="en-GB"/>
          <w14:ligatures w14:val="none"/>
        </w:rPr>
      </w:pPr>
      <w:r w:rsidRPr="00C476F9">
        <w:rPr>
          <w:rFonts w:ascii="Arial" w:eastAsia="Times New Roman" w:hAnsi="Arial" w:cs="Arial"/>
          <w:b/>
          <w:bCs/>
          <w:kern w:val="0"/>
          <w:sz w:val="36"/>
          <w:szCs w:val="36"/>
          <w:lang w:eastAsia="en-GB"/>
          <w14:ligatures w14:val="none"/>
        </w:rPr>
        <w:t xml:space="preserve">Module </w:t>
      </w:r>
      <w:r w:rsidR="00F16EFD" w:rsidRPr="00C476F9">
        <w:rPr>
          <w:rFonts w:ascii="Arial" w:eastAsia="Times New Roman" w:hAnsi="Arial" w:cs="Arial"/>
          <w:b/>
          <w:bCs/>
          <w:kern w:val="0"/>
          <w:sz w:val="36"/>
          <w:szCs w:val="36"/>
          <w:lang w:eastAsia="en-GB"/>
          <w14:ligatures w14:val="none"/>
        </w:rPr>
        <w:t xml:space="preserve"> </w:t>
      </w:r>
      <w:r w:rsidR="002A7B0B" w:rsidRPr="00C476F9">
        <w:rPr>
          <w:rFonts w:ascii="Arial" w:eastAsia="Times New Roman" w:hAnsi="Arial" w:cs="Arial"/>
          <w:b/>
          <w:bCs/>
          <w:kern w:val="0"/>
          <w:sz w:val="36"/>
          <w:szCs w:val="36"/>
          <w:lang w:eastAsia="en-GB"/>
          <w14:ligatures w14:val="none"/>
        </w:rPr>
        <w:t xml:space="preserve">                                 </w:t>
      </w:r>
      <w:r w:rsidR="00C17D44" w:rsidRPr="00C476F9">
        <w:rPr>
          <w:rFonts w:ascii="Arial" w:eastAsia="Times New Roman" w:hAnsi="Arial" w:cs="Arial"/>
          <w:b/>
          <w:bCs/>
          <w:kern w:val="0"/>
          <w:sz w:val="36"/>
          <w:szCs w:val="36"/>
          <w:lang w:eastAsia="en-GB"/>
          <w14:ligatures w14:val="none"/>
        </w:rPr>
        <w:t xml:space="preserve">Health wellbeing and Sustainable </w:t>
      </w:r>
      <w:r w:rsidR="00791132" w:rsidRPr="00C476F9">
        <w:rPr>
          <w:rFonts w:ascii="Arial" w:eastAsia="Times New Roman" w:hAnsi="Arial" w:cs="Arial"/>
          <w:b/>
          <w:bCs/>
          <w:kern w:val="0"/>
          <w:sz w:val="36"/>
          <w:szCs w:val="36"/>
          <w:lang w:eastAsia="en-GB"/>
          <w14:ligatures w14:val="none"/>
        </w:rPr>
        <w:t>Development</w:t>
      </w:r>
    </w:p>
    <w:p w14:paraId="2539688E" w14:textId="73A064CF" w:rsidR="00791132" w:rsidRPr="00C476F9" w:rsidRDefault="00791132" w:rsidP="00853FA6">
      <w:pPr>
        <w:spacing w:before="100" w:beforeAutospacing="1" w:after="100" w:afterAutospacing="1" w:line="240" w:lineRule="auto"/>
        <w:rPr>
          <w:rFonts w:ascii="Arial" w:eastAsia="Times New Roman" w:hAnsi="Arial" w:cs="Arial"/>
          <w:b/>
          <w:bCs/>
          <w:kern w:val="0"/>
          <w:sz w:val="36"/>
          <w:szCs w:val="36"/>
          <w:lang w:eastAsia="en-GB"/>
          <w14:ligatures w14:val="none"/>
        </w:rPr>
      </w:pPr>
      <w:r w:rsidRPr="00C476F9">
        <w:rPr>
          <w:rFonts w:ascii="Arial" w:eastAsia="Times New Roman" w:hAnsi="Arial" w:cs="Arial"/>
          <w:b/>
          <w:bCs/>
          <w:kern w:val="0"/>
          <w:sz w:val="36"/>
          <w:szCs w:val="36"/>
          <w:lang w:eastAsia="en-GB"/>
          <w14:ligatures w14:val="none"/>
        </w:rPr>
        <w:t>Module BMHP6021</w:t>
      </w:r>
      <w:r w:rsidR="002A7B0B" w:rsidRPr="00C476F9">
        <w:rPr>
          <w:rFonts w:ascii="Arial" w:eastAsia="Times New Roman" w:hAnsi="Arial" w:cs="Arial"/>
          <w:b/>
          <w:bCs/>
          <w:kern w:val="0"/>
          <w:sz w:val="36"/>
          <w:szCs w:val="36"/>
          <w:lang w:eastAsia="en-GB"/>
          <w14:ligatures w14:val="none"/>
        </w:rPr>
        <w:t xml:space="preserve">             </w:t>
      </w:r>
      <w:r w:rsidR="00473AB6" w:rsidRPr="00C476F9">
        <w:rPr>
          <w:rFonts w:ascii="Arial" w:eastAsia="Times New Roman" w:hAnsi="Arial" w:cs="Arial"/>
          <w:b/>
          <w:bCs/>
          <w:kern w:val="0"/>
          <w:sz w:val="36"/>
          <w:szCs w:val="36"/>
          <w:lang w:eastAsia="en-GB"/>
          <w14:ligatures w14:val="none"/>
        </w:rPr>
        <w:t>-RESIT</w:t>
      </w:r>
    </w:p>
    <w:p w14:paraId="5645EC2C" w14:textId="75AB06E4" w:rsidR="00473AB6" w:rsidRPr="00C476F9" w:rsidRDefault="00473AB6" w:rsidP="00853FA6">
      <w:pPr>
        <w:spacing w:before="100" w:beforeAutospacing="1" w:after="100" w:afterAutospacing="1" w:line="240" w:lineRule="auto"/>
        <w:rPr>
          <w:rFonts w:ascii="Arial" w:eastAsia="Times New Roman" w:hAnsi="Arial" w:cs="Arial"/>
          <w:b/>
          <w:bCs/>
          <w:kern w:val="0"/>
          <w:sz w:val="36"/>
          <w:szCs w:val="36"/>
          <w:lang w:eastAsia="en-GB"/>
          <w14:ligatures w14:val="none"/>
        </w:rPr>
      </w:pPr>
      <w:r w:rsidRPr="00C476F9">
        <w:rPr>
          <w:rFonts w:ascii="Arial" w:eastAsia="Times New Roman" w:hAnsi="Arial" w:cs="Arial"/>
          <w:b/>
          <w:bCs/>
          <w:kern w:val="0"/>
          <w:sz w:val="36"/>
          <w:szCs w:val="36"/>
          <w:lang w:eastAsia="en-GB"/>
          <w14:ligatures w14:val="none"/>
        </w:rPr>
        <w:t xml:space="preserve">Lecturer </w:t>
      </w:r>
      <w:r w:rsidR="00253B87" w:rsidRPr="00C476F9">
        <w:rPr>
          <w:rFonts w:ascii="Arial" w:eastAsia="Times New Roman" w:hAnsi="Arial" w:cs="Arial"/>
          <w:b/>
          <w:bCs/>
          <w:kern w:val="0"/>
          <w:sz w:val="36"/>
          <w:szCs w:val="36"/>
          <w:lang w:eastAsia="en-GB"/>
          <w14:ligatures w14:val="none"/>
        </w:rPr>
        <w:t xml:space="preserve">                                </w:t>
      </w:r>
      <w:r w:rsidRPr="00C476F9">
        <w:rPr>
          <w:rFonts w:ascii="Arial" w:eastAsia="Times New Roman" w:hAnsi="Arial" w:cs="Arial"/>
          <w:b/>
          <w:bCs/>
          <w:kern w:val="0"/>
          <w:sz w:val="36"/>
          <w:szCs w:val="36"/>
          <w:lang w:eastAsia="en-GB"/>
          <w14:ligatures w14:val="none"/>
        </w:rPr>
        <w:t>Chloe Harris</w:t>
      </w:r>
      <w:r w:rsidR="00CF5C0C" w:rsidRPr="00C476F9">
        <w:rPr>
          <w:rFonts w:ascii="Arial" w:eastAsia="Times New Roman" w:hAnsi="Arial" w:cs="Arial"/>
          <w:b/>
          <w:bCs/>
          <w:kern w:val="0"/>
          <w:sz w:val="36"/>
          <w:szCs w:val="36"/>
          <w:lang w:eastAsia="en-GB"/>
          <w14:ligatures w14:val="none"/>
        </w:rPr>
        <w:t xml:space="preserve"> &amp; Parese Ahmed</w:t>
      </w:r>
    </w:p>
    <w:p w14:paraId="201F2BA8" w14:textId="3D345C67" w:rsidR="00CF5C0C" w:rsidRPr="00C476F9" w:rsidRDefault="00CF5C0C" w:rsidP="00853FA6">
      <w:pPr>
        <w:spacing w:before="100" w:beforeAutospacing="1" w:after="100" w:afterAutospacing="1" w:line="240" w:lineRule="auto"/>
        <w:rPr>
          <w:rFonts w:ascii="Arial" w:eastAsia="Times New Roman" w:hAnsi="Arial" w:cs="Arial"/>
          <w:b/>
          <w:bCs/>
          <w:kern w:val="0"/>
          <w:sz w:val="36"/>
          <w:szCs w:val="36"/>
          <w:lang w:eastAsia="en-GB"/>
          <w14:ligatures w14:val="none"/>
        </w:rPr>
      </w:pPr>
      <w:r w:rsidRPr="00C476F9">
        <w:rPr>
          <w:rFonts w:ascii="Arial" w:eastAsia="Times New Roman" w:hAnsi="Arial" w:cs="Arial"/>
          <w:b/>
          <w:bCs/>
          <w:kern w:val="0"/>
          <w:sz w:val="36"/>
          <w:szCs w:val="36"/>
          <w:lang w:eastAsia="en-GB"/>
          <w14:ligatures w14:val="none"/>
        </w:rPr>
        <w:t xml:space="preserve">Assignment Title </w:t>
      </w:r>
      <w:r w:rsidR="00253B87" w:rsidRPr="00C476F9">
        <w:rPr>
          <w:rFonts w:ascii="Arial" w:eastAsia="Times New Roman" w:hAnsi="Arial" w:cs="Arial"/>
          <w:b/>
          <w:bCs/>
          <w:kern w:val="0"/>
          <w:sz w:val="36"/>
          <w:szCs w:val="36"/>
          <w:lang w:eastAsia="en-GB"/>
          <w14:ligatures w14:val="none"/>
        </w:rPr>
        <w:t xml:space="preserve">                  </w:t>
      </w:r>
      <w:r w:rsidR="002C17D9" w:rsidRPr="00C476F9">
        <w:rPr>
          <w:rFonts w:ascii="Arial" w:eastAsia="Times New Roman" w:hAnsi="Arial" w:cs="Arial"/>
          <w:b/>
          <w:bCs/>
          <w:kern w:val="0"/>
          <w:sz w:val="36"/>
          <w:szCs w:val="36"/>
          <w:lang w:eastAsia="en-GB"/>
          <w14:ligatures w14:val="none"/>
        </w:rPr>
        <w:t>Written Report</w:t>
      </w:r>
    </w:p>
    <w:p w14:paraId="77E202D2" w14:textId="77777777" w:rsidR="00853FA6" w:rsidRPr="00853FA6" w:rsidRDefault="00853FA6" w:rsidP="00853FA6">
      <w:pPr>
        <w:spacing w:after="0" w:line="240" w:lineRule="auto"/>
        <w:rPr>
          <w:rFonts w:ascii="Times New Roman" w:eastAsia="Times New Roman" w:hAnsi="Times New Roman" w:cs="Times New Roman"/>
          <w:kern w:val="0"/>
          <w:lang w:eastAsia="en-GB"/>
          <w14:ligatures w14:val="none"/>
        </w:rPr>
      </w:pPr>
      <w:r w:rsidRPr="00853FA6">
        <w:rPr>
          <w:rFonts w:ascii="Times New Roman" w:eastAsia="Times New Roman" w:hAnsi="Times New Roman" w:cs="Times New Roman"/>
          <w:kern w:val="0"/>
          <w:lang w:eastAsia="en-GB"/>
          <w14:ligatures w14:val="none"/>
        </w:rPr>
        <w:pict w14:anchorId="2C5020EC">
          <v:rect id="_x0000_i1025" style="width:0;height:1.5pt" o:hralign="center" o:hrstd="t" o:hr="t" fillcolor="#a0a0a0" stroked="f"/>
        </w:pict>
      </w:r>
    </w:p>
    <w:p w14:paraId="34931EDC" w14:textId="77777777" w:rsidR="00853FA6" w:rsidRDefault="00853FA6" w:rsidP="00853FA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53FA6">
        <w:rPr>
          <w:rFonts w:ascii="Times New Roman" w:eastAsia="Times New Roman" w:hAnsi="Times New Roman" w:cs="Times New Roman"/>
          <w:b/>
          <w:bCs/>
          <w:kern w:val="0"/>
          <w:sz w:val="36"/>
          <w:szCs w:val="36"/>
          <w:lang w:eastAsia="en-GB"/>
          <w14:ligatures w14:val="none"/>
        </w:rPr>
        <w:t>Contents Page</w:t>
      </w:r>
    </w:p>
    <w:p w14:paraId="644E571F" w14:textId="4716D21E" w:rsidR="00E6184B" w:rsidRPr="00E6184B" w:rsidRDefault="00E6184B" w:rsidP="00E6184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C7137C6" w14:textId="77777777" w:rsidR="00E6184B" w:rsidRPr="00E6184B" w:rsidRDefault="00E6184B" w:rsidP="00E6184B">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b/>
          <w:bCs/>
          <w:kern w:val="0"/>
          <w:lang w:eastAsia="en-GB"/>
          <w14:ligatures w14:val="none"/>
        </w:rPr>
        <w:t>Introduction</w:t>
      </w:r>
    </w:p>
    <w:p w14:paraId="0E7575E8"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Overview of SDGs</w:t>
      </w:r>
    </w:p>
    <w:p w14:paraId="4B3909FD" w14:textId="77777777" w:rsid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Focus on SDG 1 (No Poverty) and SDG 3 (Good Health and Wellbeing)</w:t>
      </w:r>
    </w:p>
    <w:p w14:paraId="5A334D13" w14:textId="712CD68A" w:rsidR="00C77121" w:rsidRPr="00E6184B" w:rsidRDefault="00C77121"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Introduction to concepts</w:t>
      </w:r>
    </w:p>
    <w:p w14:paraId="66411E67" w14:textId="77777777" w:rsidR="00E6184B" w:rsidRPr="00E6184B" w:rsidRDefault="00E6184B" w:rsidP="00E6184B">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b/>
          <w:bCs/>
          <w:kern w:val="0"/>
          <w:lang w:eastAsia="en-GB"/>
          <w14:ligatures w14:val="none"/>
        </w:rPr>
        <w:t>Goal A: No Poverty (SDG 1)</w:t>
      </w:r>
    </w:p>
    <w:p w14:paraId="6B383A0B"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Overview of SDG 1</w:t>
      </w:r>
    </w:p>
    <w:p w14:paraId="6717B606"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Poverty and its Impact on Health, Education, and Wellbeing</w:t>
      </w:r>
    </w:p>
    <w:p w14:paraId="13AEF21A"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Strategies in the UK to Reduce Poverty</w:t>
      </w:r>
    </w:p>
    <w:p w14:paraId="398A94D4"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Universal Credit</w:t>
      </w:r>
    </w:p>
    <w:p w14:paraId="147C6A80"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National Living Wage</w:t>
      </w:r>
    </w:p>
    <w:p w14:paraId="040E700B"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Strengths and Weaknesses of Key Strategies</w:t>
      </w:r>
    </w:p>
    <w:p w14:paraId="38ED0AAC"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Universal Credit</w:t>
      </w:r>
    </w:p>
    <w:p w14:paraId="78BF368E"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National Living Wage</w:t>
      </w:r>
    </w:p>
    <w:p w14:paraId="5A9CF021"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Structural and Socioeconomic Challenges</w:t>
      </w:r>
    </w:p>
    <w:p w14:paraId="51B4F648"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Economic Inequality</w:t>
      </w:r>
    </w:p>
    <w:p w14:paraId="26590F42"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Housing Crisis</w:t>
      </w:r>
    </w:p>
    <w:p w14:paraId="41AB2E6B"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Wage Stagnation and Inflation</w:t>
      </w:r>
    </w:p>
    <w:p w14:paraId="5F2097BC"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Digital Divide</w:t>
      </w:r>
    </w:p>
    <w:p w14:paraId="0069F179"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Recommendations for Addressing Challenges</w:t>
      </w:r>
    </w:p>
    <w:p w14:paraId="7B617131"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Increase Social Support Funding</w:t>
      </w:r>
    </w:p>
    <w:p w14:paraId="64405485"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Strengthen Job Creation and Economic Opportunities</w:t>
      </w:r>
    </w:p>
    <w:p w14:paraId="12F753F3"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Expand Affordable Housing</w:t>
      </w:r>
    </w:p>
    <w:p w14:paraId="355C5EC1"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Raise the National Living Wage</w:t>
      </w:r>
    </w:p>
    <w:p w14:paraId="33ABE4E9"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Introduce Universal Basic Income (UBI)</w:t>
      </w:r>
    </w:p>
    <w:p w14:paraId="64798D78"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Tackle Educational Inequality</w:t>
      </w:r>
    </w:p>
    <w:p w14:paraId="263511BB"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Address the Digital Divide</w:t>
      </w:r>
    </w:p>
    <w:p w14:paraId="5CF6044E" w14:textId="77777777" w:rsidR="00E6184B" w:rsidRPr="00E6184B" w:rsidRDefault="00E6184B" w:rsidP="00E6184B">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b/>
          <w:bCs/>
          <w:kern w:val="0"/>
          <w:lang w:eastAsia="en-GB"/>
          <w14:ligatures w14:val="none"/>
        </w:rPr>
        <w:t>Goal B: Good Health and Wellbeing (SDG 3)</w:t>
      </w:r>
    </w:p>
    <w:p w14:paraId="65100837"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Overview of SDG 3</w:t>
      </w:r>
    </w:p>
    <w:p w14:paraId="331804B1"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Health and Wellbeing in the UK</w:t>
      </w:r>
    </w:p>
    <w:p w14:paraId="3B78C48E"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NHS Long Term Plan</w:t>
      </w:r>
    </w:p>
    <w:p w14:paraId="231955A7"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Public Health England Initiatives</w:t>
      </w:r>
    </w:p>
    <w:p w14:paraId="1DF7A7E2"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Evaluation of Strategies</w:t>
      </w:r>
    </w:p>
    <w:p w14:paraId="40F05621"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NHS Long Term Plan</w:t>
      </w:r>
    </w:p>
    <w:p w14:paraId="5F24FF56"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Public Health England’s Programmes</w:t>
      </w:r>
    </w:p>
    <w:p w14:paraId="29646DCB"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Challenges in Achieving SDG 3</w:t>
      </w:r>
    </w:p>
    <w:p w14:paraId="0CD4DFA3"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NHS Funding and Workforce Shortages</w:t>
      </w:r>
    </w:p>
    <w:p w14:paraId="5D94305A"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Health Inequalities and Social Determinants</w:t>
      </w:r>
    </w:p>
    <w:p w14:paraId="190FD91F"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COVID-19 Pandemic Impact</w:t>
      </w:r>
    </w:p>
    <w:p w14:paraId="1009275F"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Recommendations for Achieving SDG 3</w:t>
      </w:r>
    </w:p>
    <w:p w14:paraId="4A382853"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Increase NHS Funding and Preventative Healthcare</w:t>
      </w:r>
    </w:p>
    <w:p w14:paraId="676FD68F"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Tackle Social Determinants of Health</w:t>
      </w:r>
    </w:p>
    <w:p w14:paraId="4887270E"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Expand Mental Health Services</w:t>
      </w:r>
    </w:p>
    <w:p w14:paraId="03F22EA3" w14:textId="77777777" w:rsidR="00E6184B" w:rsidRPr="00E6184B" w:rsidRDefault="00E6184B" w:rsidP="00E6184B">
      <w:pPr>
        <w:numPr>
          <w:ilvl w:val="2"/>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Address Health Inequalities through Targeted Interventions</w:t>
      </w:r>
    </w:p>
    <w:p w14:paraId="7CF3E1ED" w14:textId="77777777" w:rsidR="00E6184B" w:rsidRPr="00E6184B" w:rsidRDefault="00E6184B" w:rsidP="00E6184B">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b/>
          <w:bCs/>
          <w:kern w:val="0"/>
          <w:lang w:eastAsia="en-GB"/>
          <w14:ligatures w14:val="none"/>
        </w:rPr>
        <w:t>Conclusion</w:t>
      </w:r>
    </w:p>
    <w:p w14:paraId="332F4293" w14:textId="77777777" w:rsidR="00E6184B" w:rsidRP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Summary of Key Challenges and Recommendations</w:t>
      </w:r>
    </w:p>
    <w:p w14:paraId="3719D672" w14:textId="77777777" w:rsidR="00E6184B" w:rsidRDefault="00E6184B" w:rsidP="00C77121">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r w:rsidRPr="00E6184B">
        <w:rPr>
          <w:rFonts w:ascii="Times New Roman" w:eastAsia="Times New Roman" w:hAnsi="Times New Roman" w:cs="Times New Roman"/>
          <w:kern w:val="0"/>
          <w:lang w:eastAsia="en-GB"/>
          <w14:ligatures w14:val="none"/>
        </w:rPr>
        <w:t>Importance of Comprehensive Approaches in Achieving SDGs</w:t>
      </w:r>
    </w:p>
    <w:p w14:paraId="126DDE42" w14:textId="4E95834D" w:rsidR="00C77121" w:rsidRPr="00BD4A92" w:rsidRDefault="00C13758" w:rsidP="00C13758">
      <w:pPr>
        <w:pStyle w:val="ListParagraph"/>
        <w:numPr>
          <w:ilvl w:val="0"/>
          <w:numId w:val="4"/>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BD4A92">
        <w:rPr>
          <w:rFonts w:ascii="Times New Roman" w:eastAsia="Times New Roman" w:hAnsi="Times New Roman" w:cs="Times New Roman"/>
          <w:b/>
          <w:bCs/>
          <w:kern w:val="0"/>
          <w:lang w:eastAsia="en-GB"/>
          <w14:ligatures w14:val="none"/>
        </w:rPr>
        <w:t xml:space="preserve"> R</w:t>
      </w:r>
      <w:r w:rsidR="00BD4A92" w:rsidRPr="00BD4A92">
        <w:rPr>
          <w:rFonts w:ascii="Times New Roman" w:eastAsia="Times New Roman" w:hAnsi="Times New Roman" w:cs="Times New Roman"/>
          <w:b/>
          <w:bCs/>
          <w:kern w:val="0"/>
          <w:lang w:eastAsia="en-GB"/>
          <w14:ligatures w14:val="none"/>
        </w:rPr>
        <w:t>eferences</w:t>
      </w:r>
    </w:p>
    <w:p w14:paraId="3DA2DAFD" w14:textId="77777777" w:rsidR="00E6184B" w:rsidRPr="00BD4A92" w:rsidRDefault="00E6184B" w:rsidP="00853FA6">
      <w:pPr>
        <w:spacing w:before="100" w:beforeAutospacing="1" w:after="100" w:afterAutospacing="1" w:line="240" w:lineRule="auto"/>
        <w:outlineLvl w:val="1"/>
        <w:rPr>
          <w:rFonts w:ascii="Times New Roman" w:eastAsia="Times New Roman" w:hAnsi="Times New Roman" w:cs="Times New Roman"/>
          <w:kern w:val="0"/>
          <w:sz w:val="36"/>
          <w:szCs w:val="36"/>
          <w:lang w:eastAsia="en-GB"/>
          <w14:ligatures w14:val="none"/>
        </w:rPr>
      </w:pPr>
    </w:p>
    <w:p w14:paraId="613404CA" w14:textId="77777777" w:rsidR="00552259" w:rsidRPr="00BA771C" w:rsidRDefault="00552259" w:rsidP="00BA771C">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552259">
        <w:rPr>
          <w:rFonts w:ascii="Arial" w:eastAsia="Times New Roman" w:hAnsi="Arial" w:cs="Arial"/>
          <w:b/>
          <w:bCs/>
          <w:kern w:val="0"/>
          <w:sz w:val="22"/>
          <w:szCs w:val="22"/>
          <w:lang w:eastAsia="en-GB"/>
          <w14:ligatures w14:val="none"/>
        </w:rPr>
        <w:t>National Health Service (NHS) Chief Report: Progress on Sustainable Development Goals</w:t>
      </w:r>
    </w:p>
    <w:p w14:paraId="25EB3E78" w14:textId="77777777" w:rsidR="00CE08FF" w:rsidRPr="00CE08FF" w:rsidRDefault="00CE08FF"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CE08FF">
        <w:rPr>
          <w:rFonts w:ascii="Arial" w:eastAsia="Times New Roman" w:hAnsi="Arial" w:cs="Arial"/>
          <w:b/>
          <w:bCs/>
          <w:kern w:val="0"/>
          <w:sz w:val="22"/>
          <w:szCs w:val="22"/>
          <w:lang w:eastAsia="en-GB"/>
          <w14:ligatures w14:val="none"/>
        </w:rPr>
        <w:t>Introduction</w:t>
      </w:r>
    </w:p>
    <w:p w14:paraId="411F3F64" w14:textId="77777777" w:rsidR="009D6DE5" w:rsidRPr="009D6DE5" w:rsidRDefault="009D6DE5"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9D6DE5">
        <w:rPr>
          <w:rFonts w:ascii="Arial" w:eastAsia="Times New Roman" w:hAnsi="Arial" w:cs="Arial"/>
          <w:kern w:val="0"/>
          <w:sz w:val="22"/>
          <w:szCs w:val="22"/>
          <w:lang w:eastAsia="en-GB"/>
          <w14:ligatures w14:val="none"/>
        </w:rPr>
        <w:t>This report is addressed to the Chief Executive of the National Health Service (NHS) and offers a comprehensive analysis of the United Kingdom’s progress towards achieving two pivotal Sustainable Development Goals (SDGs): No Poverty (SDG 1) and Good Health and Wellbeing (SDG 3). These goals are fundamental in shaping a more equitable and sustainable society, ensuring that every individual has the opportunity to lead a healthy, prosperous life. As we move towards 2030, the successful attainment of these SDGs will be a crucial measure of the UK’s commitment to reducing poverty, improving health outcomes, and promoting wellbeing across all segments of society.</w:t>
      </w:r>
    </w:p>
    <w:p w14:paraId="66CFA755" w14:textId="77777777" w:rsidR="009D6DE5" w:rsidRPr="009D6DE5" w:rsidRDefault="009D6DE5"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9D6DE5">
        <w:rPr>
          <w:rFonts w:ascii="Arial" w:eastAsia="Times New Roman" w:hAnsi="Arial" w:cs="Arial"/>
          <w:kern w:val="0"/>
          <w:sz w:val="22"/>
          <w:szCs w:val="22"/>
          <w:lang w:eastAsia="en-GB"/>
          <w14:ligatures w14:val="none"/>
        </w:rPr>
        <w:t>SDG 1, No Poverty, calls for an end to extreme poverty, with a focus on ensuring equal access to resources and opportunities for all individuals, particularly those in vulnerable situations. Similarly, SDG 3, Good Health and Wellbeing, aims to ensure healthy lives and promote wellbeing for all at all ages, addressing not just the treatment of illness but also preventive measures, mental health, and the broader determinants of health. These objectives are inextricably linked, as poverty is both a cause and a consequence of poor health outcomes, and vice versa.</w:t>
      </w:r>
    </w:p>
    <w:p w14:paraId="47535713" w14:textId="77777777" w:rsidR="009D6DE5" w:rsidRPr="009D6DE5" w:rsidRDefault="009D6DE5"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9D6DE5">
        <w:rPr>
          <w:rFonts w:ascii="Arial" w:eastAsia="Times New Roman" w:hAnsi="Arial" w:cs="Arial"/>
          <w:kern w:val="0"/>
          <w:sz w:val="22"/>
          <w:szCs w:val="22"/>
          <w:lang w:eastAsia="en-GB"/>
          <w14:ligatures w14:val="none"/>
        </w:rPr>
        <w:t>The report evaluates the effectiveness of key government policies, programmes, and initiatives designed to achieve these goals. It critically examines how various strategies have been implemented across different sectors, including health, education, social services, and housing. Specific programmes, such as Universal Credit, public health interventions, and mental health services, are scrutinised to assess their contributions to reducing poverty and improving public health.</w:t>
      </w:r>
    </w:p>
    <w:p w14:paraId="63403CA8" w14:textId="77777777" w:rsidR="009D6DE5" w:rsidRPr="009D6DE5" w:rsidRDefault="009D6DE5"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9D6DE5">
        <w:rPr>
          <w:rFonts w:ascii="Arial" w:eastAsia="Times New Roman" w:hAnsi="Arial" w:cs="Arial"/>
          <w:kern w:val="0"/>
          <w:sz w:val="22"/>
          <w:szCs w:val="22"/>
          <w:lang w:eastAsia="en-GB"/>
          <w14:ligatures w14:val="none"/>
        </w:rPr>
        <w:t>However, despite notable efforts to reduce poverty and improve health, significant challenges remain. The report highlights the persistent inequalities in wealth distribution, particularly in certain regions, and examines how social determinants such as education, housing, and employment influence health outcomes. Additionally, it delves into the ongoing disparities in healthcare access, especially in deprived areas, where there may be limited access to healthcare facilities, high levels of preventable diseases, and unequal treatment based on socio-economic factors.</w:t>
      </w:r>
    </w:p>
    <w:p w14:paraId="3263E12F" w14:textId="77777777" w:rsidR="009D6DE5" w:rsidRPr="00BA771C" w:rsidRDefault="009D6DE5"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9D6DE5">
        <w:rPr>
          <w:rFonts w:ascii="Arial" w:eastAsia="Times New Roman" w:hAnsi="Arial" w:cs="Arial"/>
          <w:kern w:val="0"/>
          <w:sz w:val="22"/>
          <w:szCs w:val="22"/>
          <w:lang w:eastAsia="en-GB"/>
          <w14:ligatures w14:val="none"/>
        </w:rPr>
        <w:t>Furthermore, this report identifies key challenges within the healthcare system, such as the pressures faced by the NHS, the rising costs of healthcare provision, the impact of an ageing population, and the strain caused by socio-economic inequalities. The unequal distribution of healthcare resources and workforce, alongside regional variations in service provision, are crucial factors that hinder the achievement of SDG 3. These issues have been exacerbated by the COVID-19 pandemic, which disproportionately affected vulnerable populations, thereby furthering existing disparities.</w:t>
      </w:r>
    </w:p>
    <w:p w14:paraId="7F88940C" w14:textId="62376F9D" w:rsidR="00BA771C" w:rsidRPr="00BA771C" w:rsidRDefault="009D6DE5"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9D6DE5">
        <w:rPr>
          <w:rFonts w:ascii="Arial" w:eastAsia="Times New Roman" w:hAnsi="Arial" w:cs="Arial"/>
          <w:kern w:val="0"/>
          <w:sz w:val="22"/>
          <w:szCs w:val="22"/>
          <w:lang w:eastAsia="en-GB"/>
          <w14:ligatures w14:val="none"/>
        </w:rPr>
        <w:t>.</w:t>
      </w:r>
      <w:r w:rsidR="00BA771C" w:rsidRPr="00BA771C">
        <w:rPr>
          <w:rFonts w:ascii="Arial" w:eastAsia="Times New Roman" w:hAnsi="Arial" w:cs="Arial"/>
          <w:b/>
          <w:bCs/>
          <w:kern w:val="0"/>
          <w:sz w:val="22"/>
          <w:szCs w:val="22"/>
          <w:lang w:eastAsia="en-GB"/>
          <w14:ligatures w14:val="none"/>
        </w:rPr>
        <w:t xml:space="preserve"> </w:t>
      </w:r>
      <w:r w:rsidR="00BA771C" w:rsidRPr="00BA771C">
        <w:rPr>
          <w:rFonts w:ascii="Arial" w:eastAsia="Times New Roman" w:hAnsi="Arial" w:cs="Arial"/>
          <w:b/>
          <w:bCs/>
          <w:kern w:val="0"/>
          <w:sz w:val="22"/>
          <w:szCs w:val="22"/>
          <w:lang w:eastAsia="en-GB"/>
          <w14:ligatures w14:val="none"/>
        </w:rPr>
        <w:t>Introduction to Key Concepts</w:t>
      </w:r>
    </w:p>
    <w:p w14:paraId="35A48CE4" w14:textId="77777777" w:rsidR="00BA771C" w:rsidRPr="00BA771C" w:rsidRDefault="00BA771C"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BA771C">
        <w:rPr>
          <w:rFonts w:ascii="Arial" w:eastAsia="Times New Roman" w:hAnsi="Arial" w:cs="Arial"/>
          <w:kern w:val="0"/>
          <w:sz w:val="22"/>
          <w:szCs w:val="22"/>
          <w:lang w:eastAsia="en-GB"/>
          <w14:ligatures w14:val="none"/>
        </w:rPr>
        <w:t>Wellbeing is an all-encompassing concept that includes not just physical and mental health but also social and emotional health. It refers to an individual’s or a community’s overall state of happiness, satisfaction, and functioning in life, which is influenced by various determinants. These determinants include income, education, housing, environmental factors, work-life balance, access to healthcare, and social connections (Dolan, Layard &amp; Metcalfe, 2011). Wellbeing can be broken down into subjective and objective components—subjective wellbeing refers to how individuals perceive their own quality of life and happiness, while objective wellbeing focuses on tangible factors such as living standards, economic opportunities, and health outcomes. It is essential to consider both perspectives when assessing the wellbeing of individuals or communities. Wellbeing is increasingly seen as a central goal of public policy and is linked to both individual success and societal progress. It extends beyond just the absence of disease and encompasses positive experiences such as social inclusion, emotional resilience, and community engagement.</w:t>
      </w:r>
    </w:p>
    <w:p w14:paraId="04BDDC7A" w14:textId="77777777" w:rsidR="00BA771C" w:rsidRPr="00BA771C" w:rsidRDefault="00BA771C"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BA771C">
        <w:rPr>
          <w:rFonts w:ascii="Arial" w:eastAsia="Times New Roman" w:hAnsi="Arial" w:cs="Arial"/>
          <w:kern w:val="0"/>
          <w:sz w:val="22"/>
          <w:szCs w:val="22"/>
          <w:lang w:eastAsia="en-GB"/>
          <w14:ligatures w14:val="none"/>
        </w:rPr>
        <w:t>Sustainable development, as articulated in the Brundtland Report (1987), is development that ensures the needs of the present are met without compromising the ability of future generations to meet their own needs. This concept recognises that development must be inclusive and equitable, ensuring that both environmental sustainability and social justice are integral parts of the growth process. Sustainable development is based on three main pillars: economic growth, social inclusion, and environmental protection. It requires balancing short-term development goals with long-term sustainability, which often involves challenging traditional models of economic growth that rely on the over-exploitation of natural resources. The long-term preservation of ecosystems, alongside human wellbeing, is vital to ensuring that future generations can thrive. Sustainable development involves strategies for promoting clean energy, protecting biodiversity, reducing carbon emissions, and addressing inequality in access to resources, among other considerations.</w:t>
      </w:r>
    </w:p>
    <w:p w14:paraId="02BFD90A" w14:textId="77777777" w:rsidR="00BA771C" w:rsidRPr="00BA771C" w:rsidRDefault="00BA771C"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BA771C">
        <w:rPr>
          <w:rFonts w:ascii="Arial" w:eastAsia="Times New Roman" w:hAnsi="Arial" w:cs="Arial"/>
          <w:kern w:val="0"/>
          <w:sz w:val="22"/>
          <w:szCs w:val="22"/>
          <w:lang w:eastAsia="en-GB"/>
          <w14:ligatures w14:val="none"/>
        </w:rPr>
        <w:t>Health is at the heart of sustainable development, influencing both the quality and longevity of life. A healthy population is fundamental to economic productivity and social stability. Improvements in public health reduce the burden of disease, decrease healthcare costs, and increase life expectancy, contributing to a stronger workforce and a more productive economy. The World Health Organization (WHO, 2015) emphasises that health is influenced not only by individual behaviour and access to medical care but also by the wider social, economic, and environmental context in which people live. Addressing issues such as poverty, poor housing, inadequate education, and environmental degradation is vital to improving overall health outcomes. Healthy environments, including clean air, water, and safe living spaces, are essential components of both individual and collective wellbeing.</w:t>
      </w:r>
    </w:p>
    <w:p w14:paraId="14F60843" w14:textId="77777777" w:rsidR="00BA771C" w:rsidRPr="00BA771C" w:rsidRDefault="00BA771C"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BA771C">
        <w:rPr>
          <w:rFonts w:ascii="Arial" w:eastAsia="Times New Roman" w:hAnsi="Arial" w:cs="Arial"/>
          <w:kern w:val="0"/>
          <w:sz w:val="22"/>
          <w:szCs w:val="22"/>
          <w:lang w:eastAsia="en-GB"/>
          <w14:ligatures w14:val="none"/>
        </w:rPr>
        <w:t xml:space="preserve">The United Nations Sustainable Development Goals (SDGs), adopted in 2015, are a comprehensive set of 17 global goals aimed at tackling the world’s most pressing challenges. These goals cover areas such as poverty, inequality, environmental sustainability, economic growth, and peace and justice (United Nations, 2015). The SDGs were established to be universal, addressing the needs of both developed and developing countries, while </w:t>
      </w:r>
      <w:proofErr w:type="gramStart"/>
      <w:r w:rsidRPr="00BA771C">
        <w:rPr>
          <w:rFonts w:ascii="Arial" w:eastAsia="Times New Roman" w:hAnsi="Arial" w:cs="Arial"/>
          <w:kern w:val="0"/>
          <w:sz w:val="22"/>
          <w:szCs w:val="22"/>
          <w:lang w:eastAsia="en-GB"/>
          <w14:ligatures w14:val="none"/>
        </w:rPr>
        <w:t>taking into account</w:t>
      </w:r>
      <w:proofErr w:type="gramEnd"/>
      <w:r w:rsidRPr="00BA771C">
        <w:rPr>
          <w:rFonts w:ascii="Arial" w:eastAsia="Times New Roman" w:hAnsi="Arial" w:cs="Arial"/>
          <w:kern w:val="0"/>
          <w:sz w:val="22"/>
          <w:szCs w:val="22"/>
          <w:lang w:eastAsia="en-GB"/>
          <w14:ligatures w14:val="none"/>
        </w:rPr>
        <w:t xml:space="preserve"> local contexts, capabilities, and challenges. They are interconnected, meaning that progress in one area often leads to improvements in others, and failure to achieve one goal can impede the progress of others. For example, efforts to reduce poverty can help improve access to education and healthcare, which, in turn, enhance individual wellbeing and economic opportunities.</w:t>
      </w:r>
    </w:p>
    <w:p w14:paraId="3DA7AB96" w14:textId="77777777" w:rsidR="00BA771C" w:rsidRPr="00BA771C" w:rsidRDefault="00BA771C"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BA771C">
        <w:rPr>
          <w:rFonts w:ascii="Arial" w:eastAsia="Times New Roman" w:hAnsi="Arial" w:cs="Arial"/>
          <w:kern w:val="0"/>
          <w:sz w:val="22"/>
          <w:szCs w:val="22"/>
          <w:lang w:eastAsia="en-GB"/>
          <w14:ligatures w14:val="none"/>
        </w:rPr>
        <w:t>The SDGs are of critical importance in the UK, as they align with the country’s own social, economic, and environmental challenges. For instance, the UK government has made commitments to tackle poverty, promote inclusive growth, reduce inequality, and protect the environment. However, achieving these ambitious goals remains a complex challenge. Economic constraints, such as austerity measures and slow economic growth, limit the resources available to address these issues. Structural inequalities, particularly those related to income, education, and employment opportunities, continue to persist and disproportionately affect certain groups, such as ethnic minorities, women, and people living in disadvantaged regions (UK Parliament, 2021). Moreover, the UK faces significant challenges in areas such as climate change, energy transition, and social care, which are key elements of the SDGs. For example, meeting the UK’s net-zero carbon emissions target by 2050 will require substantial investment in renewable energy, infrastructure, and policy reforms, which may strain public resources in the short term.</w:t>
      </w:r>
    </w:p>
    <w:p w14:paraId="646E81A4" w14:textId="77777777" w:rsidR="00BA771C" w:rsidRPr="00BA771C" w:rsidRDefault="00BA771C"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BA771C">
        <w:rPr>
          <w:rFonts w:ascii="Arial" w:eastAsia="Times New Roman" w:hAnsi="Arial" w:cs="Arial"/>
          <w:kern w:val="0"/>
          <w:sz w:val="22"/>
          <w:szCs w:val="22"/>
          <w:lang w:eastAsia="en-GB"/>
          <w14:ligatures w14:val="none"/>
        </w:rPr>
        <w:t>A key aspect of the SDGs is ensuring that no one is left behind, which aligns with the concept of inclusivity in sustainable development. The SDGs call for the reduction of inequality both within and between countries, focusing on the most marginalised and vulnerable populations. This is particularly relevant to the UK, where regional disparities, rural-urban divides, and differences in access to healthcare and education remain persistent problems. The COVID-19 pandemic has exacerbated many of these existing inequalities, highlighting the need for urgent action to address disparities in health outcomes, social protection, and access to economic opportunities.</w:t>
      </w:r>
    </w:p>
    <w:p w14:paraId="7E705CD9" w14:textId="77777777" w:rsidR="00BA771C" w:rsidRPr="00BA771C" w:rsidRDefault="00BA771C"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BA771C">
        <w:rPr>
          <w:rFonts w:ascii="Arial" w:eastAsia="Times New Roman" w:hAnsi="Arial" w:cs="Arial"/>
          <w:kern w:val="0"/>
          <w:sz w:val="22"/>
          <w:szCs w:val="22"/>
          <w:lang w:eastAsia="en-GB"/>
          <w14:ligatures w14:val="none"/>
        </w:rPr>
        <w:t>The importance of addressing health disparities cannot be overstated when considering sustainable development. Health inequalities are closely linked to wider social and economic inequalities, and addressing these issues is essential to achieving both the SDGs and national wellbeing goals. Policies designed to improve access to quality healthcare, reduce poverty, improve housing, and ensure adequate nutrition are all vital to the achievement of the SDGs. Additionally, health systems must be resilient and capable of responding to both current and future health challenges, such as pandemics and the growing burden of non-communicable diseases like heart disease, diabetes, and mental health disorders.</w:t>
      </w:r>
    </w:p>
    <w:p w14:paraId="37A6DCBB" w14:textId="77777777" w:rsidR="00BA771C" w:rsidRPr="00BA771C" w:rsidRDefault="00BA771C" w:rsidP="00BA771C">
      <w:pPr>
        <w:spacing w:before="100" w:beforeAutospacing="1" w:after="100" w:afterAutospacing="1" w:line="360" w:lineRule="auto"/>
        <w:rPr>
          <w:rFonts w:ascii="Arial" w:eastAsia="Times New Roman" w:hAnsi="Arial" w:cs="Arial"/>
          <w:kern w:val="0"/>
          <w:sz w:val="22"/>
          <w:szCs w:val="22"/>
          <w:lang w:eastAsia="en-GB"/>
          <w14:ligatures w14:val="none"/>
        </w:rPr>
      </w:pPr>
      <w:r w:rsidRPr="00BA771C">
        <w:rPr>
          <w:rFonts w:ascii="Arial" w:eastAsia="Times New Roman" w:hAnsi="Arial" w:cs="Arial"/>
          <w:kern w:val="0"/>
          <w:sz w:val="22"/>
          <w:szCs w:val="22"/>
          <w:lang w:eastAsia="en-GB"/>
          <w14:ligatures w14:val="none"/>
        </w:rPr>
        <w:t>In conclusion, the relationship between wellbeing, sustainable development, and health is deeply interconnected. The SDGs offer a roadmap for global progress, but their successful implementation requires a holistic approach that integrates environmental, economic, and social considerations. Achieving the SDGs will require tackling complex challenges such as economic inequality, environmental degradation, and health disparities. National governments, the private sector, civil society, and individuals all have roles to play in this transformative process. In the UK, while progress has been made, further efforts are needed to overcome the barriers to achieving these goals. Collaboration, innovation, and sustained commitment are essential to creating a more equitable, healthy, and sustainable world for all.</w:t>
      </w:r>
    </w:p>
    <w:p w14:paraId="069B68B0" w14:textId="176EBAFE" w:rsidR="009D6DE5" w:rsidRPr="009D6DE5" w:rsidRDefault="009D6DE5" w:rsidP="00BA771C">
      <w:pPr>
        <w:spacing w:before="100" w:beforeAutospacing="1" w:after="100" w:afterAutospacing="1" w:line="360" w:lineRule="auto"/>
        <w:rPr>
          <w:rFonts w:ascii="Arial" w:eastAsia="Times New Roman" w:hAnsi="Arial" w:cs="Arial"/>
          <w:kern w:val="0"/>
          <w:sz w:val="22"/>
          <w:szCs w:val="22"/>
          <w:lang w:eastAsia="en-GB"/>
          <w14:ligatures w14:val="none"/>
        </w:rPr>
      </w:pPr>
    </w:p>
    <w:p w14:paraId="03AE8A47" w14:textId="77777777" w:rsidR="0033654B" w:rsidRPr="0033654B" w:rsidRDefault="0033654B" w:rsidP="00A724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33654B">
        <w:rPr>
          <w:rFonts w:ascii="Arial" w:eastAsia="Times New Roman" w:hAnsi="Arial" w:cs="Arial"/>
          <w:b/>
          <w:bCs/>
          <w:kern w:val="0"/>
          <w:sz w:val="22"/>
          <w:szCs w:val="22"/>
          <w:lang w:eastAsia="en-GB"/>
          <w14:ligatures w14:val="none"/>
        </w:rPr>
        <w:t>Goal A: No Poverty (SDG 1)</w:t>
      </w:r>
    </w:p>
    <w:p w14:paraId="59FB8182" w14:textId="77777777" w:rsidR="0033654B" w:rsidRPr="0033654B" w:rsidRDefault="0033654B" w:rsidP="00A724F8">
      <w:p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SDG 1</w:t>
      </w:r>
      <w:r w:rsidRPr="0033654B">
        <w:rPr>
          <w:rFonts w:ascii="Arial" w:eastAsia="Times New Roman" w:hAnsi="Arial" w:cs="Arial"/>
          <w:kern w:val="0"/>
          <w:sz w:val="22"/>
          <w:szCs w:val="22"/>
          <w:lang w:eastAsia="en-GB"/>
          <w14:ligatures w14:val="none"/>
        </w:rPr>
        <w:t xml:space="preserve"> aims to eradicate extreme poverty and reduce overall poverty levels by ensuring access to essential services, social protection, and economic opportunities for all (United Nations, 2015). Poverty, especially in its extreme forms, is a multidimensional issue that severely impacts an individual's health, education, and overall wellbeing. Individuals living in poverty are at greater risk of chronic diseases, mental health disorders, and experience lower life expectancy (Marmot, 2020).</w:t>
      </w:r>
    </w:p>
    <w:p w14:paraId="20A44F84" w14:textId="77777777" w:rsidR="0033654B" w:rsidRPr="0033654B" w:rsidRDefault="0033654B" w:rsidP="00A724F8">
      <w:p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kern w:val="0"/>
          <w:sz w:val="22"/>
          <w:szCs w:val="22"/>
          <w:lang w:eastAsia="en-GB"/>
          <w14:ligatures w14:val="none"/>
        </w:rPr>
        <w:t xml:space="preserve">In the UK, various strategies have been implemented to reduce poverty, such as </w:t>
      </w:r>
      <w:r w:rsidRPr="0033654B">
        <w:rPr>
          <w:rFonts w:ascii="Arial" w:eastAsia="Times New Roman" w:hAnsi="Arial" w:cs="Arial"/>
          <w:b/>
          <w:bCs/>
          <w:kern w:val="0"/>
          <w:sz w:val="22"/>
          <w:szCs w:val="22"/>
          <w:lang w:eastAsia="en-GB"/>
          <w14:ligatures w14:val="none"/>
        </w:rPr>
        <w:t>Universal Credit</w:t>
      </w:r>
      <w:r w:rsidRPr="0033654B">
        <w:rPr>
          <w:rFonts w:ascii="Arial" w:eastAsia="Times New Roman" w:hAnsi="Arial" w:cs="Arial"/>
          <w:kern w:val="0"/>
          <w:sz w:val="22"/>
          <w:szCs w:val="22"/>
          <w:lang w:eastAsia="en-GB"/>
          <w14:ligatures w14:val="none"/>
        </w:rPr>
        <w:t xml:space="preserve"> and the </w:t>
      </w:r>
      <w:r w:rsidRPr="0033654B">
        <w:rPr>
          <w:rFonts w:ascii="Arial" w:eastAsia="Times New Roman" w:hAnsi="Arial" w:cs="Arial"/>
          <w:b/>
          <w:bCs/>
          <w:kern w:val="0"/>
          <w:sz w:val="22"/>
          <w:szCs w:val="22"/>
          <w:lang w:eastAsia="en-GB"/>
          <w14:ligatures w14:val="none"/>
        </w:rPr>
        <w:t>National Living Wage</w:t>
      </w:r>
      <w:r w:rsidRPr="0033654B">
        <w:rPr>
          <w:rFonts w:ascii="Arial" w:eastAsia="Times New Roman" w:hAnsi="Arial" w:cs="Arial"/>
          <w:kern w:val="0"/>
          <w:sz w:val="22"/>
          <w:szCs w:val="22"/>
          <w:lang w:eastAsia="en-GB"/>
          <w14:ligatures w14:val="none"/>
        </w:rPr>
        <w:t xml:space="preserve">. </w:t>
      </w:r>
      <w:r w:rsidRPr="0033654B">
        <w:rPr>
          <w:rFonts w:ascii="Arial" w:eastAsia="Times New Roman" w:hAnsi="Arial" w:cs="Arial"/>
          <w:b/>
          <w:bCs/>
          <w:kern w:val="0"/>
          <w:sz w:val="22"/>
          <w:szCs w:val="22"/>
          <w:lang w:eastAsia="en-GB"/>
          <w14:ligatures w14:val="none"/>
        </w:rPr>
        <w:t>Universal Credit</w:t>
      </w:r>
      <w:r w:rsidRPr="0033654B">
        <w:rPr>
          <w:rFonts w:ascii="Arial" w:eastAsia="Times New Roman" w:hAnsi="Arial" w:cs="Arial"/>
          <w:kern w:val="0"/>
          <w:sz w:val="22"/>
          <w:szCs w:val="22"/>
          <w:lang w:eastAsia="en-GB"/>
          <w14:ligatures w14:val="none"/>
        </w:rPr>
        <w:t xml:space="preserve"> is a welfare benefit designed to provide financial support to low-income individuals and families (Department for Work and Pensions, 2018). Similarly, the </w:t>
      </w:r>
      <w:r w:rsidRPr="0033654B">
        <w:rPr>
          <w:rFonts w:ascii="Arial" w:eastAsia="Times New Roman" w:hAnsi="Arial" w:cs="Arial"/>
          <w:b/>
          <w:bCs/>
          <w:kern w:val="0"/>
          <w:sz w:val="22"/>
          <w:szCs w:val="22"/>
          <w:lang w:eastAsia="en-GB"/>
          <w14:ligatures w14:val="none"/>
        </w:rPr>
        <w:t>National Living Wage</w:t>
      </w:r>
      <w:r w:rsidRPr="0033654B">
        <w:rPr>
          <w:rFonts w:ascii="Arial" w:eastAsia="Times New Roman" w:hAnsi="Arial" w:cs="Arial"/>
          <w:kern w:val="0"/>
          <w:sz w:val="22"/>
          <w:szCs w:val="22"/>
          <w:lang w:eastAsia="en-GB"/>
          <w14:ligatures w14:val="none"/>
        </w:rPr>
        <w:t xml:space="preserve"> ensures that workers receive adequate pay for their labour, which is legally mandated (HM Government, 2021).</w:t>
      </w:r>
    </w:p>
    <w:p w14:paraId="5A8B3505" w14:textId="77777777" w:rsidR="0033654B" w:rsidRPr="0033654B" w:rsidRDefault="0033654B" w:rsidP="00A724F8">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33654B">
        <w:rPr>
          <w:rFonts w:ascii="Arial" w:eastAsia="Times New Roman" w:hAnsi="Arial" w:cs="Arial"/>
          <w:b/>
          <w:bCs/>
          <w:kern w:val="0"/>
          <w:sz w:val="22"/>
          <w:szCs w:val="22"/>
          <w:lang w:eastAsia="en-GB"/>
          <w14:ligatures w14:val="none"/>
        </w:rPr>
        <w:t>Strengths and Weaknesses of Key Strategies</w:t>
      </w:r>
    </w:p>
    <w:p w14:paraId="297DF841" w14:textId="77777777" w:rsidR="0033654B" w:rsidRPr="0033654B" w:rsidRDefault="0033654B" w:rsidP="00A724F8">
      <w:p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Universal Credit</w:t>
      </w:r>
      <w:r w:rsidRPr="0033654B">
        <w:rPr>
          <w:rFonts w:ascii="Arial" w:eastAsia="Times New Roman" w:hAnsi="Arial" w:cs="Arial"/>
          <w:kern w:val="0"/>
          <w:sz w:val="22"/>
          <w:szCs w:val="22"/>
          <w:lang w:eastAsia="en-GB"/>
          <w14:ligatures w14:val="none"/>
        </w:rPr>
        <w:t xml:space="preserve"> has simplified the welfare system by consolidating six existing benefits into one monthly payment. However, there are significant criticisms regarding its execution. The </w:t>
      </w:r>
      <w:r w:rsidRPr="0033654B">
        <w:rPr>
          <w:rFonts w:ascii="Arial" w:eastAsia="Times New Roman" w:hAnsi="Arial" w:cs="Arial"/>
          <w:b/>
          <w:bCs/>
          <w:kern w:val="0"/>
          <w:sz w:val="22"/>
          <w:szCs w:val="22"/>
          <w:lang w:eastAsia="en-GB"/>
          <w14:ligatures w14:val="none"/>
        </w:rPr>
        <w:t>delays in payment</w:t>
      </w:r>
      <w:r w:rsidRPr="0033654B">
        <w:rPr>
          <w:rFonts w:ascii="Arial" w:eastAsia="Times New Roman" w:hAnsi="Arial" w:cs="Arial"/>
          <w:kern w:val="0"/>
          <w:sz w:val="22"/>
          <w:szCs w:val="22"/>
          <w:lang w:eastAsia="en-GB"/>
          <w14:ligatures w14:val="none"/>
        </w:rPr>
        <w:t xml:space="preserve"> have been particularly problematic, pushing many vulnerable individuals and families further into debt (House of Commons Work and Pensions Committee, 2020). The system’s design has led to confusion and difficulty in accessing support, especially for those without digital access or those with mental health challenges. </w:t>
      </w:r>
      <w:r w:rsidRPr="0033654B">
        <w:rPr>
          <w:rFonts w:ascii="Arial" w:eastAsia="Times New Roman" w:hAnsi="Arial" w:cs="Arial"/>
          <w:b/>
          <w:bCs/>
          <w:kern w:val="0"/>
          <w:sz w:val="22"/>
          <w:szCs w:val="22"/>
          <w:lang w:eastAsia="en-GB"/>
          <w14:ligatures w14:val="none"/>
        </w:rPr>
        <w:t>Vulnerable groups</w:t>
      </w:r>
      <w:r w:rsidRPr="0033654B">
        <w:rPr>
          <w:rFonts w:ascii="Arial" w:eastAsia="Times New Roman" w:hAnsi="Arial" w:cs="Arial"/>
          <w:kern w:val="0"/>
          <w:sz w:val="22"/>
          <w:szCs w:val="22"/>
          <w:lang w:eastAsia="en-GB"/>
          <w14:ligatures w14:val="none"/>
        </w:rPr>
        <w:t>, such as those with disabilities or single parents, are often left inadequately supported due to rigid eligibility criteria.</w:t>
      </w:r>
    </w:p>
    <w:p w14:paraId="60A99D9E" w14:textId="77777777" w:rsidR="0033654B" w:rsidRPr="0033654B" w:rsidRDefault="0033654B" w:rsidP="00A724F8">
      <w:p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kern w:val="0"/>
          <w:sz w:val="22"/>
          <w:szCs w:val="22"/>
          <w:lang w:eastAsia="en-GB"/>
          <w14:ligatures w14:val="none"/>
        </w:rPr>
        <w:t xml:space="preserve">On the other hand, </w:t>
      </w:r>
      <w:r w:rsidRPr="0033654B">
        <w:rPr>
          <w:rFonts w:ascii="Arial" w:eastAsia="Times New Roman" w:hAnsi="Arial" w:cs="Arial"/>
          <w:b/>
          <w:bCs/>
          <w:kern w:val="0"/>
          <w:sz w:val="22"/>
          <w:szCs w:val="22"/>
          <w:lang w:eastAsia="en-GB"/>
          <w14:ligatures w14:val="none"/>
        </w:rPr>
        <w:t>the National Living Wage</w:t>
      </w:r>
      <w:r w:rsidRPr="0033654B">
        <w:rPr>
          <w:rFonts w:ascii="Arial" w:eastAsia="Times New Roman" w:hAnsi="Arial" w:cs="Arial"/>
          <w:kern w:val="0"/>
          <w:sz w:val="22"/>
          <w:szCs w:val="22"/>
          <w:lang w:eastAsia="en-GB"/>
          <w14:ligatures w14:val="none"/>
        </w:rPr>
        <w:t xml:space="preserve"> has successfully contributed to reducing income inequality and lifted millions of workers above the poverty line. However, it </w:t>
      </w:r>
      <w:r w:rsidRPr="0033654B">
        <w:rPr>
          <w:rFonts w:ascii="Arial" w:eastAsia="Times New Roman" w:hAnsi="Arial" w:cs="Arial"/>
          <w:b/>
          <w:bCs/>
          <w:kern w:val="0"/>
          <w:sz w:val="22"/>
          <w:szCs w:val="22"/>
          <w:lang w:eastAsia="en-GB"/>
          <w14:ligatures w14:val="none"/>
        </w:rPr>
        <w:t>remains insufficient</w:t>
      </w:r>
      <w:r w:rsidRPr="0033654B">
        <w:rPr>
          <w:rFonts w:ascii="Arial" w:eastAsia="Times New Roman" w:hAnsi="Arial" w:cs="Arial"/>
          <w:kern w:val="0"/>
          <w:sz w:val="22"/>
          <w:szCs w:val="22"/>
          <w:lang w:eastAsia="en-GB"/>
          <w14:ligatures w14:val="none"/>
        </w:rPr>
        <w:t xml:space="preserve"> in many high-cost regions, particularly cities like London, where housing and living expenses are astronomical. The Resolution Foundation (2022) estimates that the National Living Wage fails to meet the basic needs of individuals in such areas, creating a </w:t>
      </w:r>
      <w:r w:rsidRPr="0033654B">
        <w:rPr>
          <w:rFonts w:ascii="Arial" w:eastAsia="Times New Roman" w:hAnsi="Arial" w:cs="Arial"/>
          <w:b/>
          <w:bCs/>
          <w:kern w:val="0"/>
          <w:sz w:val="22"/>
          <w:szCs w:val="22"/>
          <w:lang w:eastAsia="en-GB"/>
          <w14:ligatures w14:val="none"/>
        </w:rPr>
        <w:t>widening gap</w:t>
      </w:r>
      <w:r w:rsidRPr="0033654B">
        <w:rPr>
          <w:rFonts w:ascii="Arial" w:eastAsia="Times New Roman" w:hAnsi="Arial" w:cs="Arial"/>
          <w:kern w:val="0"/>
          <w:sz w:val="22"/>
          <w:szCs w:val="22"/>
          <w:lang w:eastAsia="en-GB"/>
          <w14:ligatures w14:val="none"/>
        </w:rPr>
        <w:t xml:space="preserve"> between wages and the cost of living.</w:t>
      </w:r>
    </w:p>
    <w:p w14:paraId="6610A597" w14:textId="77777777" w:rsidR="0033654B" w:rsidRPr="0033654B" w:rsidRDefault="0033654B" w:rsidP="00A724F8">
      <w:p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kern w:val="0"/>
          <w:sz w:val="22"/>
          <w:szCs w:val="22"/>
          <w:lang w:eastAsia="en-GB"/>
          <w14:ligatures w14:val="none"/>
        </w:rPr>
        <w:t xml:space="preserve">Despite these initiatives, </w:t>
      </w:r>
      <w:r w:rsidRPr="0033654B">
        <w:rPr>
          <w:rFonts w:ascii="Arial" w:eastAsia="Times New Roman" w:hAnsi="Arial" w:cs="Arial"/>
          <w:b/>
          <w:bCs/>
          <w:kern w:val="0"/>
          <w:sz w:val="22"/>
          <w:szCs w:val="22"/>
          <w:lang w:eastAsia="en-GB"/>
          <w14:ligatures w14:val="none"/>
        </w:rPr>
        <w:t>relative poverty</w:t>
      </w:r>
      <w:r w:rsidRPr="0033654B">
        <w:rPr>
          <w:rFonts w:ascii="Arial" w:eastAsia="Times New Roman" w:hAnsi="Arial" w:cs="Arial"/>
          <w:kern w:val="0"/>
          <w:sz w:val="22"/>
          <w:szCs w:val="22"/>
          <w:lang w:eastAsia="en-GB"/>
          <w14:ligatures w14:val="none"/>
        </w:rPr>
        <w:t xml:space="preserve"> continues to be a major issue, particularly for vulnerable groups like </w:t>
      </w:r>
      <w:r w:rsidRPr="0033654B">
        <w:rPr>
          <w:rFonts w:ascii="Arial" w:eastAsia="Times New Roman" w:hAnsi="Arial" w:cs="Arial"/>
          <w:b/>
          <w:bCs/>
          <w:kern w:val="0"/>
          <w:sz w:val="22"/>
          <w:szCs w:val="22"/>
          <w:lang w:eastAsia="en-GB"/>
          <w14:ligatures w14:val="none"/>
        </w:rPr>
        <w:t>children</w:t>
      </w:r>
      <w:r w:rsidRPr="0033654B">
        <w:rPr>
          <w:rFonts w:ascii="Arial" w:eastAsia="Times New Roman" w:hAnsi="Arial" w:cs="Arial"/>
          <w:kern w:val="0"/>
          <w:sz w:val="22"/>
          <w:szCs w:val="22"/>
          <w:lang w:eastAsia="en-GB"/>
          <w14:ligatures w14:val="none"/>
        </w:rPr>
        <w:t xml:space="preserve">, </w:t>
      </w:r>
      <w:r w:rsidRPr="0033654B">
        <w:rPr>
          <w:rFonts w:ascii="Arial" w:eastAsia="Times New Roman" w:hAnsi="Arial" w:cs="Arial"/>
          <w:b/>
          <w:bCs/>
          <w:kern w:val="0"/>
          <w:sz w:val="22"/>
          <w:szCs w:val="22"/>
          <w:lang w:eastAsia="en-GB"/>
          <w14:ligatures w14:val="none"/>
        </w:rPr>
        <w:t>disabled individuals</w:t>
      </w:r>
      <w:r w:rsidRPr="0033654B">
        <w:rPr>
          <w:rFonts w:ascii="Arial" w:eastAsia="Times New Roman" w:hAnsi="Arial" w:cs="Arial"/>
          <w:kern w:val="0"/>
          <w:sz w:val="22"/>
          <w:szCs w:val="22"/>
          <w:lang w:eastAsia="en-GB"/>
          <w14:ligatures w14:val="none"/>
        </w:rPr>
        <w:t xml:space="preserve">, and </w:t>
      </w:r>
      <w:r w:rsidRPr="0033654B">
        <w:rPr>
          <w:rFonts w:ascii="Arial" w:eastAsia="Times New Roman" w:hAnsi="Arial" w:cs="Arial"/>
          <w:b/>
          <w:bCs/>
          <w:kern w:val="0"/>
          <w:sz w:val="22"/>
          <w:szCs w:val="22"/>
          <w:lang w:eastAsia="en-GB"/>
          <w14:ligatures w14:val="none"/>
        </w:rPr>
        <w:t>marginalized communities</w:t>
      </w:r>
      <w:r w:rsidRPr="0033654B">
        <w:rPr>
          <w:rFonts w:ascii="Arial" w:eastAsia="Times New Roman" w:hAnsi="Arial" w:cs="Arial"/>
          <w:kern w:val="0"/>
          <w:sz w:val="22"/>
          <w:szCs w:val="22"/>
          <w:lang w:eastAsia="en-GB"/>
          <w14:ligatures w14:val="none"/>
        </w:rPr>
        <w:t xml:space="preserve"> (Joseph Rowntree Foundation, 2022). Moreover, the COVID-19 pandemic has exacerbated poverty and economic disparities. The rise in </w:t>
      </w:r>
      <w:r w:rsidRPr="0033654B">
        <w:rPr>
          <w:rFonts w:ascii="Arial" w:eastAsia="Times New Roman" w:hAnsi="Arial" w:cs="Arial"/>
          <w:b/>
          <w:bCs/>
          <w:kern w:val="0"/>
          <w:sz w:val="22"/>
          <w:szCs w:val="22"/>
          <w:lang w:eastAsia="en-GB"/>
          <w14:ligatures w14:val="none"/>
        </w:rPr>
        <w:t>unemployment</w:t>
      </w:r>
      <w:r w:rsidRPr="0033654B">
        <w:rPr>
          <w:rFonts w:ascii="Arial" w:eastAsia="Times New Roman" w:hAnsi="Arial" w:cs="Arial"/>
          <w:kern w:val="0"/>
          <w:sz w:val="22"/>
          <w:szCs w:val="22"/>
          <w:lang w:eastAsia="en-GB"/>
          <w14:ligatures w14:val="none"/>
        </w:rPr>
        <w:t xml:space="preserve">, reliance on </w:t>
      </w:r>
      <w:r w:rsidRPr="0033654B">
        <w:rPr>
          <w:rFonts w:ascii="Arial" w:eastAsia="Times New Roman" w:hAnsi="Arial" w:cs="Arial"/>
          <w:b/>
          <w:bCs/>
          <w:kern w:val="0"/>
          <w:sz w:val="22"/>
          <w:szCs w:val="22"/>
          <w:lang w:eastAsia="en-GB"/>
          <w14:ligatures w14:val="none"/>
        </w:rPr>
        <w:t>furlough schemes</w:t>
      </w:r>
      <w:r w:rsidRPr="0033654B">
        <w:rPr>
          <w:rFonts w:ascii="Arial" w:eastAsia="Times New Roman" w:hAnsi="Arial" w:cs="Arial"/>
          <w:kern w:val="0"/>
          <w:sz w:val="22"/>
          <w:szCs w:val="22"/>
          <w:lang w:eastAsia="en-GB"/>
          <w14:ligatures w14:val="none"/>
        </w:rPr>
        <w:t xml:space="preserve">, and the increasing </w:t>
      </w:r>
      <w:r w:rsidRPr="0033654B">
        <w:rPr>
          <w:rFonts w:ascii="Arial" w:eastAsia="Times New Roman" w:hAnsi="Arial" w:cs="Arial"/>
          <w:b/>
          <w:bCs/>
          <w:kern w:val="0"/>
          <w:sz w:val="22"/>
          <w:szCs w:val="22"/>
          <w:lang w:eastAsia="en-GB"/>
          <w14:ligatures w14:val="none"/>
        </w:rPr>
        <w:t>cost of living</w:t>
      </w:r>
      <w:r w:rsidRPr="0033654B">
        <w:rPr>
          <w:rFonts w:ascii="Arial" w:eastAsia="Times New Roman" w:hAnsi="Arial" w:cs="Arial"/>
          <w:kern w:val="0"/>
          <w:sz w:val="22"/>
          <w:szCs w:val="22"/>
          <w:lang w:eastAsia="en-GB"/>
          <w14:ligatures w14:val="none"/>
        </w:rPr>
        <w:t xml:space="preserve"> further entrenched the financial difficulties faced by many (UK Government, 2021).</w:t>
      </w:r>
    </w:p>
    <w:p w14:paraId="27AD80FA" w14:textId="77777777" w:rsidR="0033654B" w:rsidRPr="0033654B" w:rsidRDefault="0033654B" w:rsidP="00A724F8">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33654B">
        <w:rPr>
          <w:rFonts w:ascii="Arial" w:eastAsia="Times New Roman" w:hAnsi="Arial" w:cs="Arial"/>
          <w:b/>
          <w:bCs/>
          <w:kern w:val="0"/>
          <w:sz w:val="22"/>
          <w:szCs w:val="22"/>
          <w:lang w:eastAsia="en-GB"/>
          <w14:ligatures w14:val="none"/>
        </w:rPr>
        <w:t>Structural and Socioeconomic Challenges</w:t>
      </w:r>
    </w:p>
    <w:p w14:paraId="4639B89B" w14:textId="77777777" w:rsidR="0033654B" w:rsidRPr="0033654B" w:rsidRDefault="0033654B" w:rsidP="00A724F8">
      <w:p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kern w:val="0"/>
          <w:sz w:val="22"/>
          <w:szCs w:val="22"/>
          <w:lang w:eastAsia="en-GB"/>
          <w14:ligatures w14:val="none"/>
        </w:rPr>
        <w:t>Several challenges impede the effective implementation of SDG 1 in the UK:</w:t>
      </w:r>
    </w:p>
    <w:p w14:paraId="2F6BFE95" w14:textId="77777777" w:rsidR="0033654B" w:rsidRPr="0033654B" w:rsidRDefault="0033654B" w:rsidP="00A724F8">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Economic Inequality</w:t>
      </w:r>
      <w:r w:rsidRPr="0033654B">
        <w:rPr>
          <w:rFonts w:ascii="Arial" w:eastAsia="Times New Roman" w:hAnsi="Arial" w:cs="Arial"/>
          <w:kern w:val="0"/>
          <w:sz w:val="22"/>
          <w:szCs w:val="22"/>
          <w:lang w:eastAsia="en-GB"/>
          <w14:ligatures w14:val="none"/>
        </w:rPr>
        <w:t>: Widening disparities between rich and poor continue to fuel poverty, exacerbating social exclusion. The richest segments of society continue to benefit from tax loopholes and financial privileges, while lower-income groups bear the brunt of austerity measures.</w:t>
      </w:r>
    </w:p>
    <w:p w14:paraId="5D125FA9" w14:textId="77777777" w:rsidR="0033654B" w:rsidRPr="0033654B" w:rsidRDefault="0033654B" w:rsidP="00A724F8">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Housing Crisis</w:t>
      </w:r>
      <w:r w:rsidRPr="0033654B">
        <w:rPr>
          <w:rFonts w:ascii="Arial" w:eastAsia="Times New Roman" w:hAnsi="Arial" w:cs="Arial"/>
          <w:kern w:val="0"/>
          <w:sz w:val="22"/>
          <w:szCs w:val="22"/>
          <w:lang w:eastAsia="en-GB"/>
          <w14:ligatures w14:val="none"/>
        </w:rPr>
        <w:t xml:space="preserve">: There is an ongoing </w:t>
      </w:r>
      <w:r w:rsidRPr="0033654B">
        <w:rPr>
          <w:rFonts w:ascii="Arial" w:eastAsia="Times New Roman" w:hAnsi="Arial" w:cs="Arial"/>
          <w:b/>
          <w:bCs/>
          <w:kern w:val="0"/>
          <w:sz w:val="22"/>
          <w:szCs w:val="22"/>
          <w:lang w:eastAsia="en-GB"/>
          <w14:ligatures w14:val="none"/>
        </w:rPr>
        <w:t>housing affordability crisis</w:t>
      </w:r>
      <w:r w:rsidRPr="0033654B">
        <w:rPr>
          <w:rFonts w:ascii="Arial" w:eastAsia="Times New Roman" w:hAnsi="Arial" w:cs="Arial"/>
          <w:kern w:val="0"/>
          <w:sz w:val="22"/>
          <w:szCs w:val="22"/>
          <w:lang w:eastAsia="en-GB"/>
          <w14:ligatures w14:val="none"/>
        </w:rPr>
        <w:t>, with skyrocketing property prices and rent costs outpacing wages. Affordable housing stock remains limited, and policies designed to tackle housing inequality have struggled to keep pace with growing demand.</w:t>
      </w:r>
    </w:p>
    <w:p w14:paraId="24ECC5D1" w14:textId="77777777" w:rsidR="0033654B" w:rsidRPr="0033654B" w:rsidRDefault="0033654B" w:rsidP="00A724F8">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Wage Stagnation and Inflation</w:t>
      </w:r>
      <w:r w:rsidRPr="0033654B">
        <w:rPr>
          <w:rFonts w:ascii="Arial" w:eastAsia="Times New Roman" w:hAnsi="Arial" w:cs="Arial"/>
          <w:kern w:val="0"/>
          <w:sz w:val="22"/>
          <w:szCs w:val="22"/>
          <w:lang w:eastAsia="en-GB"/>
          <w14:ligatures w14:val="none"/>
        </w:rPr>
        <w:t xml:space="preserve">: Despite the introduction of the National Living Wage, </w:t>
      </w:r>
      <w:r w:rsidRPr="0033654B">
        <w:rPr>
          <w:rFonts w:ascii="Arial" w:eastAsia="Times New Roman" w:hAnsi="Arial" w:cs="Arial"/>
          <w:b/>
          <w:bCs/>
          <w:kern w:val="0"/>
          <w:sz w:val="22"/>
          <w:szCs w:val="22"/>
          <w:lang w:eastAsia="en-GB"/>
          <w14:ligatures w14:val="none"/>
        </w:rPr>
        <w:t>wage stagnation</w:t>
      </w:r>
      <w:r w:rsidRPr="0033654B">
        <w:rPr>
          <w:rFonts w:ascii="Arial" w:eastAsia="Times New Roman" w:hAnsi="Arial" w:cs="Arial"/>
          <w:kern w:val="0"/>
          <w:sz w:val="22"/>
          <w:szCs w:val="22"/>
          <w:lang w:eastAsia="en-GB"/>
          <w14:ligatures w14:val="none"/>
        </w:rPr>
        <w:t xml:space="preserve"> and inflation mean that many low-income households find it increasingly difficult to meet basic needs, despite having a job.</w:t>
      </w:r>
    </w:p>
    <w:p w14:paraId="2A6D9A39" w14:textId="77777777" w:rsidR="0033654B" w:rsidRPr="0033654B" w:rsidRDefault="0033654B" w:rsidP="00A724F8">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Digital Divide</w:t>
      </w:r>
      <w:r w:rsidRPr="0033654B">
        <w:rPr>
          <w:rFonts w:ascii="Arial" w:eastAsia="Times New Roman" w:hAnsi="Arial" w:cs="Arial"/>
          <w:kern w:val="0"/>
          <w:sz w:val="22"/>
          <w:szCs w:val="22"/>
          <w:lang w:eastAsia="en-GB"/>
          <w14:ligatures w14:val="none"/>
        </w:rPr>
        <w:t>: The increasing reliance on digital platforms for accessing welfare services, job opportunities, and education exacerbates poverty for those without reliable internet access or digital skills.</w:t>
      </w:r>
    </w:p>
    <w:p w14:paraId="49C2587E" w14:textId="77777777" w:rsidR="0033654B" w:rsidRPr="0033654B" w:rsidRDefault="0033654B" w:rsidP="00A724F8">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33654B">
        <w:rPr>
          <w:rFonts w:ascii="Arial" w:eastAsia="Times New Roman" w:hAnsi="Arial" w:cs="Arial"/>
          <w:b/>
          <w:bCs/>
          <w:kern w:val="0"/>
          <w:sz w:val="22"/>
          <w:szCs w:val="22"/>
          <w:lang w:eastAsia="en-GB"/>
          <w14:ligatures w14:val="none"/>
        </w:rPr>
        <w:t>Recommendations for Addressing Challenges</w:t>
      </w:r>
    </w:p>
    <w:p w14:paraId="3FC9C72B" w14:textId="77777777" w:rsidR="0033654B" w:rsidRPr="0033654B" w:rsidRDefault="0033654B" w:rsidP="00A724F8">
      <w:p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kern w:val="0"/>
          <w:sz w:val="22"/>
          <w:szCs w:val="22"/>
          <w:lang w:eastAsia="en-GB"/>
          <w14:ligatures w14:val="none"/>
        </w:rPr>
        <w:t>To effectively combat poverty and work toward the goals of SDG 1, a more comprehensive and multifaceted approach is needed. Here are some actionable recommendations:</w:t>
      </w:r>
    </w:p>
    <w:p w14:paraId="3AEA9DF4" w14:textId="77777777" w:rsidR="0033654B" w:rsidRPr="0033654B" w:rsidRDefault="0033654B" w:rsidP="00A724F8">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Increase Social Support Funding</w:t>
      </w:r>
      <w:r w:rsidRPr="0033654B">
        <w:rPr>
          <w:rFonts w:ascii="Arial" w:eastAsia="Times New Roman" w:hAnsi="Arial" w:cs="Arial"/>
          <w:kern w:val="0"/>
          <w:sz w:val="22"/>
          <w:szCs w:val="22"/>
          <w:lang w:eastAsia="en-GB"/>
          <w14:ligatures w14:val="none"/>
        </w:rPr>
        <w:t>:</w:t>
      </w:r>
    </w:p>
    <w:p w14:paraId="55BA719B" w14:textId="77777777" w:rsidR="0033654B" w:rsidRPr="0033654B" w:rsidRDefault="0033654B" w:rsidP="00A724F8">
      <w:pPr>
        <w:numPr>
          <w:ilvl w:val="1"/>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kern w:val="0"/>
          <w:sz w:val="22"/>
          <w:szCs w:val="22"/>
          <w:lang w:eastAsia="en-GB"/>
          <w14:ligatures w14:val="none"/>
        </w:rPr>
        <w:t xml:space="preserve">One of the key solutions to reducing poverty is </w:t>
      </w:r>
      <w:r w:rsidRPr="0033654B">
        <w:rPr>
          <w:rFonts w:ascii="Arial" w:eastAsia="Times New Roman" w:hAnsi="Arial" w:cs="Arial"/>
          <w:b/>
          <w:bCs/>
          <w:kern w:val="0"/>
          <w:sz w:val="22"/>
          <w:szCs w:val="22"/>
          <w:lang w:eastAsia="en-GB"/>
          <w14:ligatures w14:val="none"/>
        </w:rPr>
        <w:t>enhancing social protection systems</w:t>
      </w:r>
      <w:r w:rsidRPr="0033654B">
        <w:rPr>
          <w:rFonts w:ascii="Arial" w:eastAsia="Times New Roman" w:hAnsi="Arial" w:cs="Arial"/>
          <w:kern w:val="0"/>
          <w:sz w:val="22"/>
          <w:szCs w:val="22"/>
          <w:lang w:eastAsia="en-GB"/>
          <w14:ligatures w14:val="none"/>
        </w:rPr>
        <w:t xml:space="preserve">. Increasing funding for welfare benefits such as Universal Credit would provide vulnerable groups with the necessary resources to weather economic hardship. This funding should be expanded to provide more </w:t>
      </w:r>
      <w:r w:rsidRPr="0033654B">
        <w:rPr>
          <w:rFonts w:ascii="Arial" w:eastAsia="Times New Roman" w:hAnsi="Arial" w:cs="Arial"/>
          <w:b/>
          <w:bCs/>
          <w:kern w:val="0"/>
          <w:sz w:val="22"/>
          <w:szCs w:val="22"/>
          <w:lang w:eastAsia="en-GB"/>
          <w14:ligatures w14:val="none"/>
        </w:rPr>
        <w:t>targeted support</w:t>
      </w:r>
      <w:r w:rsidRPr="0033654B">
        <w:rPr>
          <w:rFonts w:ascii="Arial" w:eastAsia="Times New Roman" w:hAnsi="Arial" w:cs="Arial"/>
          <w:kern w:val="0"/>
          <w:sz w:val="22"/>
          <w:szCs w:val="22"/>
          <w:lang w:eastAsia="en-GB"/>
          <w14:ligatures w14:val="none"/>
        </w:rPr>
        <w:t xml:space="preserve"> for marginalized communities, including </w:t>
      </w:r>
      <w:r w:rsidRPr="0033654B">
        <w:rPr>
          <w:rFonts w:ascii="Arial" w:eastAsia="Times New Roman" w:hAnsi="Arial" w:cs="Arial"/>
          <w:b/>
          <w:bCs/>
          <w:kern w:val="0"/>
          <w:sz w:val="22"/>
          <w:szCs w:val="22"/>
          <w:lang w:eastAsia="en-GB"/>
          <w14:ligatures w14:val="none"/>
        </w:rPr>
        <w:t>single-parent families</w:t>
      </w:r>
      <w:r w:rsidRPr="0033654B">
        <w:rPr>
          <w:rFonts w:ascii="Arial" w:eastAsia="Times New Roman" w:hAnsi="Arial" w:cs="Arial"/>
          <w:kern w:val="0"/>
          <w:sz w:val="22"/>
          <w:szCs w:val="22"/>
          <w:lang w:eastAsia="en-GB"/>
          <w14:ligatures w14:val="none"/>
        </w:rPr>
        <w:t xml:space="preserve">, </w:t>
      </w:r>
      <w:r w:rsidRPr="0033654B">
        <w:rPr>
          <w:rFonts w:ascii="Arial" w:eastAsia="Times New Roman" w:hAnsi="Arial" w:cs="Arial"/>
          <w:b/>
          <w:bCs/>
          <w:kern w:val="0"/>
          <w:sz w:val="22"/>
          <w:szCs w:val="22"/>
          <w:lang w:eastAsia="en-GB"/>
          <w14:ligatures w14:val="none"/>
        </w:rPr>
        <w:t>ethnic minorities</w:t>
      </w:r>
      <w:r w:rsidRPr="0033654B">
        <w:rPr>
          <w:rFonts w:ascii="Arial" w:eastAsia="Times New Roman" w:hAnsi="Arial" w:cs="Arial"/>
          <w:kern w:val="0"/>
          <w:sz w:val="22"/>
          <w:szCs w:val="22"/>
          <w:lang w:eastAsia="en-GB"/>
          <w14:ligatures w14:val="none"/>
        </w:rPr>
        <w:t xml:space="preserve">, </w:t>
      </w:r>
      <w:r w:rsidRPr="0033654B">
        <w:rPr>
          <w:rFonts w:ascii="Arial" w:eastAsia="Times New Roman" w:hAnsi="Arial" w:cs="Arial"/>
          <w:b/>
          <w:bCs/>
          <w:kern w:val="0"/>
          <w:sz w:val="22"/>
          <w:szCs w:val="22"/>
          <w:lang w:eastAsia="en-GB"/>
          <w14:ligatures w14:val="none"/>
        </w:rPr>
        <w:t>disabled individuals</w:t>
      </w:r>
      <w:r w:rsidRPr="0033654B">
        <w:rPr>
          <w:rFonts w:ascii="Arial" w:eastAsia="Times New Roman" w:hAnsi="Arial" w:cs="Arial"/>
          <w:kern w:val="0"/>
          <w:sz w:val="22"/>
          <w:szCs w:val="22"/>
          <w:lang w:eastAsia="en-GB"/>
          <w14:ligatures w14:val="none"/>
        </w:rPr>
        <w:t xml:space="preserve">, and the </w:t>
      </w:r>
      <w:r w:rsidRPr="0033654B">
        <w:rPr>
          <w:rFonts w:ascii="Arial" w:eastAsia="Times New Roman" w:hAnsi="Arial" w:cs="Arial"/>
          <w:b/>
          <w:bCs/>
          <w:kern w:val="0"/>
          <w:sz w:val="22"/>
          <w:szCs w:val="22"/>
          <w:lang w:eastAsia="en-GB"/>
          <w14:ligatures w14:val="none"/>
        </w:rPr>
        <w:t>elderly</w:t>
      </w:r>
      <w:r w:rsidRPr="0033654B">
        <w:rPr>
          <w:rFonts w:ascii="Arial" w:eastAsia="Times New Roman" w:hAnsi="Arial" w:cs="Arial"/>
          <w:kern w:val="0"/>
          <w:sz w:val="22"/>
          <w:szCs w:val="22"/>
          <w:lang w:eastAsia="en-GB"/>
          <w14:ligatures w14:val="none"/>
        </w:rPr>
        <w:t xml:space="preserve">. A focus on </w:t>
      </w:r>
      <w:r w:rsidRPr="0033654B">
        <w:rPr>
          <w:rFonts w:ascii="Arial" w:eastAsia="Times New Roman" w:hAnsi="Arial" w:cs="Arial"/>
          <w:b/>
          <w:bCs/>
          <w:kern w:val="0"/>
          <w:sz w:val="22"/>
          <w:szCs w:val="22"/>
          <w:lang w:eastAsia="en-GB"/>
          <w14:ligatures w14:val="none"/>
        </w:rPr>
        <w:t>mental health services</w:t>
      </w:r>
      <w:r w:rsidRPr="0033654B">
        <w:rPr>
          <w:rFonts w:ascii="Arial" w:eastAsia="Times New Roman" w:hAnsi="Arial" w:cs="Arial"/>
          <w:kern w:val="0"/>
          <w:sz w:val="22"/>
          <w:szCs w:val="22"/>
          <w:lang w:eastAsia="en-GB"/>
          <w14:ligatures w14:val="none"/>
        </w:rPr>
        <w:t xml:space="preserve"> within welfare programs could also help support individuals who are struggling not just financially, but emotionally and mentally.</w:t>
      </w:r>
    </w:p>
    <w:p w14:paraId="6CA52A96" w14:textId="77777777" w:rsidR="0033654B" w:rsidRPr="0033654B" w:rsidRDefault="0033654B" w:rsidP="00A724F8">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Strengthen Job Creation and Economic Opportunities</w:t>
      </w:r>
      <w:r w:rsidRPr="0033654B">
        <w:rPr>
          <w:rFonts w:ascii="Arial" w:eastAsia="Times New Roman" w:hAnsi="Arial" w:cs="Arial"/>
          <w:kern w:val="0"/>
          <w:sz w:val="22"/>
          <w:szCs w:val="22"/>
          <w:lang w:eastAsia="en-GB"/>
          <w14:ligatures w14:val="none"/>
        </w:rPr>
        <w:t>:</w:t>
      </w:r>
    </w:p>
    <w:p w14:paraId="175FB02F" w14:textId="77777777" w:rsidR="0033654B" w:rsidRPr="0033654B" w:rsidRDefault="0033654B" w:rsidP="00A724F8">
      <w:pPr>
        <w:numPr>
          <w:ilvl w:val="1"/>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kern w:val="0"/>
          <w:sz w:val="22"/>
          <w:szCs w:val="22"/>
          <w:lang w:eastAsia="en-GB"/>
          <w14:ligatures w14:val="none"/>
        </w:rPr>
        <w:t xml:space="preserve">Governments should increase </w:t>
      </w:r>
      <w:r w:rsidRPr="0033654B">
        <w:rPr>
          <w:rFonts w:ascii="Arial" w:eastAsia="Times New Roman" w:hAnsi="Arial" w:cs="Arial"/>
          <w:b/>
          <w:bCs/>
          <w:kern w:val="0"/>
          <w:sz w:val="22"/>
          <w:szCs w:val="22"/>
          <w:lang w:eastAsia="en-GB"/>
          <w14:ligatures w14:val="none"/>
        </w:rPr>
        <w:t>investment in green technologies</w:t>
      </w:r>
      <w:r w:rsidRPr="0033654B">
        <w:rPr>
          <w:rFonts w:ascii="Arial" w:eastAsia="Times New Roman" w:hAnsi="Arial" w:cs="Arial"/>
          <w:kern w:val="0"/>
          <w:sz w:val="22"/>
          <w:szCs w:val="22"/>
          <w:lang w:eastAsia="en-GB"/>
          <w14:ligatures w14:val="none"/>
        </w:rPr>
        <w:t xml:space="preserve"> and </w:t>
      </w:r>
      <w:r w:rsidRPr="0033654B">
        <w:rPr>
          <w:rFonts w:ascii="Arial" w:eastAsia="Times New Roman" w:hAnsi="Arial" w:cs="Arial"/>
          <w:b/>
          <w:bCs/>
          <w:kern w:val="0"/>
          <w:sz w:val="22"/>
          <w:szCs w:val="22"/>
          <w:lang w:eastAsia="en-GB"/>
          <w14:ligatures w14:val="none"/>
        </w:rPr>
        <w:t>renewable energy</w:t>
      </w:r>
      <w:r w:rsidRPr="0033654B">
        <w:rPr>
          <w:rFonts w:ascii="Arial" w:eastAsia="Times New Roman" w:hAnsi="Arial" w:cs="Arial"/>
          <w:kern w:val="0"/>
          <w:sz w:val="22"/>
          <w:szCs w:val="22"/>
          <w:lang w:eastAsia="en-GB"/>
          <w14:ligatures w14:val="none"/>
        </w:rPr>
        <w:t xml:space="preserve"> to generate new, well-paying jobs that align with the global shift toward sustainability. By building up key sectors such as green energy, </w:t>
      </w:r>
      <w:r w:rsidRPr="0033654B">
        <w:rPr>
          <w:rFonts w:ascii="Arial" w:eastAsia="Times New Roman" w:hAnsi="Arial" w:cs="Arial"/>
          <w:b/>
          <w:bCs/>
          <w:kern w:val="0"/>
          <w:sz w:val="22"/>
          <w:szCs w:val="22"/>
          <w:lang w:eastAsia="en-GB"/>
          <w14:ligatures w14:val="none"/>
        </w:rPr>
        <w:t>public transportation infrastructure</w:t>
      </w:r>
      <w:r w:rsidRPr="0033654B">
        <w:rPr>
          <w:rFonts w:ascii="Arial" w:eastAsia="Times New Roman" w:hAnsi="Arial" w:cs="Arial"/>
          <w:kern w:val="0"/>
          <w:sz w:val="22"/>
          <w:szCs w:val="22"/>
          <w:lang w:eastAsia="en-GB"/>
          <w14:ligatures w14:val="none"/>
        </w:rPr>
        <w:t xml:space="preserve">, and </w:t>
      </w:r>
      <w:r w:rsidRPr="0033654B">
        <w:rPr>
          <w:rFonts w:ascii="Arial" w:eastAsia="Times New Roman" w:hAnsi="Arial" w:cs="Arial"/>
          <w:b/>
          <w:bCs/>
          <w:kern w:val="0"/>
          <w:sz w:val="22"/>
          <w:szCs w:val="22"/>
          <w:lang w:eastAsia="en-GB"/>
          <w14:ligatures w14:val="none"/>
        </w:rPr>
        <w:t>digital skills development</w:t>
      </w:r>
      <w:r w:rsidRPr="0033654B">
        <w:rPr>
          <w:rFonts w:ascii="Arial" w:eastAsia="Times New Roman" w:hAnsi="Arial" w:cs="Arial"/>
          <w:kern w:val="0"/>
          <w:sz w:val="22"/>
          <w:szCs w:val="22"/>
          <w:lang w:eastAsia="en-GB"/>
          <w14:ligatures w14:val="none"/>
        </w:rPr>
        <w:t>, the government could support job creation in areas with high unemployment.</w:t>
      </w:r>
    </w:p>
    <w:p w14:paraId="4CF6BFEF" w14:textId="77777777" w:rsidR="0033654B" w:rsidRPr="0033654B" w:rsidRDefault="0033654B" w:rsidP="00A724F8">
      <w:pPr>
        <w:numPr>
          <w:ilvl w:val="1"/>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Public sector employment</w:t>
      </w:r>
      <w:r w:rsidRPr="0033654B">
        <w:rPr>
          <w:rFonts w:ascii="Arial" w:eastAsia="Times New Roman" w:hAnsi="Arial" w:cs="Arial"/>
          <w:kern w:val="0"/>
          <w:sz w:val="22"/>
          <w:szCs w:val="22"/>
          <w:lang w:eastAsia="en-GB"/>
          <w14:ligatures w14:val="none"/>
        </w:rPr>
        <w:t xml:space="preserve"> schemes, aimed at the long-term unemployed and young people, could offer direct pathways into employment, providing valuable skills and reducing barriers to entry into the workforce.</w:t>
      </w:r>
    </w:p>
    <w:p w14:paraId="312E0AE4" w14:textId="77777777" w:rsidR="0033654B" w:rsidRPr="0033654B" w:rsidRDefault="0033654B" w:rsidP="00A724F8">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Expand Affordable Housing</w:t>
      </w:r>
      <w:r w:rsidRPr="0033654B">
        <w:rPr>
          <w:rFonts w:ascii="Arial" w:eastAsia="Times New Roman" w:hAnsi="Arial" w:cs="Arial"/>
          <w:kern w:val="0"/>
          <w:sz w:val="22"/>
          <w:szCs w:val="22"/>
          <w:lang w:eastAsia="en-GB"/>
          <w14:ligatures w14:val="none"/>
        </w:rPr>
        <w:t>:</w:t>
      </w:r>
    </w:p>
    <w:p w14:paraId="4E64A937" w14:textId="77777777" w:rsidR="0033654B" w:rsidRPr="0033654B" w:rsidRDefault="0033654B" w:rsidP="00A724F8">
      <w:pPr>
        <w:numPr>
          <w:ilvl w:val="1"/>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kern w:val="0"/>
          <w:sz w:val="22"/>
          <w:szCs w:val="22"/>
          <w:lang w:eastAsia="en-GB"/>
          <w14:ligatures w14:val="none"/>
        </w:rPr>
        <w:t xml:space="preserve">Investing in </w:t>
      </w:r>
      <w:r w:rsidRPr="0033654B">
        <w:rPr>
          <w:rFonts w:ascii="Arial" w:eastAsia="Times New Roman" w:hAnsi="Arial" w:cs="Arial"/>
          <w:b/>
          <w:bCs/>
          <w:kern w:val="0"/>
          <w:sz w:val="22"/>
          <w:szCs w:val="22"/>
          <w:lang w:eastAsia="en-GB"/>
          <w14:ligatures w14:val="none"/>
        </w:rPr>
        <w:t>affordable housing programs</w:t>
      </w:r>
      <w:r w:rsidRPr="0033654B">
        <w:rPr>
          <w:rFonts w:ascii="Arial" w:eastAsia="Times New Roman" w:hAnsi="Arial" w:cs="Arial"/>
          <w:kern w:val="0"/>
          <w:sz w:val="22"/>
          <w:szCs w:val="22"/>
          <w:lang w:eastAsia="en-GB"/>
          <w14:ligatures w14:val="none"/>
        </w:rPr>
        <w:t xml:space="preserve"> and public-private housing partnerships is essential to alleviating the housing crisis. Government-led initiatives that prioritize </w:t>
      </w:r>
      <w:r w:rsidRPr="0033654B">
        <w:rPr>
          <w:rFonts w:ascii="Arial" w:eastAsia="Times New Roman" w:hAnsi="Arial" w:cs="Arial"/>
          <w:b/>
          <w:bCs/>
          <w:kern w:val="0"/>
          <w:sz w:val="22"/>
          <w:szCs w:val="22"/>
          <w:lang w:eastAsia="en-GB"/>
          <w14:ligatures w14:val="none"/>
        </w:rPr>
        <w:t>social housing</w:t>
      </w:r>
      <w:r w:rsidRPr="0033654B">
        <w:rPr>
          <w:rFonts w:ascii="Arial" w:eastAsia="Times New Roman" w:hAnsi="Arial" w:cs="Arial"/>
          <w:kern w:val="0"/>
          <w:sz w:val="22"/>
          <w:szCs w:val="22"/>
          <w:lang w:eastAsia="en-GB"/>
          <w14:ligatures w14:val="none"/>
        </w:rPr>
        <w:t xml:space="preserve"> for those on lower incomes could provide long-term solutions to housing instability. This should be accompanied by policies to limit rent hikes in the private sector and provide rent subsidies for those who need them the most.</w:t>
      </w:r>
    </w:p>
    <w:p w14:paraId="06BC7B66" w14:textId="77777777" w:rsidR="0033654B" w:rsidRPr="0033654B" w:rsidRDefault="0033654B" w:rsidP="00A724F8">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Raise the National Living Wage</w:t>
      </w:r>
      <w:r w:rsidRPr="0033654B">
        <w:rPr>
          <w:rFonts w:ascii="Arial" w:eastAsia="Times New Roman" w:hAnsi="Arial" w:cs="Arial"/>
          <w:kern w:val="0"/>
          <w:sz w:val="22"/>
          <w:szCs w:val="22"/>
          <w:lang w:eastAsia="en-GB"/>
          <w14:ligatures w14:val="none"/>
        </w:rPr>
        <w:t>:</w:t>
      </w:r>
    </w:p>
    <w:p w14:paraId="07D6B86C" w14:textId="77777777" w:rsidR="0033654B" w:rsidRPr="0033654B" w:rsidRDefault="0033654B" w:rsidP="00A724F8">
      <w:pPr>
        <w:numPr>
          <w:ilvl w:val="1"/>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kern w:val="0"/>
          <w:sz w:val="22"/>
          <w:szCs w:val="22"/>
          <w:lang w:eastAsia="en-GB"/>
          <w14:ligatures w14:val="none"/>
        </w:rPr>
        <w:t xml:space="preserve">Raising the National Living Wage to a level that accurately reflects the rising </w:t>
      </w:r>
      <w:r w:rsidRPr="0033654B">
        <w:rPr>
          <w:rFonts w:ascii="Arial" w:eastAsia="Times New Roman" w:hAnsi="Arial" w:cs="Arial"/>
          <w:b/>
          <w:bCs/>
          <w:kern w:val="0"/>
          <w:sz w:val="22"/>
          <w:szCs w:val="22"/>
          <w:lang w:eastAsia="en-GB"/>
          <w14:ligatures w14:val="none"/>
        </w:rPr>
        <w:t>cost of living</w:t>
      </w:r>
      <w:r w:rsidRPr="0033654B">
        <w:rPr>
          <w:rFonts w:ascii="Arial" w:eastAsia="Times New Roman" w:hAnsi="Arial" w:cs="Arial"/>
          <w:kern w:val="0"/>
          <w:sz w:val="22"/>
          <w:szCs w:val="22"/>
          <w:lang w:eastAsia="en-GB"/>
          <w14:ligatures w14:val="none"/>
        </w:rPr>
        <w:t xml:space="preserve"> in major urban </w:t>
      </w:r>
      <w:proofErr w:type="spellStart"/>
      <w:r w:rsidRPr="0033654B">
        <w:rPr>
          <w:rFonts w:ascii="Arial" w:eastAsia="Times New Roman" w:hAnsi="Arial" w:cs="Arial"/>
          <w:kern w:val="0"/>
          <w:sz w:val="22"/>
          <w:szCs w:val="22"/>
          <w:lang w:eastAsia="en-GB"/>
          <w14:ligatures w14:val="none"/>
        </w:rPr>
        <w:t>centers</w:t>
      </w:r>
      <w:proofErr w:type="spellEnd"/>
      <w:r w:rsidRPr="0033654B">
        <w:rPr>
          <w:rFonts w:ascii="Arial" w:eastAsia="Times New Roman" w:hAnsi="Arial" w:cs="Arial"/>
          <w:kern w:val="0"/>
          <w:sz w:val="22"/>
          <w:szCs w:val="22"/>
          <w:lang w:eastAsia="en-GB"/>
          <w14:ligatures w14:val="none"/>
        </w:rPr>
        <w:t xml:space="preserve"> could help alleviate poverty and reduce inequality. The </w:t>
      </w:r>
      <w:r w:rsidRPr="0033654B">
        <w:rPr>
          <w:rFonts w:ascii="Arial" w:eastAsia="Times New Roman" w:hAnsi="Arial" w:cs="Arial"/>
          <w:b/>
          <w:bCs/>
          <w:kern w:val="0"/>
          <w:sz w:val="22"/>
          <w:szCs w:val="22"/>
          <w:lang w:eastAsia="en-GB"/>
          <w14:ligatures w14:val="none"/>
        </w:rPr>
        <w:t>Living Wage Foundation</w:t>
      </w:r>
      <w:r w:rsidRPr="0033654B">
        <w:rPr>
          <w:rFonts w:ascii="Arial" w:eastAsia="Times New Roman" w:hAnsi="Arial" w:cs="Arial"/>
          <w:kern w:val="0"/>
          <w:sz w:val="22"/>
          <w:szCs w:val="22"/>
          <w:lang w:eastAsia="en-GB"/>
          <w14:ligatures w14:val="none"/>
        </w:rPr>
        <w:t xml:space="preserve"> (an independent campaign) suggests that the National Living Wage should be set at a level where workers can afford to meet the basic costs of living in different areas of the country, </w:t>
      </w:r>
      <w:proofErr w:type="gramStart"/>
      <w:r w:rsidRPr="0033654B">
        <w:rPr>
          <w:rFonts w:ascii="Arial" w:eastAsia="Times New Roman" w:hAnsi="Arial" w:cs="Arial"/>
          <w:kern w:val="0"/>
          <w:sz w:val="22"/>
          <w:szCs w:val="22"/>
          <w:lang w:eastAsia="en-GB"/>
          <w14:ligatures w14:val="none"/>
        </w:rPr>
        <w:t>taking into account</w:t>
      </w:r>
      <w:proofErr w:type="gramEnd"/>
      <w:r w:rsidRPr="0033654B">
        <w:rPr>
          <w:rFonts w:ascii="Arial" w:eastAsia="Times New Roman" w:hAnsi="Arial" w:cs="Arial"/>
          <w:kern w:val="0"/>
          <w:sz w:val="22"/>
          <w:szCs w:val="22"/>
          <w:lang w:eastAsia="en-GB"/>
          <w14:ligatures w14:val="none"/>
        </w:rPr>
        <w:t xml:space="preserve"> regional disparities.</w:t>
      </w:r>
    </w:p>
    <w:p w14:paraId="536DBBD5" w14:textId="77777777" w:rsidR="0033654B" w:rsidRPr="0033654B" w:rsidRDefault="0033654B" w:rsidP="00A724F8">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Introduce Universal Basic Income (UBI)</w:t>
      </w:r>
      <w:r w:rsidRPr="0033654B">
        <w:rPr>
          <w:rFonts w:ascii="Arial" w:eastAsia="Times New Roman" w:hAnsi="Arial" w:cs="Arial"/>
          <w:kern w:val="0"/>
          <w:sz w:val="22"/>
          <w:szCs w:val="22"/>
          <w:lang w:eastAsia="en-GB"/>
          <w14:ligatures w14:val="none"/>
        </w:rPr>
        <w:t>:</w:t>
      </w:r>
    </w:p>
    <w:p w14:paraId="33CBC7DA" w14:textId="77777777" w:rsidR="0033654B" w:rsidRPr="0033654B" w:rsidRDefault="0033654B" w:rsidP="00A724F8">
      <w:pPr>
        <w:numPr>
          <w:ilvl w:val="1"/>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kern w:val="0"/>
          <w:sz w:val="22"/>
          <w:szCs w:val="22"/>
          <w:lang w:eastAsia="en-GB"/>
          <w14:ligatures w14:val="none"/>
        </w:rPr>
        <w:t xml:space="preserve">Implementing </w:t>
      </w:r>
      <w:r w:rsidRPr="0033654B">
        <w:rPr>
          <w:rFonts w:ascii="Arial" w:eastAsia="Times New Roman" w:hAnsi="Arial" w:cs="Arial"/>
          <w:b/>
          <w:bCs/>
          <w:kern w:val="0"/>
          <w:sz w:val="22"/>
          <w:szCs w:val="22"/>
          <w:lang w:eastAsia="en-GB"/>
          <w14:ligatures w14:val="none"/>
        </w:rPr>
        <w:t>Universal Basic Income (UBI)</w:t>
      </w:r>
      <w:r w:rsidRPr="0033654B">
        <w:rPr>
          <w:rFonts w:ascii="Arial" w:eastAsia="Times New Roman" w:hAnsi="Arial" w:cs="Arial"/>
          <w:kern w:val="0"/>
          <w:sz w:val="22"/>
          <w:szCs w:val="22"/>
          <w:lang w:eastAsia="en-GB"/>
          <w14:ligatures w14:val="none"/>
        </w:rPr>
        <w:t xml:space="preserve">, a system where every citizen receives a regular, unconditional sum of money from the government, could serve as an economic safety net for all individuals. A UBI would guarantee a minimum standard of living and reduce poverty in times of economic instability. UBI also has the potential to promote greater </w:t>
      </w:r>
      <w:r w:rsidRPr="0033654B">
        <w:rPr>
          <w:rFonts w:ascii="Arial" w:eastAsia="Times New Roman" w:hAnsi="Arial" w:cs="Arial"/>
          <w:b/>
          <w:bCs/>
          <w:kern w:val="0"/>
          <w:sz w:val="22"/>
          <w:szCs w:val="22"/>
          <w:lang w:eastAsia="en-GB"/>
          <w14:ligatures w14:val="none"/>
        </w:rPr>
        <w:t>economic stability</w:t>
      </w:r>
      <w:r w:rsidRPr="0033654B">
        <w:rPr>
          <w:rFonts w:ascii="Arial" w:eastAsia="Times New Roman" w:hAnsi="Arial" w:cs="Arial"/>
          <w:kern w:val="0"/>
          <w:sz w:val="22"/>
          <w:szCs w:val="22"/>
          <w:lang w:eastAsia="en-GB"/>
          <w14:ligatures w14:val="none"/>
        </w:rPr>
        <w:t xml:space="preserve"> and </w:t>
      </w:r>
      <w:r w:rsidRPr="0033654B">
        <w:rPr>
          <w:rFonts w:ascii="Arial" w:eastAsia="Times New Roman" w:hAnsi="Arial" w:cs="Arial"/>
          <w:b/>
          <w:bCs/>
          <w:kern w:val="0"/>
          <w:sz w:val="22"/>
          <w:szCs w:val="22"/>
          <w:lang w:eastAsia="en-GB"/>
          <w14:ligatures w14:val="none"/>
        </w:rPr>
        <w:t>financial autonomy</w:t>
      </w:r>
      <w:r w:rsidRPr="0033654B">
        <w:rPr>
          <w:rFonts w:ascii="Arial" w:eastAsia="Times New Roman" w:hAnsi="Arial" w:cs="Arial"/>
          <w:kern w:val="0"/>
          <w:sz w:val="22"/>
          <w:szCs w:val="22"/>
          <w:lang w:eastAsia="en-GB"/>
          <w14:ligatures w14:val="none"/>
        </w:rPr>
        <w:t>, especially in the face of automation and job displacement.</w:t>
      </w:r>
    </w:p>
    <w:p w14:paraId="2BBEB822" w14:textId="77777777" w:rsidR="0033654B" w:rsidRPr="0033654B" w:rsidRDefault="0033654B" w:rsidP="00A724F8">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Tackle Educational Inequality</w:t>
      </w:r>
      <w:r w:rsidRPr="0033654B">
        <w:rPr>
          <w:rFonts w:ascii="Arial" w:eastAsia="Times New Roman" w:hAnsi="Arial" w:cs="Arial"/>
          <w:kern w:val="0"/>
          <w:sz w:val="22"/>
          <w:szCs w:val="22"/>
          <w:lang w:eastAsia="en-GB"/>
          <w14:ligatures w14:val="none"/>
        </w:rPr>
        <w:t>:</w:t>
      </w:r>
    </w:p>
    <w:p w14:paraId="4EAAC432" w14:textId="77777777" w:rsidR="0033654B" w:rsidRPr="0033654B" w:rsidRDefault="0033654B" w:rsidP="00A724F8">
      <w:pPr>
        <w:numPr>
          <w:ilvl w:val="1"/>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Education</w:t>
      </w:r>
      <w:r w:rsidRPr="0033654B">
        <w:rPr>
          <w:rFonts w:ascii="Arial" w:eastAsia="Times New Roman" w:hAnsi="Arial" w:cs="Arial"/>
          <w:kern w:val="0"/>
          <w:sz w:val="22"/>
          <w:szCs w:val="22"/>
          <w:lang w:eastAsia="en-GB"/>
          <w14:ligatures w14:val="none"/>
        </w:rPr>
        <w:t xml:space="preserve"> is a powerful tool for breaking the cycle of poverty. Ensuring equal access to </w:t>
      </w:r>
      <w:r w:rsidRPr="0033654B">
        <w:rPr>
          <w:rFonts w:ascii="Arial" w:eastAsia="Times New Roman" w:hAnsi="Arial" w:cs="Arial"/>
          <w:b/>
          <w:bCs/>
          <w:kern w:val="0"/>
          <w:sz w:val="22"/>
          <w:szCs w:val="22"/>
          <w:lang w:eastAsia="en-GB"/>
          <w14:ligatures w14:val="none"/>
        </w:rPr>
        <w:t>quality education</w:t>
      </w:r>
      <w:r w:rsidRPr="0033654B">
        <w:rPr>
          <w:rFonts w:ascii="Arial" w:eastAsia="Times New Roman" w:hAnsi="Arial" w:cs="Arial"/>
          <w:kern w:val="0"/>
          <w:sz w:val="22"/>
          <w:szCs w:val="22"/>
          <w:lang w:eastAsia="en-GB"/>
          <w14:ligatures w14:val="none"/>
        </w:rPr>
        <w:t xml:space="preserve"> for children from disadvantaged backgrounds will provide them with the skills and opportunities necessary to succeed. Policies focused on reducing school </w:t>
      </w:r>
      <w:r w:rsidRPr="0033654B">
        <w:rPr>
          <w:rFonts w:ascii="Arial" w:eastAsia="Times New Roman" w:hAnsi="Arial" w:cs="Arial"/>
          <w:b/>
          <w:bCs/>
          <w:kern w:val="0"/>
          <w:sz w:val="22"/>
          <w:szCs w:val="22"/>
          <w:lang w:eastAsia="en-GB"/>
          <w14:ligatures w14:val="none"/>
        </w:rPr>
        <w:t>fees</w:t>
      </w:r>
      <w:r w:rsidRPr="0033654B">
        <w:rPr>
          <w:rFonts w:ascii="Arial" w:eastAsia="Times New Roman" w:hAnsi="Arial" w:cs="Arial"/>
          <w:kern w:val="0"/>
          <w:sz w:val="22"/>
          <w:szCs w:val="22"/>
          <w:lang w:eastAsia="en-GB"/>
          <w14:ligatures w14:val="none"/>
        </w:rPr>
        <w:t xml:space="preserve">, providing </w:t>
      </w:r>
      <w:r w:rsidRPr="0033654B">
        <w:rPr>
          <w:rFonts w:ascii="Arial" w:eastAsia="Times New Roman" w:hAnsi="Arial" w:cs="Arial"/>
          <w:b/>
          <w:bCs/>
          <w:kern w:val="0"/>
          <w:sz w:val="22"/>
          <w:szCs w:val="22"/>
          <w:lang w:eastAsia="en-GB"/>
          <w14:ligatures w14:val="none"/>
        </w:rPr>
        <w:t>free school meals</w:t>
      </w:r>
      <w:r w:rsidRPr="0033654B">
        <w:rPr>
          <w:rFonts w:ascii="Arial" w:eastAsia="Times New Roman" w:hAnsi="Arial" w:cs="Arial"/>
          <w:kern w:val="0"/>
          <w:sz w:val="22"/>
          <w:szCs w:val="22"/>
          <w:lang w:eastAsia="en-GB"/>
          <w14:ligatures w14:val="none"/>
        </w:rPr>
        <w:t>, and increasing funding for schools in underprivileged areas will help reduce educational disparities, providing a better foundation for future generations.</w:t>
      </w:r>
    </w:p>
    <w:p w14:paraId="083595D3" w14:textId="77777777" w:rsidR="0033654B" w:rsidRPr="0033654B" w:rsidRDefault="0033654B" w:rsidP="00A724F8">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Address the Digital Divide</w:t>
      </w:r>
      <w:r w:rsidRPr="0033654B">
        <w:rPr>
          <w:rFonts w:ascii="Arial" w:eastAsia="Times New Roman" w:hAnsi="Arial" w:cs="Arial"/>
          <w:kern w:val="0"/>
          <w:sz w:val="22"/>
          <w:szCs w:val="22"/>
          <w:lang w:eastAsia="en-GB"/>
          <w14:ligatures w14:val="none"/>
        </w:rPr>
        <w:t>:</w:t>
      </w:r>
    </w:p>
    <w:p w14:paraId="38036656" w14:textId="15F6780A" w:rsidR="0033654B" w:rsidRPr="0033654B" w:rsidRDefault="0033654B" w:rsidP="00A724F8">
      <w:pPr>
        <w:numPr>
          <w:ilvl w:val="1"/>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b/>
          <w:bCs/>
          <w:kern w:val="0"/>
          <w:sz w:val="22"/>
          <w:szCs w:val="22"/>
          <w:lang w:eastAsia="en-GB"/>
          <w14:ligatures w14:val="none"/>
        </w:rPr>
        <w:t>Access to technology</w:t>
      </w:r>
      <w:r w:rsidRPr="0033654B">
        <w:rPr>
          <w:rFonts w:ascii="Arial" w:eastAsia="Times New Roman" w:hAnsi="Arial" w:cs="Arial"/>
          <w:kern w:val="0"/>
          <w:sz w:val="22"/>
          <w:szCs w:val="22"/>
          <w:lang w:eastAsia="en-GB"/>
          <w14:ligatures w14:val="none"/>
        </w:rPr>
        <w:t xml:space="preserve"> is an essential part of participating in the modern economy. Expanding access to affordable internet services and providing digital literacy training for low-income households can help ensure that everyone has an equal opportunity to apply for jobs, access government services, and improve their overall life prospects.</w:t>
      </w:r>
    </w:p>
    <w:p w14:paraId="7579CA2E" w14:textId="77777777" w:rsidR="0033654B" w:rsidRPr="0033654B" w:rsidRDefault="0033654B" w:rsidP="00A724F8">
      <w:pPr>
        <w:spacing w:before="100" w:beforeAutospacing="1" w:after="100" w:afterAutospacing="1" w:line="360" w:lineRule="auto"/>
        <w:rPr>
          <w:rFonts w:ascii="Arial" w:eastAsia="Times New Roman" w:hAnsi="Arial" w:cs="Arial"/>
          <w:kern w:val="0"/>
          <w:sz w:val="22"/>
          <w:szCs w:val="22"/>
          <w:lang w:eastAsia="en-GB"/>
          <w14:ligatures w14:val="none"/>
        </w:rPr>
      </w:pPr>
      <w:r w:rsidRPr="0033654B">
        <w:rPr>
          <w:rFonts w:ascii="Arial" w:eastAsia="Times New Roman" w:hAnsi="Arial" w:cs="Arial"/>
          <w:kern w:val="0"/>
          <w:sz w:val="22"/>
          <w:szCs w:val="22"/>
          <w:lang w:eastAsia="en-GB"/>
          <w14:ligatures w14:val="none"/>
        </w:rPr>
        <w:t xml:space="preserve">While there have been significant strides toward addressing poverty in the UK through strategies like </w:t>
      </w:r>
      <w:r w:rsidRPr="0033654B">
        <w:rPr>
          <w:rFonts w:ascii="Arial" w:eastAsia="Times New Roman" w:hAnsi="Arial" w:cs="Arial"/>
          <w:b/>
          <w:bCs/>
          <w:kern w:val="0"/>
          <w:sz w:val="22"/>
          <w:szCs w:val="22"/>
          <w:lang w:eastAsia="en-GB"/>
          <w14:ligatures w14:val="none"/>
        </w:rPr>
        <w:t>Universal Credit</w:t>
      </w:r>
      <w:r w:rsidRPr="0033654B">
        <w:rPr>
          <w:rFonts w:ascii="Arial" w:eastAsia="Times New Roman" w:hAnsi="Arial" w:cs="Arial"/>
          <w:kern w:val="0"/>
          <w:sz w:val="22"/>
          <w:szCs w:val="22"/>
          <w:lang w:eastAsia="en-GB"/>
          <w14:ligatures w14:val="none"/>
        </w:rPr>
        <w:t xml:space="preserve"> and the </w:t>
      </w:r>
      <w:r w:rsidRPr="0033654B">
        <w:rPr>
          <w:rFonts w:ascii="Arial" w:eastAsia="Times New Roman" w:hAnsi="Arial" w:cs="Arial"/>
          <w:b/>
          <w:bCs/>
          <w:kern w:val="0"/>
          <w:sz w:val="22"/>
          <w:szCs w:val="22"/>
          <w:lang w:eastAsia="en-GB"/>
          <w14:ligatures w14:val="none"/>
        </w:rPr>
        <w:t>National Living Wage</w:t>
      </w:r>
      <w:r w:rsidRPr="0033654B">
        <w:rPr>
          <w:rFonts w:ascii="Arial" w:eastAsia="Times New Roman" w:hAnsi="Arial" w:cs="Arial"/>
          <w:kern w:val="0"/>
          <w:sz w:val="22"/>
          <w:szCs w:val="22"/>
          <w:lang w:eastAsia="en-GB"/>
          <w14:ligatures w14:val="none"/>
        </w:rPr>
        <w:t xml:space="preserve">, challenges remain. Addressing poverty requires a multifaceted approach that goes beyond financial support to tackle deeper issues like housing affordability, wage stagnation, and access to education. By focusing on comprehensive solutions such as expanding affordable housing, creating more job opportunities, and providing a universal financial safety net, the UK can make meaningful progress toward </w:t>
      </w:r>
      <w:r w:rsidRPr="0033654B">
        <w:rPr>
          <w:rFonts w:ascii="Arial" w:eastAsia="Times New Roman" w:hAnsi="Arial" w:cs="Arial"/>
          <w:b/>
          <w:bCs/>
          <w:kern w:val="0"/>
          <w:sz w:val="22"/>
          <w:szCs w:val="22"/>
          <w:lang w:eastAsia="en-GB"/>
          <w14:ligatures w14:val="none"/>
        </w:rPr>
        <w:t>SDG 1</w:t>
      </w:r>
      <w:r w:rsidRPr="0033654B">
        <w:rPr>
          <w:rFonts w:ascii="Arial" w:eastAsia="Times New Roman" w:hAnsi="Arial" w:cs="Arial"/>
          <w:kern w:val="0"/>
          <w:sz w:val="22"/>
          <w:szCs w:val="22"/>
          <w:lang w:eastAsia="en-GB"/>
          <w14:ligatures w14:val="none"/>
        </w:rPr>
        <w:t xml:space="preserve"> and create a more equitable and sustainable future for all.</w:t>
      </w:r>
    </w:p>
    <w:p w14:paraId="7C214F76" w14:textId="77777777" w:rsidR="00716C92" w:rsidRDefault="00716C92" w:rsidP="00716C9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FCBAE46" w14:textId="77777777" w:rsidR="009C61E2" w:rsidRPr="009C61E2" w:rsidRDefault="009C61E2" w:rsidP="009C61E2">
      <w:pPr>
        <w:spacing w:before="100" w:beforeAutospacing="1" w:after="100" w:afterAutospacing="1" w:line="360" w:lineRule="auto"/>
        <w:rPr>
          <w:rFonts w:ascii="Arial" w:eastAsia="Times New Roman" w:hAnsi="Arial" w:cs="Arial"/>
          <w:kern w:val="0"/>
          <w:sz w:val="22"/>
          <w:szCs w:val="22"/>
          <w:lang w:eastAsia="en-GB"/>
          <w14:ligatures w14:val="none"/>
        </w:rPr>
      </w:pPr>
      <w:r w:rsidRPr="009C61E2">
        <w:rPr>
          <w:rFonts w:ascii="Arial" w:eastAsia="Times New Roman" w:hAnsi="Arial" w:cs="Arial"/>
          <w:b/>
          <w:bCs/>
          <w:kern w:val="0"/>
          <w:sz w:val="22"/>
          <w:szCs w:val="22"/>
          <w:lang w:eastAsia="en-GB"/>
          <w14:ligatures w14:val="none"/>
        </w:rPr>
        <w:t>Goal B: Good Health and Wellbeing (SDG 3)</w:t>
      </w:r>
    </w:p>
    <w:p w14:paraId="13E97D89" w14:textId="77777777" w:rsidR="009C61E2" w:rsidRPr="009C61E2" w:rsidRDefault="009C61E2" w:rsidP="009C61E2">
      <w:pPr>
        <w:spacing w:before="100" w:beforeAutospacing="1" w:after="100" w:afterAutospacing="1" w:line="360" w:lineRule="auto"/>
        <w:rPr>
          <w:rFonts w:ascii="Arial" w:eastAsia="Times New Roman" w:hAnsi="Arial" w:cs="Arial"/>
          <w:kern w:val="0"/>
          <w:sz w:val="22"/>
          <w:szCs w:val="22"/>
          <w:lang w:eastAsia="en-GB"/>
          <w14:ligatures w14:val="none"/>
        </w:rPr>
      </w:pPr>
      <w:r w:rsidRPr="009C61E2">
        <w:rPr>
          <w:rFonts w:ascii="Arial" w:eastAsia="Times New Roman" w:hAnsi="Arial" w:cs="Arial"/>
          <w:kern w:val="0"/>
          <w:sz w:val="22"/>
          <w:szCs w:val="22"/>
          <w:lang w:eastAsia="en-GB"/>
          <w14:ligatures w14:val="none"/>
        </w:rPr>
        <w:t>The United Nations' Sustainable Development Goal 3 (SDG 3) seeks to ensure healthy lives and promote wellbeing for all people, regardless of their age or background (United Nations, 2015). This goal is crucial for sustainable development, as the health of individuals and communities directly impacts economic productivity, social stability, and overall societal progress (World Health Organization, 2020). By fostering better health outcomes, SDG 3 aims to create a more equitable society where access to quality healthcare and wellbeing services is available to all.</w:t>
      </w:r>
    </w:p>
    <w:p w14:paraId="7F81BCE5" w14:textId="77777777" w:rsidR="009C61E2" w:rsidRPr="009C61E2" w:rsidRDefault="009C61E2" w:rsidP="009C61E2">
      <w:pPr>
        <w:spacing w:before="100" w:beforeAutospacing="1" w:after="100" w:afterAutospacing="1" w:line="360" w:lineRule="auto"/>
        <w:rPr>
          <w:rFonts w:ascii="Arial" w:eastAsia="Times New Roman" w:hAnsi="Arial" w:cs="Arial"/>
          <w:kern w:val="0"/>
          <w:sz w:val="22"/>
          <w:szCs w:val="22"/>
          <w:lang w:eastAsia="en-GB"/>
          <w14:ligatures w14:val="none"/>
        </w:rPr>
      </w:pPr>
      <w:r w:rsidRPr="009C61E2">
        <w:rPr>
          <w:rFonts w:ascii="Arial" w:eastAsia="Times New Roman" w:hAnsi="Arial" w:cs="Arial"/>
          <w:kern w:val="0"/>
          <w:sz w:val="22"/>
          <w:szCs w:val="22"/>
          <w:lang w:eastAsia="en-GB"/>
          <w14:ligatures w14:val="none"/>
        </w:rPr>
        <w:t>In the United Kingdom, the National Health Service (NHS) Long Term Plan and initiatives led by Public Health England (PHE) are at the heart of the nation's efforts to achieve SDG 3. The NHS Long Term Plan, published in 2019, outlines an ambitious strategy for improving healthcare services, emphasising prevention, digital healthcare innovation, and the delivery of personalised care. This plan aims to enhance the quality and accessibility of healthcare, particularly through improving early intervention services and leveraging digital technologies to streamline patient care and service delivery (NHS England, 2019). On the other hand, Public Health England runs a range of national programmes targeting health improvement, disease prevention, and the reduction of health inequalities. These initiatives are key to fostering better public health and tackling the social determinants of health that lead to disparities in healthcare access (Public Health England, 2020).</w:t>
      </w:r>
    </w:p>
    <w:p w14:paraId="2F388C03" w14:textId="77777777" w:rsidR="009C61E2" w:rsidRPr="009C61E2" w:rsidRDefault="009C61E2" w:rsidP="009C61E2">
      <w:pPr>
        <w:spacing w:before="100" w:beforeAutospacing="1" w:after="100" w:afterAutospacing="1" w:line="360" w:lineRule="auto"/>
        <w:rPr>
          <w:rFonts w:ascii="Arial" w:eastAsia="Times New Roman" w:hAnsi="Arial" w:cs="Arial"/>
          <w:kern w:val="0"/>
          <w:sz w:val="22"/>
          <w:szCs w:val="22"/>
          <w:lang w:eastAsia="en-GB"/>
          <w14:ligatures w14:val="none"/>
        </w:rPr>
      </w:pPr>
      <w:r w:rsidRPr="009C61E2">
        <w:rPr>
          <w:rFonts w:ascii="Arial" w:eastAsia="Times New Roman" w:hAnsi="Arial" w:cs="Arial"/>
          <w:kern w:val="0"/>
          <w:sz w:val="22"/>
          <w:szCs w:val="22"/>
          <w:lang w:eastAsia="en-GB"/>
          <w14:ligatures w14:val="none"/>
        </w:rPr>
        <w:t>A critical evaluation of these strategies, however, reveals both strengths and challenges in their implementation. The NHS Long Term Plan has contributed to notable improvements in areas such as healthcare accessibility, patient satisfaction, and outcomes in certain areas of treatment. Nevertheless, the NHS continues to face significant barriers that hinder the full achievement of its objectives, such as workforce shortages, underfunding, and systemic inefficiencies. These issues have persisted for many years, and they undermine the potential for widespread improvement in the healthcare system (King’s Fund, 2021). Similarly, Public Health England’s initiatives have raised awareness of important health issues, from smoking cessation to reducing alcohol consumption and promoting physical activity. However, despite these efforts, the effectiveness of their programmes is often limited by persistent socio-economic inequalities, such as disparities in income, education, housing, and access to nutritious food (Health Foundation, 2020). These underlying factors continue to perpetuate unequal health outcomes, particularly among the most vulnerable groups in society.</w:t>
      </w:r>
    </w:p>
    <w:p w14:paraId="27601B72" w14:textId="77777777" w:rsidR="009C61E2" w:rsidRPr="009C61E2" w:rsidRDefault="009C61E2" w:rsidP="009C61E2">
      <w:pPr>
        <w:spacing w:before="100" w:beforeAutospacing="1" w:after="100" w:afterAutospacing="1" w:line="360" w:lineRule="auto"/>
        <w:rPr>
          <w:rFonts w:ascii="Arial" w:eastAsia="Times New Roman" w:hAnsi="Arial" w:cs="Arial"/>
          <w:kern w:val="0"/>
          <w:sz w:val="22"/>
          <w:szCs w:val="22"/>
          <w:lang w:eastAsia="en-GB"/>
          <w14:ligatures w14:val="none"/>
        </w:rPr>
      </w:pPr>
      <w:r w:rsidRPr="009C61E2">
        <w:rPr>
          <w:rFonts w:ascii="Arial" w:eastAsia="Times New Roman" w:hAnsi="Arial" w:cs="Arial"/>
          <w:kern w:val="0"/>
          <w:sz w:val="22"/>
          <w:szCs w:val="22"/>
          <w:lang w:eastAsia="en-GB"/>
          <w14:ligatures w14:val="none"/>
        </w:rPr>
        <w:t>There has been significant progress towards achieving SDG 3 in the UK, evidenced by declines in mortality rates, particularly among children, improvements in chronic disease management, and better access to healthcare services. However, despite these advances, substantial challenges remain. The COVID-19 pandemic exacerbated many of the pre-existing issues within the healthcare system, placing enormous strain on NHS resources and leading to a sharp rise in waiting times, service delays, and a growing backlog of patients in need of care. Additionally, the pandemic deepened existing health inequalities, disproportionately affecting disadvantaged communities who already faced barriers in accessing timely healthcare (British Medical Association, 2021). These challenges highlight the urgent need for continued reform, investment, and a comprehensive approach to address both immediate healthcare pressures and long-term public health goals.</w:t>
      </w:r>
    </w:p>
    <w:p w14:paraId="2D099B6A" w14:textId="77777777" w:rsidR="009C61E2" w:rsidRPr="009C61E2" w:rsidRDefault="009C61E2" w:rsidP="009C61E2">
      <w:pPr>
        <w:spacing w:before="100" w:beforeAutospacing="1" w:after="100" w:afterAutospacing="1" w:line="360" w:lineRule="auto"/>
        <w:rPr>
          <w:rFonts w:ascii="Arial" w:eastAsia="Times New Roman" w:hAnsi="Arial" w:cs="Arial"/>
          <w:kern w:val="0"/>
          <w:sz w:val="22"/>
          <w:szCs w:val="22"/>
          <w:lang w:eastAsia="en-GB"/>
          <w14:ligatures w14:val="none"/>
        </w:rPr>
      </w:pPr>
      <w:r w:rsidRPr="009C61E2">
        <w:rPr>
          <w:rFonts w:ascii="Arial" w:eastAsia="Times New Roman" w:hAnsi="Arial" w:cs="Arial"/>
          <w:kern w:val="0"/>
          <w:sz w:val="22"/>
          <w:szCs w:val="22"/>
          <w:lang w:eastAsia="en-GB"/>
          <w14:ligatures w14:val="none"/>
        </w:rPr>
        <w:t>Key obstacles to achieving SDG 3 in the UK include insufficient NHS funding, critical shortages in the healthcare workforce, and persistent health inequalities. The demand for healthcare services is continuously rising due to an aging population, the increasing prevalence of chronic conditions, and the growing complexity of medical needs. This has put immense pressure on an already overstretched NHS, resulting in longer waiting times, reduced service quality, and mounting levels of patient dissatisfaction (Nuffield Trust, 2021). The social determinants of health—such as poverty, poor housing conditions, low education levels, and limited access to healthy food—continue to exacerbate health disparities. These factors contribute significantly to poor health outcomes, particularly among lower-income and marginalised communities, where individuals often face multiple barriers to accessing the healthcare they need.</w:t>
      </w:r>
    </w:p>
    <w:p w14:paraId="649BF16B" w14:textId="77777777" w:rsidR="009C61E2" w:rsidRPr="009C61E2" w:rsidRDefault="009C61E2" w:rsidP="009C61E2">
      <w:pPr>
        <w:spacing w:before="100" w:beforeAutospacing="1" w:after="100" w:afterAutospacing="1" w:line="360" w:lineRule="auto"/>
        <w:rPr>
          <w:rFonts w:ascii="Arial" w:eastAsia="Times New Roman" w:hAnsi="Arial" w:cs="Arial"/>
          <w:kern w:val="0"/>
          <w:sz w:val="22"/>
          <w:szCs w:val="22"/>
          <w:lang w:eastAsia="en-GB"/>
          <w14:ligatures w14:val="none"/>
        </w:rPr>
      </w:pPr>
      <w:r w:rsidRPr="009C61E2">
        <w:rPr>
          <w:rFonts w:ascii="Arial" w:eastAsia="Times New Roman" w:hAnsi="Arial" w:cs="Arial"/>
          <w:kern w:val="0"/>
          <w:sz w:val="22"/>
          <w:szCs w:val="22"/>
          <w:lang w:eastAsia="en-GB"/>
          <w14:ligatures w14:val="none"/>
        </w:rPr>
        <w:t>To achieve SDG 3 and create a healthier, more equitable society, several recommendations can be made. First, increasing NHS funding is essential to address the growing demand for services and to enhance the overall quality of care. The UK must invest more in preventative healthcare, as early intervention and health promotion are cost-effective strategies that reduce the burden on the NHS in the long term. By addressing key risk factors such as smoking, poor diet, and physical inactivity, the government can reduce the incidence of chronic conditions such as heart disease, diabetes, and obesity. Preventative measures can also be incorporated into community-based healthcare models, which focus on empowering individuals to take control of their health and improve their wellbeing.</w:t>
      </w:r>
    </w:p>
    <w:p w14:paraId="4D8993C0" w14:textId="77777777" w:rsidR="009C61E2" w:rsidRPr="009C61E2" w:rsidRDefault="009C61E2" w:rsidP="009C61E2">
      <w:pPr>
        <w:spacing w:before="100" w:beforeAutospacing="1" w:after="100" w:afterAutospacing="1" w:line="360" w:lineRule="auto"/>
        <w:rPr>
          <w:rFonts w:ascii="Arial" w:eastAsia="Times New Roman" w:hAnsi="Arial" w:cs="Arial"/>
          <w:kern w:val="0"/>
          <w:sz w:val="22"/>
          <w:szCs w:val="22"/>
          <w:lang w:eastAsia="en-GB"/>
          <w14:ligatures w14:val="none"/>
        </w:rPr>
      </w:pPr>
      <w:r w:rsidRPr="009C61E2">
        <w:rPr>
          <w:rFonts w:ascii="Arial" w:eastAsia="Times New Roman" w:hAnsi="Arial" w:cs="Arial"/>
          <w:kern w:val="0"/>
          <w:sz w:val="22"/>
          <w:szCs w:val="22"/>
          <w:lang w:eastAsia="en-GB"/>
          <w14:ligatures w14:val="none"/>
        </w:rPr>
        <w:t>Furthermore, it is crucial to tackle the social determinants of health. Measures to reduce income inequality, improve housing conditions, and increase educational opportunities will have long-term positive effects on health outcomes. For instance, improving access to nutritious food through public health campaigns and initiatives that subsidise healthy eating options for low-income households could have significant impacts on reducing diet-related illnesses.</w:t>
      </w:r>
    </w:p>
    <w:p w14:paraId="31F60C96" w14:textId="77777777" w:rsidR="009C61E2" w:rsidRPr="009C61E2" w:rsidRDefault="009C61E2" w:rsidP="009C61E2">
      <w:pPr>
        <w:spacing w:before="100" w:beforeAutospacing="1" w:after="100" w:afterAutospacing="1" w:line="360" w:lineRule="auto"/>
        <w:rPr>
          <w:rFonts w:ascii="Arial" w:eastAsia="Times New Roman" w:hAnsi="Arial" w:cs="Arial"/>
          <w:kern w:val="0"/>
          <w:sz w:val="22"/>
          <w:szCs w:val="22"/>
          <w:lang w:eastAsia="en-GB"/>
          <w14:ligatures w14:val="none"/>
        </w:rPr>
      </w:pPr>
      <w:r w:rsidRPr="009C61E2">
        <w:rPr>
          <w:rFonts w:ascii="Arial" w:eastAsia="Times New Roman" w:hAnsi="Arial" w:cs="Arial"/>
          <w:kern w:val="0"/>
          <w:sz w:val="22"/>
          <w:szCs w:val="22"/>
          <w:lang w:eastAsia="en-GB"/>
          <w14:ligatures w14:val="none"/>
        </w:rPr>
        <w:t>Mental health services should also be a priority, as mental health disorders are increasingly recognised as a significant burden on public health. The UK must invest in expanding mental health care services, particularly community-based care models that reduce the reliance on hospitalisation and provide long-term support for individuals. Integrating mental health services into primary care settings can help address mental health issues before they escalate into more severe conditions, reducing the strain on specialised services and improving patient outcomes.</w:t>
      </w:r>
    </w:p>
    <w:p w14:paraId="474D962E" w14:textId="77777777" w:rsidR="009C61E2" w:rsidRPr="009C61E2" w:rsidRDefault="009C61E2" w:rsidP="009C61E2">
      <w:pPr>
        <w:spacing w:before="100" w:beforeAutospacing="1" w:after="100" w:afterAutospacing="1" w:line="360" w:lineRule="auto"/>
        <w:rPr>
          <w:rFonts w:ascii="Arial" w:eastAsia="Times New Roman" w:hAnsi="Arial" w:cs="Arial"/>
          <w:kern w:val="0"/>
          <w:sz w:val="22"/>
          <w:szCs w:val="22"/>
          <w:lang w:eastAsia="en-GB"/>
          <w14:ligatures w14:val="none"/>
        </w:rPr>
      </w:pPr>
      <w:r w:rsidRPr="009C61E2">
        <w:rPr>
          <w:rFonts w:ascii="Arial" w:eastAsia="Times New Roman" w:hAnsi="Arial" w:cs="Arial"/>
          <w:kern w:val="0"/>
          <w:sz w:val="22"/>
          <w:szCs w:val="22"/>
          <w:lang w:eastAsia="en-GB"/>
          <w14:ligatures w14:val="none"/>
        </w:rPr>
        <w:t>Finally, greater attention must be paid to addressing health inequalities that affect certain communities more severely, such as ethnic minorities and those living in deprived areas. Targeted interventions and culturally sensitive healthcare practices are necessary to ensure that everyone has equal access to the benefits of SDG 3, irrespective of their socio-economic background. Ensuring equal access to education, employment, and healthcare opportunities is crucial in promoting better health outcomes and narrowing the gaps in life expectancy and quality of life between different socio-economic groups (Royal Society for Public Health, 2021).</w:t>
      </w:r>
    </w:p>
    <w:p w14:paraId="06874BB0" w14:textId="68930245" w:rsidR="009C61E2" w:rsidRPr="009C61E2" w:rsidRDefault="009C61E2" w:rsidP="009C61E2">
      <w:pPr>
        <w:spacing w:before="100" w:beforeAutospacing="1" w:after="100" w:afterAutospacing="1" w:line="360" w:lineRule="auto"/>
        <w:rPr>
          <w:rFonts w:ascii="Arial" w:eastAsia="Times New Roman" w:hAnsi="Arial" w:cs="Arial"/>
          <w:kern w:val="0"/>
          <w:sz w:val="22"/>
          <w:szCs w:val="22"/>
          <w:lang w:eastAsia="en-GB"/>
          <w14:ligatures w14:val="none"/>
        </w:rPr>
      </w:pPr>
      <w:r w:rsidRPr="009C61E2">
        <w:rPr>
          <w:rFonts w:ascii="Arial" w:eastAsia="Times New Roman" w:hAnsi="Arial" w:cs="Arial"/>
          <w:kern w:val="0"/>
          <w:sz w:val="22"/>
          <w:szCs w:val="22"/>
          <w:lang w:eastAsia="en-GB"/>
          <w14:ligatures w14:val="none"/>
        </w:rPr>
        <w:t>W</w:t>
      </w:r>
      <w:r w:rsidRPr="009C61E2">
        <w:rPr>
          <w:rFonts w:ascii="Arial" w:eastAsia="Times New Roman" w:hAnsi="Arial" w:cs="Arial"/>
          <w:kern w:val="0"/>
          <w:sz w:val="22"/>
          <w:szCs w:val="22"/>
          <w:lang w:eastAsia="en-GB"/>
          <w14:ligatures w14:val="none"/>
        </w:rPr>
        <w:t>hile progress has been made towards achieving SDG 3 in the UK, much more needs to be done to ensure that the nation can meet the targets set by the United Nations. Key challenges such as inadequate NHS funding, workforce shortages, and persistent health inequalities need to be addressed through strategic investments, reforms, and a more inclusive approach to healthcare. By focusing on prevention, tackling the social determinants of health, and providing equitable access to high-quality healthcare services, the UK can continue its journey towards a healthier and more prosperous society for all its citizens.</w:t>
      </w:r>
    </w:p>
    <w:p w14:paraId="0C372247" w14:textId="77777777" w:rsidR="00552259" w:rsidRPr="00853FA6" w:rsidRDefault="00552259" w:rsidP="00853FA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FA2B853" w14:textId="77777777" w:rsidR="00853FA6" w:rsidRPr="00853FA6" w:rsidRDefault="00853FA6" w:rsidP="00853FA6">
      <w:pPr>
        <w:spacing w:after="0" w:line="240" w:lineRule="auto"/>
        <w:rPr>
          <w:rFonts w:ascii="Times New Roman" w:eastAsia="Times New Roman" w:hAnsi="Times New Roman" w:cs="Times New Roman"/>
          <w:kern w:val="0"/>
          <w:lang w:eastAsia="en-GB"/>
          <w14:ligatures w14:val="none"/>
        </w:rPr>
      </w:pPr>
      <w:r w:rsidRPr="00853FA6">
        <w:rPr>
          <w:rFonts w:ascii="Times New Roman" w:eastAsia="Times New Roman" w:hAnsi="Times New Roman" w:cs="Times New Roman"/>
          <w:kern w:val="0"/>
          <w:lang w:eastAsia="en-GB"/>
          <w14:ligatures w14:val="none"/>
        </w:rPr>
        <w:pict w14:anchorId="190BB748">
          <v:rect id="_x0000_i1065" style="width:0;height:1.5pt" o:hralign="center" o:hrstd="t" o:hr="t" fillcolor="#a0a0a0" stroked="f"/>
        </w:pict>
      </w:r>
    </w:p>
    <w:p w14:paraId="4CD96AB8" w14:textId="77777777" w:rsidR="00853FA6" w:rsidRPr="00853FA6" w:rsidRDefault="00853FA6" w:rsidP="00853FA6">
      <w:pPr>
        <w:spacing w:after="0" w:line="240" w:lineRule="auto"/>
        <w:rPr>
          <w:rFonts w:ascii="Times New Roman" w:eastAsia="Times New Roman" w:hAnsi="Times New Roman" w:cs="Times New Roman"/>
          <w:kern w:val="0"/>
          <w:lang w:eastAsia="en-GB"/>
          <w14:ligatures w14:val="none"/>
        </w:rPr>
      </w:pPr>
      <w:r w:rsidRPr="00853FA6">
        <w:rPr>
          <w:rFonts w:ascii="Times New Roman" w:eastAsia="Times New Roman" w:hAnsi="Times New Roman" w:cs="Times New Roman"/>
          <w:kern w:val="0"/>
          <w:lang w:eastAsia="en-GB"/>
          <w14:ligatures w14:val="none"/>
        </w:rPr>
        <w:pict w14:anchorId="1881423B">
          <v:rect id="_x0000_i1066" style="width:0;height:1.5pt" o:hralign="center" o:hrstd="t" o:hr="t" fillcolor="#a0a0a0" stroked="f"/>
        </w:pict>
      </w:r>
    </w:p>
    <w:p w14:paraId="57F6AF1D" w14:textId="77777777" w:rsidR="00853FA6" w:rsidRPr="00853FA6" w:rsidRDefault="00853FA6" w:rsidP="00853FA6">
      <w:pPr>
        <w:spacing w:after="0" w:line="240" w:lineRule="auto"/>
        <w:rPr>
          <w:rFonts w:ascii="Times New Roman" w:eastAsia="Times New Roman" w:hAnsi="Times New Roman" w:cs="Times New Roman"/>
          <w:kern w:val="0"/>
          <w:lang w:eastAsia="en-GB"/>
          <w14:ligatures w14:val="none"/>
        </w:rPr>
      </w:pPr>
      <w:r w:rsidRPr="00853FA6">
        <w:rPr>
          <w:rFonts w:ascii="Times New Roman" w:eastAsia="Times New Roman" w:hAnsi="Times New Roman" w:cs="Times New Roman"/>
          <w:kern w:val="0"/>
          <w:lang w:eastAsia="en-GB"/>
          <w14:ligatures w14:val="none"/>
        </w:rPr>
        <w:pict w14:anchorId="31D69A6A">
          <v:rect id="_x0000_i1067" style="width:0;height:1.5pt" o:hralign="center" o:hrstd="t" o:hr="t" fillcolor="#a0a0a0" stroked="f"/>
        </w:pict>
      </w:r>
    </w:p>
    <w:p w14:paraId="1795C7A6" w14:textId="57069375" w:rsidR="00853FA6" w:rsidRDefault="00853FA6" w:rsidP="003E1707">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853FA6">
        <w:rPr>
          <w:rFonts w:ascii="Times New Roman" w:eastAsia="Times New Roman" w:hAnsi="Times New Roman" w:cs="Times New Roman"/>
          <w:b/>
          <w:bCs/>
          <w:kern w:val="0"/>
          <w:sz w:val="36"/>
          <w:szCs w:val="36"/>
          <w:lang w:eastAsia="en-GB"/>
          <w14:ligatures w14:val="none"/>
        </w:rPr>
        <w:t>Conclusion</w:t>
      </w:r>
    </w:p>
    <w:p w14:paraId="1D1E4093" w14:textId="77777777" w:rsidR="00FE0D2C" w:rsidRPr="00FE0D2C" w:rsidRDefault="00FE0D2C" w:rsidP="00FE0D2C">
      <w:pPr>
        <w:spacing w:before="100" w:beforeAutospacing="1" w:after="100" w:afterAutospacing="1" w:line="360" w:lineRule="auto"/>
        <w:rPr>
          <w:rFonts w:ascii="Arial" w:eastAsia="Times New Roman" w:hAnsi="Arial" w:cs="Arial"/>
          <w:kern w:val="0"/>
          <w:sz w:val="22"/>
          <w:szCs w:val="22"/>
          <w:lang w:eastAsia="en-GB"/>
          <w14:ligatures w14:val="none"/>
        </w:rPr>
      </w:pPr>
      <w:r w:rsidRPr="00FE0D2C">
        <w:rPr>
          <w:rFonts w:ascii="Arial" w:eastAsia="Times New Roman" w:hAnsi="Arial" w:cs="Arial"/>
          <w:kern w:val="0"/>
          <w:sz w:val="22"/>
          <w:szCs w:val="22"/>
          <w:lang w:eastAsia="en-GB"/>
          <w14:ligatures w14:val="none"/>
        </w:rPr>
        <w:t>In conclusion, the UK has made significant strides in addressing SDG 1 (No Poverty) and SDG 3 (Good Health and Wellbeing). However, significant challenges persist, including economic inequalities, funding limitations, and systemic barriers to accessing healthcare. Government initiatives, such as Universal Credit and the NHS Long Term Plan, have produced some positive outcomes, but gaps in policy execution and resource distribution continue to impede progress.</w:t>
      </w:r>
    </w:p>
    <w:p w14:paraId="2CA00658" w14:textId="77777777" w:rsidR="00FE0D2C" w:rsidRPr="00FE0D2C" w:rsidRDefault="00FE0D2C" w:rsidP="00FE0D2C">
      <w:pPr>
        <w:spacing w:before="100" w:beforeAutospacing="1" w:after="100" w:afterAutospacing="1" w:line="360" w:lineRule="auto"/>
        <w:rPr>
          <w:rFonts w:ascii="Arial" w:eastAsia="Times New Roman" w:hAnsi="Arial" w:cs="Arial"/>
          <w:kern w:val="0"/>
          <w:sz w:val="22"/>
          <w:szCs w:val="22"/>
          <w:lang w:eastAsia="en-GB"/>
          <w14:ligatures w14:val="none"/>
        </w:rPr>
      </w:pPr>
      <w:r w:rsidRPr="00FE0D2C">
        <w:rPr>
          <w:rFonts w:ascii="Arial" w:eastAsia="Times New Roman" w:hAnsi="Arial" w:cs="Arial"/>
          <w:kern w:val="0"/>
          <w:sz w:val="22"/>
          <w:szCs w:val="22"/>
          <w:lang w:eastAsia="en-GB"/>
          <w14:ligatures w14:val="none"/>
        </w:rPr>
        <w:t>A more integrated approach, combining economic, social, and healthcare strategies, is essential for ensuring long-term sustainability. In order to make substantial progress, it is crucial to focus on preventive healthcare, improve welfare support, and tackle the underlying social determinants of health, such as housing, education, and employment. These factors not only influence the physical health of individuals but also affect their mental and social well-being.</w:t>
      </w:r>
    </w:p>
    <w:p w14:paraId="122027A0" w14:textId="77777777" w:rsidR="00FE0D2C" w:rsidRPr="00FE0D2C" w:rsidRDefault="00FE0D2C" w:rsidP="00FE0D2C">
      <w:pPr>
        <w:spacing w:before="100" w:beforeAutospacing="1" w:after="100" w:afterAutospacing="1" w:line="360" w:lineRule="auto"/>
        <w:rPr>
          <w:rFonts w:ascii="Arial" w:eastAsia="Times New Roman" w:hAnsi="Arial" w:cs="Arial"/>
          <w:kern w:val="0"/>
          <w:sz w:val="22"/>
          <w:szCs w:val="22"/>
          <w:lang w:eastAsia="en-GB"/>
          <w14:ligatures w14:val="none"/>
        </w:rPr>
      </w:pPr>
      <w:r w:rsidRPr="00FE0D2C">
        <w:rPr>
          <w:rFonts w:ascii="Arial" w:eastAsia="Times New Roman" w:hAnsi="Arial" w:cs="Arial"/>
          <w:kern w:val="0"/>
          <w:sz w:val="22"/>
          <w:szCs w:val="22"/>
          <w:lang w:eastAsia="en-GB"/>
          <w14:ligatures w14:val="none"/>
        </w:rPr>
        <w:t>The UK’s healthcare system, although robust, faces increasing pressures due to an ageing population, chronic diseases, and underfunding. While the NHS remains a cornerstone of public health provision, it must adapt to changing needs by embracing innovative solutions, including digital health services and community-based care models. More efficient use of resources, along with better coordination between healthcare sectors and other social services, could enhance both accessibility and quality of care.</w:t>
      </w:r>
    </w:p>
    <w:p w14:paraId="769CEDCD" w14:textId="77777777" w:rsidR="00FE0D2C" w:rsidRPr="00FE0D2C" w:rsidRDefault="00FE0D2C" w:rsidP="00FE0D2C">
      <w:pPr>
        <w:spacing w:before="100" w:beforeAutospacing="1" w:after="100" w:afterAutospacing="1" w:line="360" w:lineRule="auto"/>
        <w:rPr>
          <w:rFonts w:ascii="Arial" w:eastAsia="Times New Roman" w:hAnsi="Arial" w:cs="Arial"/>
          <w:kern w:val="0"/>
          <w:sz w:val="22"/>
          <w:szCs w:val="22"/>
          <w:lang w:eastAsia="en-GB"/>
          <w14:ligatures w14:val="none"/>
        </w:rPr>
      </w:pPr>
      <w:r w:rsidRPr="00FE0D2C">
        <w:rPr>
          <w:rFonts w:ascii="Arial" w:eastAsia="Times New Roman" w:hAnsi="Arial" w:cs="Arial"/>
          <w:kern w:val="0"/>
          <w:sz w:val="22"/>
          <w:szCs w:val="22"/>
          <w:lang w:eastAsia="en-GB"/>
          <w14:ligatures w14:val="none"/>
        </w:rPr>
        <w:t>Furthermore, addressing economic inequality through enhanced social safety nets and targeted policies for vulnerable groups, such as low-income families, ethnic minorities, and people with disabilities, is paramount to reducing poverty and improving overall well-being. Tackling poverty and health disparities requires a commitment to equitable policies and a long-term vision that ensures fair access to opportunities, care, and support for all individuals.</w:t>
      </w:r>
    </w:p>
    <w:p w14:paraId="7D5BD904" w14:textId="77777777" w:rsidR="00FE0D2C" w:rsidRPr="00FE0D2C" w:rsidRDefault="00FE0D2C" w:rsidP="00FE0D2C">
      <w:pPr>
        <w:spacing w:before="100" w:beforeAutospacing="1" w:after="100" w:afterAutospacing="1" w:line="360" w:lineRule="auto"/>
        <w:rPr>
          <w:rFonts w:ascii="Arial" w:eastAsia="Times New Roman" w:hAnsi="Arial" w:cs="Arial"/>
          <w:kern w:val="0"/>
          <w:sz w:val="22"/>
          <w:szCs w:val="22"/>
          <w:lang w:eastAsia="en-GB"/>
          <w14:ligatures w14:val="none"/>
        </w:rPr>
      </w:pPr>
      <w:r w:rsidRPr="00FE0D2C">
        <w:rPr>
          <w:rFonts w:ascii="Arial" w:eastAsia="Times New Roman" w:hAnsi="Arial" w:cs="Arial"/>
          <w:kern w:val="0"/>
          <w:sz w:val="22"/>
          <w:szCs w:val="22"/>
          <w:lang w:eastAsia="en-GB"/>
          <w14:ligatures w14:val="none"/>
        </w:rPr>
        <w:t>For the UK to move closer to achieving these critical SDGs, there needs to be greater collaboration between policymakers, healthcare providers, and community organisations. In particular, local-level engagement is vital for understanding and responding to the specific needs of diverse communities. By prioritising an inclusive approach and embedding sustainability into all levels of planning, the UK can make meaningful, lasting improvements to both health outcomes and poverty reduction.</w:t>
      </w:r>
    </w:p>
    <w:p w14:paraId="1A0573FE" w14:textId="77777777" w:rsidR="00FE0D2C" w:rsidRPr="00BD4A92" w:rsidRDefault="00FE0D2C" w:rsidP="00FE0D2C">
      <w:pPr>
        <w:spacing w:before="100" w:beforeAutospacing="1" w:after="100" w:afterAutospacing="1" w:line="360" w:lineRule="auto"/>
        <w:outlineLvl w:val="1"/>
        <w:rPr>
          <w:rFonts w:ascii="Arial" w:hAnsi="Arial" w:cs="Arial"/>
          <w:b/>
          <w:bCs/>
          <w:sz w:val="22"/>
          <w:szCs w:val="22"/>
        </w:rPr>
      </w:pPr>
    </w:p>
    <w:p w14:paraId="62DDB927" w14:textId="322B160B" w:rsidR="000A7C15" w:rsidRPr="00BD4A92" w:rsidRDefault="00035D05" w:rsidP="00853FA6">
      <w:pPr>
        <w:pStyle w:val="NormalWeb"/>
        <w:rPr>
          <w:b/>
          <w:bCs/>
        </w:rPr>
      </w:pPr>
      <w:r w:rsidRPr="00BD4A92">
        <w:rPr>
          <w:b/>
          <w:bCs/>
        </w:rPr>
        <w:t>References</w:t>
      </w:r>
    </w:p>
    <w:p w14:paraId="20CF30D9"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Brundtland</w:t>
      </w:r>
      <w:proofErr w:type="gramEnd"/>
      <w:r w:rsidRPr="007F6438">
        <w:rPr>
          <w:rFonts w:ascii="Times New Roman" w:eastAsia="Times New Roman" w:hAnsi="Times New Roman" w:cs="Times New Roman"/>
          <w:kern w:val="0"/>
          <w:lang w:eastAsia="en-GB"/>
          <w14:ligatures w14:val="none"/>
        </w:rPr>
        <w:t xml:space="preserve">, G.H., 1987. </w:t>
      </w:r>
      <w:r w:rsidRPr="007F6438">
        <w:rPr>
          <w:rFonts w:ascii="Times New Roman" w:eastAsia="Times New Roman" w:hAnsi="Times New Roman" w:cs="Times New Roman"/>
          <w:i/>
          <w:iCs/>
          <w:kern w:val="0"/>
          <w:lang w:eastAsia="en-GB"/>
          <w14:ligatures w14:val="none"/>
        </w:rPr>
        <w:t>Our common future: Report of the World Commission on Environment and Development</w:t>
      </w:r>
      <w:r w:rsidRPr="007F6438">
        <w:rPr>
          <w:rFonts w:ascii="Times New Roman" w:eastAsia="Times New Roman" w:hAnsi="Times New Roman" w:cs="Times New Roman"/>
          <w:kern w:val="0"/>
          <w:lang w:eastAsia="en-GB"/>
          <w14:ligatures w14:val="none"/>
        </w:rPr>
        <w:t>. Oxford University Press, Oxford.</w:t>
      </w:r>
    </w:p>
    <w:p w14:paraId="4791AEAD"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British</w:t>
      </w:r>
      <w:proofErr w:type="gramEnd"/>
      <w:r w:rsidRPr="007F6438">
        <w:rPr>
          <w:rFonts w:ascii="Times New Roman" w:eastAsia="Times New Roman" w:hAnsi="Times New Roman" w:cs="Times New Roman"/>
          <w:kern w:val="0"/>
          <w:lang w:eastAsia="en-GB"/>
          <w14:ligatures w14:val="none"/>
        </w:rPr>
        <w:t xml:space="preserve"> Medical Association, 2021. </w:t>
      </w:r>
      <w:r w:rsidRPr="007F6438">
        <w:rPr>
          <w:rFonts w:ascii="Times New Roman" w:eastAsia="Times New Roman" w:hAnsi="Times New Roman" w:cs="Times New Roman"/>
          <w:i/>
          <w:iCs/>
          <w:kern w:val="0"/>
          <w:lang w:eastAsia="en-GB"/>
          <w14:ligatures w14:val="none"/>
        </w:rPr>
        <w:t>The impact of COVID-19 on health inequalities</w:t>
      </w:r>
      <w:r w:rsidRPr="007F6438">
        <w:rPr>
          <w:rFonts w:ascii="Times New Roman" w:eastAsia="Times New Roman" w:hAnsi="Times New Roman" w:cs="Times New Roman"/>
          <w:kern w:val="0"/>
          <w:lang w:eastAsia="en-GB"/>
          <w14:ligatures w14:val="none"/>
        </w:rPr>
        <w:t xml:space="preserve">. [online] Available at: </w:t>
      </w:r>
      <w:hyperlink r:id="rId5" w:tgtFrame="_new" w:history="1">
        <w:r w:rsidRPr="007F6438">
          <w:rPr>
            <w:rFonts w:ascii="Times New Roman" w:eastAsia="Times New Roman" w:hAnsi="Times New Roman" w:cs="Times New Roman"/>
            <w:color w:val="0000FF"/>
            <w:kern w:val="0"/>
            <w:u w:val="single"/>
            <w:lang w:eastAsia="en-GB"/>
            <w14:ligatures w14:val="none"/>
          </w:rPr>
          <w:t>https://www.bma.org.uk</w:t>
        </w:r>
      </w:hyperlink>
      <w:r w:rsidRPr="007F6438">
        <w:rPr>
          <w:rFonts w:ascii="Times New Roman" w:eastAsia="Times New Roman" w:hAnsi="Times New Roman" w:cs="Times New Roman"/>
          <w:kern w:val="0"/>
          <w:lang w:eastAsia="en-GB"/>
          <w14:ligatures w14:val="none"/>
        </w:rPr>
        <w:t xml:space="preserve"> [Accessed 23 March 2025].</w:t>
      </w:r>
    </w:p>
    <w:p w14:paraId="3AE70561"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Department</w:t>
      </w:r>
      <w:proofErr w:type="gramEnd"/>
      <w:r w:rsidRPr="007F6438">
        <w:rPr>
          <w:rFonts w:ascii="Times New Roman" w:eastAsia="Times New Roman" w:hAnsi="Times New Roman" w:cs="Times New Roman"/>
          <w:kern w:val="0"/>
          <w:lang w:eastAsia="en-GB"/>
          <w14:ligatures w14:val="none"/>
        </w:rPr>
        <w:t xml:space="preserve"> for Work and Pensions, 2018. </w:t>
      </w:r>
      <w:r w:rsidRPr="007F6438">
        <w:rPr>
          <w:rFonts w:ascii="Times New Roman" w:eastAsia="Times New Roman" w:hAnsi="Times New Roman" w:cs="Times New Roman"/>
          <w:i/>
          <w:iCs/>
          <w:kern w:val="0"/>
          <w:lang w:eastAsia="en-GB"/>
          <w14:ligatures w14:val="none"/>
        </w:rPr>
        <w:t>Universal Credit: a new approach to welfare</w:t>
      </w:r>
      <w:r w:rsidRPr="007F6438">
        <w:rPr>
          <w:rFonts w:ascii="Times New Roman" w:eastAsia="Times New Roman" w:hAnsi="Times New Roman" w:cs="Times New Roman"/>
          <w:kern w:val="0"/>
          <w:lang w:eastAsia="en-GB"/>
          <w14:ligatures w14:val="none"/>
        </w:rPr>
        <w:t xml:space="preserve">. [online] Available at: </w:t>
      </w:r>
      <w:hyperlink r:id="rId6" w:tgtFrame="_new" w:history="1">
        <w:r w:rsidRPr="007F6438">
          <w:rPr>
            <w:rFonts w:ascii="Times New Roman" w:eastAsia="Times New Roman" w:hAnsi="Times New Roman" w:cs="Times New Roman"/>
            <w:color w:val="0000FF"/>
            <w:kern w:val="0"/>
            <w:u w:val="single"/>
            <w:lang w:eastAsia="en-GB"/>
            <w14:ligatures w14:val="none"/>
          </w:rPr>
          <w:t>https://www.gov.uk/government/publications/universal-credit-a-new-approach-to-welfare</w:t>
        </w:r>
      </w:hyperlink>
      <w:r w:rsidRPr="007F6438">
        <w:rPr>
          <w:rFonts w:ascii="Times New Roman" w:eastAsia="Times New Roman" w:hAnsi="Times New Roman" w:cs="Times New Roman"/>
          <w:kern w:val="0"/>
          <w:lang w:eastAsia="en-GB"/>
          <w14:ligatures w14:val="none"/>
        </w:rPr>
        <w:t xml:space="preserve"> [Accessed 23 March 2025].</w:t>
      </w:r>
    </w:p>
    <w:p w14:paraId="4BC62E9B"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Dolan</w:t>
      </w:r>
      <w:proofErr w:type="gramEnd"/>
      <w:r w:rsidRPr="007F6438">
        <w:rPr>
          <w:rFonts w:ascii="Times New Roman" w:eastAsia="Times New Roman" w:hAnsi="Times New Roman" w:cs="Times New Roman"/>
          <w:kern w:val="0"/>
          <w:lang w:eastAsia="en-GB"/>
          <w14:ligatures w14:val="none"/>
        </w:rPr>
        <w:t xml:space="preserve">, P., Layard, R. &amp; Metcalfe, R., 2011. </w:t>
      </w:r>
      <w:r w:rsidRPr="007F6438">
        <w:rPr>
          <w:rFonts w:ascii="Times New Roman" w:eastAsia="Times New Roman" w:hAnsi="Times New Roman" w:cs="Times New Roman"/>
          <w:i/>
          <w:iCs/>
          <w:kern w:val="0"/>
          <w:lang w:eastAsia="en-GB"/>
          <w14:ligatures w14:val="none"/>
        </w:rPr>
        <w:t>Measuring subjective wellbeing for public policy: Recommendations on measures of subjective wellbeing</w:t>
      </w:r>
      <w:r w:rsidRPr="007F6438">
        <w:rPr>
          <w:rFonts w:ascii="Times New Roman" w:eastAsia="Times New Roman" w:hAnsi="Times New Roman" w:cs="Times New Roman"/>
          <w:kern w:val="0"/>
          <w:lang w:eastAsia="en-GB"/>
          <w14:ligatures w14:val="none"/>
        </w:rPr>
        <w:t>. Centre for Economic Performance, London School of Economics and Political Science.</w:t>
      </w:r>
    </w:p>
    <w:p w14:paraId="0CF6DE62"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Health</w:t>
      </w:r>
      <w:proofErr w:type="gramEnd"/>
      <w:r w:rsidRPr="007F6438">
        <w:rPr>
          <w:rFonts w:ascii="Times New Roman" w:eastAsia="Times New Roman" w:hAnsi="Times New Roman" w:cs="Times New Roman"/>
          <w:kern w:val="0"/>
          <w:lang w:eastAsia="en-GB"/>
          <w14:ligatures w14:val="none"/>
        </w:rPr>
        <w:t xml:space="preserve"> Foundation, 2020. </w:t>
      </w:r>
      <w:r w:rsidRPr="007F6438">
        <w:rPr>
          <w:rFonts w:ascii="Times New Roman" w:eastAsia="Times New Roman" w:hAnsi="Times New Roman" w:cs="Times New Roman"/>
          <w:i/>
          <w:iCs/>
          <w:kern w:val="0"/>
          <w:lang w:eastAsia="en-GB"/>
          <w14:ligatures w14:val="none"/>
        </w:rPr>
        <w:t>Health inequalities in the UK</w:t>
      </w:r>
      <w:r w:rsidRPr="007F6438">
        <w:rPr>
          <w:rFonts w:ascii="Times New Roman" w:eastAsia="Times New Roman" w:hAnsi="Times New Roman" w:cs="Times New Roman"/>
          <w:kern w:val="0"/>
          <w:lang w:eastAsia="en-GB"/>
          <w14:ligatures w14:val="none"/>
        </w:rPr>
        <w:t xml:space="preserve">. [online] Available at: </w:t>
      </w:r>
      <w:hyperlink r:id="rId7" w:tgtFrame="_new" w:history="1">
        <w:r w:rsidRPr="007F6438">
          <w:rPr>
            <w:rFonts w:ascii="Times New Roman" w:eastAsia="Times New Roman" w:hAnsi="Times New Roman" w:cs="Times New Roman"/>
            <w:color w:val="0000FF"/>
            <w:kern w:val="0"/>
            <w:u w:val="single"/>
            <w:lang w:eastAsia="en-GB"/>
            <w14:ligatures w14:val="none"/>
          </w:rPr>
          <w:t>https://www.health.org.uk</w:t>
        </w:r>
      </w:hyperlink>
      <w:r w:rsidRPr="007F6438">
        <w:rPr>
          <w:rFonts w:ascii="Times New Roman" w:eastAsia="Times New Roman" w:hAnsi="Times New Roman" w:cs="Times New Roman"/>
          <w:kern w:val="0"/>
          <w:lang w:eastAsia="en-GB"/>
          <w14:ligatures w14:val="none"/>
        </w:rPr>
        <w:t xml:space="preserve"> [Accessed 23 March 2025].</w:t>
      </w:r>
    </w:p>
    <w:p w14:paraId="75BE028E"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HM</w:t>
      </w:r>
      <w:proofErr w:type="gramEnd"/>
      <w:r w:rsidRPr="007F6438">
        <w:rPr>
          <w:rFonts w:ascii="Times New Roman" w:eastAsia="Times New Roman" w:hAnsi="Times New Roman" w:cs="Times New Roman"/>
          <w:kern w:val="0"/>
          <w:lang w:eastAsia="en-GB"/>
          <w14:ligatures w14:val="none"/>
        </w:rPr>
        <w:t xml:space="preserve"> Government, 2021. </w:t>
      </w:r>
      <w:r w:rsidRPr="007F6438">
        <w:rPr>
          <w:rFonts w:ascii="Times New Roman" w:eastAsia="Times New Roman" w:hAnsi="Times New Roman" w:cs="Times New Roman"/>
          <w:i/>
          <w:iCs/>
          <w:kern w:val="0"/>
          <w:lang w:eastAsia="en-GB"/>
          <w14:ligatures w14:val="none"/>
        </w:rPr>
        <w:t>National Living Wage: guidance</w:t>
      </w:r>
      <w:r w:rsidRPr="007F6438">
        <w:rPr>
          <w:rFonts w:ascii="Times New Roman" w:eastAsia="Times New Roman" w:hAnsi="Times New Roman" w:cs="Times New Roman"/>
          <w:kern w:val="0"/>
          <w:lang w:eastAsia="en-GB"/>
          <w14:ligatures w14:val="none"/>
        </w:rPr>
        <w:t xml:space="preserve">. [online] Available at: </w:t>
      </w:r>
      <w:hyperlink r:id="rId8" w:tgtFrame="_new" w:history="1">
        <w:r w:rsidRPr="007F6438">
          <w:rPr>
            <w:rFonts w:ascii="Times New Roman" w:eastAsia="Times New Roman" w:hAnsi="Times New Roman" w:cs="Times New Roman"/>
            <w:color w:val="0000FF"/>
            <w:kern w:val="0"/>
            <w:u w:val="single"/>
            <w:lang w:eastAsia="en-GB"/>
            <w14:ligatures w14:val="none"/>
          </w:rPr>
          <w:t>https://www.gov.uk/government/publications/national-minimum-wage-and-national-living-wage-rates</w:t>
        </w:r>
      </w:hyperlink>
      <w:r w:rsidRPr="007F6438">
        <w:rPr>
          <w:rFonts w:ascii="Times New Roman" w:eastAsia="Times New Roman" w:hAnsi="Times New Roman" w:cs="Times New Roman"/>
          <w:kern w:val="0"/>
          <w:lang w:eastAsia="en-GB"/>
          <w14:ligatures w14:val="none"/>
        </w:rPr>
        <w:t xml:space="preserve"> [Accessed 23 March 2025].</w:t>
      </w:r>
    </w:p>
    <w:p w14:paraId="15750131"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Joseph</w:t>
      </w:r>
      <w:proofErr w:type="gramEnd"/>
      <w:r w:rsidRPr="007F6438">
        <w:rPr>
          <w:rFonts w:ascii="Times New Roman" w:eastAsia="Times New Roman" w:hAnsi="Times New Roman" w:cs="Times New Roman"/>
          <w:kern w:val="0"/>
          <w:lang w:eastAsia="en-GB"/>
          <w14:ligatures w14:val="none"/>
        </w:rPr>
        <w:t xml:space="preserve"> Rowntree Foundation, 2022. </w:t>
      </w:r>
      <w:r w:rsidRPr="007F6438">
        <w:rPr>
          <w:rFonts w:ascii="Times New Roman" w:eastAsia="Times New Roman" w:hAnsi="Times New Roman" w:cs="Times New Roman"/>
          <w:i/>
          <w:iCs/>
          <w:kern w:val="0"/>
          <w:lang w:eastAsia="en-GB"/>
          <w14:ligatures w14:val="none"/>
        </w:rPr>
        <w:t>The state of poverty in the UK</w:t>
      </w:r>
      <w:r w:rsidRPr="007F6438">
        <w:rPr>
          <w:rFonts w:ascii="Times New Roman" w:eastAsia="Times New Roman" w:hAnsi="Times New Roman" w:cs="Times New Roman"/>
          <w:kern w:val="0"/>
          <w:lang w:eastAsia="en-GB"/>
          <w14:ligatures w14:val="none"/>
        </w:rPr>
        <w:t xml:space="preserve">. [online] Available at: </w:t>
      </w:r>
      <w:hyperlink r:id="rId9" w:tgtFrame="_new" w:history="1">
        <w:r w:rsidRPr="007F6438">
          <w:rPr>
            <w:rFonts w:ascii="Times New Roman" w:eastAsia="Times New Roman" w:hAnsi="Times New Roman" w:cs="Times New Roman"/>
            <w:color w:val="0000FF"/>
            <w:kern w:val="0"/>
            <w:u w:val="single"/>
            <w:lang w:eastAsia="en-GB"/>
            <w14:ligatures w14:val="none"/>
          </w:rPr>
          <w:t>https://www.jrf.org.uk</w:t>
        </w:r>
      </w:hyperlink>
      <w:r w:rsidRPr="007F6438">
        <w:rPr>
          <w:rFonts w:ascii="Times New Roman" w:eastAsia="Times New Roman" w:hAnsi="Times New Roman" w:cs="Times New Roman"/>
          <w:kern w:val="0"/>
          <w:lang w:eastAsia="en-GB"/>
          <w14:ligatures w14:val="none"/>
        </w:rPr>
        <w:t xml:space="preserve"> [Accessed 23 March 2025].</w:t>
      </w:r>
    </w:p>
    <w:p w14:paraId="44BB752A"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King’s</w:t>
      </w:r>
      <w:proofErr w:type="gramEnd"/>
      <w:r w:rsidRPr="007F6438">
        <w:rPr>
          <w:rFonts w:ascii="Times New Roman" w:eastAsia="Times New Roman" w:hAnsi="Times New Roman" w:cs="Times New Roman"/>
          <w:kern w:val="0"/>
          <w:lang w:eastAsia="en-GB"/>
          <w14:ligatures w14:val="none"/>
        </w:rPr>
        <w:t xml:space="preserve"> Fund, 2021. </w:t>
      </w:r>
      <w:r w:rsidRPr="007F6438">
        <w:rPr>
          <w:rFonts w:ascii="Times New Roman" w:eastAsia="Times New Roman" w:hAnsi="Times New Roman" w:cs="Times New Roman"/>
          <w:i/>
          <w:iCs/>
          <w:kern w:val="0"/>
          <w:lang w:eastAsia="en-GB"/>
          <w14:ligatures w14:val="none"/>
        </w:rPr>
        <w:t>NHS funding and workforce challenges</w:t>
      </w:r>
      <w:r w:rsidRPr="007F6438">
        <w:rPr>
          <w:rFonts w:ascii="Times New Roman" w:eastAsia="Times New Roman" w:hAnsi="Times New Roman" w:cs="Times New Roman"/>
          <w:kern w:val="0"/>
          <w:lang w:eastAsia="en-GB"/>
          <w14:ligatures w14:val="none"/>
        </w:rPr>
        <w:t xml:space="preserve">. [online] Available at: </w:t>
      </w:r>
      <w:hyperlink r:id="rId10" w:tgtFrame="_new" w:history="1">
        <w:r w:rsidRPr="007F6438">
          <w:rPr>
            <w:rFonts w:ascii="Times New Roman" w:eastAsia="Times New Roman" w:hAnsi="Times New Roman" w:cs="Times New Roman"/>
            <w:color w:val="0000FF"/>
            <w:kern w:val="0"/>
            <w:u w:val="single"/>
            <w:lang w:eastAsia="en-GB"/>
            <w14:ligatures w14:val="none"/>
          </w:rPr>
          <w:t>https://www.kingsfund.org.uk</w:t>
        </w:r>
      </w:hyperlink>
      <w:r w:rsidRPr="007F6438">
        <w:rPr>
          <w:rFonts w:ascii="Times New Roman" w:eastAsia="Times New Roman" w:hAnsi="Times New Roman" w:cs="Times New Roman"/>
          <w:kern w:val="0"/>
          <w:lang w:eastAsia="en-GB"/>
          <w14:ligatures w14:val="none"/>
        </w:rPr>
        <w:t xml:space="preserve"> [Accessed 23 March 2025].</w:t>
      </w:r>
    </w:p>
    <w:p w14:paraId="668AA738"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Marmot</w:t>
      </w:r>
      <w:proofErr w:type="gramEnd"/>
      <w:r w:rsidRPr="007F6438">
        <w:rPr>
          <w:rFonts w:ascii="Times New Roman" w:eastAsia="Times New Roman" w:hAnsi="Times New Roman" w:cs="Times New Roman"/>
          <w:kern w:val="0"/>
          <w:lang w:eastAsia="en-GB"/>
          <w14:ligatures w14:val="none"/>
        </w:rPr>
        <w:t xml:space="preserve">, M., 2020. </w:t>
      </w:r>
      <w:r w:rsidRPr="007F6438">
        <w:rPr>
          <w:rFonts w:ascii="Times New Roman" w:eastAsia="Times New Roman" w:hAnsi="Times New Roman" w:cs="Times New Roman"/>
          <w:i/>
          <w:iCs/>
          <w:kern w:val="0"/>
          <w:lang w:eastAsia="en-GB"/>
          <w14:ligatures w14:val="none"/>
        </w:rPr>
        <w:t>The Health Gap: The Challenge of an Unequal World</w:t>
      </w:r>
      <w:r w:rsidRPr="007F6438">
        <w:rPr>
          <w:rFonts w:ascii="Times New Roman" w:eastAsia="Times New Roman" w:hAnsi="Times New Roman" w:cs="Times New Roman"/>
          <w:kern w:val="0"/>
          <w:lang w:eastAsia="en-GB"/>
          <w14:ligatures w14:val="none"/>
        </w:rPr>
        <w:t>. Bloomsbury Publishing.</w:t>
      </w:r>
    </w:p>
    <w:p w14:paraId="703DFCD0"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Nuffield</w:t>
      </w:r>
      <w:proofErr w:type="gramEnd"/>
      <w:r w:rsidRPr="007F6438">
        <w:rPr>
          <w:rFonts w:ascii="Times New Roman" w:eastAsia="Times New Roman" w:hAnsi="Times New Roman" w:cs="Times New Roman"/>
          <w:kern w:val="0"/>
          <w:lang w:eastAsia="en-GB"/>
          <w14:ligatures w14:val="none"/>
        </w:rPr>
        <w:t xml:space="preserve"> Trust, 2021. </w:t>
      </w:r>
      <w:r w:rsidRPr="007F6438">
        <w:rPr>
          <w:rFonts w:ascii="Times New Roman" w:eastAsia="Times New Roman" w:hAnsi="Times New Roman" w:cs="Times New Roman"/>
          <w:i/>
          <w:iCs/>
          <w:kern w:val="0"/>
          <w:lang w:eastAsia="en-GB"/>
          <w14:ligatures w14:val="none"/>
        </w:rPr>
        <w:t>NHS under pressure: The rising demand for services</w:t>
      </w:r>
      <w:r w:rsidRPr="007F6438">
        <w:rPr>
          <w:rFonts w:ascii="Times New Roman" w:eastAsia="Times New Roman" w:hAnsi="Times New Roman" w:cs="Times New Roman"/>
          <w:kern w:val="0"/>
          <w:lang w:eastAsia="en-GB"/>
          <w14:ligatures w14:val="none"/>
        </w:rPr>
        <w:t xml:space="preserve">. [online] Available at: </w:t>
      </w:r>
      <w:hyperlink r:id="rId11" w:tgtFrame="_new" w:history="1">
        <w:r w:rsidRPr="007F6438">
          <w:rPr>
            <w:rFonts w:ascii="Times New Roman" w:eastAsia="Times New Roman" w:hAnsi="Times New Roman" w:cs="Times New Roman"/>
            <w:color w:val="0000FF"/>
            <w:kern w:val="0"/>
            <w:u w:val="single"/>
            <w:lang w:eastAsia="en-GB"/>
            <w14:ligatures w14:val="none"/>
          </w:rPr>
          <w:t>https://www.nuffieldtrust.org.uk</w:t>
        </w:r>
      </w:hyperlink>
      <w:r w:rsidRPr="007F6438">
        <w:rPr>
          <w:rFonts w:ascii="Times New Roman" w:eastAsia="Times New Roman" w:hAnsi="Times New Roman" w:cs="Times New Roman"/>
          <w:kern w:val="0"/>
          <w:lang w:eastAsia="en-GB"/>
          <w14:ligatures w14:val="none"/>
        </w:rPr>
        <w:t xml:space="preserve"> [Accessed 23 March 2025].</w:t>
      </w:r>
    </w:p>
    <w:p w14:paraId="15189FDE"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NHS</w:t>
      </w:r>
      <w:proofErr w:type="gramEnd"/>
      <w:r w:rsidRPr="007F6438">
        <w:rPr>
          <w:rFonts w:ascii="Times New Roman" w:eastAsia="Times New Roman" w:hAnsi="Times New Roman" w:cs="Times New Roman"/>
          <w:kern w:val="0"/>
          <w:lang w:eastAsia="en-GB"/>
          <w14:ligatures w14:val="none"/>
        </w:rPr>
        <w:t xml:space="preserve"> England, 2019. </w:t>
      </w:r>
      <w:r w:rsidRPr="007F6438">
        <w:rPr>
          <w:rFonts w:ascii="Times New Roman" w:eastAsia="Times New Roman" w:hAnsi="Times New Roman" w:cs="Times New Roman"/>
          <w:i/>
          <w:iCs/>
          <w:kern w:val="0"/>
          <w:lang w:eastAsia="en-GB"/>
          <w14:ligatures w14:val="none"/>
        </w:rPr>
        <w:t>The NHS Long Term Plan</w:t>
      </w:r>
      <w:r w:rsidRPr="007F6438">
        <w:rPr>
          <w:rFonts w:ascii="Times New Roman" w:eastAsia="Times New Roman" w:hAnsi="Times New Roman" w:cs="Times New Roman"/>
          <w:kern w:val="0"/>
          <w:lang w:eastAsia="en-GB"/>
          <w14:ligatures w14:val="none"/>
        </w:rPr>
        <w:t xml:space="preserve">. [online] Available at: </w:t>
      </w:r>
      <w:hyperlink r:id="rId12" w:tgtFrame="_new" w:history="1">
        <w:r w:rsidRPr="007F6438">
          <w:rPr>
            <w:rFonts w:ascii="Times New Roman" w:eastAsia="Times New Roman" w:hAnsi="Times New Roman" w:cs="Times New Roman"/>
            <w:color w:val="0000FF"/>
            <w:kern w:val="0"/>
            <w:u w:val="single"/>
            <w:lang w:eastAsia="en-GB"/>
            <w14:ligatures w14:val="none"/>
          </w:rPr>
          <w:t>https://www.longtermplan.nhs.uk</w:t>
        </w:r>
      </w:hyperlink>
      <w:r w:rsidRPr="007F6438">
        <w:rPr>
          <w:rFonts w:ascii="Times New Roman" w:eastAsia="Times New Roman" w:hAnsi="Times New Roman" w:cs="Times New Roman"/>
          <w:kern w:val="0"/>
          <w:lang w:eastAsia="en-GB"/>
          <w14:ligatures w14:val="none"/>
        </w:rPr>
        <w:t xml:space="preserve"> [Accessed 23 March 2025].</w:t>
      </w:r>
    </w:p>
    <w:p w14:paraId="6CB9B521"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Public</w:t>
      </w:r>
      <w:proofErr w:type="gramEnd"/>
      <w:r w:rsidRPr="007F6438">
        <w:rPr>
          <w:rFonts w:ascii="Times New Roman" w:eastAsia="Times New Roman" w:hAnsi="Times New Roman" w:cs="Times New Roman"/>
          <w:kern w:val="0"/>
          <w:lang w:eastAsia="en-GB"/>
          <w14:ligatures w14:val="none"/>
        </w:rPr>
        <w:t xml:space="preserve"> Health England, 2020. </w:t>
      </w:r>
      <w:r w:rsidRPr="007F6438">
        <w:rPr>
          <w:rFonts w:ascii="Times New Roman" w:eastAsia="Times New Roman" w:hAnsi="Times New Roman" w:cs="Times New Roman"/>
          <w:i/>
          <w:iCs/>
          <w:kern w:val="0"/>
          <w:lang w:eastAsia="en-GB"/>
          <w14:ligatures w14:val="none"/>
        </w:rPr>
        <w:t>Public Health England Annual Review</w:t>
      </w:r>
      <w:r w:rsidRPr="007F6438">
        <w:rPr>
          <w:rFonts w:ascii="Times New Roman" w:eastAsia="Times New Roman" w:hAnsi="Times New Roman" w:cs="Times New Roman"/>
          <w:kern w:val="0"/>
          <w:lang w:eastAsia="en-GB"/>
          <w14:ligatures w14:val="none"/>
        </w:rPr>
        <w:t xml:space="preserve">. [online] Available at: </w:t>
      </w:r>
      <w:hyperlink r:id="rId13" w:tgtFrame="_new" w:history="1">
        <w:r w:rsidRPr="007F6438">
          <w:rPr>
            <w:rFonts w:ascii="Times New Roman" w:eastAsia="Times New Roman" w:hAnsi="Times New Roman" w:cs="Times New Roman"/>
            <w:color w:val="0000FF"/>
            <w:kern w:val="0"/>
            <w:u w:val="single"/>
            <w:lang w:eastAsia="en-GB"/>
            <w14:ligatures w14:val="none"/>
          </w:rPr>
          <w:t>https://www.gov.uk/government/organisations/public-health-england</w:t>
        </w:r>
      </w:hyperlink>
      <w:r w:rsidRPr="007F6438">
        <w:rPr>
          <w:rFonts w:ascii="Times New Roman" w:eastAsia="Times New Roman" w:hAnsi="Times New Roman" w:cs="Times New Roman"/>
          <w:kern w:val="0"/>
          <w:lang w:eastAsia="en-GB"/>
          <w14:ligatures w14:val="none"/>
        </w:rPr>
        <w:t xml:space="preserve"> [Accessed 23 March 2025].</w:t>
      </w:r>
    </w:p>
    <w:p w14:paraId="2B6696A5"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Resolution</w:t>
      </w:r>
      <w:proofErr w:type="gramEnd"/>
      <w:r w:rsidRPr="007F6438">
        <w:rPr>
          <w:rFonts w:ascii="Times New Roman" w:eastAsia="Times New Roman" w:hAnsi="Times New Roman" w:cs="Times New Roman"/>
          <w:kern w:val="0"/>
          <w:lang w:eastAsia="en-GB"/>
          <w14:ligatures w14:val="none"/>
        </w:rPr>
        <w:t xml:space="preserve"> Foundation, 2022. </w:t>
      </w:r>
      <w:r w:rsidRPr="007F6438">
        <w:rPr>
          <w:rFonts w:ascii="Times New Roman" w:eastAsia="Times New Roman" w:hAnsi="Times New Roman" w:cs="Times New Roman"/>
          <w:i/>
          <w:iCs/>
          <w:kern w:val="0"/>
          <w:lang w:eastAsia="en-GB"/>
          <w14:ligatures w14:val="none"/>
        </w:rPr>
        <w:t>The National Living Wage and the cost of living</w:t>
      </w:r>
      <w:r w:rsidRPr="007F6438">
        <w:rPr>
          <w:rFonts w:ascii="Times New Roman" w:eastAsia="Times New Roman" w:hAnsi="Times New Roman" w:cs="Times New Roman"/>
          <w:kern w:val="0"/>
          <w:lang w:eastAsia="en-GB"/>
          <w14:ligatures w14:val="none"/>
        </w:rPr>
        <w:t xml:space="preserve">. [online] Available at: </w:t>
      </w:r>
      <w:hyperlink r:id="rId14" w:tgtFrame="_new" w:history="1">
        <w:r w:rsidRPr="007F6438">
          <w:rPr>
            <w:rFonts w:ascii="Times New Roman" w:eastAsia="Times New Roman" w:hAnsi="Times New Roman" w:cs="Times New Roman"/>
            <w:color w:val="0000FF"/>
            <w:kern w:val="0"/>
            <w:u w:val="single"/>
            <w:lang w:eastAsia="en-GB"/>
            <w14:ligatures w14:val="none"/>
          </w:rPr>
          <w:t>https://www.resolutionfoundation.org</w:t>
        </w:r>
      </w:hyperlink>
      <w:r w:rsidRPr="007F6438">
        <w:rPr>
          <w:rFonts w:ascii="Times New Roman" w:eastAsia="Times New Roman" w:hAnsi="Times New Roman" w:cs="Times New Roman"/>
          <w:kern w:val="0"/>
          <w:lang w:eastAsia="en-GB"/>
          <w14:ligatures w14:val="none"/>
        </w:rPr>
        <w:t xml:space="preserve"> [Accessed 23 March 2025].</w:t>
      </w:r>
    </w:p>
    <w:p w14:paraId="19AE01E6"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Royal</w:t>
      </w:r>
      <w:proofErr w:type="gramEnd"/>
      <w:r w:rsidRPr="007F6438">
        <w:rPr>
          <w:rFonts w:ascii="Times New Roman" w:eastAsia="Times New Roman" w:hAnsi="Times New Roman" w:cs="Times New Roman"/>
          <w:kern w:val="0"/>
          <w:lang w:eastAsia="en-GB"/>
          <w14:ligatures w14:val="none"/>
        </w:rPr>
        <w:t xml:space="preserve"> Society for Public Health, 2021. </w:t>
      </w:r>
      <w:r w:rsidRPr="007F6438">
        <w:rPr>
          <w:rFonts w:ascii="Times New Roman" w:eastAsia="Times New Roman" w:hAnsi="Times New Roman" w:cs="Times New Roman"/>
          <w:i/>
          <w:iCs/>
          <w:kern w:val="0"/>
          <w:lang w:eastAsia="en-GB"/>
          <w14:ligatures w14:val="none"/>
        </w:rPr>
        <w:t>Mental health and community healthcare investment</w:t>
      </w:r>
      <w:r w:rsidRPr="007F6438">
        <w:rPr>
          <w:rFonts w:ascii="Times New Roman" w:eastAsia="Times New Roman" w:hAnsi="Times New Roman" w:cs="Times New Roman"/>
          <w:kern w:val="0"/>
          <w:lang w:eastAsia="en-GB"/>
          <w14:ligatures w14:val="none"/>
        </w:rPr>
        <w:t xml:space="preserve">. [online] Available at: </w:t>
      </w:r>
      <w:hyperlink r:id="rId15" w:tgtFrame="_new" w:history="1">
        <w:r w:rsidRPr="007F6438">
          <w:rPr>
            <w:rFonts w:ascii="Times New Roman" w:eastAsia="Times New Roman" w:hAnsi="Times New Roman" w:cs="Times New Roman"/>
            <w:color w:val="0000FF"/>
            <w:kern w:val="0"/>
            <w:u w:val="single"/>
            <w:lang w:eastAsia="en-GB"/>
            <w14:ligatures w14:val="none"/>
          </w:rPr>
          <w:t>https://www.rsph.org.uk</w:t>
        </w:r>
      </w:hyperlink>
      <w:r w:rsidRPr="007F6438">
        <w:rPr>
          <w:rFonts w:ascii="Times New Roman" w:eastAsia="Times New Roman" w:hAnsi="Times New Roman" w:cs="Times New Roman"/>
          <w:kern w:val="0"/>
          <w:lang w:eastAsia="en-GB"/>
          <w14:ligatures w14:val="none"/>
        </w:rPr>
        <w:t xml:space="preserve"> [Accessed 23 March 2025].</w:t>
      </w:r>
    </w:p>
    <w:p w14:paraId="438B92BF"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UK</w:t>
      </w:r>
      <w:proofErr w:type="gramEnd"/>
      <w:r w:rsidRPr="007F6438">
        <w:rPr>
          <w:rFonts w:ascii="Times New Roman" w:eastAsia="Times New Roman" w:hAnsi="Times New Roman" w:cs="Times New Roman"/>
          <w:kern w:val="0"/>
          <w:lang w:eastAsia="en-GB"/>
          <w14:ligatures w14:val="none"/>
        </w:rPr>
        <w:t xml:space="preserve"> Government, 2021. </w:t>
      </w:r>
      <w:r w:rsidRPr="007F6438">
        <w:rPr>
          <w:rFonts w:ascii="Times New Roman" w:eastAsia="Times New Roman" w:hAnsi="Times New Roman" w:cs="Times New Roman"/>
          <w:i/>
          <w:iCs/>
          <w:kern w:val="0"/>
          <w:lang w:eastAsia="en-GB"/>
          <w14:ligatures w14:val="none"/>
        </w:rPr>
        <w:t>The COVID-19 economic impact report</w:t>
      </w:r>
      <w:r w:rsidRPr="007F6438">
        <w:rPr>
          <w:rFonts w:ascii="Times New Roman" w:eastAsia="Times New Roman" w:hAnsi="Times New Roman" w:cs="Times New Roman"/>
          <w:kern w:val="0"/>
          <w:lang w:eastAsia="en-GB"/>
          <w14:ligatures w14:val="none"/>
        </w:rPr>
        <w:t xml:space="preserve">. [online] Available at: </w:t>
      </w:r>
      <w:hyperlink r:id="rId16" w:tgtFrame="_new" w:history="1">
        <w:r w:rsidRPr="007F6438">
          <w:rPr>
            <w:rFonts w:ascii="Times New Roman" w:eastAsia="Times New Roman" w:hAnsi="Times New Roman" w:cs="Times New Roman"/>
            <w:color w:val="0000FF"/>
            <w:kern w:val="0"/>
            <w:u w:val="single"/>
            <w:lang w:eastAsia="en-GB"/>
            <w14:ligatures w14:val="none"/>
          </w:rPr>
          <w:t>https://www.gov.uk/government/publications/covid-19-economic-impact</w:t>
        </w:r>
      </w:hyperlink>
      <w:r w:rsidRPr="007F6438">
        <w:rPr>
          <w:rFonts w:ascii="Times New Roman" w:eastAsia="Times New Roman" w:hAnsi="Times New Roman" w:cs="Times New Roman"/>
          <w:kern w:val="0"/>
          <w:lang w:eastAsia="en-GB"/>
          <w14:ligatures w14:val="none"/>
        </w:rPr>
        <w:t xml:space="preserve"> [Accessed 23 March 2025].</w:t>
      </w:r>
    </w:p>
    <w:p w14:paraId="5C897A15"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UK</w:t>
      </w:r>
      <w:proofErr w:type="gramEnd"/>
      <w:r w:rsidRPr="007F6438">
        <w:rPr>
          <w:rFonts w:ascii="Times New Roman" w:eastAsia="Times New Roman" w:hAnsi="Times New Roman" w:cs="Times New Roman"/>
          <w:kern w:val="0"/>
          <w:lang w:eastAsia="en-GB"/>
          <w14:ligatures w14:val="none"/>
        </w:rPr>
        <w:t xml:space="preserve"> Parliament, 2021. </w:t>
      </w:r>
      <w:r w:rsidRPr="007F6438">
        <w:rPr>
          <w:rFonts w:ascii="Times New Roman" w:eastAsia="Times New Roman" w:hAnsi="Times New Roman" w:cs="Times New Roman"/>
          <w:i/>
          <w:iCs/>
          <w:kern w:val="0"/>
          <w:lang w:eastAsia="en-GB"/>
          <w14:ligatures w14:val="none"/>
        </w:rPr>
        <w:t>Achieving the Sustainable Development Goals: Progress report 2021</w:t>
      </w:r>
      <w:r w:rsidRPr="007F6438">
        <w:rPr>
          <w:rFonts w:ascii="Times New Roman" w:eastAsia="Times New Roman" w:hAnsi="Times New Roman" w:cs="Times New Roman"/>
          <w:kern w:val="0"/>
          <w:lang w:eastAsia="en-GB"/>
          <w14:ligatures w14:val="none"/>
        </w:rPr>
        <w:t xml:space="preserve">. [online] Available at: </w:t>
      </w:r>
      <w:hyperlink r:id="rId17" w:tgtFrame="_new" w:history="1">
        <w:r w:rsidRPr="007F6438">
          <w:rPr>
            <w:rFonts w:ascii="Times New Roman" w:eastAsia="Times New Roman" w:hAnsi="Times New Roman" w:cs="Times New Roman"/>
            <w:color w:val="0000FF"/>
            <w:kern w:val="0"/>
            <w:u w:val="single"/>
            <w:lang w:eastAsia="en-GB"/>
            <w14:ligatures w14:val="none"/>
          </w:rPr>
          <w:t>https://www.parliament.uk</w:t>
        </w:r>
      </w:hyperlink>
      <w:r w:rsidRPr="007F6438">
        <w:rPr>
          <w:rFonts w:ascii="Times New Roman" w:eastAsia="Times New Roman" w:hAnsi="Times New Roman" w:cs="Times New Roman"/>
          <w:kern w:val="0"/>
          <w:lang w:eastAsia="en-GB"/>
          <w14:ligatures w14:val="none"/>
        </w:rPr>
        <w:t xml:space="preserve"> [Accessed 23 March 2025].</w:t>
      </w:r>
    </w:p>
    <w:p w14:paraId="211D6986"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United</w:t>
      </w:r>
      <w:proofErr w:type="gramEnd"/>
      <w:r w:rsidRPr="007F6438">
        <w:rPr>
          <w:rFonts w:ascii="Times New Roman" w:eastAsia="Times New Roman" w:hAnsi="Times New Roman" w:cs="Times New Roman"/>
          <w:kern w:val="0"/>
          <w:lang w:eastAsia="en-GB"/>
          <w14:ligatures w14:val="none"/>
        </w:rPr>
        <w:t xml:space="preserve"> Nations, 2015. </w:t>
      </w:r>
      <w:r w:rsidRPr="007F6438">
        <w:rPr>
          <w:rFonts w:ascii="Times New Roman" w:eastAsia="Times New Roman" w:hAnsi="Times New Roman" w:cs="Times New Roman"/>
          <w:i/>
          <w:iCs/>
          <w:kern w:val="0"/>
          <w:lang w:eastAsia="en-GB"/>
          <w14:ligatures w14:val="none"/>
        </w:rPr>
        <w:t>Transforming our world: The 2030 Agenda for Sustainable Development</w:t>
      </w:r>
      <w:r w:rsidRPr="007F6438">
        <w:rPr>
          <w:rFonts w:ascii="Times New Roman" w:eastAsia="Times New Roman" w:hAnsi="Times New Roman" w:cs="Times New Roman"/>
          <w:kern w:val="0"/>
          <w:lang w:eastAsia="en-GB"/>
          <w14:ligatures w14:val="none"/>
        </w:rPr>
        <w:t xml:space="preserve">. [online] Available at: </w:t>
      </w:r>
      <w:hyperlink r:id="rId18" w:tgtFrame="_new" w:history="1">
        <w:r w:rsidRPr="007F6438">
          <w:rPr>
            <w:rFonts w:ascii="Times New Roman" w:eastAsia="Times New Roman" w:hAnsi="Times New Roman" w:cs="Times New Roman"/>
            <w:color w:val="0000FF"/>
            <w:kern w:val="0"/>
            <w:u w:val="single"/>
            <w:lang w:eastAsia="en-GB"/>
            <w14:ligatures w14:val="none"/>
          </w:rPr>
          <w:t>https://www.un.org/sustainabledevelopment/sustainable-development-goals</w:t>
        </w:r>
      </w:hyperlink>
      <w:r w:rsidRPr="007F6438">
        <w:rPr>
          <w:rFonts w:ascii="Times New Roman" w:eastAsia="Times New Roman" w:hAnsi="Times New Roman" w:cs="Times New Roman"/>
          <w:kern w:val="0"/>
          <w:lang w:eastAsia="en-GB"/>
          <w14:ligatures w14:val="none"/>
        </w:rPr>
        <w:t xml:space="preserve"> [Accessed 23 March 2025].</w:t>
      </w:r>
    </w:p>
    <w:p w14:paraId="0065F0C2"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World</w:t>
      </w:r>
      <w:proofErr w:type="gramEnd"/>
      <w:r w:rsidRPr="007F6438">
        <w:rPr>
          <w:rFonts w:ascii="Times New Roman" w:eastAsia="Times New Roman" w:hAnsi="Times New Roman" w:cs="Times New Roman"/>
          <w:kern w:val="0"/>
          <w:lang w:eastAsia="en-GB"/>
          <w14:ligatures w14:val="none"/>
        </w:rPr>
        <w:t xml:space="preserve"> Health Organization, 2020. </w:t>
      </w:r>
      <w:r w:rsidRPr="007F6438">
        <w:rPr>
          <w:rFonts w:ascii="Times New Roman" w:eastAsia="Times New Roman" w:hAnsi="Times New Roman" w:cs="Times New Roman"/>
          <w:i/>
          <w:iCs/>
          <w:kern w:val="0"/>
          <w:lang w:eastAsia="en-GB"/>
          <w14:ligatures w14:val="none"/>
        </w:rPr>
        <w:t>Health and sustainable development</w:t>
      </w:r>
      <w:r w:rsidRPr="007F6438">
        <w:rPr>
          <w:rFonts w:ascii="Times New Roman" w:eastAsia="Times New Roman" w:hAnsi="Times New Roman" w:cs="Times New Roman"/>
          <w:kern w:val="0"/>
          <w:lang w:eastAsia="en-GB"/>
          <w14:ligatures w14:val="none"/>
        </w:rPr>
        <w:t xml:space="preserve">. [online] Available at: </w:t>
      </w:r>
      <w:hyperlink r:id="rId19" w:tgtFrame="_new" w:history="1">
        <w:r w:rsidRPr="007F6438">
          <w:rPr>
            <w:rFonts w:ascii="Times New Roman" w:eastAsia="Times New Roman" w:hAnsi="Times New Roman" w:cs="Times New Roman"/>
            <w:color w:val="0000FF"/>
            <w:kern w:val="0"/>
            <w:u w:val="single"/>
            <w:lang w:eastAsia="en-GB"/>
            <w14:ligatures w14:val="none"/>
          </w:rPr>
          <w:t>https://www.who.int</w:t>
        </w:r>
      </w:hyperlink>
      <w:r w:rsidRPr="007F6438">
        <w:rPr>
          <w:rFonts w:ascii="Times New Roman" w:eastAsia="Times New Roman" w:hAnsi="Times New Roman" w:cs="Times New Roman"/>
          <w:kern w:val="0"/>
          <w:lang w:eastAsia="en-GB"/>
          <w14:ligatures w14:val="none"/>
        </w:rPr>
        <w:t xml:space="preserve"> [Accessed 23 March 2025].</w:t>
      </w:r>
    </w:p>
    <w:p w14:paraId="61D1E2FE"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World</w:t>
      </w:r>
      <w:proofErr w:type="gramEnd"/>
      <w:r w:rsidRPr="007F6438">
        <w:rPr>
          <w:rFonts w:ascii="Times New Roman" w:eastAsia="Times New Roman" w:hAnsi="Times New Roman" w:cs="Times New Roman"/>
          <w:kern w:val="0"/>
          <w:lang w:eastAsia="en-GB"/>
          <w14:ligatures w14:val="none"/>
        </w:rPr>
        <w:t xml:space="preserve"> Health Organization, 2020. </w:t>
      </w:r>
      <w:r w:rsidRPr="007F6438">
        <w:rPr>
          <w:rFonts w:ascii="Times New Roman" w:eastAsia="Times New Roman" w:hAnsi="Times New Roman" w:cs="Times New Roman"/>
          <w:i/>
          <w:iCs/>
          <w:kern w:val="0"/>
          <w:lang w:eastAsia="en-GB"/>
          <w14:ligatures w14:val="none"/>
        </w:rPr>
        <w:t>Sustainable Development Goals and Health</w:t>
      </w:r>
      <w:r w:rsidRPr="007F6438">
        <w:rPr>
          <w:rFonts w:ascii="Times New Roman" w:eastAsia="Times New Roman" w:hAnsi="Times New Roman" w:cs="Times New Roman"/>
          <w:kern w:val="0"/>
          <w:lang w:eastAsia="en-GB"/>
          <w14:ligatures w14:val="none"/>
        </w:rPr>
        <w:t xml:space="preserve">. [online] Available at: </w:t>
      </w:r>
      <w:hyperlink r:id="rId20" w:tgtFrame="_new" w:history="1">
        <w:r w:rsidRPr="007F6438">
          <w:rPr>
            <w:rFonts w:ascii="Times New Roman" w:eastAsia="Times New Roman" w:hAnsi="Times New Roman" w:cs="Times New Roman"/>
            <w:color w:val="0000FF"/>
            <w:kern w:val="0"/>
            <w:u w:val="single"/>
            <w:lang w:eastAsia="en-GB"/>
            <w14:ligatures w14:val="none"/>
          </w:rPr>
          <w:t>https://www.who.int</w:t>
        </w:r>
      </w:hyperlink>
      <w:r w:rsidRPr="007F6438">
        <w:rPr>
          <w:rFonts w:ascii="Times New Roman" w:eastAsia="Times New Roman" w:hAnsi="Times New Roman" w:cs="Times New Roman"/>
          <w:kern w:val="0"/>
          <w:lang w:eastAsia="en-GB"/>
          <w14:ligatures w14:val="none"/>
        </w:rPr>
        <w:t xml:space="preserve"> [Accessed 23 March 2025].</w:t>
      </w:r>
    </w:p>
    <w:p w14:paraId="4BFE2408" w14:textId="77777777" w:rsidR="007F6438" w:rsidRPr="007F6438" w:rsidRDefault="007F6438" w:rsidP="007F643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7F6438">
        <w:rPr>
          <w:rFonts w:ascii="Times New Roman" w:eastAsia="Times New Roman" w:hAnsi="Symbol" w:cs="Times New Roman"/>
          <w:kern w:val="0"/>
          <w:lang w:eastAsia="en-GB"/>
          <w14:ligatures w14:val="none"/>
        </w:rPr>
        <w:t></w:t>
      </w:r>
      <w:r w:rsidRPr="007F6438">
        <w:rPr>
          <w:rFonts w:ascii="Times New Roman" w:eastAsia="Times New Roman" w:hAnsi="Times New Roman" w:cs="Times New Roman"/>
          <w:kern w:val="0"/>
          <w:lang w:eastAsia="en-GB"/>
          <w14:ligatures w14:val="none"/>
        </w:rPr>
        <w:t xml:space="preserve">  World</w:t>
      </w:r>
      <w:proofErr w:type="gramEnd"/>
      <w:r w:rsidRPr="007F6438">
        <w:rPr>
          <w:rFonts w:ascii="Times New Roman" w:eastAsia="Times New Roman" w:hAnsi="Times New Roman" w:cs="Times New Roman"/>
          <w:kern w:val="0"/>
          <w:lang w:eastAsia="en-GB"/>
          <w14:ligatures w14:val="none"/>
        </w:rPr>
        <w:t xml:space="preserve"> Health Organization (WHO), 2015. </w:t>
      </w:r>
      <w:r w:rsidRPr="007F6438">
        <w:rPr>
          <w:rFonts w:ascii="Times New Roman" w:eastAsia="Times New Roman" w:hAnsi="Times New Roman" w:cs="Times New Roman"/>
          <w:i/>
          <w:iCs/>
          <w:kern w:val="0"/>
          <w:lang w:eastAsia="en-GB"/>
          <w14:ligatures w14:val="none"/>
        </w:rPr>
        <w:t>Health and sustainable development</w:t>
      </w:r>
      <w:r w:rsidRPr="007F6438">
        <w:rPr>
          <w:rFonts w:ascii="Times New Roman" w:eastAsia="Times New Roman" w:hAnsi="Times New Roman" w:cs="Times New Roman"/>
          <w:kern w:val="0"/>
          <w:lang w:eastAsia="en-GB"/>
          <w14:ligatures w14:val="none"/>
        </w:rPr>
        <w:t xml:space="preserve">. [online] Available at: </w:t>
      </w:r>
      <w:hyperlink r:id="rId21" w:tgtFrame="_new" w:history="1">
        <w:r w:rsidRPr="007F6438">
          <w:rPr>
            <w:rFonts w:ascii="Times New Roman" w:eastAsia="Times New Roman" w:hAnsi="Times New Roman" w:cs="Times New Roman"/>
            <w:color w:val="0000FF"/>
            <w:kern w:val="0"/>
            <w:u w:val="single"/>
            <w:lang w:eastAsia="en-GB"/>
            <w14:ligatures w14:val="none"/>
          </w:rPr>
          <w:t>https://www.who.int</w:t>
        </w:r>
      </w:hyperlink>
      <w:r w:rsidRPr="007F6438">
        <w:rPr>
          <w:rFonts w:ascii="Times New Roman" w:eastAsia="Times New Roman" w:hAnsi="Times New Roman" w:cs="Times New Roman"/>
          <w:kern w:val="0"/>
          <w:lang w:eastAsia="en-GB"/>
          <w14:ligatures w14:val="none"/>
        </w:rPr>
        <w:t xml:space="preserve"> [Accessed 23 March 2025].</w:t>
      </w:r>
    </w:p>
    <w:p w14:paraId="7BB6EB0E" w14:textId="77777777" w:rsidR="00BB4ED8" w:rsidRPr="00D36CC7" w:rsidRDefault="00BB4ED8" w:rsidP="00D36CC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03E483B" w14:textId="77777777" w:rsidR="00151383" w:rsidRPr="00035D05" w:rsidRDefault="00151383" w:rsidP="00035D0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1FBBC53" w14:textId="77777777" w:rsidR="00035D05" w:rsidRDefault="00035D05" w:rsidP="00853FA6">
      <w:pPr>
        <w:pStyle w:val="NormalWeb"/>
      </w:pPr>
    </w:p>
    <w:p w14:paraId="345D84A5" w14:textId="77777777" w:rsidR="00853FA6" w:rsidRPr="00853FA6" w:rsidRDefault="00853FA6" w:rsidP="00853FA6">
      <w:pPr>
        <w:spacing w:after="0" w:line="240" w:lineRule="auto"/>
        <w:rPr>
          <w:rFonts w:ascii="Times New Roman" w:eastAsia="Times New Roman" w:hAnsi="Times New Roman" w:cs="Times New Roman"/>
          <w:kern w:val="0"/>
          <w:lang w:eastAsia="en-GB"/>
          <w14:ligatures w14:val="none"/>
        </w:rPr>
      </w:pPr>
      <w:r w:rsidRPr="00853FA6">
        <w:rPr>
          <w:rFonts w:ascii="Times New Roman" w:eastAsia="Times New Roman" w:hAnsi="Times New Roman" w:cs="Times New Roman"/>
          <w:kern w:val="0"/>
          <w:lang w:eastAsia="en-GB"/>
          <w14:ligatures w14:val="none"/>
        </w:rPr>
        <w:pict w14:anchorId="10EEAB34">
          <v:rect id="_x0000_i1031" style="width:0;height:1.5pt" o:hralign="center" o:hrstd="t" o:hr="t" fillcolor="#a0a0a0" stroked="f"/>
        </w:pict>
      </w:r>
    </w:p>
    <w:p w14:paraId="0A9032B9" w14:textId="77777777" w:rsidR="00853FA6" w:rsidRDefault="00853FA6"/>
    <w:sectPr w:rsidR="00853F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163139"/>
    <w:multiLevelType w:val="multilevel"/>
    <w:tmpl w:val="3006AC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484D48"/>
    <w:multiLevelType w:val="multilevel"/>
    <w:tmpl w:val="3528A4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360F73"/>
    <w:multiLevelType w:val="multilevel"/>
    <w:tmpl w:val="BC721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2E13CB"/>
    <w:multiLevelType w:val="multilevel"/>
    <w:tmpl w:val="F8C2F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3797874">
    <w:abstractNumId w:val="3"/>
  </w:num>
  <w:num w:numId="2" w16cid:durableId="98263994">
    <w:abstractNumId w:val="2"/>
  </w:num>
  <w:num w:numId="3" w16cid:durableId="123473666">
    <w:abstractNumId w:val="0"/>
  </w:num>
  <w:num w:numId="4" w16cid:durableId="897013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FA6"/>
    <w:rsid w:val="00035D05"/>
    <w:rsid w:val="000A7C15"/>
    <w:rsid w:val="00151383"/>
    <w:rsid w:val="00167641"/>
    <w:rsid w:val="00182F9A"/>
    <w:rsid w:val="00206B05"/>
    <w:rsid w:val="00221213"/>
    <w:rsid w:val="00253B87"/>
    <w:rsid w:val="002A7B0B"/>
    <w:rsid w:val="002C17D9"/>
    <w:rsid w:val="0033654B"/>
    <w:rsid w:val="003E1707"/>
    <w:rsid w:val="00426E40"/>
    <w:rsid w:val="004560F8"/>
    <w:rsid w:val="00473AB6"/>
    <w:rsid w:val="00552259"/>
    <w:rsid w:val="006F1543"/>
    <w:rsid w:val="00716C92"/>
    <w:rsid w:val="00717B29"/>
    <w:rsid w:val="00736CF1"/>
    <w:rsid w:val="00791132"/>
    <w:rsid w:val="007F6438"/>
    <w:rsid w:val="00853FA6"/>
    <w:rsid w:val="00936700"/>
    <w:rsid w:val="009C61E2"/>
    <w:rsid w:val="009D6DE5"/>
    <w:rsid w:val="009E44A3"/>
    <w:rsid w:val="00A724F8"/>
    <w:rsid w:val="00A77FEB"/>
    <w:rsid w:val="00B00B3D"/>
    <w:rsid w:val="00B1762F"/>
    <w:rsid w:val="00BA771C"/>
    <w:rsid w:val="00BB4ED8"/>
    <w:rsid w:val="00BC076E"/>
    <w:rsid w:val="00BD4A92"/>
    <w:rsid w:val="00BF4A3C"/>
    <w:rsid w:val="00C13758"/>
    <w:rsid w:val="00C17D44"/>
    <w:rsid w:val="00C476F9"/>
    <w:rsid w:val="00C77121"/>
    <w:rsid w:val="00CE08FF"/>
    <w:rsid w:val="00CF5C0C"/>
    <w:rsid w:val="00D36CC7"/>
    <w:rsid w:val="00E6184B"/>
    <w:rsid w:val="00F16EFD"/>
    <w:rsid w:val="00F826CC"/>
    <w:rsid w:val="00FE0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56E42D"/>
  <w15:chartTrackingRefBased/>
  <w15:docId w15:val="{C2EC8332-3E75-4D1F-85A8-AF58CDA94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F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3F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F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F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F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F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F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F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F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F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3F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F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F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F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F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F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F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FA6"/>
    <w:rPr>
      <w:rFonts w:eastAsiaTheme="majorEastAsia" w:cstheme="majorBidi"/>
      <w:color w:val="272727" w:themeColor="text1" w:themeTint="D8"/>
    </w:rPr>
  </w:style>
  <w:style w:type="paragraph" w:styleId="Title">
    <w:name w:val="Title"/>
    <w:basedOn w:val="Normal"/>
    <w:next w:val="Normal"/>
    <w:link w:val="TitleChar"/>
    <w:uiPriority w:val="10"/>
    <w:qFormat/>
    <w:rsid w:val="00853F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F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F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F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FA6"/>
    <w:pPr>
      <w:spacing w:before="160"/>
      <w:jc w:val="center"/>
    </w:pPr>
    <w:rPr>
      <w:i/>
      <w:iCs/>
      <w:color w:val="404040" w:themeColor="text1" w:themeTint="BF"/>
    </w:rPr>
  </w:style>
  <w:style w:type="character" w:customStyle="1" w:styleId="QuoteChar">
    <w:name w:val="Quote Char"/>
    <w:basedOn w:val="DefaultParagraphFont"/>
    <w:link w:val="Quote"/>
    <w:uiPriority w:val="29"/>
    <w:rsid w:val="00853FA6"/>
    <w:rPr>
      <w:i/>
      <w:iCs/>
      <w:color w:val="404040" w:themeColor="text1" w:themeTint="BF"/>
    </w:rPr>
  </w:style>
  <w:style w:type="paragraph" w:styleId="ListParagraph">
    <w:name w:val="List Paragraph"/>
    <w:basedOn w:val="Normal"/>
    <w:uiPriority w:val="34"/>
    <w:qFormat/>
    <w:rsid w:val="00853FA6"/>
    <w:pPr>
      <w:ind w:left="720"/>
      <w:contextualSpacing/>
    </w:pPr>
  </w:style>
  <w:style w:type="character" w:styleId="IntenseEmphasis">
    <w:name w:val="Intense Emphasis"/>
    <w:basedOn w:val="DefaultParagraphFont"/>
    <w:uiPriority w:val="21"/>
    <w:qFormat/>
    <w:rsid w:val="00853FA6"/>
    <w:rPr>
      <w:i/>
      <w:iCs/>
      <w:color w:val="0F4761" w:themeColor="accent1" w:themeShade="BF"/>
    </w:rPr>
  </w:style>
  <w:style w:type="paragraph" w:styleId="IntenseQuote">
    <w:name w:val="Intense Quote"/>
    <w:basedOn w:val="Normal"/>
    <w:next w:val="Normal"/>
    <w:link w:val="IntenseQuoteChar"/>
    <w:uiPriority w:val="30"/>
    <w:qFormat/>
    <w:rsid w:val="00853F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FA6"/>
    <w:rPr>
      <w:i/>
      <w:iCs/>
      <w:color w:val="0F4761" w:themeColor="accent1" w:themeShade="BF"/>
    </w:rPr>
  </w:style>
  <w:style w:type="character" w:styleId="IntenseReference">
    <w:name w:val="Intense Reference"/>
    <w:basedOn w:val="DefaultParagraphFont"/>
    <w:uiPriority w:val="32"/>
    <w:qFormat/>
    <w:rsid w:val="00853FA6"/>
    <w:rPr>
      <w:b/>
      <w:bCs/>
      <w:smallCaps/>
      <w:color w:val="0F4761" w:themeColor="accent1" w:themeShade="BF"/>
      <w:spacing w:val="5"/>
    </w:rPr>
  </w:style>
  <w:style w:type="paragraph" w:styleId="NormalWeb">
    <w:name w:val="Normal (Web)"/>
    <w:basedOn w:val="Normal"/>
    <w:uiPriority w:val="99"/>
    <w:semiHidden/>
    <w:unhideWhenUsed/>
    <w:rsid w:val="00853F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826C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238935">
      <w:bodyDiv w:val="1"/>
      <w:marLeft w:val="0"/>
      <w:marRight w:val="0"/>
      <w:marTop w:val="0"/>
      <w:marBottom w:val="0"/>
      <w:divBdr>
        <w:top w:val="none" w:sz="0" w:space="0" w:color="auto"/>
        <w:left w:val="none" w:sz="0" w:space="0" w:color="auto"/>
        <w:bottom w:val="none" w:sz="0" w:space="0" w:color="auto"/>
        <w:right w:val="none" w:sz="0" w:space="0" w:color="auto"/>
      </w:divBdr>
    </w:div>
    <w:div w:id="251552171">
      <w:bodyDiv w:val="1"/>
      <w:marLeft w:val="0"/>
      <w:marRight w:val="0"/>
      <w:marTop w:val="0"/>
      <w:marBottom w:val="0"/>
      <w:divBdr>
        <w:top w:val="none" w:sz="0" w:space="0" w:color="auto"/>
        <w:left w:val="none" w:sz="0" w:space="0" w:color="auto"/>
        <w:bottom w:val="none" w:sz="0" w:space="0" w:color="auto"/>
        <w:right w:val="none" w:sz="0" w:space="0" w:color="auto"/>
      </w:divBdr>
    </w:div>
    <w:div w:id="256184259">
      <w:bodyDiv w:val="1"/>
      <w:marLeft w:val="0"/>
      <w:marRight w:val="0"/>
      <w:marTop w:val="0"/>
      <w:marBottom w:val="0"/>
      <w:divBdr>
        <w:top w:val="none" w:sz="0" w:space="0" w:color="auto"/>
        <w:left w:val="none" w:sz="0" w:space="0" w:color="auto"/>
        <w:bottom w:val="none" w:sz="0" w:space="0" w:color="auto"/>
        <w:right w:val="none" w:sz="0" w:space="0" w:color="auto"/>
      </w:divBdr>
    </w:div>
    <w:div w:id="359403935">
      <w:bodyDiv w:val="1"/>
      <w:marLeft w:val="0"/>
      <w:marRight w:val="0"/>
      <w:marTop w:val="0"/>
      <w:marBottom w:val="0"/>
      <w:divBdr>
        <w:top w:val="none" w:sz="0" w:space="0" w:color="auto"/>
        <w:left w:val="none" w:sz="0" w:space="0" w:color="auto"/>
        <w:bottom w:val="none" w:sz="0" w:space="0" w:color="auto"/>
        <w:right w:val="none" w:sz="0" w:space="0" w:color="auto"/>
      </w:divBdr>
    </w:div>
    <w:div w:id="414981414">
      <w:bodyDiv w:val="1"/>
      <w:marLeft w:val="0"/>
      <w:marRight w:val="0"/>
      <w:marTop w:val="0"/>
      <w:marBottom w:val="0"/>
      <w:divBdr>
        <w:top w:val="none" w:sz="0" w:space="0" w:color="auto"/>
        <w:left w:val="none" w:sz="0" w:space="0" w:color="auto"/>
        <w:bottom w:val="none" w:sz="0" w:space="0" w:color="auto"/>
        <w:right w:val="none" w:sz="0" w:space="0" w:color="auto"/>
      </w:divBdr>
      <w:divsChild>
        <w:div w:id="1303462595">
          <w:marLeft w:val="0"/>
          <w:marRight w:val="0"/>
          <w:marTop w:val="0"/>
          <w:marBottom w:val="0"/>
          <w:divBdr>
            <w:top w:val="none" w:sz="0" w:space="0" w:color="auto"/>
            <w:left w:val="none" w:sz="0" w:space="0" w:color="auto"/>
            <w:bottom w:val="none" w:sz="0" w:space="0" w:color="auto"/>
            <w:right w:val="none" w:sz="0" w:space="0" w:color="auto"/>
          </w:divBdr>
        </w:div>
        <w:div w:id="1090470517">
          <w:marLeft w:val="0"/>
          <w:marRight w:val="0"/>
          <w:marTop w:val="0"/>
          <w:marBottom w:val="0"/>
          <w:divBdr>
            <w:top w:val="none" w:sz="0" w:space="0" w:color="auto"/>
            <w:left w:val="none" w:sz="0" w:space="0" w:color="auto"/>
            <w:bottom w:val="none" w:sz="0" w:space="0" w:color="auto"/>
            <w:right w:val="none" w:sz="0" w:space="0" w:color="auto"/>
          </w:divBdr>
        </w:div>
        <w:div w:id="530727024">
          <w:marLeft w:val="0"/>
          <w:marRight w:val="0"/>
          <w:marTop w:val="0"/>
          <w:marBottom w:val="0"/>
          <w:divBdr>
            <w:top w:val="none" w:sz="0" w:space="0" w:color="auto"/>
            <w:left w:val="none" w:sz="0" w:space="0" w:color="auto"/>
            <w:bottom w:val="none" w:sz="0" w:space="0" w:color="auto"/>
            <w:right w:val="none" w:sz="0" w:space="0" w:color="auto"/>
          </w:divBdr>
        </w:div>
        <w:div w:id="612133868">
          <w:marLeft w:val="0"/>
          <w:marRight w:val="0"/>
          <w:marTop w:val="0"/>
          <w:marBottom w:val="0"/>
          <w:divBdr>
            <w:top w:val="none" w:sz="0" w:space="0" w:color="auto"/>
            <w:left w:val="none" w:sz="0" w:space="0" w:color="auto"/>
            <w:bottom w:val="none" w:sz="0" w:space="0" w:color="auto"/>
            <w:right w:val="none" w:sz="0" w:space="0" w:color="auto"/>
          </w:divBdr>
        </w:div>
        <w:div w:id="1975330811">
          <w:marLeft w:val="0"/>
          <w:marRight w:val="0"/>
          <w:marTop w:val="0"/>
          <w:marBottom w:val="0"/>
          <w:divBdr>
            <w:top w:val="none" w:sz="0" w:space="0" w:color="auto"/>
            <w:left w:val="none" w:sz="0" w:space="0" w:color="auto"/>
            <w:bottom w:val="none" w:sz="0" w:space="0" w:color="auto"/>
            <w:right w:val="none" w:sz="0" w:space="0" w:color="auto"/>
          </w:divBdr>
        </w:div>
        <w:div w:id="1329674622">
          <w:marLeft w:val="0"/>
          <w:marRight w:val="0"/>
          <w:marTop w:val="0"/>
          <w:marBottom w:val="0"/>
          <w:divBdr>
            <w:top w:val="none" w:sz="0" w:space="0" w:color="auto"/>
            <w:left w:val="none" w:sz="0" w:space="0" w:color="auto"/>
            <w:bottom w:val="none" w:sz="0" w:space="0" w:color="auto"/>
            <w:right w:val="none" w:sz="0" w:space="0" w:color="auto"/>
          </w:divBdr>
        </w:div>
        <w:div w:id="846867780">
          <w:marLeft w:val="0"/>
          <w:marRight w:val="0"/>
          <w:marTop w:val="0"/>
          <w:marBottom w:val="0"/>
          <w:divBdr>
            <w:top w:val="none" w:sz="0" w:space="0" w:color="auto"/>
            <w:left w:val="none" w:sz="0" w:space="0" w:color="auto"/>
            <w:bottom w:val="none" w:sz="0" w:space="0" w:color="auto"/>
            <w:right w:val="none" w:sz="0" w:space="0" w:color="auto"/>
          </w:divBdr>
        </w:div>
      </w:divsChild>
    </w:div>
    <w:div w:id="594095735">
      <w:bodyDiv w:val="1"/>
      <w:marLeft w:val="0"/>
      <w:marRight w:val="0"/>
      <w:marTop w:val="0"/>
      <w:marBottom w:val="0"/>
      <w:divBdr>
        <w:top w:val="none" w:sz="0" w:space="0" w:color="auto"/>
        <w:left w:val="none" w:sz="0" w:space="0" w:color="auto"/>
        <w:bottom w:val="none" w:sz="0" w:space="0" w:color="auto"/>
        <w:right w:val="none" w:sz="0" w:space="0" w:color="auto"/>
      </w:divBdr>
    </w:div>
    <w:div w:id="728579219">
      <w:bodyDiv w:val="1"/>
      <w:marLeft w:val="0"/>
      <w:marRight w:val="0"/>
      <w:marTop w:val="0"/>
      <w:marBottom w:val="0"/>
      <w:divBdr>
        <w:top w:val="none" w:sz="0" w:space="0" w:color="auto"/>
        <w:left w:val="none" w:sz="0" w:space="0" w:color="auto"/>
        <w:bottom w:val="none" w:sz="0" w:space="0" w:color="auto"/>
        <w:right w:val="none" w:sz="0" w:space="0" w:color="auto"/>
      </w:divBdr>
    </w:div>
    <w:div w:id="910701092">
      <w:bodyDiv w:val="1"/>
      <w:marLeft w:val="0"/>
      <w:marRight w:val="0"/>
      <w:marTop w:val="0"/>
      <w:marBottom w:val="0"/>
      <w:divBdr>
        <w:top w:val="none" w:sz="0" w:space="0" w:color="auto"/>
        <w:left w:val="none" w:sz="0" w:space="0" w:color="auto"/>
        <w:bottom w:val="none" w:sz="0" w:space="0" w:color="auto"/>
        <w:right w:val="none" w:sz="0" w:space="0" w:color="auto"/>
      </w:divBdr>
    </w:div>
    <w:div w:id="945891056">
      <w:bodyDiv w:val="1"/>
      <w:marLeft w:val="0"/>
      <w:marRight w:val="0"/>
      <w:marTop w:val="0"/>
      <w:marBottom w:val="0"/>
      <w:divBdr>
        <w:top w:val="none" w:sz="0" w:space="0" w:color="auto"/>
        <w:left w:val="none" w:sz="0" w:space="0" w:color="auto"/>
        <w:bottom w:val="none" w:sz="0" w:space="0" w:color="auto"/>
        <w:right w:val="none" w:sz="0" w:space="0" w:color="auto"/>
      </w:divBdr>
    </w:div>
    <w:div w:id="1023751134">
      <w:bodyDiv w:val="1"/>
      <w:marLeft w:val="0"/>
      <w:marRight w:val="0"/>
      <w:marTop w:val="0"/>
      <w:marBottom w:val="0"/>
      <w:divBdr>
        <w:top w:val="none" w:sz="0" w:space="0" w:color="auto"/>
        <w:left w:val="none" w:sz="0" w:space="0" w:color="auto"/>
        <w:bottom w:val="none" w:sz="0" w:space="0" w:color="auto"/>
        <w:right w:val="none" w:sz="0" w:space="0" w:color="auto"/>
      </w:divBdr>
    </w:div>
    <w:div w:id="1060713959">
      <w:bodyDiv w:val="1"/>
      <w:marLeft w:val="0"/>
      <w:marRight w:val="0"/>
      <w:marTop w:val="0"/>
      <w:marBottom w:val="0"/>
      <w:divBdr>
        <w:top w:val="none" w:sz="0" w:space="0" w:color="auto"/>
        <w:left w:val="none" w:sz="0" w:space="0" w:color="auto"/>
        <w:bottom w:val="none" w:sz="0" w:space="0" w:color="auto"/>
        <w:right w:val="none" w:sz="0" w:space="0" w:color="auto"/>
      </w:divBdr>
    </w:div>
    <w:div w:id="1166360556">
      <w:bodyDiv w:val="1"/>
      <w:marLeft w:val="0"/>
      <w:marRight w:val="0"/>
      <w:marTop w:val="0"/>
      <w:marBottom w:val="0"/>
      <w:divBdr>
        <w:top w:val="none" w:sz="0" w:space="0" w:color="auto"/>
        <w:left w:val="none" w:sz="0" w:space="0" w:color="auto"/>
        <w:bottom w:val="none" w:sz="0" w:space="0" w:color="auto"/>
        <w:right w:val="none" w:sz="0" w:space="0" w:color="auto"/>
      </w:divBdr>
    </w:div>
    <w:div w:id="1251548482">
      <w:bodyDiv w:val="1"/>
      <w:marLeft w:val="0"/>
      <w:marRight w:val="0"/>
      <w:marTop w:val="0"/>
      <w:marBottom w:val="0"/>
      <w:divBdr>
        <w:top w:val="none" w:sz="0" w:space="0" w:color="auto"/>
        <w:left w:val="none" w:sz="0" w:space="0" w:color="auto"/>
        <w:bottom w:val="none" w:sz="0" w:space="0" w:color="auto"/>
        <w:right w:val="none" w:sz="0" w:space="0" w:color="auto"/>
      </w:divBdr>
    </w:div>
    <w:div w:id="1367485443">
      <w:bodyDiv w:val="1"/>
      <w:marLeft w:val="0"/>
      <w:marRight w:val="0"/>
      <w:marTop w:val="0"/>
      <w:marBottom w:val="0"/>
      <w:divBdr>
        <w:top w:val="none" w:sz="0" w:space="0" w:color="auto"/>
        <w:left w:val="none" w:sz="0" w:space="0" w:color="auto"/>
        <w:bottom w:val="none" w:sz="0" w:space="0" w:color="auto"/>
        <w:right w:val="none" w:sz="0" w:space="0" w:color="auto"/>
      </w:divBdr>
    </w:div>
    <w:div w:id="1456213882">
      <w:bodyDiv w:val="1"/>
      <w:marLeft w:val="0"/>
      <w:marRight w:val="0"/>
      <w:marTop w:val="0"/>
      <w:marBottom w:val="0"/>
      <w:divBdr>
        <w:top w:val="none" w:sz="0" w:space="0" w:color="auto"/>
        <w:left w:val="none" w:sz="0" w:space="0" w:color="auto"/>
        <w:bottom w:val="none" w:sz="0" w:space="0" w:color="auto"/>
        <w:right w:val="none" w:sz="0" w:space="0" w:color="auto"/>
      </w:divBdr>
    </w:div>
    <w:div w:id="1508640962">
      <w:bodyDiv w:val="1"/>
      <w:marLeft w:val="0"/>
      <w:marRight w:val="0"/>
      <w:marTop w:val="0"/>
      <w:marBottom w:val="0"/>
      <w:divBdr>
        <w:top w:val="none" w:sz="0" w:space="0" w:color="auto"/>
        <w:left w:val="none" w:sz="0" w:space="0" w:color="auto"/>
        <w:bottom w:val="none" w:sz="0" w:space="0" w:color="auto"/>
        <w:right w:val="none" w:sz="0" w:space="0" w:color="auto"/>
      </w:divBdr>
    </w:div>
    <w:div w:id="1510488836">
      <w:bodyDiv w:val="1"/>
      <w:marLeft w:val="0"/>
      <w:marRight w:val="0"/>
      <w:marTop w:val="0"/>
      <w:marBottom w:val="0"/>
      <w:divBdr>
        <w:top w:val="none" w:sz="0" w:space="0" w:color="auto"/>
        <w:left w:val="none" w:sz="0" w:space="0" w:color="auto"/>
        <w:bottom w:val="none" w:sz="0" w:space="0" w:color="auto"/>
        <w:right w:val="none" w:sz="0" w:space="0" w:color="auto"/>
      </w:divBdr>
    </w:div>
    <w:div w:id="1614095357">
      <w:bodyDiv w:val="1"/>
      <w:marLeft w:val="0"/>
      <w:marRight w:val="0"/>
      <w:marTop w:val="0"/>
      <w:marBottom w:val="0"/>
      <w:divBdr>
        <w:top w:val="none" w:sz="0" w:space="0" w:color="auto"/>
        <w:left w:val="none" w:sz="0" w:space="0" w:color="auto"/>
        <w:bottom w:val="none" w:sz="0" w:space="0" w:color="auto"/>
        <w:right w:val="none" w:sz="0" w:space="0" w:color="auto"/>
      </w:divBdr>
    </w:div>
    <w:div w:id="1828206150">
      <w:bodyDiv w:val="1"/>
      <w:marLeft w:val="0"/>
      <w:marRight w:val="0"/>
      <w:marTop w:val="0"/>
      <w:marBottom w:val="0"/>
      <w:divBdr>
        <w:top w:val="none" w:sz="0" w:space="0" w:color="auto"/>
        <w:left w:val="none" w:sz="0" w:space="0" w:color="auto"/>
        <w:bottom w:val="none" w:sz="0" w:space="0" w:color="auto"/>
        <w:right w:val="none" w:sz="0" w:space="0" w:color="auto"/>
      </w:divBdr>
    </w:div>
    <w:div w:id="2063752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national-minimum-wage-and-national-living-wage-rates" TargetMode="External"/><Relationship Id="rId13" Type="http://schemas.openxmlformats.org/officeDocument/2006/relationships/hyperlink" Target="https://www.gov.uk/government/organisations/public-health-england" TargetMode="External"/><Relationship Id="rId18" Type="http://schemas.openxmlformats.org/officeDocument/2006/relationships/hyperlink" Target="https://www.un.org/sustainabledevelopment/sustainable-development-goals" TargetMode="External"/><Relationship Id="rId3" Type="http://schemas.openxmlformats.org/officeDocument/2006/relationships/settings" Target="settings.xml"/><Relationship Id="rId21" Type="http://schemas.openxmlformats.org/officeDocument/2006/relationships/hyperlink" Target="https://www.who.int" TargetMode="External"/><Relationship Id="rId7" Type="http://schemas.openxmlformats.org/officeDocument/2006/relationships/hyperlink" Target="https://www.health.org.uk" TargetMode="External"/><Relationship Id="rId12" Type="http://schemas.openxmlformats.org/officeDocument/2006/relationships/hyperlink" Target="https://www.longtermplan.nhs.uk" TargetMode="External"/><Relationship Id="rId17" Type="http://schemas.openxmlformats.org/officeDocument/2006/relationships/hyperlink" Target="https://www.parliament.uk" TargetMode="External"/><Relationship Id="rId2" Type="http://schemas.openxmlformats.org/officeDocument/2006/relationships/styles" Target="styles.xml"/><Relationship Id="rId16" Type="http://schemas.openxmlformats.org/officeDocument/2006/relationships/hyperlink" Target="https://www.gov.uk/government/publications/covid-19-economic-impact" TargetMode="External"/><Relationship Id="rId20" Type="http://schemas.openxmlformats.org/officeDocument/2006/relationships/hyperlink" Target="https://www.who.int" TargetMode="External"/><Relationship Id="rId1" Type="http://schemas.openxmlformats.org/officeDocument/2006/relationships/numbering" Target="numbering.xml"/><Relationship Id="rId6" Type="http://schemas.openxmlformats.org/officeDocument/2006/relationships/hyperlink" Target="https://www.gov.uk/government/publications/universal-credit-a-new-approach-to-welfare" TargetMode="External"/><Relationship Id="rId11" Type="http://schemas.openxmlformats.org/officeDocument/2006/relationships/hyperlink" Target="https://www.nuffieldtrust.org.uk" TargetMode="External"/><Relationship Id="rId5" Type="http://schemas.openxmlformats.org/officeDocument/2006/relationships/hyperlink" Target="https://www.bma.org.uk" TargetMode="External"/><Relationship Id="rId15" Type="http://schemas.openxmlformats.org/officeDocument/2006/relationships/hyperlink" Target="https://www.rsph.org.uk" TargetMode="External"/><Relationship Id="rId23" Type="http://schemas.openxmlformats.org/officeDocument/2006/relationships/theme" Target="theme/theme1.xml"/><Relationship Id="rId10" Type="http://schemas.openxmlformats.org/officeDocument/2006/relationships/hyperlink" Target="https://www.kingsfund.org.uk" TargetMode="External"/><Relationship Id="rId19"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hyperlink" Target="https://www.jrf.org.uk" TargetMode="External"/><Relationship Id="rId14" Type="http://schemas.openxmlformats.org/officeDocument/2006/relationships/hyperlink" Target="https://www.resolutionfoundation.or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4705</Words>
  <Characters>29883</Characters>
  <Application>Microsoft Office Word</Application>
  <DocSecurity>0</DocSecurity>
  <Lines>574</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 no1</dc:creator>
  <cp:keywords/>
  <dc:description/>
  <cp:lastModifiedBy>nas no1</cp:lastModifiedBy>
  <cp:revision>2</cp:revision>
  <dcterms:created xsi:type="dcterms:W3CDTF">2025-03-23T01:25:00Z</dcterms:created>
  <dcterms:modified xsi:type="dcterms:W3CDTF">2025-03-23T01:25:00Z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69322b24-fd5e-4410-a337-5804b7f4c2c8</vt:lpwstr>
  </property>
</Properties>
</file>