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203DA" w14:textId="4D241C24" w:rsidR="004B0B46" w:rsidRPr="00252295" w:rsidRDefault="00252295" w:rsidP="00252295">
      <w:pPr>
        <w:jc w:val="both"/>
        <w:rPr>
          <w:rFonts w:ascii="Times New Roman" w:hAnsi="Times New Roman" w:cs="Times New Roman"/>
          <w:b/>
          <w:bCs/>
          <w:sz w:val="24"/>
          <w:szCs w:val="24"/>
          <w:shd w:val="clear" w:color="auto" w:fill="FFFFFF"/>
        </w:rPr>
      </w:pPr>
      <w:r w:rsidRPr="00252295">
        <w:rPr>
          <w:rFonts w:ascii="Times New Roman" w:hAnsi="Times New Roman" w:cs="Times New Roman"/>
          <w:b/>
          <w:bCs/>
          <w:sz w:val="24"/>
          <w:szCs w:val="24"/>
          <w:shd w:val="clear" w:color="auto" w:fill="FFFFFF"/>
        </w:rPr>
        <w:t>BMSP7004D - Assignment 2 – Change Initiative Plan</w:t>
      </w:r>
    </w:p>
    <w:p w14:paraId="5C8E8545" w14:textId="77777777" w:rsidR="0026350E" w:rsidRPr="00252295" w:rsidRDefault="0026350E" w:rsidP="00252295">
      <w:pPr>
        <w:jc w:val="both"/>
        <w:rPr>
          <w:rFonts w:ascii="Times New Roman" w:hAnsi="Times New Roman" w:cs="Times New Roman"/>
          <w:sz w:val="24"/>
          <w:szCs w:val="24"/>
          <w:shd w:val="clear" w:color="auto" w:fill="FFFFFF"/>
        </w:rPr>
      </w:pPr>
    </w:p>
    <w:p w14:paraId="5EE8DE18" w14:textId="77777777" w:rsidR="00C60366" w:rsidRPr="00252295" w:rsidRDefault="00C60366" w:rsidP="00252295">
      <w:pPr>
        <w:pStyle w:val="ListParagraph"/>
        <w:numPr>
          <w:ilvl w:val="0"/>
          <w:numId w:val="3"/>
        </w:numPr>
        <w:jc w:val="both"/>
        <w:rPr>
          <w:rFonts w:ascii="Times New Roman" w:hAnsi="Times New Roman" w:cs="Times New Roman"/>
          <w:b/>
          <w:bCs/>
          <w:sz w:val="24"/>
          <w:szCs w:val="24"/>
          <w:u w:val="single"/>
        </w:rPr>
      </w:pPr>
      <w:r w:rsidRPr="00252295">
        <w:rPr>
          <w:rFonts w:ascii="Times New Roman" w:hAnsi="Times New Roman" w:cs="Times New Roman"/>
          <w:b/>
          <w:bCs/>
          <w:sz w:val="24"/>
          <w:szCs w:val="24"/>
          <w:u w:val="single"/>
        </w:rPr>
        <w:t>Introduction</w:t>
      </w:r>
    </w:p>
    <w:p w14:paraId="269D18DC" w14:textId="621E808E" w:rsidR="00C60366" w:rsidRPr="00252295" w:rsidRDefault="00C60366" w:rsidP="00252295">
      <w:pPr>
        <w:jc w:val="both"/>
        <w:rPr>
          <w:rFonts w:ascii="Times New Roman" w:hAnsi="Times New Roman" w:cs="Times New Roman"/>
          <w:sz w:val="24"/>
          <w:szCs w:val="24"/>
          <w:shd w:val="clear" w:color="auto" w:fill="FFFFFF"/>
        </w:rPr>
      </w:pPr>
      <w:r w:rsidRPr="00252295">
        <w:rPr>
          <w:rFonts w:ascii="Times New Roman" w:hAnsi="Times New Roman" w:cs="Times New Roman"/>
          <w:sz w:val="24"/>
          <w:szCs w:val="24"/>
        </w:rPr>
        <w:t xml:space="preserve">Following on from assignment 1, this essay seeks to develop a change management plan for the sustainability of the National Insurance Services of St. Vincent and the Grenadines.  </w:t>
      </w:r>
      <w:r w:rsidR="0006380E" w:rsidRPr="00252295">
        <w:rPr>
          <w:rFonts w:ascii="Times New Roman" w:hAnsi="Times New Roman" w:cs="Times New Roman"/>
          <w:sz w:val="24"/>
          <w:szCs w:val="24"/>
        </w:rPr>
        <w:t xml:space="preserve"> The Kotter model of change will be adapted to devise this change management plan. The elements will be stated in the Action plan.  G</w:t>
      </w:r>
      <w:r w:rsidRPr="00252295">
        <w:rPr>
          <w:rFonts w:ascii="Times New Roman" w:hAnsi="Times New Roman" w:cs="Times New Roman"/>
          <w:sz w:val="24"/>
          <w:szCs w:val="24"/>
        </w:rPr>
        <w:t xml:space="preserve">iven the organisation’s mission and strategic focus of building a sustainable, agile, focused, efficacious, and rights-based (SAFER) NIS, it is imperative that efforts are made to enhance the financial sustainability of the Fund, to improve customer service and value </w:t>
      </w:r>
      <w:r w:rsidR="002C6A80" w:rsidRPr="00252295">
        <w:rPr>
          <w:rFonts w:ascii="Times New Roman" w:hAnsi="Times New Roman" w:cs="Times New Roman"/>
          <w:sz w:val="24"/>
          <w:szCs w:val="24"/>
        </w:rPr>
        <w:t>optimization, human</w:t>
      </w:r>
      <w:r w:rsidR="0029124B" w:rsidRPr="00252295">
        <w:rPr>
          <w:rFonts w:ascii="Times New Roman" w:hAnsi="Times New Roman" w:cs="Times New Roman"/>
          <w:sz w:val="24"/>
          <w:szCs w:val="24"/>
        </w:rPr>
        <w:t xml:space="preserve"> resource strengthening, </w:t>
      </w:r>
      <w:r w:rsidRPr="00252295">
        <w:rPr>
          <w:rFonts w:ascii="Times New Roman" w:hAnsi="Times New Roman" w:cs="Times New Roman"/>
          <w:sz w:val="24"/>
          <w:szCs w:val="24"/>
        </w:rPr>
        <w:t xml:space="preserve">and to bolster public confidence in the administration of the NIS. According to (Patterson et al., 2017), organisational change toward sustainability has become central in the literature and increasingly businesses are buying into that </w:t>
      </w:r>
      <w:proofErr w:type="gramStart"/>
      <w:r w:rsidRPr="00252295">
        <w:rPr>
          <w:rFonts w:ascii="Times New Roman" w:hAnsi="Times New Roman" w:cs="Times New Roman"/>
          <w:sz w:val="24"/>
          <w:szCs w:val="24"/>
        </w:rPr>
        <w:t>notion, and</w:t>
      </w:r>
      <w:proofErr w:type="gramEnd"/>
      <w:r w:rsidRPr="00252295">
        <w:rPr>
          <w:rFonts w:ascii="Times New Roman" w:hAnsi="Times New Roman" w:cs="Times New Roman"/>
          <w:sz w:val="24"/>
          <w:szCs w:val="24"/>
        </w:rPr>
        <w:t xml:space="preserve"> are adjusting their sustainability levers to ensure that they are not left behind. Critical to the concept of organisational change for sustainability is the role played by all stakeholders (internal and external). This is particularly important for the NIS, since benefits payments particularly pensions occupy pride of place for many Vincentians who view pensions as their major source of financial viability. To set the assignment in focus, it is important to define change management for sustainability.  Lozano (2012) explained the concept as</w:t>
      </w:r>
      <w:r w:rsidRPr="00252295">
        <w:rPr>
          <w:rFonts w:ascii="Times New Roman" w:hAnsi="Times New Roman" w:cs="Times New Roman"/>
          <w:sz w:val="24"/>
          <w:szCs w:val="24"/>
          <w:shd w:val="clear" w:color="auto" w:fill="FFFFFF"/>
        </w:rPr>
        <w:t xml:space="preserve"> the process by which organisations move from their current state of business to a state that is much more sustainability oriented. As was alluded to earlier, this thrust to future sustainability revolves to a large extent on the key actors or stakeholders (</w:t>
      </w:r>
      <w:proofErr w:type="spellStart"/>
      <w:r w:rsidRPr="00252295">
        <w:rPr>
          <w:rFonts w:ascii="Times New Roman" w:hAnsi="Times New Roman" w:cs="Times New Roman"/>
          <w:sz w:val="24"/>
          <w:szCs w:val="24"/>
          <w:shd w:val="clear" w:color="auto" w:fill="FFFFFF"/>
        </w:rPr>
        <w:t>Denktas-sakar</w:t>
      </w:r>
      <w:proofErr w:type="spellEnd"/>
      <w:r w:rsidRPr="00252295">
        <w:rPr>
          <w:rFonts w:ascii="Times New Roman" w:hAnsi="Times New Roman" w:cs="Times New Roman"/>
          <w:sz w:val="24"/>
          <w:szCs w:val="24"/>
          <w:shd w:val="clear" w:color="auto" w:fill="FFFFFF"/>
        </w:rPr>
        <w:t xml:space="preserve"> &amp; </w:t>
      </w:r>
      <w:proofErr w:type="spellStart"/>
      <w:r w:rsidRPr="00252295">
        <w:rPr>
          <w:rFonts w:ascii="Times New Roman" w:hAnsi="Times New Roman" w:cs="Times New Roman"/>
          <w:sz w:val="24"/>
          <w:szCs w:val="24"/>
          <w:shd w:val="clear" w:color="auto" w:fill="FFFFFF"/>
        </w:rPr>
        <w:t>Karatas</w:t>
      </w:r>
      <w:proofErr w:type="spellEnd"/>
      <w:r w:rsidRPr="00252295">
        <w:rPr>
          <w:rFonts w:ascii="Times New Roman" w:hAnsi="Times New Roman" w:cs="Times New Roman"/>
          <w:sz w:val="24"/>
          <w:szCs w:val="24"/>
          <w:shd w:val="clear" w:color="auto" w:fill="FFFFFF"/>
        </w:rPr>
        <w:t>-Cetin, 2012</w:t>
      </w:r>
      <w:r w:rsidR="00D8122B" w:rsidRPr="00252295">
        <w:rPr>
          <w:rFonts w:ascii="Times New Roman" w:hAnsi="Times New Roman" w:cs="Times New Roman"/>
          <w:sz w:val="24"/>
          <w:szCs w:val="24"/>
          <w:shd w:val="clear" w:color="auto" w:fill="FFFFFF"/>
        </w:rPr>
        <w:t xml:space="preserve">, Kotter, </w:t>
      </w:r>
      <w:r w:rsidR="005B4CBA" w:rsidRPr="00252295">
        <w:rPr>
          <w:rFonts w:ascii="Times New Roman" w:hAnsi="Times New Roman" w:cs="Times New Roman"/>
          <w:sz w:val="24"/>
          <w:szCs w:val="24"/>
          <w:shd w:val="clear" w:color="auto" w:fill="FFFFFF"/>
        </w:rPr>
        <w:t>2012</w:t>
      </w:r>
      <w:r w:rsidR="00D8122B" w:rsidRPr="00252295">
        <w:rPr>
          <w:rFonts w:ascii="Times New Roman" w:hAnsi="Times New Roman" w:cs="Times New Roman"/>
          <w:sz w:val="24"/>
          <w:szCs w:val="24"/>
          <w:shd w:val="clear" w:color="auto" w:fill="FFFFFF"/>
        </w:rPr>
        <w:t>)</w:t>
      </w:r>
      <w:r w:rsidR="005B4CBA" w:rsidRPr="00252295">
        <w:rPr>
          <w:rFonts w:ascii="Times New Roman" w:hAnsi="Times New Roman" w:cs="Times New Roman"/>
          <w:sz w:val="24"/>
          <w:szCs w:val="24"/>
          <w:shd w:val="clear" w:color="auto" w:fill="FFFFFF"/>
        </w:rPr>
        <w:t xml:space="preserve">. </w:t>
      </w:r>
      <w:r w:rsidRPr="00252295">
        <w:rPr>
          <w:rFonts w:ascii="Times New Roman" w:hAnsi="Times New Roman" w:cs="Times New Roman"/>
          <w:sz w:val="24"/>
          <w:szCs w:val="24"/>
          <w:shd w:val="clear" w:color="auto" w:fill="FFFFFF"/>
        </w:rPr>
        <w:t>In the case of the NIS’, these stakeholders include contributors and beneficiaries, employees, the Board of management and the Government.  As important as stakeholders are, it is important to note that given their varying interests and goals, it can pose a problem for management (Wagner, 2016) who must strive to maintain a balanced perspective (Merck, 2011). Fortunately for the NIS, most stakeholders embrace change and can be perceived as proponents of sustainability (</w:t>
      </w:r>
      <w:proofErr w:type="spellStart"/>
      <w:r w:rsidRPr="00252295">
        <w:rPr>
          <w:rFonts w:ascii="Times New Roman" w:hAnsi="Times New Roman" w:cs="Times New Roman"/>
          <w:sz w:val="24"/>
          <w:szCs w:val="24"/>
          <w:shd w:val="clear" w:color="auto" w:fill="FFFFFF"/>
        </w:rPr>
        <w:t>Liesnere</w:t>
      </w:r>
      <w:proofErr w:type="spellEnd"/>
      <w:r w:rsidRPr="00252295">
        <w:rPr>
          <w:rFonts w:ascii="Times New Roman" w:hAnsi="Times New Roman" w:cs="Times New Roman"/>
          <w:sz w:val="24"/>
          <w:szCs w:val="24"/>
          <w:shd w:val="clear" w:color="auto" w:fill="FFFFFF"/>
        </w:rPr>
        <w:t xml:space="preserve"> &amp; Baumgartner, 2019). The same authors, however, posited that other stakeholders may be classified as inhibitors or opponents. In the NIS’ Context, the inhibitors of the sustainability and change management thrust are the Opposition parliamentarians who are using the NIS as a source of political mileage. This is reactive change according to (Freeman, 1984) and as it currently stands, the NIS does not have much control over their actions. The rest of the essay will focus on the salient issues regarding the change management strategies and Action Plan as requested by the lecturer.</w:t>
      </w:r>
    </w:p>
    <w:p w14:paraId="3C165D72" w14:textId="77777777" w:rsidR="00F51145" w:rsidRPr="00252295" w:rsidRDefault="00F51145" w:rsidP="00252295">
      <w:pPr>
        <w:jc w:val="both"/>
        <w:rPr>
          <w:rFonts w:ascii="Times New Roman" w:hAnsi="Times New Roman" w:cs="Times New Roman"/>
          <w:sz w:val="24"/>
          <w:szCs w:val="24"/>
          <w:shd w:val="clear" w:color="auto" w:fill="FFFFFF"/>
        </w:rPr>
      </w:pPr>
    </w:p>
    <w:p w14:paraId="73CF771A" w14:textId="3C9A0176" w:rsidR="00C60366" w:rsidRPr="00252295" w:rsidRDefault="002C6A80" w:rsidP="00252295">
      <w:pPr>
        <w:jc w:val="both"/>
        <w:rPr>
          <w:rFonts w:ascii="Times New Roman" w:hAnsi="Times New Roman" w:cs="Times New Roman"/>
          <w:b/>
          <w:bCs/>
          <w:sz w:val="24"/>
          <w:szCs w:val="24"/>
          <w:shd w:val="clear" w:color="auto" w:fill="FFFFFF"/>
        </w:rPr>
      </w:pPr>
      <w:r w:rsidRPr="00252295">
        <w:rPr>
          <w:rFonts w:ascii="Times New Roman" w:hAnsi="Times New Roman" w:cs="Times New Roman"/>
          <w:sz w:val="24"/>
          <w:szCs w:val="24"/>
          <w:shd w:val="clear" w:color="auto" w:fill="FFFFFF"/>
        </w:rPr>
        <w:t>2.0.</w:t>
      </w:r>
      <w:r w:rsidR="00C60366" w:rsidRPr="00252295">
        <w:rPr>
          <w:rFonts w:ascii="Times New Roman" w:hAnsi="Times New Roman" w:cs="Times New Roman"/>
          <w:sz w:val="24"/>
          <w:szCs w:val="24"/>
          <w:shd w:val="clear" w:color="auto" w:fill="FFFFFF"/>
        </w:rPr>
        <w:t xml:space="preserve"> </w:t>
      </w:r>
      <w:r w:rsidR="00C60366" w:rsidRPr="00252295">
        <w:rPr>
          <w:rFonts w:ascii="Times New Roman" w:hAnsi="Times New Roman" w:cs="Times New Roman"/>
          <w:b/>
          <w:bCs/>
          <w:sz w:val="24"/>
          <w:szCs w:val="24"/>
          <w:shd w:val="clear" w:color="auto" w:fill="FFFFFF"/>
        </w:rPr>
        <w:t xml:space="preserve">Proposed Change Management strategies and Action Plan </w:t>
      </w:r>
    </w:p>
    <w:p w14:paraId="79190FB6" w14:textId="77777777" w:rsidR="00C60366" w:rsidRPr="00252295" w:rsidRDefault="00C60366" w:rsidP="00252295">
      <w:pPr>
        <w:jc w:val="both"/>
        <w:rPr>
          <w:rFonts w:ascii="Times New Roman" w:hAnsi="Times New Roman" w:cs="Times New Roman"/>
          <w:b/>
          <w:bCs/>
          <w:sz w:val="24"/>
          <w:szCs w:val="24"/>
          <w:shd w:val="clear" w:color="auto" w:fill="FFFFFF"/>
        </w:rPr>
      </w:pPr>
      <w:r w:rsidRPr="00252295">
        <w:rPr>
          <w:rFonts w:ascii="Times New Roman" w:hAnsi="Times New Roman" w:cs="Times New Roman"/>
          <w:b/>
          <w:bCs/>
          <w:sz w:val="24"/>
          <w:szCs w:val="24"/>
          <w:shd w:val="clear" w:color="auto" w:fill="FFFFFF"/>
        </w:rPr>
        <w:t>Internal changes</w:t>
      </w:r>
    </w:p>
    <w:p w14:paraId="517CAF47" w14:textId="64030F31" w:rsidR="00C60366" w:rsidRPr="004718BE" w:rsidRDefault="00C60366" w:rsidP="00252295">
      <w:pPr>
        <w:jc w:val="both"/>
        <w:rPr>
          <w:rFonts w:ascii="Times New Roman" w:eastAsia="Times New Roman" w:hAnsi="Times New Roman" w:cs="Times New Roman"/>
          <w:sz w:val="24"/>
          <w:szCs w:val="24"/>
        </w:rPr>
      </w:pPr>
      <w:r w:rsidRPr="00252295">
        <w:rPr>
          <w:rFonts w:ascii="Times New Roman" w:hAnsi="Times New Roman" w:cs="Times New Roman"/>
          <w:sz w:val="24"/>
          <w:szCs w:val="24"/>
        </w:rPr>
        <w:t xml:space="preserve">This </w:t>
      </w:r>
      <w:r w:rsidR="0051742F" w:rsidRPr="00252295">
        <w:rPr>
          <w:rFonts w:ascii="Times New Roman" w:hAnsi="Times New Roman" w:cs="Times New Roman"/>
          <w:sz w:val="24"/>
          <w:szCs w:val="24"/>
        </w:rPr>
        <w:t xml:space="preserve">part of the assignment </w:t>
      </w:r>
      <w:r w:rsidRPr="00252295">
        <w:rPr>
          <w:rFonts w:ascii="Times New Roman" w:hAnsi="Times New Roman" w:cs="Times New Roman"/>
          <w:sz w:val="24"/>
          <w:szCs w:val="24"/>
        </w:rPr>
        <w:t xml:space="preserve">focuses on the financial sustainability pillar as this is the primary policy priority for the </w:t>
      </w:r>
      <w:r w:rsidR="0051742F" w:rsidRPr="00252295">
        <w:rPr>
          <w:rFonts w:ascii="Times New Roman" w:hAnsi="Times New Roman" w:cs="Times New Roman"/>
          <w:sz w:val="24"/>
          <w:szCs w:val="24"/>
        </w:rPr>
        <w:t>institution.</w:t>
      </w:r>
      <w:r w:rsidRPr="00252295">
        <w:rPr>
          <w:rFonts w:ascii="Times New Roman" w:hAnsi="Times New Roman" w:cs="Times New Roman"/>
          <w:sz w:val="24"/>
          <w:szCs w:val="24"/>
        </w:rPr>
        <w:t xml:space="preserve"> The </w:t>
      </w:r>
      <w:r w:rsidR="0051742F" w:rsidRPr="00252295">
        <w:rPr>
          <w:rFonts w:ascii="Times New Roman" w:hAnsi="Times New Roman" w:cs="Times New Roman"/>
          <w:sz w:val="24"/>
          <w:szCs w:val="24"/>
        </w:rPr>
        <w:t>management is cognizant of the</w:t>
      </w:r>
      <w:r w:rsidRPr="00252295">
        <w:rPr>
          <w:rFonts w:ascii="Times New Roman" w:hAnsi="Times New Roman" w:cs="Times New Roman"/>
          <w:sz w:val="24"/>
          <w:szCs w:val="24"/>
        </w:rPr>
        <w:t xml:space="preserve"> ongoing increase in the financial burden/stress of the Fund owing to a maturing Fund, generous </w:t>
      </w:r>
      <w:proofErr w:type="gramStart"/>
      <w:r w:rsidRPr="00252295">
        <w:rPr>
          <w:rFonts w:ascii="Times New Roman" w:hAnsi="Times New Roman" w:cs="Times New Roman"/>
          <w:sz w:val="24"/>
          <w:szCs w:val="24"/>
        </w:rPr>
        <w:t>design</w:t>
      </w:r>
      <w:proofErr w:type="gramEnd"/>
      <w:r w:rsidRPr="00252295">
        <w:rPr>
          <w:rFonts w:ascii="Times New Roman" w:hAnsi="Times New Roman" w:cs="Times New Roman"/>
          <w:sz w:val="24"/>
          <w:szCs w:val="24"/>
        </w:rPr>
        <w:t xml:space="preserve"> and relatively low contribution rate. Further, the </w:t>
      </w:r>
      <w:r w:rsidR="00F9415E" w:rsidRPr="00252295">
        <w:rPr>
          <w:rFonts w:ascii="Times New Roman" w:hAnsi="Times New Roman" w:cs="Times New Roman"/>
          <w:sz w:val="24"/>
          <w:szCs w:val="24"/>
        </w:rPr>
        <w:t>management is</w:t>
      </w:r>
      <w:r w:rsidRPr="00252295">
        <w:rPr>
          <w:rFonts w:ascii="Times New Roman" w:hAnsi="Times New Roman" w:cs="Times New Roman"/>
          <w:sz w:val="24"/>
          <w:szCs w:val="24"/>
        </w:rPr>
        <w:t xml:space="preserve"> </w:t>
      </w:r>
      <w:r w:rsidR="0051742F" w:rsidRPr="00252295">
        <w:rPr>
          <w:rFonts w:ascii="Times New Roman" w:hAnsi="Times New Roman" w:cs="Times New Roman"/>
          <w:sz w:val="24"/>
          <w:szCs w:val="24"/>
        </w:rPr>
        <w:t>aware</w:t>
      </w:r>
      <w:r w:rsidRPr="00252295">
        <w:rPr>
          <w:rFonts w:ascii="Times New Roman" w:hAnsi="Times New Roman" w:cs="Times New Roman"/>
          <w:sz w:val="24"/>
          <w:szCs w:val="24"/>
        </w:rPr>
        <w:t xml:space="preserve"> that the Fund is unsustainable in the medium and long term at the current contribution rate and benefit provisions. Accordingly, the </w:t>
      </w:r>
      <w:r w:rsidR="0051742F" w:rsidRPr="00252295">
        <w:rPr>
          <w:rFonts w:ascii="Times New Roman" w:hAnsi="Times New Roman" w:cs="Times New Roman"/>
          <w:sz w:val="24"/>
          <w:szCs w:val="24"/>
        </w:rPr>
        <w:t>management</w:t>
      </w:r>
      <w:r w:rsidRPr="00252295">
        <w:rPr>
          <w:rFonts w:ascii="Times New Roman" w:hAnsi="Times New Roman" w:cs="Times New Roman"/>
          <w:sz w:val="24"/>
          <w:szCs w:val="24"/>
        </w:rPr>
        <w:t>'s immediate internal change management strategy based on the model of managerial measurement and control postulated by Henriques &amp; Richardson (2005) is to advocate for pension reform in the near term whilst optimizing resources to strengthen contribution collection, optimize investment returns within acceptable risk parameters, rationalize costs, and extend social security coverage to self-employed and informal sector workers.</w:t>
      </w:r>
      <w:r w:rsidR="00BC5C9E" w:rsidRPr="00252295">
        <w:rPr>
          <w:rFonts w:ascii="Times New Roman" w:eastAsia="Times New Roman" w:hAnsi="Times New Roman" w:cs="Times New Roman"/>
          <w:color w:val="373A3C"/>
          <w:sz w:val="24"/>
          <w:szCs w:val="24"/>
        </w:rPr>
        <w:t xml:space="preserve"> </w:t>
      </w:r>
      <w:r w:rsidR="00BC5C9E" w:rsidRPr="004718BE">
        <w:rPr>
          <w:rFonts w:ascii="Times New Roman" w:eastAsia="Times New Roman" w:hAnsi="Times New Roman" w:cs="Times New Roman"/>
          <w:sz w:val="24"/>
          <w:szCs w:val="24"/>
        </w:rPr>
        <w:t xml:space="preserve">Student Tariq Hassoun’s submission (May 2023) on Kotter's 8-Step Change Model </w:t>
      </w:r>
      <w:r w:rsidR="00F51145" w:rsidRPr="004718BE">
        <w:rPr>
          <w:rFonts w:ascii="Times New Roman" w:eastAsia="Times New Roman" w:hAnsi="Times New Roman" w:cs="Times New Roman"/>
          <w:sz w:val="24"/>
          <w:szCs w:val="24"/>
        </w:rPr>
        <w:t>is instructive</w:t>
      </w:r>
      <w:r w:rsidR="00BC5C9E" w:rsidRPr="004718BE">
        <w:rPr>
          <w:rFonts w:ascii="Times New Roman" w:eastAsia="Times New Roman" w:hAnsi="Times New Roman" w:cs="Times New Roman"/>
          <w:sz w:val="24"/>
          <w:szCs w:val="24"/>
        </w:rPr>
        <w:t xml:space="preserve"> for the sustainability and change initiative </w:t>
      </w:r>
      <w:r w:rsidR="00BC5C9E" w:rsidRPr="004718BE">
        <w:rPr>
          <w:rFonts w:ascii="Times New Roman" w:eastAsia="Times New Roman" w:hAnsi="Times New Roman" w:cs="Times New Roman"/>
          <w:sz w:val="24"/>
          <w:szCs w:val="24"/>
        </w:rPr>
        <w:lastRenderedPageBreak/>
        <w:t xml:space="preserve">for financial sustainability at the NIS. The situation as it stands involves creating a sense of urgency, building a coalition of supporters, developing a vision and strategy, communicating the change vision, empowering others to act on the vision, creating short-term wins, consolidating </w:t>
      </w:r>
      <w:proofErr w:type="gramStart"/>
      <w:r w:rsidR="00BC5C9E" w:rsidRPr="004718BE">
        <w:rPr>
          <w:rFonts w:ascii="Times New Roman" w:eastAsia="Times New Roman" w:hAnsi="Times New Roman" w:cs="Times New Roman"/>
          <w:sz w:val="24"/>
          <w:szCs w:val="24"/>
        </w:rPr>
        <w:t>gains</w:t>
      </w:r>
      <w:proofErr w:type="gramEnd"/>
      <w:r w:rsidR="00BC5C9E" w:rsidRPr="004718BE">
        <w:rPr>
          <w:rFonts w:ascii="Times New Roman" w:eastAsia="Times New Roman" w:hAnsi="Times New Roman" w:cs="Times New Roman"/>
          <w:sz w:val="24"/>
          <w:szCs w:val="24"/>
        </w:rPr>
        <w:t xml:space="preserve"> and producing more change, and anchoring new approaches in the organisation's culture. This model is particularly effective for complex changes requiring significant organisational culture and mindset shifts</w:t>
      </w:r>
      <w:r w:rsidR="004718BE" w:rsidRPr="004718BE">
        <w:rPr>
          <w:rFonts w:ascii="Times New Roman" w:eastAsia="Times New Roman" w:hAnsi="Times New Roman" w:cs="Times New Roman"/>
          <w:sz w:val="24"/>
          <w:szCs w:val="24"/>
        </w:rPr>
        <w:t>.</w:t>
      </w:r>
    </w:p>
    <w:p w14:paraId="1AEC09F2" w14:textId="77777777" w:rsidR="005B4CBA" w:rsidRPr="00252295" w:rsidRDefault="005B4CBA" w:rsidP="00252295">
      <w:pPr>
        <w:jc w:val="both"/>
        <w:rPr>
          <w:rFonts w:ascii="Times New Roman" w:hAnsi="Times New Roman" w:cs="Times New Roman"/>
          <w:sz w:val="24"/>
          <w:szCs w:val="24"/>
        </w:rPr>
      </w:pPr>
    </w:p>
    <w:p w14:paraId="02A7F6DC" w14:textId="58C207B0" w:rsidR="00394F2C" w:rsidRPr="004718BE" w:rsidRDefault="00C60366" w:rsidP="00252295">
      <w:pPr>
        <w:pStyle w:val="NormalWeb"/>
        <w:shd w:val="clear" w:color="auto" w:fill="FCFCFC"/>
        <w:spacing w:before="0" w:beforeAutospacing="0" w:after="360" w:afterAutospacing="0"/>
        <w:jc w:val="both"/>
      </w:pPr>
      <w:r w:rsidRPr="00252295">
        <w:t>Another change management strategy will focus on investment efficiency.</w:t>
      </w:r>
      <w:r w:rsidR="004718BE">
        <w:t xml:space="preserve"> This </w:t>
      </w:r>
      <w:proofErr w:type="spellStart"/>
      <w:r w:rsidR="004718BE">
        <w:t>rel</w:t>
      </w:r>
      <w:proofErr w:type="spellEnd"/>
      <w:r w:rsidRPr="00252295">
        <w:rPr>
          <w:lang w:val="en-GB"/>
        </w:rPr>
        <w:t xml:space="preserve">ates to how productive the asset of social security is utilized in investment management.  One of the major strategies for this will be to strive to hold 95% of the Fund’s assets in investment. Accord to Osbourne (2022), this percentage of assets held in investment is typical to other regional social security </w:t>
      </w:r>
      <w:proofErr w:type="gramStart"/>
      <w:r w:rsidRPr="00252295">
        <w:rPr>
          <w:lang w:val="en-GB"/>
        </w:rPr>
        <w:t>organisations</w:t>
      </w:r>
      <w:proofErr w:type="gramEnd"/>
      <w:r w:rsidRPr="00252295">
        <w:rPr>
          <w:lang w:val="en-GB"/>
        </w:rPr>
        <w:t xml:space="preserve"> so this ratio is considered a good benchmark for achieving sustainability in the context of the National Insurance Services.  This will be further bolstered by the fortification of the investment management function to preserve capital and improve financing income through de</w:t>
      </w:r>
      <w:r w:rsidR="00BC5C9E" w:rsidRPr="00252295">
        <w:rPr>
          <w:lang w:val="en-GB"/>
        </w:rPr>
        <w:t>-</w:t>
      </w:r>
      <w:r w:rsidRPr="00252295">
        <w:rPr>
          <w:lang w:val="en-GB"/>
        </w:rPr>
        <w:t xml:space="preserve">risking and diversification of the investment portfolio across issuers, economic </w:t>
      </w:r>
      <w:proofErr w:type="gramStart"/>
      <w:r w:rsidRPr="00252295">
        <w:rPr>
          <w:lang w:val="en-GB"/>
        </w:rPr>
        <w:t>sectors</w:t>
      </w:r>
      <w:proofErr w:type="gramEnd"/>
      <w:r w:rsidRPr="00252295">
        <w:rPr>
          <w:lang w:val="en-GB"/>
        </w:rPr>
        <w:t xml:space="preserve"> and geographic locations</w:t>
      </w:r>
      <w:r w:rsidR="008120D0" w:rsidRPr="00252295">
        <w:rPr>
          <w:lang w:val="en-GB"/>
        </w:rPr>
        <w:t xml:space="preserve">. Some of the other issues related </w:t>
      </w:r>
      <w:r w:rsidR="00394F2C" w:rsidRPr="00252295">
        <w:rPr>
          <w:lang w:val="en-GB"/>
        </w:rPr>
        <w:t>to improving</w:t>
      </w:r>
      <w:r w:rsidR="008120D0" w:rsidRPr="00252295">
        <w:rPr>
          <w:lang w:val="en-GB"/>
        </w:rPr>
        <w:t xml:space="preserve"> the investment management and sustainability will include, but not necessarily limited to making </w:t>
      </w:r>
      <w:r w:rsidR="00CC207A" w:rsidRPr="00252295">
        <w:rPr>
          <w:lang w:val="en-GB"/>
        </w:rPr>
        <w:t xml:space="preserve">allowance </w:t>
      </w:r>
      <w:r w:rsidR="00CC207A" w:rsidRPr="00252295">
        <w:t>for</w:t>
      </w:r>
      <w:r w:rsidR="008120D0" w:rsidRPr="00252295">
        <w:t xml:space="preserve"> a partially funded defined benefit programme </w:t>
      </w:r>
      <w:r w:rsidR="00394F2C" w:rsidRPr="004718BE">
        <w:t>“Defined benefit plan is a plan that is designed to grant people participating in the plan a definite benefit at retirement.</w:t>
      </w:r>
      <w:r w:rsidR="00896928" w:rsidRPr="004718BE">
        <w:t xml:space="preserve"> (Morris, </w:t>
      </w:r>
      <w:r w:rsidR="00EA1AA9" w:rsidRPr="004718BE">
        <w:t>2011).</w:t>
      </w:r>
      <w:r w:rsidR="00896928" w:rsidRPr="004718BE">
        <w:t xml:space="preserve"> He further explained that “</w:t>
      </w:r>
      <w:r w:rsidR="00394F2C" w:rsidRPr="004718BE">
        <w:t>It is called “defined” because the plan is defined by the administrator's prediction of the amount an employer must contribute to produce a specific benefit at normal retirement age, such as a monthly benefit of 20% of compensation upon reaching the</w:t>
      </w:r>
      <w:r w:rsidR="00896928" w:rsidRPr="004718BE">
        <w:t xml:space="preserve"> specified retirement </w:t>
      </w:r>
      <w:r w:rsidR="00EA1AA9" w:rsidRPr="004718BE">
        <w:t>age.</w:t>
      </w:r>
      <w:r w:rsidR="00394F2C" w:rsidRPr="004718BE">
        <w:t xml:space="preserve"> The plans themselves define the retirement available to a plan participant, usually in terms of participant's compensation or years of service with the employer, or both.</w:t>
      </w:r>
      <w:r w:rsidR="00896928" w:rsidRPr="004718BE">
        <w:t>”</w:t>
      </w:r>
    </w:p>
    <w:p w14:paraId="087B1BBF" w14:textId="77777777" w:rsidR="00896928" w:rsidRPr="004718BE" w:rsidRDefault="00896928" w:rsidP="00252295">
      <w:pPr>
        <w:pStyle w:val="NormalWeb"/>
        <w:shd w:val="clear" w:color="auto" w:fill="FCFCFC"/>
        <w:spacing w:before="0" w:beforeAutospacing="0" w:after="360" w:afterAutospacing="0"/>
        <w:jc w:val="both"/>
      </w:pPr>
      <w:r w:rsidRPr="004718BE">
        <w:t xml:space="preserve"> One of the advantages of a d</w:t>
      </w:r>
      <w:r w:rsidR="00394F2C" w:rsidRPr="004718BE">
        <w:t>efined benefit plan</w:t>
      </w:r>
      <w:r w:rsidRPr="004718BE">
        <w:t xml:space="preserve"> is that it compels</w:t>
      </w:r>
      <w:r w:rsidR="00394F2C" w:rsidRPr="004718BE">
        <w:t xml:space="preserve"> employers to make contributions to the plan</w:t>
      </w:r>
      <w:r w:rsidRPr="004718BE">
        <w:t>. Under this benefit regime, employers</w:t>
      </w:r>
      <w:r w:rsidR="00394F2C" w:rsidRPr="004718BE">
        <w:t xml:space="preserve"> are </w:t>
      </w:r>
      <w:r w:rsidRPr="004718BE">
        <w:t xml:space="preserve">duty bound </w:t>
      </w:r>
      <w:r w:rsidR="00394F2C" w:rsidRPr="004718BE">
        <w:t xml:space="preserve">to contribute an amount that is </w:t>
      </w:r>
      <w:r w:rsidRPr="004718BE">
        <w:t>sufficient to</w:t>
      </w:r>
      <w:r w:rsidR="00394F2C" w:rsidRPr="004718BE">
        <w:t xml:space="preserve"> </w:t>
      </w:r>
      <w:r w:rsidRPr="004718BE">
        <w:t xml:space="preserve">make </w:t>
      </w:r>
      <w:r w:rsidR="00394F2C" w:rsidRPr="004718BE">
        <w:t>pay</w:t>
      </w:r>
      <w:r w:rsidRPr="004718BE">
        <w:t>ments</w:t>
      </w:r>
      <w:r w:rsidR="00394F2C" w:rsidRPr="004718BE">
        <w:t xml:space="preserve"> for future retirement benefits, which have been </w:t>
      </w:r>
      <w:r w:rsidRPr="004718BE">
        <w:t>guaranteed</w:t>
      </w:r>
      <w:r w:rsidR="00394F2C" w:rsidRPr="004718BE">
        <w:t xml:space="preserve"> to participants under the plan. The contributions made to this plan are </w:t>
      </w:r>
      <w:r w:rsidRPr="004718BE">
        <w:t xml:space="preserve">held </w:t>
      </w:r>
      <w:r w:rsidR="00394F2C" w:rsidRPr="004718BE">
        <w:t xml:space="preserve">in a common resource of assets out of which all benefits are </w:t>
      </w:r>
      <w:r w:rsidRPr="004718BE">
        <w:t>disbursed</w:t>
      </w:r>
      <w:r w:rsidR="00394F2C" w:rsidRPr="004718BE">
        <w:t>.</w:t>
      </w:r>
    </w:p>
    <w:p w14:paraId="30B73B0A" w14:textId="5CDF9DB9" w:rsidR="008120D0" w:rsidRPr="00252295" w:rsidRDefault="00896928" w:rsidP="00252295">
      <w:pPr>
        <w:pStyle w:val="NormalWeb"/>
        <w:shd w:val="clear" w:color="auto" w:fill="FCFCFC"/>
        <w:spacing w:before="0" w:beforeAutospacing="0" w:after="360" w:afterAutospacing="0"/>
        <w:jc w:val="both"/>
        <w:rPr>
          <w:color w:val="333333"/>
        </w:rPr>
      </w:pPr>
      <w:r w:rsidRPr="00252295">
        <w:rPr>
          <w:color w:val="333333"/>
        </w:rPr>
        <w:t>A</w:t>
      </w:r>
      <w:r w:rsidR="008120D0" w:rsidRPr="00252295">
        <w:t xml:space="preserve"> critical non-parametric reform measure is to bolster investment income through prudent management of the reserve fund. In this regard, the NIS</w:t>
      </w:r>
      <w:r w:rsidRPr="00252295">
        <w:t xml:space="preserve"> will place </w:t>
      </w:r>
      <w:r w:rsidR="008120D0" w:rsidRPr="00252295">
        <w:t xml:space="preserve">laser focus on its investment governance and investment </w:t>
      </w:r>
      <w:r w:rsidR="00EA1AA9" w:rsidRPr="00252295">
        <w:t xml:space="preserve">management </w:t>
      </w:r>
      <w:proofErr w:type="gramStart"/>
      <w:r w:rsidR="00EA1AA9" w:rsidRPr="00252295">
        <w:t>in</w:t>
      </w:r>
      <w:r w:rsidR="008120D0" w:rsidRPr="00252295">
        <w:t xml:space="preserve"> order to</w:t>
      </w:r>
      <w:proofErr w:type="gramEnd"/>
      <w:r w:rsidR="008120D0" w:rsidRPr="00252295">
        <w:t xml:space="preserve"> reduce the net long-term social security costs of the Fund, the net cost is measured by total expenses (benefits and administrative expenses) minus investment income.</w:t>
      </w:r>
    </w:p>
    <w:p w14:paraId="0060BC7D" w14:textId="40E9FBE4" w:rsidR="008120D0" w:rsidRPr="00252295" w:rsidRDefault="008120D0" w:rsidP="00252295">
      <w:pPr>
        <w:jc w:val="both"/>
        <w:rPr>
          <w:rFonts w:ascii="Times New Roman" w:eastAsia="Times New Roman" w:hAnsi="Times New Roman" w:cs="Times New Roman"/>
          <w:sz w:val="24"/>
          <w:szCs w:val="24"/>
        </w:rPr>
      </w:pPr>
      <w:r w:rsidRPr="00252295">
        <w:rPr>
          <w:rFonts w:ascii="Times New Roman" w:eastAsia="Times New Roman" w:hAnsi="Times New Roman" w:cs="Times New Roman"/>
          <w:sz w:val="24"/>
          <w:szCs w:val="24"/>
        </w:rPr>
        <w:t xml:space="preserve">From an investment governance standpoint, the NIS </w:t>
      </w:r>
      <w:r w:rsidR="00896928" w:rsidRPr="00252295">
        <w:rPr>
          <w:rFonts w:ascii="Times New Roman" w:eastAsia="Times New Roman" w:hAnsi="Times New Roman" w:cs="Times New Roman"/>
          <w:sz w:val="24"/>
          <w:szCs w:val="24"/>
        </w:rPr>
        <w:t xml:space="preserve">will </w:t>
      </w:r>
      <w:r w:rsidRPr="00252295">
        <w:rPr>
          <w:rFonts w:ascii="Times New Roman" w:eastAsia="Times New Roman" w:hAnsi="Times New Roman" w:cs="Times New Roman"/>
          <w:sz w:val="24"/>
          <w:szCs w:val="24"/>
        </w:rPr>
        <w:t>revise its investment policy statement to better align its investment objectives, risk appetite and other investment parameters with its current and projected funding needs. In addition, the NIS</w:t>
      </w:r>
      <w:r w:rsidR="00896928" w:rsidRPr="00252295">
        <w:rPr>
          <w:rFonts w:ascii="Times New Roman" w:eastAsia="Times New Roman" w:hAnsi="Times New Roman" w:cs="Times New Roman"/>
          <w:sz w:val="24"/>
          <w:szCs w:val="24"/>
        </w:rPr>
        <w:t xml:space="preserve"> will develop </w:t>
      </w:r>
      <w:r w:rsidRPr="00252295">
        <w:rPr>
          <w:rFonts w:ascii="Times New Roman" w:eastAsia="Times New Roman" w:hAnsi="Times New Roman" w:cs="Times New Roman"/>
          <w:sz w:val="24"/>
          <w:szCs w:val="24"/>
        </w:rPr>
        <w:t xml:space="preserve">a strategic asset allocation plan that </w:t>
      </w:r>
      <w:r w:rsidR="00896928" w:rsidRPr="00252295">
        <w:rPr>
          <w:rFonts w:ascii="Times New Roman" w:eastAsia="Times New Roman" w:hAnsi="Times New Roman" w:cs="Times New Roman"/>
          <w:sz w:val="24"/>
          <w:szCs w:val="24"/>
        </w:rPr>
        <w:t xml:space="preserve">will </w:t>
      </w:r>
      <w:r w:rsidRPr="00252295">
        <w:rPr>
          <w:rFonts w:ascii="Times New Roman" w:eastAsia="Times New Roman" w:hAnsi="Times New Roman" w:cs="Times New Roman"/>
          <w:sz w:val="24"/>
          <w:szCs w:val="24"/>
        </w:rPr>
        <w:t xml:space="preserve">consider its current and future funding needs and its historic performance of the investment portfolio. These policy actions </w:t>
      </w:r>
      <w:r w:rsidR="00896928" w:rsidRPr="00252295">
        <w:rPr>
          <w:rFonts w:ascii="Times New Roman" w:eastAsia="Times New Roman" w:hAnsi="Times New Roman" w:cs="Times New Roman"/>
          <w:sz w:val="24"/>
          <w:szCs w:val="24"/>
        </w:rPr>
        <w:t>are</w:t>
      </w:r>
      <w:r w:rsidRPr="00252295">
        <w:rPr>
          <w:rFonts w:ascii="Times New Roman" w:eastAsia="Times New Roman" w:hAnsi="Times New Roman" w:cs="Times New Roman"/>
          <w:sz w:val="24"/>
          <w:szCs w:val="24"/>
        </w:rPr>
        <w:t xml:space="preserve"> necessary because the NIS’ funding situation </w:t>
      </w:r>
      <w:r w:rsidR="00896928" w:rsidRPr="00252295">
        <w:rPr>
          <w:rFonts w:ascii="Times New Roman" w:eastAsia="Times New Roman" w:hAnsi="Times New Roman" w:cs="Times New Roman"/>
          <w:sz w:val="24"/>
          <w:szCs w:val="24"/>
        </w:rPr>
        <w:t xml:space="preserve">can </w:t>
      </w:r>
      <w:r w:rsidRPr="00252295">
        <w:rPr>
          <w:rFonts w:ascii="Times New Roman" w:eastAsia="Times New Roman" w:hAnsi="Times New Roman" w:cs="Times New Roman"/>
          <w:sz w:val="24"/>
          <w:szCs w:val="24"/>
        </w:rPr>
        <w:t>further deteriorate</w:t>
      </w:r>
      <w:r w:rsidR="00896928" w:rsidRPr="00252295">
        <w:rPr>
          <w:rFonts w:ascii="Times New Roman" w:eastAsia="Times New Roman" w:hAnsi="Times New Roman" w:cs="Times New Roman"/>
          <w:sz w:val="24"/>
          <w:szCs w:val="24"/>
        </w:rPr>
        <w:t xml:space="preserve"> if there is another </w:t>
      </w:r>
      <w:r w:rsidR="003E0858" w:rsidRPr="00252295">
        <w:rPr>
          <w:rFonts w:ascii="Times New Roman" w:eastAsia="Times New Roman" w:hAnsi="Times New Roman" w:cs="Times New Roman"/>
          <w:sz w:val="24"/>
          <w:szCs w:val="24"/>
        </w:rPr>
        <w:t>pandemic</w:t>
      </w:r>
      <w:r w:rsidR="00896928" w:rsidRPr="00252295">
        <w:rPr>
          <w:rFonts w:ascii="Times New Roman" w:eastAsia="Times New Roman" w:hAnsi="Times New Roman" w:cs="Times New Roman"/>
          <w:sz w:val="24"/>
          <w:szCs w:val="24"/>
        </w:rPr>
        <w:t xml:space="preserve"> </w:t>
      </w:r>
      <w:proofErr w:type="gramStart"/>
      <w:r w:rsidR="00896928" w:rsidRPr="00252295">
        <w:rPr>
          <w:rFonts w:ascii="Times New Roman" w:eastAsia="Times New Roman" w:hAnsi="Times New Roman" w:cs="Times New Roman"/>
          <w:sz w:val="24"/>
          <w:szCs w:val="24"/>
        </w:rPr>
        <w:t>similar to</w:t>
      </w:r>
      <w:proofErr w:type="gramEnd"/>
      <w:r w:rsidR="00896928" w:rsidRPr="00252295">
        <w:rPr>
          <w:rFonts w:ascii="Times New Roman" w:eastAsia="Times New Roman" w:hAnsi="Times New Roman" w:cs="Times New Roman"/>
          <w:sz w:val="24"/>
          <w:szCs w:val="24"/>
        </w:rPr>
        <w:t xml:space="preserve"> the COVID-19 of </w:t>
      </w:r>
      <w:r w:rsidR="00EA1AA9" w:rsidRPr="00252295">
        <w:rPr>
          <w:rFonts w:ascii="Times New Roman" w:eastAsia="Times New Roman" w:hAnsi="Times New Roman" w:cs="Times New Roman"/>
          <w:sz w:val="24"/>
          <w:szCs w:val="24"/>
        </w:rPr>
        <w:t>2019 and</w:t>
      </w:r>
      <w:r w:rsidR="003E0858" w:rsidRPr="00252295">
        <w:rPr>
          <w:rFonts w:ascii="Times New Roman" w:eastAsia="Times New Roman" w:hAnsi="Times New Roman" w:cs="Times New Roman"/>
          <w:sz w:val="24"/>
          <w:szCs w:val="24"/>
        </w:rPr>
        <w:t xml:space="preserve"> if there are </w:t>
      </w:r>
      <w:r w:rsidR="00EA1AA9" w:rsidRPr="00252295">
        <w:rPr>
          <w:rFonts w:ascii="Times New Roman" w:eastAsia="Times New Roman" w:hAnsi="Times New Roman" w:cs="Times New Roman"/>
          <w:sz w:val="24"/>
          <w:szCs w:val="24"/>
        </w:rPr>
        <w:t>any</w:t>
      </w:r>
      <w:r w:rsidR="003E0858" w:rsidRPr="00252295">
        <w:rPr>
          <w:rFonts w:ascii="Times New Roman" w:eastAsia="Times New Roman" w:hAnsi="Times New Roman" w:cs="Times New Roman"/>
          <w:sz w:val="24"/>
          <w:szCs w:val="24"/>
        </w:rPr>
        <w:t xml:space="preserve"> natural disasters such as the volcanic eruption of 2021</w:t>
      </w:r>
      <w:r w:rsidRPr="00252295">
        <w:rPr>
          <w:rFonts w:ascii="Times New Roman" w:eastAsia="Times New Roman" w:hAnsi="Times New Roman" w:cs="Times New Roman"/>
          <w:sz w:val="24"/>
          <w:szCs w:val="24"/>
        </w:rPr>
        <w:t xml:space="preserve"> that caused dramatic increases in benefit payouts and reduction in the contribution growth rate. Consequently, increasing the liquidity needs </w:t>
      </w:r>
      <w:r w:rsidRPr="00252295">
        <w:rPr>
          <w:rFonts w:ascii="Times New Roman" w:eastAsia="Times New Roman" w:hAnsi="Times New Roman" w:cs="Times New Roman"/>
          <w:sz w:val="24"/>
          <w:szCs w:val="24"/>
        </w:rPr>
        <w:lastRenderedPageBreak/>
        <w:t>of the Fund as contribution income, investment income and a proportion of the reserves were required to finance the 20</w:t>
      </w:r>
      <w:r w:rsidR="003E0858" w:rsidRPr="00252295">
        <w:rPr>
          <w:rFonts w:ascii="Times New Roman" w:eastAsia="Times New Roman" w:hAnsi="Times New Roman" w:cs="Times New Roman"/>
          <w:sz w:val="24"/>
          <w:szCs w:val="24"/>
        </w:rPr>
        <w:t>19 and 2021</w:t>
      </w:r>
      <w:r w:rsidRPr="00252295">
        <w:rPr>
          <w:rFonts w:ascii="Times New Roman" w:eastAsia="Times New Roman" w:hAnsi="Times New Roman" w:cs="Times New Roman"/>
          <w:sz w:val="24"/>
          <w:szCs w:val="24"/>
        </w:rPr>
        <w:t xml:space="preserve"> recurrent expenditure. </w:t>
      </w:r>
    </w:p>
    <w:p w14:paraId="1A2BB053" w14:textId="77777777" w:rsidR="008120D0" w:rsidRPr="00252295" w:rsidRDefault="008120D0" w:rsidP="00252295">
      <w:pPr>
        <w:jc w:val="both"/>
        <w:rPr>
          <w:rFonts w:ascii="Times New Roman" w:eastAsia="Times New Roman" w:hAnsi="Times New Roman" w:cs="Times New Roman"/>
          <w:sz w:val="24"/>
          <w:szCs w:val="24"/>
        </w:rPr>
      </w:pPr>
    </w:p>
    <w:p w14:paraId="539124E9" w14:textId="6FC40535" w:rsidR="008120D0" w:rsidRPr="00252295" w:rsidRDefault="008120D0" w:rsidP="00252295">
      <w:pPr>
        <w:jc w:val="both"/>
        <w:rPr>
          <w:rFonts w:ascii="Times New Roman" w:eastAsia="Times New Roman" w:hAnsi="Times New Roman" w:cs="Times New Roman"/>
          <w:sz w:val="24"/>
          <w:szCs w:val="24"/>
        </w:rPr>
      </w:pPr>
      <w:r w:rsidRPr="00252295">
        <w:rPr>
          <w:rFonts w:ascii="Times New Roman" w:eastAsia="Times New Roman" w:hAnsi="Times New Roman" w:cs="Times New Roman"/>
          <w:sz w:val="24"/>
          <w:szCs w:val="24"/>
        </w:rPr>
        <w:t xml:space="preserve">With the increasing funding pressures, the </w:t>
      </w:r>
      <w:r w:rsidR="003E0858" w:rsidRPr="00252295">
        <w:rPr>
          <w:rFonts w:ascii="Times New Roman" w:eastAsia="Times New Roman" w:hAnsi="Times New Roman" w:cs="Times New Roman"/>
          <w:sz w:val="24"/>
          <w:szCs w:val="24"/>
        </w:rPr>
        <w:t xml:space="preserve">NIS will </w:t>
      </w:r>
      <w:r w:rsidRPr="00252295">
        <w:rPr>
          <w:rFonts w:ascii="Times New Roman" w:eastAsia="Times New Roman" w:hAnsi="Times New Roman" w:cs="Times New Roman"/>
          <w:sz w:val="24"/>
          <w:szCs w:val="24"/>
        </w:rPr>
        <w:t xml:space="preserve">adopt a more defensive investment strategy around capital preservation (safety), income generation (yield) and cashflow matching in short and medium terms (liquidity). To this end, the investment actions and decisions </w:t>
      </w:r>
      <w:r w:rsidR="003E0858" w:rsidRPr="00252295">
        <w:rPr>
          <w:rFonts w:ascii="Times New Roman" w:eastAsia="Times New Roman" w:hAnsi="Times New Roman" w:cs="Times New Roman"/>
          <w:sz w:val="24"/>
          <w:szCs w:val="24"/>
        </w:rPr>
        <w:t xml:space="preserve">will </w:t>
      </w:r>
      <w:r w:rsidRPr="00252295">
        <w:rPr>
          <w:rFonts w:ascii="Times New Roman" w:eastAsia="Times New Roman" w:hAnsi="Times New Roman" w:cs="Times New Roman"/>
          <w:sz w:val="24"/>
          <w:szCs w:val="24"/>
        </w:rPr>
        <w:t xml:space="preserve">ensure that the core portfolio </w:t>
      </w:r>
      <w:r w:rsidR="003E0858" w:rsidRPr="00252295">
        <w:rPr>
          <w:rFonts w:ascii="Times New Roman" w:eastAsia="Times New Roman" w:hAnsi="Times New Roman" w:cs="Times New Roman"/>
          <w:sz w:val="24"/>
          <w:szCs w:val="24"/>
        </w:rPr>
        <w:t>supplements the</w:t>
      </w:r>
      <w:r w:rsidRPr="00252295">
        <w:rPr>
          <w:rFonts w:ascii="Times New Roman" w:eastAsia="Times New Roman" w:hAnsi="Times New Roman" w:cs="Times New Roman"/>
          <w:sz w:val="24"/>
          <w:szCs w:val="24"/>
        </w:rPr>
        <w:t xml:space="preserve"> contribution income to cover the expenses within the short and medium terms. Also, the portfolio w</w:t>
      </w:r>
      <w:r w:rsidR="003E0858" w:rsidRPr="00252295">
        <w:rPr>
          <w:rFonts w:ascii="Times New Roman" w:eastAsia="Times New Roman" w:hAnsi="Times New Roman" w:cs="Times New Roman"/>
          <w:sz w:val="24"/>
          <w:szCs w:val="24"/>
        </w:rPr>
        <w:t xml:space="preserve">ill be </w:t>
      </w:r>
      <w:r w:rsidRPr="00252295">
        <w:rPr>
          <w:rFonts w:ascii="Times New Roman" w:eastAsia="Times New Roman" w:hAnsi="Times New Roman" w:cs="Times New Roman"/>
          <w:sz w:val="24"/>
          <w:szCs w:val="24"/>
        </w:rPr>
        <w:t>positioned to optimize returns within suitable risk limits and to minimize the asset/liability mismatch risks of the portfolio.</w:t>
      </w:r>
    </w:p>
    <w:p w14:paraId="0B4D3B6C" w14:textId="77777777" w:rsidR="00C60366" w:rsidRPr="00252295" w:rsidRDefault="00C60366" w:rsidP="00252295">
      <w:pPr>
        <w:jc w:val="both"/>
        <w:rPr>
          <w:rFonts w:ascii="Times New Roman" w:eastAsia="Times New Roman" w:hAnsi="Times New Roman" w:cs="Times New Roman"/>
          <w:sz w:val="24"/>
          <w:szCs w:val="24"/>
          <w:lang w:val="en-GB"/>
        </w:rPr>
      </w:pPr>
    </w:p>
    <w:p w14:paraId="289AF6D3" w14:textId="5F676AEB" w:rsidR="00C60366" w:rsidRPr="00252295" w:rsidRDefault="00C60366" w:rsidP="00252295">
      <w:pPr>
        <w:jc w:val="both"/>
        <w:rPr>
          <w:rFonts w:ascii="Times New Roman" w:eastAsia="Times New Roman" w:hAnsi="Times New Roman" w:cs="Times New Roman"/>
          <w:b/>
          <w:bCs/>
          <w:sz w:val="24"/>
          <w:szCs w:val="24"/>
          <w:lang w:val="en-GB"/>
        </w:rPr>
      </w:pPr>
      <w:r w:rsidRPr="00252295">
        <w:rPr>
          <w:rFonts w:ascii="Times New Roman" w:eastAsia="Times New Roman" w:hAnsi="Times New Roman" w:cs="Times New Roman"/>
          <w:b/>
          <w:bCs/>
          <w:sz w:val="24"/>
          <w:szCs w:val="24"/>
          <w:lang w:val="en-GB"/>
        </w:rPr>
        <w:t>Advancement of the digital transformation programme</w:t>
      </w:r>
      <w:r w:rsidR="00BB7144" w:rsidRPr="00252295">
        <w:rPr>
          <w:rFonts w:ascii="Times New Roman" w:eastAsia="Times New Roman" w:hAnsi="Times New Roman" w:cs="Times New Roman"/>
          <w:b/>
          <w:bCs/>
          <w:sz w:val="24"/>
          <w:szCs w:val="24"/>
          <w:lang w:val="en-GB"/>
        </w:rPr>
        <w:t xml:space="preserve"> and social media platform</w:t>
      </w:r>
    </w:p>
    <w:p w14:paraId="766A5EE8" w14:textId="77777777" w:rsidR="00C60366" w:rsidRPr="00252295" w:rsidRDefault="00C60366" w:rsidP="00252295">
      <w:pPr>
        <w:jc w:val="both"/>
        <w:rPr>
          <w:rFonts w:ascii="Times New Roman" w:eastAsia="Times New Roman" w:hAnsi="Times New Roman" w:cs="Times New Roman"/>
          <w:b/>
          <w:bCs/>
          <w:sz w:val="24"/>
          <w:szCs w:val="24"/>
          <w:lang w:val="en-GB"/>
        </w:rPr>
      </w:pPr>
    </w:p>
    <w:p w14:paraId="7F1FE85C" w14:textId="77777777" w:rsidR="009A4D2A" w:rsidRPr="00252295" w:rsidRDefault="00C60366" w:rsidP="00252295">
      <w:pPr>
        <w:jc w:val="both"/>
        <w:rPr>
          <w:rFonts w:ascii="Times New Roman" w:eastAsia="Times New Roman" w:hAnsi="Times New Roman" w:cs="Times New Roman"/>
          <w:sz w:val="24"/>
          <w:szCs w:val="24"/>
        </w:rPr>
      </w:pPr>
      <w:r w:rsidRPr="00252295">
        <w:rPr>
          <w:rFonts w:ascii="Times New Roman" w:eastAsia="Times New Roman" w:hAnsi="Times New Roman" w:cs="Times New Roman"/>
          <w:sz w:val="24"/>
          <w:szCs w:val="24"/>
          <w:lang w:val="en-GB"/>
        </w:rPr>
        <w:t xml:space="preserve"> Another internal change management transformation strategy that will be employed to help with boosting sustainability is advancement of the digital transformation program</w:t>
      </w:r>
      <w:r w:rsidR="00EA1AA9" w:rsidRPr="00252295">
        <w:rPr>
          <w:rFonts w:ascii="Times New Roman" w:eastAsia="Times New Roman" w:hAnsi="Times New Roman" w:cs="Times New Roman"/>
          <w:sz w:val="24"/>
          <w:szCs w:val="24"/>
          <w:lang w:val="en-GB"/>
        </w:rPr>
        <w:t>me</w:t>
      </w:r>
      <w:r w:rsidRPr="00252295">
        <w:rPr>
          <w:rFonts w:ascii="Times New Roman" w:eastAsia="Times New Roman" w:hAnsi="Times New Roman" w:cs="Times New Roman"/>
          <w:sz w:val="24"/>
          <w:szCs w:val="24"/>
          <w:lang w:val="en-GB"/>
        </w:rPr>
        <w:t xml:space="preserve"> to ensure a robust system of social security delivery, cost optimisation and operational efficiency. </w:t>
      </w:r>
      <w:r w:rsidR="009A4D2A" w:rsidRPr="00252295">
        <w:rPr>
          <w:rFonts w:ascii="Times New Roman" w:eastAsia="Times New Roman" w:hAnsi="Times New Roman" w:cs="Times New Roman"/>
          <w:sz w:val="24"/>
          <w:szCs w:val="24"/>
        </w:rPr>
        <w:t>The gloomy and uncertain macro-economic outlook, the rapid emergence of the digital economy, the consequential labor market primarily developments (composed of ‘gig workers’ and rise in informality), the demographic shifts towards population ageing, and the increasing public expectations present the NIS with many-sided challenges that must be addressed to ensure sustainability.  To this end, the need for a digital arm of the organization extending into the future social security operations has emerged as a necessity.  Organizational ambidexterity is no longer a fad; in reality, it is an immediate necessity for the institution's survival into the next decade and beyond.</w:t>
      </w:r>
    </w:p>
    <w:p w14:paraId="062205F0" w14:textId="77777777" w:rsidR="009A4D2A" w:rsidRPr="00252295" w:rsidRDefault="009A4D2A" w:rsidP="00252295">
      <w:pPr>
        <w:jc w:val="both"/>
        <w:rPr>
          <w:rFonts w:ascii="Times New Roman" w:eastAsia="Times New Roman" w:hAnsi="Times New Roman" w:cs="Times New Roman"/>
          <w:sz w:val="24"/>
          <w:szCs w:val="24"/>
        </w:rPr>
      </w:pPr>
    </w:p>
    <w:p w14:paraId="624A8D0B" w14:textId="4EA46947" w:rsidR="009A4D2A" w:rsidRPr="00252295" w:rsidRDefault="009A4D2A" w:rsidP="00252295">
      <w:pPr>
        <w:jc w:val="both"/>
        <w:rPr>
          <w:rFonts w:ascii="Times New Roman" w:eastAsia="Times New Roman" w:hAnsi="Times New Roman" w:cs="Times New Roman"/>
          <w:sz w:val="24"/>
          <w:szCs w:val="24"/>
        </w:rPr>
      </w:pPr>
      <w:r w:rsidRPr="00252295">
        <w:rPr>
          <w:rFonts w:ascii="Times New Roman" w:eastAsia="Times New Roman" w:hAnsi="Times New Roman" w:cs="Times New Roman"/>
          <w:sz w:val="24"/>
          <w:szCs w:val="24"/>
        </w:rPr>
        <w:t xml:space="preserve">The extant challenges are compounded by manual processes, with limited-service delivery channels leading to unsustainability in its current form.  Therefore, the NIS must implement a strategy is to build a sustainable social security system.  To further strengthen the financial sustainability of the NIS through excellence in administration, the institution must give pride of place to implementing a modern, adaptable information management system to improve its operations, enhance customer service, provide digital offerings, and enable cost efficiency by eliminating manual and duplicate processes, which still exist.  Obviously, the NIS must be proactive in this venture by developing a high-performing and supportive cadre of staff through investments in training programmes geared toward digital and data-driven processes, automation, and cloud administration. </w:t>
      </w:r>
    </w:p>
    <w:p w14:paraId="35E2E424" w14:textId="5E194863" w:rsidR="00C60366" w:rsidRPr="00252295" w:rsidRDefault="009A4D2A" w:rsidP="00252295">
      <w:pPr>
        <w:jc w:val="both"/>
        <w:rPr>
          <w:rFonts w:ascii="Times New Roman" w:eastAsia="Times New Roman" w:hAnsi="Times New Roman" w:cs="Times New Roman"/>
          <w:sz w:val="24"/>
          <w:szCs w:val="24"/>
        </w:rPr>
      </w:pPr>
      <w:r w:rsidRPr="00252295">
        <w:rPr>
          <w:rFonts w:ascii="Times New Roman" w:eastAsia="Times New Roman" w:hAnsi="Times New Roman" w:cs="Times New Roman"/>
          <w:sz w:val="24"/>
          <w:szCs w:val="24"/>
        </w:rPr>
        <w:t xml:space="preserve"> </w:t>
      </w:r>
    </w:p>
    <w:p w14:paraId="5A109824" w14:textId="26ADC155" w:rsidR="00CF51E2" w:rsidRPr="004718BE" w:rsidRDefault="00136F5D" w:rsidP="00252295">
      <w:pPr>
        <w:jc w:val="both"/>
        <w:rPr>
          <w:rFonts w:ascii="Times New Roman" w:hAnsi="Times New Roman" w:cs="Times New Roman"/>
          <w:sz w:val="24"/>
          <w:szCs w:val="24"/>
        </w:rPr>
      </w:pPr>
      <w:r w:rsidRPr="004718BE">
        <w:rPr>
          <w:rStyle w:val="Strong"/>
          <w:rFonts w:ascii="Times New Roman" w:hAnsi="Times New Roman" w:cs="Times New Roman"/>
          <w:b w:val="0"/>
          <w:bCs w:val="0"/>
          <w:sz w:val="24"/>
          <w:szCs w:val="24"/>
        </w:rPr>
        <w:t>Clayton (2016) w</w:t>
      </w:r>
      <w:r w:rsidR="00255F65" w:rsidRPr="004718BE">
        <w:rPr>
          <w:rStyle w:val="Strong"/>
          <w:rFonts w:ascii="Times New Roman" w:hAnsi="Times New Roman" w:cs="Times New Roman"/>
          <w:b w:val="0"/>
          <w:bCs w:val="0"/>
          <w:sz w:val="24"/>
          <w:szCs w:val="24"/>
        </w:rPr>
        <w:t xml:space="preserve">riting </w:t>
      </w:r>
      <w:r w:rsidRPr="004718BE">
        <w:rPr>
          <w:rStyle w:val="Strong"/>
          <w:rFonts w:ascii="Times New Roman" w:hAnsi="Times New Roman" w:cs="Times New Roman"/>
          <w:b w:val="0"/>
          <w:bCs w:val="0"/>
          <w:sz w:val="24"/>
          <w:szCs w:val="24"/>
        </w:rPr>
        <w:t>in the</w:t>
      </w:r>
      <w:r w:rsidR="0036062B" w:rsidRPr="004718BE">
        <w:rPr>
          <w:rStyle w:val="Strong"/>
          <w:rFonts w:ascii="Times New Roman" w:hAnsi="Times New Roman" w:cs="Times New Roman"/>
          <w:b w:val="0"/>
          <w:bCs w:val="0"/>
          <w:sz w:val="24"/>
          <w:szCs w:val="24"/>
        </w:rPr>
        <w:t xml:space="preserve"> Harvard Business Review</w:t>
      </w:r>
      <w:r w:rsidR="00CF51E2" w:rsidRPr="004718BE">
        <w:rPr>
          <w:rStyle w:val="Strong"/>
          <w:rFonts w:ascii="Times New Roman" w:hAnsi="Times New Roman" w:cs="Times New Roman"/>
          <w:b w:val="0"/>
          <w:bCs w:val="0"/>
          <w:sz w:val="24"/>
          <w:szCs w:val="24"/>
        </w:rPr>
        <w:t xml:space="preserve"> suggested that this is a good strategy since</w:t>
      </w:r>
      <w:r w:rsidR="0036062B" w:rsidRPr="004718BE">
        <w:rPr>
          <w:rStyle w:val="Strong"/>
          <w:rFonts w:ascii="Times New Roman" w:hAnsi="Times New Roman" w:cs="Times New Roman"/>
          <w:b w:val="0"/>
          <w:bCs w:val="0"/>
          <w:sz w:val="24"/>
          <w:szCs w:val="24"/>
        </w:rPr>
        <w:t xml:space="preserve"> many of the employees are accustomed</w:t>
      </w:r>
      <w:r w:rsidR="0036062B" w:rsidRPr="004718BE">
        <w:rPr>
          <w:rStyle w:val="Strong"/>
          <w:rFonts w:ascii="Times New Roman" w:hAnsi="Times New Roman" w:cs="Times New Roman"/>
          <w:sz w:val="24"/>
          <w:szCs w:val="24"/>
        </w:rPr>
        <w:t xml:space="preserve"> </w:t>
      </w:r>
      <w:r w:rsidR="0036062B" w:rsidRPr="004718BE">
        <w:rPr>
          <w:rStyle w:val="Strong"/>
          <w:rFonts w:ascii="Times New Roman" w:hAnsi="Times New Roman" w:cs="Times New Roman"/>
          <w:b w:val="0"/>
          <w:bCs w:val="0"/>
          <w:sz w:val="24"/>
          <w:szCs w:val="24"/>
        </w:rPr>
        <w:t>to use social media platforms</w:t>
      </w:r>
      <w:r w:rsidR="0036062B" w:rsidRPr="004718BE">
        <w:rPr>
          <w:rStyle w:val="Strong"/>
          <w:rFonts w:ascii="Times New Roman" w:hAnsi="Times New Roman" w:cs="Times New Roman"/>
          <w:sz w:val="24"/>
          <w:szCs w:val="24"/>
        </w:rPr>
        <w:t xml:space="preserve"> </w:t>
      </w:r>
      <w:r w:rsidR="0036062B" w:rsidRPr="004718BE">
        <w:rPr>
          <w:rFonts w:ascii="Times New Roman" w:hAnsi="Times New Roman" w:cs="Times New Roman"/>
          <w:sz w:val="24"/>
          <w:szCs w:val="24"/>
          <w:shd w:val="clear" w:color="auto" w:fill="FFFFFF"/>
        </w:rPr>
        <w:t xml:space="preserve">such </w:t>
      </w:r>
      <w:r w:rsidR="00CF51E2" w:rsidRPr="004718BE">
        <w:rPr>
          <w:rFonts w:ascii="Times New Roman" w:hAnsi="Times New Roman" w:cs="Times New Roman"/>
          <w:sz w:val="24"/>
          <w:szCs w:val="24"/>
          <w:shd w:val="clear" w:color="auto" w:fill="FFFFFF"/>
        </w:rPr>
        <w:t>as Google</w:t>
      </w:r>
      <w:r w:rsidR="0036062B" w:rsidRPr="004718BE">
        <w:rPr>
          <w:rFonts w:ascii="Times New Roman" w:hAnsi="Times New Roman" w:cs="Times New Roman"/>
          <w:sz w:val="24"/>
          <w:szCs w:val="24"/>
          <w:shd w:val="clear" w:color="auto" w:fill="FFFFFF"/>
        </w:rPr>
        <w:t xml:space="preserve"> </w:t>
      </w:r>
      <w:r w:rsidR="00CF51E2" w:rsidRPr="004718BE">
        <w:rPr>
          <w:rFonts w:ascii="Times New Roman" w:hAnsi="Times New Roman" w:cs="Times New Roman"/>
          <w:sz w:val="24"/>
          <w:szCs w:val="24"/>
          <w:shd w:val="clear" w:color="auto" w:fill="FFFFFF"/>
        </w:rPr>
        <w:t>Hangout at home so</w:t>
      </w:r>
      <w:r w:rsidR="0036062B" w:rsidRPr="004718BE">
        <w:rPr>
          <w:rFonts w:ascii="Times New Roman" w:hAnsi="Times New Roman" w:cs="Times New Roman"/>
          <w:sz w:val="24"/>
          <w:szCs w:val="24"/>
          <w:shd w:val="clear" w:color="auto" w:fill="FFFFFF"/>
        </w:rPr>
        <w:t xml:space="preserve"> this can be easily integrated into the NIS</w:t>
      </w:r>
      <w:r w:rsidR="00CF51E2" w:rsidRPr="004718BE">
        <w:rPr>
          <w:rFonts w:ascii="Times New Roman" w:hAnsi="Times New Roman" w:cs="Times New Roman"/>
          <w:sz w:val="24"/>
          <w:szCs w:val="24"/>
          <w:shd w:val="clear" w:color="auto" w:fill="FFFFFF"/>
        </w:rPr>
        <w:t>’ existing</w:t>
      </w:r>
      <w:r w:rsidR="0036062B" w:rsidRPr="004718BE">
        <w:rPr>
          <w:rFonts w:ascii="Times New Roman" w:hAnsi="Times New Roman" w:cs="Times New Roman"/>
          <w:sz w:val="24"/>
          <w:szCs w:val="24"/>
          <w:shd w:val="clear" w:color="auto" w:fill="FFFFFF"/>
        </w:rPr>
        <w:t xml:space="preserve"> systems.</w:t>
      </w:r>
      <w:r w:rsidR="00CF51E2" w:rsidRPr="004718BE">
        <w:rPr>
          <w:rStyle w:val="Strong"/>
          <w:rFonts w:ascii="Times New Roman" w:hAnsi="Times New Roman" w:cs="Times New Roman"/>
          <w:sz w:val="24"/>
          <w:szCs w:val="24"/>
        </w:rPr>
        <w:t xml:space="preserve"> </w:t>
      </w:r>
      <w:r w:rsidR="00CF51E2" w:rsidRPr="004718BE">
        <w:rPr>
          <w:rStyle w:val="Strong"/>
          <w:rFonts w:ascii="Times New Roman" w:hAnsi="Times New Roman" w:cs="Times New Roman"/>
          <w:b w:val="0"/>
          <w:bCs w:val="0"/>
          <w:sz w:val="24"/>
          <w:szCs w:val="24"/>
        </w:rPr>
        <w:t>Of Course, the same source posited</w:t>
      </w:r>
      <w:r w:rsidR="00CF51E2" w:rsidRPr="004718BE">
        <w:rPr>
          <w:rStyle w:val="Strong"/>
          <w:rFonts w:ascii="Times New Roman" w:hAnsi="Times New Roman" w:cs="Times New Roman"/>
          <w:sz w:val="24"/>
          <w:szCs w:val="24"/>
        </w:rPr>
        <w:t xml:space="preserve"> </w:t>
      </w:r>
      <w:r w:rsidR="00CF51E2" w:rsidRPr="004718BE">
        <w:rPr>
          <w:rStyle w:val="Strong"/>
          <w:rFonts w:ascii="Times New Roman" w:hAnsi="Times New Roman" w:cs="Times New Roman"/>
          <w:b w:val="0"/>
          <w:bCs w:val="0"/>
          <w:sz w:val="24"/>
          <w:szCs w:val="24"/>
        </w:rPr>
        <w:t>that</w:t>
      </w:r>
      <w:r w:rsidR="00CF51E2" w:rsidRPr="004718BE">
        <w:rPr>
          <w:rStyle w:val="Strong"/>
          <w:rFonts w:ascii="Times New Roman" w:hAnsi="Times New Roman" w:cs="Times New Roman"/>
          <w:sz w:val="24"/>
          <w:szCs w:val="24"/>
        </w:rPr>
        <w:t xml:space="preserve"> </w:t>
      </w:r>
      <w:r w:rsidR="00CF51E2" w:rsidRPr="004718BE">
        <w:rPr>
          <w:rFonts w:ascii="Times New Roman" w:hAnsi="Times New Roman" w:cs="Times New Roman"/>
          <w:sz w:val="24"/>
          <w:szCs w:val="24"/>
        </w:rPr>
        <w:t>t</w:t>
      </w:r>
      <w:r w:rsidR="0036062B" w:rsidRPr="004718BE">
        <w:rPr>
          <w:rFonts w:ascii="Times New Roman" w:hAnsi="Times New Roman" w:cs="Times New Roman"/>
          <w:sz w:val="24"/>
          <w:szCs w:val="24"/>
        </w:rPr>
        <w:t xml:space="preserve">ransitions often require a corresponding change in employee behavior, whether it’s adopting a new set of values as part of a cultural evolution or working differently to support a new leader’s vision for the </w:t>
      </w:r>
      <w:r w:rsidR="00CF51E2" w:rsidRPr="004718BE">
        <w:rPr>
          <w:rFonts w:ascii="Times New Roman" w:hAnsi="Times New Roman" w:cs="Times New Roman"/>
          <w:sz w:val="24"/>
          <w:szCs w:val="24"/>
        </w:rPr>
        <w:t>company. (</w:t>
      </w:r>
      <w:r w:rsidRPr="004718BE">
        <w:rPr>
          <w:rFonts w:ascii="Times New Roman" w:hAnsi="Times New Roman" w:cs="Times New Roman"/>
          <w:sz w:val="24"/>
          <w:szCs w:val="24"/>
        </w:rPr>
        <w:t xml:space="preserve">Clayton </w:t>
      </w:r>
      <w:r w:rsidR="00F03087" w:rsidRPr="004718BE">
        <w:rPr>
          <w:rFonts w:ascii="Times New Roman" w:hAnsi="Times New Roman" w:cs="Times New Roman"/>
          <w:sz w:val="24"/>
          <w:szCs w:val="24"/>
        </w:rPr>
        <w:t>,201</w:t>
      </w:r>
      <w:r w:rsidRPr="004718BE">
        <w:rPr>
          <w:rFonts w:ascii="Times New Roman" w:hAnsi="Times New Roman" w:cs="Times New Roman"/>
          <w:sz w:val="24"/>
          <w:szCs w:val="24"/>
        </w:rPr>
        <w:t>6</w:t>
      </w:r>
      <w:r w:rsidR="00CF51E2" w:rsidRPr="004718BE">
        <w:rPr>
          <w:rFonts w:ascii="Times New Roman" w:hAnsi="Times New Roman" w:cs="Times New Roman"/>
          <w:sz w:val="24"/>
          <w:szCs w:val="24"/>
        </w:rPr>
        <w:t xml:space="preserve">). </w:t>
      </w:r>
    </w:p>
    <w:p w14:paraId="1EB267D5" w14:textId="77777777" w:rsidR="00C778A5" w:rsidRPr="004718BE" w:rsidRDefault="00C778A5" w:rsidP="00252295">
      <w:pPr>
        <w:jc w:val="both"/>
        <w:rPr>
          <w:rFonts w:ascii="Times New Roman" w:hAnsi="Times New Roman" w:cs="Times New Roman"/>
          <w:sz w:val="24"/>
          <w:szCs w:val="24"/>
        </w:rPr>
      </w:pPr>
    </w:p>
    <w:p w14:paraId="504929DA" w14:textId="34553AD0" w:rsidR="00D649DD" w:rsidRPr="00252295" w:rsidRDefault="00CF51E2" w:rsidP="00252295">
      <w:pPr>
        <w:jc w:val="both"/>
        <w:rPr>
          <w:rFonts w:ascii="Times New Roman" w:eastAsia="Times New Roman" w:hAnsi="Times New Roman" w:cs="Times New Roman"/>
          <w:sz w:val="24"/>
          <w:szCs w:val="24"/>
        </w:rPr>
      </w:pPr>
      <w:r w:rsidRPr="004718BE">
        <w:rPr>
          <w:rFonts w:ascii="Times New Roman" w:hAnsi="Times New Roman" w:cs="Times New Roman"/>
          <w:sz w:val="24"/>
          <w:szCs w:val="24"/>
        </w:rPr>
        <w:t xml:space="preserve"> Fellow student Joe Fernandes (May 2023) also supports the view that </w:t>
      </w:r>
      <w:r w:rsidRPr="00252295">
        <w:rPr>
          <w:rFonts w:ascii="Times New Roman" w:hAnsi="Times New Roman" w:cs="Times New Roman"/>
          <w:color w:val="282828"/>
          <w:sz w:val="24"/>
          <w:szCs w:val="24"/>
        </w:rPr>
        <w:t>“</w:t>
      </w:r>
      <w:r w:rsidRPr="00252295">
        <w:rPr>
          <w:rFonts w:ascii="Times New Roman" w:eastAsia="Times New Roman" w:hAnsi="Times New Roman" w:cs="Times New Roman"/>
          <w:sz w:val="24"/>
          <w:szCs w:val="24"/>
        </w:rPr>
        <w:t xml:space="preserve">it is important to have social media to support a sustainable change initiative, as social media tools can reduce the time an organisation needs to navigate change programs and conveys a better change experience from the employee’s perspective, which allows a foundation to be built for employees to be more continuously change cable in the future.”. Fernandes (2003) also indicated </w:t>
      </w:r>
      <w:r w:rsidR="00F32E9A" w:rsidRPr="00252295">
        <w:rPr>
          <w:rFonts w:ascii="Times New Roman" w:eastAsia="Times New Roman" w:hAnsi="Times New Roman" w:cs="Times New Roman"/>
          <w:sz w:val="24"/>
          <w:szCs w:val="24"/>
        </w:rPr>
        <w:t>that “social</w:t>
      </w:r>
      <w:r w:rsidRPr="00252295">
        <w:rPr>
          <w:rFonts w:ascii="Times New Roman" w:eastAsia="Times New Roman" w:hAnsi="Times New Roman" w:cs="Times New Roman"/>
          <w:sz w:val="24"/>
          <w:szCs w:val="24"/>
        </w:rPr>
        <w:t xml:space="preserve"> media is an </w:t>
      </w:r>
      <w:r w:rsidRPr="00252295">
        <w:rPr>
          <w:rFonts w:ascii="Times New Roman" w:eastAsia="Times New Roman" w:hAnsi="Times New Roman" w:cs="Times New Roman"/>
          <w:sz w:val="24"/>
          <w:szCs w:val="24"/>
        </w:rPr>
        <w:lastRenderedPageBreak/>
        <w:t>important addition to support a sustainable change initiative, because it can dramatically increase the acceptance of change and advance an organisation more predictably towards its business goals.</w:t>
      </w:r>
      <w:r w:rsidR="008155E8" w:rsidRPr="00252295">
        <w:rPr>
          <w:rFonts w:ascii="Times New Roman" w:eastAsia="Times New Roman" w:hAnsi="Times New Roman" w:cs="Times New Roman"/>
          <w:sz w:val="24"/>
          <w:szCs w:val="24"/>
        </w:rPr>
        <w:t>”.</w:t>
      </w:r>
    </w:p>
    <w:p w14:paraId="17E7E691" w14:textId="77777777" w:rsidR="00D649DD" w:rsidRPr="00252295" w:rsidRDefault="00D649DD" w:rsidP="00252295">
      <w:pPr>
        <w:jc w:val="both"/>
        <w:rPr>
          <w:rFonts w:ascii="Times New Roman" w:eastAsia="Times New Roman" w:hAnsi="Times New Roman" w:cs="Times New Roman"/>
          <w:sz w:val="24"/>
          <w:szCs w:val="24"/>
        </w:rPr>
      </w:pPr>
    </w:p>
    <w:p w14:paraId="64578F64" w14:textId="44BE1AA0" w:rsidR="0029124B" w:rsidRPr="00252295" w:rsidRDefault="00F32E9A" w:rsidP="00252295">
      <w:pPr>
        <w:jc w:val="both"/>
        <w:rPr>
          <w:rFonts w:ascii="Times New Roman" w:eastAsia="Times New Roman" w:hAnsi="Times New Roman" w:cs="Times New Roman"/>
          <w:b/>
          <w:bCs/>
          <w:sz w:val="24"/>
          <w:szCs w:val="24"/>
        </w:rPr>
      </w:pPr>
      <w:r w:rsidRPr="00252295">
        <w:rPr>
          <w:rFonts w:ascii="Times New Roman" w:eastAsia="Times New Roman" w:hAnsi="Times New Roman" w:cs="Times New Roman"/>
          <w:b/>
          <w:bCs/>
          <w:sz w:val="24"/>
          <w:szCs w:val="24"/>
        </w:rPr>
        <w:t xml:space="preserve">Empowering </w:t>
      </w:r>
      <w:r w:rsidR="0029124B" w:rsidRPr="00252295">
        <w:rPr>
          <w:rFonts w:ascii="Times New Roman" w:eastAsia="Times New Roman" w:hAnsi="Times New Roman" w:cs="Times New Roman"/>
          <w:b/>
          <w:bCs/>
          <w:sz w:val="24"/>
          <w:szCs w:val="24"/>
        </w:rPr>
        <w:t xml:space="preserve">Human Resource </w:t>
      </w:r>
    </w:p>
    <w:p w14:paraId="44173B2B" w14:textId="77777777" w:rsidR="00C778A5" w:rsidRPr="00252295" w:rsidRDefault="00C778A5" w:rsidP="00252295">
      <w:pPr>
        <w:jc w:val="both"/>
        <w:rPr>
          <w:rFonts w:ascii="Times New Roman" w:eastAsia="Times New Roman" w:hAnsi="Times New Roman" w:cs="Times New Roman"/>
          <w:b/>
          <w:bCs/>
          <w:sz w:val="24"/>
          <w:szCs w:val="24"/>
        </w:rPr>
      </w:pPr>
    </w:p>
    <w:p w14:paraId="70512A24" w14:textId="64DB54EE" w:rsidR="00E67196" w:rsidRPr="00252295" w:rsidRDefault="003B4542" w:rsidP="00252295">
      <w:pPr>
        <w:pStyle w:val="p2"/>
        <w:spacing w:before="0" w:beforeAutospacing="0" w:after="0" w:afterAutospacing="0"/>
        <w:jc w:val="both"/>
        <w:rPr>
          <w:rStyle w:val="s2"/>
          <w:rFonts w:ascii="Times New Roman" w:hAnsi="Times New Roman" w:cs="Times New Roman"/>
          <w:sz w:val="24"/>
          <w:szCs w:val="24"/>
        </w:rPr>
      </w:pPr>
      <w:r w:rsidRPr="00252295">
        <w:rPr>
          <w:rFonts w:ascii="Times New Roman" w:hAnsi="Times New Roman" w:cs="Times New Roman"/>
          <w:color w:val="333333"/>
          <w:sz w:val="24"/>
          <w:szCs w:val="24"/>
        </w:rPr>
        <w:t xml:space="preserve">In Kotter’s (2012) Change management strategy, he recommended empowering employees to act on any change initiative.  t This suggests giving them the needed resources and authority to support the change initiative.  The rationale for this is that empowered employees will accept ownership of the new direction. In keeping with this, the NIS will conduct training and give employees information and direction about the </w:t>
      </w:r>
      <w:proofErr w:type="gramStart"/>
      <w:r w:rsidRPr="00252295">
        <w:rPr>
          <w:rFonts w:ascii="Times New Roman" w:hAnsi="Times New Roman" w:cs="Times New Roman"/>
          <w:color w:val="333333"/>
          <w:sz w:val="24"/>
          <w:szCs w:val="24"/>
        </w:rPr>
        <w:t>change</w:t>
      </w:r>
      <w:r w:rsidR="00F32E9A" w:rsidRPr="00252295">
        <w:rPr>
          <w:rFonts w:ascii="Times New Roman" w:hAnsi="Times New Roman" w:cs="Times New Roman"/>
          <w:color w:val="333333"/>
          <w:sz w:val="24"/>
          <w:szCs w:val="24"/>
        </w:rPr>
        <w:t>, and</w:t>
      </w:r>
      <w:proofErr w:type="gramEnd"/>
      <w:r w:rsidR="00F32E9A" w:rsidRPr="00252295">
        <w:rPr>
          <w:rFonts w:ascii="Times New Roman" w:hAnsi="Times New Roman" w:cs="Times New Roman"/>
          <w:color w:val="333333"/>
          <w:sz w:val="24"/>
          <w:szCs w:val="24"/>
        </w:rPr>
        <w:t xml:space="preserve"> allow them to provide feedback by designing a questionnaire structured for that expressed purpose.</w:t>
      </w:r>
      <w:r w:rsidRPr="00252295">
        <w:rPr>
          <w:rFonts w:ascii="Times New Roman" w:hAnsi="Times New Roman" w:cs="Times New Roman"/>
          <w:color w:val="333333"/>
          <w:sz w:val="24"/>
          <w:szCs w:val="24"/>
        </w:rPr>
        <w:t xml:space="preserve"> </w:t>
      </w:r>
      <w:r w:rsidR="00F32E9A" w:rsidRPr="00252295">
        <w:rPr>
          <w:rFonts w:ascii="Times New Roman" w:hAnsi="Times New Roman" w:cs="Times New Roman"/>
          <w:color w:val="333333"/>
          <w:sz w:val="24"/>
          <w:szCs w:val="24"/>
        </w:rPr>
        <w:t xml:space="preserve"> </w:t>
      </w:r>
      <w:proofErr w:type="gramStart"/>
      <w:r w:rsidR="00F32E9A" w:rsidRPr="00252295">
        <w:rPr>
          <w:rFonts w:ascii="Times New Roman" w:hAnsi="Times New Roman" w:cs="Times New Roman"/>
          <w:color w:val="333333"/>
          <w:sz w:val="24"/>
          <w:szCs w:val="24"/>
        </w:rPr>
        <w:t>By undertaking these initiatives, there</w:t>
      </w:r>
      <w:proofErr w:type="gramEnd"/>
      <w:r w:rsidR="00F32E9A" w:rsidRPr="00252295">
        <w:rPr>
          <w:rFonts w:ascii="Times New Roman" w:hAnsi="Times New Roman" w:cs="Times New Roman"/>
          <w:color w:val="333333"/>
          <w:sz w:val="24"/>
          <w:szCs w:val="24"/>
        </w:rPr>
        <w:t xml:space="preserve"> is a high probability of successfully implementing the change towards increased sustainability.</w:t>
      </w:r>
      <w:r w:rsidR="00E67196" w:rsidRPr="00252295">
        <w:rPr>
          <w:rFonts w:ascii="Times New Roman" w:hAnsi="Times New Roman" w:cs="Times New Roman"/>
          <w:sz w:val="24"/>
          <w:szCs w:val="24"/>
        </w:rPr>
        <w:t xml:space="preserve">  Although the NIS has </w:t>
      </w:r>
      <w:r w:rsidR="00E67196" w:rsidRPr="00252295">
        <w:rPr>
          <w:rStyle w:val="s2"/>
          <w:rFonts w:ascii="Times New Roman" w:hAnsi="Times New Roman" w:cs="Times New Roman"/>
          <w:sz w:val="24"/>
          <w:szCs w:val="24"/>
        </w:rPr>
        <w:t xml:space="preserve">capabilities across leadership, risk management, investments, </w:t>
      </w:r>
      <w:proofErr w:type="gramStart"/>
      <w:r w:rsidR="00E67196" w:rsidRPr="00252295">
        <w:rPr>
          <w:rStyle w:val="s2"/>
          <w:rFonts w:ascii="Times New Roman" w:hAnsi="Times New Roman" w:cs="Times New Roman"/>
          <w:sz w:val="24"/>
          <w:szCs w:val="24"/>
        </w:rPr>
        <w:t>ICT</w:t>
      </w:r>
      <w:proofErr w:type="gramEnd"/>
      <w:r w:rsidR="00E67196" w:rsidRPr="00252295">
        <w:rPr>
          <w:rStyle w:val="s2"/>
          <w:rFonts w:ascii="Times New Roman" w:hAnsi="Times New Roman" w:cs="Times New Roman"/>
          <w:sz w:val="24"/>
          <w:szCs w:val="24"/>
        </w:rPr>
        <w:t xml:space="preserve"> and operations to efficaciously implement </w:t>
      </w:r>
      <w:r w:rsidR="00255F65" w:rsidRPr="00252295">
        <w:rPr>
          <w:rStyle w:val="s2"/>
          <w:rFonts w:ascii="Times New Roman" w:hAnsi="Times New Roman" w:cs="Times New Roman"/>
          <w:sz w:val="24"/>
          <w:szCs w:val="24"/>
        </w:rPr>
        <w:t>change, the</w:t>
      </w:r>
      <w:r w:rsidR="00E67196" w:rsidRPr="00252295">
        <w:rPr>
          <w:rStyle w:val="s2"/>
          <w:rFonts w:ascii="Times New Roman" w:hAnsi="Times New Roman" w:cs="Times New Roman"/>
          <w:sz w:val="24"/>
          <w:szCs w:val="24"/>
        </w:rPr>
        <w:t xml:space="preserve"> NIS w</w:t>
      </w:r>
      <w:r w:rsidR="00255F65" w:rsidRPr="00252295">
        <w:rPr>
          <w:rStyle w:val="s2"/>
          <w:rFonts w:ascii="Times New Roman" w:hAnsi="Times New Roman" w:cs="Times New Roman"/>
          <w:sz w:val="24"/>
          <w:szCs w:val="24"/>
        </w:rPr>
        <w:t>ill</w:t>
      </w:r>
      <w:r w:rsidR="00E67196" w:rsidRPr="00252295">
        <w:rPr>
          <w:rStyle w:val="s2"/>
          <w:rFonts w:ascii="Times New Roman" w:hAnsi="Times New Roman" w:cs="Times New Roman"/>
          <w:sz w:val="24"/>
          <w:szCs w:val="24"/>
        </w:rPr>
        <w:t xml:space="preserve"> continue to invest in the development of its human resources to ensure competencies are up to date and relevant to ensure that the change is sustained.</w:t>
      </w:r>
    </w:p>
    <w:p w14:paraId="50C21F32" w14:textId="74CA90B9" w:rsidR="003B4542" w:rsidRPr="00252295" w:rsidRDefault="003B4542" w:rsidP="00252295">
      <w:pPr>
        <w:pStyle w:val="NormalWeb"/>
        <w:shd w:val="clear" w:color="auto" w:fill="FFFFFF"/>
        <w:spacing w:before="0" w:beforeAutospacing="0"/>
        <w:jc w:val="both"/>
        <w:rPr>
          <w:color w:val="333333"/>
        </w:rPr>
      </w:pPr>
    </w:p>
    <w:p w14:paraId="5C9EA0C5" w14:textId="77777777" w:rsidR="00E67196" w:rsidRPr="00252295" w:rsidRDefault="00E67196" w:rsidP="00252295">
      <w:pPr>
        <w:pStyle w:val="p2"/>
        <w:spacing w:before="0" w:beforeAutospacing="0" w:after="0" w:afterAutospacing="0"/>
        <w:jc w:val="both"/>
        <w:rPr>
          <w:rStyle w:val="s2"/>
          <w:rFonts w:ascii="Times New Roman" w:hAnsi="Times New Roman" w:cs="Times New Roman"/>
          <w:b/>
          <w:bCs/>
          <w:sz w:val="24"/>
          <w:szCs w:val="24"/>
        </w:rPr>
      </w:pPr>
      <w:r w:rsidRPr="00252295">
        <w:rPr>
          <w:rStyle w:val="s2"/>
          <w:rFonts w:ascii="Times New Roman" w:hAnsi="Times New Roman" w:cs="Times New Roman"/>
          <w:b/>
          <w:bCs/>
          <w:sz w:val="24"/>
          <w:szCs w:val="24"/>
        </w:rPr>
        <w:t>Administrative Resources</w:t>
      </w:r>
    </w:p>
    <w:p w14:paraId="4C8A82C7" w14:textId="77777777" w:rsidR="00E67196" w:rsidRPr="00252295" w:rsidRDefault="00E67196" w:rsidP="00252295">
      <w:pPr>
        <w:pStyle w:val="p2"/>
        <w:spacing w:before="0" w:beforeAutospacing="0" w:after="0" w:afterAutospacing="0"/>
        <w:jc w:val="both"/>
        <w:rPr>
          <w:rStyle w:val="s2"/>
          <w:rFonts w:ascii="Times New Roman" w:hAnsi="Times New Roman" w:cs="Times New Roman"/>
          <w:sz w:val="24"/>
          <w:szCs w:val="24"/>
        </w:rPr>
      </w:pPr>
    </w:p>
    <w:p w14:paraId="78C7E4A1" w14:textId="492E8B0A" w:rsidR="00E67196" w:rsidRPr="00252295" w:rsidRDefault="00E67196" w:rsidP="00252295">
      <w:pPr>
        <w:pStyle w:val="p2"/>
        <w:spacing w:before="0" w:beforeAutospacing="0" w:after="0" w:afterAutospacing="0"/>
        <w:jc w:val="both"/>
        <w:rPr>
          <w:rFonts w:ascii="Times New Roman" w:hAnsi="Times New Roman" w:cs="Times New Roman"/>
          <w:sz w:val="24"/>
          <w:szCs w:val="24"/>
        </w:rPr>
      </w:pPr>
      <w:r w:rsidRPr="00252295">
        <w:rPr>
          <w:rStyle w:val="s2"/>
          <w:rFonts w:ascii="Times New Roman" w:hAnsi="Times New Roman" w:cs="Times New Roman"/>
          <w:sz w:val="24"/>
          <w:szCs w:val="24"/>
        </w:rPr>
        <w:t xml:space="preserve">The NIS possesses the necessary administrative resources to carry out its social security functions. The NIS legislation provides workable framework around investments, contribution collections and other areas of operations. However, there are aspects of the legislation that requires updating to improve the functionary of the NIS to modernize practices. </w:t>
      </w:r>
      <w:r w:rsidR="00255F65" w:rsidRPr="00252295">
        <w:rPr>
          <w:rStyle w:val="s2"/>
          <w:rFonts w:ascii="Times New Roman" w:hAnsi="Times New Roman" w:cs="Times New Roman"/>
          <w:sz w:val="24"/>
          <w:szCs w:val="24"/>
        </w:rPr>
        <w:t xml:space="preserve">In this regard, the NIS will empower its legal department to undertake a comprehensive legislative review to ensure that all outdated aspects of the legislation are reviewed to keep current with the proposed changes. </w:t>
      </w:r>
    </w:p>
    <w:p w14:paraId="279AFA9D" w14:textId="77777777" w:rsidR="00E67196" w:rsidRPr="00252295" w:rsidRDefault="00E67196" w:rsidP="00252295">
      <w:pPr>
        <w:pStyle w:val="p3"/>
        <w:spacing w:before="0" w:beforeAutospacing="0" w:after="0" w:afterAutospacing="0"/>
        <w:jc w:val="both"/>
        <w:rPr>
          <w:rFonts w:ascii="Times New Roman" w:hAnsi="Times New Roman" w:cs="Times New Roman"/>
          <w:sz w:val="24"/>
          <w:szCs w:val="24"/>
        </w:rPr>
      </w:pPr>
    </w:p>
    <w:p w14:paraId="4B875795" w14:textId="6CE6C827" w:rsidR="00997D7C" w:rsidRPr="00252295" w:rsidRDefault="00E67196" w:rsidP="00252295">
      <w:pPr>
        <w:pStyle w:val="p2"/>
        <w:spacing w:before="0" w:beforeAutospacing="0" w:after="0" w:afterAutospacing="0"/>
        <w:jc w:val="both"/>
        <w:rPr>
          <w:rFonts w:ascii="Times New Roman" w:eastAsia="Times New Roman" w:hAnsi="Times New Roman" w:cs="Times New Roman"/>
          <w:sz w:val="24"/>
          <w:szCs w:val="24"/>
        </w:rPr>
      </w:pPr>
      <w:r w:rsidRPr="00252295">
        <w:rPr>
          <w:rStyle w:val="s2"/>
          <w:rFonts w:ascii="Times New Roman" w:hAnsi="Times New Roman" w:cs="Times New Roman"/>
          <w:b/>
          <w:bCs/>
          <w:sz w:val="24"/>
          <w:szCs w:val="24"/>
        </w:rPr>
        <w:t>Governance Resources</w:t>
      </w:r>
      <w:r w:rsidR="00255F65" w:rsidRPr="00252295">
        <w:rPr>
          <w:rStyle w:val="s2"/>
          <w:rFonts w:ascii="Times New Roman" w:hAnsi="Times New Roman" w:cs="Times New Roman"/>
          <w:b/>
          <w:bCs/>
          <w:sz w:val="24"/>
          <w:szCs w:val="24"/>
        </w:rPr>
        <w:t xml:space="preserve"> </w:t>
      </w:r>
      <w:r w:rsidR="009A4AA2" w:rsidRPr="00252295">
        <w:rPr>
          <w:rStyle w:val="s2"/>
          <w:rFonts w:ascii="Times New Roman" w:hAnsi="Times New Roman" w:cs="Times New Roman"/>
          <w:b/>
          <w:bCs/>
          <w:sz w:val="24"/>
          <w:szCs w:val="24"/>
        </w:rPr>
        <w:t>(</w:t>
      </w:r>
      <w:r w:rsidR="00997D7C" w:rsidRPr="00252295">
        <w:rPr>
          <w:rFonts w:ascii="Times New Roman" w:eastAsia="Times New Roman" w:hAnsi="Times New Roman" w:cs="Times New Roman"/>
          <w:b/>
          <w:bCs/>
          <w:sz w:val="24"/>
          <w:szCs w:val="24"/>
        </w:rPr>
        <w:t>Corporate Governance</w:t>
      </w:r>
      <w:r w:rsidR="00255F65" w:rsidRPr="00252295">
        <w:rPr>
          <w:rFonts w:ascii="Times New Roman" w:eastAsia="Times New Roman" w:hAnsi="Times New Roman" w:cs="Times New Roman"/>
          <w:sz w:val="24"/>
          <w:szCs w:val="24"/>
        </w:rPr>
        <w:t>)</w:t>
      </w:r>
    </w:p>
    <w:p w14:paraId="70DB295B" w14:textId="77777777" w:rsidR="00C778A5" w:rsidRPr="00252295" w:rsidRDefault="00C778A5" w:rsidP="00252295">
      <w:pPr>
        <w:pStyle w:val="p2"/>
        <w:spacing w:before="0" w:beforeAutospacing="0" w:after="0" w:afterAutospacing="0"/>
        <w:jc w:val="both"/>
        <w:rPr>
          <w:rFonts w:ascii="Times New Roman" w:eastAsia="Times New Roman" w:hAnsi="Times New Roman" w:cs="Times New Roman"/>
          <w:sz w:val="24"/>
          <w:szCs w:val="24"/>
        </w:rPr>
      </w:pPr>
    </w:p>
    <w:p w14:paraId="26783EC9" w14:textId="529469A8" w:rsidR="00255F65" w:rsidRPr="00252295" w:rsidRDefault="00255F65" w:rsidP="00252295">
      <w:pPr>
        <w:pStyle w:val="p2"/>
        <w:spacing w:before="0" w:beforeAutospacing="0" w:after="0" w:afterAutospacing="0"/>
        <w:jc w:val="both"/>
        <w:rPr>
          <w:rFonts w:ascii="Times New Roman" w:hAnsi="Times New Roman" w:cs="Times New Roman"/>
          <w:i/>
          <w:iCs/>
          <w:sz w:val="24"/>
          <w:szCs w:val="24"/>
        </w:rPr>
      </w:pPr>
      <w:r w:rsidRPr="00252295">
        <w:rPr>
          <w:rFonts w:ascii="Times New Roman" w:eastAsia="Times New Roman" w:hAnsi="Times New Roman" w:cs="Times New Roman"/>
          <w:sz w:val="24"/>
          <w:szCs w:val="24"/>
        </w:rPr>
        <w:t xml:space="preserve">Any effort for sustained change, </w:t>
      </w:r>
      <w:proofErr w:type="gramStart"/>
      <w:r w:rsidRPr="00252295">
        <w:rPr>
          <w:rFonts w:ascii="Times New Roman" w:eastAsia="Times New Roman" w:hAnsi="Times New Roman" w:cs="Times New Roman"/>
          <w:sz w:val="24"/>
          <w:szCs w:val="24"/>
        </w:rPr>
        <w:t>must of necessity</w:t>
      </w:r>
      <w:proofErr w:type="gramEnd"/>
      <w:r w:rsidRPr="00252295">
        <w:rPr>
          <w:rFonts w:ascii="Times New Roman" w:eastAsia="Times New Roman" w:hAnsi="Times New Roman" w:cs="Times New Roman"/>
          <w:sz w:val="24"/>
          <w:szCs w:val="24"/>
        </w:rPr>
        <w:t xml:space="preserve"> </w:t>
      </w:r>
      <w:r w:rsidR="00544C03" w:rsidRPr="00252295">
        <w:rPr>
          <w:rFonts w:ascii="Times New Roman" w:eastAsia="Times New Roman" w:hAnsi="Times New Roman" w:cs="Times New Roman"/>
          <w:sz w:val="24"/>
          <w:szCs w:val="24"/>
        </w:rPr>
        <w:t>consider change in its governance. One of the top academic journals on organisational governance suggested that “governance includes the modes of allocating decisions, control and rewarding rights within and between economic organisations.” (Kluwer Academic Publishers, 2001)</w:t>
      </w:r>
      <w:r w:rsidR="00AF0746" w:rsidRPr="00252295">
        <w:rPr>
          <w:rFonts w:ascii="Times New Roman" w:eastAsia="Times New Roman" w:hAnsi="Times New Roman" w:cs="Times New Roman"/>
          <w:sz w:val="24"/>
          <w:szCs w:val="24"/>
        </w:rPr>
        <w:t xml:space="preserve">, Careful analysis of this statement suggests that governance </w:t>
      </w:r>
      <w:r w:rsidR="009A4AA2" w:rsidRPr="00252295">
        <w:rPr>
          <w:rFonts w:ascii="Times New Roman" w:eastAsia="Times New Roman" w:hAnsi="Times New Roman" w:cs="Times New Roman"/>
          <w:sz w:val="24"/>
          <w:szCs w:val="24"/>
        </w:rPr>
        <w:t xml:space="preserve">is a multi-pronged process that shapes the </w:t>
      </w:r>
      <w:proofErr w:type="gramStart"/>
      <w:r w:rsidR="009A4AA2" w:rsidRPr="00252295">
        <w:rPr>
          <w:rFonts w:ascii="Times New Roman" w:eastAsia="Times New Roman" w:hAnsi="Times New Roman" w:cs="Times New Roman"/>
          <w:sz w:val="24"/>
          <w:szCs w:val="24"/>
        </w:rPr>
        <w:t>manner in which</w:t>
      </w:r>
      <w:proofErr w:type="gramEnd"/>
      <w:r w:rsidR="009A4AA2" w:rsidRPr="00252295">
        <w:rPr>
          <w:rFonts w:ascii="Times New Roman" w:eastAsia="Times New Roman" w:hAnsi="Times New Roman" w:cs="Times New Roman"/>
          <w:sz w:val="24"/>
          <w:szCs w:val="24"/>
        </w:rPr>
        <w:t xml:space="preserve"> information is gathered and distributed, the way decisions </w:t>
      </w:r>
      <w:r w:rsidR="009B5036" w:rsidRPr="00252295">
        <w:rPr>
          <w:rFonts w:ascii="Times New Roman" w:eastAsia="Times New Roman" w:hAnsi="Times New Roman" w:cs="Times New Roman"/>
          <w:sz w:val="24"/>
          <w:szCs w:val="24"/>
        </w:rPr>
        <w:t>are made and harnessed, and the way that resources shared. Any system, therefore, that aims for proper governance systems must ensure that there is synergy between these three pillars to prevent randomness.</w:t>
      </w:r>
    </w:p>
    <w:p w14:paraId="2237C3BA" w14:textId="77777777" w:rsidR="00997D7C" w:rsidRPr="00252295" w:rsidRDefault="00997D7C" w:rsidP="00252295">
      <w:pPr>
        <w:pStyle w:val="ListParagraph"/>
        <w:spacing w:after="0" w:line="240" w:lineRule="auto"/>
        <w:jc w:val="both"/>
        <w:rPr>
          <w:rFonts w:ascii="Times New Roman" w:eastAsia="Times New Roman" w:hAnsi="Times New Roman" w:cs="Times New Roman"/>
          <w:sz w:val="24"/>
          <w:szCs w:val="24"/>
        </w:rPr>
      </w:pPr>
    </w:p>
    <w:p w14:paraId="505C6CD1" w14:textId="4914649D" w:rsidR="00997D7C" w:rsidRPr="00252295" w:rsidRDefault="00997D7C" w:rsidP="00252295">
      <w:pPr>
        <w:jc w:val="both"/>
        <w:rPr>
          <w:rFonts w:ascii="Times New Roman" w:eastAsia="Times New Roman" w:hAnsi="Times New Roman" w:cs="Times New Roman"/>
          <w:sz w:val="24"/>
          <w:szCs w:val="24"/>
        </w:rPr>
      </w:pPr>
      <w:r w:rsidRPr="00252295">
        <w:rPr>
          <w:rFonts w:ascii="Times New Roman" w:eastAsia="Times New Roman" w:hAnsi="Times New Roman" w:cs="Times New Roman"/>
          <w:sz w:val="24"/>
          <w:szCs w:val="24"/>
        </w:rPr>
        <w:t>As fiduciaries</w:t>
      </w:r>
      <w:r w:rsidR="009B5036" w:rsidRPr="00252295">
        <w:rPr>
          <w:rFonts w:ascii="Times New Roman" w:eastAsia="Times New Roman" w:hAnsi="Times New Roman" w:cs="Times New Roman"/>
          <w:sz w:val="24"/>
          <w:szCs w:val="24"/>
        </w:rPr>
        <w:t xml:space="preserve"> of the NIS, then the institution must ensure that its governance structure is congruent with its core purpose as it seeks</w:t>
      </w:r>
      <w:r w:rsidRPr="00252295">
        <w:rPr>
          <w:rFonts w:ascii="Times New Roman" w:eastAsia="Times New Roman" w:hAnsi="Times New Roman" w:cs="Times New Roman"/>
          <w:sz w:val="24"/>
          <w:szCs w:val="24"/>
        </w:rPr>
        <w:t xml:space="preserve"> to prioritize</w:t>
      </w:r>
      <w:r w:rsidR="009B5036" w:rsidRPr="00252295">
        <w:rPr>
          <w:rFonts w:ascii="Times New Roman" w:eastAsia="Times New Roman" w:hAnsi="Times New Roman" w:cs="Times New Roman"/>
          <w:sz w:val="24"/>
          <w:szCs w:val="24"/>
        </w:rPr>
        <w:t xml:space="preserve"> its efforts</w:t>
      </w:r>
      <w:r w:rsidRPr="00252295">
        <w:rPr>
          <w:rFonts w:ascii="Times New Roman" w:eastAsia="Times New Roman" w:hAnsi="Times New Roman" w:cs="Times New Roman"/>
          <w:sz w:val="24"/>
          <w:szCs w:val="24"/>
        </w:rPr>
        <w:t xml:space="preserve"> towards bolstering corporate governance in the administration and operations of the social security trust fund. To this end, transparency, openness, sound risk management, and accountability</w:t>
      </w:r>
      <w:r w:rsidR="009B5036" w:rsidRPr="00252295">
        <w:rPr>
          <w:rFonts w:ascii="Times New Roman" w:eastAsia="Times New Roman" w:hAnsi="Times New Roman" w:cs="Times New Roman"/>
          <w:sz w:val="24"/>
          <w:szCs w:val="24"/>
        </w:rPr>
        <w:t xml:space="preserve"> should be the</w:t>
      </w:r>
      <w:r w:rsidRPr="00252295">
        <w:rPr>
          <w:rFonts w:ascii="Times New Roman" w:eastAsia="Times New Roman" w:hAnsi="Times New Roman" w:cs="Times New Roman"/>
          <w:sz w:val="24"/>
          <w:szCs w:val="24"/>
        </w:rPr>
        <w:t xml:space="preserve"> guiding principles of </w:t>
      </w:r>
      <w:r w:rsidR="009B5036" w:rsidRPr="00252295">
        <w:rPr>
          <w:rFonts w:ascii="Times New Roman" w:eastAsia="Times New Roman" w:hAnsi="Times New Roman" w:cs="Times New Roman"/>
          <w:sz w:val="24"/>
          <w:szCs w:val="24"/>
        </w:rPr>
        <w:t>its</w:t>
      </w:r>
      <w:r w:rsidRPr="00252295">
        <w:rPr>
          <w:rFonts w:ascii="Times New Roman" w:eastAsia="Times New Roman" w:hAnsi="Times New Roman" w:cs="Times New Roman"/>
          <w:sz w:val="24"/>
          <w:szCs w:val="24"/>
        </w:rPr>
        <w:t xml:space="preserve"> day-to-day actions.</w:t>
      </w:r>
    </w:p>
    <w:p w14:paraId="04C77B40" w14:textId="77777777" w:rsidR="00997D7C" w:rsidRPr="00252295" w:rsidRDefault="00997D7C" w:rsidP="00252295">
      <w:pPr>
        <w:jc w:val="both"/>
        <w:rPr>
          <w:rFonts w:ascii="Times New Roman" w:eastAsia="Times New Roman" w:hAnsi="Times New Roman" w:cs="Times New Roman"/>
          <w:sz w:val="24"/>
          <w:szCs w:val="24"/>
        </w:rPr>
      </w:pPr>
    </w:p>
    <w:p w14:paraId="73CFFA3F" w14:textId="69BD6D8F" w:rsidR="00997D7C" w:rsidRPr="00252295" w:rsidRDefault="00997D7C" w:rsidP="00252295">
      <w:pPr>
        <w:jc w:val="both"/>
        <w:rPr>
          <w:rFonts w:ascii="Times New Roman" w:eastAsia="Times New Roman" w:hAnsi="Times New Roman" w:cs="Times New Roman"/>
          <w:sz w:val="24"/>
          <w:szCs w:val="24"/>
        </w:rPr>
      </w:pPr>
      <w:r w:rsidRPr="00252295">
        <w:rPr>
          <w:rFonts w:ascii="Times New Roman" w:eastAsia="Times New Roman" w:hAnsi="Times New Roman" w:cs="Times New Roman"/>
          <w:sz w:val="24"/>
          <w:szCs w:val="24"/>
        </w:rPr>
        <w:lastRenderedPageBreak/>
        <w:t>A</w:t>
      </w:r>
      <w:r w:rsidR="009B5036" w:rsidRPr="00252295">
        <w:rPr>
          <w:rFonts w:ascii="Times New Roman" w:eastAsia="Times New Roman" w:hAnsi="Times New Roman" w:cs="Times New Roman"/>
          <w:sz w:val="24"/>
          <w:szCs w:val="24"/>
        </w:rPr>
        <w:t>s an initial step, the organisation</w:t>
      </w:r>
      <w:r w:rsidRPr="00252295">
        <w:rPr>
          <w:rFonts w:ascii="Times New Roman" w:eastAsia="Times New Roman" w:hAnsi="Times New Roman" w:cs="Times New Roman"/>
          <w:sz w:val="24"/>
          <w:szCs w:val="24"/>
        </w:rPr>
        <w:t xml:space="preserve"> engaged the Social Insurance Administrative Diagnostic (</w:t>
      </w:r>
      <w:proofErr w:type="spellStart"/>
      <w:r w:rsidRPr="00252295">
        <w:rPr>
          <w:rFonts w:ascii="Times New Roman" w:eastAsia="Times New Roman" w:hAnsi="Times New Roman" w:cs="Times New Roman"/>
          <w:sz w:val="24"/>
          <w:szCs w:val="24"/>
        </w:rPr>
        <w:t>eSIAD</w:t>
      </w:r>
      <w:proofErr w:type="spellEnd"/>
      <w:r w:rsidRPr="00252295">
        <w:rPr>
          <w:rFonts w:ascii="Times New Roman" w:eastAsia="Times New Roman" w:hAnsi="Times New Roman" w:cs="Times New Roman"/>
          <w:sz w:val="24"/>
          <w:szCs w:val="24"/>
        </w:rPr>
        <w:t xml:space="preserve">) team (collaboration of the World Bank and International Social Security Association) to independently assess </w:t>
      </w:r>
      <w:r w:rsidR="009B5036" w:rsidRPr="00252295">
        <w:rPr>
          <w:rFonts w:ascii="Times New Roman" w:eastAsia="Times New Roman" w:hAnsi="Times New Roman" w:cs="Times New Roman"/>
          <w:sz w:val="24"/>
          <w:szCs w:val="24"/>
        </w:rPr>
        <w:t>its</w:t>
      </w:r>
      <w:r w:rsidRPr="00252295">
        <w:rPr>
          <w:rFonts w:ascii="Times New Roman" w:eastAsia="Times New Roman" w:hAnsi="Times New Roman" w:cs="Times New Roman"/>
          <w:sz w:val="24"/>
          <w:szCs w:val="24"/>
        </w:rPr>
        <w:t xml:space="preserve"> administration, operation, and delivery systems with a focus on governance, </w:t>
      </w:r>
      <w:proofErr w:type="gramStart"/>
      <w:r w:rsidRPr="00252295">
        <w:rPr>
          <w:rFonts w:ascii="Times New Roman" w:eastAsia="Times New Roman" w:hAnsi="Times New Roman" w:cs="Times New Roman"/>
          <w:sz w:val="24"/>
          <w:szCs w:val="24"/>
        </w:rPr>
        <w:t>infrastructure</w:t>
      </w:r>
      <w:proofErr w:type="gramEnd"/>
      <w:r w:rsidRPr="00252295">
        <w:rPr>
          <w:rFonts w:ascii="Times New Roman" w:eastAsia="Times New Roman" w:hAnsi="Times New Roman" w:cs="Times New Roman"/>
          <w:sz w:val="24"/>
          <w:szCs w:val="24"/>
        </w:rPr>
        <w:t xml:space="preserve"> and business processes. The </w:t>
      </w:r>
      <w:proofErr w:type="spellStart"/>
      <w:r w:rsidRPr="00252295">
        <w:rPr>
          <w:rFonts w:ascii="Times New Roman" w:eastAsia="Times New Roman" w:hAnsi="Times New Roman" w:cs="Times New Roman"/>
          <w:sz w:val="24"/>
          <w:szCs w:val="24"/>
        </w:rPr>
        <w:t>eSIAD</w:t>
      </w:r>
      <w:proofErr w:type="spellEnd"/>
      <w:r w:rsidRPr="00252295">
        <w:rPr>
          <w:rFonts w:ascii="Times New Roman" w:eastAsia="Times New Roman" w:hAnsi="Times New Roman" w:cs="Times New Roman"/>
          <w:sz w:val="24"/>
          <w:szCs w:val="24"/>
        </w:rPr>
        <w:t xml:space="preserve"> is rooted in the framework of the ISSA Guidelines on social security administration. The ISSA guidelines provide standards, based on best practice, against which a social security agency can measure quality of its governance and delivery systems and processes. The assessment is done using </w:t>
      </w:r>
      <w:proofErr w:type="gramStart"/>
      <w:r w:rsidRPr="00252295">
        <w:rPr>
          <w:rFonts w:ascii="Times New Roman" w:eastAsia="Times New Roman" w:hAnsi="Times New Roman" w:cs="Times New Roman"/>
          <w:sz w:val="24"/>
          <w:szCs w:val="24"/>
        </w:rPr>
        <w:t>a</w:t>
      </w:r>
      <w:proofErr w:type="gramEnd"/>
      <w:r w:rsidRPr="00252295">
        <w:rPr>
          <w:rFonts w:ascii="Times New Roman" w:eastAsia="Times New Roman" w:hAnsi="Times New Roman" w:cs="Times New Roman"/>
          <w:sz w:val="24"/>
          <w:szCs w:val="24"/>
        </w:rPr>
        <w:t xml:space="preserve"> </w:t>
      </w:r>
      <w:proofErr w:type="spellStart"/>
      <w:r w:rsidRPr="00252295">
        <w:rPr>
          <w:rFonts w:ascii="Times New Roman" w:eastAsia="Times New Roman" w:hAnsi="Times New Roman" w:cs="Times New Roman"/>
          <w:sz w:val="24"/>
          <w:szCs w:val="24"/>
        </w:rPr>
        <w:t>eSAID</w:t>
      </w:r>
      <w:proofErr w:type="spellEnd"/>
      <w:r w:rsidRPr="00252295">
        <w:rPr>
          <w:rFonts w:ascii="Times New Roman" w:eastAsia="Times New Roman" w:hAnsi="Times New Roman" w:cs="Times New Roman"/>
          <w:sz w:val="24"/>
          <w:szCs w:val="24"/>
        </w:rPr>
        <w:t xml:space="preserve"> systemic tool that focuses on governance, infrastructure and business processes.</w:t>
      </w:r>
    </w:p>
    <w:p w14:paraId="0CC04557" w14:textId="77777777" w:rsidR="00997D7C" w:rsidRPr="00252295" w:rsidRDefault="00997D7C" w:rsidP="00252295">
      <w:pPr>
        <w:jc w:val="both"/>
        <w:rPr>
          <w:rFonts w:ascii="Times New Roman" w:eastAsia="Times New Roman" w:hAnsi="Times New Roman" w:cs="Times New Roman"/>
          <w:sz w:val="24"/>
          <w:szCs w:val="24"/>
        </w:rPr>
      </w:pPr>
    </w:p>
    <w:p w14:paraId="4730D739" w14:textId="77777777" w:rsidR="00997D7C" w:rsidRPr="00252295" w:rsidRDefault="00997D7C" w:rsidP="00252295">
      <w:pPr>
        <w:jc w:val="both"/>
        <w:rPr>
          <w:rFonts w:ascii="Times New Roman" w:eastAsia="Times New Roman" w:hAnsi="Times New Roman" w:cs="Times New Roman"/>
          <w:sz w:val="24"/>
          <w:szCs w:val="24"/>
        </w:rPr>
      </w:pPr>
      <w:r w:rsidRPr="00252295">
        <w:rPr>
          <w:rFonts w:ascii="Times New Roman" w:eastAsia="Times New Roman" w:hAnsi="Times New Roman" w:cs="Times New Roman"/>
          <w:sz w:val="24"/>
          <w:szCs w:val="24"/>
        </w:rPr>
        <w:t>The significant findings of the assessment revealed the following:</w:t>
      </w:r>
    </w:p>
    <w:p w14:paraId="37BD7D86" w14:textId="77777777" w:rsidR="00997D7C" w:rsidRPr="00252295" w:rsidRDefault="00997D7C" w:rsidP="00252295">
      <w:pPr>
        <w:jc w:val="both"/>
        <w:rPr>
          <w:rFonts w:ascii="Times New Roman" w:eastAsia="Times New Roman" w:hAnsi="Times New Roman" w:cs="Times New Roman"/>
          <w:sz w:val="24"/>
          <w:szCs w:val="24"/>
        </w:rPr>
      </w:pPr>
    </w:p>
    <w:p w14:paraId="7B855305" w14:textId="77777777" w:rsidR="00997D7C" w:rsidRPr="00252295" w:rsidRDefault="00997D7C" w:rsidP="00252295">
      <w:pPr>
        <w:jc w:val="both"/>
        <w:rPr>
          <w:rFonts w:ascii="Times New Roman" w:eastAsia="Times New Roman" w:hAnsi="Times New Roman" w:cs="Times New Roman"/>
          <w:sz w:val="24"/>
          <w:szCs w:val="24"/>
        </w:rPr>
      </w:pPr>
      <w:r w:rsidRPr="00252295">
        <w:rPr>
          <w:rFonts w:ascii="Times New Roman" w:eastAsia="Times New Roman" w:hAnsi="Times New Roman" w:cs="Times New Roman"/>
          <w:sz w:val="24"/>
          <w:szCs w:val="24"/>
        </w:rPr>
        <w:t xml:space="preserve">The NIS has developed strong internal governance structures and processes, mainly modelled on the ISSA guidelines, and that in most aspects these meet or exceed the </w:t>
      </w:r>
      <w:proofErr w:type="spellStart"/>
      <w:r w:rsidRPr="00252295">
        <w:rPr>
          <w:rFonts w:ascii="Times New Roman" w:eastAsia="Times New Roman" w:hAnsi="Times New Roman" w:cs="Times New Roman"/>
          <w:sz w:val="24"/>
          <w:szCs w:val="24"/>
        </w:rPr>
        <w:t>eSIAD</w:t>
      </w:r>
      <w:proofErr w:type="spellEnd"/>
      <w:r w:rsidRPr="00252295">
        <w:rPr>
          <w:rFonts w:ascii="Times New Roman" w:eastAsia="Times New Roman" w:hAnsi="Times New Roman" w:cs="Times New Roman"/>
          <w:sz w:val="24"/>
          <w:szCs w:val="24"/>
        </w:rPr>
        <w:t xml:space="preserve"> management principles and the ISSA guidelines. The NIS has a tripartite board structure, which is augmented by committees of the Board, namely, Human Resources, Investment, Risk, Audit, </w:t>
      </w:r>
      <w:proofErr w:type="gramStart"/>
      <w:r w:rsidRPr="00252295">
        <w:rPr>
          <w:rFonts w:ascii="Times New Roman" w:eastAsia="Times New Roman" w:hAnsi="Times New Roman" w:cs="Times New Roman"/>
          <w:sz w:val="24"/>
          <w:szCs w:val="24"/>
        </w:rPr>
        <w:t>Procurement</w:t>
      </w:r>
      <w:proofErr w:type="gramEnd"/>
      <w:r w:rsidRPr="00252295">
        <w:rPr>
          <w:rFonts w:ascii="Times New Roman" w:eastAsia="Times New Roman" w:hAnsi="Times New Roman" w:cs="Times New Roman"/>
          <w:sz w:val="24"/>
          <w:szCs w:val="24"/>
        </w:rPr>
        <w:t xml:space="preserve"> and ICT Governance.</w:t>
      </w:r>
    </w:p>
    <w:p w14:paraId="44CEE2BF" w14:textId="77777777" w:rsidR="00997D7C" w:rsidRPr="00252295" w:rsidRDefault="00997D7C" w:rsidP="00252295">
      <w:pPr>
        <w:jc w:val="both"/>
        <w:rPr>
          <w:rFonts w:ascii="Times New Roman" w:eastAsia="Times New Roman" w:hAnsi="Times New Roman" w:cs="Times New Roman"/>
          <w:sz w:val="24"/>
          <w:szCs w:val="24"/>
        </w:rPr>
      </w:pPr>
    </w:p>
    <w:p w14:paraId="4FDDA402" w14:textId="77777777" w:rsidR="00997D7C" w:rsidRPr="00252295" w:rsidRDefault="00997D7C" w:rsidP="00252295">
      <w:pPr>
        <w:jc w:val="both"/>
        <w:rPr>
          <w:rFonts w:ascii="Times New Roman" w:eastAsia="Times New Roman" w:hAnsi="Times New Roman" w:cs="Times New Roman"/>
          <w:sz w:val="24"/>
          <w:szCs w:val="24"/>
        </w:rPr>
      </w:pPr>
      <w:r w:rsidRPr="00252295">
        <w:rPr>
          <w:rFonts w:ascii="Times New Roman" w:eastAsia="Times New Roman" w:hAnsi="Times New Roman" w:cs="Times New Roman"/>
          <w:sz w:val="24"/>
          <w:szCs w:val="24"/>
        </w:rPr>
        <w:t>The NIS has a robust strategic planning process that includes a risk management strategy that cascades to all administrative and operational units</w:t>
      </w:r>
      <w:r w:rsidRPr="00252295">
        <w:rPr>
          <w:rFonts w:ascii="Times New Roman" w:eastAsia="Times New Roman" w:hAnsi="Times New Roman" w:cs="Times New Roman"/>
          <w:b/>
          <w:bCs/>
          <w:i/>
          <w:iCs/>
          <w:sz w:val="24"/>
          <w:szCs w:val="24"/>
        </w:rPr>
        <w:t>.</w:t>
      </w:r>
      <w:r w:rsidRPr="00252295">
        <w:rPr>
          <w:rFonts w:ascii="Times New Roman" w:eastAsia="Times New Roman" w:hAnsi="Times New Roman" w:cs="Times New Roman"/>
          <w:sz w:val="24"/>
          <w:szCs w:val="24"/>
        </w:rPr>
        <w:t xml:space="preserve"> The NIS’ risk management structure involves the Board, Risk Committee, Risk Department, Enterprise Risk Management policy, Risk Appetite </w:t>
      </w:r>
      <w:proofErr w:type="gramStart"/>
      <w:r w:rsidRPr="00252295">
        <w:rPr>
          <w:rFonts w:ascii="Times New Roman" w:eastAsia="Times New Roman" w:hAnsi="Times New Roman" w:cs="Times New Roman"/>
          <w:sz w:val="24"/>
          <w:szCs w:val="24"/>
        </w:rPr>
        <w:t>Statement</w:t>
      </w:r>
      <w:proofErr w:type="gramEnd"/>
      <w:r w:rsidRPr="00252295">
        <w:rPr>
          <w:rFonts w:ascii="Times New Roman" w:eastAsia="Times New Roman" w:hAnsi="Times New Roman" w:cs="Times New Roman"/>
          <w:sz w:val="24"/>
          <w:szCs w:val="24"/>
        </w:rPr>
        <w:t xml:space="preserve"> and a comprehensive risk register. The “three-line” risk management system promotes efficacy and places managers of business units at the forefront of the risk management process.</w:t>
      </w:r>
    </w:p>
    <w:p w14:paraId="04E9CCC7" w14:textId="77777777" w:rsidR="00997D7C" w:rsidRPr="00252295" w:rsidRDefault="00997D7C" w:rsidP="00252295">
      <w:pPr>
        <w:jc w:val="both"/>
        <w:rPr>
          <w:rFonts w:ascii="Times New Roman" w:eastAsia="Times New Roman" w:hAnsi="Times New Roman" w:cs="Times New Roman"/>
          <w:sz w:val="24"/>
          <w:szCs w:val="24"/>
        </w:rPr>
      </w:pPr>
    </w:p>
    <w:p w14:paraId="18619EED" w14:textId="77777777" w:rsidR="00997D7C" w:rsidRPr="00252295" w:rsidRDefault="00997D7C" w:rsidP="00252295">
      <w:pPr>
        <w:jc w:val="both"/>
        <w:rPr>
          <w:rFonts w:ascii="Times New Roman" w:eastAsia="Times New Roman" w:hAnsi="Times New Roman" w:cs="Times New Roman"/>
          <w:sz w:val="24"/>
          <w:szCs w:val="24"/>
        </w:rPr>
      </w:pPr>
      <w:r w:rsidRPr="00252295">
        <w:rPr>
          <w:rFonts w:ascii="Times New Roman" w:eastAsia="Times New Roman" w:hAnsi="Times New Roman" w:cs="Times New Roman"/>
          <w:sz w:val="24"/>
          <w:szCs w:val="24"/>
        </w:rPr>
        <w:t>The NIS’ corporate management is sound. It has an appropriate suite of formal corporate management policies. This corporate management framework underpins the transparency and accountability in the NIS’ operations.</w:t>
      </w:r>
    </w:p>
    <w:p w14:paraId="741A9926" w14:textId="77777777" w:rsidR="00997D7C" w:rsidRPr="00252295" w:rsidRDefault="00997D7C" w:rsidP="00252295">
      <w:pPr>
        <w:jc w:val="both"/>
        <w:rPr>
          <w:rFonts w:ascii="Times New Roman" w:eastAsia="Times New Roman" w:hAnsi="Times New Roman" w:cs="Times New Roman"/>
          <w:sz w:val="24"/>
          <w:szCs w:val="24"/>
        </w:rPr>
      </w:pPr>
    </w:p>
    <w:p w14:paraId="3B7249B4" w14:textId="32A42C17" w:rsidR="00997D7C" w:rsidRPr="00252295" w:rsidRDefault="00997D7C" w:rsidP="00252295">
      <w:pPr>
        <w:jc w:val="both"/>
        <w:rPr>
          <w:rFonts w:ascii="Times New Roman" w:eastAsia="Times New Roman" w:hAnsi="Times New Roman" w:cs="Times New Roman"/>
          <w:sz w:val="24"/>
          <w:szCs w:val="24"/>
        </w:rPr>
      </w:pPr>
      <w:r w:rsidRPr="00252295">
        <w:rPr>
          <w:rFonts w:ascii="Times New Roman" w:eastAsia="Times New Roman" w:hAnsi="Times New Roman" w:cs="Times New Roman"/>
          <w:sz w:val="24"/>
          <w:szCs w:val="24"/>
        </w:rPr>
        <w:t xml:space="preserve">The report also </w:t>
      </w:r>
      <w:r w:rsidR="00CC207A" w:rsidRPr="00252295">
        <w:rPr>
          <w:rFonts w:ascii="Times New Roman" w:eastAsia="Times New Roman" w:hAnsi="Times New Roman" w:cs="Times New Roman"/>
          <w:sz w:val="24"/>
          <w:szCs w:val="24"/>
        </w:rPr>
        <w:t>c</w:t>
      </w:r>
      <w:r w:rsidRPr="00252295">
        <w:rPr>
          <w:rFonts w:ascii="Times New Roman" w:eastAsia="Times New Roman" w:hAnsi="Times New Roman" w:cs="Times New Roman"/>
          <w:sz w:val="24"/>
          <w:szCs w:val="24"/>
        </w:rPr>
        <w:t xml:space="preserve">ited areas for improvements. For instance, the Board and management was advised to develop a formal policy on “whistle blowing” as an additional mechanism for transparency in NIS’ management of the Fund. Additionally, NIS was advised to give more life to its strategic objective of improving customers’ experience. </w:t>
      </w:r>
    </w:p>
    <w:p w14:paraId="2A8264D2" w14:textId="77777777" w:rsidR="00997D7C" w:rsidRPr="00252295" w:rsidRDefault="00997D7C" w:rsidP="00252295">
      <w:pPr>
        <w:jc w:val="both"/>
        <w:rPr>
          <w:rFonts w:ascii="Times New Roman" w:eastAsia="Times New Roman" w:hAnsi="Times New Roman" w:cs="Times New Roman"/>
          <w:sz w:val="24"/>
          <w:szCs w:val="24"/>
        </w:rPr>
      </w:pPr>
    </w:p>
    <w:p w14:paraId="0832DA68" w14:textId="3324875B" w:rsidR="00997D7C" w:rsidRPr="00252295" w:rsidRDefault="00997D7C" w:rsidP="00252295">
      <w:pPr>
        <w:jc w:val="both"/>
        <w:rPr>
          <w:rStyle w:val="s2"/>
          <w:rFonts w:ascii="Times New Roman" w:hAnsi="Times New Roman" w:cs="Times New Roman"/>
          <w:b/>
          <w:bCs/>
          <w:i/>
          <w:iCs/>
          <w:sz w:val="24"/>
          <w:szCs w:val="24"/>
        </w:rPr>
      </w:pPr>
      <w:r w:rsidRPr="00252295">
        <w:rPr>
          <w:rFonts w:ascii="Times New Roman" w:eastAsia="Times New Roman" w:hAnsi="Times New Roman" w:cs="Times New Roman"/>
          <w:sz w:val="24"/>
          <w:szCs w:val="24"/>
        </w:rPr>
        <w:t xml:space="preserve">The findings and recommendations of the </w:t>
      </w:r>
      <w:proofErr w:type="spellStart"/>
      <w:r w:rsidRPr="00252295">
        <w:rPr>
          <w:rFonts w:ascii="Times New Roman" w:eastAsia="Times New Roman" w:hAnsi="Times New Roman" w:cs="Times New Roman"/>
          <w:sz w:val="24"/>
          <w:szCs w:val="24"/>
        </w:rPr>
        <w:t>eSIAD</w:t>
      </w:r>
      <w:proofErr w:type="spellEnd"/>
      <w:r w:rsidRPr="00252295">
        <w:rPr>
          <w:rFonts w:ascii="Times New Roman" w:eastAsia="Times New Roman" w:hAnsi="Times New Roman" w:cs="Times New Roman"/>
          <w:sz w:val="24"/>
          <w:szCs w:val="24"/>
        </w:rPr>
        <w:t xml:space="preserve"> report </w:t>
      </w:r>
      <w:r w:rsidR="007218F1" w:rsidRPr="00252295">
        <w:rPr>
          <w:rFonts w:ascii="Times New Roman" w:eastAsia="Times New Roman" w:hAnsi="Times New Roman" w:cs="Times New Roman"/>
          <w:sz w:val="24"/>
          <w:szCs w:val="24"/>
        </w:rPr>
        <w:t>are already</w:t>
      </w:r>
      <w:r w:rsidRPr="00252295">
        <w:rPr>
          <w:rFonts w:ascii="Times New Roman" w:eastAsia="Times New Roman" w:hAnsi="Times New Roman" w:cs="Times New Roman"/>
          <w:sz w:val="24"/>
          <w:szCs w:val="24"/>
        </w:rPr>
        <w:t xml:space="preserve"> input variables </w:t>
      </w:r>
      <w:r w:rsidR="007218F1" w:rsidRPr="00252295">
        <w:rPr>
          <w:rFonts w:ascii="Times New Roman" w:eastAsia="Times New Roman" w:hAnsi="Times New Roman" w:cs="Times New Roman"/>
          <w:sz w:val="24"/>
          <w:szCs w:val="24"/>
        </w:rPr>
        <w:t>of the 2023-2025</w:t>
      </w:r>
      <w:r w:rsidRPr="00252295">
        <w:rPr>
          <w:rFonts w:ascii="Times New Roman" w:eastAsia="Times New Roman" w:hAnsi="Times New Roman" w:cs="Times New Roman"/>
          <w:sz w:val="24"/>
          <w:szCs w:val="24"/>
        </w:rPr>
        <w:t xml:space="preserve"> strategic plan. </w:t>
      </w:r>
    </w:p>
    <w:p w14:paraId="61F4C5F3" w14:textId="77777777" w:rsidR="00E67196" w:rsidRPr="00252295" w:rsidRDefault="00E67196" w:rsidP="00252295">
      <w:pPr>
        <w:pStyle w:val="p2"/>
        <w:spacing w:before="0" w:beforeAutospacing="0" w:after="0" w:afterAutospacing="0"/>
        <w:jc w:val="both"/>
        <w:rPr>
          <w:rStyle w:val="s2"/>
          <w:rFonts w:ascii="Times New Roman" w:hAnsi="Times New Roman" w:cs="Times New Roman"/>
          <w:sz w:val="24"/>
          <w:szCs w:val="24"/>
        </w:rPr>
      </w:pPr>
    </w:p>
    <w:p w14:paraId="065ADF03" w14:textId="33AECF12" w:rsidR="00E67196" w:rsidRPr="00252295" w:rsidRDefault="007218F1" w:rsidP="00252295">
      <w:pPr>
        <w:pStyle w:val="p2"/>
        <w:spacing w:before="0" w:beforeAutospacing="0" w:after="0" w:afterAutospacing="0"/>
        <w:jc w:val="both"/>
        <w:rPr>
          <w:rStyle w:val="s2"/>
          <w:rFonts w:ascii="Times New Roman" w:hAnsi="Times New Roman" w:cs="Times New Roman"/>
          <w:sz w:val="24"/>
          <w:szCs w:val="24"/>
        </w:rPr>
      </w:pPr>
      <w:r w:rsidRPr="00252295">
        <w:rPr>
          <w:rStyle w:val="s2"/>
          <w:rFonts w:ascii="Times New Roman" w:hAnsi="Times New Roman" w:cs="Times New Roman"/>
          <w:sz w:val="24"/>
          <w:szCs w:val="24"/>
        </w:rPr>
        <w:t xml:space="preserve"> Additionally, t</w:t>
      </w:r>
      <w:r w:rsidR="00E67196" w:rsidRPr="00252295">
        <w:rPr>
          <w:rStyle w:val="s2"/>
          <w:rFonts w:ascii="Times New Roman" w:hAnsi="Times New Roman" w:cs="Times New Roman"/>
          <w:sz w:val="24"/>
          <w:szCs w:val="24"/>
        </w:rPr>
        <w:t xml:space="preserve">he NIS has a robust governance framework with well-documented policies to provide sound oversight of </w:t>
      </w:r>
      <w:r w:rsidRPr="00252295">
        <w:rPr>
          <w:rStyle w:val="s2"/>
          <w:rFonts w:ascii="Times New Roman" w:hAnsi="Times New Roman" w:cs="Times New Roman"/>
          <w:sz w:val="24"/>
          <w:szCs w:val="24"/>
        </w:rPr>
        <w:t xml:space="preserve">its </w:t>
      </w:r>
      <w:r w:rsidR="00E67196" w:rsidRPr="00252295">
        <w:rPr>
          <w:rStyle w:val="s2"/>
          <w:rFonts w:ascii="Times New Roman" w:hAnsi="Times New Roman" w:cs="Times New Roman"/>
          <w:sz w:val="24"/>
          <w:szCs w:val="24"/>
        </w:rPr>
        <w:t>tactical plan. The National Insurance Board along with the Board’s committee</w:t>
      </w:r>
      <w:r w:rsidRPr="00252295">
        <w:rPr>
          <w:rStyle w:val="s2"/>
          <w:rFonts w:ascii="Times New Roman" w:hAnsi="Times New Roman" w:cs="Times New Roman"/>
          <w:sz w:val="24"/>
          <w:szCs w:val="24"/>
        </w:rPr>
        <w:t>s</w:t>
      </w:r>
      <w:r w:rsidR="00E67196" w:rsidRPr="00252295">
        <w:rPr>
          <w:rStyle w:val="s2"/>
          <w:rFonts w:ascii="Times New Roman" w:hAnsi="Times New Roman" w:cs="Times New Roman"/>
          <w:sz w:val="24"/>
          <w:szCs w:val="24"/>
        </w:rPr>
        <w:t xml:space="preserve"> are suitably qualified and experience</w:t>
      </w:r>
      <w:r w:rsidRPr="00252295">
        <w:rPr>
          <w:rStyle w:val="s2"/>
          <w:rFonts w:ascii="Times New Roman" w:hAnsi="Times New Roman" w:cs="Times New Roman"/>
          <w:sz w:val="24"/>
          <w:szCs w:val="24"/>
        </w:rPr>
        <w:t>d</w:t>
      </w:r>
      <w:r w:rsidR="00E67196" w:rsidRPr="00252295">
        <w:rPr>
          <w:rStyle w:val="s2"/>
          <w:rFonts w:ascii="Times New Roman" w:hAnsi="Times New Roman" w:cs="Times New Roman"/>
          <w:sz w:val="24"/>
          <w:szCs w:val="24"/>
        </w:rPr>
        <w:t xml:space="preserve"> to provide leadership and strategic guidance to Management </w:t>
      </w:r>
      <w:proofErr w:type="gramStart"/>
      <w:r w:rsidR="00E67196" w:rsidRPr="00252295">
        <w:rPr>
          <w:rStyle w:val="s2"/>
          <w:rFonts w:ascii="Times New Roman" w:hAnsi="Times New Roman" w:cs="Times New Roman"/>
          <w:sz w:val="24"/>
          <w:szCs w:val="24"/>
        </w:rPr>
        <w:t>in the course of</w:t>
      </w:r>
      <w:proofErr w:type="gramEnd"/>
      <w:r w:rsidR="00E67196" w:rsidRPr="00252295">
        <w:rPr>
          <w:rStyle w:val="s2"/>
          <w:rFonts w:ascii="Times New Roman" w:hAnsi="Times New Roman" w:cs="Times New Roman"/>
          <w:sz w:val="24"/>
          <w:szCs w:val="24"/>
        </w:rPr>
        <w:t xml:space="preserve"> operationalizing the plan towards strengthening the financial viability and sustainability of the </w:t>
      </w:r>
      <w:r w:rsidR="00997D7C" w:rsidRPr="00252295">
        <w:rPr>
          <w:rStyle w:val="s2"/>
          <w:rFonts w:ascii="Times New Roman" w:hAnsi="Times New Roman" w:cs="Times New Roman"/>
          <w:sz w:val="24"/>
          <w:szCs w:val="24"/>
        </w:rPr>
        <w:t>organisation</w:t>
      </w:r>
      <w:r w:rsidR="00E67196" w:rsidRPr="00252295">
        <w:rPr>
          <w:rStyle w:val="s2"/>
          <w:rFonts w:ascii="Times New Roman" w:hAnsi="Times New Roman" w:cs="Times New Roman"/>
          <w:sz w:val="24"/>
          <w:szCs w:val="24"/>
        </w:rPr>
        <w:t xml:space="preserve">. </w:t>
      </w:r>
    </w:p>
    <w:p w14:paraId="52F9C0A0" w14:textId="77777777" w:rsidR="00AB1949" w:rsidRPr="00252295" w:rsidRDefault="00AB1949" w:rsidP="00252295">
      <w:pPr>
        <w:pStyle w:val="p2"/>
        <w:spacing w:before="0" w:beforeAutospacing="0" w:after="0" w:afterAutospacing="0"/>
        <w:jc w:val="both"/>
        <w:rPr>
          <w:rStyle w:val="s2"/>
          <w:rFonts w:ascii="Times New Roman" w:hAnsi="Times New Roman" w:cs="Times New Roman"/>
          <w:sz w:val="24"/>
          <w:szCs w:val="24"/>
        </w:rPr>
      </w:pPr>
    </w:p>
    <w:p w14:paraId="1A87F544" w14:textId="77777777" w:rsidR="00AB1949" w:rsidRPr="00252295" w:rsidRDefault="00AB1949" w:rsidP="00252295">
      <w:pPr>
        <w:jc w:val="both"/>
        <w:rPr>
          <w:rFonts w:ascii="Times New Roman" w:eastAsia="Times New Roman" w:hAnsi="Times New Roman" w:cs="Times New Roman"/>
          <w:b/>
          <w:bCs/>
          <w:sz w:val="24"/>
          <w:szCs w:val="24"/>
        </w:rPr>
      </w:pPr>
      <w:r w:rsidRPr="00252295">
        <w:rPr>
          <w:rFonts w:ascii="Times New Roman" w:eastAsia="Times New Roman" w:hAnsi="Times New Roman" w:cs="Times New Roman"/>
          <w:b/>
          <w:bCs/>
          <w:sz w:val="24"/>
          <w:szCs w:val="24"/>
        </w:rPr>
        <w:t xml:space="preserve">Strategic Linkages and Partnerships </w:t>
      </w:r>
    </w:p>
    <w:p w14:paraId="6CD903BF" w14:textId="77777777" w:rsidR="00AB1949" w:rsidRPr="00252295" w:rsidRDefault="00AB1949" w:rsidP="00252295">
      <w:pPr>
        <w:jc w:val="both"/>
        <w:rPr>
          <w:rFonts w:ascii="Times New Roman" w:eastAsia="Times New Roman" w:hAnsi="Times New Roman" w:cs="Times New Roman"/>
          <w:b/>
          <w:bCs/>
          <w:sz w:val="24"/>
          <w:szCs w:val="24"/>
        </w:rPr>
      </w:pPr>
    </w:p>
    <w:p w14:paraId="5C71B29E" w14:textId="75D53403" w:rsidR="00AB1949" w:rsidRPr="00252295" w:rsidRDefault="007218F1" w:rsidP="00252295">
      <w:pPr>
        <w:jc w:val="both"/>
        <w:rPr>
          <w:rFonts w:ascii="Times New Roman" w:eastAsia="Times New Roman" w:hAnsi="Times New Roman" w:cs="Times New Roman"/>
          <w:sz w:val="24"/>
          <w:szCs w:val="24"/>
        </w:rPr>
      </w:pPr>
      <w:proofErr w:type="spellStart"/>
      <w:r w:rsidRPr="00252295">
        <w:rPr>
          <w:rFonts w:ascii="Times New Roman" w:eastAsia="Times New Roman" w:hAnsi="Times New Roman" w:cs="Times New Roman"/>
          <w:sz w:val="24"/>
          <w:szCs w:val="24"/>
        </w:rPr>
        <w:t>Doppelt</w:t>
      </w:r>
      <w:proofErr w:type="spellEnd"/>
      <w:r w:rsidRPr="00252295">
        <w:rPr>
          <w:rFonts w:ascii="Times New Roman" w:eastAsia="Times New Roman" w:hAnsi="Times New Roman" w:cs="Times New Roman"/>
          <w:sz w:val="24"/>
          <w:szCs w:val="24"/>
        </w:rPr>
        <w:t xml:space="preserve"> (2003) postulated that sustainability demands new types of governance including the need to create strategic alliances among an organisation’s various internal and external sources of power to help in influencing the direction of the organisation.  Given due attention to this new paradigm, </w:t>
      </w:r>
      <w:r w:rsidRPr="00252295">
        <w:rPr>
          <w:rFonts w:ascii="Times New Roman" w:eastAsia="Times New Roman" w:hAnsi="Times New Roman" w:cs="Times New Roman"/>
          <w:sz w:val="24"/>
          <w:szCs w:val="24"/>
        </w:rPr>
        <w:lastRenderedPageBreak/>
        <w:t>t</w:t>
      </w:r>
      <w:r w:rsidR="00AB1949" w:rsidRPr="00252295">
        <w:rPr>
          <w:rFonts w:ascii="Times New Roman" w:eastAsia="Times New Roman" w:hAnsi="Times New Roman" w:cs="Times New Roman"/>
          <w:sz w:val="24"/>
          <w:szCs w:val="24"/>
        </w:rPr>
        <w:t>he NIS</w:t>
      </w:r>
      <w:r w:rsidRPr="00252295">
        <w:rPr>
          <w:rFonts w:ascii="Times New Roman" w:eastAsia="Times New Roman" w:hAnsi="Times New Roman" w:cs="Times New Roman"/>
          <w:sz w:val="24"/>
          <w:szCs w:val="24"/>
        </w:rPr>
        <w:t xml:space="preserve"> has positioned itself to benefit </w:t>
      </w:r>
      <w:r w:rsidR="00C30653" w:rsidRPr="00252295">
        <w:rPr>
          <w:rFonts w:ascii="Times New Roman" w:eastAsia="Times New Roman" w:hAnsi="Times New Roman" w:cs="Times New Roman"/>
          <w:sz w:val="24"/>
          <w:szCs w:val="24"/>
        </w:rPr>
        <w:t>from the opportunities</w:t>
      </w:r>
      <w:r w:rsidR="00AB1949" w:rsidRPr="00252295">
        <w:rPr>
          <w:rFonts w:ascii="Times New Roman" w:eastAsia="Times New Roman" w:hAnsi="Times New Roman" w:cs="Times New Roman"/>
          <w:sz w:val="24"/>
          <w:szCs w:val="24"/>
        </w:rPr>
        <w:t xml:space="preserve"> for institutional strengthening through strategic partnerships with regional and international organizations. In this regard, the NIS</w:t>
      </w:r>
      <w:r w:rsidR="00C30653" w:rsidRPr="00252295">
        <w:rPr>
          <w:rFonts w:ascii="Times New Roman" w:eastAsia="Times New Roman" w:hAnsi="Times New Roman" w:cs="Times New Roman"/>
          <w:sz w:val="24"/>
          <w:szCs w:val="24"/>
        </w:rPr>
        <w:t xml:space="preserve"> has bolstered</w:t>
      </w:r>
      <w:r w:rsidR="00AB1949" w:rsidRPr="00252295">
        <w:rPr>
          <w:rFonts w:ascii="Times New Roman" w:eastAsia="Times New Roman" w:hAnsi="Times New Roman" w:cs="Times New Roman"/>
          <w:sz w:val="24"/>
          <w:szCs w:val="24"/>
        </w:rPr>
        <w:t xml:space="preserve"> its relationships with key regional and strategic partners including:</w:t>
      </w:r>
    </w:p>
    <w:p w14:paraId="10DE3789" w14:textId="77777777" w:rsidR="00AB1949" w:rsidRPr="00252295" w:rsidRDefault="00AB1949" w:rsidP="00252295">
      <w:pPr>
        <w:jc w:val="both"/>
        <w:rPr>
          <w:rFonts w:ascii="Times New Roman" w:eastAsia="Times New Roman" w:hAnsi="Times New Roman" w:cs="Times New Roman"/>
          <w:sz w:val="24"/>
          <w:szCs w:val="24"/>
        </w:rPr>
      </w:pPr>
    </w:p>
    <w:p w14:paraId="380537F8" w14:textId="07D40057" w:rsidR="00AB1949" w:rsidRPr="00252295" w:rsidRDefault="00AB1949" w:rsidP="00252295">
      <w:pPr>
        <w:pStyle w:val="ListParagraph"/>
        <w:numPr>
          <w:ilvl w:val="0"/>
          <w:numId w:val="15"/>
        </w:numPr>
        <w:spacing w:after="0" w:line="240" w:lineRule="auto"/>
        <w:jc w:val="both"/>
        <w:rPr>
          <w:rFonts w:ascii="Times New Roman" w:eastAsia="Times New Roman" w:hAnsi="Times New Roman" w:cs="Times New Roman"/>
          <w:sz w:val="24"/>
          <w:szCs w:val="24"/>
        </w:rPr>
      </w:pPr>
      <w:r w:rsidRPr="00252295">
        <w:rPr>
          <w:rFonts w:ascii="Times New Roman" w:eastAsia="Times New Roman" w:hAnsi="Times New Roman" w:cs="Times New Roman"/>
          <w:sz w:val="24"/>
          <w:szCs w:val="24"/>
        </w:rPr>
        <w:t>Eastern Caribbean Central Bank (ECCB</w:t>
      </w:r>
      <w:r w:rsidRPr="00252295">
        <w:rPr>
          <w:rFonts w:ascii="Times New Roman" w:eastAsia="Times New Roman" w:hAnsi="Times New Roman" w:cs="Times New Roman"/>
          <w:i/>
          <w:iCs/>
          <w:sz w:val="24"/>
          <w:szCs w:val="24"/>
        </w:rPr>
        <w:t>)</w:t>
      </w:r>
      <w:r w:rsidRPr="00252295">
        <w:rPr>
          <w:rFonts w:ascii="Times New Roman" w:eastAsia="Times New Roman" w:hAnsi="Times New Roman" w:cs="Times New Roman"/>
          <w:sz w:val="24"/>
          <w:szCs w:val="24"/>
        </w:rPr>
        <w:t xml:space="preserve">- The NIS participated and contributed to all meetings of the heads of the Eastern Caribbean Social Security Systems in the review period. The meetings were coordinated by the Governor of the ECCB and were centered around socio-economic developments in the region and social security priorities, plans, </w:t>
      </w:r>
      <w:proofErr w:type="gramStart"/>
      <w:r w:rsidRPr="00252295">
        <w:rPr>
          <w:rFonts w:ascii="Times New Roman" w:eastAsia="Times New Roman" w:hAnsi="Times New Roman" w:cs="Times New Roman"/>
          <w:sz w:val="24"/>
          <w:szCs w:val="24"/>
        </w:rPr>
        <w:t>practices</w:t>
      </w:r>
      <w:proofErr w:type="gramEnd"/>
      <w:r w:rsidRPr="00252295">
        <w:rPr>
          <w:rFonts w:ascii="Times New Roman" w:eastAsia="Times New Roman" w:hAnsi="Times New Roman" w:cs="Times New Roman"/>
          <w:sz w:val="24"/>
          <w:szCs w:val="24"/>
        </w:rPr>
        <w:t xml:space="preserve"> and program</w:t>
      </w:r>
      <w:r w:rsidR="00C778A5" w:rsidRPr="00252295">
        <w:rPr>
          <w:rFonts w:ascii="Times New Roman" w:eastAsia="Times New Roman" w:hAnsi="Times New Roman" w:cs="Times New Roman"/>
          <w:sz w:val="24"/>
          <w:szCs w:val="24"/>
        </w:rPr>
        <w:t>me</w:t>
      </w:r>
      <w:r w:rsidRPr="00252295">
        <w:rPr>
          <w:rFonts w:ascii="Times New Roman" w:eastAsia="Times New Roman" w:hAnsi="Times New Roman" w:cs="Times New Roman"/>
          <w:sz w:val="24"/>
          <w:szCs w:val="24"/>
        </w:rPr>
        <w:t>s across the E</w:t>
      </w:r>
      <w:r w:rsidR="00296025" w:rsidRPr="00252295">
        <w:rPr>
          <w:rFonts w:ascii="Times New Roman" w:eastAsia="Times New Roman" w:hAnsi="Times New Roman" w:cs="Times New Roman"/>
          <w:sz w:val="24"/>
          <w:szCs w:val="24"/>
        </w:rPr>
        <w:t xml:space="preserve">astern </w:t>
      </w:r>
      <w:r w:rsidRPr="00252295">
        <w:rPr>
          <w:rFonts w:ascii="Times New Roman" w:eastAsia="Times New Roman" w:hAnsi="Times New Roman" w:cs="Times New Roman"/>
          <w:sz w:val="24"/>
          <w:szCs w:val="24"/>
        </w:rPr>
        <w:t>C</w:t>
      </w:r>
      <w:r w:rsidR="00296025" w:rsidRPr="00252295">
        <w:rPr>
          <w:rFonts w:ascii="Times New Roman" w:eastAsia="Times New Roman" w:hAnsi="Times New Roman" w:cs="Times New Roman"/>
          <w:sz w:val="24"/>
          <w:szCs w:val="24"/>
        </w:rPr>
        <w:t xml:space="preserve">aribbean </w:t>
      </w:r>
      <w:r w:rsidRPr="00252295">
        <w:rPr>
          <w:rFonts w:ascii="Times New Roman" w:eastAsia="Times New Roman" w:hAnsi="Times New Roman" w:cs="Times New Roman"/>
          <w:sz w:val="24"/>
          <w:szCs w:val="24"/>
        </w:rPr>
        <w:t>C</w:t>
      </w:r>
      <w:r w:rsidR="00296025" w:rsidRPr="00252295">
        <w:rPr>
          <w:rFonts w:ascii="Times New Roman" w:eastAsia="Times New Roman" w:hAnsi="Times New Roman" w:cs="Times New Roman"/>
          <w:sz w:val="24"/>
          <w:szCs w:val="24"/>
        </w:rPr>
        <w:t xml:space="preserve">urrency </w:t>
      </w:r>
      <w:r w:rsidRPr="00252295">
        <w:rPr>
          <w:rFonts w:ascii="Times New Roman" w:eastAsia="Times New Roman" w:hAnsi="Times New Roman" w:cs="Times New Roman"/>
          <w:sz w:val="24"/>
          <w:szCs w:val="24"/>
        </w:rPr>
        <w:t>U</w:t>
      </w:r>
      <w:r w:rsidR="00296025" w:rsidRPr="00252295">
        <w:rPr>
          <w:rFonts w:ascii="Times New Roman" w:eastAsia="Times New Roman" w:hAnsi="Times New Roman" w:cs="Times New Roman"/>
          <w:sz w:val="24"/>
          <w:szCs w:val="24"/>
        </w:rPr>
        <w:t>nion</w:t>
      </w:r>
      <w:r w:rsidRPr="00252295">
        <w:rPr>
          <w:rFonts w:ascii="Times New Roman" w:eastAsia="Times New Roman" w:hAnsi="Times New Roman" w:cs="Times New Roman"/>
          <w:sz w:val="24"/>
          <w:szCs w:val="24"/>
        </w:rPr>
        <w:t xml:space="preserve"> space to strengthen the regional social security safety nets. </w:t>
      </w:r>
    </w:p>
    <w:p w14:paraId="3B40FD96" w14:textId="77777777" w:rsidR="00AB1949" w:rsidRPr="00252295" w:rsidRDefault="00AB1949" w:rsidP="00252295">
      <w:pPr>
        <w:jc w:val="both"/>
        <w:rPr>
          <w:rFonts w:ascii="Times New Roman" w:eastAsia="Times New Roman" w:hAnsi="Times New Roman" w:cs="Times New Roman"/>
          <w:sz w:val="24"/>
          <w:szCs w:val="24"/>
        </w:rPr>
      </w:pPr>
    </w:p>
    <w:p w14:paraId="474D2AD3" w14:textId="1A33D623" w:rsidR="00AB1949" w:rsidRPr="00252295" w:rsidRDefault="00AB1949" w:rsidP="00252295">
      <w:pPr>
        <w:pStyle w:val="ListParagraph"/>
        <w:numPr>
          <w:ilvl w:val="0"/>
          <w:numId w:val="15"/>
        </w:numPr>
        <w:spacing w:after="0" w:line="240" w:lineRule="auto"/>
        <w:jc w:val="both"/>
        <w:rPr>
          <w:rFonts w:ascii="Times New Roman" w:eastAsia="Times New Roman" w:hAnsi="Times New Roman" w:cs="Times New Roman"/>
          <w:sz w:val="24"/>
          <w:szCs w:val="24"/>
        </w:rPr>
      </w:pPr>
      <w:r w:rsidRPr="00252295">
        <w:rPr>
          <w:rFonts w:ascii="Times New Roman" w:eastAsia="Times New Roman" w:hAnsi="Times New Roman" w:cs="Times New Roman"/>
          <w:sz w:val="24"/>
          <w:szCs w:val="24"/>
        </w:rPr>
        <w:t>World Bank Group- The NIS joined the Reserve Advisory and Management Program</w:t>
      </w:r>
      <w:r w:rsidR="00A3768C" w:rsidRPr="00252295">
        <w:rPr>
          <w:rFonts w:ascii="Times New Roman" w:eastAsia="Times New Roman" w:hAnsi="Times New Roman" w:cs="Times New Roman"/>
          <w:sz w:val="24"/>
          <w:szCs w:val="24"/>
        </w:rPr>
        <w:t>me</w:t>
      </w:r>
      <w:r w:rsidRPr="00252295">
        <w:rPr>
          <w:rFonts w:ascii="Times New Roman" w:eastAsia="Times New Roman" w:hAnsi="Times New Roman" w:cs="Times New Roman"/>
          <w:sz w:val="24"/>
          <w:szCs w:val="24"/>
        </w:rPr>
        <w:t xml:space="preserve"> in 202</w:t>
      </w:r>
      <w:r w:rsidR="00C30653" w:rsidRPr="00252295">
        <w:rPr>
          <w:rFonts w:ascii="Times New Roman" w:eastAsia="Times New Roman" w:hAnsi="Times New Roman" w:cs="Times New Roman"/>
          <w:sz w:val="24"/>
          <w:szCs w:val="24"/>
        </w:rPr>
        <w:t>3</w:t>
      </w:r>
      <w:r w:rsidRPr="00252295">
        <w:rPr>
          <w:rFonts w:ascii="Times New Roman" w:eastAsia="Times New Roman" w:hAnsi="Times New Roman" w:cs="Times New Roman"/>
          <w:sz w:val="24"/>
          <w:szCs w:val="24"/>
        </w:rPr>
        <w:t xml:space="preserve"> to strengthen its investment management frameworks and capabilities, to access high-quality and efficient training, advisory, and asset management services and to access a network for practitioners and a forum to discuss new developments. </w:t>
      </w:r>
      <w:r w:rsidR="00C30653" w:rsidRPr="00252295">
        <w:rPr>
          <w:rFonts w:ascii="Times New Roman" w:eastAsia="Times New Roman" w:hAnsi="Times New Roman" w:cs="Times New Roman"/>
          <w:sz w:val="24"/>
          <w:szCs w:val="24"/>
        </w:rPr>
        <w:t>To date</w:t>
      </w:r>
      <w:r w:rsidRPr="00252295">
        <w:rPr>
          <w:rFonts w:ascii="Times New Roman" w:eastAsia="Times New Roman" w:hAnsi="Times New Roman" w:cs="Times New Roman"/>
          <w:sz w:val="24"/>
          <w:szCs w:val="24"/>
        </w:rPr>
        <w:t>, the NIS benefited from attending tailored workshop, training, and webinars on areas relating to governance and organizational structure, funding policy, investment policy, strategic asset allocation and risk management and performance.</w:t>
      </w:r>
    </w:p>
    <w:p w14:paraId="7670B77E" w14:textId="77777777" w:rsidR="00AB1949" w:rsidRPr="00252295" w:rsidRDefault="00AB1949" w:rsidP="00252295">
      <w:pPr>
        <w:jc w:val="both"/>
        <w:rPr>
          <w:rFonts w:ascii="Times New Roman" w:eastAsia="Times New Roman" w:hAnsi="Times New Roman" w:cs="Times New Roman"/>
          <w:sz w:val="24"/>
          <w:szCs w:val="24"/>
        </w:rPr>
      </w:pPr>
    </w:p>
    <w:p w14:paraId="5D3C4A9E" w14:textId="7D1C3072" w:rsidR="00AB1949" w:rsidRPr="00252295" w:rsidRDefault="00AB1949" w:rsidP="00252295">
      <w:pPr>
        <w:pStyle w:val="ListParagraph"/>
        <w:numPr>
          <w:ilvl w:val="0"/>
          <w:numId w:val="15"/>
        </w:numPr>
        <w:spacing w:after="0" w:line="240" w:lineRule="auto"/>
        <w:jc w:val="both"/>
        <w:rPr>
          <w:rFonts w:ascii="Times New Roman" w:eastAsia="Times New Roman" w:hAnsi="Times New Roman" w:cs="Times New Roman"/>
          <w:sz w:val="24"/>
          <w:szCs w:val="24"/>
        </w:rPr>
      </w:pPr>
      <w:r w:rsidRPr="00252295">
        <w:rPr>
          <w:rFonts w:ascii="Times New Roman" w:eastAsia="Times New Roman" w:hAnsi="Times New Roman" w:cs="Times New Roman"/>
          <w:b/>
          <w:bCs/>
          <w:i/>
          <w:iCs/>
          <w:sz w:val="24"/>
          <w:szCs w:val="24"/>
        </w:rPr>
        <w:t>International Labour Organization</w:t>
      </w:r>
      <w:r w:rsidRPr="00252295">
        <w:rPr>
          <w:rFonts w:ascii="Times New Roman" w:eastAsia="Times New Roman" w:hAnsi="Times New Roman" w:cs="Times New Roman"/>
          <w:sz w:val="24"/>
          <w:szCs w:val="24"/>
        </w:rPr>
        <w:t xml:space="preserve"> (ILO)- </w:t>
      </w:r>
      <w:r w:rsidR="00C30653" w:rsidRPr="00252295">
        <w:rPr>
          <w:rFonts w:ascii="Times New Roman" w:eastAsia="Times New Roman" w:hAnsi="Times New Roman" w:cs="Times New Roman"/>
          <w:sz w:val="24"/>
          <w:szCs w:val="24"/>
        </w:rPr>
        <w:t>In November,</w:t>
      </w:r>
      <w:r w:rsidRPr="00252295">
        <w:rPr>
          <w:rFonts w:ascii="Times New Roman" w:eastAsia="Times New Roman" w:hAnsi="Times New Roman" w:cs="Times New Roman"/>
          <w:sz w:val="24"/>
          <w:szCs w:val="24"/>
        </w:rPr>
        <w:t>202</w:t>
      </w:r>
      <w:r w:rsidR="00C30653" w:rsidRPr="00252295">
        <w:rPr>
          <w:rFonts w:ascii="Times New Roman" w:eastAsia="Times New Roman" w:hAnsi="Times New Roman" w:cs="Times New Roman"/>
          <w:sz w:val="24"/>
          <w:szCs w:val="24"/>
        </w:rPr>
        <w:t>2</w:t>
      </w:r>
      <w:r w:rsidRPr="00252295">
        <w:rPr>
          <w:rFonts w:ascii="Times New Roman" w:eastAsia="Times New Roman" w:hAnsi="Times New Roman" w:cs="Times New Roman"/>
          <w:sz w:val="24"/>
          <w:szCs w:val="24"/>
        </w:rPr>
        <w:t>, the NIS joined the Global Partnership for Universal Social Protection to achieve the Sustainable Development Goals (USP 2030) and attended its 2</w:t>
      </w:r>
      <w:r w:rsidRPr="00252295">
        <w:rPr>
          <w:rFonts w:ascii="Times New Roman" w:eastAsia="Times New Roman" w:hAnsi="Times New Roman" w:cs="Times New Roman"/>
          <w:sz w:val="24"/>
          <w:szCs w:val="24"/>
          <w:vertAlign w:val="superscript"/>
        </w:rPr>
        <w:t>nd</w:t>
      </w:r>
      <w:r w:rsidRPr="00252295">
        <w:rPr>
          <w:rFonts w:ascii="Times New Roman" w:eastAsia="Times New Roman" w:hAnsi="Times New Roman" w:cs="Times New Roman"/>
          <w:sz w:val="24"/>
          <w:szCs w:val="24"/>
        </w:rPr>
        <w:t xml:space="preserve"> Membership Assembly. Additionally, the NIS participated in other ILO training, discussions and symposi</w:t>
      </w:r>
      <w:r w:rsidR="00C30653" w:rsidRPr="00252295">
        <w:rPr>
          <w:rFonts w:ascii="Times New Roman" w:eastAsia="Times New Roman" w:hAnsi="Times New Roman" w:cs="Times New Roman"/>
          <w:sz w:val="24"/>
          <w:szCs w:val="24"/>
        </w:rPr>
        <w:t>a</w:t>
      </w:r>
      <w:r w:rsidRPr="00252295">
        <w:rPr>
          <w:rFonts w:ascii="Times New Roman" w:eastAsia="Times New Roman" w:hAnsi="Times New Roman" w:cs="Times New Roman"/>
          <w:sz w:val="24"/>
          <w:szCs w:val="24"/>
        </w:rPr>
        <w:t xml:space="preserve"> around thematic issues including From Recovery-Resilience-Decent work for a resilient Caribbean, Protecting workers from shocks and International Public Sector Accounting Standards in the context of social security programs.</w:t>
      </w:r>
    </w:p>
    <w:p w14:paraId="6D077453" w14:textId="77777777" w:rsidR="00AB1949" w:rsidRPr="00252295" w:rsidRDefault="00AB1949" w:rsidP="00252295">
      <w:pPr>
        <w:jc w:val="both"/>
        <w:rPr>
          <w:rFonts w:ascii="Times New Roman" w:eastAsia="Times New Roman" w:hAnsi="Times New Roman" w:cs="Times New Roman"/>
          <w:sz w:val="24"/>
          <w:szCs w:val="24"/>
        </w:rPr>
      </w:pPr>
    </w:p>
    <w:p w14:paraId="55EA295F" w14:textId="3B969C9F" w:rsidR="00A43BEB" w:rsidRPr="00252295" w:rsidRDefault="00AB1949" w:rsidP="00252295">
      <w:pPr>
        <w:pStyle w:val="ListParagraph"/>
        <w:numPr>
          <w:ilvl w:val="0"/>
          <w:numId w:val="15"/>
        </w:numPr>
        <w:spacing w:after="0" w:line="240" w:lineRule="auto"/>
        <w:jc w:val="both"/>
        <w:rPr>
          <w:rFonts w:ascii="Times New Roman" w:eastAsia="Times New Roman" w:hAnsi="Times New Roman" w:cs="Times New Roman"/>
          <w:sz w:val="24"/>
          <w:szCs w:val="24"/>
        </w:rPr>
      </w:pPr>
      <w:r w:rsidRPr="00252295">
        <w:rPr>
          <w:rFonts w:ascii="Times New Roman" w:eastAsia="Times New Roman" w:hAnsi="Times New Roman" w:cs="Times New Roman"/>
          <w:sz w:val="24"/>
          <w:szCs w:val="24"/>
        </w:rPr>
        <w:t>International Social Security Organization (ISSA)- The NIS achieved a significant milestone in March 202</w:t>
      </w:r>
      <w:r w:rsidR="00C30653" w:rsidRPr="00252295">
        <w:rPr>
          <w:rFonts w:ascii="Times New Roman" w:eastAsia="Times New Roman" w:hAnsi="Times New Roman" w:cs="Times New Roman"/>
          <w:sz w:val="24"/>
          <w:szCs w:val="24"/>
        </w:rPr>
        <w:t>2</w:t>
      </w:r>
      <w:r w:rsidRPr="00252295">
        <w:rPr>
          <w:rFonts w:ascii="Times New Roman" w:eastAsia="Times New Roman" w:hAnsi="Times New Roman" w:cs="Times New Roman"/>
          <w:sz w:val="24"/>
          <w:szCs w:val="24"/>
        </w:rPr>
        <w:t xml:space="preserve"> </w:t>
      </w:r>
      <w:proofErr w:type="gramStart"/>
      <w:r w:rsidRPr="00252295">
        <w:rPr>
          <w:rFonts w:ascii="Times New Roman" w:eastAsia="Times New Roman" w:hAnsi="Times New Roman" w:cs="Times New Roman"/>
          <w:sz w:val="24"/>
          <w:szCs w:val="24"/>
        </w:rPr>
        <w:t>on the occasion of</w:t>
      </w:r>
      <w:proofErr w:type="gramEnd"/>
      <w:r w:rsidRPr="00252295">
        <w:rPr>
          <w:rFonts w:ascii="Times New Roman" w:eastAsia="Times New Roman" w:hAnsi="Times New Roman" w:cs="Times New Roman"/>
          <w:sz w:val="24"/>
          <w:szCs w:val="24"/>
        </w:rPr>
        <w:t xml:space="preserve"> the launching of ISSA focal Point for the English-speaking Caribbean countries. The momentous event in the Caribbean was highlighted in the ISSA 202</w:t>
      </w:r>
      <w:r w:rsidR="00C30653" w:rsidRPr="00252295">
        <w:rPr>
          <w:rFonts w:ascii="Times New Roman" w:eastAsia="Times New Roman" w:hAnsi="Times New Roman" w:cs="Times New Roman"/>
          <w:sz w:val="24"/>
          <w:szCs w:val="24"/>
        </w:rPr>
        <w:t>1</w:t>
      </w:r>
      <w:r w:rsidRPr="00252295">
        <w:rPr>
          <w:rFonts w:ascii="Times New Roman" w:eastAsia="Times New Roman" w:hAnsi="Times New Roman" w:cs="Times New Roman"/>
          <w:sz w:val="24"/>
          <w:szCs w:val="24"/>
        </w:rPr>
        <w:t>/2</w:t>
      </w:r>
      <w:r w:rsidR="00C30653" w:rsidRPr="00252295">
        <w:rPr>
          <w:rFonts w:ascii="Times New Roman" w:eastAsia="Times New Roman" w:hAnsi="Times New Roman" w:cs="Times New Roman"/>
          <w:sz w:val="24"/>
          <w:szCs w:val="24"/>
        </w:rPr>
        <w:t>2</w:t>
      </w:r>
      <w:r w:rsidRPr="00252295">
        <w:rPr>
          <w:rFonts w:ascii="Times New Roman" w:eastAsia="Times New Roman" w:hAnsi="Times New Roman" w:cs="Times New Roman"/>
          <w:sz w:val="24"/>
          <w:szCs w:val="24"/>
        </w:rPr>
        <w:t xml:space="preserve"> Annual Review. </w:t>
      </w:r>
      <w:r w:rsidR="00A43BEB" w:rsidRPr="00252295">
        <w:rPr>
          <w:rFonts w:ascii="Times New Roman" w:eastAsia="Times New Roman" w:hAnsi="Times New Roman" w:cs="Times New Roman"/>
          <w:sz w:val="24"/>
          <w:szCs w:val="24"/>
        </w:rPr>
        <w:t xml:space="preserve"> An excerpt of t</w:t>
      </w:r>
      <w:r w:rsidRPr="00252295">
        <w:rPr>
          <w:rFonts w:ascii="Times New Roman" w:eastAsia="Times New Roman" w:hAnsi="Times New Roman" w:cs="Times New Roman"/>
          <w:sz w:val="24"/>
          <w:szCs w:val="24"/>
        </w:rPr>
        <w:t xml:space="preserve">he ISSA interview with Mr. Stewart Haynes, Director of the NIS in St. </w:t>
      </w:r>
      <w:r w:rsidR="00FE48B6" w:rsidRPr="00252295">
        <w:rPr>
          <w:rFonts w:ascii="Times New Roman" w:eastAsia="Times New Roman" w:hAnsi="Times New Roman" w:cs="Times New Roman"/>
          <w:sz w:val="24"/>
          <w:szCs w:val="24"/>
        </w:rPr>
        <w:t>Vincent in</w:t>
      </w:r>
      <w:r w:rsidR="00A43BEB" w:rsidRPr="00252295">
        <w:rPr>
          <w:rFonts w:ascii="Times New Roman" w:eastAsia="Times New Roman" w:hAnsi="Times New Roman" w:cs="Times New Roman"/>
          <w:sz w:val="24"/>
          <w:szCs w:val="24"/>
        </w:rPr>
        <w:t xml:space="preserve"> relation to strengthening social protection is</w:t>
      </w:r>
      <w:r w:rsidRPr="00252295">
        <w:rPr>
          <w:rFonts w:ascii="Times New Roman" w:eastAsia="Times New Roman" w:hAnsi="Times New Roman" w:cs="Times New Roman"/>
          <w:sz w:val="24"/>
          <w:szCs w:val="24"/>
        </w:rPr>
        <w:t xml:space="preserve"> highlighted </w:t>
      </w:r>
      <w:r w:rsidR="00A22149" w:rsidRPr="00252295">
        <w:rPr>
          <w:rFonts w:ascii="Times New Roman" w:eastAsia="Times New Roman" w:hAnsi="Times New Roman" w:cs="Times New Roman"/>
          <w:sz w:val="24"/>
          <w:szCs w:val="24"/>
        </w:rPr>
        <w:t>thus</w:t>
      </w:r>
      <w:r w:rsidRPr="00252295">
        <w:rPr>
          <w:rFonts w:ascii="Times New Roman" w:eastAsia="Times New Roman" w:hAnsi="Times New Roman" w:cs="Times New Roman"/>
          <w:sz w:val="24"/>
          <w:szCs w:val="24"/>
        </w:rPr>
        <w:t>:</w:t>
      </w:r>
      <w:r w:rsidR="00A43BEB" w:rsidRPr="00252295">
        <w:rPr>
          <w:rFonts w:ascii="Times New Roman" w:eastAsia="Times New Roman" w:hAnsi="Times New Roman" w:cs="Times New Roman"/>
          <w:sz w:val="24"/>
          <w:szCs w:val="24"/>
        </w:rPr>
        <w:t xml:space="preserve"> </w:t>
      </w:r>
      <w:r w:rsidR="00FE48B6" w:rsidRPr="00252295">
        <w:rPr>
          <w:rFonts w:ascii="Times New Roman" w:eastAsia="Times New Roman" w:hAnsi="Times New Roman" w:cs="Times New Roman"/>
          <w:sz w:val="24"/>
          <w:szCs w:val="24"/>
        </w:rPr>
        <w:t>“</w:t>
      </w:r>
      <w:r w:rsidR="006D6458" w:rsidRPr="00252295">
        <w:rPr>
          <w:rFonts w:ascii="Times New Roman" w:eastAsia="Times New Roman" w:hAnsi="Times New Roman" w:cs="Times New Roman"/>
          <w:sz w:val="24"/>
          <w:szCs w:val="24"/>
        </w:rPr>
        <w:t>s</w:t>
      </w:r>
      <w:r w:rsidR="00FE48B6" w:rsidRPr="00252295">
        <w:rPr>
          <w:rFonts w:ascii="Times New Roman" w:eastAsia="Times New Roman" w:hAnsi="Times New Roman" w:cs="Times New Roman"/>
          <w:sz w:val="24"/>
          <w:szCs w:val="24"/>
        </w:rPr>
        <w:t>trengthening social security</w:t>
      </w:r>
      <w:r w:rsidR="00A43BEB" w:rsidRPr="00252295">
        <w:rPr>
          <w:rFonts w:ascii="Times New Roman" w:eastAsia="Times New Roman" w:hAnsi="Times New Roman" w:cs="Times New Roman"/>
          <w:sz w:val="24"/>
          <w:szCs w:val="24"/>
        </w:rPr>
        <w:t xml:space="preserve"> will</w:t>
      </w:r>
      <w:r w:rsidR="00FE48B6" w:rsidRPr="00252295">
        <w:rPr>
          <w:rFonts w:ascii="Times New Roman" w:eastAsia="Times New Roman" w:hAnsi="Times New Roman" w:cs="Times New Roman"/>
          <w:sz w:val="24"/>
          <w:szCs w:val="24"/>
        </w:rPr>
        <w:t xml:space="preserve"> </w:t>
      </w:r>
      <w:r w:rsidR="00A43BEB" w:rsidRPr="00252295">
        <w:rPr>
          <w:rFonts w:ascii="Times New Roman" w:eastAsia="Times New Roman" w:hAnsi="Times New Roman" w:cs="Times New Roman"/>
          <w:sz w:val="24"/>
          <w:szCs w:val="24"/>
        </w:rPr>
        <w:t xml:space="preserve">empower societies to deal with future crises and the challenges posed by demographic change, the evolving world of work, migration, environmental challenges and the existential threat of climate change”. </w:t>
      </w:r>
      <w:r w:rsidR="00FE48B6" w:rsidRPr="00252295">
        <w:rPr>
          <w:rFonts w:ascii="Times New Roman" w:eastAsia="Times New Roman" w:hAnsi="Times New Roman" w:cs="Times New Roman"/>
          <w:sz w:val="24"/>
          <w:szCs w:val="24"/>
        </w:rPr>
        <w:t>“</w:t>
      </w:r>
      <w:r w:rsidR="00A43BEB" w:rsidRPr="00252295">
        <w:rPr>
          <w:rFonts w:ascii="Times New Roman" w:eastAsia="Times New Roman" w:hAnsi="Times New Roman" w:cs="Times New Roman"/>
          <w:sz w:val="24"/>
          <w:szCs w:val="24"/>
        </w:rPr>
        <w:t xml:space="preserve">In the context of SVG, the Government and the NIS have made progress in strengthening social protection coverage, but there </w:t>
      </w:r>
      <w:r w:rsidR="00FE48B6" w:rsidRPr="00252295">
        <w:rPr>
          <w:rFonts w:ascii="Times New Roman" w:eastAsia="Times New Roman" w:hAnsi="Times New Roman" w:cs="Times New Roman"/>
          <w:sz w:val="24"/>
          <w:szCs w:val="24"/>
        </w:rPr>
        <w:t>is</w:t>
      </w:r>
      <w:r w:rsidR="00A43BEB" w:rsidRPr="00252295">
        <w:rPr>
          <w:rFonts w:ascii="Times New Roman" w:eastAsia="Times New Roman" w:hAnsi="Times New Roman" w:cs="Times New Roman"/>
          <w:sz w:val="24"/>
          <w:szCs w:val="24"/>
        </w:rPr>
        <w:t xml:space="preserve"> room for improvements. The NIS has considered a series of parametric reform measures to strengthen the financial sustainability of the social protection system. However, the unprecedented and unknow</w:t>
      </w:r>
      <w:r w:rsidR="00FE48B6" w:rsidRPr="00252295">
        <w:rPr>
          <w:rFonts w:ascii="Times New Roman" w:eastAsia="Times New Roman" w:hAnsi="Times New Roman" w:cs="Times New Roman"/>
          <w:sz w:val="24"/>
          <w:szCs w:val="24"/>
        </w:rPr>
        <w:t>n</w:t>
      </w:r>
      <w:r w:rsidR="00A43BEB" w:rsidRPr="00252295">
        <w:rPr>
          <w:rFonts w:ascii="Times New Roman" w:eastAsia="Times New Roman" w:hAnsi="Times New Roman" w:cs="Times New Roman"/>
          <w:sz w:val="24"/>
          <w:szCs w:val="24"/>
        </w:rPr>
        <w:t xml:space="preserve"> socio-economic challenges brought about by COVID-19 propelled the delay in implementing these critical reform measures. Through the advice of the External Actuary, the NIS would implement this tool kit shortly to ensure all working Vincentians and their dependents are well protected against both systemic shocks and ordinary life cycle risks. </w:t>
      </w:r>
      <w:r w:rsidR="00FE48B6" w:rsidRPr="00252295">
        <w:rPr>
          <w:rFonts w:ascii="Times New Roman" w:eastAsia="Times New Roman" w:hAnsi="Times New Roman" w:cs="Times New Roman"/>
          <w:sz w:val="24"/>
          <w:szCs w:val="24"/>
        </w:rPr>
        <w:t>“(Haynes, 2022).</w:t>
      </w:r>
    </w:p>
    <w:p w14:paraId="374F0151" w14:textId="77777777" w:rsidR="00AB1949" w:rsidRPr="00252295" w:rsidRDefault="00AB1949" w:rsidP="00252295">
      <w:pPr>
        <w:pStyle w:val="p2"/>
        <w:spacing w:before="0" w:beforeAutospacing="0" w:after="0" w:afterAutospacing="0"/>
        <w:jc w:val="both"/>
        <w:rPr>
          <w:rFonts w:ascii="Times New Roman" w:hAnsi="Times New Roman" w:cs="Times New Roman"/>
          <w:sz w:val="24"/>
          <w:szCs w:val="24"/>
        </w:rPr>
      </w:pPr>
    </w:p>
    <w:p w14:paraId="0AE90AC8" w14:textId="77777777" w:rsidR="00C60366" w:rsidRPr="00252295" w:rsidRDefault="00C60366" w:rsidP="00252295">
      <w:pPr>
        <w:jc w:val="both"/>
        <w:rPr>
          <w:rFonts w:ascii="Times New Roman" w:hAnsi="Times New Roman" w:cs="Times New Roman"/>
          <w:sz w:val="24"/>
          <w:szCs w:val="24"/>
        </w:rPr>
      </w:pPr>
    </w:p>
    <w:p w14:paraId="294F58EC" w14:textId="2A01D1D0" w:rsidR="00C60366" w:rsidRPr="00252295" w:rsidRDefault="00A3768C" w:rsidP="00252295">
      <w:pPr>
        <w:jc w:val="both"/>
        <w:rPr>
          <w:rFonts w:ascii="Times New Roman" w:hAnsi="Times New Roman" w:cs="Times New Roman"/>
          <w:b/>
          <w:bCs/>
          <w:sz w:val="24"/>
          <w:szCs w:val="24"/>
        </w:rPr>
      </w:pPr>
      <w:r w:rsidRPr="00252295">
        <w:rPr>
          <w:rFonts w:ascii="Times New Roman" w:hAnsi="Times New Roman" w:cs="Times New Roman"/>
          <w:b/>
          <w:bCs/>
          <w:sz w:val="24"/>
          <w:szCs w:val="24"/>
        </w:rPr>
        <w:lastRenderedPageBreak/>
        <w:t xml:space="preserve">3.0. </w:t>
      </w:r>
      <w:r w:rsidR="00C60366" w:rsidRPr="00252295">
        <w:rPr>
          <w:rFonts w:ascii="Times New Roman" w:hAnsi="Times New Roman" w:cs="Times New Roman"/>
          <w:b/>
          <w:bCs/>
          <w:sz w:val="24"/>
          <w:szCs w:val="24"/>
        </w:rPr>
        <w:t>External Changes (improve customer service and value optimization, and to bolster public confidence in the administration of the NIS</w:t>
      </w:r>
    </w:p>
    <w:p w14:paraId="0C896172" w14:textId="77777777" w:rsidR="00F83FB5" w:rsidRPr="00252295" w:rsidRDefault="00F83FB5" w:rsidP="00252295">
      <w:pPr>
        <w:jc w:val="both"/>
        <w:rPr>
          <w:rFonts w:ascii="Times New Roman" w:hAnsi="Times New Roman" w:cs="Times New Roman"/>
          <w:b/>
          <w:bCs/>
          <w:sz w:val="24"/>
          <w:szCs w:val="24"/>
        </w:rPr>
      </w:pPr>
    </w:p>
    <w:p w14:paraId="49C7EFA3" w14:textId="5B2F17DB" w:rsidR="00997D7C" w:rsidRPr="00252295" w:rsidRDefault="00997D7C" w:rsidP="00252295">
      <w:pPr>
        <w:jc w:val="both"/>
        <w:rPr>
          <w:rFonts w:ascii="Times New Roman" w:eastAsia="Times New Roman" w:hAnsi="Times New Roman" w:cs="Times New Roman"/>
          <w:sz w:val="24"/>
          <w:szCs w:val="24"/>
        </w:rPr>
      </w:pPr>
      <w:r w:rsidRPr="00252295">
        <w:rPr>
          <w:rFonts w:ascii="Times New Roman" w:eastAsia="Times New Roman" w:hAnsi="Times New Roman" w:cs="Times New Roman"/>
          <w:sz w:val="24"/>
          <w:szCs w:val="24"/>
        </w:rPr>
        <w:t xml:space="preserve">Customer service excellence is not only a strategic priority for the NIS, but </w:t>
      </w:r>
      <w:r w:rsidR="00F83FB5" w:rsidRPr="00252295">
        <w:rPr>
          <w:rFonts w:ascii="Times New Roman" w:eastAsia="Times New Roman" w:hAnsi="Times New Roman" w:cs="Times New Roman"/>
          <w:sz w:val="24"/>
          <w:szCs w:val="24"/>
        </w:rPr>
        <w:t xml:space="preserve">it is </w:t>
      </w:r>
      <w:r w:rsidRPr="00252295">
        <w:rPr>
          <w:rFonts w:ascii="Times New Roman" w:eastAsia="Times New Roman" w:hAnsi="Times New Roman" w:cs="Times New Roman"/>
          <w:sz w:val="24"/>
          <w:szCs w:val="24"/>
        </w:rPr>
        <w:t xml:space="preserve">also one of the corner stones of </w:t>
      </w:r>
      <w:r w:rsidR="002C4001" w:rsidRPr="00252295">
        <w:rPr>
          <w:rFonts w:ascii="Times New Roman" w:eastAsia="Times New Roman" w:hAnsi="Times New Roman" w:cs="Times New Roman"/>
          <w:sz w:val="24"/>
          <w:szCs w:val="24"/>
        </w:rPr>
        <w:t>its</w:t>
      </w:r>
      <w:r w:rsidRPr="00252295">
        <w:rPr>
          <w:rFonts w:ascii="Times New Roman" w:eastAsia="Times New Roman" w:hAnsi="Times New Roman" w:cs="Times New Roman"/>
          <w:sz w:val="24"/>
          <w:szCs w:val="24"/>
        </w:rPr>
        <w:t xml:space="preserve"> ethos. The NIS’ vision (meeting customer needs), Mission (people-centeredness) and Value system (empathy, respect) envelop customer centricity. </w:t>
      </w:r>
    </w:p>
    <w:p w14:paraId="16411111" w14:textId="77777777" w:rsidR="00997D7C" w:rsidRPr="00252295" w:rsidRDefault="00997D7C" w:rsidP="00252295">
      <w:pPr>
        <w:jc w:val="both"/>
        <w:rPr>
          <w:rFonts w:ascii="Times New Roman" w:eastAsia="Times New Roman" w:hAnsi="Times New Roman" w:cs="Times New Roman"/>
          <w:sz w:val="24"/>
          <w:szCs w:val="24"/>
        </w:rPr>
      </w:pPr>
    </w:p>
    <w:p w14:paraId="59386C47" w14:textId="01ED758B" w:rsidR="00997D7C" w:rsidRPr="00252295" w:rsidRDefault="00997D7C" w:rsidP="00252295">
      <w:pPr>
        <w:jc w:val="both"/>
        <w:rPr>
          <w:rFonts w:ascii="Times New Roman" w:eastAsia="Times New Roman" w:hAnsi="Times New Roman" w:cs="Times New Roman"/>
          <w:sz w:val="24"/>
          <w:szCs w:val="24"/>
        </w:rPr>
      </w:pPr>
      <w:r w:rsidRPr="00252295">
        <w:rPr>
          <w:rFonts w:ascii="Times New Roman" w:eastAsia="Times New Roman" w:hAnsi="Times New Roman" w:cs="Times New Roman"/>
          <w:sz w:val="24"/>
          <w:szCs w:val="24"/>
        </w:rPr>
        <w:t xml:space="preserve">Given this thrust and the awareness that customer service is crucial to </w:t>
      </w:r>
      <w:r w:rsidR="00FE48B6" w:rsidRPr="00252295">
        <w:rPr>
          <w:rFonts w:ascii="Times New Roman" w:eastAsia="Times New Roman" w:hAnsi="Times New Roman" w:cs="Times New Roman"/>
          <w:sz w:val="24"/>
          <w:szCs w:val="24"/>
        </w:rPr>
        <w:t>sustainability, the</w:t>
      </w:r>
      <w:r w:rsidRPr="00252295">
        <w:rPr>
          <w:rFonts w:ascii="Times New Roman" w:eastAsia="Times New Roman" w:hAnsi="Times New Roman" w:cs="Times New Roman"/>
          <w:sz w:val="24"/>
          <w:szCs w:val="24"/>
        </w:rPr>
        <w:t xml:space="preserve"> NIS solicited the views of its customers on its products and services through its annual customer service survey. Our customers’ feedback was humbling and encouraging. </w:t>
      </w:r>
      <w:r w:rsidR="00A3768C" w:rsidRPr="00252295">
        <w:rPr>
          <w:rFonts w:ascii="Times New Roman" w:eastAsia="Times New Roman" w:hAnsi="Times New Roman" w:cs="Times New Roman"/>
          <w:sz w:val="24"/>
          <w:szCs w:val="24"/>
        </w:rPr>
        <w:t>The</w:t>
      </w:r>
      <w:r w:rsidRPr="00252295">
        <w:rPr>
          <w:rFonts w:ascii="Times New Roman" w:eastAsia="Times New Roman" w:hAnsi="Times New Roman" w:cs="Times New Roman"/>
          <w:sz w:val="24"/>
          <w:szCs w:val="24"/>
        </w:rPr>
        <w:t xml:space="preserve"> customers rated </w:t>
      </w:r>
      <w:r w:rsidR="00A3768C" w:rsidRPr="00252295">
        <w:rPr>
          <w:rFonts w:ascii="Times New Roman" w:eastAsia="Times New Roman" w:hAnsi="Times New Roman" w:cs="Times New Roman"/>
          <w:sz w:val="24"/>
          <w:szCs w:val="24"/>
        </w:rPr>
        <w:t>the institution at</w:t>
      </w:r>
      <w:r w:rsidRPr="00252295">
        <w:rPr>
          <w:rFonts w:ascii="Times New Roman" w:eastAsia="Times New Roman" w:hAnsi="Times New Roman" w:cs="Times New Roman"/>
          <w:sz w:val="24"/>
          <w:szCs w:val="24"/>
        </w:rPr>
        <w:t xml:space="preserve"> an 85% satisfaction level, which is </w:t>
      </w:r>
      <w:proofErr w:type="gramStart"/>
      <w:r w:rsidRPr="00252295">
        <w:rPr>
          <w:rFonts w:ascii="Times New Roman" w:eastAsia="Times New Roman" w:hAnsi="Times New Roman" w:cs="Times New Roman"/>
          <w:sz w:val="24"/>
          <w:szCs w:val="24"/>
        </w:rPr>
        <w:t>s</w:t>
      </w:r>
      <w:r w:rsidR="00A3768C" w:rsidRPr="00252295">
        <w:rPr>
          <w:rFonts w:ascii="Times New Roman" w:eastAsia="Times New Roman" w:hAnsi="Times New Roman" w:cs="Times New Roman"/>
          <w:sz w:val="24"/>
          <w:szCs w:val="24"/>
        </w:rPr>
        <w:t>imilar to</w:t>
      </w:r>
      <w:proofErr w:type="gramEnd"/>
      <w:r w:rsidR="00A3768C" w:rsidRPr="00252295">
        <w:rPr>
          <w:rFonts w:ascii="Times New Roman" w:eastAsia="Times New Roman" w:hAnsi="Times New Roman" w:cs="Times New Roman"/>
          <w:sz w:val="24"/>
          <w:szCs w:val="24"/>
        </w:rPr>
        <w:t xml:space="preserve"> what </w:t>
      </w:r>
      <w:r w:rsidR="00BD5E7C" w:rsidRPr="00252295">
        <w:rPr>
          <w:rFonts w:ascii="Times New Roman" w:eastAsia="Times New Roman" w:hAnsi="Times New Roman" w:cs="Times New Roman"/>
          <w:sz w:val="24"/>
          <w:szCs w:val="24"/>
        </w:rPr>
        <w:t>obtained in</w:t>
      </w:r>
      <w:r w:rsidRPr="00252295">
        <w:rPr>
          <w:rFonts w:ascii="Times New Roman" w:eastAsia="Times New Roman" w:hAnsi="Times New Roman" w:cs="Times New Roman"/>
          <w:sz w:val="24"/>
          <w:szCs w:val="24"/>
        </w:rPr>
        <w:t xml:space="preserve"> previous year</w:t>
      </w:r>
      <w:r w:rsidR="00A3768C" w:rsidRPr="00252295">
        <w:rPr>
          <w:rFonts w:ascii="Times New Roman" w:eastAsia="Times New Roman" w:hAnsi="Times New Roman" w:cs="Times New Roman"/>
          <w:sz w:val="24"/>
          <w:szCs w:val="24"/>
        </w:rPr>
        <w:t>s</w:t>
      </w:r>
      <w:r w:rsidRPr="00252295">
        <w:rPr>
          <w:rFonts w:ascii="Times New Roman" w:eastAsia="Times New Roman" w:hAnsi="Times New Roman" w:cs="Times New Roman"/>
          <w:sz w:val="24"/>
          <w:szCs w:val="24"/>
        </w:rPr>
        <w:t xml:space="preserve">. </w:t>
      </w:r>
      <w:r w:rsidR="00A3768C" w:rsidRPr="00252295">
        <w:rPr>
          <w:rFonts w:ascii="Times New Roman" w:eastAsia="Times New Roman" w:hAnsi="Times New Roman" w:cs="Times New Roman"/>
          <w:sz w:val="24"/>
          <w:szCs w:val="24"/>
        </w:rPr>
        <w:t xml:space="preserve">The </w:t>
      </w:r>
      <w:r w:rsidR="00BD5E7C" w:rsidRPr="00252295">
        <w:rPr>
          <w:rFonts w:ascii="Times New Roman" w:eastAsia="Times New Roman" w:hAnsi="Times New Roman" w:cs="Times New Roman"/>
          <w:sz w:val="24"/>
          <w:szCs w:val="24"/>
        </w:rPr>
        <w:t>institution reflected</w:t>
      </w:r>
      <w:r w:rsidRPr="00252295">
        <w:rPr>
          <w:rFonts w:ascii="Times New Roman" w:eastAsia="Times New Roman" w:hAnsi="Times New Roman" w:cs="Times New Roman"/>
          <w:sz w:val="24"/>
          <w:szCs w:val="24"/>
        </w:rPr>
        <w:t xml:space="preserve"> on </w:t>
      </w:r>
      <w:r w:rsidR="00A3768C" w:rsidRPr="00252295">
        <w:rPr>
          <w:rFonts w:ascii="Times New Roman" w:eastAsia="Times New Roman" w:hAnsi="Times New Roman" w:cs="Times New Roman"/>
          <w:sz w:val="24"/>
          <w:szCs w:val="24"/>
        </w:rPr>
        <w:t>its</w:t>
      </w:r>
      <w:r w:rsidRPr="00252295">
        <w:rPr>
          <w:rFonts w:ascii="Times New Roman" w:eastAsia="Times New Roman" w:hAnsi="Times New Roman" w:cs="Times New Roman"/>
          <w:sz w:val="24"/>
          <w:szCs w:val="24"/>
        </w:rPr>
        <w:t xml:space="preserve"> ratings and renewed </w:t>
      </w:r>
      <w:r w:rsidR="00A3768C" w:rsidRPr="00252295">
        <w:rPr>
          <w:rFonts w:ascii="Times New Roman" w:eastAsia="Times New Roman" w:hAnsi="Times New Roman" w:cs="Times New Roman"/>
          <w:sz w:val="24"/>
          <w:szCs w:val="24"/>
        </w:rPr>
        <w:t>its</w:t>
      </w:r>
      <w:r w:rsidRPr="00252295">
        <w:rPr>
          <w:rFonts w:ascii="Times New Roman" w:eastAsia="Times New Roman" w:hAnsi="Times New Roman" w:cs="Times New Roman"/>
          <w:sz w:val="24"/>
          <w:szCs w:val="24"/>
        </w:rPr>
        <w:t xml:space="preserve"> commitment to strive for better performance in the future.</w:t>
      </w:r>
    </w:p>
    <w:p w14:paraId="649EB4FC" w14:textId="77777777" w:rsidR="00997D7C" w:rsidRPr="00252295" w:rsidRDefault="00997D7C" w:rsidP="00252295">
      <w:pPr>
        <w:jc w:val="both"/>
        <w:rPr>
          <w:rFonts w:ascii="Times New Roman" w:eastAsia="Times New Roman" w:hAnsi="Times New Roman" w:cs="Times New Roman"/>
          <w:sz w:val="24"/>
          <w:szCs w:val="24"/>
        </w:rPr>
      </w:pPr>
    </w:p>
    <w:p w14:paraId="3792158B" w14:textId="4727C3FB" w:rsidR="00997D7C" w:rsidRPr="00252295" w:rsidRDefault="00997D7C" w:rsidP="00252295">
      <w:pPr>
        <w:jc w:val="both"/>
        <w:rPr>
          <w:rFonts w:ascii="Times New Roman" w:eastAsia="Times New Roman" w:hAnsi="Times New Roman" w:cs="Times New Roman"/>
          <w:sz w:val="24"/>
          <w:szCs w:val="24"/>
        </w:rPr>
      </w:pPr>
      <w:r w:rsidRPr="00252295">
        <w:rPr>
          <w:rFonts w:ascii="Times New Roman" w:eastAsia="Times New Roman" w:hAnsi="Times New Roman" w:cs="Times New Roman"/>
          <w:sz w:val="24"/>
          <w:szCs w:val="24"/>
        </w:rPr>
        <w:t>In addition, the NIS promoted its client first perspective by its initiatives around sustained customer engagement, recognizing staff who demonstrate exceptional customer service, providing support to team members that f</w:t>
      </w:r>
      <w:r w:rsidR="00FE48B6" w:rsidRPr="00252295">
        <w:rPr>
          <w:rFonts w:ascii="Times New Roman" w:eastAsia="Times New Roman" w:hAnsi="Times New Roman" w:cs="Times New Roman"/>
          <w:sz w:val="24"/>
          <w:szCs w:val="24"/>
        </w:rPr>
        <w:t>e</w:t>
      </w:r>
      <w:r w:rsidRPr="00252295">
        <w:rPr>
          <w:rFonts w:ascii="Times New Roman" w:eastAsia="Times New Roman" w:hAnsi="Times New Roman" w:cs="Times New Roman"/>
          <w:sz w:val="24"/>
          <w:szCs w:val="24"/>
        </w:rPr>
        <w:t xml:space="preserve">ll below </w:t>
      </w:r>
      <w:r w:rsidR="00FE48B6" w:rsidRPr="00252295">
        <w:rPr>
          <w:rFonts w:ascii="Times New Roman" w:eastAsia="Times New Roman" w:hAnsi="Times New Roman" w:cs="Times New Roman"/>
          <w:sz w:val="24"/>
          <w:szCs w:val="24"/>
        </w:rPr>
        <w:t>its</w:t>
      </w:r>
      <w:r w:rsidRPr="00252295">
        <w:rPr>
          <w:rFonts w:ascii="Times New Roman" w:eastAsia="Times New Roman" w:hAnsi="Times New Roman" w:cs="Times New Roman"/>
          <w:sz w:val="24"/>
          <w:szCs w:val="24"/>
        </w:rPr>
        <w:t xml:space="preserve"> service excellence standard, holding staff accountable to quality customer service delivery, conducting reinforcement sessions on customer service and championing customers’ perspective in the reengineering of </w:t>
      </w:r>
      <w:r w:rsidR="00FE48B6" w:rsidRPr="00252295">
        <w:rPr>
          <w:rFonts w:ascii="Times New Roman" w:eastAsia="Times New Roman" w:hAnsi="Times New Roman" w:cs="Times New Roman"/>
          <w:sz w:val="24"/>
          <w:szCs w:val="24"/>
        </w:rPr>
        <w:t>its</w:t>
      </w:r>
      <w:r w:rsidRPr="00252295">
        <w:rPr>
          <w:rFonts w:ascii="Times New Roman" w:eastAsia="Times New Roman" w:hAnsi="Times New Roman" w:cs="Times New Roman"/>
          <w:sz w:val="24"/>
          <w:szCs w:val="24"/>
        </w:rPr>
        <w:t xml:space="preserve"> business processes.</w:t>
      </w:r>
    </w:p>
    <w:p w14:paraId="7A5141D8" w14:textId="77777777" w:rsidR="00997D7C" w:rsidRPr="00252295" w:rsidRDefault="00997D7C" w:rsidP="00252295">
      <w:pPr>
        <w:jc w:val="both"/>
        <w:rPr>
          <w:rFonts w:ascii="Times New Roman" w:eastAsia="Times New Roman" w:hAnsi="Times New Roman" w:cs="Times New Roman"/>
          <w:sz w:val="24"/>
          <w:szCs w:val="24"/>
        </w:rPr>
      </w:pPr>
    </w:p>
    <w:p w14:paraId="1A57FF32" w14:textId="77777777" w:rsidR="00997D7C" w:rsidRPr="00252295" w:rsidRDefault="00997D7C" w:rsidP="00252295">
      <w:pPr>
        <w:jc w:val="both"/>
        <w:rPr>
          <w:rFonts w:ascii="Times New Roman" w:eastAsia="Times New Roman" w:hAnsi="Times New Roman" w:cs="Times New Roman"/>
          <w:sz w:val="24"/>
          <w:szCs w:val="24"/>
        </w:rPr>
      </w:pPr>
    </w:p>
    <w:p w14:paraId="0CD71346" w14:textId="1E5B2E04" w:rsidR="00997D7C" w:rsidRPr="00252295" w:rsidRDefault="00997D7C" w:rsidP="00252295">
      <w:pPr>
        <w:jc w:val="both"/>
        <w:rPr>
          <w:rFonts w:ascii="Times New Roman" w:eastAsia="Times New Roman" w:hAnsi="Times New Roman" w:cs="Times New Roman"/>
          <w:sz w:val="24"/>
          <w:szCs w:val="24"/>
          <w:highlight w:val="yellow"/>
        </w:rPr>
      </w:pPr>
      <w:r w:rsidRPr="00252295">
        <w:rPr>
          <w:rFonts w:ascii="Times New Roman" w:eastAsia="Times New Roman" w:hAnsi="Times New Roman" w:cs="Times New Roman"/>
          <w:sz w:val="24"/>
          <w:szCs w:val="24"/>
        </w:rPr>
        <w:t xml:space="preserve">Notwithstanding </w:t>
      </w:r>
      <w:r w:rsidR="00FE48B6" w:rsidRPr="00252295">
        <w:rPr>
          <w:rFonts w:ascii="Times New Roman" w:eastAsia="Times New Roman" w:hAnsi="Times New Roman" w:cs="Times New Roman"/>
          <w:sz w:val="24"/>
          <w:szCs w:val="24"/>
        </w:rPr>
        <w:t>the NIS’</w:t>
      </w:r>
      <w:r w:rsidRPr="00252295">
        <w:rPr>
          <w:rFonts w:ascii="Times New Roman" w:eastAsia="Times New Roman" w:hAnsi="Times New Roman" w:cs="Times New Roman"/>
          <w:sz w:val="24"/>
          <w:szCs w:val="24"/>
        </w:rPr>
        <w:t xml:space="preserve"> ambitions towards customer service excellence, there </w:t>
      </w:r>
      <w:r w:rsidR="00FE48B6" w:rsidRPr="00252295">
        <w:rPr>
          <w:rFonts w:ascii="Times New Roman" w:eastAsia="Times New Roman" w:hAnsi="Times New Roman" w:cs="Times New Roman"/>
          <w:sz w:val="24"/>
          <w:szCs w:val="24"/>
        </w:rPr>
        <w:t>are still</w:t>
      </w:r>
      <w:r w:rsidRPr="00252295">
        <w:rPr>
          <w:rFonts w:ascii="Times New Roman" w:eastAsia="Times New Roman" w:hAnsi="Times New Roman" w:cs="Times New Roman"/>
          <w:sz w:val="24"/>
          <w:szCs w:val="24"/>
        </w:rPr>
        <w:t xml:space="preserve"> noticeable gaps </w:t>
      </w:r>
      <w:r w:rsidR="00FE48B6" w:rsidRPr="00252295">
        <w:rPr>
          <w:rFonts w:ascii="Times New Roman" w:eastAsia="Times New Roman" w:hAnsi="Times New Roman" w:cs="Times New Roman"/>
          <w:sz w:val="24"/>
          <w:szCs w:val="24"/>
        </w:rPr>
        <w:t xml:space="preserve">in the institution’s </w:t>
      </w:r>
      <w:r w:rsidRPr="00252295">
        <w:rPr>
          <w:rFonts w:ascii="Times New Roman" w:eastAsia="Times New Roman" w:hAnsi="Times New Roman" w:cs="Times New Roman"/>
          <w:sz w:val="24"/>
          <w:szCs w:val="24"/>
        </w:rPr>
        <w:t xml:space="preserve">customer service delivery. For instance, </w:t>
      </w:r>
      <w:r w:rsidR="00FE48B6" w:rsidRPr="00252295">
        <w:rPr>
          <w:rFonts w:ascii="Times New Roman" w:eastAsia="Times New Roman" w:hAnsi="Times New Roman" w:cs="Times New Roman"/>
          <w:sz w:val="24"/>
          <w:szCs w:val="24"/>
        </w:rPr>
        <w:t xml:space="preserve">the institution </w:t>
      </w:r>
      <w:r w:rsidRPr="00252295">
        <w:rPr>
          <w:rFonts w:ascii="Times New Roman" w:eastAsia="Times New Roman" w:hAnsi="Times New Roman" w:cs="Times New Roman"/>
          <w:sz w:val="24"/>
          <w:szCs w:val="24"/>
        </w:rPr>
        <w:t xml:space="preserve">did not meet some internal benchmarks for delivery of some of </w:t>
      </w:r>
      <w:r w:rsidR="00FE48B6" w:rsidRPr="00252295">
        <w:rPr>
          <w:rFonts w:ascii="Times New Roman" w:eastAsia="Times New Roman" w:hAnsi="Times New Roman" w:cs="Times New Roman"/>
          <w:sz w:val="24"/>
          <w:szCs w:val="24"/>
        </w:rPr>
        <w:t xml:space="preserve">its </w:t>
      </w:r>
      <w:r w:rsidRPr="00252295">
        <w:rPr>
          <w:rFonts w:ascii="Times New Roman" w:eastAsia="Times New Roman" w:hAnsi="Times New Roman" w:cs="Times New Roman"/>
          <w:sz w:val="24"/>
          <w:szCs w:val="24"/>
        </w:rPr>
        <w:t xml:space="preserve">core services. </w:t>
      </w:r>
      <w:r w:rsidR="00FE48B6" w:rsidRPr="00252295">
        <w:rPr>
          <w:rFonts w:ascii="Times New Roman" w:eastAsia="Times New Roman" w:hAnsi="Times New Roman" w:cs="Times New Roman"/>
          <w:sz w:val="24"/>
          <w:szCs w:val="24"/>
        </w:rPr>
        <w:t xml:space="preserve"> Steps will be taken to improve on this, by among other things, organising targeted training in the areas of greatest need on a phased basis.</w:t>
      </w:r>
    </w:p>
    <w:p w14:paraId="045B9DF8" w14:textId="77777777" w:rsidR="00997D7C" w:rsidRPr="00252295" w:rsidRDefault="00997D7C" w:rsidP="00252295">
      <w:pPr>
        <w:jc w:val="both"/>
        <w:rPr>
          <w:rFonts w:ascii="Times New Roman" w:hAnsi="Times New Roman" w:cs="Times New Roman"/>
          <w:b/>
          <w:bCs/>
          <w:sz w:val="24"/>
          <w:szCs w:val="24"/>
        </w:rPr>
      </w:pPr>
    </w:p>
    <w:p w14:paraId="64132D66" w14:textId="3FA147C2" w:rsidR="00C60366" w:rsidRPr="00252295" w:rsidRDefault="00C60366" w:rsidP="00252295">
      <w:pPr>
        <w:jc w:val="both"/>
        <w:rPr>
          <w:rFonts w:ascii="Times New Roman" w:eastAsia="Times New Roman" w:hAnsi="Times New Roman" w:cs="Times New Roman"/>
          <w:sz w:val="24"/>
          <w:szCs w:val="24"/>
          <w:lang w:val="en-GB"/>
        </w:rPr>
      </w:pPr>
      <w:r w:rsidRPr="00252295">
        <w:rPr>
          <w:rFonts w:ascii="Times New Roman" w:eastAsia="Times New Roman" w:hAnsi="Times New Roman" w:cs="Times New Roman"/>
          <w:sz w:val="24"/>
          <w:szCs w:val="24"/>
          <w:lang w:val="en-GB"/>
        </w:rPr>
        <w:t xml:space="preserve">Additionally, the NIS would compile the public’s ideas, opinions, and thoughts to complement the reform package to be submitted to </w:t>
      </w:r>
      <w:r w:rsidR="00FE48B6" w:rsidRPr="00252295">
        <w:rPr>
          <w:rFonts w:ascii="Times New Roman" w:eastAsia="Times New Roman" w:hAnsi="Times New Roman" w:cs="Times New Roman"/>
          <w:sz w:val="24"/>
          <w:szCs w:val="24"/>
          <w:lang w:val="en-GB"/>
        </w:rPr>
        <w:t>the Government for</w:t>
      </w:r>
      <w:r w:rsidRPr="00252295">
        <w:rPr>
          <w:rFonts w:ascii="Times New Roman" w:eastAsia="Times New Roman" w:hAnsi="Times New Roman" w:cs="Times New Roman"/>
          <w:sz w:val="24"/>
          <w:szCs w:val="24"/>
          <w:lang w:val="en-GB"/>
        </w:rPr>
        <w:t xml:space="preserve"> consideration.</w:t>
      </w:r>
    </w:p>
    <w:p w14:paraId="4EC18FD3" w14:textId="77777777" w:rsidR="00C60366" w:rsidRPr="00252295" w:rsidRDefault="00C60366" w:rsidP="00252295">
      <w:pPr>
        <w:jc w:val="both"/>
        <w:rPr>
          <w:rFonts w:ascii="Times New Roman" w:eastAsia="Times New Roman" w:hAnsi="Times New Roman" w:cs="Times New Roman"/>
          <w:sz w:val="24"/>
          <w:szCs w:val="24"/>
          <w:lang w:val="en-GB"/>
        </w:rPr>
      </w:pPr>
    </w:p>
    <w:p w14:paraId="72B76F76" w14:textId="35C3DD45" w:rsidR="00C60366" w:rsidRPr="00252295" w:rsidRDefault="00C60366" w:rsidP="00252295">
      <w:pPr>
        <w:jc w:val="both"/>
        <w:rPr>
          <w:rFonts w:ascii="Times New Roman" w:hAnsi="Times New Roman" w:cs="Times New Roman"/>
          <w:sz w:val="24"/>
          <w:szCs w:val="24"/>
          <w:lang w:val="en-GB"/>
        </w:rPr>
      </w:pPr>
      <w:r w:rsidRPr="00252295">
        <w:rPr>
          <w:rFonts w:ascii="Times New Roman" w:hAnsi="Times New Roman" w:cs="Times New Roman"/>
          <w:sz w:val="24"/>
          <w:szCs w:val="24"/>
          <w:lang w:val="en-GB"/>
        </w:rPr>
        <w:t xml:space="preserve">The Board and Management of the </w:t>
      </w:r>
      <w:r w:rsidR="00BC5C9E" w:rsidRPr="00252295">
        <w:rPr>
          <w:rFonts w:ascii="Times New Roman" w:hAnsi="Times New Roman" w:cs="Times New Roman"/>
          <w:sz w:val="24"/>
          <w:szCs w:val="24"/>
          <w:lang w:val="en-GB"/>
        </w:rPr>
        <w:t>NIS</w:t>
      </w:r>
      <w:r w:rsidR="00FE48B6" w:rsidRPr="00252295">
        <w:rPr>
          <w:rFonts w:ascii="Times New Roman" w:hAnsi="Times New Roman" w:cs="Times New Roman"/>
          <w:sz w:val="24"/>
          <w:szCs w:val="24"/>
          <w:lang w:val="en-GB"/>
        </w:rPr>
        <w:t xml:space="preserve"> has already commenced</w:t>
      </w:r>
      <w:r w:rsidR="00BC5C9E" w:rsidRPr="00252295">
        <w:rPr>
          <w:rFonts w:ascii="Times New Roman" w:hAnsi="Times New Roman" w:cs="Times New Roman"/>
          <w:sz w:val="24"/>
          <w:szCs w:val="24"/>
          <w:lang w:val="en-GB"/>
        </w:rPr>
        <w:t xml:space="preserve"> </w:t>
      </w:r>
      <w:r w:rsidRPr="00252295">
        <w:rPr>
          <w:rFonts w:ascii="Times New Roman" w:hAnsi="Times New Roman" w:cs="Times New Roman"/>
          <w:sz w:val="24"/>
          <w:szCs w:val="24"/>
          <w:lang w:val="en-GB"/>
        </w:rPr>
        <w:t>the social dialogue on NIS and pension reform. To this end, the NIS consulted Government and heads of trade unions and associations, employer groups including Chamber of the Industry of Commerce, employee groups including P</w:t>
      </w:r>
      <w:r w:rsidR="00FE48B6" w:rsidRPr="00252295">
        <w:rPr>
          <w:rFonts w:ascii="Times New Roman" w:hAnsi="Times New Roman" w:cs="Times New Roman"/>
          <w:sz w:val="24"/>
          <w:szCs w:val="24"/>
          <w:lang w:val="en-GB"/>
        </w:rPr>
        <w:t xml:space="preserve">ublic </w:t>
      </w:r>
      <w:r w:rsidRPr="00252295">
        <w:rPr>
          <w:rFonts w:ascii="Times New Roman" w:hAnsi="Times New Roman" w:cs="Times New Roman"/>
          <w:sz w:val="24"/>
          <w:szCs w:val="24"/>
          <w:lang w:val="en-GB"/>
        </w:rPr>
        <w:t>S</w:t>
      </w:r>
      <w:r w:rsidR="00FE48B6" w:rsidRPr="00252295">
        <w:rPr>
          <w:rFonts w:ascii="Times New Roman" w:hAnsi="Times New Roman" w:cs="Times New Roman"/>
          <w:sz w:val="24"/>
          <w:szCs w:val="24"/>
          <w:lang w:val="en-GB"/>
        </w:rPr>
        <w:t xml:space="preserve">ervice </w:t>
      </w:r>
      <w:r w:rsidRPr="00252295">
        <w:rPr>
          <w:rFonts w:ascii="Times New Roman" w:hAnsi="Times New Roman" w:cs="Times New Roman"/>
          <w:sz w:val="24"/>
          <w:szCs w:val="24"/>
          <w:lang w:val="en-GB"/>
        </w:rPr>
        <w:t>U</w:t>
      </w:r>
      <w:r w:rsidR="00FE48B6" w:rsidRPr="00252295">
        <w:rPr>
          <w:rFonts w:ascii="Times New Roman" w:hAnsi="Times New Roman" w:cs="Times New Roman"/>
          <w:sz w:val="24"/>
          <w:szCs w:val="24"/>
          <w:lang w:val="en-GB"/>
        </w:rPr>
        <w:t>nion</w:t>
      </w:r>
      <w:r w:rsidRPr="00252295">
        <w:rPr>
          <w:rFonts w:ascii="Times New Roman" w:hAnsi="Times New Roman" w:cs="Times New Roman"/>
          <w:sz w:val="24"/>
          <w:szCs w:val="24"/>
          <w:lang w:val="en-GB"/>
        </w:rPr>
        <w:t>, SVG Nurses Association, and SVG</w:t>
      </w:r>
      <w:r w:rsidR="00FE48B6" w:rsidRPr="00252295">
        <w:rPr>
          <w:rFonts w:ascii="Times New Roman" w:hAnsi="Times New Roman" w:cs="Times New Roman"/>
          <w:sz w:val="24"/>
          <w:szCs w:val="24"/>
          <w:lang w:val="en-GB"/>
        </w:rPr>
        <w:t xml:space="preserve"> </w:t>
      </w:r>
      <w:r w:rsidRPr="00252295">
        <w:rPr>
          <w:rFonts w:ascii="Times New Roman" w:hAnsi="Times New Roman" w:cs="Times New Roman"/>
          <w:sz w:val="24"/>
          <w:szCs w:val="24"/>
          <w:lang w:val="en-GB"/>
        </w:rPr>
        <w:t>T</w:t>
      </w:r>
      <w:r w:rsidR="00FE48B6" w:rsidRPr="00252295">
        <w:rPr>
          <w:rFonts w:ascii="Times New Roman" w:hAnsi="Times New Roman" w:cs="Times New Roman"/>
          <w:sz w:val="24"/>
          <w:szCs w:val="24"/>
          <w:lang w:val="en-GB"/>
        </w:rPr>
        <w:t xml:space="preserve">eachers’ </w:t>
      </w:r>
      <w:r w:rsidRPr="00252295">
        <w:rPr>
          <w:rFonts w:ascii="Times New Roman" w:hAnsi="Times New Roman" w:cs="Times New Roman"/>
          <w:sz w:val="24"/>
          <w:szCs w:val="24"/>
          <w:lang w:val="en-GB"/>
        </w:rPr>
        <w:t>U</w:t>
      </w:r>
      <w:r w:rsidR="00FE48B6" w:rsidRPr="00252295">
        <w:rPr>
          <w:rFonts w:ascii="Times New Roman" w:hAnsi="Times New Roman" w:cs="Times New Roman"/>
          <w:sz w:val="24"/>
          <w:szCs w:val="24"/>
          <w:lang w:val="en-GB"/>
        </w:rPr>
        <w:t>nion</w:t>
      </w:r>
      <w:r w:rsidRPr="00252295">
        <w:rPr>
          <w:rFonts w:ascii="Times New Roman" w:hAnsi="Times New Roman" w:cs="Times New Roman"/>
          <w:sz w:val="24"/>
          <w:szCs w:val="24"/>
          <w:lang w:val="en-GB"/>
        </w:rPr>
        <w:t>. Additionally, the NIS hosted radio and television interviews to inform stakeholders on NIS and pension reform. The feedback from the consulted groups was very encouraging. The NIS plans to intensify its social dialogue on NIS and pension reform in the coming months.</w:t>
      </w:r>
      <w:r w:rsidR="00BC5C9E" w:rsidRPr="00252295">
        <w:rPr>
          <w:rFonts w:ascii="Times New Roman" w:hAnsi="Times New Roman" w:cs="Times New Roman"/>
          <w:sz w:val="24"/>
          <w:szCs w:val="24"/>
          <w:lang w:val="en-GB"/>
        </w:rPr>
        <w:t xml:space="preserve"> This is salient for effective customer service and customer value optimization (CVO)</w:t>
      </w:r>
      <w:r w:rsidR="00F32E9A" w:rsidRPr="00252295">
        <w:rPr>
          <w:rFonts w:ascii="Times New Roman" w:hAnsi="Times New Roman" w:cs="Times New Roman"/>
          <w:sz w:val="24"/>
          <w:szCs w:val="24"/>
          <w:lang w:val="en-GB"/>
        </w:rPr>
        <w:t>.</w:t>
      </w:r>
    </w:p>
    <w:p w14:paraId="6E9DDF98" w14:textId="77777777" w:rsidR="00C60366" w:rsidRPr="00252295" w:rsidRDefault="00C60366" w:rsidP="00252295">
      <w:pPr>
        <w:jc w:val="both"/>
        <w:rPr>
          <w:rFonts w:ascii="Times New Roman" w:hAnsi="Times New Roman" w:cs="Times New Roman"/>
          <w:sz w:val="24"/>
          <w:szCs w:val="24"/>
          <w:lang w:val="en-GB"/>
        </w:rPr>
      </w:pPr>
    </w:p>
    <w:p w14:paraId="69FEA418" w14:textId="615CF126" w:rsidR="00C60366" w:rsidRPr="004718BE" w:rsidRDefault="0029124B" w:rsidP="00252295">
      <w:pPr>
        <w:jc w:val="both"/>
        <w:rPr>
          <w:rFonts w:ascii="Times New Roman" w:hAnsi="Times New Roman" w:cs="Times New Roman"/>
          <w:sz w:val="24"/>
          <w:szCs w:val="24"/>
        </w:rPr>
      </w:pPr>
      <w:r w:rsidRPr="004718BE">
        <w:rPr>
          <w:rFonts w:ascii="Times New Roman" w:hAnsi="Times New Roman" w:cs="Times New Roman"/>
          <w:sz w:val="24"/>
          <w:szCs w:val="24"/>
          <w:shd w:val="clear" w:color="auto" w:fill="FFFFFF"/>
        </w:rPr>
        <w:t>According to</w:t>
      </w:r>
      <w:r w:rsidR="00735667" w:rsidRPr="004718BE">
        <w:rPr>
          <w:rFonts w:ascii="Times New Roman" w:hAnsi="Times New Roman" w:cs="Times New Roman"/>
          <w:sz w:val="24"/>
          <w:szCs w:val="24"/>
          <w:shd w:val="clear" w:color="auto" w:fill="FFFFFF"/>
        </w:rPr>
        <w:t xml:space="preserve"> </w:t>
      </w:r>
      <w:proofErr w:type="spellStart"/>
      <w:r w:rsidR="004441CB" w:rsidRPr="004718BE">
        <w:rPr>
          <w:rFonts w:ascii="Times New Roman" w:hAnsi="Times New Roman" w:cs="Times New Roman"/>
          <w:sz w:val="24"/>
          <w:szCs w:val="24"/>
          <w:shd w:val="clear" w:color="auto" w:fill="FFFFFF"/>
        </w:rPr>
        <w:t>Maza</w:t>
      </w:r>
      <w:proofErr w:type="spellEnd"/>
      <w:r w:rsidR="004441CB" w:rsidRPr="004718BE">
        <w:rPr>
          <w:rFonts w:ascii="Times New Roman" w:hAnsi="Times New Roman" w:cs="Times New Roman"/>
          <w:sz w:val="24"/>
          <w:szCs w:val="24"/>
          <w:shd w:val="clear" w:color="auto" w:fill="FFFFFF"/>
        </w:rPr>
        <w:t xml:space="preserve"> (2023), Customer Value Optimization</w:t>
      </w:r>
      <w:r w:rsidR="00735667" w:rsidRPr="004718BE">
        <w:rPr>
          <w:rFonts w:ascii="Times New Roman" w:hAnsi="Times New Roman" w:cs="Times New Roman"/>
          <w:sz w:val="24"/>
          <w:szCs w:val="24"/>
          <w:shd w:val="clear" w:color="auto" w:fill="FFFFFF"/>
        </w:rPr>
        <w:t xml:space="preserve"> (</w:t>
      </w:r>
      <w:r w:rsidR="00C60366" w:rsidRPr="004718BE">
        <w:rPr>
          <w:rFonts w:ascii="Times New Roman" w:hAnsi="Times New Roman" w:cs="Times New Roman"/>
          <w:sz w:val="24"/>
          <w:szCs w:val="24"/>
          <w:shd w:val="clear" w:color="auto" w:fill="FFFFFF"/>
        </w:rPr>
        <w:t>CVO</w:t>
      </w:r>
      <w:r w:rsidR="00735667" w:rsidRPr="004718BE">
        <w:rPr>
          <w:rFonts w:ascii="Times New Roman" w:hAnsi="Times New Roman" w:cs="Times New Roman"/>
          <w:sz w:val="24"/>
          <w:szCs w:val="24"/>
          <w:shd w:val="clear" w:color="auto" w:fill="FFFFFF"/>
        </w:rPr>
        <w:t>)</w:t>
      </w:r>
      <w:r w:rsidR="00C60366" w:rsidRPr="004718BE">
        <w:rPr>
          <w:rFonts w:ascii="Times New Roman" w:hAnsi="Times New Roman" w:cs="Times New Roman"/>
          <w:sz w:val="24"/>
          <w:szCs w:val="24"/>
          <w:shd w:val="clear" w:color="auto" w:fill="FFFFFF"/>
        </w:rPr>
        <w:t xml:space="preserve"> is the framework in which companies focus on raising the value of their customers to grow their businesses.</w:t>
      </w:r>
      <w:r w:rsidR="00BD5E7C" w:rsidRPr="004718BE">
        <w:rPr>
          <w:rFonts w:ascii="Times New Roman" w:hAnsi="Times New Roman" w:cs="Times New Roman"/>
          <w:sz w:val="24"/>
          <w:szCs w:val="24"/>
          <w:shd w:val="clear" w:color="auto" w:fill="FFFFFF"/>
        </w:rPr>
        <w:t xml:space="preserve"> </w:t>
      </w:r>
      <w:r w:rsidR="00C60366" w:rsidRPr="004718BE">
        <w:rPr>
          <w:rFonts w:ascii="Times New Roman" w:hAnsi="Times New Roman" w:cs="Times New Roman"/>
          <w:sz w:val="24"/>
          <w:szCs w:val="24"/>
        </w:rPr>
        <w:t xml:space="preserve">The </w:t>
      </w:r>
      <w:r w:rsidR="00735667" w:rsidRPr="004718BE">
        <w:rPr>
          <w:rFonts w:ascii="Times New Roman" w:hAnsi="Times New Roman" w:cs="Times New Roman"/>
          <w:sz w:val="24"/>
          <w:szCs w:val="24"/>
        </w:rPr>
        <w:t xml:space="preserve">objective </w:t>
      </w:r>
      <w:r w:rsidR="00C60366" w:rsidRPr="004718BE">
        <w:rPr>
          <w:rFonts w:ascii="Times New Roman" w:hAnsi="Times New Roman" w:cs="Times New Roman"/>
          <w:sz w:val="24"/>
          <w:szCs w:val="24"/>
        </w:rPr>
        <w:t xml:space="preserve">of the framework is to create </w:t>
      </w:r>
      <w:r w:rsidR="00735667" w:rsidRPr="004718BE">
        <w:rPr>
          <w:rFonts w:ascii="Times New Roman" w:hAnsi="Times New Roman" w:cs="Times New Roman"/>
          <w:sz w:val="24"/>
          <w:szCs w:val="24"/>
        </w:rPr>
        <w:t>superior</w:t>
      </w:r>
      <w:r w:rsidR="00C60366" w:rsidRPr="004718BE">
        <w:rPr>
          <w:rFonts w:ascii="Times New Roman" w:hAnsi="Times New Roman" w:cs="Times New Roman"/>
          <w:sz w:val="24"/>
          <w:szCs w:val="24"/>
        </w:rPr>
        <w:t xml:space="preserve"> customer </w:t>
      </w:r>
      <w:r w:rsidR="00735667" w:rsidRPr="004718BE">
        <w:rPr>
          <w:rFonts w:ascii="Times New Roman" w:hAnsi="Times New Roman" w:cs="Times New Roman"/>
          <w:sz w:val="24"/>
          <w:szCs w:val="24"/>
        </w:rPr>
        <w:t>value</w:t>
      </w:r>
      <w:r w:rsidR="00C60366" w:rsidRPr="004718BE">
        <w:rPr>
          <w:rFonts w:ascii="Times New Roman" w:hAnsi="Times New Roman" w:cs="Times New Roman"/>
          <w:sz w:val="24"/>
          <w:szCs w:val="24"/>
        </w:rPr>
        <w:t xml:space="preserve"> and increase the </w:t>
      </w:r>
      <w:r w:rsidR="00735667" w:rsidRPr="004718BE">
        <w:rPr>
          <w:rFonts w:ascii="Times New Roman" w:hAnsi="Times New Roman" w:cs="Times New Roman"/>
          <w:sz w:val="24"/>
          <w:szCs w:val="24"/>
        </w:rPr>
        <w:t xml:space="preserve">return on investments for marketing </w:t>
      </w:r>
      <w:r w:rsidR="00C60366" w:rsidRPr="004718BE">
        <w:rPr>
          <w:rFonts w:ascii="Times New Roman" w:hAnsi="Times New Roman" w:cs="Times New Roman"/>
          <w:sz w:val="24"/>
          <w:szCs w:val="24"/>
        </w:rPr>
        <w:t xml:space="preserve">activities. </w:t>
      </w:r>
      <w:r w:rsidR="00735667" w:rsidRPr="004718BE">
        <w:rPr>
          <w:rFonts w:ascii="Times New Roman" w:hAnsi="Times New Roman" w:cs="Times New Roman"/>
          <w:sz w:val="24"/>
          <w:szCs w:val="24"/>
        </w:rPr>
        <w:t xml:space="preserve"> Given the situation at the NIS where </w:t>
      </w:r>
      <w:r w:rsidR="000A0A29" w:rsidRPr="004718BE">
        <w:rPr>
          <w:rFonts w:ascii="Times New Roman" w:hAnsi="Times New Roman" w:cs="Times New Roman"/>
          <w:sz w:val="24"/>
          <w:szCs w:val="24"/>
        </w:rPr>
        <w:t xml:space="preserve">the </w:t>
      </w:r>
      <w:r w:rsidR="007540A2" w:rsidRPr="004718BE">
        <w:rPr>
          <w:rFonts w:ascii="Times New Roman" w:hAnsi="Times New Roman" w:cs="Times New Roman"/>
          <w:sz w:val="24"/>
          <w:szCs w:val="24"/>
        </w:rPr>
        <w:t>organisation</w:t>
      </w:r>
      <w:r w:rsidR="000A0A29" w:rsidRPr="004718BE">
        <w:rPr>
          <w:rFonts w:ascii="Times New Roman" w:hAnsi="Times New Roman" w:cs="Times New Roman"/>
          <w:sz w:val="24"/>
          <w:szCs w:val="24"/>
        </w:rPr>
        <w:t xml:space="preserve"> is considering extending coverage to workers in the informal sector </w:t>
      </w:r>
      <w:r w:rsidR="007540A2" w:rsidRPr="004718BE">
        <w:rPr>
          <w:rFonts w:ascii="Times New Roman" w:hAnsi="Times New Roman" w:cs="Times New Roman"/>
          <w:sz w:val="24"/>
          <w:szCs w:val="24"/>
        </w:rPr>
        <w:t>including the self-employed, it is imperative for CVO to hold a strategic place to encourage them to join and to</w:t>
      </w:r>
      <w:r w:rsidR="00C60366" w:rsidRPr="004718BE">
        <w:rPr>
          <w:rFonts w:ascii="Times New Roman" w:hAnsi="Times New Roman" w:cs="Times New Roman"/>
          <w:sz w:val="24"/>
          <w:szCs w:val="24"/>
        </w:rPr>
        <w:t xml:space="preserve"> </w:t>
      </w:r>
      <w:r w:rsidR="007540A2" w:rsidRPr="004718BE">
        <w:rPr>
          <w:rFonts w:ascii="Times New Roman" w:hAnsi="Times New Roman" w:cs="Times New Roman"/>
          <w:sz w:val="24"/>
          <w:szCs w:val="24"/>
        </w:rPr>
        <w:t>keep them throughout their life span</w:t>
      </w:r>
      <w:r w:rsidR="00C60366" w:rsidRPr="004718BE">
        <w:rPr>
          <w:rFonts w:ascii="Times New Roman" w:hAnsi="Times New Roman" w:cs="Times New Roman"/>
          <w:sz w:val="24"/>
          <w:szCs w:val="24"/>
        </w:rPr>
        <w:t>. </w:t>
      </w:r>
      <w:r w:rsidR="00F02B80" w:rsidRPr="004718BE">
        <w:rPr>
          <w:rFonts w:ascii="Times New Roman" w:hAnsi="Times New Roman" w:cs="Times New Roman"/>
          <w:sz w:val="24"/>
          <w:szCs w:val="24"/>
        </w:rPr>
        <w:t xml:space="preserve"> </w:t>
      </w:r>
      <w:proofErr w:type="spellStart"/>
      <w:r w:rsidR="00F02B80" w:rsidRPr="004718BE">
        <w:rPr>
          <w:rFonts w:ascii="Times New Roman" w:hAnsi="Times New Roman" w:cs="Times New Roman"/>
          <w:sz w:val="24"/>
          <w:szCs w:val="24"/>
        </w:rPr>
        <w:t>Maza</w:t>
      </w:r>
      <w:proofErr w:type="spellEnd"/>
      <w:r w:rsidR="00F02B80" w:rsidRPr="004718BE">
        <w:rPr>
          <w:rFonts w:ascii="Times New Roman" w:hAnsi="Times New Roman" w:cs="Times New Roman"/>
          <w:sz w:val="24"/>
          <w:szCs w:val="24"/>
        </w:rPr>
        <w:t xml:space="preserve"> (2023) also postulated that c</w:t>
      </w:r>
      <w:r w:rsidR="00C60366" w:rsidRPr="004718BE">
        <w:rPr>
          <w:rFonts w:ascii="Times New Roman" w:hAnsi="Times New Roman" w:cs="Times New Roman"/>
          <w:sz w:val="24"/>
          <w:szCs w:val="24"/>
        </w:rPr>
        <w:t xml:space="preserve">ustomer value optimization is a strategic approach that </w:t>
      </w:r>
      <w:r w:rsidR="00C60366" w:rsidRPr="004718BE">
        <w:rPr>
          <w:rFonts w:ascii="Times New Roman" w:hAnsi="Times New Roman" w:cs="Times New Roman"/>
          <w:sz w:val="24"/>
          <w:szCs w:val="24"/>
        </w:rPr>
        <w:lastRenderedPageBreak/>
        <w:t>focuses on maximizing the long-term value of each customer by optimizing their experiences, engagement, and overall lifetime profitability</w:t>
      </w:r>
      <w:r w:rsidR="007540A2" w:rsidRPr="004718BE">
        <w:rPr>
          <w:rFonts w:ascii="Times New Roman" w:hAnsi="Times New Roman" w:cs="Times New Roman"/>
          <w:sz w:val="24"/>
          <w:szCs w:val="24"/>
        </w:rPr>
        <w:t>. Every effort will be made to implement diverse strategies to encourage retention</w:t>
      </w:r>
      <w:r w:rsidR="00F02B80" w:rsidRPr="004718BE">
        <w:rPr>
          <w:rFonts w:ascii="Times New Roman" w:hAnsi="Times New Roman" w:cs="Times New Roman"/>
          <w:sz w:val="24"/>
          <w:szCs w:val="24"/>
        </w:rPr>
        <w:t xml:space="preserve"> </w:t>
      </w:r>
      <w:r w:rsidR="000F5020" w:rsidRPr="004718BE">
        <w:rPr>
          <w:rFonts w:ascii="Times New Roman" w:hAnsi="Times New Roman" w:cs="Times New Roman"/>
          <w:sz w:val="24"/>
          <w:szCs w:val="24"/>
        </w:rPr>
        <w:t>and loyalty</w:t>
      </w:r>
      <w:r w:rsidR="007540A2" w:rsidRPr="004718BE">
        <w:rPr>
          <w:rFonts w:ascii="Times New Roman" w:hAnsi="Times New Roman" w:cs="Times New Roman"/>
          <w:sz w:val="24"/>
          <w:szCs w:val="24"/>
        </w:rPr>
        <w:t xml:space="preserve">, which </w:t>
      </w:r>
      <w:r w:rsidR="00F02B80" w:rsidRPr="004718BE">
        <w:rPr>
          <w:rFonts w:ascii="Times New Roman" w:hAnsi="Times New Roman" w:cs="Times New Roman"/>
          <w:sz w:val="24"/>
          <w:szCs w:val="24"/>
        </w:rPr>
        <w:t xml:space="preserve">the institution believes </w:t>
      </w:r>
      <w:r w:rsidR="007540A2" w:rsidRPr="004718BE">
        <w:rPr>
          <w:rFonts w:ascii="Times New Roman" w:hAnsi="Times New Roman" w:cs="Times New Roman"/>
          <w:sz w:val="24"/>
          <w:szCs w:val="24"/>
        </w:rPr>
        <w:t>will ultimately contribute to business growth and financial sustainability.</w:t>
      </w:r>
    </w:p>
    <w:p w14:paraId="2FCF8429" w14:textId="77777777" w:rsidR="006F09D5" w:rsidRPr="004718BE" w:rsidRDefault="006F09D5" w:rsidP="00252295">
      <w:pPr>
        <w:jc w:val="both"/>
        <w:rPr>
          <w:rFonts w:ascii="Times New Roman" w:hAnsi="Times New Roman" w:cs="Times New Roman"/>
          <w:sz w:val="24"/>
          <w:szCs w:val="24"/>
        </w:rPr>
      </w:pPr>
    </w:p>
    <w:p w14:paraId="7C6270C2" w14:textId="37C598FA" w:rsidR="006F09D5" w:rsidRPr="004718BE" w:rsidRDefault="006F09D5" w:rsidP="00252295">
      <w:pPr>
        <w:jc w:val="both"/>
        <w:rPr>
          <w:rFonts w:ascii="Times New Roman" w:hAnsi="Times New Roman" w:cs="Times New Roman"/>
          <w:b/>
          <w:bCs/>
          <w:sz w:val="24"/>
          <w:szCs w:val="24"/>
          <w:shd w:val="clear" w:color="auto" w:fill="FFFFFF"/>
        </w:rPr>
      </w:pPr>
      <w:r w:rsidRPr="004718BE">
        <w:rPr>
          <w:rFonts w:ascii="Times New Roman" w:hAnsi="Times New Roman" w:cs="Times New Roman"/>
          <w:b/>
          <w:bCs/>
          <w:sz w:val="24"/>
          <w:szCs w:val="24"/>
        </w:rPr>
        <w:t>4.0</w:t>
      </w:r>
      <w:r w:rsidR="000F5020" w:rsidRPr="004718BE">
        <w:rPr>
          <w:rFonts w:ascii="Times New Roman" w:hAnsi="Times New Roman" w:cs="Times New Roman"/>
          <w:b/>
          <w:bCs/>
          <w:sz w:val="24"/>
          <w:szCs w:val="24"/>
        </w:rPr>
        <w:t xml:space="preserve">. </w:t>
      </w:r>
      <w:r w:rsidRPr="004718BE">
        <w:rPr>
          <w:rFonts w:ascii="Times New Roman" w:hAnsi="Times New Roman" w:cs="Times New Roman"/>
          <w:b/>
          <w:bCs/>
          <w:sz w:val="24"/>
          <w:szCs w:val="24"/>
        </w:rPr>
        <w:t>Conclusion</w:t>
      </w:r>
    </w:p>
    <w:p w14:paraId="01B379C2" w14:textId="459C223C" w:rsidR="00773316" w:rsidRPr="004718BE" w:rsidRDefault="004718BE" w:rsidP="004718BE">
      <w:pPr>
        <w:pStyle w:val="p2"/>
        <w:tabs>
          <w:tab w:val="left" w:pos="3780"/>
        </w:tabs>
        <w:spacing w:before="0" w:beforeAutospacing="0" w:after="0" w:afterAutospacing="0"/>
        <w:jc w:val="both"/>
        <w:rPr>
          <w:rFonts w:ascii="Times New Roman" w:hAnsi="Times New Roman" w:cs="Times New Roman"/>
          <w:sz w:val="24"/>
          <w:szCs w:val="24"/>
        </w:rPr>
      </w:pPr>
      <w:r>
        <w:rPr>
          <w:rFonts w:ascii="Times New Roman" w:hAnsi="Times New Roman" w:cs="Times New Roman"/>
          <w:sz w:val="24"/>
          <w:szCs w:val="24"/>
        </w:rPr>
        <w:tab/>
      </w:r>
    </w:p>
    <w:p w14:paraId="5D52C4EB" w14:textId="72806596" w:rsidR="00773316" w:rsidRPr="004718BE" w:rsidRDefault="00DA6EA0" w:rsidP="00252295">
      <w:pPr>
        <w:pStyle w:val="p2"/>
        <w:spacing w:before="0" w:beforeAutospacing="0" w:after="0" w:afterAutospacing="0"/>
        <w:jc w:val="both"/>
        <w:rPr>
          <w:rFonts w:ascii="Times New Roman" w:hAnsi="Times New Roman" w:cs="Times New Roman"/>
          <w:sz w:val="24"/>
          <w:szCs w:val="24"/>
        </w:rPr>
      </w:pPr>
      <w:r w:rsidRPr="004718BE">
        <w:rPr>
          <w:rFonts w:ascii="Times New Roman" w:hAnsi="Times New Roman" w:cs="Times New Roman"/>
          <w:sz w:val="24"/>
          <w:szCs w:val="24"/>
        </w:rPr>
        <w:t>Management of the NIS would</w:t>
      </w:r>
      <w:r w:rsidR="00773316" w:rsidRPr="004718BE">
        <w:rPr>
          <w:rFonts w:ascii="Times New Roman" w:hAnsi="Times New Roman" w:cs="Times New Roman"/>
          <w:sz w:val="24"/>
          <w:szCs w:val="24"/>
        </w:rPr>
        <w:t xml:space="preserve"> </w:t>
      </w:r>
      <w:r w:rsidRPr="004718BE">
        <w:rPr>
          <w:rFonts w:ascii="Times New Roman" w:hAnsi="Times New Roman" w:cs="Times New Roman"/>
          <w:sz w:val="24"/>
          <w:szCs w:val="24"/>
        </w:rPr>
        <w:t>be flexible</w:t>
      </w:r>
      <w:r w:rsidR="00773316" w:rsidRPr="004718BE">
        <w:rPr>
          <w:rFonts w:ascii="Times New Roman" w:hAnsi="Times New Roman" w:cs="Times New Roman"/>
          <w:sz w:val="24"/>
          <w:szCs w:val="24"/>
        </w:rPr>
        <w:t xml:space="preserve"> to efficaciously address the emerging risks and challenges, whilst being hyper focus</w:t>
      </w:r>
      <w:r w:rsidRPr="004718BE">
        <w:rPr>
          <w:rFonts w:ascii="Times New Roman" w:hAnsi="Times New Roman" w:cs="Times New Roman"/>
          <w:sz w:val="24"/>
          <w:szCs w:val="24"/>
        </w:rPr>
        <w:t>ed</w:t>
      </w:r>
      <w:r w:rsidR="00773316" w:rsidRPr="004718BE">
        <w:rPr>
          <w:rFonts w:ascii="Times New Roman" w:hAnsi="Times New Roman" w:cs="Times New Roman"/>
          <w:sz w:val="24"/>
          <w:szCs w:val="24"/>
        </w:rPr>
        <w:t xml:space="preserve"> on strengthening financial sustainability, providing customer service excellence, and building public confidence.</w:t>
      </w:r>
    </w:p>
    <w:p w14:paraId="4B59431D" w14:textId="77777777" w:rsidR="00773316" w:rsidRPr="004718BE" w:rsidRDefault="00773316" w:rsidP="00252295">
      <w:pPr>
        <w:pStyle w:val="p2"/>
        <w:spacing w:before="0" w:beforeAutospacing="0" w:after="0" w:afterAutospacing="0"/>
        <w:jc w:val="both"/>
        <w:rPr>
          <w:rFonts w:ascii="Times New Roman" w:hAnsi="Times New Roman" w:cs="Times New Roman"/>
          <w:sz w:val="24"/>
          <w:szCs w:val="24"/>
        </w:rPr>
      </w:pPr>
    </w:p>
    <w:p w14:paraId="3A7094EA" w14:textId="0CFCB87D" w:rsidR="00773316" w:rsidRPr="004718BE" w:rsidRDefault="00773316" w:rsidP="00252295">
      <w:pPr>
        <w:pStyle w:val="p2"/>
        <w:spacing w:before="0" w:beforeAutospacing="0" w:after="0" w:afterAutospacing="0"/>
        <w:jc w:val="both"/>
        <w:rPr>
          <w:rFonts w:ascii="Times New Roman" w:hAnsi="Times New Roman" w:cs="Times New Roman"/>
          <w:sz w:val="24"/>
          <w:szCs w:val="24"/>
        </w:rPr>
      </w:pPr>
      <w:r w:rsidRPr="004718BE">
        <w:rPr>
          <w:rFonts w:ascii="Times New Roman" w:hAnsi="Times New Roman" w:cs="Times New Roman"/>
          <w:sz w:val="24"/>
          <w:szCs w:val="24"/>
        </w:rPr>
        <w:t xml:space="preserve">The road ahead is </w:t>
      </w:r>
      <w:r w:rsidR="00DA6EA0" w:rsidRPr="004718BE">
        <w:rPr>
          <w:rFonts w:ascii="Times New Roman" w:hAnsi="Times New Roman" w:cs="Times New Roman"/>
          <w:sz w:val="24"/>
          <w:szCs w:val="24"/>
        </w:rPr>
        <w:t>v</w:t>
      </w:r>
      <w:r w:rsidRPr="004718BE">
        <w:rPr>
          <w:rFonts w:ascii="Times New Roman" w:hAnsi="Times New Roman" w:cs="Times New Roman"/>
          <w:sz w:val="24"/>
          <w:szCs w:val="24"/>
        </w:rPr>
        <w:t xml:space="preserve">olatile, </w:t>
      </w:r>
      <w:r w:rsidR="00DA6EA0" w:rsidRPr="004718BE">
        <w:rPr>
          <w:rFonts w:ascii="Times New Roman" w:hAnsi="Times New Roman" w:cs="Times New Roman"/>
          <w:sz w:val="24"/>
          <w:szCs w:val="24"/>
        </w:rPr>
        <w:t>u</w:t>
      </w:r>
      <w:r w:rsidRPr="004718BE">
        <w:rPr>
          <w:rFonts w:ascii="Times New Roman" w:hAnsi="Times New Roman" w:cs="Times New Roman"/>
          <w:sz w:val="24"/>
          <w:szCs w:val="24"/>
        </w:rPr>
        <w:t xml:space="preserve">ncertain, </w:t>
      </w:r>
      <w:r w:rsidR="00DA6EA0" w:rsidRPr="004718BE">
        <w:rPr>
          <w:rFonts w:ascii="Times New Roman" w:hAnsi="Times New Roman" w:cs="Times New Roman"/>
          <w:sz w:val="24"/>
          <w:szCs w:val="24"/>
        </w:rPr>
        <w:t>c</w:t>
      </w:r>
      <w:r w:rsidRPr="004718BE">
        <w:rPr>
          <w:rFonts w:ascii="Times New Roman" w:hAnsi="Times New Roman" w:cs="Times New Roman"/>
          <w:sz w:val="24"/>
          <w:szCs w:val="24"/>
        </w:rPr>
        <w:t xml:space="preserve">omplex, and </w:t>
      </w:r>
      <w:r w:rsidR="00DA6EA0" w:rsidRPr="004718BE">
        <w:rPr>
          <w:rFonts w:ascii="Times New Roman" w:hAnsi="Times New Roman" w:cs="Times New Roman"/>
          <w:sz w:val="24"/>
          <w:szCs w:val="24"/>
        </w:rPr>
        <w:t>a</w:t>
      </w:r>
      <w:r w:rsidRPr="004718BE">
        <w:rPr>
          <w:rFonts w:ascii="Times New Roman" w:hAnsi="Times New Roman" w:cs="Times New Roman"/>
          <w:sz w:val="24"/>
          <w:szCs w:val="24"/>
        </w:rPr>
        <w:t xml:space="preserve">mbiguous. However, Management has the </w:t>
      </w:r>
      <w:r w:rsidR="00DA6EA0" w:rsidRPr="004718BE">
        <w:rPr>
          <w:rFonts w:ascii="Times New Roman" w:hAnsi="Times New Roman" w:cs="Times New Roman"/>
          <w:sz w:val="24"/>
          <w:szCs w:val="24"/>
        </w:rPr>
        <w:t>v</w:t>
      </w:r>
      <w:r w:rsidRPr="004718BE">
        <w:rPr>
          <w:rFonts w:ascii="Times New Roman" w:hAnsi="Times New Roman" w:cs="Times New Roman"/>
          <w:sz w:val="24"/>
          <w:szCs w:val="24"/>
        </w:rPr>
        <w:t xml:space="preserve">ision, </w:t>
      </w:r>
      <w:r w:rsidR="00DA6EA0" w:rsidRPr="004718BE">
        <w:rPr>
          <w:rFonts w:ascii="Times New Roman" w:hAnsi="Times New Roman" w:cs="Times New Roman"/>
          <w:sz w:val="24"/>
          <w:szCs w:val="24"/>
        </w:rPr>
        <w:t>u</w:t>
      </w:r>
      <w:r w:rsidRPr="004718BE">
        <w:rPr>
          <w:rFonts w:ascii="Times New Roman" w:hAnsi="Times New Roman" w:cs="Times New Roman"/>
          <w:sz w:val="24"/>
          <w:szCs w:val="24"/>
        </w:rPr>
        <w:t xml:space="preserve">nderstanding, </w:t>
      </w:r>
      <w:r w:rsidR="00DA6EA0" w:rsidRPr="004718BE">
        <w:rPr>
          <w:rFonts w:ascii="Times New Roman" w:hAnsi="Times New Roman" w:cs="Times New Roman"/>
          <w:sz w:val="24"/>
          <w:szCs w:val="24"/>
        </w:rPr>
        <w:t>c</w:t>
      </w:r>
      <w:r w:rsidRPr="004718BE">
        <w:rPr>
          <w:rFonts w:ascii="Times New Roman" w:hAnsi="Times New Roman" w:cs="Times New Roman"/>
          <w:sz w:val="24"/>
          <w:szCs w:val="24"/>
        </w:rPr>
        <w:t xml:space="preserve">larity and </w:t>
      </w:r>
      <w:r w:rsidR="00DA6EA0" w:rsidRPr="004718BE">
        <w:rPr>
          <w:rFonts w:ascii="Times New Roman" w:hAnsi="Times New Roman" w:cs="Times New Roman"/>
          <w:sz w:val="24"/>
          <w:szCs w:val="24"/>
        </w:rPr>
        <w:t>a</w:t>
      </w:r>
      <w:r w:rsidRPr="004718BE">
        <w:rPr>
          <w:rFonts w:ascii="Times New Roman" w:hAnsi="Times New Roman" w:cs="Times New Roman"/>
          <w:sz w:val="24"/>
          <w:szCs w:val="24"/>
        </w:rPr>
        <w:t>gility to thrive in the administration of sustainable social security services.</w:t>
      </w:r>
      <w:r w:rsidR="00DA6EA0" w:rsidRPr="004718BE">
        <w:rPr>
          <w:rFonts w:ascii="Times New Roman" w:hAnsi="Times New Roman" w:cs="Times New Roman"/>
          <w:sz w:val="24"/>
          <w:szCs w:val="24"/>
        </w:rPr>
        <w:t xml:space="preserve"> Every effort will be made to improve the internal and external environments as </w:t>
      </w:r>
      <w:r w:rsidR="00C93579" w:rsidRPr="004718BE">
        <w:rPr>
          <w:rFonts w:ascii="Times New Roman" w:hAnsi="Times New Roman" w:cs="Times New Roman"/>
          <w:sz w:val="24"/>
          <w:szCs w:val="24"/>
        </w:rPr>
        <w:t>discussed</w:t>
      </w:r>
      <w:r w:rsidR="00DA6EA0" w:rsidRPr="004718BE">
        <w:rPr>
          <w:rFonts w:ascii="Times New Roman" w:hAnsi="Times New Roman" w:cs="Times New Roman"/>
          <w:sz w:val="24"/>
          <w:szCs w:val="24"/>
        </w:rPr>
        <w:t xml:space="preserve"> throughout the paper.</w:t>
      </w:r>
    </w:p>
    <w:p w14:paraId="6C88DDDB" w14:textId="77777777" w:rsidR="00C60366" w:rsidRPr="004718BE" w:rsidRDefault="00C60366" w:rsidP="00C60366">
      <w:pPr>
        <w:pStyle w:val="p2"/>
        <w:spacing w:before="0" w:beforeAutospacing="0" w:after="0" w:afterAutospacing="0"/>
        <w:jc w:val="both"/>
        <w:rPr>
          <w:rStyle w:val="s2"/>
          <w:rFonts w:ascii="Times New Roman" w:hAnsi="Times New Roman" w:cs="Times New Roman"/>
          <w:sz w:val="24"/>
          <w:szCs w:val="24"/>
        </w:rPr>
      </w:pPr>
    </w:p>
    <w:p w14:paraId="59B40BC6" w14:textId="77777777" w:rsidR="00C60366" w:rsidRPr="00136F5D" w:rsidRDefault="00C60366" w:rsidP="00C60366">
      <w:pPr>
        <w:pStyle w:val="p3"/>
        <w:spacing w:before="0" w:beforeAutospacing="0" w:after="0" w:afterAutospacing="0"/>
        <w:jc w:val="both"/>
        <w:rPr>
          <w:rFonts w:ascii="Times New Roman" w:hAnsi="Times New Roman" w:cs="Times New Roman"/>
          <w:sz w:val="24"/>
          <w:szCs w:val="24"/>
        </w:rPr>
      </w:pPr>
    </w:p>
    <w:p w14:paraId="5B7CACB7" w14:textId="77777777" w:rsidR="00C60366" w:rsidRPr="00136F5D" w:rsidRDefault="00C60366" w:rsidP="00C60366">
      <w:pPr>
        <w:pStyle w:val="p2"/>
        <w:spacing w:before="0" w:beforeAutospacing="0" w:after="0" w:afterAutospacing="0"/>
        <w:jc w:val="both"/>
        <w:rPr>
          <w:rStyle w:val="s2"/>
          <w:rFonts w:ascii="Times New Roman" w:hAnsi="Times New Roman" w:cs="Times New Roman"/>
          <w:sz w:val="24"/>
          <w:szCs w:val="24"/>
        </w:rPr>
      </w:pPr>
    </w:p>
    <w:p w14:paraId="3C05190D" w14:textId="77777777" w:rsidR="00C60366" w:rsidRPr="00136F5D" w:rsidRDefault="00C60366" w:rsidP="00C60366">
      <w:pPr>
        <w:pStyle w:val="p3"/>
        <w:spacing w:before="0" w:beforeAutospacing="0" w:after="0" w:afterAutospacing="0"/>
        <w:jc w:val="both"/>
        <w:rPr>
          <w:rFonts w:ascii="Times New Roman" w:hAnsi="Times New Roman" w:cs="Times New Roman"/>
          <w:sz w:val="24"/>
          <w:szCs w:val="24"/>
        </w:rPr>
      </w:pPr>
    </w:p>
    <w:p w14:paraId="414167AC" w14:textId="30E83143" w:rsidR="00C60366" w:rsidRPr="007C0ACB" w:rsidRDefault="00C60366" w:rsidP="008116D7">
      <w:pPr>
        <w:rPr>
          <w:rFonts w:ascii="Times New Roman" w:hAnsi="Times New Roman" w:cs="Times New Roman"/>
          <w:b/>
          <w:bCs/>
          <w:sz w:val="24"/>
          <w:szCs w:val="24"/>
        </w:rPr>
      </w:pPr>
      <w:r w:rsidRPr="007C0ACB">
        <w:rPr>
          <w:rFonts w:ascii="Times New Roman" w:hAnsi="Times New Roman" w:cs="Times New Roman"/>
          <w:b/>
          <w:bCs/>
          <w:sz w:val="24"/>
          <w:szCs w:val="24"/>
        </w:rPr>
        <w:t>References</w:t>
      </w:r>
    </w:p>
    <w:p w14:paraId="7EA8B3E3" w14:textId="1935710C" w:rsidR="00C60366" w:rsidRPr="00136F5D" w:rsidRDefault="008155E8" w:rsidP="00C60366">
      <w:pPr>
        <w:spacing w:before="100" w:beforeAutospacing="1"/>
        <w:rPr>
          <w:rFonts w:ascii="Times New Roman" w:eastAsia="Times New Roman" w:hAnsi="Times New Roman" w:cs="Times New Roman"/>
          <w:sz w:val="24"/>
          <w:szCs w:val="24"/>
        </w:rPr>
      </w:pPr>
      <w:r w:rsidRPr="00136F5D">
        <w:rPr>
          <w:rFonts w:ascii="Times New Roman" w:eastAsia="Times New Roman" w:hAnsi="Times New Roman" w:cs="Times New Roman"/>
          <w:sz w:val="24"/>
          <w:szCs w:val="24"/>
        </w:rPr>
        <w:t xml:space="preserve">Clayton, S. J. (2016.) Change Management meets </w:t>
      </w:r>
      <w:r w:rsidR="007C0ACB" w:rsidRPr="00136F5D">
        <w:rPr>
          <w:rFonts w:ascii="Times New Roman" w:eastAsia="Times New Roman" w:hAnsi="Times New Roman" w:cs="Times New Roman"/>
          <w:sz w:val="24"/>
          <w:szCs w:val="24"/>
        </w:rPr>
        <w:t>social</w:t>
      </w:r>
      <w:r w:rsidRPr="00136F5D">
        <w:rPr>
          <w:rFonts w:ascii="Times New Roman" w:eastAsia="Times New Roman" w:hAnsi="Times New Roman" w:cs="Times New Roman"/>
          <w:sz w:val="24"/>
          <w:szCs w:val="24"/>
        </w:rPr>
        <w:t xml:space="preserve"> </w:t>
      </w:r>
      <w:r w:rsidR="00136F5D" w:rsidRPr="00136F5D">
        <w:rPr>
          <w:rFonts w:ascii="Times New Roman" w:eastAsia="Times New Roman" w:hAnsi="Times New Roman" w:cs="Times New Roman"/>
          <w:sz w:val="24"/>
          <w:szCs w:val="24"/>
        </w:rPr>
        <w:t>media.</w:t>
      </w:r>
      <w:r w:rsidRPr="00136F5D">
        <w:rPr>
          <w:rFonts w:ascii="Times New Roman" w:eastAsia="Times New Roman" w:hAnsi="Times New Roman" w:cs="Times New Roman"/>
          <w:sz w:val="24"/>
          <w:szCs w:val="24"/>
        </w:rPr>
        <w:t xml:space="preserve"> Harvard Business Review</w:t>
      </w:r>
      <w:r w:rsidR="00C60366" w:rsidRPr="00136F5D">
        <w:rPr>
          <w:rFonts w:ascii="Times New Roman" w:eastAsia="Times New Roman" w:hAnsi="Times New Roman" w:cs="Times New Roman"/>
          <w:sz w:val="24"/>
          <w:szCs w:val="24"/>
        </w:rPr>
        <w:t>.</w:t>
      </w:r>
    </w:p>
    <w:p w14:paraId="3B0C137C" w14:textId="2457E827" w:rsidR="00C60366" w:rsidRPr="00136F5D" w:rsidRDefault="00C60366" w:rsidP="00C60366">
      <w:pPr>
        <w:spacing w:before="100" w:beforeAutospacing="1"/>
        <w:rPr>
          <w:rFonts w:ascii="Times New Roman" w:eastAsia="Times New Roman" w:hAnsi="Times New Roman" w:cs="Times New Roman"/>
          <w:sz w:val="24"/>
          <w:szCs w:val="24"/>
        </w:rPr>
      </w:pPr>
      <w:proofErr w:type="spellStart"/>
      <w:r w:rsidRPr="00136F5D">
        <w:rPr>
          <w:rFonts w:ascii="Times New Roman" w:eastAsia="Times New Roman" w:hAnsi="Times New Roman" w:cs="Times New Roman"/>
          <w:sz w:val="24"/>
          <w:szCs w:val="24"/>
        </w:rPr>
        <w:t>Denktas</w:t>
      </w:r>
      <w:proofErr w:type="spellEnd"/>
      <w:r w:rsidRPr="00136F5D">
        <w:rPr>
          <w:rFonts w:ascii="Times New Roman" w:eastAsia="Times New Roman" w:hAnsi="Times New Roman" w:cs="Times New Roman"/>
          <w:sz w:val="24"/>
          <w:szCs w:val="24"/>
        </w:rPr>
        <w:t>-Sakar, G. and </w:t>
      </w:r>
      <w:proofErr w:type="spellStart"/>
      <w:r w:rsidRPr="00136F5D">
        <w:rPr>
          <w:rFonts w:ascii="Times New Roman" w:eastAsia="Times New Roman" w:hAnsi="Times New Roman" w:cs="Times New Roman"/>
          <w:sz w:val="24"/>
          <w:szCs w:val="24"/>
        </w:rPr>
        <w:t>Karatas</w:t>
      </w:r>
      <w:proofErr w:type="spellEnd"/>
      <w:r w:rsidRPr="00136F5D">
        <w:rPr>
          <w:rFonts w:ascii="Times New Roman" w:eastAsia="Times New Roman" w:hAnsi="Times New Roman" w:cs="Times New Roman"/>
          <w:sz w:val="24"/>
          <w:szCs w:val="24"/>
        </w:rPr>
        <w:t>-Cetin, C. (2012), “</w:t>
      </w:r>
      <w:r w:rsidRPr="00136F5D">
        <w:rPr>
          <w:rFonts w:ascii="Times New Roman" w:eastAsia="Times New Roman" w:hAnsi="Times New Roman" w:cs="Times New Roman"/>
          <w:i/>
          <w:iCs/>
          <w:sz w:val="24"/>
          <w:szCs w:val="24"/>
        </w:rPr>
        <w:t>Port sustainability and stakeholder management in supply chains: a framework on resource dependence theory</w:t>
      </w:r>
      <w:r w:rsidRPr="00136F5D">
        <w:rPr>
          <w:rFonts w:ascii="Times New Roman" w:eastAsia="Times New Roman" w:hAnsi="Times New Roman" w:cs="Times New Roman"/>
          <w:sz w:val="24"/>
          <w:szCs w:val="24"/>
        </w:rPr>
        <w:t>”, The Asian Journal of Shipping and Logistics, Vol. 28 No. 3, pp. 301-320.</w:t>
      </w:r>
    </w:p>
    <w:p w14:paraId="465FE0B5" w14:textId="0BD41747" w:rsidR="00C60366" w:rsidRPr="00136F5D" w:rsidRDefault="00C60366" w:rsidP="00C60366">
      <w:pPr>
        <w:spacing w:before="100" w:beforeAutospacing="1"/>
        <w:rPr>
          <w:rFonts w:ascii="Times New Roman" w:eastAsia="Times New Roman" w:hAnsi="Times New Roman" w:cs="Times New Roman"/>
          <w:sz w:val="24"/>
          <w:szCs w:val="24"/>
        </w:rPr>
      </w:pPr>
      <w:proofErr w:type="spellStart"/>
      <w:r w:rsidRPr="00136F5D">
        <w:rPr>
          <w:rFonts w:ascii="Times New Roman" w:eastAsia="Times New Roman" w:hAnsi="Times New Roman" w:cs="Times New Roman"/>
          <w:sz w:val="24"/>
          <w:szCs w:val="24"/>
        </w:rPr>
        <w:t>Doppelt</w:t>
      </w:r>
      <w:proofErr w:type="spellEnd"/>
      <w:r w:rsidRPr="00136F5D">
        <w:rPr>
          <w:rFonts w:ascii="Times New Roman" w:eastAsia="Times New Roman" w:hAnsi="Times New Roman" w:cs="Times New Roman"/>
          <w:sz w:val="24"/>
          <w:szCs w:val="24"/>
        </w:rPr>
        <w:t>, B. (2003), “</w:t>
      </w:r>
      <w:r w:rsidRPr="00136F5D">
        <w:rPr>
          <w:rFonts w:ascii="Times New Roman" w:eastAsia="Times New Roman" w:hAnsi="Times New Roman" w:cs="Times New Roman"/>
          <w:i/>
          <w:iCs/>
          <w:sz w:val="24"/>
          <w:szCs w:val="24"/>
        </w:rPr>
        <w:t>Leading change toward sustainability</w:t>
      </w:r>
      <w:r w:rsidRPr="00136F5D">
        <w:rPr>
          <w:rFonts w:ascii="Times New Roman" w:eastAsia="Times New Roman" w:hAnsi="Times New Roman" w:cs="Times New Roman"/>
          <w:sz w:val="24"/>
          <w:szCs w:val="24"/>
        </w:rPr>
        <w:t>”, A Change-Management Guide for Business, Government and Civil Society, Greenleaf Publishing, Sheffield.</w:t>
      </w:r>
    </w:p>
    <w:p w14:paraId="673C5A6A" w14:textId="77777777" w:rsidR="00C60366" w:rsidRPr="00136F5D" w:rsidRDefault="00C60366" w:rsidP="00C60366">
      <w:pPr>
        <w:spacing w:before="100" w:beforeAutospacing="1"/>
        <w:rPr>
          <w:rFonts w:ascii="Times New Roman" w:eastAsia="Times New Roman" w:hAnsi="Times New Roman" w:cs="Times New Roman"/>
          <w:sz w:val="24"/>
          <w:szCs w:val="24"/>
        </w:rPr>
      </w:pPr>
      <w:r w:rsidRPr="00136F5D">
        <w:rPr>
          <w:rFonts w:ascii="Times New Roman" w:eastAsia="Times New Roman" w:hAnsi="Times New Roman" w:cs="Times New Roman"/>
          <w:sz w:val="24"/>
          <w:szCs w:val="24"/>
        </w:rPr>
        <w:t>Freeman, R.E. (1984), </w:t>
      </w:r>
      <w:r w:rsidRPr="007C0ACB">
        <w:rPr>
          <w:rFonts w:ascii="Times New Roman" w:eastAsia="Times New Roman" w:hAnsi="Times New Roman" w:cs="Times New Roman"/>
          <w:i/>
          <w:iCs/>
          <w:sz w:val="24"/>
          <w:szCs w:val="24"/>
        </w:rPr>
        <w:t>Strategic Management: stakeholder Approach</w:t>
      </w:r>
      <w:r w:rsidRPr="00136F5D">
        <w:rPr>
          <w:rFonts w:ascii="Times New Roman" w:eastAsia="Times New Roman" w:hAnsi="Times New Roman" w:cs="Times New Roman"/>
          <w:sz w:val="24"/>
          <w:szCs w:val="24"/>
        </w:rPr>
        <w:t>, Pitman, Boston, MA.</w:t>
      </w:r>
    </w:p>
    <w:p w14:paraId="388EDCED" w14:textId="77777777" w:rsidR="00C60366" w:rsidRDefault="00C60366" w:rsidP="00C60366">
      <w:pPr>
        <w:spacing w:before="100" w:beforeAutospacing="1"/>
        <w:rPr>
          <w:rFonts w:ascii="Times New Roman" w:eastAsia="Times New Roman" w:hAnsi="Times New Roman" w:cs="Times New Roman"/>
          <w:sz w:val="24"/>
          <w:szCs w:val="24"/>
        </w:rPr>
      </w:pPr>
      <w:r w:rsidRPr="00136F5D">
        <w:rPr>
          <w:rFonts w:ascii="Times New Roman" w:eastAsia="Times New Roman" w:hAnsi="Times New Roman" w:cs="Times New Roman"/>
          <w:sz w:val="24"/>
          <w:szCs w:val="24"/>
        </w:rPr>
        <w:t xml:space="preserve">Henriques, A. and Richardson, J. (2005), The Triple Bottom Line. Does It All Add </w:t>
      </w:r>
      <w:proofErr w:type="gramStart"/>
      <w:r w:rsidRPr="00136F5D">
        <w:rPr>
          <w:rFonts w:ascii="Times New Roman" w:eastAsia="Times New Roman" w:hAnsi="Times New Roman" w:cs="Times New Roman"/>
          <w:sz w:val="24"/>
          <w:szCs w:val="24"/>
        </w:rPr>
        <w:t>up?,</w:t>
      </w:r>
      <w:proofErr w:type="gramEnd"/>
      <w:r w:rsidRPr="00136F5D">
        <w:rPr>
          <w:rFonts w:ascii="Times New Roman" w:eastAsia="Times New Roman" w:hAnsi="Times New Roman" w:cs="Times New Roman"/>
          <w:sz w:val="24"/>
          <w:szCs w:val="24"/>
        </w:rPr>
        <w:t> </w:t>
      </w:r>
      <w:r w:rsidRPr="007C0ACB">
        <w:rPr>
          <w:rFonts w:ascii="Times New Roman" w:eastAsia="Times New Roman" w:hAnsi="Times New Roman" w:cs="Times New Roman"/>
          <w:i/>
          <w:iCs/>
          <w:sz w:val="24"/>
          <w:szCs w:val="24"/>
        </w:rPr>
        <w:t>Earthscan</w:t>
      </w:r>
      <w:r w:rsidRPr="00136F5D">
        <w:rPr>
          <w:rFonts w:ascii="Times New Roman" w:eastAsia="Times New Roman" w:hAnsi="Times New Roman" w:cs="Times New Roman"/>
          <w:sz w:val="24"/>
          <w:szCs w:val="24"/>
        </w:rPr>
        <w:t>, London.</w:t>
      </w:r>
    </w:p>
    <w:p w14:paraId="271363EE" w14:textId="47805CE8" w:rsidR="004012AE" w:rsidRPr="00136F5D" w:rsidRDefault="004012AE" w:rsidP="00C60366">
      <w:pPr>
        <w:spacing w:before="100" w:before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Kotter, J. P. (2012). </w:t>
      </w:r>
      <w:r w:rsidRPr="007C0ACB">
        <w:rPr>
          <w:rFonts w:ascii="Times New Roman" w:eastAsia="Times New Roman" w:hAnsi="Times New Roman" w:cs="Times New Roman"/>
          <w:i/>
          <w:iCs/>
          <w:sz w:val="24"/>
          <w:szCs w:val="24"/>
        </w:rPr>
        <w:t xml:space="preserve">Leading </w:t>
      </w:r>
      <w:r w:rsidR="007C0ACB">
        <w:rPr>
          <w:rFonts w:ascii="Times New Roman" w:eastAsia="Times New Roman" w:hAnsi="Times New Roman" w:cs="Times New Roman"/>
          <w:i/>
          <w:iCs/>
          <w:sz w:val="24"/>
          <w:szCs w:val="24"/>
        </w:rPr>
        <w:t>c</w:t>
      </w:r>
      <w:r w:rsidRPr="007C0ACB">
        <w:rPr>
          <w:rFonts w:ascii="Times New Roman" w:eastAsia="Times New Roman" w:hAnsi="Times New Roman" w:cs="Times New Roman"/>
          <w:i/>
          <w:iCs/>
          <w:sz w:val="24"/>
          <w:szCs w:val="24"/>
        </w:rPr>
        <w:t>hange</w:t>
      </w:r>
      <w:r>
        <w:rPr>
          <w:rFonts w:ascii="Times New Roman" w:eastAsia="Times New Roman" w:hAnsi="Times New Roman" w:cs="Times New Roman"/>
          <w:sz w:val="24"/>
          <w:szCs w:val="24"/>
        </w:rPr>
        <w:t xml:space="preserve">. Harvard Business Press </w:t>
      </w:r>
    </w:p>
    <w:p w14:paraId="2B357677" w14:textId="77777777" w:rsidR="00C60366" w:rsidRPr="00136F5D" w:rsidRDefault="00C60366" w:rsidP="00C60366">
      <w:pPr>
        <w:spacing w:before="100" w:beforeAutospacing="1"/>
        <w:rPr>
          <w:rFonts w:ascii="Times New Roman" w:eastAsia="Times New Roman" w:hAnsi="Times New Roman" w:cs="Times New Roman"/>
          <w:sz w:val="24"/>
          <w:szCs w:val="24"/>
        </w:rPr>
      </w:pPr>
      <w:r w:rsidRPr="00136F5D">
        <w:rPr>
          <w:rFonts w:ascii="Times New Roman" w:eastAsia="Times New Roman" w:hAnsi="Times New Roman" w:cs="Times New Roman"/>
          <w:sz w:val="24"/>
          <w:szCs w:val="24"/>
        </w:rPr>
        <w:t>Lozano, R. (2012), “</w:t>
      </w:r>
      <w:r w:rsidRPr="00136F5D">
        <w:rPr>
          <w:rFonts w:ascii="Times New Roman" w:eastAsia="Times New Roman" w:hAnsi="Times New Roman" w:cs="Times New Roman"/>
          <w:i/>
          <w:iCs/>
          <w:sz w:val="24"/>
          <w:szCs w:val="24"/>
        </w:rPr>
        <w:t>Are companies planning their organisational changes for corporate sustainability? An analysis of three case studies’ resistance to change and their strategies to overcome it</w:t>
      </w:r>
      <w:r w:rsidRPr="00136F5D">
        <w:rPr>
          <w:rFonts w:ascii="Times New Roman" w:eastAsia="Times New Roman" w:hAnsi="Times New Roman" w:cs="Times New Roman"/>
          <w:sz w:val="24"/>
          <w:szCs w:val="24"/>
        </w:rPr>
        <w:t xml:space="preserve">”, Corporate Social Responsibility and Environmental Management, Vol. 20 No. 5, </w:t>
      </w:r>
      <w:proofErr w:type="spellStart"/>
      <w:r w:rsidRPr="00136F5D">
        <w:rPr>
          <w:rFonts w:ascii="Times New Roman" w:eastAsia="Times New Roman" w:hAnsi="Times New Roman" w:cs="Times New Roman"/>
          <w:sz w:val="24"/>
          <w:szCs w:val="24"/>
        </w:rPr>
        <w:t>doi</w:t>
      </w:r>
      <w:proofErr w:type="spellEnd"/>
      <w:r w:rsidRPr="00136F5D">
        <w:rPr>
          <w:rFonts w:ascii="Times New Roman" w:eastAsia="Times New Roman" w:hAnsi="Times New Roman" w:cs="Times New Roman"/>
          <w:sz w:val="24"/>
          <w:szCs w:val="24"/>
        </w:rPr>
        <w:t>: 10.1002/csr.1290</w:t>
      </w:r>
    </w:p>
    <w:p w14:paraId="21F759CE" w14:textId="5CF5DAD6" w:rsidR="00A95E25" w:rsidRDefault="00A95E25" w:rsidP="00C60366">
      <w:pPr>
        <w:spacing w:before="100" w:beforeAutospacing="1"/>
        <w:rPr>
          <w:rFonts w:ascii="Times New Roman" w:eastAsia="Times New Roman" w:hAnsi="Times New Roman" w:cs="Times New Roman"/>
          <w:i/>
          <w:iCs/>
          <w:sz w:val="24"/>
          <w:szCs w:val="24"/>
        </w:rPr>
      </w:pPr>
      <w:proofErr w:type="spellStart"/>
      <w:r>
        <w:rPr>
          <w:rFonts w:ascii="Times New Roman" w:eastAsia="Times New Roman" w:hAnsi="Times New Roman" w:cs="Times New Roman"/>
          <w:sz w:val="24"/>
          <w:szCs w:val="24"/>
        </w:rPr>
        <w:t>Maza</w:t>
      </w:r>
      <w:proofErr w:type="spellEnd"/>
      <w:r>
        <w:rPr>
          <w:rFonts w:ascii="Times New Roman" w:eastAsia="Times New Roman" w:hAnsi="Times New Roman" w:cs="Times New Roman"/>
          <w:sz w:val="24"/>
          <w:szCs w:val="24"/>
        </w:rPr>
        <w:t xml:space="preserve">, C. (2023). </w:t>
      </w:r>
      <w:r w:rsidRPr="00A95E25">
        <w:rPr>
          <w:rFonts w:ascii="Times New Roman" w:eastAsia="Times New Roman" w:hAnsi="Times New Roman" w:cs="Times New Roman"/>
          <w:i/>
          <w:iCs/>
          <w:sz w:val="24"/>
          <w:szCs w:val="24"/>
        </w:rPr>
        <w:t>Customer value optimization, what is customer value? Definition, formula &amp; importance,</w:t>
      </w:r>
    </w:p>
    <w:p w14:paraId="335E21D6" w14:textId="5EFAEC25" w:rsidR="004012AE" w:rsidRDefault="00A95E25" w:rsidP="004012AE">
      <w:pPr>
        <w:spacing w:before="100" w:beforeAutospacing="1"/>
        <w:rPr>
          <w:rFonts w:ascii="Times New Roman" w:eastAsia="Times New Roman" w:hAnsi="Times New Roman" w:cs="Times New Roman"/>
          <w:i/>
          <w:iCs/>
          <w:sz w:val="24"/>
          <w:szCs w:val="24"/>
        </w:rPr>
      </w:pPr>
      <w:proofErr w:type="gramStart"/>
      <w:r>
        <w:rPr>
          <w:rFonts w:ascii="Times New Roman" w:eastAsia="Times New Roman" w:hAnsi="Times New Roman" w:cs="Times New Roman"/>
          <w:i/>
          <w:iCs/>
          <w:sz w:val="24"/>
          <w:szCs w:val="24"/>
        </w:rPr>
        <w:lastRenderedPageBreak/>
        <w:t>Merck.(</w:t>
      </w:r>
      <w:proofErr w:type="gramEnd"/>
      <w:r>
        <w:rPr>
          <w:rFonts w:ascii="Times New Roman" w:eastAsia="Times New Roman" w:hAnsi="Times New Roman" w:cs="Times New Roman"/>
          <w:i/>
          <w:iCs/>
          <w:sz w:val="24"/>
          <w:szCs w:val="24"/>
        </w:rPr>
        <w:t xml:space="preserve">2011). “Merck annual report” The Merck Group. Darmstadt, Germany, available </w:t>
      </w:r>
      <w:r w:rsidR="004C2CC9">
        <w:rPr>
          <w:rFonts w:ascii="Times New Roman" w:eastAsia="Times New Roman" w:hAnsi="Times New Roman" w:cs="Times New Roman"/>
          <w:i/>
          <w:iCs/>
          <w:sz w:val="24"/>
          <w:szCs w:val="24"/>
        </w:rPr>
        <w:t xml:space="preserve">at: </w:t>
      </w:r>
      <w:hyperlink r:id="rId5" w:history="1">
        <w:r w:rsidR="004012AE" w:rsidRPr="00243FB2">
          <w:rPr>
            <w:rStyle w:val="Hyperlink"/>
            <w:rFonts w:ascii="Times New Roman" w:eastAsia="Times New Roman" w:hAnsi="Times New Roman" w:cs="Times New Roman"/>
            <w:i/>
            <w:iCs/>
            <w:sz w:val="24"/>
            <w:szCs w:val="24"/>
          </w:rPr>
          <w:t>www.merckgroup.com/investors/reports-and-financials/earnings-materials/2011-q4/en/2011-Merck-Annual -Report-EN.pdf</w:t>
        </w:r>
      </w:hyperlink>
    </w:p>
    <w:p w14:paraId="41B4197F" w14:textId="695D1441" w:rsidR="00F32E9A" w:rsidRPr="004012AE" w:rsidRDefault="004012AE" w:rsidP="004012AE">
      <w:pPr>
        <w:spacing w:before="100" w:beforeAutospacing="1"/>
        <w:rPr>
          <w:rFonts w:ascii="Times New Roman" w:eastAsia="Times New Roman" w:hAnsi="Times New Roman" w:cs="Times New Roman"/>
          <w:i/>
          <w:iCs/>
          <w:sz w:val="24"/>
          <w:szCs w:val="24"/>
        </w:rPr>
      </w:pPr>
      <w:proofErr w:type="gramStart"/>
      <w:r w:rsidRPr="004012AE">
        <w:rPr>
          <w:rFonts w:ascii="Times New Roman" w:eastAsia="Times New Roman" w:hAnsi="Times New Roman" w:cs="Times New Roman"/>
          <w:i/>
          <w:iCs/>
          <w:sz w:val="24"/>
          <w:szCs w:val="24"/>
        </w:rPr>
        <w:t xml:space="preserve">Morris, </w:t>
      </w:r>
      <w:r w:rsidR="002F04DF" w:rsidRPr="004012AE">
        <w:rPr>
          <w:sz w:val="24"/>
          <w:szCs w:val="24"/>
        </w:rPr>
        <w:t xml:space="preserve"> T.</w:t>
      </w:r>
      <w:proofErr w:type="gramEnd"/>
      <w:r w:rsidR="002F04DF" w:rsidRPr="004012AE">
        <w:rPr>
          <w:sz w:val="24"/>
          <w:szCs w:val="24"/>
        </w:rPr>
        <w:t>(</w:t>
      </w:r>
      <w:r w:rsidRPr="004012AE">
        <w:rPr>
          <w:sz w:val="24"/>
          <w:szCs w:val="24"/>
        </w:rPr>
        <w:t>2016</w:t>
      </w:r>
      <w:r w:rsidR="002F04DF" w:rsidRPr="004012AE">
        <w:rPr>
          <w:sz w:val="24"/>
          <w:szCs w:val="24"/>
        </w:rPr>
        <w:t>)</w:t>
      </w:r>
      <w:r>
        <w:rPr>
          <w:sz w:val="24"/>
          <w:szCs w:val="24"/>
        </w:rPr>
        <w:t>.</w:t>
      </w:r>
      <w:r w:rsidR="002F04DF" w:rsidRPr="004012AE">
        <w:rPr>
          <w:i/>
          <w:iCs/>
          <w:sz w:val="24"/>
          <w:szCs w:val="24"/>
        </w:rPr>
        <w:t xml:space="preserve"> Defined Benefit Plan. Doi.org.10.1007/978-0-387-33754-8_116 Home </w:t>
      </w:r>
    </w:p>
    <w:p w14:paraId="391D242B" w14:textId="75D26574" w:rsidR="00C60366" w:rsidRPr="00136F5D" w:rsidRDefault="00A675DE" w:rsidP="00C60366">
      <w:pPr>
        <w:spacing w:before="100" w:before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Osbourne, D. ({2022</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 xml:space="preserve"> Actuarial Review, NIS </w:t>
      </w:r>
      <w:r w:rsidR="004012AE">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t. Vincent and the </w:t>
      </w:r>
      <w:proofErr w:type="gramStart"/>
      <w:r>
        <w:rPr>
          <w:rFonts w:ascii="Times New Roman" w:eastAsia="Times New Roman" w:hAnsi="Times New Roman" w:cs="Times New Roman"/>
          <w:sz w:val="24"/>
          <w:szCs w:val="24"/>
        </w:rPr>
        <w:t xml:space="preserve">Grenadines </w:t>
      </w:r>
      <w:r w:rsidR="00C60366" w:rsidRPr="00136F5D">
        <w:rPr>
          <w:rFonts w:ascii="Times New Roman" w:eastAsia="Times New Roman" w:hAnsi="Times New Roman" w:cs="Times New Roman"/>
          <w:sz w:val="24"/>
          <w:szCs w:val="24"/>
        </w:rPr>
        <w:t>.</w:t>
      </w:r>
      <w:proofErr w:type="gramEnd"/>
    </w:p>
    <w:p w14:paraId="06395DB9" w14:textId="7BD5D7A0" w:rsidR="00C60366" w:rsidRPr="00136F5D" w:rsidRDefault="00C60366" w:rsidP="00C60366">
      <w:pPr>
        <w:spacing w:before="100" w:beforeAutospacing="1"/>
        <w:rPr>
          <w:rFonts w:ascii="Times New Roman" w:eastAsia="Times New Roman" w:hAnsi="Times New Roman" w:cs="Times New Roman"/>
          <w:sz w:val="24"/>
          <w:szCs w:val="24"/>
        </w:rPr>
      </w:pPr>
      <w:r w:rsidRPr="00136F5D">
        <w:rPr>
          <w:rFonts w:ascii="Times New Roman" w:eastAsia="Times New Roman" w:hAnsi="Times New Roman" w:cs="Times New Roman"/>
          <w:sz w:val="24"/>
          <w:szCs w:val="24"/>
        </w:rPr>
        <w:t>Wagner, N. (2016), “</w:t>
      </w:r>
      <w:r w:rsidRPr="00136F5D">
        <w:rPr>
          <w:rFonts w:ascii="Times New Roman" w:eastAsia="Times New Roman" w:hAnsi="Times New Roman" w:cs="Times New Roman"/>
          <w:i/>
          <w:iCs/>
          <w:sz w:val="24"/>
          <w:szCs w:val="24"/>
        </w:rPr>
        <w:t>Identification of the most important sustainability topics in seaports</w:t>
      </w:r>
      <w:r w:rsidRPr="00136F5D">
        <w:rPr>
          <w:rFonts w:ascii="Times New Roman" w:eastAsia="Times New Roman" w:hAnsi="Times New Roman" w:cs="Times New Roman"/>
          <w:sz w:val="24"/>
          <w:szCs w:val="24"/>
        </w:rPr>
        <w:t>”, Logistics and Transport, Vol. 34. No. 7, pp. 79-88.</w:t>
      </w:r>
    </w:p>
    <w:p w14:paraId="47A32983" w14:textId="77777777" w:rsidR="00D8122B" w:rsidRPr="00136F5D" w:rsidRDefault="00D8122B" w:rsidP="00C60366">
      <w:pPr>
        <w:spacing w:before="100" w:beforeAutospacing="1"/>
        <w:rPr>
          <w:rFonts w:ascii="Times New Roman" w:eastAsia="Times New Roman" w:hAnsi="Times New Roman" w:cs="Times New Roman"/>
          <w:sz w:val="24"/>
          <w:szCs w:val="24"/>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360"/>
      </w:tblGrid>
      <w:tr w:rsidR="004012AE" w14:paraId="4B070218" w14:textId="77777777" w:rsidTr="004012AE">
        <w:trPr>
          <w:tblCellSpacing w:w="15" w:type="dxa"/>
        </w:trPr>
        <w:tc>
          <w:tcPr>
            <w:tcW w:w="0" w:type="auto"/>
            <w:shd w:val="clear" w:color="auto" w:fill="FFFFFF"/>
            <w:tcMar>
              <w:top w:w="0" w:type="dxa"/>
              <w:left w:w="240" w:type="dxa"/>
              <w:bottom w:w="0" w:type="dxa"/>
              <w:right w:w="0" w:type="dxa"/>
            </w:tcMar>
            <w:vAlign w:val="center"/>
            <w:hideMark/>
          </w:tcPr>
          <w:p w14:paraId="4DAEEEAB" w14:textId="7F15DD17" w:rsidR="004012AE" w:rsidRDefault="004012AE">
            <w:pPr>
              <w:rPr>
                <w:rFonts w:ascii="Arial" w:hAnsi="Arial" w:cs="Arial"/>
                <w:color w:val="000000"/>
                <w:sz w:val="20"/>
                <w:szCs w:val="20"/>
              </w:rPr>
            </w:pPr>
          </w:p>
        </w:tc>
      </w:tr>
      <w:tr w:rsidR="004012AE" w14:paraId="26ADEC7A" w14:textId="77777777" w:rsidTr="004012AE">
        <w:trPr>
          <w:tblCellSpacing w:w="15" w:type="dxa"/>
        </w:trPr>
        <w:tc>
          <w:tcPr>
            <w:tcW w:w="0" w:type="auto"/>
            <w:shd w:val="clear" w:color="auto" w:fill="FFFFFF"/>
            <w:tcMar>
              <w:top w:w="0" w:type="dxa"/>
              <w:left w:w="240" w:type="dxa"/>
              <w:bottom w:w="0" w:type="dxa"/>
              <w:right w:w="0" w:type="dxa"/>
            </w:tcMar>
            <w:vAlign w:val="center"/>
            <w:hideMark/>
          </w:tcPr>
          <w:p w14:paraId="7289AC8F" w14:textId="289E368E" w:rsidR="004012AE" w:rsidRDefault="004012AE">
            <w:pPr>
              <w:rPr>
                <w:rFonts w:ascii="Arial" w:hAnsi="Arial" w:cs="Arial"/>
                <w:color w:val="000000"/>
                <w:sz w:val="20"/>
                <w:szCs w:val="20"/>
              </w:rPr>
            </w:pPr>
          </w:p>
        </w:tc>
      </w:tr>
      <w:tr w:rsidR="004012AE" w14:paraId="0B70D095" w14:textId="77777777" w:rsidTr="004012AE">
        <w:trPr>
          <w:tblCellSpacing w:w="15" w:type="dxa"/>
        </w:trPr>
        <w:tc>
          <w:tcPr>
            <w:tcW w:w="0" w:type="auto"/>
            <w:shd w:val="clear" w:color="auto" w:fill="FFFFFF"/>
            <w:tcMar>
              <w:top w:w="0" w:type="dxa"/>
              <w:left w:w="240" w:type="dxa"/>
              <w:bottom w:w="0" w:type="dxa"/>
              <w:right w:w="0" w:type="dxa"/>
            </w:tcMar>
            <w:vAlign w:val="center"/>
            <w:hideMark/>
          </w:tcPr>
          <w:p w14:paraId="6AE5C2D8" w14:textId="48776D05" w:rsidR="004012AE" w:rsidRDefault="004012AE">
            <w:pPr>
              <w:rPr>
                <w:rFonts w:ascii="Arial" w:hAnsi="Arial" w:cs="Arial"/>
                <w:color w:val="000000"/>
                <w:sz w:val="20"/>
                <w:szCs w:val="20"/>
              </w:rPr>
            </w:pPr>
          </w:p>
        </w:tc>
      </w:tr>
      <w:tr w:rsidR="004012AE" w14:paraId="68806AF4" w14:textId="77777777" w:rsidTr="004012AE">
        <w:trPr>
          <w:tblCellSpacing w:w="15" w:type="dxa"/>
        </w:trPr>
        <w:tc>
          <w:tcPr>
            <w:tcW w:w="0" w:type="auto"/>
            <w:shd w:val="clear" w:color="auto" w:fill="FFFFFF"/>
            <w:tcMar>
              <w:top w:w="0" w:type="dxa"/>
              <w:left w:w="240" w:type="dxa"/>
              <w:bottom w:w="0" w:type="dxa"/>
              <w:right w:w="0" w:type="dxa"/>
            </w:tcMar>
            <w:vAlign w:val="center"/>
            <w:hideMark/>
          </w:tcPr>
          <w:p w14:paraId="2007DB9A" w14:textId="78ABDAAA" w:rsidR="004012AE" w:rsidRDefault="004012AE">
            <w:pPr>
              <w:rPr>
                <w:rFonts w:ascii="Arial" w:hAnsi="Arial" w:cs="Arial"/>
                <w:color w:val="000000"/>
                <w:sz w:val="20"/>
                <w:szCs w:val="20"/>
              </w:rPr>
            </w:pPr>
          </w:p>
        </w:tc>
      </w:tr>
      <w:tr w:rsidR="004012AE" w:rsidRPr="003C1775" w14:paraId="35561FB4" w14:textId="77777777" w:rsidTr="004012AE">
        <w:trPr>
          <w:tblCellSpacing w:w="15" w:type="dxa"/>
        </w:trPr>
        <w:tc>
          <w:tcPr>
            <w:tcW w:w="0" w:type="auto"/>
            <w:shd w:val="clear" w:color="auto" w:fill="FFFFFF"/>
            <w:tcMar>
              <w:top w:w="0" w:type="dxa"/>
              <w:left w:w="240" w:type="dxa"/>
              <w:bottom w:w="0" w:type="dxa"/>
              <w:right w:w="0" w:type="dxa"/>
            </w:tcMar>
            <w:vAlign w:val="center"/>
            <w:hideMark/>
          </w:tcPr>
          <w:p w14:paraId="4F5AD640" w14:textId="77777777" w:rsidR="004012AE" w:rsidRPr="003C1775" w:rsidRDefault="004012AE">
            <w:pPr>
              <w:rPr>
                <w:rFonts w:ascii="Times New Roman" w:hAnsi="Times New Roman" w:cs="Times New Roman"/>
                <w:color w:val="000000"/>
                <w:sz w:val="24"/>
                <w:szCs w:val="24"/>
              </w:rPr>
            </w:pPr>
          </w:p>
          <w:p w14:paraId="6ADA3F32" w14:textId="77777777" w:rsidR="004012AE" w:rsidRPr="003C1775" w:rsidRDefault="004012AE" w:rsidP="004B0B46">
            <w:pPr>
              <w:pStyle w:val="p2"/>
              <w:spacing w:before="0" w:beforeAutospacing="0" w:after="0" w:afterAutospacing="0"/>
              <w:jc w:val="both"/>
              <w:rPr>
                <w:rStyle w:val="s2"/>
                <w:rFonts w:ascii="Times New Roman" w:hAnsi="Times New Roman" w:cs="Times New Roman"/>
                <w:b/>
                <w:bCs/>
                <w:sz w:val="24"/>
                <w:szCs w:val="24"/>
                <w:u w:val="single"/>
              </w:rPr>
            </w:pPr>
            <w:r w:rsidRPr="003C1775">
              <w:rPr>
                <w:rStyle w:val="s2"/>
                <w:rFonts w:ascii="Times New Roman" w:hAnsi="Times New Roman" w:cs="Times New Roman"/>
                <w:b/>
                <w:bCs/>
                <w:sz w:val="24"/>
                <w:szCs w:val="24"/>
                <w:u w:val="single"/>
              </w:rPr>
              <w:t>Appendix 1 The Action Plan</w:t>
            </w:r>
          </w:p>
          <w:p w14:paraId="51B75B39" w14:textId="77777777" w:rsidR="004012AE" w:rsidRPr="003C1775" w:rsidRDefault="004012AE" w:rsidP="004B0B46">
            <w:pPr>
              <w:pStyle w:val="p2"/>
              <w:spacing w:before="0" w:beforeAutospacing="0" w:after="0" w:afterAutospacing="0"/>
              <w:jc w:val="both"/>
              <w:rPr>
                <w:rStyle w:val="s2"/>
                <w:rFonts w:ascii="Times New Roman" w:hAnsi="Times New Roman" w:cs="Times New Roman"/>
                <w:sz w:val="24"/>
                <w:szCs w:val="24"/>
              </w:rPr>
            </w:pPr>
          </w:p>
          <w:p w14:paraId="02336F81" w14:textId="77777777" w:rsidR="004012AE" w:rsidRPr="003C1775" w:rsidRDefault="004012AE" w:rsidP="004B0B46">
            <w:pPr>
              <w:pStyle w:val="p2"/>
              <w:spacing w:before="0" w:beforeAutospacing="0" w:after="0" w:afterAutospacing="0"/>
              <w:jc w:val="both"/>
              <w:rPr>
                <w:rStyle w:val="s2"/>
                <w:rFonts w:ascii="Times New Roman" w:hAnsi="Times New Roman" w:cs="Times New Roman"/>
                <w:sz w:val="24"/>
                <w:szCs w:val="24"/>
              </w:rPr>
            </w:pPr>
            <w:r w:rsidRPr="003C1775">
              <w:rPr>
                <w:rStyle w:val="s2"/>
                <w:rFonts w:ascii="Times New Roman" w:hAnsi="Times New Roman" w:cs="Times New Roman"/>
                <w:sz w:val="24"/>
                <w:szCs w:val="24"/>
              </w:rPr>
              <w:t>The action plan is developed on the core business outcomes of strengthened financial sustainability, enhanced customer satisfaction and improved public confidence. The plan addresses four important questions relating to the fiscal period 2023:</w:t>
            </w:r>
          </w:p>
          <w:p w14:paraId="0A495A85" w14:textId="77777777" w:rsidR="004012AE" w:rsidRPr="003C1775" w:rsidRDefault="004012AE" w:rsidP="004B0B46">
            <w:pPr>
              <w:pStyle w:val="p2"/>
              <w:spacing w:before="0" w:beforeAutospacing="0" w:after="0" w:afterAutospacing="0"/>
              <w:jc w:val="both"/>
              <w:rPr>
                <w:rStyle w:val="s2"/>
                <w:rFonts w:ascii="Times New Roman" w:hAnsi="Times New Roman" w:cs="Times New Roman"/>
                <w:sz w:val="24"/>
                <w:szCs w:val="24"/>
              </w:rPr>
            </w:pPr>
          </w:p>
          <w:p w14:paraId="3B224BB4" w14:textId="77777777" w:rsidR="004012AE" w:rsidRPr="003C1775" w:rsidRDefault="004012AE" w:rsidP="004B0B46">
            <w:pPr>
              <w:pStyle w:val="p2"/>
              <w:numPr>
                <w:ilvl w:val="0"/>
                <w:numId w:val="2"/>
              </w:numPr>
              <w:spacing w:before="0" w:beforeAutospacing="0" w:after="0" w:afterAutospacing="0"/>
              <w:jc w:val="both"/>
              <w:rPr>
                <w:rStyle w:val="s2"/>
                <w:rFonts w:ascii="Times New Roman" w:hAnsi="Times New Roman" w:cs="Times New Roman"/>
                <w:sz w:val="24"/>
                <w:szCs w:val="24"/>
              </w:rPr>
            </w:pPr>
            <w:r w:rsidRPr="003C1775">
              <w:rPr>
                <w:rStyle w:val="s2"/>
                <w:rFonts w:ascii="Times New Roman" w:hAnsi="Times New Roman" w:cs="Times New Roman"/>
                <w:sz w:val="24"/>
                <w:szCs w:val="24"/>
              </w:rPr>
              <w:t>Business focus areas-What areas would the NIS be focusing on improving?</w:t>
            </w:r>
          </w:p>
          <w:p w14:paraId="2DBF0961" w14:textId="77777777" w:rsidR="004012AE" w:rsidRPr="003C1775" w:rsidRDefault="004012AE" w:rsidP="004B0B46">
            <w:pPr>
              <w:pStyle w:val="p2"/>
              <w:numPr>
                <w:ilvl w:val="0"/>
                <w:numId w:val="2"/>
              </w:numPr>
              <w:spacing w:before="0" w:beforeAutospacing="0" w:after="0" w:afterAutospacing="0"/>
              <w:jc w:val="both"/>
              <w:rPr>
                <w:rStyle w:val="s2"/>
                <w:rFonts w:ascii="Times New Roman" w:hAnsi="Times New Roman" w:cs="Times New Roman"/>
                <w:sz w:val="24"/>
                <w:szCs w:val="24"/>
              </w:rPr>
            </w:pPr>
            <w:r w:rsidRPr="003C1775">
              <w:rPr>
                <w:rStyle w:val="s2"/>
                <w:rFonts w:ascii="Times New Roman" w:hAnsi="Times New Roman" w:cs="Times New Roman"/>
                <w:sz w:val="24"/>
                <w:szCs w:val="24"/>
              </w:rPr>
              <w:t>Initiatives and Activities-How will this be achieved?</w:t>
            </w:r>
          </w:p>
          <w:p w14:paraId="14D7A65B" w14:textId="77777777" w:rsidR="004012AE" w:rsidRPr="003C1775" w:rsidRDefault="004012AE" w:rsidP="004B0B46">
            <w:pPr>
              <w:pStyle w:val="p2"/>
              <w:numPr>
                <w:ilvl w:val="0"/>
                <w:numId w:val="2"/>
              </w:numPr>
              <w:spacing w:before="0" w:beforeAutospacing="0" w:after="0" w:afterAutospacing="0"/>
              <w:jc w:val="both"/>
              <w:rPr>
                <w:rStyle w:val="s2"/>
                <w:rFonts w:ascii="Times New Roman" w:hAnsi="Times New Roman" w:cs="Times New Roman"/>
                <w:sz w:val="24"/>
                <w:szCs w:val="24"/>
              </w:rPr>
            </w:pPr>
            <w:r w:rsidRPr="003C1775">
              <w:rPr>
                <w:rStyle w:val="s2"/>
                <w:rFonts w:ascii="Times New Roman" w:hAnsi="Times New Roman" w:cs="Times New Roman"/>
                <w:sz w:val="24"/>
                <w:szCs w:val="24"/>
              </w:rPr>
              <w:t>Business Units- Who will be responsible?</w:t>
            </w:r>
          </w:p>
          <w:p w14:paraId="3015BBEA" w14:textId="77777777" w:rsidR="004012AE" w:rsidRPr="003C1775" w:rsidRDefault="004012AE" w:rsidP="004B0B46">
            <w:pPr>
              <w:pStyle w:val="p2"/>
              <w:numPr>
                <w:ilvl w:val="0"/>
                <w:numId w:val="2"/>
              </w:numPr>
              <w:spacing w:before="0" w:beforeAutospacing="0" w:after="0" w:afterAutospacing="0"/>
              <w:jc w:val="both"/>
              <w:rPr>
                <w:rStyle w:val="s2"/>
                <w:rFonts w:ascii="Times New Roman" w:hAnsi="Times New Roman" w:cs="Times New Roman"/>
                <w:sz w:val="24"/>
                <w:szCs w:val="24"/>
              </w:rPr>
            </w:pPr>
            <w:r w:rsidRPr="003C1775">
              <w:rPr>
                <w:rStyle w:val="s2"/>
                <w:rFonts w:ascii="Times New Roman" w:hAnsi="Times New Roman" w:cs="Times New Roman"/>
                <w:sz w:val="24"/>
                <w:szCs w:val="24"/>
              </w:rPr>
              <w:t>Key Performance Indicators-How will the institution measure success?</w:t>
            </w:r>
          </w:p>
          <w:p w14:paraId="4CD6C517" w14:textId="77777777" w:rsidR="004012AE" w:rsidRPr="003C1775" w:rsidRDefault="004012AE" w:rsidP="004B0B46">
            <w:pPr>
              <w:pStyle w:val="p2"/>
              <w:spacing w:before="0" w:beforeAutospacing="0" w:after="0" w:afterAutospacing="0"/>
              <w:ind w:left="720"/>
              <w:jc w:val="both"/>
              <w:rPr>
                <w:rFonts w:ascii="Times New Roman" w:hAnsi="Times New Roman" w:cs="Times New Roman"/>
                <w:sz w:val="24"/>
                <w:szCs w:val="24"/>
              </w:rPr>
            </w:pPr>
          </w:p>
          <w:p w14:paraId="6653EF53"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The initiatives included in this plan are non-negotiable or ruthless priorities for the realization of the business outcomes.</w:t>
            </w:r>
          </w:p>
          <w:p w14:paraId="3D11398A"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p>
          <w:tbl>
            <w:tblPr>
              <w:tblStyle w:val="TableGrid"/>
              <w:tblW w:w="0" w:type="auto"/>
              <w:tblInd w:w="0" w:type="dxa"/>
              <w:tblLook w:val="04A0" w:firstRow="1" w:lastRow="0" w:firstColumn="1" w:lastColumn="0" w:noHBand="0" w:noVBand="1"/>
            </w:tblPr>
            <w:tblGrid>
              <w:gridCol w:w="1899"/>
              <w:gridCol w:w="2659"/>
              <w:gridCol w:w="2265"/>
              <w:gridCol w:w="2227"/>
            </w:tblGrid>
            <w:tr w:rsidR="004012AE" w:rsidRPr="003C1775" w14:paraId="20F96EA6" w14:textId="77777777" w:rsidTr="00C675E6">
              <w:tc>
                <w:tcPr>
                  <w:tcW w:w="9350" w:type="dxa"/>
                  <w:gridSpan w:val="4"/>
                  <w:tcBorders>
                    <w:top w:val="single" w:sz="4" w:space="0" w:color="auto"/>
                    <w:left w:val="single" w:sz="4" w:space="0" w:color="auto"/>
                    <w:bottom w:val="single" w:sz="4" w:space="0" w:color="auto"/>
                    <w:right w:val="single" w:sz="4" w:space="0" w:color="auto"/>
                  </w:tcBorders>
                  <w:hideMark/>
                </w:tcPr>
                <w:p w14:paraId="58D93CAC" w14:textId="77777777" w:rsidR="004012AE" w:rsidRPr="003C1775" w:rsidRDefault="004012AE" w:rsidP="004B0B46">
                  <w:pPr>
                    <w:pStyle w:val="p3"/>
                    <w:spacing w:before="0" w:beforeAutospacing="0" w:after="0" w:afterAutospacing="0"/>
                    <w:jc w:val="center"/>
                    <w:rPr>
                      <w:rFonts w:ascii="Times New Roman" w:hAnsi="Times New Roman" w:cs="Times New Roman"/>
                      <w:b/>
                      <w:bCs/>
                      <w:sz w:val="24"/>
                      <w:szCs w:val="24"/>
                    </w:rPr>
                  </w:pPr>
                  <w:r w:rsidRPr="003C1775">
                    <w:rPr>
                      <w:rFonts w:ascii="Times New Roman" w:hAnsi="Times New Roman" w:cs="Times New Roman"/>
                      <w:b/>
                      <w:bCs/>
                      <w:sz w:val="24"/>
                      <w:szCs w:val="24"/>
                    </w:rPr>
                    <w:t>Strengthening Financial Sustainability</w:t>
                  </w:r>
                </w:p>
              </w:tc>
            </w:tr>
            <w:tr w:rsidR="004012AE" w:rsidRPr="003C1775" w14:paraId="079E4BF3" w14:textId="77777777" w:rsidTr="00C675E6">
              <w:tc>
                <w:tcPr>
                  <w:tcW w:w="1928" w:type="dxa"/>
                  <w:tcBorders>
                    <w:top w:val="single" w:sz="4" w:space="0" w:color="auto"/>
                    <w:left w:val="single" w:sz="4" w:space="0" w:color="auto"/>
                    <w:bottom w:val="single" w:sz="4" w:space="0" w:color="auto"/>
                    <w:right w:val="single" w:sz="4" w:space="0" w:color="auto"/>
                  </w:tcBorders>
                  <w:hideMark/>
                </w:tcPr>
                <w:p w14:paraId="1C1699D1" w14:textId="77777777" w:rsidR="004012AE" w:rsidRPr="003C1775" w:rsidRDefault="004012AE" w:rsidP="004B0B46">
                  <w:pPr>
                    <w:pStyle w:val="p3"/>
                    <w:spacing w:before="0" w:beforeAutospacing="0" w:after="0" w:afterAutospacing="0"/>
                    <w:jc w:val="both"/>
                    <w:rPr>
                      <w:rFonts w:ascii="Times New Roman" w:hAnsi="Times New Roman" w:cs="Times New Roman"/>
                      <w:b/>
                      <w:bCs/>
                      <w:i/>
                      <w:iCs/>
                      <w:sz w:val="24"/>
                      <w:szCs w:val="24"/>
                    </w:rPr>
                  </w:pPr>
                  <w:r w:rsidRPr="003C1775">
                    <w:rPr>
                      <w:rFonts w:ascii="Times New Roman" w:hAnsi="Times New Roman" w:cs="Times New Roman"/>
                      <w:b/>
                      <w:bCs/>
                      <w:i/>
                      <w:iCs/>
                      <w:sz w:val="24"/>
                      <w:szCs w:val="24"/>
                    </w:rPr>
                    <w:t>Business Focus Areas</w:t>
                  </w:r>
                </w:p>
              </w:tc>
              <w:tc>
                <w:tcPr>
                  <w:tcW w:w="2798" w:type="dxa"/>
                  <w:tcBorders>
                    <w:top w:val="single" w:sz="4" w:space="0" w:color="auto"/>
                    <w:left w:val="single" w:sz="4" w:space="0" w:color="auto"/>
                    <w:bottom w:val="single" w:sz="4" w:space="0" w:color="auto"/>
                    <w:right w:val="single" w:sz="4" w:space="0" w:color="auto"/>
                  </w:tcBorders>
                  <w:hideMark/>
                </w:tcPr>
                <w:p w14:paraId="2A17B3A7" w14:textId="77777777" w:rsidR="004012AE" w:rsidRPr="003C1775" w:rsidRDefault="004012AE" w:rsidP="004B0B46">
                  <w:pPr>
                    <w:pStyle w:val="p3"/>
                    <w:spacing w:before="0" w:beforeAutospacing="0" w:after="0" w:afterAutospacing="0"/>
                    <w:jc w:val="both"/>
                    <w:rPr>
                      <w:rFonts w:ascii="Times New Roman" w:hAnsi="Times New Roman" w:cs="Times New Roman"/>
                      <w:b/>
                      <w:bCs/>
                      <w:i/>
                      <w:iCs/>
                      <w:sz w:val="24"/>
                      <w:szCs w:val="24"/>
                    </w:rPr>
                  </w:pPr>
                  <w:r w:rsidRPr="003C1775">
                    <w:rPr>
                      <w:rFonts w:ascii="Times New Roman" w:hAnsi="Times New Roman" w:cs="Times New Roman"/>
                      <w:b/>
                      <w:bCs/>
                      <w:i/>
                      <w:iCs/>
                      <w:sz w:val="24"/>
                      <w:szCs w:val="24"/>
                    </w:rPr>
                    <w:t>Initiatives</w:t>
                  </w:r>
                </w:p>
              </w:tc>
              <w:tc>
                <w:tcPr>
                  <w:tcW w:w="2320" w:type="dxa"/>
                  <w:tcBorders>
                    <w:top w:val="single" w:sz="4" w:space="0" w:color="auto"/>
                    <w:left w:val="single" w:sz="4" w:space="0" w:color="auto"/>
                    <w:bottom w:val="single" w:sz="4" w:space="0" w:color="auto"/>
                    <w:right w:val="single" w:sz="4" w:space="0" w:color="auto"/>
                  </w:tcBorders>
                  <w:hideMark/>
                </w:tcPr>
                <w:p w14:paraId="6A53E781" w14:textId="77777777" w:rsidR="004012AE" w:rsidRPr="003C1775" w:rsidRDefault="004012AE" w:rsidP="004B0B46">
                  <w:pPr>
                    <w:pStyle w:val="p3"/>
                    <w:spacing w:before="0" w:beforeAutospacing="0" w:after="0" w:afterAutospacing="0"/>
                    <w:jc w:val="both"/>
                    <w:rPr>
                      <w:rFonts w:ascii="Times New Roman" w:hAnsi="Times New Roman" w:cs="Times New Roman"/>
                      <w:b/>
                      <w:bCs/>
                      <w:i/>
                      <w:iCs/>
                      <w:sz w:val="24"/>
                      <w:szCs w:val="24"/>
                    </w:rPr>
                  </w:pPr>
                  <w:r w:rsidRPr="003C1775">
                    <w:rPr>
                      <w:rFonts w:ascii="Times New Roman" w:hAnsi="Times New Roman" w:cs="Times New Roman"/>
                      <w:b/>
                      <w:bCs/>
                      <w:i/>
                      <w:iCs/>
                      <w:sz w:val="24"/>
                      <w:szCs w:val="24"/>
                    </w:rPr>
                    <w:t>Responsible Business Unit(s)</w:t>
                  </w:r>
                </w:p>
              </w:tc>
              <w:tc>
                <w:tcPr>
                  <w:tcW w:w="2304" w:type="dxa"/>
                  <w:tcBorders>
                    <w:top w:val="single" w:sz="4" w:space="0" w:color="auto"/>
                    <w:left w:val="single" w:sz="4" w:space="0" w:color="auto"/>
                    <w:bottom w:val="single" w:sz="4" w:space="0" w:color="auto"/>
                    <w:right w:val="single" w:sz="4" w:space="0" w:color="auto"/>
                  </w:tcBorders>
                  <w:hideMark/>
                </w:tcPr>
                <w:p w14:paraId="2FE537E6" w14:textId="77777777" w:rsidR="004012AE" w:rsidRPr="003C1775" w:rsidRDefault="004012AE" w:rsidP="004B0B46">
                  <w:pPr>
                    <w:pStyle w:val="p3"/>
                    <w:spacing w:before="0" w:beforeAutospacing="0" w:after="0" w:afterAutospacing="0"/>
                    <w:jc w:val="both"/>
                    <w:rPr>
                      <w:rFonts w:ascii="Times New Roman" w:hAnsi="Times New Roman" w:cs="Times New Roman"/>
                      <w:b/>
                      <w:bCs/>
                      <w:i/>
                      <w:iCs/>
                      <w:sz w:val="24"/>
                      <w:szCs w:val="24"/>
                    </w:rPr>
                  </w:pPr>
                  <w:r w:rsidRPr="003C1775">
                    <w:rPr>
                      <w:rFonts w:ascii="Times New Roman" w:hAnsi="Times New Roman" w:cs="Times New Roman"/>
                      <w:b/>
                      <w:bCs/>
                      <w:i/>
                      <w:iCs/>
                      <w:sz w:val="24"/>
                      <w:szCs w:val="24"/>
                    </w:rPr>
                    <w:t>Key Performance Results</w:t>
                  </w:r>
                </w:p>
              </w:tc>
            </w:tr>
            <w:tr w:rsidR="004012AE" w:rsidRPr="003C1775" w14:paraId="70A18F26" w14:textId="77777777" w:rsidTr="00C675E6">
              <w:tc>
                <w:tcPr>
                  <w:tcW w:w="1928" w:type="dxa"/>
                  <w:vMerge w:val="restart"/>
                  <w:tcBorders>
                    <w:top w:val="single" w:sz="4" w:space="0" w:color="auto"/>
                    <w:left w:val="single" w:sz="4" w:space="0" w:color="auto"/>
                    <w:bottom w:val="single" w:sz="4" w:space="0" w:color="auto"/>
                    <w:right w:val="single" w:sz="4" w:space="0" w:color="auto"/>
                  </w:tcBorders>
                  <w:hideMark/>
                </w:tcPr>
                <w:p w14:paraId="5ED45123"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Parametric Reform</w:t>
                  </w:r>
                </w:p>
              </w:tc>
              <w:tc>
                <w:tcPr>
                  <w:tcW w:w="2798" w:type="dxa"/>
                  <w:tcBorders>
                    <w:top w:val="single" w:sz="4" w:space="0" w:color="auto"/>
                    <w:left w:val="single" w:sz="4" w:space="0" w:color="auto"/>
                    <w:bottom w:val="single" w:sz="4" w:space="0" w:color="auto"/>
                    <w:right w:val="single" w:sz="4" w:space="0" w:color="auto"/>
                  </w:tcBorders>
                  <w:hideMark/>
                </w:tcPr>
                <w:p w14:paraId="12399DD5"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Lead and participate in social dialogue with stakeholders including employee groups, employer groups, Government, Opposition and Civil society</w:t>
                  </w:r>
                </w:p>
              </w:tc>
              <w:tc>
                <w:tcPr>
                  <w:tcW w:w="2320" w:type="dxa"/>
                  <w:tcBorders>
                    <w:top w:val="single" w:sz="4" w:space="0" w:color="auto"/>
                    <w:left w:val="single" w:sz="4" w:space="0" w:color="auto"/>
                    <w:bottom w:val="single" w:sz="4" w:space="0" w:color="auto"/>
                    <w:right w:val="single" w:sz="4" w:space="0" w:color="auto"/>
                  </w:tcBorders>
                  <w:hideMark/>
                </w:tcPr>
                <w:p w14:paraId="4768C05B"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Administration</w:t>
                  </w:r>
                </w:p>
              </w:tc>
              <w:tc>
                <w:tcPr>
                  <w:tcW w:w="2304" w:type="dxa"/>
                  <w:tcBorders>
                    <w:top w:val="single" w:sz="4" w:space="0" w:color="auto"/>
                    <w:left w:val="single" w:sz="4" w:space="0" w:color="auto"/>
                    <w:bottom w:val="single" w:sz="4" w:space="0" w:color="auto"/>
                    <w:right w:val="single" w:sz="4" w:space="0" w:color="auto"/>
                  </w:tcBorders>
                </w:tcPr>
                <w:p w14:paraId="18A843F2"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No. of consultations held with various stakeholders.</w:t>
                  </w:r>
                </w:p>
                <w:p w14:paraId="0A434913"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p>
                <w:p w14:paraId="52570D2E"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Feedback from stakeholders’ groups</w:t>
                  </w:r>
                </w:p>
              </w:tc>
            </w:tr>
            <w:tr w:rsidR="004012AE" w:rsidRPr="003C1775" w14:paraId="60530E75" w14:textId="77777777" w:rsidTr="00C675E6">
              <w:tc>
                <w:tcPr>
                  <w:tcW w:w="0" w:type="auto"/>
                  <w:vMerge/>
                  <w:tcBorders>
                    <w:top w:val="single" w:sz="4" w:space="0" w:color="auto"/>
                    <w:left w:val="single" w:sz="4" w:space="0" w:color="auto"/>
                    <w:bottom w:val="single" w:sz="4" w:space="0" w:color="auto"/>
                    <w:right w:val="single" w:sz="4" w:space="0" w:color="auto"/>
                  </w:tcBorders>
                  <w:vAlign w:val="center"/>
                  <w:hideMark/>
                </w:tcPr>
                <w:p w14:paraId="00FDA529" w14:textId="77777777" w:rsidR="004012AE" w:rsidRPr="003C1775" w:rsidRDefault="004012AE" w:rsidP="004B0B46">
                  <w:pPr>
                    <w:rPr>
                      <w:rFonts w:ascii="Times New Roman" w:hAnsi="Times New Roman" w:cs="Times New Roman"/>
                      <w:sz w:val="24"/>
                      <w:szCs w:val="24"/>
                    </w:rPr>
                  </w:pPr>
                </w:p>
              </w:tc>
              <w:tc>
                <w:tcPr>
                  <w:tcW w:w="2798" w:type="dxa"/>
                  <w:tcBorders>
                    <w:top w:val="single" w:sz="4" w:space="0" w:color="auto"/>
                    <w:left w:val="single" w:sz="4" w:space="0" w:color="auto"/>
                    <w:bottom w:val="single" w:sz="4" w:space="0" w:color="auto"/>
                    <w:right w:val="single" w:sz="4" w:space="0" w:color="auto"/>
                  </w:tcBorders>
                  <w:hideMark/>
                </w:tcPr>
                <w:p w14:paraId="1DB5CF38"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Liaise with Minister and Cabinet to facilitate parametric reform of the NIF</w:t>
                  </w:r>
                </w:p>
              </w:tc>
              <w:tc>
                <w:tcPr>
                  <w:tcW w:w="2320" w:type="dxa"/>
                  <w:tcBorders>
                    <w:top w:val="single" w:sz="4" w:space="0" w:color="auto"/>
                    <w:left w:val="single" w:sz="4" w:space="0" w:color="auto"/>
                    <w:bottom w:val="single" w:sz="4" w:space="0" w:color="auto"/>
                    <w:right w:val="single" w:sz="4" w:space="0" w:color="auto"/>
                  </w:tcBorders>
                  <w:hideMark/>
                </w:tcPr>
                <w:p w14:paraId="62DB4918"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Administration and Board</w:t>
                  </w:r>
                </w:p>
              </w:tc>
              <w:tc>
                <w:tcPr>
                  <w:tcW w:w="2304" w:type="dxa"/>
                  <w:tcBorders>
                    <w:top w:val="single" w:sz="4" w:space="0" w:color="auto"/>
                    <w:left w:val="single" w:sz="4" w:space="0" w:color="auto"/>
                    <w:bottom w:val="single" w:sz="4" w:space="0" w:color="auto"/>
                    <w:right w:val="single" w:sz="4" w:space="0" w:color="auto"/>
                  </w:tcBorders>
                  <w:hideMark/>
                </w:tcPr>
                <w:p w14:paraId="11901A71"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Proposed legislation submitted to Parliament for parametric reform of the NIF</w:t>
                  </w:r>
                </w:p>
              </w:tc>
            </w:tr>
            <w:tr w:rsidR="004012AE" w:rsidRPr="003C1775" w14:paraId="5FBFEE90" w14:textId="77777777" w:rsidTr="00C675E6">
              <w:tc>
                <w:tcPr>
                  <w:tcW w:w="0" w:type="auto"/>
                  <w:vMerge/>
                  <w:tcBorders>
                    <w:top w:val="single" w:sz="4" w:space="0" w:color="auto"/>
                    <w:left w:val="single" w:sz="4" w:space="0" w:color="auto"/>
                    <w:bottom w:val="single" w:sz="4" w:space="0" w:color="auto"/>
                    <w:right w:val="single" w:sz="4" w:space="0" w:color="auto"/>
                  </w:tcBorders>
                  <w:vAlign w:val="center"/>
                  <w:hideMark/>
                </w:tcPr>
                <w:p w14:paraId="6D5E7B30" w14:textId="77777777" w:rsidR="004012AE" w:rsidRPr="003C1775" w:rsidRDefault="004012AE" w:rsidP="004B0B46">
                  <w:pPr>
                    <w:rPr>
                      <w:rFonts w:ascii="Times New Roman" w:hAnsi="Times New Roman" w:cs="Times New Roman"/>
                      <w:sz w:val="24"/>
                      <w:szCs w:val="24"/>
                    </w:rPr>
                  </w:pPr>
                </w:p>
              </w:tc>
              <w:tc>
                <w:tcPr>
                  <w:tcW w:w="2798" w:type="dxa"/>
                  <w:tcBorders>
                    <w:top w:val="single" w:sz="4" w:space="0" w:color="auto"/>
                    <w:left w:val="single" w:sz="4" w:space="0" w:color="auto"/>
                    <w:bottom w:val="single" w:sz="4" w:space="0" w:color="auto"/>
                    <w:right w:val="single" w:sz="4" w:space="0" w:color="auto"/>
                  </w:tcBorders>
                  <w:hideMark/>
                </w:tcPr>
                <w:p w14:paraId="5CA8D4BA"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 xml:space="preserve">Access external assistance from Actuaries, ISSA, ILO, </w:t>
                  </w:r>
                  <w:r w:rsidRPr="003C1775">
                    <w:rPr>
                      <w:rFonts w:ascii="Times New Roman" w:hAnsi="Times New Roman" w:cs="Times New Roman"/>
                      <w:sz w:val="24"/>
                      <w:szCs w:val="24"/>
                    </w:rPr>
                    <w:lastRenderedPageBreak/>
                    <w:t>regional social security organizations and RAMP to promote reform of the NIF</w:t>
                  </w:r>
                </w:p>
              </w:tc>
              <w:tc>
                <w:tcPr>
                  <w:tcW w:w="2320" w:type="dxa"/>
                  <w:tcBorders>
                    <w:top w:val="single" w:sz="4" w:space="0" w:color="auto"/>
                    <w:left w:val="single" w:sz="4" w:space="0" w:color="auto"/>
                    <w:bottom w:val="single" w:sz="4" w:space="0" w:color="auto"/>
                    <w:right w:val="single" w:sz="4" w:space="0" w:color="auto"/>
                  </w:tcBorders>
                  <w:hideMark/>
                </w:tcPr>
                <w:p w14:paraId="53F5B9D0"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lastRenderedPageBreak/>
                    <w:t>Administration</w:t>
                  </w:r>
                </w:p>
              </w:tc>
              <w:tc>
                <w:tcPr>
                  <w:tcW w:w="2304" w:type="dxa"/>
                  <w:tcBorders>
                    <w:top w:val="single" w:sz="4" w:space="0" w:color="auto"/>
                    <w:left w:val="single" w:sz="4" w:space="0" w:color="auto"/>
                    <w:bottom w:val="single" w:sz="4" w:space="0" w:color="auto"/>
                    <w:right w:val="single" w:sz="4" w:space="0" w:color="auto"/>
                  </w:tcBorders>
                  <w:hideMark/>
                </w:tcPr>
                <w:p w14:paraId="14E63D07"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 xml:space="preserve">Participation rate of external partners on </w:t>
                  </w:r>
                  <w:r w:rsidRPr="003C1775">
                    <w:rPr>
                      <w:rFonts w:ascii="Times New Roman" w:hAnsi="Times New Roman" w:cs="Times New Roman"/>
                      <w:sz w:val="24"/>
                      <w:szCs w:val="24"/>
                    </w:rPr>
                    <w:lastRenderedPageBreak/>
                    <w:t>promoting pension reform in SVG.</w:t>
                  </w:r>
                </w:p>
              </w:tc>
            </w:tr>
            <w:tr w:rsidR="004012AE" w:rsidRPr="003C1775" w14:paraId="6F9ED220" w14:textId="77777777" w:rsidTr="00C675E6">
              <w:tc>
                <w:tcPr>
                  <w:tcW w:w="1928" w:type="dxa"/>
                  <w:vMerge w:val="restart"/>
                  <w:tcBorders>
                    <w:top w:val="single" w:sz="4" w:space="0" w:color="auto"/>
                    <w:left w:val="single" w:sz="4" w:space="0" w:color="auto"/>
                    <w:bottom w:val="single" w:sz="4" w:space="0" w:color="auto"/>
                    <w:right w:val="single" w:sz="4" w:space="0" w:color="auto"/>
                  </w:tcBorders>
                  <w:hideMark/>
                </w:tcPr>
                <w:p w14:paraId="612FECEB"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lastRenderedPageBreak/>
                    <w:t>Contribution Collection and Compliance- To collect $78M in contributions</w:t>
                  </w:r>
                </w:p>
              </w:tc>
              <w:tc>
                <w:tcPr>
                  <w:tcW w:w="2798" w:type="dxa"/>
                  <w:tcBorders>
                    <w:top w:val="single" w:sz="4" w:space="0" w:color="auto"/>
                    <w:left w:val="single" w:sz="4" w:space="0" w:color="auto"/>
                    <w:bottom w:val="single" w:sz="4" w:space="0" w:color="auto"/>
                    <w:right w:val="single" w:sz="4" w:space="0" w:color="auto"/>
                  </w:tcBorders>
                  <w:hideMark/>
                </w:tcPr>
                <w:p w14:paraId="06A0CEB6"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Develop a structured arrangement to work with Government Agencies to ensure full coverage of all large capital projects</w:t>
                  </w:r>
                </w:p>
              </w:tc>
              <w:tc>
                <w:tcPr>
                  <w:tcW w:w="2320" w:type="dxa"/>
                  <w:tcBorders>
                    <w:top w:val="single" w:sz="4" w:space="0" w:color="auto"/>
                    <w:left w:val="single" w:sz="4" w:space="0" w:color="auto"/>
                    <w:bottom w:val="single" w:sz="4" w:space="0" w:color="auto"/>
                    <w:right w:val="single" w:sz="4" w:space="0" w:color="auto"/>
                  </w:tcBorders>
                  <w:hideMark/>
                </w:tcPr>
                <w:p w14:paraId="6226DFB3"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Compliance and Legal</w:t>
                  </w:r>
                </w:p>
              </w:tc>
              <w:tc>
                <w:tcPr>
                  <w:tcW w:w="2304" w:type="dxa"/>
                  <w:tcBorders>
                    <w:top w:val="single" w:sz="4" w:space="0" w:color="auto"/>
                    <w:left w:val="single" w:sz="4" w:space="0" w:color="auto"/>
                    <w:bottom w:val="single" w:sz="4" w:space="0" w:color="auto"/>
                    <w:right w:val="single" w:sz="4" w:space="0" w:color="auto"/>
                  </w:tcBorders>
                </w:tcPr>
                <w:p w14:paraId="0860D017"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Compliance rate of employers contracted for the capital projects.</w:t>
                  </w:r>
                </w:p>
                <w:p w14:paraId="051BB1B7"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p>
                <w:p w14:paraId="127D652B"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Level of monetary contributions from Capital projects</w:t>
                  </w:r>
                </w:p>
              </w:tc>
            </w:tr>
            <w:tr w:rsidR="004012AE" w:rsidRPr="003C1775" w14:paraId="0B1EAF05" w14:textId="77777777" w:rsidTr="00C675E6">
              <w:tc>
                <w:tcPr>
                  <w:tcW w:w="0" w:type="auto"/>
                  <w:vMerge/>
                  <w:tcBorders>
                    <w:top w:val="single" w:sz="4" w:space="0" w:color="auto"/>
                    <w:left w:val="single" w:sz="4" w:space="0" w:color="auto"/>
                    <w:bottom w:val="single" w:sz="4" w:space="0" w:color="auto"/>
                    <w:right w:val="single" w:sz="4" w:space="0" w:color="auto"/>
                  </w:tcBorders>
                  <w:vAlign w:val="center"/>
                  <w:hideMark/>
                </w:tcPr>
                <w:p w14:paraId="3AEFF59C" w14:textId="77777777" w:rsidR="004012AE" w:rsidRPr="003C1775" w:rsidRDefault="004012AE" w:rsidP="004B0B46">
                  <w:pPr>
                    <w:rPr>
                      <w:rFonts w:ascii="Times New Roman" w:hAnsi="Times New Roman" w:cs="Times New Roman"/>
                      <w:sz w:val="24"/>
                      <w:szCs w:val="24"/>
                    </w:rPr>
                  </w:pPr>
                </w:p>
              </w:tc>
              <w:tc>
                <w:tcPr>
                  <w:tcW w:w="2798" w:type="dxa"/>
                  <w:tcBorders>
                    <w:top w:val="single" w:sz="4" w:space="0" w:color="auto"/>
                    <w:left w:val="single" w:sz="4" w:space="0" w:color="auto"/>
                    <w:bottom w:val="single" w:sz="4" w:space="0" w:color="auto"/>
                    <w:right w:val="single" w:sz="4" w:space="0" w:color="auto"/>
                  </w:tcBorders>
                  <w:hideMark/>
                </w:tcPr>
                <w:p w14:paraId="22AE2F60"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Extend remote operations to Canouan</w:t>
                  </w:r>
                </w:p>
              </w:tc>
              <w:tc>
                <w:tcPr>
                  <w:tcW w:w="2320" w:type="dxa"/>
                  <w:tcBorders>
                    <w:top w:val="single" w:sz="4" w:space="0" w:color="auto"/>
                    <w:left w:val="single" w:sz="4" w:space="0" w:color="auto"/>
                    <w:bottom w:val="single" w:sz="4" w:space="0" w:color="auto"/>
                    <w:right w:val="single" w:sz="4" w:space="0" w:color="auto"/>
                  </w:tcBorders>
                  <w:hideMark/>
                </w:tcPr>
                <w:p w14:paraId="0F5C3737"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Administration and Compliance</w:t>
                  </w:r>
                </w:p>
              </w:tc>
              <w:tc>
                <w:tcPr>
                  <w:tcW w:w="2304" w:type="dxa"/>
                  <w:tcBorders>
                    <w:top w:val="single" w:sz="4" w:space="0" w:color="auto"/>
                    <w:left w:val="single" w:sz="4" w:space="0" w:color="auto"/>
                    <w:bottom w:val="single" w:sz="4" w:space="0" w:color="auto"/>
                    <w:right w:val="single" w:sz="4" w:space="0" w:color="auto"/>
                  </w:tcBorders>
                </w:tcPr>
                <w:p w14:paraId="5FBEFB71"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Compliance rate of employers in Canouan</w:t>
                  </w:r>
                </w:p>
                <w:p w14:paraId="3CC0FC50"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p>
                <w:p w14:paraId="529C4FDE"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Coverage rate of employers in Canouan</w:t>
                  </w:r>
                </w:p>
                <w:p w14:paraId="51B0EA70"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p>
              </w:tc>
            </w:tr>
            <w:tr w:rsidR="004012AE" w:rsidRPr="003C1775" w14:paraId="7005A526" w14:textId="77777777" w:rsidTr="00C675E6">
              <w:tc>
                <w:tcPr>
                  <w:tcW w:w="0" w:type="auto"/>
                  <w:vMerge/>
                  <w:tcBorders>
                    <w:top w:val="single" w:sz="4" w:space="0" w:color="auto"/>
                    <w:left w:val="single" w:sz="4" w:space="0" w:color="auto"/>
                    <w:bottom w:val="single" w:sz="4" w:space="0" w:color="auto"/>
                    <w:right w:val="single" w:sz="4" w:space="0" w:color="auto"/>
                  </w:tcBorders>
                  <w:vAlign w:val="center"/>
                  <w:hideMark/>
                </w:tcPr>
                <w:p w14:paraId="332D0E9C" w14:textId="77777777" w:rsidR="004012AE" w:rsidRPr="003C1775" w:rsidRDefault="004012AE" w:rsidP="004B0B46">
                  <w:pPr>
                    <w:rPr>
                      <w:rFonts w:ascii="Times New Roman" w:hAnsi="Times New Roman" w:cs="Times New Roman"/>
                      <w:sz w:val="24"/>
                      <w:szCs w:val="24"/>
                    </w:rPr>
                  </w:pPr>
                </w:p>
              </w:tc>
              <w:tc>
                <w:tcPr>
                  <w:tcW w:w="2798" w:type="dxa"/>
                  <w:tcBorders>
                    <w:top w:val="single" w:sz="4" w:space="0" w:color="auto"/>
                    <w:left w:val="single" w:sz="4" w:space="0" w:color="auto"/>
                    <w:bottom w:val="single" w:sz="4" w:space="0" w:color="auto"/>
                    <w:right w:val="single" w:sz="4" w:space="0" w:color="auto"/>
                  </w:tcBorders>
                  <w:hideMark/>
                </w:tcPr>
                <w:p w14:paraId="62964E90"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Embark on targeted quarterly environmental scanning across SVG including joint audits with Legal Department</w:t>
                  </w:r>
                </w:p>
              </w:tc>
              <w:tc>
                <w:tcPr>
                  <w:tcW w:w="2320" w:type="dxa"/>
                  <w:tcBorders>
                    <w:top w:val="single" w:sz="4" w:space="0" w:color="auto"/>
                    <w:left w:val="single" w:sz="4" w:space="0" w:color="auto"/>
                    <w:bottom w:val="single" w:sz="4" w:space="0" w:color="auto"/>
                    <w:right w:val="single" w:sz="4" w:space="0" w:color="auto"/>
                  </w:tcBorders>
                  <w:hideMark/>
                </w:tcPr>
                <w:p w14:paraId="3B50C6A0"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Compliance and Legal</w:t>
                  </w:r>
                </w:p>
              </w:tc>
              <w:tc>
                <w:tcPr>
                  <w:tcW w:w="2304" w:type="dxa"/>
                  <w:tcBorders>
                    <w:top w:val="single" w:sz="4" w:space="0" w:color="auto"/>
                    <w:left w:val="single" w:sz="4" w:space="0" w:color="auto"/>
                    <w:bottom w:val="single" w:sz="4" w:space="0" w:color="auto"/>
                    <w:right w:val="single" w:sz="4" w:space="0" w:color="auto"/>
                  </w:tcBorders>
                </w:tcPr>
                <w:p w14:paraId="24E0B993"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Monetary compliance rate among employers</w:t>
                  </w:r>
                </w:p>
                <w:p w14:paraId="5C3C00E3"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p>
                <w:p w14:paraId="04FADF0F"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Data compliance rate</w:t>
                  </w:r>
                </w:p>
                <w:p w14:paraId="274BE6B7"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p>
                <w:p w14:paraId="25DED106"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p>
              </w:tc>
            </w:tr>
            <w:tr w:rsidR="004012AE" w:rsidRPr="003C1775" w14:paraId="6DA25BE5" w14:textId="77777777" w:rsidTr="00C675E6">
              <w:tc>
                <w:tcPr>
                  <w:tcW w:w="0" w:type="auto"/>
                  <w:vMerge/>
                  <w:tcBorders>
                    <w:top w:val="single" w:sz="4" w:space="0" w:color="auto"/>
                    <w:left w:val="single" w:sz="4" w:space="0" w:color="auto"/>
                    <w:bottom w:val="single" w:sz="4" w:space="0" w:color="auto"/>
                    <w:right w:val="single" w:sz="4" w:space="0" w:color="auto"/>
                  </w:tcBorders>
                  <w:vAlign w:val="center"/>
                  <w:hideMark/>
                </w:tcPr>
                <w:p w14:paraId="239D9812" w14:textId="77777777" w:rsidR="004012AE" w:rsidRPr="003C1775" w:rsidRDefault="004012AE" w:rsidP="004B0B46">
                  <w:pPr>
                    <w:rPr>
                      <w:rFonts w:ascii="Times New Roman" w:hAnsi="Times New Roman" w:cs="Times New Roman"/>
                      <w:sz w:val="24"/>
                      <w:szCs w:val="24"/>
                    </w:rPr>
                  </w:pPr>
                </w:p>
              </w:tc>
              <w:tc>
                <w:tcPr>
                  <w:tcW w:w="2798" w:type="dxa"/>
                  <w:tcBorders>
                    <w:top w:val="single" w:sz="4" w:space="0" w:color="auto"/>
                    <w:left w:val="single" w:sz="4" w:space="0" w:color="auto"/>
                    <w:bottom w:val="single" w:sz="4" w:space="0" w:color="auto"/>
                    <w:right w:val="single" w:sz="4" w:space="0" w:color="auto"/>
                  </w:tcBorders>
                </w:tcPr>
                <w:p w14:paraId="6FDFA85A"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 xml:space="preserve">Implement timely legal remedies including demand notices, debt proposal, garnishes, liens and filing magistrate and high court claims against delinquent </w:t>
                  </w:r>
                  <w:proofErr w:type="gramStart"/>
                  <w:r w:rsidRPr="003C1775">
                    <w:rPr>
                      <w:rFonts w:ascii="Times New Roman" w:hAnsi="Times New Roman" w:cs="Times New Roman"/>
                      <w:sz w:val="24"/>
                      <w:szCs w:val="24"/>
                    </w:rPr>
                    <w:t>employers</w:t>
                  </w:r>
                  <w:proofErr w:type="gramEnd"/>
                </w:p>
                <w:p w14:paraId="724A7F46"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p>
              </w:tc>
              <w:tc>
                <w:tcPr>
                  <w:tcW w:w="2320" w:type="dxa"/>
                  <w:tcBorders>
                    <w:top w:val="single" w:sz="4" w:space="0" w:color="auto"/>
                    <w:left w:val="single" w:sz="4" w:space="0" w:color="auto"/>
                    <w:bottom w:val="single" w:sz="4" w:space="0" w:color="auto"/>
                    <w:right w:val="single" w:sz="4" w:space="0" w:color="auto"/>
                  </w:tcBorders>
                  <w:hideMark/>
                </w:tcPr>
                <w:p w14:paraId="2F01A6ED"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Legal</w:t>
                  </w:r>
                </w:p>
              </w:tc>
              <w:tc>
                <w:tcPr>
                  <w:tcW w:w="2304" w:type="dxa"/>
                  <w:tcBorders>
                    <w:top w:val="single" w:sz="4" w:space="0" w:color="auto"/>
                    <w:left w:val="single" w:sz="4" w:space="0" w:color="auto"/>
                    <w:bottom w:val="single" w:sz="4" w:space="0" w:color="auto"/>
                    <w:right w:val="single" w:sz="4" w:space="0" w:color="auto"/>
                  </w:tcBorders>
                </w:tcPr>
                <w:p w14:paraId="6D6DADBC"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Proportion of delinquent employers with legal interventions.</w:t>
                  </w:r>
                </w:p>
                <w:p w14:paraId="23AEE4C2"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p>
                <w:p w14:paraId="078AA9D7"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Value of contribution arrears collected.</w:t>
                  </w:r>
                </w:p>
              </w:tc>
            </w:tr>
            <w:tr w:rsidR="004012AE" w:rsidRPr="003C1775" w14:paraId="1B146E24" w14:textId="77777777" w:rsidTr="00C675E6">
              <w:tc>
                <w:tcPr>
                  <w:tcW w:w="1928" w:type="dxa"/>
                  <w:vMerge w:val="restart"/>
                  <w:tcBorders>
                    <w:top w:val="single" w:sz="4" w:space="0" w:color="auto"/>
                    <w:left w:val="single" w:sz="4" w:space="0" w:color="auto"/>
                    <w:bottom w:val="single" w:sz="4" w:space="0" w:color="auto"/>
                    <w:right w:val="single" w:sz="4" w:space="0" w:color="auto"/>
                  </w:tcBorders>
                  <w:hideMark/>
                </w:tcPr>
                <w:p w14:paraId="08AC4247"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Investment Management- To generate income return of 4% and total return of 5%</w:t>
                  </w:r>
                </w:p>
              </w:tc>
              <w:tc>
                <w:tcPr>
                  <w:tcW w:w="2798" w:type="dxa"/>
                  <w:tcBorders>
                    <w:top w:val="single" w:sz="4" w:space="0" w:color="auto"/>
                    <w:left w:val="single" w:sz="4" w:space="0" w:color="auto"/>
                    <w:bottom w:val="single" w:sz="4" w:space="0" w:color="auto"/>
                    <w:right w:val="single" w:sz="4" w:space="0" w:color="auto"/>
                  </w:tcBorders>
                  <w:hideMark/>
                </w:tcPr>
                <w:p w14:paraId="5377486D"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 xml:space="preserve">Participate in income-generating, safe and liquid investment assets and ensuring adequate liquidity to meet obligations when fall due. </w:t>
                  </w:r>
                </w:p>
              </w:tc>
              <w:tc>
                <w:tcPr>
                  <w:tcW w:w="2320" w:type="dxa"/>
                  <w:tcBorders>
                    <w:top w:val="single" w:sz="4" w:space="0" w:color="auto"/>
                    <w:left w:val="single" w:sz="4" w:space="0" w:color="auto"/>
                    <w:bottom w:val="single" w:sz="4" w:space="0" w:color="auto"/>
                    <w:right w:val="single" w:sz="4" w:space="0" w:color="auto"/>
                  </w:tcBorders>
                </w:tcPr>
                <w:p w14:paraId="22226500"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Investment</w:t>
                  </w:r>
                </w:p>
                <w:p w14:paraId="1C897DF4"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p>
              </w:tc>
              <w:tc>
                <w:tcPr>
                  <w:tcW w:w="2304" w:type="dxa"/>
                  <w:tcBorders>
                    <w:top w:val="single" w:sz="4" w:space="0" w:color="auto"/>
                    <w:left w:val="single" w:sz="4" w:space="0" w:color="auto"/>
                    <w:bottom w:val="single" w:sz="4" w:space="0" w:color="auto"/>
                    <w:right w:val="single" w:sz="4" w:space="0" w:color="auto"/>
                  </w:tcBorders>
                </w:tcPr>
                <w:p w14:paraId="61B1C205"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Proportion of income-generating assets in the investment portfolio.</w:t>
                  </w:r>
                </w:p>
                <w:p w14:paraId="7B6D257C"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p>
                <w:p w14:paraId="254406ED"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The rate of return on investment.</w:t>
                  </w:r>
                </w:p>
                <w:p w14:paraId="3DCA75C2"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p>
              </w:tc>
            </w:tr>
            <w:tr w:rsidR="004012AE" w:rsidRPr="003C1775" w14:paraId="3B859235" w14:textId="77777777" w:rsidTr="00C675E6">
              <w:tc>
                <w:tcPr>
                  <w:tcW w:w="0" w:type="auto"/>
                  <w:vMerge/>
                  <w:tcBorders>
                    <w:top w:val="single" w:sz="4" w:space="0" w:color="auto"/>
                    <w:left w:val="single" w:sz="4" w:space="0" w:color="auto"/>
                    <w:bottom w:val="single" w:sz="4" w:space="0" w:color="auto"/>
                    <w:right w:val="single" w:sz="4" w:space="0" w:color="auto"/>
                  </w:tcBorders>
                  <w:vAlign w:val="center"/>
                  <w:hideMark/>
                </w:tcPr>
                <w:p w14:paraId="79D22CAC" w14:textId="77777777" w:rsidR="004012AE" w:rsidRPr="003C1775" w:rsidRDefault="004012AE" w:rsidP="004B0B46">
                  <w:pPr>
                    <w:rPr>
                      <w:rFonts w:ascii="Times New Roman" w:hAnsi="Times New Roman" w:cs="Times New Roman"/>
                      <w:sz w:val="24"/>
                      <w:szCs w:val="24"/>
                    </w:rPr>
                  </w:pPr>
                </w:p>
              </w:tc>
              <w:tc>
                <w:tcPr>
                  <w:tcW w:w="2798" w:type="dxa"/>
                  <w:tcBorders>
                    <w:top w:val="single" w:sz="4" w:space="0" w:color="auto"/>
                    <w:left w:val="single" w:sz="4" w:space="0" w:color="auto"/>
                    <w:bottom w:val="single" w:sz="4" w:space="0" w:color="auto"/>
                    <w:right w:val="single" w:sz="4" w:space="0" w:color="auto"/>
                  </w:tcBorders>
                  <w:hideMark/>
                </w:tcPr>
                <w:p w14:paraId="0F08BB46"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 xml:space="preserve">Execute strategies to convert non-income </w:t>
                  </w:r>
                  <w:r w:rsidRPr="003C1775">
                    <w:rPr>
                      <w:rFonts w:ascii="Times New Roman" w:hAnsi="Times New Roman" w:cs="Times New Roman"/>
                      <w:sz w:val="24"/>
                      <w:szCs w:val="24"/>
                    </w:rPr>
                    <w:lastRenderedPageBreak/>
                    <w:t>generating assets to generating assets</w:t>
                  </w:r>
                </w:p>
              </w:tc>
              <w:tc>
                <w:tcPr>
                  <w:tcW w:w="2320" w:type="dxa"/>
                  <w:tcBorders>
                    <w:top w:val="single" w:sz="4" w:space="0" w:color="auto"/>
                    <w:left w:val="single" w:sz="4" w:space="0" w:color="auto"/>
                    <w:bottom w:val="single" w:sz="4" w:space="0" w:color="auto"/>
                    <w:right w:val="single" w:sz="4" w:space="0" w:color="auto"/>
                  </w:tcBorders>
                  <w:hideMark/>
                </w:tcPr>
                <w:p w14:paraId="5D051869"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lastRenderedPageBreak/>
                    <w:t>Administration, Investment and Maintenance</w:t>
                  </w:r>
                </w:p>
              </w:tc>
              <w:tc>
                <w:tcPr>
                  <w:tcW w:w="2304" w:type="dxa"/>
                  <w:tcBorders>
                    <w:top w:val="single" w:sz="4" w:space="0" w:color="auto"/>
                    <w:left w:val="single" w:sz="4" w:space="0" w:color="auto"/>
                    <w:bottom w:val="single" w:sz="4" w:space="0" w:color="auto"/>
                    <w:right w:val="single" w:sz="4" w:space="0" w:color="auto"/>
                  </w:tcBorders>
                </w:tcPr>
                <w:p w14:paraId="278665E3"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 xml:space="preserve">The portion of non-income generating </w:t>
                  </w:r>
                  <w:r w:rsidRPr="003C1775">
                    <w:rPr>
                      <w:rFonts w:ascii="Times New Roman" w:hAnsi="Times New Roman" w:cs="Times New Roman"/>
                      <w:sz w:val="24"/>
                      <w:szCs w:val="24"/>
                    </w:rPr>
                    <w:lastRenderedPageBreak/>
                    <w:t>assets in the investment portfolio.</w:t>
                  </w:r>
                </w:p>
                <w:p w14:paraId="69FF84F6"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p>
                <w:p w14:paraId="0A9CC6DC"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No. of real estate investments that were converted to income generating</w:t>
                  </w:r>
                </w:p>
              </w:tc>
            </w:tr>
            <w:tr w:rsidR="004012AE" w:rsidRPr="003C1775" w14:paraId="596123E5" w14:textId="77777777" w:rsidTr="00C675E6">
              <w:tc>
                <w:tcPr>
                  <w:tcW w:w="0" w:type="auto"/>
                  <w:vMerge/>
                  <w:tcBorders>
                    <w:top w:val="single" w:sz="4" w:space="0" w:color="auto"/>
                    <w:left w:val="single" w:sz="4" w:space="0" w:color="auto"/>
                    <w:bottom w:val="single" w:sz="4" w:space="0" w:color="auto"/>
                    <w:right w:val="single" w:sz="4" w:space="0" w:color="auto"/>
                  </w:tcBorders>
                  <w:vAlign w:val="center"/>
                  <w:hideMark/>
                </w:tcPr>
                <w:p w14:paraId="0E46BC25" w14:textId="77777777" w:rsidR="004012AE" w:rsidRPr="003C1775" w:rsidRDefault="004012AE" w:rsidP="004B0B46">
                  <w:pPr>
                    <w:rPr>
                      <w:rFonts w:ascii="Times New Roman" w:hAnsi="Times New Roman" w:cs="Times New Roman"/>
                      <w:sz w:val="24"/>
                      <w:szCs w:val="24"/>
                    </w:rPr>
                  </w:pPr>
                </w:p>
              </w:tc>
              <w:tc>
                <w:tcPr>
                  <w:tcW w:w="2798" w:type="dxa"/>
                  <w:tcBorders>
                    <w:top w:val="single" w:sz="4" w:space="0" w:color="auto"/>
                    <w:left w:val="single" w:sz="4" w:space="0" w:color="auto"/>
                    <w:bottom w:val="single" w:sz="4" w:space="0" w:color="auto"/>
                    <w:right w:val="single" w:sz="4" w:space="0" w:color="auto"/>
                  </w:tcBorders>
                  <w:hideMark/>
                </w:tcPr>
                <w:p w14:paraId="4AAC9675"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Improve investment framework around risk management and monitoring of external parties.</w:t>
                  </w:r>
                </w:p>
              </w:tc>
              <w:tc>
                <w:tcPr>
                  <w:tcW w:w="2320" w:type="dxa"/>
                  <w:tcBorders>
                    <w:top w:val="single" w:sz="4" w:space="0" w:color="auto"/>
                    <w:left w:val="single" w:sz="4" w:space="0" w:color="auto"/>
                    <w:bottom w:val="single" w:sz="4" w:space="0" w:color="auto"/>
                    <w:right w:val="single" w:sz="4" w:space="0" w:color="auto"/>
                  </w:tcBorders>
                  <w:hideMark/>
                </w:tcPr>
                <w:p w14:paraId="5A14D720"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Investment</w:t>
                  </w:r>
                </w:p>
              </w:tc>
              <w:tc>
                <w:tcPr>
                  <w:tcW w:w="2304" w:type="dxa"/>
                  <w:tcBorders>
                    <w:top w:val="single" w:sz="4" w:space="0" w:color="auto"/>
                    <w:left w:val="single" w:sz="4" w:space="0" w:color="auto"/>
                    <w:bottom w:val="single" w:sz="4" w:space="0" w:color="auto"/>
                    <w:right w:val="single" w:sz="4" w:space="0" w:color="auto"/>
                  </w:tcBorders>
                  <w:hideMark/>
                </w:tcPr>
                <w:p w14:paraId="6C8DD18C"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Portfolio duration</w:t>
                  </w:r>
                </w:p>
                <w:p w14:paraId="17ACC96B"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Credit quality of the portfolio</w:t>
                  </w:r>
                </w:p>
                <w:p w14:paraId="5AB7D487"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Performance of external asset managers</w:t>
                  </w:r>
                </w:p>
              </w:tc>
            </w:tr>
            <w:tr w:rsidR="004012AE" w:rsidRPr="003C1775" w14:paraId="6CC40F0E" w14:textId="77777777" w:rsidTr="00C675E6">
              <w:tc>
                <w:tcPr>
                  <w:tcW w:w="1928" w:type="dxa"/>
                  <w:vMerge w:val="restart"/>
                  <w:tcBorders>
                    <w:top w:val="single" w:sz="4" w:space="0" w:color="auto"/>
                    <w:left w:val="single" w:sz="4" w:space="0" w:color="auto"/>
                    <w:bottom w:val="single" w:sz="4" w:space="0" w:color="auto"/>
                    <w:right w:val="single" w:sz="4" w:space="0" w:color="auto"/>
                  </w:tcBorders>
                  <w:hideMark/>
                </w:tcPr>
                <w:p w14:paraId="7EAAF4C2"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Coverage</w:t>
                  </w:r>
                </w:p>
              </w:tc>
              <w:tc>
                <w:tcPr>
                  <w:tcW w:w="2798" w:type="dxa"/>
                  <w:tcBorders>
                    <w:top w:val="single" w:sz="4" w:space="0" w:color="auto"/>
                    <w:left w:val="single" w:sz="4" w:space="0" w:color="auto"/>
                    <w:bottom w:val="single" w:sz="4" w:space="0" w:color="auto"/>
                    <w:right w:val="single" w:sz="4" w:space="0" w:color="auto"/>
                  </w:tcBorders>
                  <w:hideMark/>
                </w:tcPr>
                <w:p w14:paraId="7F7CBE3E"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Engage in targeted marketing campaigns to self-employed persons, informal sector workers and voluntary contributors. Also, registration drive among the targeted group</w:t>
                  </w:r>
                </w:p>
              </w:tc>
              <w:tc>
                <w:tcPr>
                  <w:tcW w:w="2320" w:type="dxa"/>
                  <w:tcBorders>
                    <w:top w:val="single" w:sz="4" w:space="0" w:color="auto"/>
                    <w:left w:val="single" w:sz="4" w:space="0" w:color="auto"/>
                    <w:bottom w:val="single" w:sz="4" w:space="0" w:color="auto"/>
                    <w:right w:val="single" w:sz="4" w:space="0" w:color="auto"/>
                  </w:tcBorders>
                  <w:hideMark/>
                </w:tcPr>
                <w:p w14:paraId="6F9B55D1"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Customer Service and Communications</w:t>
                  </w:r>
                </w:p>
              </w:tc>
              <w:tc>
                <w:tcPr>
                  <w:tcW w:w="2304" w:type="dxa"/>
                  <w:tcBorders>
                    <w:top w:val="single" w:sz="4" w:space="0" w:color="auto"/>
                    <w:left w:val="single" w:sz="4" w:space="0" w:color="auto"/>
                    <w:bottom w:val="single" w:sz="4" w:space="0" w:color="auto"/>
                    <w:right w:val="single" w:sz="4" w:space="0" w:color="auto"/>
                  </w:tcBorders>
                </w:tcPr>
                <w:p w14:paraId="35383886"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No. of new self-employed and voluntary contributors.</w:t>
                  </w:r>
                </w:p>
                <w:p w14:paraId="48DD416C"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p>
                <w:p w14:paraId="6B23B6C8"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Coverage rate of the informal sector.</w:t>
                  </w:r>
                </w:p>
                <w:p w14:paraId="5427FBBC"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p>
                <w:p w14:paraId="1CF1367D"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No. of marketing initiatives executed to the target group.</w:t>
                  </w:r>
                </w:p>
              </w:tc>
            </w:tr>
            <w:tr w:rsidR="004012AE" w:rsidRPr="003C1775" w14:paraId="4F763E3A" w14:textId="77777777" w:rsidTr="00C675E6">
              <w:tc>
                <w:tcPr>
                  <w:tcW w:w="0" w:type="auto"/>
                  <w:vMerge/>
                  <w:tcBorders>
                    <w:top w:val="single" w:sz="4" w:space="0" w:color="auto"/>
                    <w:left w:val="single" w:sz="4" w:space="0" w:color="auto"/>
                    <w:bottom w:val="single" w:sz="4" w:space="0" w:color="auto"/>
                    <w:right w:val="single" w:sz="4" w:space="0" w:color="auto"/>
                  </w:tcBorders>
                  <w:vAlign w:val="center"/>
                  <w:hideMark/>
                </w:tcPr>
                <w:p w14:paraId="38828E63" w14:textId="77777777" w:rsidR="004012AE" w:rsidRPr="003C1775" w:rsidRDefault="004012AE" w:rsidP="004B0B46">
                  <w:pPr>
                    <w:rPr>
                      <w:rFonts w:ascii="Times New Roman" w:hAnsi="Times New Roman" w:cs="Times New Roman"/>
                      <w:sz w:val="24"/>
                      <w:szCs w:val="24"/>
                    </w:rPr>
                  </w:pPr>
                </w:p>
              </w:tc>
              <w:tc>
                <w:tcPr>
                  <w:tcW w:w="2798" w:type="dxa"/>
                  <w:tcBorders>
                    <w:top w:val="single" w:sz="4" w:space="0" w:color="auto"/>
                    <w:left w:val="single" w:sz="4" w:space="0" w:color="auto"/>
                    <w:bottom w:val="single" w:sz="4" w:space="0" w:color="auto"/>
                    <w:right w:val="single" w:sz="4" w:space="0" w:color="auto"/>
                  </w:tcBorders>
                  <w:hideMark/>
                </w:tcPr>
                <w:p w14:paraId="039D4103"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 xml:space="preserve">Forge strategic linkages with key stakeholders’ groups for self-employed persons, informal </w:t>
                  </w:r>
                  <w:proofErr w:type="gramStart"/>
                  <w:r w:rsidRPr="003C1775">
                    <w:rPr>
                      <w:rFonts w:ascii="Times New Roman" w:hAnsi="Times New Roman" w:cs="Times New Roman"/>
                      <w:sz w:val="24"/>
                      <w:szCs w:val="24"/>
                    </w:rPr>
                    <w:t>workers</w:t>
                  </w:r>
                  <w:proofErr w:type="gramEnd"/>
                  <w:r w:rsidRPr="003C1775">
                    <w:rPr>
                      <w:rFonts w:ascii="Times New Roman" w:hAnsi="Times New Roman" w:cs="Times New Roman"/>
                      <w:sz w:val="24"/>
                      <w:szCs w:val="24"/>
                    </w:rPr>
                    <w:t xml:space="preserve"> and voluntary contributors.</w:t>
                  </w:r>
                </w:p>
              </w:tc>
              <w:tc>
                <w:tcPr>
                  <w:tcW w:w="2320" w:type="dxa"/>
                  <w:tcBorders>
                    <w:top w:val="single" w:sz="4" w:space="0" w:color="auto"/>
                    <w:left w:val="single" w:sz="4" w:space="0" w:color="auto"/>
                    <w:bottom w:val="single" w:sz="4" w:space="0" w:color="auto"/>
                    <w:right w:val="single" w:sz="4" w:space="0" w:color="auto"/>
                  </w:tcBorders>
                  <w:hideMark/>
                </w:tcPr>
                <w:p w14:paraId="42D3C9C9"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Customer Service and Communication</w:t>
                  </w:r>
                </w:p>
              </w:tc>
              <w:tc>
                <w:tcPr>
                  <w:tcW w:w="2304" w:type="dxa"/>
                  <w:tcBorders>
                    <w:top w:val="single" w:sz="4" w:space="0" w:color="auto"/>
                    <w:left w:val="single" w:sz="4" w:space="0" w:color="auto"/>
                    <w:bottom w:val="single" w:sz="4" w:space="0" w:color="auto"/>
                    <w:right w:val="single" w:sz="4" w:space="0" w:color="auto"/>
                  </w:tcBorders>
                </w:tcPr>
                <w:p w14:paraId="51F0F89D"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No. of strategic partnerships forged.</w:t>
                  </w:r>
                </w:p>
                <w:p w14:paraId="247E7BA6"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p>
                <w:p w14:paraId="235A5644"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No. of joint sessions with partners.</w:t>
                  </w:r>
                </w:p>
                <w:p w14:paraId="5BAC22B4"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p>
                <w:p w14:paraId="75BC2F79"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Coverage rates among the target groups.</w:t>
                  </w:r>
                </w:p>
              </w:tc>
            </w:tr>
            <w:tr w:rsidR="004012AE" w:rsidRPr="003C1775" w14:paraId="78F2EC76" w14:textId="77777777" w:rsidTr="00C675E6">
              <w:tc>
                <w:tcPr>
                  <w:tcW w:w="1928" w:type="dxa"/>
                  <w:vMerge w:val="restart"/>
                  <w:tcBorders>
                    <w:top w:val="single" w:sz="4" w:space="0" w:color="auto"/>
                    <w:left w:val="single" w:sz="4" w:space="0" w:color="auto"/>
                    <w:bottom w:val="single" w:sz="4" w:space="0" w:color="auto"/>
                    <w:right w:val="single" w:sz="4" w:space="0" w:color="auto"/>
                  </w:tcBorders>
                  <w:hideMark/>
                </w:tcPr>
                <w:p w14:paraId="063E07EC"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Cost Containment</w:t>
                  </w:r>
                </w:p>
              </w:tc>
              <w:tc>
                <w:tcPr>
                  <w:tcW w:w="2798" w:type="dxa"/>
                  <w:tcBorders>
                    <w:top w:val="single" w:sz="4" w:space="0" w:color="auto"/>
                    <w:left w:val="single" w:sz="4" w:space="0" w:color="auto"/>
                    <w:bottom w:val="single" w:sz="4" w:space="0" w:color="auto"/>
                    <w:right w:val="single" w:sz="4" w:space="0" w:color="auto"/>
                  </w:tcBorders>
                  <w:hideMark/>
                </w:tcPr>
                <w:p w14:paraId="14C29BD7"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 xml:space="preserve">Promote a </w:t>
                  </w:r>
                  <w:proofErr w:type="gramStart"/>
                  <w:r w:rsidRPr="003C1775">
                    <w:rPr>
                      <w:rFonts w:ascii="Times New Roman" w:hAnsi="Times New Roman" w:cs="Times New Roman"/>
                      <w:sz w:val="24"/>
                      <w:szCs w:val="24"/>
                    </w:rPr>
                    <w:t>cost conscious</w:t>
                  </w:r>
                  <w:proofErr w:type="gramEnd"/>
                  <w:r w:rsidRPr="003C1775">
                    <w:rPr>
                      <w:rFonts w:ascii="Times New Roman" w:hAnsi="Times New Roman" w:cs="Times New Roman"/>
                      <w:sz w:val="24"/>
                      <w:szCs w:val="24"/>
                    </w:rPr>
                    <w:t xml:space="preserve"> culture within the organization.</w:t>
                  </w:r>
                </w:p>
              </w:tc>
              <w:tc>
                <w:tcPr>
                  <w:tcW w:w="2320" w:type="dxa"/>
                  <w:tcBorders>
                    <w:top w:val="single" w:sz="4" w:space="0" w:color="auto"/>
                    <w:left w:val="single" w:sz="4" w:space="0" w:color="auto"/>
                    <w:bottom w:val="single" w:sz="4" w:space="0" w:color="auto"/>
                    <w:right w:val="single" w:sz="4" w:space="0" w:color="auto"/>
                  </w:tcBorders>
                  <w:hideMark/>
                </w:tcPr>
                <w:p w14:paraId="08E135F0"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All Business Units</w:t>
                  </w:r>
                </w:p>
              </w:tc>
              <w:tc>
                <w:tcPr>
                  <w:tcW w:w="2304" w:type="dxa"/>
                  <w:tcBorders>
                    <w:top w:val="single" w:sz="4" w:space="0" w:color="auto"/>
                    <w:left w:val="single" w:sz="4" w:space="0" w:color="auto"/>
                    <w:bottom w:val="single" w:sz="4" w:space="0" w:color="auto"/>
                    <w:right w:val="single" w:sz="4" w:space="0" w:color="auto"/>
                  </w:tcBorders>
                </w:tcPr>
                <w:p w14:paraId="42DEFFD2"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Administrative Efficiency ratio</w:t>
                  </w:r>
                </w:p>
                <w:p w14:paraId="0008E7A5"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p>
                <w:p w14:paraId="70AB5BF0"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p>
              </w:tc>
            </w:tr>
            <w:tr w:rsidR="004012AE" w:rsidRPr="003C1775" w14:paraId="711226AE" w14:textId="77777777" w:rsidTr="00C675E6">
              <w:tc>
                <w:tcPr>
                  <w:tcW w:w="0" w:type="auto"/>
                  <w:vMerge/>
                  <w:tcBorders>
                    <w:top w:val="single" w:sz="4" w:space="0" w:color="auto"/>
                    <w:left w:val="single" w:sz="4" w:space="0" w:color="auto"/>
                    <w:bottom w:val="single" w:sz="4" w:space="0" w:color="auto"/>
                    <w:right w:val="single" w:sz="4" w:space="0" w:color="auto"/>
                  </w:tcBorders>
                  <w:vAlign w:val="center"/>
                  <w:hideMark/>
                </w:tcPr>
                <w:p w14:paraId="1A667676" w14:textId="77777777" w:rsidR="004012AE" w:rsidRPr="003C1775" w:rsidRDefault="004012AE" w:rsidP="004B0B46">
                  <w:pPr>
                    <w:rPr>
                      <w:rFonts w:ascii="Times New Roman" w:hAnsi="Times New Roman" w:cs="Times New Roman"/>
                      <w:sz w:val="24"/>
                      <w:szCs w:val="24"/>
                    </w:rPr>
                  </w:pPr>
                </w:p>
              </w:tc>
              <w:tc>
                <w:tcPr>
                  <w:tcW w:w="2798" w:type="dxa"/>
                  <w:tcBorders>
                    <w:top w:val="single" w:sz="4" w:space="0" w:color="auto"/>
                    <w:left w:val="single" w:sz="4" w:space="0" w:color="auto"/>
                    <w:bottom w:val="single" w:sz="4" w:space="0" w:color="auto"/>
                    <w:right w:val="single" w:sz="4" w:space="0" w:color="auto"/>
                  </w:tcBorders>
                  <w:hideMark/>
                </w:tcPr>
                <w:p w14:paraId="67DB4FA0"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Adhere to the procurement policy and adopt cost rationalization strategies</w:t>
                  </w:r>
                </w:p>
              </w:tc>
              <w:tc>
                <w:tcPr>
                  <w:tcW w:w="2320" w:type="dxa"/>
                  <w:tcBorders>
                    <w:top w:val="single" w:sz="4" w:space="0" w:color="auto"/>
                    <w:left w:val="single" w:sz="4" w:space="0" w:color="auto"/>
                    <w:bottom w:val="single" w:sz="4" w:space="0" w:color="auto"/>
                    <w:right w:val="single" w:sz="4" w:space="0" w:color="auto"/>
                  </w:tcBorders>
                  <w:hideMark/>
                </w:tcPr>
                <w:p w14:paraId="638AA742"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All Business Units</w:t>
                  </w:r>
                </w:p>
              </w:tc>
              <w:tc>
                <w:tcPr>
                  <w:tcW w:w="2304" w:type="dxa"/>
                  <w:tcBorders>
                    <w:top w:val="single" w:sz="4" w:space="0" w:color="auto"/>
                    <w:left w:val="single" w:sz="4" w:space="0" w:color="auto"/>
                    <w:bottom w:val="single" w:sz="4" w:space="0" w:color="auto"/>
                    <w:right w:val="single" w:sz="4" w:space="0" w:color="auto"/>
                  </w:tcBorders>
                  <w:hideMark/>
                </w:tcPr>
                <w:p w14:paraId="593F6BA9"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Administrative Efficiency ratio</w:t>
                  </w:r>
                </w:p>
              </w:tc>
            </w:tr>
            <w:tr w:rsidR="004012AE" w:rsidRPr="003C1775" w14:paraId="4BE47776" w14:textId="77777777" w:rsidTr="00C675E6">
              <w:tc>
                <w:tcPr>
                  <w:tcW w:w="9350" w:type="dxa"/>
                  <w:gridSpan w:val="4"/>
                  <w:tcBorders>
                    <w:top w:val="single" w:sz="4" w:space="0" w:color="auto"/>
                    <w:left w:val="single" w:sz="4" w:space="0" w:color="auto"/>
                    <w:bottom w:val="single" w:sz="4" w:space="0" w:color="auto"/>
                    <w:right w:val="single" w:sz="4" w:space="0" w:color="auto"/>
                  </w:tcBorders>
                  <w:hideMark/>
                </w:tcPr>
                <w:p w14:paraId="6062DDD1" w14:textId="77777777" w:rsidR="004012AE" w:rsidRPr="003C1775" w:rsidRDefault="004012AE" w:rsidP="004B0B46">
                  <w:pPr>
                    <w:pStyle w:val="p3"/>
                    <w:spacing w:before="0" w:beforeAutospacing="0" w:after="0" w:afterAutospacing="0"/>
                    <w:jc w:val="center"/>
                    <w:rPr>
                      <w:rFonts w:ascii="Times New Roman" w:hAnsi="Times New Roman" w:cs="Times New Roman"/>
                      <w:b/>
                      <w:bCs/>
                      <w:sz w:val="24"/>
                      <w:szCs w:val="24"/>
                    </w:rPr>
                  </w:pPr>
                  <w:r w:rsidRPr="003C1775">
                    <w:rPr>
                      <w:rFonts w:ascii="Times New Roman" w:hAnsi="Times New Roman" w:cs="Times New Roman"/>
                      <w:b/>
                      <w:bCs/>
                      <w:sz w:val="24"/>
                      <w:szCs w:val="24"/>
                    </w:rPr>
                    <w:t>Enhancing Customer Satisfaction</w:t>
                  </w:r>
                </w:p>
              </w:tc>
            </w:tr>
            <w:tr w:rsidR="004012AE" w:rsidRPr="003C1775" w14:paraId="35356717" w14:textId="77777777" w:rsidTr="00C675E6">
              <w:tc>
                <w:tcPr>
                  <w:tcW w:w="1928" w:type="dxa"/>
                  <w:tcBorders>
                    <w:top w:val="single" w:sz="4" w:space="0" w:color="auto"/>
                    <w:left w:val="single" w:sz="4" w:space="0" w:color="auto"/>
                    <w:bottom w:val="single" w:sz="4" w:space="0" w:color="auto"/>
                    <w:right w:val="single" w:sz="4" w:space="0" w:color="auto"/>
                  </w:tcBorders>
                  <w:hideMark/>
                </w:tcPr>
                <w:p w14:paraId="16C7D039"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Digital Transformation</w:t>
                  </w:r>
                </w:p>
              </w:tc>
              <w:tc>
                <w:tcPr>
                  <w:tcW w:w="2798" w:type="dxa"/>
                  <w:tcBorders>
                    <w:top w:val="single" w:sz="4" w:space="0" w:color="auto"/>
                    <w:left w:val="single" w:sz="4" w:space="0" w:color="auto"/>
                    <w:bottom w:val="single" w:sz="4" w:space="0" w:color="auto"/>
                    <w:right w:val="single" w:sz="4" w:space="0" w:color="auto"/>
                  </w:tcBorders>
                  <w:hideMark/>
                </w:tcPr>
                <w:p w14:paraId="0A8BD2D5"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Implement the new management system within revised timeline and budget.</w:t>
                  </w:r>
                </w:p>
              </w:tc>
              <w:tc>
                <w:tcPr>
                  <w:tcW w:w="2320" w:type="dxa"/>
                  <w:tcBorders>
                    <w:top w:val="single" w:sz="4" w:space="0" w:color="auto"/>
                    <w:left w:val="single" w:sz="4" w:space="0" w:color="auto"/>
                    <w:bottom w:val="single" w:sz="4" w:space="0" w:color="auto"/>
                    <w:right w:val="single" w:sz="4" w:space="0" w:color="auto"/>
                  </w:tcBorders>
                  <w:hideMark/>
                </w:tcPr>
                <w:p w14:paraId="3123EABB"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Project Unit</w:t>
                  </w:r>
                </w:p>
              </w:tc>
              <w:tc>
                <w:tcPr>
                  <w:tcW w:w="2304" w:type="dxa"/>
                  <w:tcBorders>
                    <w:top w:val="single" w:sz="4" w:space="0" w:color="auto"/>
                    <w:left w:val="single" w:sz="4" w:space="0" w:color="auto"/>
                    <w:bottom w:val="single" w:sz="4" w:space="0" w:color="auto"/>
                    <w:right w:val="single" w:sz="4" w:space="0" w:color="auto"/>
                  </w:tcBorders>
                  <w:hideMark/>
                </w:tcPr>
                <w:p w14:paraId="49F0C7FF"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No. of NIS’ services offered online via new management system</w:t>
                  </w:r>
                </w:p>
              </w:tc>
            </w:tr>
            <w:tr w:rsidR="004012AE" w:rsidRPr="003C1775" w14:paraId="4BC5BF73" w14:textId="77777777" w:rsidTr="00C675E6">
              <w:tc>
                <w:tcPr>
                  <w:tcW w:w="1928" w:type="dxa"/>
                  <w:vMerge w:val="restart"/>
                  <w:tcBorders>
                    <w:top w:val="single" w:sz="4" w:space="0" w:color="auto"/>
                    <w:left w:val="single" w:sz="4" w:space="0" w:color="auto"/>
                    <w:bottom w:val="single" w:sz="4" w:space="0" w:color="auto"/>
                    <w:right w:val="single" w:sz="4" w:space="0" w:color="auto"/>
                  </w:tcBorders>
                  <w:hideMark/>
                </w:tcPr>
                <w:p w14:paraId="5CC0B4F2"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lastRenderedPageBreak/>
                    <w:t>Process Enhancement</w:t>
                  </w:r>
                </w:p>
              </w:tc>
              <w:tc>
                <w:tcPr>
                  <w:tcW w:w="2798" w:type="dxa"/>
                  <w:tcBorders>
                    <w:top w:val="single" w:sz="4" w:space="0" w:color="auto"/>
                    <w:left w:val="single" w:sz="4" w:space="0" w:color="auto"/>
                    <w:bottom w:val="single" w:sz="4" w:space="0" w:color="auto"/>
                    <w:right w:val="single" w:sz="4" w:space="0" w:color="auto"/>
                  </w:tcBorders>
                  <w:hideMark/>
                </w:tcPr>
                <w:p w14:paraId="67EA8EB7"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Streamline, digitize, and/or review processes for registration, Data Processing, Benefits and Accounts</w:t>
                  </w:r>
                </w:p>
              </w:tc>
              <w:tc>
                <w:tcPr>
                  <w:tcW w:w="2320" w:type="dxa"/>
                  <w:tcBorders>
                    <w:top w:val="single" w:sz="4" w:space="0" w:color="auto"/>
                    <w:left w:val="single" w:sz="4" w:space="0" w:color="auto"/>
                    <w:bottom w:val="single" w:sz="4" w:space="0" w:color="auto"/>
                    <w:right w:val="single" w:sz="4" w:space="0" w:color="auto"/>
                  </w:tcBorders>
                  <w:hideMark/>
                </w:tcPr>
                <w:p w14:paraId="2C71E46A"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 xml:space="preserve">Benefits, Customer Service and Communications, Accounts and Data Processing </w:t>
                  </w:r>
                </w:p>
              </w:tc>
              <w:tc>
                <w:tcPr>
                  <w:tcW w:w="2304" w:type="dxa"/>
                  <w:tcBorders>
                    <w:top w:val="single" w:sz="4" w:space="0" w:color="auto"/>
                    <w:left w:val="single" w:sz="4" w:space="0" w:color="auto"/>
                    <w:bottom w:val="single" w:sz="4" w:space="0" w:color="auto"/>
                    <w:right w:val="single" w:sz="4" w:space="0" w:color="auto"/>
                  </w:tcBorders>
                  <w:hideMark/>
                </w:tcPr>
                <w:p w14:paraId="2854797F"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Turnaround time for registration, wage records, benefit claims and benefit payments.</w:t>
                  </w:r>
                </w:p>
              </w:tc>
            </w:tr>
            <w:tr w:rsidR="004012AE" w:rsidRPr="003C1775" w14:paraId="4716AF9F" w14:textId="77777777" w:rsidTr="00C675E6">
              <w:tc>
                <w:tcPr>
                  <w:tcW w:w="0" w:type="auto"/>
                  <w:vMerge/>
                  <w:tcBorders>
                    <w:top w:val="single" w:sz="4" w:space="0" w:color="auto"/>
                    <w:left w:val="single" w:sz="4" w:space="0" w:color="auto"/>
                    <w:bottom w:val="single" w:sz="4" w:space="0" w:color="auto"/>
                    <w:right w:val="single" w:sz="4" w:space="0" w:color="auto"/>
                  </w:tcBorders>
                  <w:vAlign w:val="center"/>
                  <w:hideMark/>
                </w:tcPr>
                <w:p w14:paraId="7C4E6F19" w14:textId="77777777" w:rsidR="004012AE" w:rsidRPr="003C1775" w:rsidRDefault="004012AE" w:rsidP="004B0B46">
                  <w:pPr>
                    <w:rPr>
                      <w:rFonts w:ascii="Times New Roman" w:hAnsi="Times New Roman" w:cs="Times New Roman"/>
                      <w:sz w:val="24"/>
                      <w:szCs w:val="24"/>
                    </w:rPr>
                  </w:pPr>
                </w:p>
              </w:tc>
              <w:tc>
                <w:tcPr>
                  <w:tcW w:w="2798" w:type="dxa"/>
                  <w:tcBorders>
                    <w:top w:val="single" w:sz="4" w:space="0" w:color="auto"/>
                    <w:left w:val="single" w:sz="4" w:space="0" w:color="auto"/>
                    <w:bottom w:val="single" w:sz="4" w:space="0" w:color="auto"/>
                    <w:right w:val="single" w:sz="4" w:space="0" w:color="auto"/>
                  </w:tcBorders>
                  <w:hideMark/>
                </w:tcPr>
                <w:p w14:paraId="6809077E"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 xml:space="preserve">Develop a structured system to </w:t>
                  </w:r>
                  <w:proofErr w:type="spellStart"/>
                  <w:proofErr w:type="gramStart"/>
                  <w:r w:rsidRPr="003C1775">
                    <w:rPr>
                      <w:rFonts w:ascii="Times New Roman" w:hAnsi="Times New Roman" w:cs="Times New Roman"/>
                      <w:sz w:val="24"/>
                      <w:szCs w:val="24"/>
                    </w:rPr>
                    <w:t>log,store</w:t>
                  </w:r>
                  <w:proofErr w:type="spellEnd"/>
                  <w:proofErr w:type="gramEnd"/>
                  <w:r w:rsidRPr="003C1775">
                    <w:rPr>
                      <w:rFonts w:ascii="Times New Roman" w:hAnsi="Times New Roman" w:cs="Times New Roman"/>
                      <w:sz w:val="24"/>
                      <w:szCs w:val="24"/>
                    </w:rPr>
                    <w:t>, resolve and monitor customers’ feedback</w:t>
                  </w:r>
                </w:p>
              </w:tc>
              <w:tc>
                <w:tcPr>
                  <w:tcW w:w="2320" w:type="dxa"/>
                  <w:tcBorders>
                    <w:top w:val="single" w:sz="4" w:space="0" w:color="auto"/>
                    <w:left w:val="single" w:sz="4" w:space="0" w:color="auto"/>
                    <w:bottom w:val="single" w:sz="4" w:space="0" w:color="auto"/>
                    <w:right w:val="single" w:sz="4" w:space="0" w:color="auto"/>
                  </w:tcBorders>
                  <w:hideMark/>
                </w:tcPr>
                <w:p w14:paraId="3D715EE4"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Customer Service Unit and IT Department</w:t>
                  </w:r>
                </w:p>
              </w:tc>
              <w:tc>
                <w:tcPr>
                  <w:tcW w:w="2304" w:type="dxa"/>
                  <w:tcBorders>
                    <w:top w:val="single" w:sz="4" w:space="0" w:color="auto"/>
                    <w:left w:val="single" w:sz="4" w:space="0" w:color="auto"/>
                    <w:bottom w:val="single" w:sz="4" w:space="0" w:color="auto"/>
                    <w:right w:val="single" w:sz="4" w:space="0" w:color="auto"/>
                  </w:tcBorders>
                </w:tcPr>
                <w:p w14:paraId="41521CCE"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Implementation of system.</w:t>
                  </w:r>
                </w:p>
                <w:p w14:paraId="0627EBB9"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p>
                <w:p w14:paraId="448AC65D"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Resolution rate of customers’ queries.</w:t>
                  </w:r>
                </w:p>
                <w:p w14:paraId="1AE8B36E"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p>
                <w:p w14:paraId="6C384E09"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Customers’ satisfaction score</w:t>
                  </w:r>
                </w:p>
              </w:tc>
            </w:tr>
            <w:tr w:rsidR="004012AE" w:rsidRPr="003C1775" w14:paraId="60093E47" w14:textId="77777777" w:rsidTr="00C675E6">
              <w:tc>
                <w:tcPr>
                  <w:tcW w:w="0" w:type="auto"/>
                  <w:vMerge/>
                  <w:tcBorders>
                    <w:top w:val="single" w:sz="4" w:space="0" w:color="auto"/>
                    <w:left w:val="single" w:sz="4" w:space="0" w:color="auto"/>
                    <w:bottom w:val="single" w:sz="4" w:space="0" w:color="auto"/>
                    <w:right w:val="single" w:sz="4" w:space="0" w:color="auto"/>
                  </w:tcBorders>
                  <w:vAlign w:val="center"/>
                  <w:hideMark/>
                </w:tcPr>
                <w:p w14:paraId="4C5C4672" w14:textId="77777777" w:rsidR="004012AE" w:rsidRPr="003C1775" w:rsidRDefault="004012AE" w:rsidP="004B0B46">
                  <w:pPr>
                    <w:rPr>
                      <w:rFonts w:ascii="Times New Roman" w:hAnsi="Times New Roman" w:cs="Times New Roman"/>
                      <w:sz w:val="24"/>
                      <w:szCs w:val="24"/>
                    </w:rPr>
                  </w:pPr>
                </w:p>
              </w:tc>
              <w:tc>
                <w:tcPr>
                  <w:tcW w:w="2798" w:type="dxa"/>
                  <w:tcBorders>
                    <w:top w:val="single" w:sz="4" w:space="0" w:color="auto"/>
                    <w:left w:val="single" w:sz="4" w:space="0" w:color="auto"/>
                    <w:bottom w:val="single" w:sz="4" w:space="0" w:color="auto"/>
                    <w:right w:val="single" w:sz="4" w:space="0" w:color="auto"/>
                  </w:tcBorders>
                  <w:hideMark/>
                </w:tcPr>
                <w:p w14:paraId="0B075B89"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Establish a Communication Plan</w:t>
                  </w:r>
                </w:p>
              </w:tc>
              <w:tc>
                <w:tcPr>
                  <w:tcW w:w="2320" w:type="dxa"/>
                  <w:tcBorders>
                    <w:top w:val="single" w:sz="4" w:space="0" w:color="auto"/>
                    <w:left w:val="single" w:sz="4" w:space="0" w:color="auto"/>
                    <w:bottom w:val="single" w:sz="4" w:space="0" w:color="auto"/>
                    <w:right w:val="single" w:sz="4" w:space="0" w:color="auto"/>
                  </w:tcBorders>
                  <w:hideMark/>
                </w:tcPr>
                <w:p w14:paraId="344F3B43"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Customer Service and Communication Unit</w:t>
                  </w:r>
                </w:p>
              </w:tc>
              <w:tc>
                <w:tcPr>
                  <w:tcW w:w="2304" w:type="dxa"/>
                  <w:tcBorders>
                    <w:top w:val="single" w:sz="4" w:space="0" w:color="auto"/>
                    <w:left w:val="single" w:sz="4" w:space="0" w:color="auto"/>
                    <w:bottom w:val="single" w:sz="4" w:space="0" w:color="auto"/>
                    <w:right w:val="single" w:sz="4" w:space="0" w:color="auto"/>
                  </w:tcBorders>
                  <w:hideMark/>
                </w:tcPr>
                <w:p w14:paraId="5EA13E6C"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Completion Status of the communication plan.</w:t>
                  </w:r>
                </w:p>
                <w:p w14:paraId="6AE4A134"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Customers’ satisfaction score</w:t>
                  </w:r>
                </w:p>
              </w:tc>
            </w:tr>
            <w:tr w:rsidR="004012AE" w:rsidRPr="003C1775" w14:paraId="163952A7" w14:textId="77777777" w:rsidTr="00C675E6">
              <w:tc>
                <w:tcPr>
                  <w:tcW w:w="1928" w:type="dxa"/>
                  <w:vMerge w:val="restart"/>
                  <w:tcBorders>
                    <w:top w:val="single" w:sz="4" w:space="0" w:color="auto"/>
                    <w:left w:val="single" w:sz="4" w:space="0" w:color="auto"/>
                    <w:bottom w:val="single" w:sz="4" w:space="0" w:color="auto"/>
                    <w:right w:val="single" w:sz="4" w:space="0" w:color="auto"/>
                  </w:tcBorders>
                  <w:hideMark/>
                </w:tcPr>
                <w:p w14:paraId="5DA70355"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Human Resource Strengthening</w:t>
                  </w:r>
                </w:p>
              </w:tc>
              <w:tc>
                <w:tcPr>
                  <w:tcW w:w="2798" w:type="dxa"/>
                  <w:tcBorders>
                    <w:top w:val="single" w:sz="4" w:space="0" w:color="auto"/>
                    <w:left w:val="single" w:sz="4" w:space="0" w:color="auto"/>
                    <w:bottom w:val="single" w:sz="4" w:space="0" w:color="auto"/>
                    <w:right w:val="single" w:sz="4" w:space="0" w:color="auto"/>
                  </w:tcBorders>
                  <w:hideMark/>
                </w:tcPr>
                <w:p w14:paraId="6B37B00A"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Improve people management through employee engagement, improve communication, building trust, being more empathetic and focusing on mentorship</w:t>
                  </w:r>
                </w:p>
              </w:tc>
              <w:tc>
                <w:tcPr>
                  <w:tcW w:w="2320" w:type="dxa"/>
                  <w:tcBorders>
                    <w:top w:val="single" w:sz="4" w:space="0" w:color="auto"/>
                    <w:left w:val="single" w:sz="4" w:space="0" w:color="auto"/>
                    <w:bottom w:val="single" w:sz="4" w:space="0" w:color="auto"/>
                    <w:right w:val="single" w:sz="4" w:space="0" w:color="auto"/>
                  </w:tcBorders>
                  <w:hideMark/>
                </w:tcPr>
                <w:p w14:paraId="52695981"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Human Resource Department</w:t>
                  </w:r>
                </w:p>
              </w:tc>
              <w:tc>
                <w:tcPr>
                  <w:tcW w:w="2304" w:type="dxa"/>
                  <w:tcBorders>
                    <w:top w:val="single" w:sz="4" w:space="0" w:color="auto"/>
                    <w:left w:val="single" w:sz="4" w:space="0" w:color="auto"/>
                    <w:bottom w:val="single" w:sz="4" w:space="0" w:color="auto"/>
                    <w:right w:val="single" w:sz="4" w:space="0" w:color="auto"/>
                  </w:tcBorders>
                </w:tcPr>
                <w:p w14:paraId="2E9B9D08"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Customers’ satisfaction score</w:t>
                  </w:r>
                </w:p>
                <w:p w14:paraId="22E3F65A"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p>
                <w:p w14:paraId="1E6EA840"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Employees’ satisfaction score</w:t>
                  </w:r>
                </w:p>
              </w:tc>
            </w:tr>
            <w:tr w:rsidR="004012AE" w:rsidRPr="003C1775" w14:paraId="016A5BF7" w14:textId="77777777" w:rsidTr="00C675E6">
              <w:tc>
                <w:tcPr>
                  <w:tcW w:w="0" w:type="auto"/>
                  <w:vMerge/>
                  <w:tcBorders>
                    <w:top w:val="single" w:sz="4" w:space="0" w:color="auto"/>
                    <w:left w:val="single" w:sz="4" w:space="0" w:color="auto"/>
                    <w:bottom w:val="single" w:sz="4" w:space="0" w:color="auto"/>
                    <w:right w:val="single" w:sz="4" w:space="0" w:color="auto"/>
                  </w:tcBorders>
                  <w:vAlign w:val="center"/>
                  <w:hideMark/>
                </w:tcPr>
                <w:p w14:paraId="30249B5F" w14:textId="77777777" w:rsidR="004012AE" w:rsidRPr="003C1775" w:rsidRDefault="004012AE" w:rsidP="004B0B46">
                  <w:pPr>
                    <w:rPr>
                      <w:rFonts w:ascii="Times New Roman" w:hAnsi="Times New Roman" w:cs="Times New Roman"/>
                      <w:sz w:val="24"/>
                      <w:szCs w:val="24"/>
                    </w:rPr>
                  </w:pPr>
                </w:p>
              </w:tc>
              <w:tc>
                <w:tcPr>
                  <w:tcW w:w="2798" w:type="dxa"/>
                  <w:tcBorders>
                    <w:top w:val="single" w:sz="4" w:space="0" w:color="auto"/>
                    <w:left w:val="single" w:sz="4" w:space="0" w:color="auto"/>
                    <w:bottom w:val="single" w:sz="4" w:space="0" w:color="auto"/>
                    <w:right w:val="single" w:sz="4" w:space="0" w:color="auto"/>
                  </w:tcBorders>
                  <w:hideMark/>
                </w:tcPr>
                <w:p w14:paraId="07696907"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Enhance talent management through capacity building, coaching succession planning, and job shadowing</w:t>
                  </w:r>
                </w:p>
              </w:tc>
              <w:tc>
                <w:tcPr>
                  <w:tcW w:w="2320" w:type="dxa"/>
                  <w:tcBorders>
                    <w:top w:val="single" w:sz="4" w:space="0" w:color="auto"/>
                    <w:left w:val="single" w:sz="4" w:space="0" w:color="auto"/>
                    <w:bottom w:val="single" w:sz="4" w:space="0" w:color="auto"/>
                    <w:right w:val="single" w:sz="4" w:space="0" w:color="auto"/>
                  </w:tcBorders>
                  <w:hideMark/>
                </w:tcPr>
                <w:p w14:paraId="71EED907"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Human Resource</w:t>
                  </w:r>
                </w:p>
              </w:tc>
              <w:tc>
                <w:tcPr>
                  <w:tcW w:w="2304" w:type="dxa"/>
                  <w:tcBorders>
                    <w:top w:val="single" w:sz="4" w:space="0" w:color="auto"/>
                    <w:left w:val="single" w:sz="4" w:space="0" w:color="auto"/>
                    <w:bottom w:val="single" w:sz="4" w:space="0" w:color="auto"/>
                    <w:right w:val="single" w:sz="4" w:space="0" w:color="auto"/>
                  </w:tcBorders>
                </w:tcPr>
                <w:p w14:paraId="7308D72D"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No. of critical posts with successors</w:t>
                  </w:r>
                </w:p>
                <w:p w14:paraId="3533E072"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p>
                <w:p w14:paraId="22363C13"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Productivity level</w:t>
                  </w:r>
                </w:p>
                <w:p w14:paraId="15AB6365"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p>
                <w:p w14:paraId="6B10DFE6"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Performance appraisal score</w:t>
                  </w:r>
                </w:p>
              </w:tc>
            </w:tr>
            <w:tr w:rsidR="004012AE" w:rsidRPr="003C1775" w14:paraId="7D00B635" w14:textId="77777777" w:rsidTr="00C675E6">
              <w:tc>
                <w:tcPr>
                  <w:tcW w:w="0" w:type="auto"/>
                  <w:vMerge/>
                  <w:tcBorders>
                    <w:top w:val="single" w:sz="4" w:space="0" w:color="auto"/>
                    <w:left w:val="single" w:sz="4" w:space="0" w:color="auto"/>
                    <w:bottom w:val="single" w:sz="4" w:space="0" w:color="auto"/>
                    <w:right w:val="single" w:sz="4" w:space="0" w:color="auto"/>
                  </w:tcBorders>
                  <w:vAlign w:val="center"/>
                  <w:hideMark/>
                </w:tcPr>
                <w:p w14:paraId="6856CB4D" w14:textId="77777777" w:rsidR="004012AE" w:rsidRPr="003C1775" w:rsidRDefault="004012AE" w:rsidP="004B0B46">
                  <w:pPr>
                    <w:rPr>
                      <w:rFonts w:ascii="Times New Roman" w:hAnsi="Times New Roman" w:cs="Times New Roman"/>
                      <w:sz w:val="24"/>
                      <w:szCs w:val="24"/>
                    </w:rPr>
                  </w:pPr>
                </w:p>
              </w:tc>
              <w:tc>
                <w:tcPr>
                  <w:tcW w:w="2798" w:type="dxa"/>
                  <w:tcBorders>
                    <w:top w:val="single" w:sz="4" w:space="0" w:color="auto"/>
                    <w:left w:val="single" w:sz="4" w:space="0" w:color="auto"/>
                    <w:bottom w:val="single" w:sz="4" w:space="0" w:color="auto"/>
                    <w:right w:val="single" w:sz="4" w:space="0" w:color="auto"/>
                  </w:tcBorders>
                </w:tcPr>
                <w:p w14:paraId="64C22821"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 xml:space="preserve">Align the NIS’ performance management system with the NIS’ strategic and operating objectives through training, review of performance appraisal instrument and building </w:t>
                  </w:r>
                  <w:proofErr w:type="gramStart"/>
                  <w:r w:rsidRPr="003C1775">
                    <w:rPr>
                      <w:rFonts w:ascii="Times New Roman" w:hAnsi="Times New Roman" w:cs="Times New Roman"/>
                      <w:sz w:val="24"/>
                      <w:szCs w:val="24"/>
                    </w:rPr>
                    <w:t>accountabilities</w:t>
                  </w:r>
                  <w:proofErr w:type="gramEnd"/>
                </w:p>
                <w:p w14:paraId="078A7985"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p>
              </w:tc>
              <w:tc>
                <w:tcPr>
                  <w:tcW w:w="2320" w:type="dxa"/>
                  <w:tcBorders>
                    <w:top w:val="single" w:sz="4" w:space="0" w:color="auto"/>
                    <w:left w:val="single" w:sz="4" w:space="0" w:color="auto"/>
                    <w:bottom w:val="single" w:sz="4" w:space="0" w:color="auto"/>
                    <w:right w:val="single" w:sz="4" w:space="0" w:color="auto"/>
                  </w:tcBorders>
                  <w:hideMark/>
                </w:tcPr>
                <w:p w14:paraId="66649CA2"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Human Resource</w:t>
                  </w:r>
                </w:p>
              </w:tc>
              <w:tc>
                <w:tcPr>
                  <w:tcW w:w="2304" w:type="dxa"/>
                  <w:tcBorders>
                    <w:top w:val="single" w:sz="4" w:space="0" w:color="auto"/>
                    <w:left w:val="single" w:sz="4" w:space="0" w:color="auto"/>
                    <w:bottom w:val="single" w:sz="4" w:space="0" w:color="auto"/>
                    <w:right w:val="single" w:sz="4" w:space="0" w:color="auto"/>
                  </w:tcBorders>
                </w:tcPr>
                <w:p w14:paraId="3CD9F155"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Performance appraisal scores</w:t>
                  </w:r>
                </w:p>
                <w:p w14:paraId="100C14BC"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p>
                <w:p w14:paraId="3A843562"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The degree of congruence between performance appraisal scores and achievement of business objectives.</w:t>
                  </w:r>
                </w:p>
              </w:tc>
            </w:tr>
            <w:tr w:rsidR="004012AE" w:rsidRPr="003C1775" w14:paraId="11FFE110" w14:textId="77777777" w:rsidTr="00C675E6">
              <w:tc>
                <w:tcPr>
                  <w:tcW w:w="9350" w:type="dxa"/>
                  <w:gridSpan w:val="4"/>
                  <w:tcBorders>
                    <w:top w:val="single" w:sz="4" w:space="0" w:color="auto"/>
                    <w:left w:val="single" w:sz="4" w:space="0" w:color="auto"/>
                    <w:bottom w:val="single" w:sz="4" w:space="0" w:color="auto"/>
                    <w:right w:val="single" w:sz="4" w:space="0" w:color="auto"/>
                  </w:tcBorders>
                </w:tcPr>
                <w:p w14:paraId="1F5B05A5" w14:textId="77777777" w:rsidR="004012AE" w:rsidRPr="003C1775" w:rsidRDefault="004012AE" w:rsidP="004B0B46">
                  <w:pPr>
                    <w:pStyle w:val="p3"/>
                    <w:spacing w:before="0" w:beforeAutospacing="0" w:after="0" w:afterAutospacing="0"/>
                    <w:jc w:val="center"/>
                    <w:rPr>
                      <w:rFonts w:ascii="Times New Roman" w:hAnsi="Times New Roman" w:cs="Times New Roman"/>
                      <w:b/>
                      <w:bCs/>
                      <w:sz w:val="24"/>
                      <w:szCs w:val="24"/>
                    </w:rPr>
                  </w:pPr>
                  <w:r w:rsidRPr="003C1775">
                    <w:rPr>
                      <w:rFonts w:ascii="Times New Roman" w:hAnsi="Times New Roman" w:cs="Times New Roman"/>
                      <w:b/>
                      <w:bCs/>
                      <w:sz w:val="24"/>
                      <w:szCs w:val="24"/>
                    </w:rPr>
                    <w:t>Building Public Confidence</w:t>
                  </w:r>
                </w:p>
                <w:p w14:paraId="01F43E1F" w14:textId="77777777" w:rsidR="004012AE" w:rsidRPr="003C1775" w:rsidRDefault="004012AE" w:rsidP="004B0B46">
                  <w:pPr>
                    <w:pStyle w:val="p3"/>
                    <w:spacing w:before="0" w:beforeAutospacing="0" w:after="0" w:afterAutospacing="0"/>
                    <w:jc w:val="center"/>
                    <w:rPr>
                      <w:rFonts w:ascii="Times New Roman" w:hAnsi="Times New Roman" w:cs="Times New Roman"/>
                      <w:b/>
                      <w:bCs/>
                      <w:sz w:val="24"/>
                      <w:szCs w:val="24"/>
                    </w:rPr>
                  </w:pPr>
                </w:p>
              </w:tc>
            </w:tr>
            <w:tr w:rsidR="004012AE" w:rsidRPr="003C1775" w14:paraId="092C3E68" w14:textId="77777777" w:rsidTr="00C675E6">
              <w:tc>
                <w:tcPr>
                  <w:tcW w:w="1928" w:type="dxa"/>
                  <w:vMerge w:val="restart"/>
                  <w:tcBorders>
                    <w:top w:val="single" w:sz="4" w:space="0" w:color="auto"/>
                    <w:left w:val="single" w:sz="4" w:space="0" w:color="auto"/>
                    <w:bottom w:val="single" w:sz="4" w:space="0" w:color="auto"/>
                    <w:right w:val="single" w:sz="4" w:space="0" w:color="auto"/>
                  </w:tcBorders>
                  <w:hideMark/>
                </w:tcPr>
                <w:p w14:paraId="2069E654"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 xml:space="preserve">Corporate Governance- </w:t>
                  </w:r>
                  <w:r w:rsidRPr="003C1775">
                    <w:rPr>
                      <w:rFonts w:ascii="Times New Roman" w:hAnsi="Times New Roman" w:cs="Times New Roman"/>
                      <w:sz w:val="24"/>
                      <w:szCs w:val="24"/>
                    </w:rPr>
                    <w:lastRenderedPageBreak/>
                    <w:t>Transparency and Accountability</w:t>
                  </w:r>
                </w:p>
              </w:tc>
              <w:tc>
                <w:tcPr>
                  <w:tcW w:w="2798" w:type="dxa"/>
                  <w:tcBorders>
                    <w:top w:val="single" w:sz="4" w:space="0" w:color="auto"/>
                    <w:left w:val="single" w:sz="4" w:space="0" w:color="auto"/>
                    <w:bottom w:val="single" w:sz="4" w:space="0" w:color="auto"/>
                    <w:right w:val="single" w:sz="4" w:space="0" w:color="auto"/>
                  </w:tcBorders>
                  <w:hideMark/>
                </w:tcPr>
                <w:p w14:paraId="19B5E1E2"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lastRenderedPageBreak/>
                    <w:t xml:space="preserve">Conduct and complete the audited financial </w:t>
                  </w:r>
                  <w:r w:rsidRPr="003C1775">
                    <w:rPr>
                      <w:rFonts w:ascii="Times New Roman" w:hAnsi="Times New Roman" w:cs="Times New Roman"/>
                      <w:sz w:val="24"/>
                      <w:szCs w:val="24"/>
                    </w:rPr>
                    <w:lastRenderedPageBreak/>
                    <w:t>statements of the NIS within statutory timeline</w:t>
                  </w:r>
                </w:p>
              </w:tc>
              <w:tc>
                <w:tcPr>
                  <w:tcW w:w="2320" w:type="dxa"/>
                  <w:tcBorders>
                    <w:top w:val="single" w:sz="4" w:space="0" w:color="auto"/>
                    <w:left w:val="single" w:sz="4" w:space="0" w:color="auto"/>
                    <w:bottom w:val="single" w:sz="4" w:space="0" w:color="auto"/>
                    <w:right w:val="single" w:sz="4" w:space="0" w:color="auto"/>
                  </w:tcBorders>
                  <w:hideMark/>
                </w:tcPr>
                <w:p w14:paraId="71A76BDF"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lastRenderedPageBreak/>
                    <w:t>Accounts and Administration</w:t>
                  </w:r>
                </w:p>
              </w:tc>
              <w:tc>
                <w:tcPr>
                  <w:tcW w:w="2304" w:type="dxa"/>
                  <w:tcBorders>
                    <w:top w:val="single" w:sz="4" w:space="0" w:color="auto"/>
                    <w:left w:val="single" w:sz="4" w:space="0" w:color="auto"/>
                    <w:bottom w:val="single" w:sz="4" w:space="0" w:color="auto"/>
                    <w:right w:val="single" w:sz="4" w:space="0" w:color="auto"/>
                  </w:tcBorders>
                  <w:hideMark/>
                </w:tcPr>
                <w:p w14:paraId="3EE242DF"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 xml:space="preserve">Dissemination of the completed audited </w:t>
                  </w:r>
                  <w:r w:rsidRPr="003C1775">
                    <w:rPr>
                      <w:rFonts w:ascii="Times New Roman" w:hAnsi="Times New Roman" w:cs="Times New Roman"/>
                      <w:sz w:val="24"/>
                      <w:szCs w:val="24"/>
                    </w:rPr>
                    <w:lastRenderedPageBreak/>
                    <w:t>statement to Minister of Finance</w:t>
                  </w:r>
                </w:p>
              </w:tc>
            </w:tr>
            <w:tr w:rsidR="004012AE" w:rsidRPr="003C1775" w14:paraId="3AF8779A" w14:textId="77777777" w:rsidTr="00C675E6">
              <w:tc>
                <w:tcPr>
                  <w:tcW w:w="0" w:type="auto"/>
                  <w:vMerge/>
                  <w:tcBorders>
                    <w:top w:val="single" w:sz="4" w:space="0" w:color="auto"/>
                    <w:left w:val="single" w:sz="4" w:space="0" w:color="auto"/>
                    <w:bottom w:val="single" w:sz="4" w:space="0" w:color="auto"/>
                    <w:right w:val="single" w:sz="4" w:space="0" w:color="auto"/>
                  </w:tcBorders>
                  <w:vAlign w:val="center"/>
                  <w:hideMark/>
                </w:tcPr>
                <w:p w14:paraId="0162C3A6" w14:textId="77777777" w:rsidR="004012AE" w:rsidRPr="003C1775" w:rsidRDefault="004012AE" w:rsidP="004B0B46">
                  <w:pPr>
                    <w:rPr>
                      <w:rFonts w:ascii="Times New Roman" w:hAnsi="Times New Roman" w:cs="Times New Roman"/>
                      <w:sz w:val="24"/>
                      <w:szCs w:val="24"/>
                    </w:rPr>
                  </w:pPr>
                </w:p>
              </w:tc>
              <w:tc>
                <w:tcPr>
                  <w:tcW w:w="2798" w:type="dxa"/>
                  <w:tcBorders>
                    <w:top w:val="single" w:sz="4" w:space="0" w:color="auto"/>
                    <w:left w:val="single" w:sz="4" w:space="0" w:color="auto"/>
                    <w:bottom w:val="single" w:sz="4" w:space="0" w:color="auto"/>
                    <w:right w:val="single" w:sz="4" w:space="0" w:color="auto"/>
                  </w:tcBorders>
                  <w:hideMark/>
                </w:tcPr>
                <w:p w14:paraId="44F85CB2"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Conduct and complete the actuarial valuations within statutory timelines</w:t>
                  </w:r>
                </w:p>
              </w:tc>
              <w:tc>
                <w:tcPr>
                  <w:tcW w:w="2320" w:type="dxa"/>
                  <w:tcBorders>
                    <w:top w:val="single" w:sz="4" w:space="0" w:color="auto"/>
                    <w:left w:val="single" w:sz="4" w:space="0" w:color="auto"/>
                    <w:bottom w:val="single" w:sz="4" w:space="0" w:color="auto"/>
                    <w:right w:val="single" w:sz="4" w:space="0" w:color="auto"/>
                  </w:tcBorders>
                  <w:hideMark/>
                </w:tcPr>
                <w:p w14:paraId="0708E4A5"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Accounts and Administration</w:t>
                  </w:r>
                </w:p>
              </w:tc>
              <w:tc>
                <w:tcPr>
                  <w:tcW w:w="2304" w:type="dxa"/>
                  <w:tcBorders>
                    <w:top w:val="single" w:sz="4" w:space="0" w:color="auto"/>
                    <w:left w:val="single" w:sz="4" w:space="0" w:color="auto"/>
                    <w:bottom w:val="single" w:sz="4" w:space="0" w:color="auto"/>
                    <w:right w:val="single" w:sz="4" w:space="0" w:color="auto"/>
                  </w:tcBorders>
                  <w:hideMark/>
                </w:tcPr>
                <w:p w14:paraId="7B3853EC"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Dissemination of completed Actuarial Report to Minister of Finance</w:t>
                  </w:r>
                </w:p>
              </w:tc>
            </w:tr>
            <w:tr w:rsidR="004012AE" w:rsidRPr="003C1775" w14:paraId="71B59936" w14:textId="77777777" w:rsidTr="00C675E6">
              <w:tc>
                <w:tcPr>
                  <w:tcW w:w="0" w:type="auto"/>
                  <w:vMerge/>
                  <w:tcBorders>
                    <w:top w:val="single" w:sz="4" w:space="0" w:color="auto"/>
                    <w:left w:val="single" w:sz="4" w:space="0" w:color="auto"/>
                    <w:bottom w:val="single" w:sz="4" w:space="0" w:color="auto"/>
                    <w:right w:val="single" w:sz="4" w:space="0" w:color="auto"/>
                  </w:tcBorders>
                  <w:vAlign w:val="center"/>
                  <w:hideMark/>
                </w:tcPr>
                <w:p w14:paraId="691113F4" w14:textId="77777777" w:rsidR="004012AE" w:rsidRPr="003C1775" w:rsidRDefault="004012AE" w:rsidP="004B0B46">
                  <w:pPr>
                    <w:rPr>
                      <w:rFonts w:ascii="Times New Roman" w:hAnsi="Times New Roman" w:cs="Times New Roman"/>
                      <w:sz w:val="24"/>
                      <w:szCs w:val="24"/>
                    </w:rPr>
                  </w:pPr>
                </w:p>
              </w:tc>
              <w:tc>
                <w:tcPr>
                  <w:tcW w:w="2798" w:type="dxa"/>
                  <w:tcBorders>
                    <w:top w:val="single" w:sz="4" w:space="0" w:color="auto"/>
                    <w:left w:val="single" w:sz="4" w:space="0" w:color="auto"/>
                    <w:bottom w:val="single" w:sz="4" w:space="0" w:color="auto"/>
                    <w:right w:val="single" w:sz="4" w:space="0" w:color="auto"/>
                  </w:tcBorders>
                  <w:hideMark/>
                </w:tcPr>
                <w:p w14:paraId="4F375CA5"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Sustain engagement of the Public around the business of the NIS</w:t>
                  </w:r>
                </w:p>
              </w:tc>
              <w:tc>
                <w:tcPr>
                  <w:tcW w:w="2320" w:type="dxa"/>
                  <w:tcBorders>
                    <w:top w:val="single" w:sz="4" w:space="0" w:color="auto"/>
                    <w:left w:val="single" w:sz="4" w:space="0" w:color="auto"/>
                    <w:bottom w:val="single" w:sz="4" w:space="0" w:color="auto"/>
                    <w:right w:val="single" w:sz="4" w:space="0" w:color="auto"/>
                  </w:tcBorders>
                  <w:hideMark/>
                </w:tcPr>
                <w:p w14:paraId="19E9FA17"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Administration and Communication and Customer service</w:t>
                  </w:r>
                </w:p>
              </w:tc>
              <w:tc>
                <w:tcPr>
                  <w:tcW w:w="2304" w:type="dxa"/>
                  <w:tcBorders>
                    <w:top w:val="single" w:sz="4" w:space="0" w:color="auto"/>
                    <w:left w:val="single" w:sz="4" w:space="0" w:color="auto"/>
                    <w:bottom w:val="single" w:sz="4" w:space="0" w:color="auto"/>
                    <w:right w:val="single" w:sz="4" w:space="0" w:color="auto"/>
                  </w:tcBorders>
                  <w:hideMark/>
                </w:tcPr>
                <w:p w14:paraId="402BF728"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No. of public consultation held with public.</w:t>
                  </w:r>
                </w:p>
              </w:tc>
            </w:tr>
            <w:tr w:rsidR="004012AE" w:rsidRPr="003C1775" w14:paraId="53698AA8" w14:textId="77777777" w:rsidTr="00C675E6">
              <w:tc>
                <w:tcPr>
                  <w:tcW w:w="0" w:type="auto"/>
                  <w:vMerge/>
                  <w:tcBorders>
                    <w:top w:val="single" w:sz="4" w:space="0" w:color="auto"/>
                    <w:left w:val="single" w:sz="4" w:space="0" w:color="auto"/>
                    <w:bottom w:val="single" w:sz="4" w:space="0" w:color="auto"/>
                    <w:right w:val="single" w:sz="4" w:space="0" w:color="auto"/>
                  </w:tcBorders>
                  <w:vAlign w:val="center"/>
                  <w:hideMark/>
                </w:tcPr>
                <w:p w14:paraId="5EC3AB18" w14:textId="77777777" w:rsidR="004012AE" w:rsidRPr="003C1775" w:rsidRDefault="004012AE" w:rsidP="004B0B46">
                  <w:pPr>
                    <w:rPr>
                      <w:rFonts w:ascii="Times New Roman" w:hAnsi="Times New Roman" w:cs="Times New Roman"/>
                      <w:sz w:val="24"/>
                      <w:szCs w:val="24"/>
                    </w:rPr>
                  </w:pPr>
                </w:p>
              </w:tc>
              <w:tc>
                <w:tcPr>
                  <w:tcW w:w="2798" w:type="dxa"/>
                  <w:tcBorders>
                    <w:top w:val="single" w:sz="4" w:space="0" w:color="auto"/>
                    <w:left w:val="single" w:sz="4" w:space="0" w:color="auto"/>
                    <w:bottom w:val="single" w:sz="4" w:space="0" w:color="auto"/>
                    <w:right w:val="single" w:sz="4" w:space="0" w:color="auto"/>
                  </w:tcBorders>
                  <w:hideMark/>
                </w:tcPr>
                <w:p w14:paraId="1387A8F0"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Provide information to the public on a timely basis via different mediums</w:t>
                  </w:r>
                </w:p>
              </w:tc>
              <w:tc>
                <w:tcPr>
                  <w:tcW w:w="2320" w:type="dxa"/>
                  <w:tcBorders>
                    <w:top w:val="single" w:sz="4" w:space="0" w:color="auto"/>
                    <w:left w:val="single" w:sz="4" w:space="0" w:color="auto"/>
                    <w:bottom w:val="single" w:sz="4" w:space="0" w:color="auto"/>
                    <w:right w:val="single" w:sz="4" w:space="0" w:color="auto"/>
                  </w:tcBorders>
                  <w:hideMark/>
                </w:tcPr>
                <w:p w14:paraId="5668C445"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Administration</w:t>
                  </w:r>
                </w:p>
              </w:tc>
              <w:tc>
                <w:tcPr>
                  <w:tcW w:w="2304" w:type="dxa"/>
                  <w:tcBorders>
                    <w:top w:val="single" w:sz="4" w:space="0" w:color="auto"/>
                    <w:left w:val="single" w:sz="4" w:space="0" w:color="auto"/>
                    <w:bottom w:val="single" w:sz="4" w:space="0" w:color="auto"/>
                    <w:right w:val="single" w:sz="4" w:space="0" w:color="auto"/>
                  </w:tcBorders>
                  <w:hideMark/>
                </w:tcPr>
                <w:p w14:paraId="0C3E770B"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Accessibility of timely and relevant information on the NIS</w:t>
                  </w:r>
                </w:p>
              </w:tc>
            </w:tr>
            <w:tr w:rsidR="004012AE" w:rsidRPr="003C1775" w14:paraId="360FE827" w14:textId="77777777" w:rsidTr="00C675E6">
              <w:tc>
                <w:tcPr>
                  <w:tcW w:w="0" w:type="auto"/>
                  <w:vMerge/>
                  <w:tcBorders>
                    <w:top w:val="single" w:sz="4" w:space="0" w:color="auto"/>
                    <w:left w:val="single" w:sz="4" w:space="0" w:color="auto"/>
                    <w:bottom w:val="single" w:sz="4" w:space="0" w:color="auto"/>
                    <w:right w:val="single" w:sz="4" w:space="0" w:color="auto"/>
                  </w:tcBorders>
                  <w:vAlign w:val="center"/>
                  <w:hideMark/>
                </w:tcPr>
                <w:p w14:paraId="12F92893" w14:textId="77777777" w:rsidR="004012AE" w:rsidRPr="003C1775" w:rsidRDefault="004012AE" w:rsidP="004B0B46">
                  <w:pPr>
                    <w:rPr>
                      <w:rFonts w:ascii="Times New Roman" w:hAnsi="Times New Roman" w:cs="Times New Roman"/>
                      <w:sz w:val="24"/>
                      <w:szCs w:val="24"/>
                    </w:rPr>
                  </w:pPr>
                </w:p>
              </w:tc>
              <w:tc>
                <w:tcPr>
                  <w:tcW w:w="2798" w:type="dxa"/>
                  <w:tcBorders>
                    <w:top w:val="single" w:sz="4" w:space="0" w:color="auto"/>
                    <w:left w:val="single" w:sz="4" w:space="0" w:color="auto"/>
                    <w:bottom w:val="single" w:sz="4" w:space="0" w:color="auto"/>
                    <w:right w:val="single" w:sz="4" w:space="0" w:color="auto"/>
                  </w:tcBorders>
                  <w:hideMark/>
                </w:tcPr>
                <w:p w14:paraId="7B964533"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Mitigate risks associated with perceived political interference</w:t>
                  </w:r>
                </w:p>
              </w:tc>
              <w:tc>
                <w:tcPr>
                  <w:tcW w:w="2320" w:type="dxa"/>
                  <w:tcBorders>
                    <w:top w:val="single" w:sz="4" w:space="0" w:color="auto"/>
                    <w:left w:val="single" w:sz="4" w:space="0" w:color="auto"/>
                    <w:bottom w:val="single" w:sz="4" w:space="0" w:color="auto"/>
                    <w:right w:val="single" w:sz="4" w:space="0" w:color="auto"/>
                  </w:tcBorders>
                  <w:hideMark/>
                </w:tcPr>
                <w:p w14:paraId="4EE99F67"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Administration</w:t>
                  </w:r>
                </w:p>
              </w:tc>
              <w:tc>
                <w:tcPr>
                  <w:tcW w:w="2304" w:type="dxa"/>
                  <w:tcBorders>
                    <w:top w:val="single" w:sz="4" w:space="0" w:color="auto"/>
                    <w:left w:val="single" w:sz="4" w:space="0" w:color="auto"/>
                    <w:bottom w:val="single" w:sz="4" w:space="0" w:color="auto"/>
                    <w:right w:val="single" w:sz="4" w:space="0" w:color="auto"/>
                  </w:tcBorders>
                  <w:hideMark/>
                </w:tcPr>
                <w:p w14:paraId="7394FF37"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Level of Public Confidence</w:t>
                  </w:r>
                </w:p>
              </w:tc>
            </w:tr>
            <w:tr w:rsidR="004012AE" w:rsidRPr="003C1775" w14:paraId="16394951" w14:textId="77777777" w:rsidTr="00C675E6">
              <w:tc>
                <w:tcPr>
                  <w:tcW w:w="0" w:type="auto"/>
                  <w:vMerge/>
                  <w:tcBorders>
                    <w:top w:val="single" w:sz="4" w:space="0" w:color="auto"/>
                    <w:left w:val="single" w:sz="4" w:space="0" w:color="auto"/>
                    <w:bottom w:val="single" w:sz="4" w:space="0" w:color="auto"/>
                    <w:right w:val="single" w:sz="4" w:space="0" w:color="auto"/>
                  </w:tcBorders>
                  <w:vAlign w:val="center"/>
                  <w:hideMark/>
                </w:tcPr>
                <w:p w14:paraId="1B49EDB9" w14:textId="77777777" w:rsidR="004012AE" w:rsidRPr="003C1775" w:rsidRDefault="004012AE" w:rsidP="004B0B46">
                  <w:pPr>
                    <w:rPr>
                      <w:rFonts w:ascii="Times New Roman" w:hAnsi="Times New Roman" w:cs="Times New Roman"/>
                      <w:sz w:val="24"/>
                      <w:szCs w:val="24"/>
                    </w:rPr>
                  </w:pPr>
                </w:p>
              </w:tc>
              <w:tc>
                <w:tcPr>
                  <w:tcW w:w="2798" w:type="dxa"/>
                  <w:tcBorders>
                    <w:top w:val="single" w:sz="4" w:space="0" w:color="auto"/>
                    <w:left w:val="single" w:sz="4" w:space="0" w:color="auto"/>
                    <w:bottom w:val="single" w:sz="4" w:space="0" w:color="auto"/>
                    <w:right w:val="single" w:sz="4" w:space="0" w:color="auto"/>
                  </w:tcBorders>
                  <w:hideMark/>
                </w:tcPr>
                <w:p w14:paraId="7E31859B"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Build sound risk management frameworks including risk registers, risk policy and business continuity plans</w:t>
                  </w:r>
                </w:p>
              </w:tc>
              <w:tc>
                <w:tcPr>
                  <w:tcW w:w="2320" w:type="dxa"/>
                  <w:tcBorders>
                    <w:top w:val="single" w:sz="4" w:space="0" w:color="auto"/>
                    <w:left w:val="single" w:sz="4" w:space="0" w:color="auto"/>
                    <w:bottom w:val="single" w:sz="4" w:space="0" w:color="auto"/>
                    <w:right w:val="single" w:sz="4" w:space="0" w:color="auto"/>
                  </w:tcBorders>
                  <w:hideMark/>
                </w:tcPr>
                <w:p w14:paraId="4CDF7C60"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 xml:space="preserve">Administration, </w:t>
                  </w:r>
                  <w:proofErr w:type="gramStart"/>
                  <w:r w:rsidRPr="003C1775">
                    <w:rPr>
                      <w:rFonts w:ascii="Times New Roman" w:hAnsi="Times New Roman" w:cs="Times New Roman"/>
                      <w:sz w:val="24"/>
                      <w:szCs w:val="24"/>
                    </w:rPr>
                    <w:t>Risk</w:t>
                  </w:r>
                  <w:proofErr w:type="gramEnd"/>
                  <w:r w:rsidRPr="003C1775">
                    <w:rPr>
                      <w:rFonts w:ascii="Times New Roman" w:hAnsi="Times New Roman" w:cs="Times New Roman"/>
                      <w:sz w:val="24"/>
                      <w:szCs w:val="24"/>
                    </w:rPr>
                    <w:t xml:space="preserve"> and IT</w:t>
                  </w:r>
                </w:p>
              </w:tc>
              <w:tc>
                <w:tcPr>
                  <w:tcW w:w="2304" w:type="dxa"/>
                  <w:tcBorders>
                    <w:top w:val="single" w:sz="4" w:space="0" w:color="auto"/>
                    <w:left w:val="single" w:sz="4" w:space="0" w:color="auto"/>
                    <w:bottom w:val="single" w:sz="4" w:space="0" w:color="auto"/>
                    <w:right w:val="single" w:sz="4" w:space="0" w:color="auto"/>
                  </w:tcBorders>
                </w:tcPr>
                <w:p w14:paraId="34B34C76"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No. of business disruptions in fiscal period.</w:t>
                  </w:r>
                </w:p>
                <w:p w14:paraId="5D891FAF"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p>
                <w:p w14:paraId="70916E17"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No. of material risk events in the period</w:t>
                  </w:r>
                </w:p>
              </w:tc>
            </w:tr>
            <w:tr w:rsidR="004012AE" w:rsidRPr="003C1775" w14:paraId="440AB583" w14:textId="77777777" w:rsidTr="00C675E6">
              <w:tc>
                <w:tcPr>
                  <w:tcW w:w="0" w:type="auto"/>
                  <w:vMerge/>
                  <w:tcBorders>
                    <w:top w:val="single" w:sz="4" w:space="0" w:color="auto"/>
                    <w:left w:val="single" w:sz="4" w:space="0" w:color="auto"/>
                    <w:bottom w:val="single" w:sz="4" w:space="0" w:color="auto"/>
                    <w:right w:val="single" w:sz="4" w:space="0" w:color="auto"/>
                  </w:tcBorders>
                  <w:vAlign w:val="center"/>
                  <w:hideMark/>
                </w:tcPr>
                <w:p w14:paraId="2EBE5DB4" w14:textId="77777777" w:rsidR="004012AE" w:rsidRPr="003C1775" w:rsidRDefault="004012AE" w:rsidP="004B0B46">
                  <w:pPr>
                    <w:rPr>
                      <w:rFonts w:ascii="Times New Roman" w:hAnsi="Times New Roman" w:cs="Times New Roman"/>
                      <w:sz w:val="24"/>
                      <w:szCs w:val="24"/>
                    </w:rPr>
                  </w:pPr>
                </w:p>
              </w:tc>
              <w:tc>
                <w:tcPr>
                  <w:tcW w:w="2798" w:type="dxa"/>
                  <w:tcBorders>
                    <w:top w:val="single" w:sz="4" w:space="0" w:color="auto"/>
                    <w:left w:val="single" w:sz="4" w:space="0" w:color="auto"/>
                    <w:bottom w:val="single" w:sz="4" w:space="0" w:color="auto"/>
                    <w:right w:val="single" w:sz="4" w:space="0" w:color="auto"/>
                  </w:tcBorders>
                  <w:hideMark/>
                </w:tcPr>
                <w:p w14:paraId="581D7B7C"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Develop strong internal controls to mitigate external and internal frauds</w:t>
                  </w:r>
                </w:p>
              </w:tc>
              <w:tc>
                <w:tcPr>
                  <w:tcW w:w="2320" w:type="dxa"/>
                  <w:tcBorders>
                    <w:top w:val="single" w:sz="4" w:space="0" w:color="auto"/>
                    <w:left w:val="single" w:sz="4" w:space="0" w:color="auto"/>
                    <w:bottom w:val="single" w:sz="4" w:space="0" w:color="auto"/>
                    <w:right w:val="single" w:sz="4" w:space="0" w:color="auto"/>
                  </w:tcBorders>
                  <w:hideMark/>
                </w:tcPr>
                <w:p w14:paraId="7E172D9E"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Internal Audit</w:t>
                  </w:r>
                </w:p>
              </w:tc>
              <w:tc>
                <w:tcPr>
                  <w:tcW w:w="2304" w:type="dxa"/>
                  <w:tcBorders>
                    <w:top w:val="single" w:sz="4" w:space="0" w:color="auto"/>
                    <w:left w:val="single" w:sz="4" w:space="0" w:color="auto"/>
                    <w:bottom w:val="single" w:sz="4" w:space="0" w:color="auto"/>
                    <w:right w:val="single" w:sz="4" w:space="0" w:color="auto"/>
                  </w:tcBorders>
                </w:tcPr>
                <w:p w14:paraId="5A3E03FA"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No. of internal fraud cases.</w:t>
                  </w:r>
                </w:p>
                <w:p w14:paraId="182B7825"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p>
                <w:p w14:paraId="56ACF39D" w14:textId="77777777" w:rsidR="004012AE" w:rsidRPr="003C1775" w:rsidRDefault="004012AE" w:rsidP="004B0B46">
                  <w:pPr>
                    <w:pStyle w:val="p3"/>
                    <w:spacing w:before="0" w:beforeAutospacing="0" w:after="0" w:afterAutospacing="0"/>
                    <w:jc w:val="both"/>
                    <w:rPr>
                      <w:rFonts w:ascii="Times New Roman" w:hAnsi="Times New Roman" w:cs="Times New Roman"/>
                      <w:sz w:val="24"/>
                      <w:szCs w:val="24"/>
                    </w:rPr>
                  </w:pPr>
                  <w:r w:rsidRPr="003C1775">
                    <w:rPr>
                      <w:rFonts w:ascii="Times New Roman" w:hAnsi="Times New Roman" w:cs="Times New Roman"/>
                      <w:sz w:val="24"/>
                      <w:szCs w:val="24"/>
                    </w:rPr>
                    <w:t>No. of external fraud cases.</w:t>
                  </w:r>
                </w:p>
              </w:tc>
            </w:tr>
          </w:tbl>
          <w:p w14:paraId="43C9F202" w14:textId="77777777" w:rsidR="004012AE" w:rsidRPr="003C1775" w:rsidRDefault="004012AE">
            <w:pPr>
              <w:rPr>
                <w:rFonts w:ascii="Times New Roman" w:hAnsi="Times New Roman" w:cs="Times New Roman"/>
                <w:color w:val="000000"/>
                <w:sz w:val="24"/>
                <w:szCs w:val="24"/>
              </w:rPr>
            </w:pPr>
          </w:p>
        </w:tc>
      </w:tr>
    </w:tbl>
    <w:p w14:paraId="623439B7" w14:textId="77777777" w:rsidR="00CC207A" w:rsidRDefault="00CC207A" w:rsidP="004718BE"/>
    <w:sectPr w:rsidR="00CC20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96FE0"/>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2CC5CF8"/>
    <w:multiLevelType w:val="multilevel"/>
    <w:tmpl w:val="D5769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105224"/>
    <w:multiLevelType w:val="multilevel"/>
    <w:tmpl w:val="115A0632"/>
    <w:lvl w:ilvl="0">
      <w:start w:val="1"/>
      <w:numFmt w:val="decimal"/>
      <w:lvlText w:val="%1"/>
      <w:lvlJc w:val="left"/>
      <w:pPr>
        <w:ind w:left="588" w:hanging="588"/>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3" w15:restartNumberingAfterBreak="0">
    <w:nsid w:val="1E4E3EAA"/>
    <w:multiLevelType w:val="multilevel"/>
    <w:tmpl w:val="62E8E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742B03"/>
    <w:multiLevelType w:val="multilevel"/>
    <w:tmpl w:val="84BCC80E"/>
    <w:lvl w:ilvl="0">
      <w:start w:val="1"/>
      <w:numFmt w:val="decimal"/>
      <w:lvlText w:val="%1.0"/>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2E0A045D"/>
    <w:multiLevelType w:val="multilevel"/>
    <w:tmpl w:val="158AC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D67E0E"/>
    <w:multiLevelType w:val="multilevel"/>
    <w:tmpl w:val="897AA9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3FB54326"/>
    <w:multiLevelType w:val="hybridMultilevel"/>
    <w:tmpl w:val="90CAF7DE"/>
    <w:lvl w:ilvl="0" w:tplc="6BA04D9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468A55AD"/>
    <w:multiLevelType w:val="multilevel"/>
    <w:tmpl w:val="150A6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BD1DB2"/>
    <w:multiLevelType w:val="multilevel"/>
    <w:tmpl w:val="C082A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2E350A"/>
    <w:multiLevelType w:val="multilevel"/>
    <w:tmpl w:val="F1DC2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A227B1"/>
    <w:multiLevelType w:val="hybridMultilevel"/>
    <w:tmpl w:val="E65A94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65B9379D"/>
    <w:multiLevelType w:val="multilevel"/>
    <w:tmpl w:val="843EA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A6C0219"/>
    <w:multiLevelType w:val="multilevel"/>
    <w:tmpl w:val="55CA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E04080"/>
    <w:multiLevelType w:val="hybridMultilevel"/>
    <w:tmpl w:val="5498DA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770C58E1"/>
    <w:multiLevelType w:val="multilevel"/>
    <w:tmpl w:val="DD1AD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31840609">
    <w:abstractNumId w:val="14"/>
  </w:num>
  <w:num w:numId="2" w16cid:durableId="9475405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5317882">
    <w:abstractNumId w:val="4"/>
  </w:num>
  <w:num w:numId="4" w16cid:durableId="11106610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338470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3238143">
    <w:abstractNumId w:val="13"/>
  </w:num>
  <w:num w:numId="7" w16cid:durableId="936601721">
    <w:abstractNumId w:val="9"/>
  </w:num>
  <w:num w:numId="8" w16cid:durableId="1121418462">
    <w:abstractNumId w:val="15"/>
  </w:num>
  <w:num w:numId="9" w16cid:durableId="653071394">
    <w:abstractNumId w:val="3"/>
  </w:num>
  <w:num w:numId="10" w16cid:durableId="382293379">
    <w:abstractNumId w:val="8"/>
  </w:num>
  <w:num w:numId="11" w16cid:durableId="1312521284">
    <w:abstractNumId w:val="10"/>
  </w:num>
  <w:num w:numId="12" w16cid:durableId="2117288585">
    <w:abstractNumId w:val="5"/>
  </w:num>
  <w:num w:numId="13" w16cid:durableId="966162204">
    <w:abstractNumId w:val="1"/>
  </w:num>
  <w:num w:numId="14" w16cid:durableId="1346597729">
    <w:abstractNumId w:val="12"/>
  </w:num>
  <w:num w:numId="15" w16cid:durableId="1351881697">
    <w:abstractNumId w:val="11"/>
  </w:num>
  <w:num w:numId="16" w16cid:durableId="7469951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366"/>
    <w:rsid w:val="0006380E"/>
    <w:rsid w:val="000A0A29"/>
    <w:rsid w:val="000F5020"/>
    <w:rsid w:val="00136F5D"/>
    <w:rsid w:val="00252295"/>
    <w:rsid w:val="00255F65"/>
    <w:rsid w:val="0026350E"/>
    <w:rsid w:val="0029124B"/>
    <w:rsid w:val="00296025"/>
    <w:rsid w:val="002C4001"/>
    <w:rsid w:val="002C6A80"/>
    <w:rsid w:val="002F04DF"/>
    <w:rsid w:val="00336709"/>
    <w:rsid w:val="0036062B"/>
    <w:rsid w:val="00394F2C"/>
    <w:rsid w:val="003B4542"/>
    <w:rsid w:val="003C1775"/>
    <w:rsid w:val="003E0858"/>
    <w:rsid w:val="003F31C5"/>
    <w:rsid w:val="004012AE"/>
    <w:rsid w:val="004441CB"/>
    <w:rsid w:val="004477A2"/>
    <w:rsid w:val="004718BE"/>
    <w:rsid w:val="00492772"/>
    <w:rsid w:val="004B0B46"/>
    <w:rsid w:val="004C2CC9"/>
    <w:rsid w:val="005116EA"/>
    <w:rsid w:val="0051742F"/>
    <w:rsid w:val="00523987"/>
    <w:rsid w:val="00544C03"/>
    <w:rsid w:val="005B4CBA"/>
    <w:rsid w:val="006D6458"/>
    <w:rsid w:val="006F09D5"/>
    <w:rsid w:val="007218F1"/>
    <w:rsid w:val="00735667"/>
    <w:rsid w:val="007540A2"/>
    <w:rsid w:val="00773316"/>
    <w:rsid w:val="007767F6"/>
    <w:rsid w:val="007C0ACB"/>
    <w:rsid w:val="008116D7"/>
    <w:rsid w:val="008120D0"/>
    <w:rsid w:val="008155E8"/>
    <w:rsid w:val="00896928"/>
    <w:rsid w:val="008F7F7F"/>
    <w:rsid w:val="00997D7C"/>
    <w:rsid w:val="009A4AA2"/>
    <w:rsid w:val="009A4D2A"/>
    <w:rsid w:val="009B5036"/>
    <w:rsid w:val="009E0837"/>
    <w:rsid w:val="00A22149"/>
    <w:rsid w:val="00A3768C"/>
    <w:rsid w:val="00A43BEB"/>
    <w:rsid w:val="00A675DE"/>
    <w:rsid w:val="00A95E25"/>
    <w:rsid w:val="00AB1949"/>
    <w:rsid w:val="00AF0746"/>
    <w:rsid w:val="00BB7144"/>
    <w:rsid w:val="00BC5C9E"/>
    <w:rsid w:val="00BD5E7C"/>
    <w:rsid w:val="00C218CF"/>
    <w:rsid w:val="00C30653"/>
    <w:rsid w:val="00C60366"/>
    <w:rsid w:val="00C778A5"/>
    <w:rsid w:val="00C93579"/>
    <w:rsid w:val="00CC207A"/>
    <w:rsid w:val="00CF51E2"/>
    <w:rsid w:val="00D649DD"/>
    <w:rsid w:val="00D8122B"/>
    <w:rsid w:val="00DA6EA0"/>
    <w:rsid w:val="00E67196"/>
    <w:rsid w:val="00EA1AA9"/>
    <w:rsid w:val="00F02B80"/>
    <w:rsid w:val="00F03087"/>
    <w:rsid w:val="00F32E9A"/>
    <w:rsid w:val="00F51145"/>
    <w:rsid w:val="00F83FB5"/>
    <w:rsid w:val="00F9415E"/>
    <w:rsid w:val="00FC28C5"/>
    <w:rsid w:val="00FE48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8BE7"/>
  <w15:chartTrackingRefBased/>
  <w15:docId w15:val="{5AEEB3CD-1F6D-432D-AA62-DF61B7BE0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366"/>
    <w:pPr>
      <w:spacing w:after="0" w:line="240" w:lineRule="auto"/>
    </w:pPr>
    <w:rPr>
      <w:rFonts w:ascii="Calibri" w:hAnsi="Calibri" w:cs="Calibri"/>
      <w:kern w:val="0"/>
      <w14:ligatures w14:val="none"/>
    </w:rPr>
  </w:style>
  <w:style w:type="paragraph" w:styleId="Heading1">
    <w:name w:val="heading 1"/>
    <w:basedOn w:val="Normal"/>
    <w:link w:val="Heading1Char"/>
    <w:uiPriority w:val="9"/>
    <w:qFormat/>
    <w:rsid w:val="00F32E9A"/>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394F2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94F2C"/>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2">
    <w:name w:val="p2"/>
    <w:basedOn w:val="Normal"/>
    <w:rsid w:val="00C60366"/>
    <w:pPr>
      <w:spacing w:before="100" w:beforeAutospacing="1" w:after="100" w:afterAutospacing="1"/>
    </w:pPr>
  </w:style>
  <w:style w:type="paragraph" w:customStyle="1" w:styleId="p3">
    <w:name w:val="p3"/>
    <w:basedOn w:val="Normal"/>
    <w:rsid w:val="00C60366"/>
    <w:pPr>
      <w:spacing w:before="100" w:beforeAutospacing="1" w:after="100" w:afterAutospacing="1"/>
    </w:pPr>
  </w:style>
  <w:style w:type="character" w:customStyle="1" w:styleId="s2">
    <w:name w:val="s2"/>
    <w:basedOn w:val="DefaultParagraphFont"/>
    <w:rsid w:val="00C60366"/>
  </w:style>
  <w:style w:type="table" w:styleId="TableGrid">
    <w:name w:val="Table Grid"/>
    <w:basedOn w:val="TableNormal"/>
    <w:uiPriority w:val="39"/>
    <w:rsid w:val="00C6036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60366"/>
    <w:pPr>
      <w:spacing w:before="100" w:beforeAutospacing="1" w:after="100" w:afterAutospacing="1"/>
    </w:pPr>
    <w:rPr>
      <w:rFonts w:ascii="Times New Roman" w:eastAsia="Times New Roman" w:hAnsi="Times New Roman" w:cs="Times New Roman"/>
      <w:sz w:val="24"/>
      <w:szCs w:val="24"/>
    </w:rPr>
  </w:style>
  <w:style w:type="paragraph" w:styleId="ListParagraph">
    <w:name w:val="List Paragraph"/>
    <w:basedOn w:val="Normal"/>
    <w:uiPriority w:val="34"/>
    <w:qFormat/>
    <w:rsid w:val="00C60366"/>
    <w:pPr>
      <w:spacing w:after="160" w:line="256" w:lineRule="auto"/>
      <w:ind w:left="720"/>
      <w:contextualSpacing/>
    </w:pPr>
    <w:rPr>
      <w:rFonts w:asciiTheme="minorHAnsi" w:hAnsiTheme="minorHAnsi" w:cstheme="minorBidi"/>
      <w:kern w:val="2"/>
      <w14:ligatures w14:val="standardContextual"/>
    </w:rPr>
  </w:style>
  <w:style w:type="character" w:styleId="Hyperlink">
    <w:name w:val="Hyperlink"/>
    <w:basedOn w:val="DefaultParagraphFont"/>
    <w:uiPriority w:val="99"/>
    <w:unhideWhenUsed/>
    <w:rsid w:val="00C60366"/>
    <w:rPr>
      <w:color w:val="0000FF"/>
      <w:u w:val="single"/>
    </w:rPr>
  </w:style>
  <w:style w:type="character" w:styleId="Strong">
    <w:name w:val="Strong"/>
    <w:basedOn w:val="DefaultParagraphFont"/>
    <w:uiPriority w:val="22"/>
    <w:qFormat/>
    <w:rsid w:val="00C60366"/>
    <w:rPr>
      <w:b/>
      <w:bCs/>
    </w:rPr>
  </w:style>
  <w:style w:type="paragraph" w:customStyle="1" w:styleId="schema-faq-answer">
    <w:name w:val="schema-faq-answer"/>
    <w:basedOn w:val="Normal"/>
    <w:rsid w:val="00C60366"/>
    <w:pPr>
      <w:spacing w:before="100" w:beforeAutospacing="1" w:after="100" w:afterAutospacing="1"/>
    </w:pPr>
    <w:rPr>
      <w:rFonts w:ascii="Times New Roman" w:eastAsia="Times New Roman" w:hAnsi="Times New Roman" w:cs="Times New Roman"/>
      <w:sz w:val="24"/>
      <w:szCs w:val="24"/>
    </w:rPr>
  </w:style>
  <w:style w:type="paragraph" w:customStyle="1" w:styleId="reference">
    <w:name w:val="reference"/>
    <w:basedOn w:val="Normal"/>
    <w:rsid w:val="00C60366"/>
    <w:pPr>
      <w:spacing w:before="100" w:beforeAutospacing="1" w:after="100" w:afterAutospacing="1"/>
    </w:pPr>
    <w:rPr>
      <w:rFonts w:ascii="Times New Roman" w:eastAsia="Times New Roman" w:hAnsi="Times New Roman" w:cs="Times New Roman"/>
      <w:sz w:val="24"/>
      <w:szCs w:val="24"/>
    </w:rPr>
  </w:style>
  <w:style w:type="character" w:customStyle="1" w:styleId="referencemixed-citation">
    <w:name w:val="reference__mixed-citation"/>
    <w:basedOn w:val="DefaultParagraphFont"/>
    <w:rsid w:val="00C60366"/>
  </w:style>
  <w:style w:type="character" w:customStyle="1" w:styleId="referenceperson-group">
    <w:name w:val="reference__person-group"/>
    <w:basedOn w:val="DefaultParagraphFont"/>
    <w:rsid w:val="00C60366"/>
  </w:style>
  <w:style w:type="character" w:customStyle="1" w:styleId="referencestring-name">
    <w:name w:val="reference__string-name"/>
    <w:basedOn w:val="DefaultParagraphFont"/>
    <w:rsid w:val="00C60366"/>
  </w:style>
  <w:style w:type="character" w:customStyle="1" w:styleId="referencesurname">
    <w:name w:val="reference__surname"/>
    <w:basedOn w:val="DefaultParagraphFont"/>
    <w:rsid w:val="00C60366"/>
  </w:style>
  <w:style w:type="character" w:customStyle="1" w:styleId="referencegiven-names">
    <w:name w:val="reference__given-names"/>
    <w:basedOn w:val="DefaultParagraphFont"/>
    <w:rsid w:val="00C60366"/>
  </w:style>
  <w:style w:type="character" w:customStyle="1" w:styleId="referenceyear">
    <w:name w:val="reference__year"/>
    <w:basedOn w:val="DefaultParagraphFont"/>
    <w:rsid w:val="00C60366"/>
  </w:style>
  <w:style w:type="character" w:customStyle="1" w:styleId="referencesource">
    <w:name w:val="reference__source"/>
    <w:basedOn w:val="DefaultParagraphFont"/>
    <w:rsid w:val="00C60366"/>
  </w:style>
  <w:style w:type="character" w:customStyle="1" w:styleId="referencearticle-title">
    <w:name w:val="reference__article-title"/>
    <w:basedOn w:val="DefaultParagraphFont"/>
    <w:rsid w:val="00C60366"/>
  </w:style>
  <w:style w:type="character" w:customStyle="1" w:styleId="referencevolume">
    <w:name w:val="reference__volume"/>
    <w:basedOn w:val="DefaultParagraphFont"/>
    <w:rsid w:val="00C60366"/>
  </w:style>
  <w:style w:type="character" w:customStyle="1" w:styleId="referenceissue">
    <w:name w:val="reference__issue"/>
    <w:basedOn w:val="DefaultParagraphFont"/>
    <w:rsid w:val="00C60366"/>
  </w:style>
  <w:style w:type="character" w:customStyle="1" w:styleId="referencefpage">
    <w:name w:val="reference__fpage"/>
    <w:basedOn w:val="DefaultParagraphFont"/>
    <w:rsid w:val="00C60366"/>
  </w:style>
  <w:style w:type="character" w:customStyle="1" w:styleId="referencelpage">
    <w:name w:val="reference__lpage"/>
    <w:basedOn w:val="DefaultParagraphFont"/>
    <w:rsid w:val="00C60366"/>
  </w:style>
  <w:style w:type="paragraph" w:customStyle="1" w:styleId="author">
    <w:name w:val="author"/>
    <w:basedOn w:val="Normal"/>
    <w:rsid w:val="00F32E9A"/>
    <w:pPr>
      <w:spacing w:before="100" w:beforeAutospacing="1" w:after="100" w:afterAutospacing="1"/>
    </w:pPr>
    <w:rPr>
      <w:rFonts w:ascii="Times New Roman" w:eastAsia="Times New Roman" w:hAnsi="Times New Roman" w:cs="Times New Roman"/>
      <w:sz w:val="24"/>
      <w:szCs w:val="24"/>
    </w:rPr>
  </w:style>
  <w:style w:type="character" w:customStyle="1" w:styleId="author1">
    <w:name w:val="author1"/>
    <w:basedOn w:val="DefaultParagraphFont"/>
    <w:rsid w:val="00F32E9A"/>
  </w:style>
  <w:style w:type="paragraph" w:customStyle="1" w:styleId="Date1">
    <w:name w:val="Date1"/>
    <w:basedOn w:val="Normal"/>
    <w:rsid w:val="00F32E9A"/>
    <w:pPr>
      <w:spacing w:before="100" w:beforeAutospacing="1" w:after="100" w:afterAutospacing="1"/>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F32E9A"/>
    <w:rPr>
      <w:rFonts w:ascii="Times New Roman" w:eastAsia="Times New Roman" w:hAnsi="Times New Roman" w:cs="Times New Roman"/>
      <w:b/>
      <w:bCs/>
      <w:kern w:val="36"/>
      <w:sz w:val="48"/>
      <w:szCs w:val="48"/>
      <w14:ligatures w14:val="none"/>
    </w:rPr>
  </w:style>
  <w:style w:type="paragraph" w:customStyle="1" w:styleId="c-article-author-listitem">
    <w:name w:val="c-article-author-list__item"/>
    <w:basedOn w:val="Normal"/>
    <w:rsid w:val="00394F2C"/>
    <w:pPr>
      <w:spacing w:before="100" w:beforeAutospacing="1" w:after="100" w:afterAutospacing="1"/>
    </w:pPr>
    <w:rPr>
      <w:rFonts w:ascii="Times New Roman" w:eastAsia="Times New Roman" w:hAnsi="Times New Roman" w:cs="Times New Roman"/>
      <w:sz w:val="24"/>
      <w:szCs w:val="24"/>
    </w:rPr>
  </w:style>
  <w:style w:type="character" w:customStyle="1" w:styleId="c-bibliographic-informationvalue">
    <w:name w:val="c-bibliographic-information__value"/>
    <w:basedOn w:val="DefaultParagraphFont"/>
    <w:rsid w:val="00394F2C"/>
  </w:style>
  <w:style w:type="character" w:customStyle="1" w:styleId="Heading2Char">
    <w:name w:val="Heading 2 Char"/>
    <w:basedOn w:val="DefaultParagraphFont"/>
    <w:link w:val="Heading2"/>
    <w:uiPriority w:val="9"/>
    <w:rsid w:val="00394F2C"/>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394F2C"/>
    <w:rPr>
      <w:rFonts w:asciiTheme="majorHAnsi" w:eastAsiaTheme="majorEastAsia" w:hAnsiTheme="majorHAnsi" w:cstheme="majorBidi"/>
      <w:color w:val="1F3763" w:themeColor="accent1" w:themeShade="7F"/>
      <w:kern w:val="0"/>
      <w:sz w:val="24"/>
      <w:szCs w:val="24"/>
      <w14:ligatures w14:val="none"/>
    </w:rPr>
  </w:style>
  <w:style w:type="paragraph" w:customStyle="1" w:styleId="c-breadcrumbsitem">
    <w:name w:val="c-breadcrumbs__item"/>
    <w:basedOn w:val="Normal"/>
    <w:rsid w:val="00394F2C"/>
    <w:pPr>
      <w:spacing w:before="100" w:beforeAutospacing="1" w:after="100" w:afterAutospacing="1"/>
    </w:pPr>
    <w:rPr>
      <w:rFonts w:ascii="Times New Roman" w:eastAsia="Times New Roman" w:hAnsi="Times New Roman" w:cs="Times New Roman"/>
      <w:sz w:val="24"/>
      <w:szCs w:val="24"/>
    </w:rPr>
  </w:style>
  <w:style w:type="paragraph" w:customStyle="1" w:styleId="c-article-identifiersitem">
    <w:name w:val="c-article-identifiers__item"/>
    <w:basedOn w:val="Normal"/>
    <w:rsid w:val="00394F2C"/>
    <w:pPr>
      <w:spacing w:before="100" w:beforeAutospacing="1" w:after="100" w:afterAutospacing="1"/>
    </w:pPr>
    <w:rPr>
      <w:rFonts w:ascii="Times New Roman" w:eastAsia="Times New Roman" w:hAnsi="Times New Roman" w:cs="Times New Roman"/>
      <w:sz w:val="24"/>
      <w:szCs w:val="24"/>
    </w:rPr>
  </w:style>
  <w:style w:type="paragraph" w:customStyle="1" w:styleId="c-article-metrics-barcount">
    <w:name w:val="c-article-metrics-bar__count"/>
    <w:basedOn w:val="Normal"/>
    <w:rsid w:val="00394F2C"/>
    <w:pPr>
      <w:spacing w:before="100" w:beforeAutospacing="1" w:after="100" w:afterAutospacing="1"/>
    </w:pPr>
    <w:rPr>
      <w:rFonts w:ascii="Times New Roman" w:eastAsia="Times New Roman" w:hAnsi="Times New Roman" w:cs="Times New Roman"/>
      <w:sz w:val="24"/>
      <w:szCs w:val="24"/>
    </w:rPr>
  </w:style>
  <w:style w:type="character" w:customStyle="1" w:styleId="c-article-metrics-barlabel">
    <w:name w:val="c-article-metrics-bar__label"/>
    <w:basedOn w:val="DefaultParagraphFont"/>
    <w:rsid w:val="00394F2C"/>
  </w:style>
  <w:style w:type="paragraph" w:customStyle="1" w:styleId="c-notestext">
    <w:name w:val="c-notes__text"/>
    <w:basedOn w:val="Normal"/>
    <w:rsid w:val="00394F2C"/>
    <w:pPr>
      <w:spacing w:before="100" w:beforeAutospacing="1" w:after="100" w:afterAutospacing="1"/>
    </w:pPr>
    <w:rPr>
      <w:rFonts w:ascii="Times New Roman" w:eastAsia="Times New Roman" w:hAnsi="Times New Roman" w:cs="Times New Roman"/>
      <w:sz w:val="24"/>
      <w:szCs w:val="24"/>
    </w:rPr>
  </w:style>
  <w:style w:type="paragraph" w:customStyle="1" w:styleId="c-article-referencestext">
    <w:name w:val="c-article-references__text"/>
    <w:basedOn w:val="Normal"/>
    <w:rsid w:val="00394F2C"/>
    <w:pPr>
      <w:spacing w:before="100" w:beforeAutospacing="1" w:after="100" w:afterAutospacing="1"/>
    </w:pPr>
    <w:rPr>
      <w:rFonts w:ascii="Times New Roman" w:eastAsia="Times New Roman" w:hAnsi="Times New Roman" w:cs="Times New Roman"/>
      <w:sz w:val="24"/>
      <w:szCs w:val="24"/>
    </w:rPr>
  </w:style>
  <w:style w:type="paragraph" w:customStyle="1" w:styleId="c-article-referenceslinks">
    <w:name w:val="c-article-references__links"/>
    <w:basedOn w:val="Normal"/>
    <w:rsid w:val="00394F2C"/>
    <w:pPr>
      <w:spacing w:before="100" w:beforeAutospacing="1" w:after="100" w:afterAutospacing="1"/>
    </w:pPr>
    <w:rPr>
      <w:rFonts w:ascii="Times New Roman" w:eastAsia="Times New Roman" w:hAnsi="Times New Roman" w:cs="Times New Roman"/>
      <w:sz w:val="24"/>
      <w:szCs w:val="24"/>
    </w:rPr>
  </w:style>
  <w:style w:type="paragraph" w:customStyle="1" w:styleId="c-article-referencesdownload">
    <w:name w:val="c-article-references__download"/>
    <w:basedOn w:val="Normal"/>
    <w:rsid w:val="00394F2C"/>
    <w:pPr>
      <w:spacing w:before="100" w:beforeAutospacing="1" w:after="100" w:afterAutospacing="1"/>
    </w:pPr>
    <w:rPr>
      <w:rFonts w:ascii="Times New Roman" w:eastAsia="Times New Roman" w:hAnsi="Times New Roman" w:cs="Times New Roman"/>
      <w:sz w:val="24"/>
      <w:szCs w:val="24"/>
    </w:rPr>
  </w:style>
  <w:style w:type="paragraph" w:customStyle="1" w:styleId="c-article-author-affiliationaddress">
    <w:name w:val="c-article-author-affiliation__address"/>
    <w:basedOn w:val="Normal"/>
    <w:rsid w:val="00394F2C"/>
    <w:pPr>
      <w:spacing w:before="100" w:beforeAutospacing="1" w:after="100" w:afterAutospacing="1"/>
    </w:pPr>
    <w:rPr>
      <w:rFonts w:ascii="Times New Roman" w:eastAsia="Times New Roman" w:hAnsi="Times New Roman" w:cs="Times New Roman"/>
      <w:sz w:val="24"/>
      <w:szCs w:val="24"/>
    </w:rPr>
  </w:style>
  <w:style w:type="paragraph" w:customStyle="1" w:styleId="c-article-author-affiliationauthors-list">
    <w:name w:val="c-article-author-affiliation__authors-list"/>
    <w:basedOn w:val="Normal"/>
    <w:rsid w:val="00394F2C"/>
    <w:pPr>
      <w:spacing w:before="100" w:beforeAutospacing="1" w:after="100" w:afterAutospacing="1"/>
    </w:pPr>
    <w:rPr>
      <w:rFonts w:ascii="Times New Roman" w:eastAsia="Times New Roman" w:hAnsi="Times New Roman" w:cs="Times New Roman"/>
      <w:sz w:val="24"/>
      <w:szCs w:val="24"/>
    </w:rPr>
  </w:style>
  <w:style w:type="paragraph" w:customStyle="1" w:styleId="c-article-rights">
    <w:name w:val="c-article-rights"/>
    <w:basedOn w:val="Normal"/>
    <w:rsid w:val="00394F2C"/>
    <w:pPr>
      <w:spacing w:before="100" w:beforeAutospacing="1" w:after="100" w:afterAutospacing="1"/>
    </w:pPr>
    <w:rPr>
      <w:rFonts w:ascii="Times New Roman" w:eastAsia="Times New Roman" w:hAnsi="Times New Roman" w:cs="Times New Roman"/>
      <w:sz w:val="24"/>
      <w:szCs w:val="24"/>
    </w:rPr>
  </w:style>
  <w:style w:type="paragraph" w:customStyle="1" w:styleId="c-bibliographic-informationcitation">
    <w:name w:val="c-bibliographic-information__citation"/>
    <w:basedOn w:val="Normal"/>
    <w:rsid w:val="00394F2C"/>
    <w:pPr>
      <w:spacing w:before="100" w:beforeAutospacing="1" w:after="100" w:afterAutospacing="1"/>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4C2C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561963">
      <w:bodyDiv w:val="1"/>
      <w:marLeft w:val="0"/>
      <w:marRight w:val="0"/>
      <w:marTop w:val="0"/>
      <w:marBottom w:val="0"/>
      <w:divBdr>
        <w:top w:val="none" w:sz="0" w:space="0" w:color="auto"/>
        <w:left w:val="none" w:sz="0" w:space="0" w:color="auto"/>
        <w:bottom w:val="none" w:sz="0" w:space="0" w:color="auto"/>
        <w:right w:val="none" w:sz="0" w:space="0" w:color="auto"/>
      </w:divBdr>
    </w:div>
    <w:div w:id="744227636">
      <w:bodyDiv w:val="1"/>
      <w:marLeft w:val="0"/>
      <w:marRight w:val="0"/>
      <w:marTop w:val="0"/>
      <w:marBottom w:val="0"/>
      <w:divBdr>
        <w:top w:val="none" w:sz="0" w:space="0" w:color="auto"/>
        <w:left w:val="none" w:sz="0" w:space="0" w:color="auto"/>
        <w:bottom w:val="none" w:sz="0" w:space="0" w:color="auto"/>
        <w:right w:val="none" w:sz="0" w:space="0" w:color="auto"/>
      </w:divBdr>
    </w:div>
    <w:div w:id="907812870">
      <w:bodyDiv w:val="1"/>
      <w:marLeft w:val="0"/>
      <w:marRight w:val="0"/>
      <w:marTop w:val="0"/>
      <w:marBottom w:val="0"/>
      <w:divBdr>
        <w:top w:val="none" w:sz="0" w:space="0" w:color="auto"/>
        <w:left w:val="none" w:sz="0" w:space="0" w:color="auto"/>
        <w:bottom w:val="none" w:sz="0" w:space="0" w:color="auto"/>
        <w:right w:val="none" w:sz="0" w:space="0" w:color="auto"/>
      </w:divBdr>
    </w:div>
    <w:div w:id="987974341">
      <w:bodyDiv w:val="1"/>
      <w:marLeft w:val="0"/>
      <w:marRight w:val="0"/>
      <w:marTop w:val="0"/>
      <w:marBottom w:val="0"/>
      <w:divBdr>
        <w:top w:val="none" w:sz="0" w:space="0" w:color="auto"/>
        <w:left w:val="none" w:sz="0" w:space="0" w:color="auto"/>
        <w:bottom w:val="none" w:sz="0" w:space="0" w:color="auto"/>
        <w:right w:val="none" w:sz="0" w:space="0" w:color="auto"/>
      </w:divBdr>
    </w:div>
    <w:div w:id="1001469220">
      <w:bodyDiv w:val="1"/>
      <w:marLeft w:val="0"/>
      <w:marRight w:val="0"/>
      <w:marTop w:val="0"/>
      <w:marBottom w:val="0"/>
      <w:divBdr>
        <w:top w:val="none" w:sz="0" w:space="0" w:color="auto"/>
        <w:left w:val="none" w:sz="0" w:space="0" w:color="auto"/>
        <w:bottom w:val="none" w:sz="0" w:space="0" w:color="auto"/>
        <w:right w:val="none" w:sz="0" w:space="0" w:color="auto"/>
      </w:divBdr>
    </w:div>
    <w:div w:id="1211266547">
      <w:bodyDiv w:val="1"/>
      <w:marLeft w:val="0"/>
      <w:marRight w:val="0"/>
      <w:marTop w:val="0"/>
      <w:marBottom w:val="0"/>
      <w:divBdr>
        <w:top w:val="none" w:sz="0" w:space="0" w:color="auto"/>
        <w:left w:val="none" w:sz="0" w:space="0" w:color="auto"/>
        <w:bottom w:val="none" w:sz="0" w:space="0" w:color="auto"/>
        <w:right w:val="none" w:sz="0" w:space="0" w:color="auto"/>
      </w:divBdr>
    </w:div>
    <w:div w:id="1466704692">
      <w:bodyDiv w:val="1"/>
      <w:marLeft w:val="0"/>
      <w:marRight w:val="0"/>
      <w:marTop w:val="0"/>
      <w:marBottom w:val="0"/>
      <w:divBdr>
        <w:top w:val="none" w:sz="0" w:space="0" w:color="auto"/>
        <w:left w:val="none" w:sz="0" w:space="0" w:color="auto"/>
        <w:bottom w:val="none" w:sz="0" w:space="0" w:color="auto"/>
        <w:right w:val="none" w:sz="0" w:space="0" w:color="auto"/>
      </w:divBdr>
    </w:div>
    <w:div w:id="1479034031">
      <w:bodyDiv w:val="1"/>
      <w:marLeft w:val="0"/>
      <w:marRight w:val="0"/>
      <w:marTop w:val="0"/>
      <w:marBottom w:val="0"/>
      <w:divBdr>
        <w:top w:val="none" w:sz="0" w:space="0" w:color="auto"/>
        <w:left w:val="none" w:sz="0" w:space="0" w:color="auto"/>
        <w:bottom w:val="none" w:sz="0" w:space="0" w:color="auto"/>
        <w:right w:val="none" w:sz="0" w:space="0" w:color="auto"/>
      </w:divBdr>
    </w:div>
    <w:div w:id="1521965026">
      <w:bodyDiv w:val="1"/>
      <w:marLeft w:val="0"/>
      <w:marRight w:val="0"/>
      <w:marTop w:val="0"/>
      <w:marBottom w:val="0"/>
      <w:divBdr>
        <w:top w:val="none" w:sz="0" w:space="0" w:color="auto"/>
        <w:left w:val="none" w:sz="0" w:space="0" w:color="auto"/>
        <w:bottom w:val="none" w:sz="0" w:space="0" w:color="auto"/>
        <w:right w:val="none" w:sz="0" w:space="0" w:color="auto"/>
      </w:divBdr>
    </w:div>
    <w:div w:id="1523589622">
      <w:bodyDiv w:val="1"/>
      <w:marLeft w:val="0"/>
      <w:marRight w:val="0"/>
      <w:marTop w:val="0"/>
      <w:marBottom w:val="0"/>
      <w:divBdr>
        <w:top w:val="none" w:sz="0" w:space="0" w:color="auto"/>
        <w:left w:val="none" w:sz="0" w:space="0" w:color="auto"/>
        <w:bottom w:val="none" w:sz="0" w:space="0" w:color="auto"/>
        <w:right w:val="none" w:sz="0" w:space="0" w:color="auto"/>
      </w:divBdr>
    </w:div>
    <w:div w:id="1654872226">
      <w:bodyDiv w:val="1"/>
      <w:marLeft w:val="0"/>
      <w:marRight w:val="0"/>
      <w:marTop w:val="0"/>
      <w:marBottom w:val="0"/>
      <w:divBdr>
        <w:top w:val="none" w:sz="0" w:space="0" w:color="auto"/>
        <w:left w:val="none" w:sz="0" w:space="0" w:color="auto"/>
        <w:bottom w:val="none" w:sz="0" w:space="0" w:color="auto"/>
        <w:right w:val="none" w:sz="0" w:space="0" w:color="auto"/>
      </w:divBdr>
    </w:div>
    <w:div w:id="1688405804">
      <w:bodyDiv w:val="1"/>
      <w:marLeft w:val="0"/>
      <w:marRight w:val="0"/>
      <w:marTop w:val="0"/>
      <w:marBottom w:val="0"/>
      <w:divBdr>
        <w:top w:val="none" w:sz="0" w:space="0" w:color="auto"/>
        <w:left w:val="none" w:sz="0" w:space="0" w:color="auto"/>
        <w:bottom w:val="none" w:sz="0" w:space="0" w:color="auto"/>
        <w:right w:val="none" w:sz="0" w:space="0" w:color="auto"/>
      </w:divBdr>
    </w:div>
    <w:div w:id="1862864022">
      <w:bodyDiv w:val="1"/>
      <w:marLeft w:val="0"/>
      <w:marRight w:val="0"/>
      <w:marTop w:val="0"/>
      <w:marBottom w:val="0"/>
      <w:divBdr>
        <w:top w:val="none" w:sz="0" w:space="0" w:color="auto"/>
        <w:left w:val="none" w:sz="0" w:space="0" w:color="auto"/>
        <w:bottom w:val="none" w:sz="0" w:space="0" w:color="auto"/>
        <w:right w:val="none" w:sz="0" w:space="0" w:color="auto"/>
      </w:divBdr>
    </w:div>
    <w:div w:id="1910994364">
      <w:bodyDiv w:val="1"/>
      <w:marLeft w:val="0"/>
      <w:marRight w:val="0"/>
      <w:marTop w:val="0"/>
      <w:marBottom w:val="0"/>
      <w:divBdr>
        <w:top w:val="none" w:sz="0" w:space="0" w:color="auto"/>
        <w:left w:val="none" w:sz="0" w:space="0" w:color="auto"/>
        <w:bottom w:val="none" w:sz="0" w:space="0" w:color="auto"/>
        <w:right w:val="none" w:sz="0" w:space="0" w:color="auto"/>
      </w:divBdr>
    </w:div>
    <w:div w:id="1930039486">
      <w:bodyDiv w:val="1"/>
      <w:marLeft w:val="0"/>
      <w:marRight w:val="0"/>
      <w:marTop w:val="0"/>
      <w:marBottom w:val="0"/>
      <w:divBdr>
        <w:top w:val="none" w:sz="0" w:space="0" w:color="auto"/>
        <w:left w:val="none" w:sz="0" w:space="0" w:color="auto"/>
        <w:bottom w:val="none" w:sz="0" w:space="0" w:color="auto"/>
        <w:right w:val="none" w:sz="0" w:space="0" w:color="auto"/>
      </w:divBdr>
    </w:div>
    <w:div w:id="1965427614">
      <w:bodyDiv w:val="1"/>
      <w:marLeft w:val="0"/>
      <w:marRight w:val="0"/>
      <w:marTop w:val="0"/>
      <w:marBottom w:val="0"/>
      <w:divBdr>
        <w:top w:val="none" w:sz="0" w:space="0" w:color="auto"/>
        <w:left w:val="none" w:sz="0" w:space="0" w:color="auto"/>
        <w:bottom w:val="none" w:sz="0" w:space="0" w:color="auto"/>
        <w:right w:val="none" w:sz="0" w:space="0" w:color="auto"/>
      </w:divBdr>
      <w:divsChild>
        <w:div w:id="2088114470">
          <w:marLeft w:val="0"/>
          <w:marRight w:val="0"/>
          <w:marTop w:val="0"/>
          <w:marBottom w:val="600"/>
          <w:divBdr>
            <w:top w:val="none" w:sz="0" w:space="0" w:color="auto"/>
            <w:left w:val="none" w:sz="0" w:space="0" w:color="auto"/>
            <w:bottom w:val="none" w:sz="0" w:space="0" w:color="auto"/>
            <w:right w:val="none" w:sz="0" w:space="0" w:color="auto"/>
          </w:divBdr>
          <w:divsChild>
            <w:div w:id="388768243">
              <w:marLeft w:val="0"/>
              <w:marRight w:val="0"/>
              <w:marTop w:val="0"/>
              <w:marBottom w:val="0"/>
              <w:divBdr>
                <w:top w:val="none" w:sz="0" w:space="0" w:color="auto"/>
                <w:left w:val="none" w:sz="0" w:space="0" w:color="auto"/>
                <w:bottom w:val="none" w:sz="0" w:space="0" w:color="auto"/>
                <w:right w:val="none" w:sz="0" w:space="0" w:color="auto"/>
              </w:divBdr>
              <w:divsChild>
                <w:div w:id="654535114">
                  <w:marLeft w:val="0"/>
                  <w:marRight w:val="0"/>
                  <w:marTop w:val="0"/>
                  <w:marBottom w:val="0"/>
                  <w:divBdr>
                    <w:top w:val="none" w:sz="0" w:space="0" w:color="auto"/>
                    <w:left w:val="none" w:sz="0" w:space="0" w:color="auto"/>
                    <w:bottom w:val="none" w:sz="0" w:space="0" w:color="auto"/>
                    <w:right w:val="none" w:sz="0" w:space="0" w:color="auto"/>
                  </w:divBdr>
                  <w:divsChild>
                    <w:div w:id="80747643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20614436">
          <w:marLeft w:val="0"/>
          <w:marRight w:val="0"/>
          <w:marTop w:val="0"/>
          <w:marBottom w:val="0"/>
          <w:divBdr>
            <w:top w:val="none" w:sz="0" w:space="0" w:color="auto"/>
            <w:left w:val="none" w:sz="0" w:space="0" w:color="auto"/>
            <w:bottom w:val="none" w:sz="0" w:space="0" w:color="auto"/>
            <w:right w:val="none" w:sz="0" w:space="0" w:color="auto"/>
          </w:divBdr>
          <w:divsChild>
            <w:div w:id="1421677117">
              <w:marLeft w:val="0"/>
              <w:marRight w:val="0"/>
              <w:marTop w:val="360"/>
              <w:marBottom w:val="360"/>
              <w:divBdr>
                <w:top w:val="single" w:sz="6" w:space="6" w:color="D5D5D5"/>
                <w:left w:val="none" w:sz="0" w:space="0" w:color="auto"/>
                <w:bottom w:val="single" w:sz="6" w:space="6" w:color="D5D5D5"/>
                <w:right w:val="none" w:sz="0" w:space="0" w:color="auto"/>
              </w:divBdr>
            </w:div>
            <w:div w:id="1897355913">
              <w:marLeft w:val="0"/>
              <w:marRight w:val="0"/>
              <w:marTop w:val="0"/>
              <w:marBottom w:val="0"/>
              <w:divBdr>
                <w:top w:val="none" w:sz="0" w:space="0" w:color="auto"/>
                <w:left w:val="none" w:sz="0" w:space="0" w:color="auto"/>
                <w:bottom w:val="none" w:sz="0" w:space="0" w:color="auto"/>
                <w:right w:val="none" w:sz="0" w:space="0" w:color="auto"/>
              </w:divBdr>
              <w:divsChild>
                <w:div w:id="1345742885">
                  <w:marLeft w:val="0"/>
                  <w:marRight w:val="0"/>
                  <w:marTop w:val="0"/>
                  <w:marBottom w:val="0"/>
                  <w:divBdr>
                    <w:top w:val="none" w:sz="0" w:space="0" w:color="auto"/>
                    <w:left w:val="none" w:sz="0" w:space="0" w:color="auto"/>
                    <w:bottom w:val="none" w:sz="0" w:space="0" w:color="auto"/>
                    <w:right w:val="none" w:sz="0" w:space="0" w:color="auto"/>
                  </w:divBdr>
                  <w:divsChild>
                    <w:div w:id="1737511744">
                      <w:marLeft w:val="0"/>
                      <w:marRight w:val="0"/>
                      <w:marTop w:val="0"/>
                      <w:marBottom w:val="600"/>
                      <w:divBdr>
                        <w:top w:val="none" w:sz="0" w:space="0" w:color="auto"/>
                        <w:left w:val="none" w:sz="0" w:space="0" w:color="auto"/>
                        <w:bottom w:val="none" w:sz="0" w:space="0" w:color="auto"/>
                        <w:right w:val="none" w:sz="0" w:space="0" w:color="auto"/>
                      </w:divBdr>
                      <w:divsChild>
                        <w:div w:id="190390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192911">
              <w:marLeft w:val="0"/>
              <w:marRight w:val="0"/>
              <w:marTop w:val="0"/>
              <w:marBottom w:val="0"/>
              <w:divBdr>
                <w:top w:val="none" w:sz="0" w:space="0" w:color="auto"/>
                <w:left w:val="none" w:sz="0" w:space="0" w:color="auto"/>
                <w:bottom w:val="none" w:sz="0" w:space="0" w:color="auto"/>
                <w:right w:val="none" w:sz="0" w:space="0" w:color="auto"/>
              </w:divBdr>
              <w:divsChild>
                <w:div w:id="673800713">
                  <w:marLeft w:val="0"/>
                  <w:marRight w:val="0"/>
                  <w:marTop w:val="0"/>
                  <w:marBottom w:val="600"/>
                  <w:divBdr>
                    <w:top w:val="none" w:sz="0" w:space="0" w:color="auto"/>
                    <w:left w:val="none" w:sz="0" w:space="0" w:color="auto"/>
                    <w:bottom w:val="none" w:sz="0" w:space="0" w:color="auto"/>
                    <w:right w:val="none" w:sz="0" w:space="0" w:color="auto"/>
                  </w:divBdr>
                </w:div>
              </w:divsChild>
            </w:div>
            <w:div w:id="1715538718">
              <w:marLeft w:val="0"/>
              <w:marRight w:val="0"/>
              <w:marTop w:val="0"/>
              <w:marBottom w:val="0"/>
              <w:divBdr>
                <w:top w:val="none" w:sz="0" w:space="0" w:color="auto"/>
                <w:left w:val="none" w:sz="0" w:space="0" w:color="auto"/>
                <w:bottom w:val="none" w:sz="0" w:space="0" w:color="auto"/>
                <w:right w:val="none" w:sz="0" w:space="0" w:color="auto"/>
              </w:divBdr>
              <w:divsChild>
                <w:div w:id="1092896372">
                  <w:marLeft w:val="0"/>
                  <w:marRight w:val="0"/>
                  <w:marTop w:val="0"/>
                  <w:marBottom w:val="600"/>
                  <w:divBdr>
                    <w:top w:val="none" w:sz="0" w:space="0" w:color="auto"/>
                    <w:left w:val="none" w:sz="0" w:space="0" w:color="auto"/>
                    <w:bottom w:val="none" w:sz="0" w:space="0" w:color="auto"/>
                    <w:right w:val="none" w:sz="0" w:space="0" w:color="auto"/>
                  </w:divBdr>
                </w:div>
              </w:divsChild>
            </w:div>
            <w:div w:id="883637953">
              <w:marLeft w:val="0"/>
              <w:marRight w:val="0"/>
              <w:marTop w:val="0"/>
              <w:marBottom w:val="0"/>
              <w:divBdr>
                <w:top w:val="none" w:sz="0" w:space="0" w:color="auto"/>
                <w:left w:val="none" w:sz="0" w:space="0" w:color="auto"/>
                <w:bottom w:val="none" w:sz="0" w:space="0" w:color="auto"/>
                <w:right w:val="none" w:sz="0" w:space="0" w:color="auto"/>
              </w:divBdr>
              <w:divsChild>
                <w:div w:id="422343369">
                  <w:marLeft w:val="0"/>
                  <w:marRight w:val="0"/>
                  <w:marTop w:val="0"/>
                  <w:marBottom w:val="600"/>
                  <w:divBdr>
                    <w:top w:val="none" w:sz="0" w:space="0" w:color="auto"/>
                    <w:left w:val="none" w:sz="0" w:space="0" w:color="auto"/>
                    <w:bottom w:val="none" w:sz="0" w:space="0" w:color="auto"/>
                    <w:right w:val="none" w:sz="0" w:space="0" w:color="auto"/>
                  </w:divBdr>
                </w:div>
              </w:divsChild>
            </w:div>
            <w:div w:id="562956809">
              <w:marLeft w:val="0"/>
              <w:marRight w:val="0"/>
              <w:marTop w:val="0"/>
              <w:marBottom w:val="0"/>
              <w:divBdr>
                <w:top w:val="none" w:sz="0" w:space="0" w:color="auto"/>
                <w:left w:val="none" w:sz="0" w:space="0" w:color="auto"/>
                <w:bottom w:val="none" w:sz="0" w:space="0" w:color="auto"/>
                <w:right w:val="none" w:sz="0" w:space="0" w:color="auto"/>
              </w:divBdr>
              <w:divsChild>
                <w:div w:id="529952970">
                  <w:marLeft w:val="0"/>
                  <w:marRight w:val="0"/>
                  <w:marTop w:val="0"/>
                  <w:marBottom w:val="600"/>
                  <w:divBdr>
                    <w:top w:val="none" w:sz="0" w:space="0" w:color="auto"/>
                    <w:left w:val="none" w:sz="0" w:space="0" w:color="auto"/>
                    <w:bottom w:val="none" w:sz="0" w:space="0" w:color="auto"/>
                    <w:right w:val="none" w:sz="0" w:space="0" w:color="auto"/>
                  </w:divBdr>
                  <w:divsChild>
                    <w:div w:id="28380078">
                      <w:marLeft w:val="0"/>
                      <w:marRight w:val="0"/>
                      <w:marTop w:val="0"/>
                      <w:marBottom w:val="0"/>
                      <w:divBdr>
                        <w:top w:val="none" w:sz="0" w:space="0" w:color="auto"/>
                        <w:left w:val="none" w:sz="0" w:space="0" w:color="auto"/>
                        <w:bottom w:val="none" w:sz="0" w:space="0" w:color="auto"/>
                        <w:right w:val="none" w:sz="0" w:space="0" w:color="auto"/>
                      </w:divBdr>
                      <w:divsChild>
                        <w:div w:id="42218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3173916">
      <w:bodyDiv w:val="1"/>
      <w:marLeft w:val="0"/>
      <w:marRight w:val="0"/>
      <w:marTop w:val="0"/>
      <w:marBottom w:val="0"/>
      <w:divBdr>
        <w:top w:val="none" w:sz="0" w:space="0" w:color="auto"/>
        <w:left w:val="none" w:sz="0" w:space="0" w:color="auto"/>
        <w:bottom w:val="none" w:sz="0" w:space="0" w:color="auto"/>
        <w:right w:val="none" w:sz="0" w:space="0" w:color="auto"/>
      </w:divBdr>
    </w:div>
    <w:div w:id="2007711622">
      <w:bodyDiv w:val="1"/>
      <w:marLeft w:val="0"/>
      <w:marRight w:val="0"/>
      <w:marTop w:val="0"/>
      <w:marBottom w:val="0"/>
      <w:divBdr>
        <w:top w:val="none" w:sz="0" w:space="0" w:color="auto"/>
        <w:left w:val="none" w:sz="0" w:space="0" w:color="auto"/>
        <w:bottom w:val="none" w:sz="0" w:space="0" w:color="auto"/>
        <w:right w:val="none" w:sz="0" w:space="0" w:color="auto"/>
      </w:divBdr>
    </w:div>
    <w:div w:id="2076318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merckgroup.com/investors/reports-and-financials/earnings-materials/2011-q4/en/2011-Merck-Annual%20-Report-EN.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5031</Words>
  <Characters>28677</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Angie Williams-Jackson</cp:lastModifiedBy>
  <cp:revision>2</cp:revision>
  <dcterms:created xsi:type="dcterms:W3CDTF">2023-05-28T19:13:00Z</dcterms:created>
  <dcterms:modified xsi:type="dcterms:W3CDTF">2023-05-28T19:13:00Z</dcterms:modified>
</cp:coreProperties>
</file>