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9B1469" w14:textId="4754356E" w:rsidR="00772969" w:rsidRDefault="00911591">
      <w:r>
        <w:t xml:space="preserve"> </w:t>
      </w:r>
      <w:r w:rsidR="008A3EF0">
        <w:rPr>
          <w:noProof/>
        </w:rPr>
        <w:drawing>
          <wp:inline distT="0" distB="0" distL="0" distR="0" wp14:anchorId="17066B11" wp14:editId="1CA76DF9">
            <wp:extent cx="5731510" cy="2554605"/>
            <wp:effectExtent l="0" t="0" r="2540" b="0"/>
            <wp:docPr id="848056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56051" name="Picture 8480560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60FB16C8" w14:textId="77777777" w:rsidR="000D3192" w:rsidRPr="000D3192" w:rsidRDefault="000D3192" w:rsidP="000D3192">
      <w:pPr>
        <w:jc w:val="center"/>
        <w:rPr>
          <w:b/>
          <w:bCs/>
          <w:sz w:val="44"/>
          <w:szCs w:val="44"/>
        </w:rPr>
      </w:pPr>
      <w:r w:rsidRPr="000D3192">
        <w:rPr>
          <w:b/>
          <w:bCs/>
          <w:sz w:val="44"/>
          <w:szCs w:val="44"/>
        </w:rPr>
        <w:t>BANKING AND FINANCE ECONOMICS</w:t>
      </w:r>
    </w:p>
    <w:p w14:paraId="1BA5E1F5" w14:textId="77777777" w:rsidR="000D3192" w:rsidRPr="000D3192" w:rsidRDefault="000D3192" w:rsidP="000D3192">
      <w:pPr>
        <w:jc w:val="center"/>
        <w:rPr>
          <w:b/>
          <w:bCs/>
          <w:sz w:val="44"/>
          <w:szCs w:val="44"/>
        </w:rPr>
      </w:pPr>
    </w:p>
    <w:p w14:paraId="610C79E2" w14:textId="45DA2BAD" w:rsidR="000D3192" w:rsidRDefault="000D3192" w:rsidP="000D3192">
      <w:pPr>
        <w:jc w:val="center"/>
        <w:rPr>
          <w:b/>
          <w:bCs/>
          <w:sz w:val="44"/>
          <w:szCs w:val="44"/>
        </w:rPr>
      </w:pPr>
      <w:r w:rsidRPr="000D3192">
        <w:rPr>
          <w:b/>
          <w:bCs/>
          <w:sz w:val="44"/>
          <w:szCs w:val="44"/>
        </w:rPr>
        <w:t>(LCMB7032_LON)</w:t>
      </w:r>
    </w:p>
    <w:p w14:paraId="6711F36F" w14:textId="2CDB3A40" w:rsidR="00DC3395" w:rsidRDefault="00DC3395" w:rsidP="000D3192">
      <w:pPr>
        <w:jc w:val="center"/>
        <w:rPr>
          <w:b/>
          <w:bCs/>
          <w:sz w:val="44"/>
          <w:szCs w:val="44"/>
        </w:rPr>
      </w:pPr>
      <w:r>
        <w:rPr>
          <w:b/>
          <w:bCs/>
          <w:sz w:val="44"/>
          <w:szCs w:val="44"/>
        </w:rPr>
        <w:t>COMPANY: AIRBNB</w:t>
      </w:r>
    </w:p>
    <w:p w14:paraId="72B5CF2B" w14:textId="0DEE7757" w:rsidR="008F626A" w:rsidRDefault="008F626A" w:rsidP="000D3192">
      <w:pPr>
        <w:jc w:val="center"/>
        <w:rPr>
          <w:b/>
          <w:bCs/>
          <w:sz w:val="44"/>
          <w:szCs w:val="44"/>
        </w:rPr>
      </w:pPr>
      <w:r>
        <w:rPr>
          <w:b/>
          <w:bCs/>
          <w:noProof/>
          <w:sz w:val="44"/>
          <w:szCs w:val="44"/>
        </w:rPr>
        <w:drawing>
          <wp:inline distT="0" distB="0" distL="0" distR="0" wp14:anchorId="1064EF9E" wp14:editId="0F77F3B8">
            <wp:extent cx="4178935" cy="2516489"/>
            <wp:effectExtent l="0" t="0" r="0" b="0"/>
            <wp:docPr id="14546502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50267" name="Picture 1454650267"/>
                    <pic:cNvPicPr/>
                  </pic:nvPicPr>
                  <pic:blipFill>
                    <a:blip r:embed="rId9">
                      <a:extLst>
                        <a:ext uri="{28A0092B-C50C-407E-A947-70E740481C1C}">
                          <a14:useLocalDpi xmlns:a14="http://schemas.microsoft.com/office/drawing/2010/main" val="0"/>
                        </a:ext>
                      </a:extLst>
                    </a:blip>
                    <a:stretch>
                      <a:fillRect/>
                    </a:stretch>
                  </pic:blipFill>
                  <pic:spPr>
                    <a:xfrm>
                      <a:off x="0" y="0"/>
                      <a:ext cx="4214109" cy="2537670"/>
                    </a:xfrm>
                    <a:prstGeom prst="rect">
                      <a:avLst/>
                    </a:prstGeom>
                  </pic:spPr>
                </pic:pic>
              </a:graphicData>
            </a:graphic>
          </wp:inline>
        </w:drawing>
      </w:r>
    </w:p>
    <w:p w14:paraId="75C43CA9" w14:textId="77777777" w:rsidR="008F626A" w:rsidRDefault="008F626A" w:rsidP="000D3192">
      <w:pPr>
        <w:jc w:val="center"/>
        <w:rPr>
          <w:b/>
          <w:bCs/>
          <w:sz w:val="44"/>
          <w:szCs w:val="44"/>
        </w:rPr>
      </w:pPr>
    </w:p>
    <w:p w14:paraId="4508B396" w14:textId="77777777" w:rsidR="008F626A" w:rsidRDefault="008F626A" w:rsidP="000D3192">
      <w:pPr>
        <w:jc w:val="center"/>
        <w:rPr>
          <w:b/>
          <w:bCs/>
          <w:sz w:val="44"/>
          <w:szCs w:val="44"/>
        </w:rPr>
      </w:pPr>
    </w:p>
    <w:p w14:paraId="61F28298" w14:textId="77777777" w:rsidR="008F626A" w:rsidRDefault="008F626A" w:rsidP="000D3192">
      <w:pPr>
        <w:jc w:val="center"/>
        <w:rPr>
          <w:b/>
          <w:bCs/>
          <w:sz w:val="44"/>
          <w:szCs w:val="44"/>
        </w:rPr>
      </w:pPr>
    </w:p>
    <w:p w14:paraId="31511439" w14:textId="07462A07" w:rsidR="008F626A" w:rsidRPr="005078EB" w:rsidRDefault="008F626A" w:rsidP="00716A5B">
      <w:pPr>
        <w:pStyle w:val="ListParagraph"/>
        <w:ind w:left="732"/>
        <w:rPr>
          <w:sz w:val="28"/>
          <w:szCs w:val="28"/>
        </w:rPr>
      </w:pPr>
      <w:r>
        <w:rPr>
          <w:b/>
          <w:bCs/>
          <w:sz w:val="44"/>
          <w:szCs w:val="44"/>
        </w:rPr>
        <w:lastRenderedPageBreak/>
        <w:t xml:space="preserve">INDEX </w:t>
      </w:r>
      <w:r w:rsidR="005078EB">
        <w:rPr>
          <w:b/>
          <w:bCs/>
          <w:sz w:val="44"/>
          <w:szCs w:val="44"/>
        </w:rPr>
        <w:t xml:space="preserve">                                                          PAGE</w:t>
      </w:r>
    </w:p>
    <w:p w14:paraId="343E80BF" w14:textId="2E7E3E44" w:rsidR="00716A5B" w:rsidRPr="00E2156E" w:rsidRDefault="00716A5B" w:rsidP="00C019A2">
      <w:pPr>
        <w:spacing w:after="240"/>
        <w:rPr>
          <w:rFonts w:ascii="Times New Roman" w:eastAsia="Times New Roman" w:hAnsi="Times New Roman" w:cs="Times New Roman"/>
          <w:b/>
          <w:bCs/>
          <w:kern w:val="0"/>
          <w:sz w:val="32"/>
          <w:szCs w:val="32"/>
          <w:lang w:eastAsia="en-IN"/>
          <w14:ligatures w14:val="none"/>
        </w:rPr>
      </w:pPr>
      <w:r w:rsidRPr="00E2156E">
        <w:rPr>
          <w:b/>
          <w:bCs/>
          <w:sz w:val="28"/>
          <w:szCs w:val="28"/>
        </w:rPr>
        <w:t>(A)</w:t>
      </w:r>
      <w:r w:rsidR="00C019A2" w:rsidRPr="00E2156E">
        <w:rPr>
          <w:b/>
          <w:bCs/>
          <w:sz w:val="28"/>
          <w:szCs w:val="28"/>
        </w:rPr>
        <w:t xml:space="preserve"> </w:t>
      </w:r>
      <w:r w:rsidR="00C019A2" w:rsidRPr="00E2156E">
        <w:rPr>
          <w:rFonts w:ascii="Times New Roman" w:eastAsia="Times New Roman" w:hAnsi="Times New Roman" w:cs="Times New Roman"/>
          <w:b/>
          <w:bCs/>
          <w:kern w:val="0"/>
          <w:sz w:val="32"/>
          <w:szCs w:val="32"/>
          <w:lang w:eastAsia="en-IN"/>
          <w14:ligatures w14:val="none"/>
        </w:rPr>
        <w:t>Overview of the Company</w:t>
      </w:r>
      <w:r w:rsidR="005078EB">
        <w:rPr>
          <w:rFonts w:ascii="Times New Roman" w:eastAsia="Times New Roman" w:hAnsi="Times New Roman" w:cs="Times New Roman"/>
          <w:b/>
          <w:bCs/>
          <w:kern w:val="0"/>
          <w:sz w:val="32"/>
          <w:szCs w:val="32"/>
          <w:lang w:eastAsia="en-IN"/>
          <w14:ligatures w14:val="none"/>
        </w:rPr>
        <w:t xml:space="preserve"> ……………………………..    3</w:t>
      </w:r>
    </w:p>
    <w:p w14:paraId="4CBE270F" w14:textId="35CE47DF" w:rsidR="008F626A" w:rsidRPr="00C019A2" w:rsidRDefault="00716A5B" w:rsidP="00716A5B">
      <w:pPr>
        <w:rPr>
          <w:sz w:val="28"/>
          <w:szCs w:val="28"/>
        </w:rPr>
      </w:pPr>
      <w:r w:rsidRPr="00C019A2">
        <w:rPr>
          <w:sz w:val="28"/>
          <w:szCs w:val="28"/>
        </w:rPr>
        <w:t>{1} Give a thorough overview of the company, its activities, and the target markets it wants to penetrate</w:t>
      </w:r>
      <w:r w:rsidR="00A52239" w:rsidRPr="00C019A2">
        <w:rPr>
          <w:sz w:val="28"/>
          <w:szCs w:val="28"/>
        </w:rPr>
        <w:t xml:space="preserve"> AND USP</w:t>
      </w:r>
    </w:p>
    <w:p w14:paraId="1F02CD68" w14:textId="6C37E9D8" w:rsidR="004672B9" w:rsidRPr="00C019A2" w:rsidRDefault="004672B9" w:rsidP="00716A5B">
      <w:pPr>
        <w:rPr>
          <w:sz w:val="28"/>
          <w:szCs w:val="28"/>
        </w:rPr>
      </w:pPr>
      <w:r w:rsidRPr="00C019A2">
        <w:rPr>
          <w:sz w:val="28"/>
          <w:szCs w:val="28"/>
        </w:rPr>
        <w:t>(2) DESCRIBE THE MAIN FACTORS OF AIRBNB COMPANY IS GOING PUBLIC</w:t>
      </w:r>
    </w:p>
    <w:p w14:paraId="74016765" w14:textId="3D3644CB" w:rsidR="008F626A" w:rsidRPr="00C019A2" w:rsidRDefault="005C06C3" w:rsidP="005C06C3">
      <w:pPr>
        <w:rPr>
          <w:sz w:val="28"/>
          <w:szCs w:val="28"/>
        </w:rPr>
      </w:pPr>
      <w:r w:rsidRPr="00C019A2">
        <w:rPr>
          <w:sz w:val="28"/>
          <w:szCs w:val="28"/>
        </w:rPr>
        <w:t>(3)Review of the S1 Airbnb firm.</w:t>
      </w:r>
    </w:p>
    <w:p w14:paraId="0BF09921" w14:textId="03CF1D62" w:rsidR="00CD4854" w:rsidRPr="00C019A2" w:rsidRDefault="00CD4854" w:rsidP="00CD4854">
      <w:pPr>
        <w:rPr>
          <w:sz w:val="28"/>
          <w:szCs w:val="28"/>
        </w:rPr>
      </w:pPr>
      <w:r w:rsidRPr="00CD4854">
        <w:rPr>
          <w:b/>
          <w:bCs/>
          <w:sz w:val="28"/>
          <w:szCs w:val="28"/>
        </w:rPr>
        <w:t xml:space="preserve">{ B} </w:t>
      </w:r>
      <w:r w:rsidR="00C019A2">
        <w:rPr>
          <w:b/>
          <w:bCs/>
          <w:sz w:val="28"/>
          <w:szCs w:val="28"/>
        </w:rPr>
        <w:t>CALCULATION</w:t>
      </w:r>
      <w:r w:rsidR="005078EB">
        <w:rPr>
          <w:b/>
          <w:bCs/>
          <w:sz w:val="28"/>
          <w:szCs w:val="28"/>
        </w:rPr>
        <w:t xml:space="preserve">………………………………………………………………………………..8                                                               </w:t>
      </w:r>
      <w:r w:rsidRPr="00C019A2">
        <w:rPr>
          <w:sz w:val="28"/>
          <w:szCs w:val="28"/>
        </w:rPr>
        <w:t>(1)Share price performance</w:t>
      </w:r>
    </w:p>
    <w:p w14:paraId="4FA4C2C3" w14:textId="2B682564" w:rsidR="00D624B0" w:rsidRPr="00C019A2" w:rsidRDefault="00D624B0" w:rsidP="00CD4854">
      <w:pPr>
        <w:rPr>
          <w:sz w:val="28"/>
          <w:szCs w:val="28"/>
        </w:rPr>
      </w:pPr>
      <w:r w:rsidRPr="00C019A2">
        <w:rPr>
          <w:sz w:val="28"/>
          <w:szCs w:val="28"/>
        </w:rPr>
        <w:t>(2) WHAT IS CAGR</w:t>
      </w:r>
    </w:p>
    <w:p w14:paraId="67E51F3A" w14:textId="35BFC4AB" w:rsidR="00A91713" w:rsidRPr="00C019A2" w:rsidRDefault="00A91713" w:rsidP="00CD4854">
      <w:pPr>
        <w:rPr>
          <w:sz w:val="28"/>
          <w:szCs w:val="28"/>
        </w:rPr>
      </w:pPr>
      <w:r w:rsidRPr="00C019A2">
        <w:rPr>
          <w:sz w:val="28"/>
          <w:szCs w:val="28"/>
        </w:rPr>
        <w:t>(3)SHARP RATIO</w:t>
      </w:r>
      <w:r w:rsidRPr="00C019A2">
        <w:rPr>
          <w:sz w:val="28"/>
          <w:szCs w:val="28"/>
        </w:rPr>
        <w:t xml:space="preserve"> AND TRYNOR RATIO</w:t>
      </w:r>
      <w:r w:rsidR="00B120C3" w:rsidRPr="00C019A2">
        <w:rPr>
          <w:sz w:val="28"/>
          <w:szCs w:val="28"/>
        </w:rPr>
        <w:t xml:space="preserve"> AND </w:t>
      </w:r>
      <w:r w:rsidR="00B120C3" w:rsidRPr="00C019A2">
        <w:rPr>
          <w:sz w:val="28"/>
          <w:szCs w:val="28"/>
        </w:rPr>
        <w:t>ONE YEAR PERIOD OF AIRBNB INC</w:t>
      </w:r>
    </w:p>
    <w:p w14:paraId="11D06D77" w14:textId="02514BA1" w:rsidR="00047437" w:rsidRPr="00047437" w:rsidRDefault="00047437" w:rsidP="00047437">
      <w:pPr>
        <w:rPr>
          <w:b/>
          <w:bCs/>
          <w:sz w:val="28"/>
          <w:szCs w:val="28"/>
        </w:rPr>
      </w:pPr>
      <w:r w:rsidRPr="00047437">
        <w:rPr>
          <w:b/>
          <w:bCs/>
          <w:sz w:val="28"/>
          <w:szCs w:val="28"/>
        </w:rPr>
        <w:t>(</w:t>
      </w:r>
      <w:r w:rsidR="00C019A2">
        <w:rPr>
          <w:b/>
          <w:bCs/>
          <w:sz w:val="28"/>
          <w:szCs w:val="28"/>
        </w:rPr>
        <w:t>C</w:t>
      </w:r>
      <w:r w:rsidRPr="00047437">
        <w:rPr>
          <w:b/>
          <w:bCs/>
          <w:sz w:val="28"/>
          <w:szCs w:val="28"/>
        </w:rPr>
        <w:t xml:space="preserve">) </w:t>
      </w:r>
      <w:r w:rsidR="00C019A2">
        <w:rPr>
          <w:b/>
          <w:bCs/>
          <w:sz w:val="28"/>
          <w:szCs w:val="28"/>
        </w:rPr>
        <w:t>TYPES OF DERIVATIVE AND ECONOMICS</w:t>
      </w:r>
      <w:r w:rsidR="005078EB">
        <w:rPr>
          <w:b/>
          <w:bCs/>
          <w:sz w:val="28"/>
          <w:szCs w:val="28"/>
        </w:rPr>
        <w:t>………………………………………16</w:t>
      </w:r>
    </w:p>
    <w:p w14:paraId="15DDDB4B" w14:textId="04043065" w:rsidR="008F626A" w:rsidRPr="00C019A2" w:rsidRDefault="00047437" w:rsidP="00047437">
      <w:pPr>
        <w:rPr>
          <w:sz w:val="28"/>
          <w:szCs w:val="28"/>
        </w:rPr>
      </w:pPr>
      <w:r w:rsidRPr="00C019A2">
        <w:rPr>
          <w:sz w:val="28"/>
          <w:szCs w:val="28"/>
        </w:rPr>
        <w:t>{1} THE CHOICE OF MONEY CALL DERIVATIVE CONTRACT PAYOFF</w:t>
      </w:r>
    </w:p>
    <w:p w14:paraId="5BE4A7AB" w14:textId="0658E0E6" w:rsidR="008F626A" w:rsidRPr="00C019A2" w:rsidRDefault="00B16E1C" w:rsidP="00B16E1C">
      <w:pPr>
        <w:rPr>
          <w:sz w:val="28"/>
          <w:szCs w:val="28"/>
        </w:rPr>
      </w:pPr>
      <w:r w:rsidRPr="00C019A2">
        <w:rPr>
          <w:sz w:val="28"/>
          <w:szCs w:val="28"/>
        </w:rPr>
        <w:t>{2} MONEY PUT OPTION OF DERIVATION CONTRACT PAYOFF</w:t>
      </w:r>
    </w:p>
    <w:p w14:paraId="41C20BB0" w14:textId="69DF3FE8" w:rsidR="008F626A" w:rsidRPr="00C019A2" w:rsidRDefault="00E23C35" w:rsidP="00E23C35">
      <w:pPr>
        <w:rPr>
          <w:sz w:val="28"/>
          <w:szCs w:val="28"/>
        </w:rPr>
      </w:pPr>
      <w:r w:rsidRPr="00C019A2">
        <w:rPr>
          <w:sz w:val="28"/>
          <w:szCs w:val="28"/>
        </w:rPr>
        <w:t>(3)</w:t>
      </w:r>
      <w:r w:rsidRPr="00E23C35">
        <w:rPr>
          <w:b/>
          <w:bCs/>
          <w:sz w:val="28"/>
          <w:szCs w:val="28"/>
        </w:rPr>
        <w:t xml:space="preserve"> </w:t>
      </w:r>
      <w:r w:rsidRPr="00C019A2">
        <w:rPr>
          <w:sz w:val="28"/>
          <w:szCs w:val="28"/>
        </w:rPr>
        <w:t>STRADDLE OF AIRBNB</w:t>
      </w:r>
    </w:p>
    <w:p w14:paraId="7F7406E5" w14:textId="16C75DC2" w:rsidR="000D1AB4" w:rsidRPr="005078EB" w:rsidRDefault="000D1AB4" w:rsidP="00E2156E">
      <w:pPr>
        <w:spacing w:after="240"/>
        <w:rPr>
          <w:rFonts w:ascii="Times New Roman" w:eastAsia="Times New Roman" w:hAnsi="Times New Roman" w:cs="Times New Roman"/>
          <w:b/>
          <w:bCs/>
          <w:kern w:val="0"/>
          <w:sz w:val="32"/>
          <w:szCs w:val="32"/>
          <w:lang w:eastAsia="en-IN"/>
          <w14:ligatures w14:val="none"/>
        </w:rPr>
      </w:pPr>
      <w:r w:rsidRPr="005078EB">
        <w:rPr>
          <w:b/>
          <w:bCs/>
          <w:sz w:val="32"/>
          <w:szCs w:val="32"/>
        </w:rPr>
        <w:t>D}</w:t>
      </w:r>
      <w:r w:rsidR="00C019A2" w:rsidRPr="005078EB">
        <w:rPr>
          <w:b/>
          <w:bCs/>
          <w:sz w:val="32"/>
          <w:szCs w:val="32"/>
        </w:rPr>
        <w:t xml:space="preserve"> </w:t>
      </w:r>
      <w:r w:rsidR="00C019A2" w:rsidRPr="005078EB">
        <w:rPr>
          <w:rFonts w:ascii="Times New Roman" w:eastAsia="Times New Roman" w:hAnsi="Times New Roman" w:cs="Times New Roman"/>
          <w:b/>
          <w:bCs/>
          <w:kern w:val="0"/>
          <w:sz w:val="32"/>
          <w:szCs w:val="32"/>
          <w:lang w:eastAsia="en-IN"/>
          <w14:ligatures w14:val="none"/>
        </w:rPr>
        <w:t xml:space="preserve">EXCHANGE BRIEF NOTE AND IMPACT DEBT FROM CONSUMERS </w:t>
      </w:r>
      <w:r w:rsidR="005078EB" w:rsidRPr="005078EB">
        <w:rPr>
          <w:rFonts w:ascii="Times New Roman" w:eastAsia="Times New Roman" w:hAnsi="Times New Roman" w:cs="Times New Roman"/>
          <w:b/>
          <w:bCs/>
          <w:kern w:val="0"/>
          <w:sz w:val="32"/>
          <w:szCs w:val="32"/>
          <w:lang w:eastAsia="en-IN"/>
          <w14:ligatures w14:val="none"/>
        </w:rPr>
        <w:t>…………………………………………………………………2</w:t>
      </w:r>
      <w:r w:rsidR="00DF4ADC">
        <w:rPr>
          <w:rFonts w:ascii="Times New Roman" w:eastAsia="Times New Roman" w:hAnsi="Times New Roman" w:cs="Times New Roman"/>
          <w:b/>
          <w:bCs/>
          <w:kern w:val="0"/>
          <w:sz w:val="32"/>
          <w:szCs w:val="32"/>
          <w:lang w:eastAsia="en-IN"/>
          <w14:ligatures w14:val="none"/>
        </w:rPr>
        <w:t>1</w:t>
      </w:r>
    </w:p>
    <w:p w14:paraId="21397488" w14:textId="77777777" w:rsidR="000D1AB4" w:rsidRPr="00E2156E" w:rsidRDefault="000D1AB4" w:rsidP="000D1AB4">
      <w:pPr>
        <w:rPr>
          <w:sz w:val="28"/>
          <w:szCs w:val="28"/>
        </w:rPr>
      </w:pPr>
      <w:r w:rsidRPr="00E2156E">
        <w:rPr>
          <w:sz w:val="28"/>
          <w:szCs w:val="28"/>
        </w:rPr>
        <w:t>(1) Talk about the 10-year note's performance.</w:t>
      </w:r>
    </w:p>
    <w:p w14:paraId="2A71CEE0" w14:textId="516DD394" w:rsidR="008F626A" w:rsidRPr="0076276E" w:rsidRDefault="000D1AB4" w:rsidP="0076276E">
      <w:pPr>
        <w:rPr>
          <w:sz w:val="28"/>
          <w:szCs w:val="28"/>
        </w:rPr>
      </w:pPr>
      <w:r w:rsidRPr="00E2156E">
        <w:rPr>
          <w:sz w:val="28"/>
          <w:szCs w:val="28"/>
        </w:rPr>
        <w:t>(2) A CHANGE IN AIRBNB INC'S YIELD AND ITS IMPACT</w:t>
      </w:r>
    </w:p>
    <w:p w14:paraId="58E1A14D" w14:textId="592ECC42" w:rsidR="003C111F" w:rsidRPr="009F02B8" w:rsidRDefault="009F02B8" w:rsidP="003C111F">
      <w:pPr>
        <w:rPr>
          <w:b/>
          <w:bCs/>
          <w:sz w:val="20"/>
          <w:szCs w:val="20"/>
        </w:rPr>
      </w:pPr>
      <w:r>
        <w:rPr>
          <w:b/>
          <w:bCs/>
          <w:sz w:val="20"/>
          <w:szCs w:val="20"/>
        </w:rPr>
        <w:t xml:space="preserve">(3) </w:t>
      </w:r>
      <w:r w:rsidR="003C111F" w:rsidRPr="009F02B8">
        <w:rPr>
          <w:b/>
          <w:bCs/>
          <w:sz w:val="20"/>
          <w:szCs w:val="20"/>
        </w:rPr>
        <w:t>Index of Figures</w:t>
      </w:r>
    </w:p>
    <w:p w14:paraId="62F5ECE0" w14:textId="7A42BCAE" w:rsidR="003C111F" w:rsidRPr="009F02B8" w:rsidRDefault="003C111F" w:rsidP="003C111F">
      <w:pPr>
        <w:rPr>
          <w:b/>
          <w:bCs/>
          <w:sz w:val="20"/>
          <w:szCs w:val="20"/>
        </w:rPr>
      </w:pPr>
      <w:r w:rsidRPr="009F02B8">
        <w:rPr>
          <w:b/>
          <w:bCs/>
          <w:sz w:val="20"/>
          <w:szCs w:val="20"/>
        </w:rPr>
        <w:t>Figure 1</w:t>
      </w:r>
      <w:r w:rsidRPr="009F02B8">
        <w:rPr>
          <w:b/>
          <w:bCs/>
          <w:sz w:val="20"/>
          <w:szCs w:val="20"/>
        </w:rPr>
        <w:tab/>
      </w:r>
    </w:p>
    <w:p w14:paraId="0F8D286B" w14:textId="6D4D52D3" w:rsidR="003C111F" w:rsidRPr="009F02B8" w:rsidRDefault="003C111F" w:rsidP="003C111F">
      <w:pPr>
        <w:rPr>
          <w:b/>
          <w:bCs/>
          <w:sz w:val="20"/>
          <w:szCs w:val="20"/>
        </w:rPr>
      </w:pPr>
      <w:r w:rsidRPr="009F02B8">
        <w:rPr>
          <w:b/>
          <w:bCs/>
          <w:sz w:val="20"/>
          <w:szCs w:val="20"/>
        </w:rPr>
        <w:t>Figure 2</w:t>
      </w:r>
      <w:r w:rsidRPr="009F02B8">
        <w:rPr>
          <w:b/>
          <w:bCs/>
          <w:sz w:val="20"/>
          <w:szCs w:val="20"/>
        </w:rPr>
        <w:tab/>
      </w:r>
    </w:p>
    <w:p w14:paraId="35543896" w14:textId="4A6F4CFB" w:rsidR="003C111F" w:rsidRPr="009F02B8" w:rsidRDefault="003C111F" w:rsidP="003C111F">
      <w:pPr>
        <w:rPr>
          <w:b/>
          <w:bCs/>
          <w:sz w:val="20"/>
          <w:szCs w:val="20"/>
        </w:rPr>
      </w:pPr>
      <w:r w:rsidRPr="009F02B8">
        <w:rPr>
          <w:b/>
          <w:bCs/>
          <w:sz w:val="20"/>
          <w:szCs w:val="20"/>
        </w:rPr>
        <w:t>Figure 3</w:t>
      </w:r>
      <w:r w:rsidRPr="009F02B8">
        <w:rPr>
          <w:b/>
          <w:bCs/>
          <w:sz w:val="20"/>
          <w:szCs w:val="20"/>
        </w:rPr>
        <w:tab/>
      </w:r>
    </w:p>
    <w:p w14:paraId="7B0B904E" w14:textId="2AE91B6B" w:rsidR="003C111F" w:rsidRPr="009F02B8" w:rsidRDefault="003C111F" w:rsidP="003C111F">
      <w:pPr>
        <w:rPr>
          <w:b/>
          <w:bCs/>
          <w:sz w:val="20"/>
          <w:szCs w:val="20"/>
        </w:rPr>
      </w:pPr>
      <w:r w:rsidRPr="009F02B8">
        <w:rPr>
          <w:b/>
          <w:bCs/>
          <w:sz w:val="20"/>
          <w:szCs w:val="20"/>
        </w:rPr>
        <w:t>Figure 4</w:t>
      </w:r>
      <w:r w:rsidRPr="009F02B8">
        <w:rPr>
          <w:b/>
          <w:bCs/>
          <w:sz w:val="20"/>
          <w:szCs w:val="20"/>
        </w:rPr>
        <w:tab/>
      </w:r>
    </w:p>
    <w:p w14:paraId="05ABFAEC" w14:textId="4BCD905E" w:rsidR="003C111F" w:rsidRPr="009F02B8" w:rsidRDefault="003C111F" w:rsidP="003C111F">
      <w:pPr>
        <w:rPr>
          <w:b/>
          <w:bCs/>
          <w:sz w:val="20"/>
          <w:szCs w:val="20"/>
        </w:rPr>
      </w:pPr>
      <w:r w:rsidRPr="009F02B8">
        <w:rPr>
          <w:b/>
          <w:bCs/>
          <w:sz w:val="20"/>
          <w:szCs w:val="20"/>
        </w:rPr>
        <w:t>Figure 5</w:t>
      </w:r>
      <w:r w:rsidRPr="009F02B8">
        <w:rPr>
          <w:b/>
          <w:bCs/>
          <w:sz w:val="20"/>
          <w:szCs w:val="20"/>
        </w:rPr>
        <w:tab/>
      </w:r>
    </w:p>
    <w:p w14:paraId="31C5E981" w14:textId="28283E57" w:rsidR="003C111F" w:rsidRPr="009F02B8" w:rsidRDefault="003C111F" w:rsidP="003C111F">
      <w:pPr>
        <w:rPr>
          <w:b/>
          <w:bCs/>
          <w:sz w:val="20"/>
          <w:szCs w:val="20"/>
        </w:rPr>
      </w:pPr>
      <w:r w:rsidRPr="009F02B8">
        <w:rPr>
          <w:b/>
          <w:bCs/>
          <w:sz w:val="20"/>
          <w:szCs w:val="20"/>
        </w:rPr>
        <w:t>Figure 6</w:t>
      </w:r>
      <w:r w:rsidRPr="009F02B8">
        <w:rPr>
          <w:b/>
          <w:bCs/>
          <w:sz w:val="20"/>
          <w:szCs w:val="20"/>
        </w:rPr>
        <w:tab/>
      </w:r>
    </w:p>
    <w:p w14:paraId="741EBB6D" w14:textId="77777777" w:rsidR="00D81AFC" w:rsidRDefault="003C111F" w:rsidP="00A32F31">
      <w:pPr>
        <w:rPr>
          <w:b/>
          <w:bCs/>
          <w:sz w:val="24"/>
          <w:szCs w:val="24"/>
        </w:rPr>
      </w:pPr>
      <w:r w:rsidRPr="009F02B8">
        <w:rPr>
          <w:b/>
          <w:bCs/>
          <w:sz w:val="20"/>
          <w:szCs w:val="20"/>
        </w:rPr>
        <w:t>Figure 7</w:t>
      </w:r>
    </w:p>
    <w:p w14:paraId="74BA7973" w14:textId="767EA8CD" w:rsidR="00A32F31" w:rsidRPr="00D81AFC" w:rsidRDefault="0076276E" w:rsidP="00A32F31">
      <w:pPr>
        <w:rPr>
          <w:b/>
          <w:bCs/>
          <w:sz w:val="28"/>
          <w:szCs w:val="28"/>
        </w:rPr>
      </w:pPr>
      <w:r w:rsidRPr="00D81AFC">
        <w:rPr>
          <w:b/>
          <w:bCs/>
          <w:sz w:val="28"/>
          <w:szCs w:val="28"/>
        </w:rPr>
        <w:t>{E}</w:t>
      </w:r>
      <w:r w:rsidR="00130C41" w:rsidRPr="00D81AFC">
        <w:rPr>
          <w:b/>
          <w:bCs/>
          <w:sz w:val="28"/>
          <w:szCs w:val="28"/>
        </w:rPr>
        <w:t xml:space="preserve"> REFERENCES </w:t>
      </w:r>
    </w:p>
    <w:p w14:paraId="50DDB9AD" w14:textId="1BB26B81" w:rsidR="0064175A" w:rsidRDefault="008E0D19" w:rsidP="00A32F31">
      <w:pPr>
        <w:rPr>
          <w:b/>
          <w:bCs/>
          <w:sz w:val="40"/>
          <w:szCs w:val="40"/>
        </w:rPr>
      </w:pPr>
      <w:r>
        <w:rPr>
          <w:b/>
          <w:bCs/>
          <w:sz w:val="40"/>
          <w:szCs w:val="40"/>
        </w:rPr>
        <w:lastRenderedPageBreak/>
        <w:t xml:space="preserve"> </w:t>
      </w:r>
      <w:r w:rsidR="002C6779">
        <w:rPr>
          <w:b/>
          <w:bCs/>
          <w:sz w:val="40"/>
          <w:szCs w:val="40"/>
        </w:rPr>
        <w:t>(A)</w:t>
      </w:r>
      <w:r w:rsidR="00D81AFC">
        <w:rPr>
          <w:b/>
          <w:bCs/>
          <w:sz w:val="40"/>
          <w:szCs w:val="40"/>
        </w:rPr>
        <w:t xml:space="preserve"> </w:t>
      </w:r>
      <w:r w:rsidR="00D81AFC" w:rsidRPr="00E2156E">
        <w:rPr>
          <w:rFonts w:ascii="Times New Roman" w:eastAsia="Times New Roman" w:hAnsi="Times New Roman" w:cs="Times New Roman"/>
          <w:b/>
          <w:bCs/>
          <w:kern w:val="0"/>
          <w:sz w:val="32"/>
          <w:szCs w:val="32"/>
          <w:lang w:eastAsia="en-IN"/>
          <w14:ligatures w14:val="none"/>
        </w:rPr>
        <w:t>Overview of the Company</w:t>
      </w:r>
    </w:p>
    <w:p w14:paraId="0F023BB4" w14:textId="271F4766" w:rsidR="008F626A" w:rsidRPr="00C37783" w:rsidRDefault="0064175A" w:rsidP="00A32F31">
      <w:pPr>
        <w:rPr>
          <w:b/>
          <w:bCs/>
          <w:sz w:val="40"/>
          <w:szCs w:val="40"/>
        </w:rPr>
      </w:pPr>
      <w:r>
        <w:rPr>
          <w:b/>
          <w:bCs/>
          <w:sz w:val="40"/>
          <w:szCs w:val="40"/>
        </w:rPr>
        <w:t>{1}</w:t>
      </w:r>
      <w:r w:rsidR="00FD51A2" w:rsidRPr="00FD51A2">
        <w:t xml:space="preserve"> </w:t>
      </w:r>
      <w:r w:rsidR="00FD51A2" w:rsidRPr="00FD51A2">
        <w:rPr>
          <w:b/>
          <w:bCs/>
          <w:sz w:val="40"/>
          <w:szCs w:val="40"/>
        </w:rPr>
        <w:t>Give a thorough overview of the company, its activities, and the target markets it wants to penetrate.</w:t>
      </w:r>
    </w:p>
    <w:p w14:paraId="7DC3ED6F" w14:textId="39167E2F" w:rsidR="00BF5E9D" w:rsidRPr="00D83F6C" w:rsidRDefault="006508F2" w:rsidP="00FD51A2">
      <w:pPr>
        <w:rPr>
          <w:sz w:val="28"/>
          <w:szCs w:val="28"/>
        </w:rPr>
      </w:pPr>
      <w:r w:rsidRPr="00FD51A2">
        <w:rPr>
          <w:sz w:val="28"/>
          <w:szCs w:val="28"/>
        </w:rPr>
        <w:t>-</w:t>
      </w:r>
      <w:r w:rsidR="00172FBF" w:rsidRPr="00FD51A2">
        <w:rPr>
          <w:sz w:val="28"/>
          <w:szCs w:val="28"/>
        </w:rPr>
        <w:t>Opened in August 2008 in San Francisco, Airbnb is an online platform focused on short-term rentals and one-of-a-kind experiences. Essentially, the company serves as a middleman for home rentals, charging a fee for each transaction it facilitates. The founders of Airbnb are Brian Chesky, Nathan Blecharczyk, and Joe Gebbia. On December 10th, 2020, the company became publicly traded and is now a significant corporation valued at more than $67 billion, with an annual revenue surpassing $5 million.</w:t>
      </w:r>
      <w:r w:rsidR="00A767B6" w:rsidRPr="00A767B6">
        <w:t xml:space="preserve"> </w:t>
      </w:r>
      <w:r w:rsidR="00A767B6" w:rsidRPr="00FD51A2">
        <w:rPr>
          <w:b/>
          <w:bCs/>
          <w:sz w:val="36"/>
          <w:szCs w:val="36"/>
        </w:rPr>
        <w:t>(Curnes et al., 2023)</w:t>
      </w:r>
    </w:p>
    <w:p w14:paraId="34C67407" w14:textId="2E0F06F0" w:rsidR="008F349B" w:rsidRDefault="008F349B" w:rsidP="00FD51A2">
      <w:pPr>
        <w:rPr>
          <w:b/>
          <w:bCs/>
          <w:sz w:val="36"/>
          <w:szCs w:val="36"/>
        </w:rPr>
      </w:pPr>
      <w:r w:rsidRPr="008F349B">
        <w:rPr>
          <w:b/>
          <w:bCs/>
          <w:sz w:val="36"/>
          <w:szCs w:val="36"/>
        </w:rPr>
        <w:t>Airbnb Inc.'s business</w:t>
      </w:r>
    </w:p>
    <w:p w14:paraId="25F488FA" w14:textId="77777777" w:rsidR="004F5E38" w:rsidRPr="004F5E38" w:rsidRDefault="004F5E38" w:rsidP="004F5E38">
      <w:pPr>
        <w:rPr>
          <w:sz w:val="28"/>
          <w:szCs w:val="28"/>
        </w:rPr>
      </w:pPr>
      <w:r w:rsidRPr="004F5E38">
        <w:rPr>
          <w:sz w:val="28"/>
          <w:szCs w:val="28"/>
        </w:rPr>
        <w:t>The backbone of both our community and company is the host community on Airbnb. Hosts enable stays. What sets Airbnb apart is their distinctiveness. Our hosts come from over 220 nations and regions, with almost 100,000 cities, ranging from educators to artists. We have 4 million hosts worldwide as of December 31, 2020, with 86% of hosts residing outside of the US.</w:t>
      </w:r>
    </w:p>
    <w:p w14:paraId="31379CA3" w14:textId="77777777" w:rsidR="004F5E38" w:rsidRPr="004F5E38" w:rsidRDefault="004F5E38" w:rsidP="004F5E38">
      <w:pPr>
        <w:rPr>
          <w:sz w:val="28"/>
          <w:szCs w:val="28"/>
        </w:rPr>
      </w:pPr>
    </w:p>
    <w:p w14:paraId="0E5A134D" w14:textId="3D80ED6F" w:rsidR="004F5E38" w:rsidRDefault="004F5E38" w:rsidP="004F5E38">
      <w:pPr>
        <w:rPr>
          <w:sz w:val="28"/>
          <w:szCs w:val="28"/>
        </w:rPr>
      </w:pPr>
      <w:r w:rsidRPr="004F5E38">
        <w:rPr>
          <w:sz w:val="28"/>
          <w:szCs w:val="28"/>
        </w:rPr>
        <w:t>With the help of Airbnb, hosts may introduce visitors to an enormous universe of unusual residences and experiences that were either unavailable or unexplored before. Being a host is about more than just holding open the door. A kind host makes it possible for visitors to form closer bonds with the locals and the areas they visit.</w:t>
      </w:r>
    </w:p>
    <w:p w14:paraId="572EF8CA" w14:textId="77777777" w:rsidR="00B65642" w:rsidRDefault="00AB53F7" w:rsidP="004F5E38">
      <w:pPr>
        <w:rPr>
          <w:sz w:val="28"/>
          <w:szCs w:val="28"/>
        </w:rPr>
      </w:pPr>
      <w:r w:rsidRPr="00AB53F7">
        <w:rPr>
          <w:sz w:val="28"/>
          <w:szCs w:val="28"/>
        </w:rPr>
        <w:t>Initially, a few major cities' spare bedrooms were listed on Airbnb by our community of hosts. Virtually any type of place you could imagine, in large cities, tiny towns, rural villages, and almost every part of the globe, was soon posted by hosts. These spaces included full homes, cabins, treehouses, boats, castles, and luxury villas. Individual and professional hosts make up the two main categories.</w:t>
      </w:r>
    </w:p>
    <w:p w14:paraId="3D63E044" w14:textId="3D2E0E01" w:rsidR="00AB53F7" w:rsidRDefault="00AB53F7" w:rsidP="004F5E38">
      <w:pPr>
        <w:rPr>
          <w:sz w:val="28"/>
          <w:szCs w:val="28"/>
        </w:rPr>
      </w:pPr>
      <w:r w:rsidRPr="00AB53F7">
        <w:rPr>
          <w:sz w:val="28"/>
          <w:szCs w:val="28"/>
        </w:rPr>
        <w:t xml:space="preserve"> Airbnb listings that are activated directly through our mobile applications or website belong to individual hosts. Our host community is centred on individual hosts. Their spaces, which include private rooms, permanent </w:t>
      </w:r>
      <w:r w:rsidRPr="00AB53F7">
        <w:rPr>
          <w:sz w:val="28"/>
          <w:szCs w:val="28"/>
        </w:rPr>
        <w:lastRenderedPageBreak/>
        <w:t>residences, and vacation houses, are listed on Airbnb by individuals from diverse backgrounds. Those who oversee property management or hospitality enterprises are frequently considered professional hosts, and they typically utilize applications</w:t>
      </w:r>
      <w:r w:rsidR="005E515F">
        <w:rPr>
          <w:sz w:val="28"/>
          <w:szCs w:val="28"/>
        </w:rPr>
        <w:t xml:space="preserve"> </w:t>
      </w:r>
      <w:r w:rsidR="005E515F" w:rsidRPr="005E515F">
        <w:rPr>
          <w:sz w:val="28"/>
          <w:szCs w:val="28"/>
        </w:rPr>
        <w:t>to list their properties on our site using programming APIs. The kinds of listings that our visitors can view are increased by these hosts.</w:t>
      </w:r>
    </w:p>
    <w:p w14:paraId="4B448F6E" w14:textId="77777777" w:rsidR="00CC45E1" w:rsidRDefault="00CC45E1" w:rsidP="004F5E38">
      <w:pPr>
        <w:rPr>
          <w:sz w:val="28"/>
          <w:szCs w:val="28"/>
        </w:rPr>
      </w:pPr>
    </w:p>
    <w:p w14:paraId="3D694E50" w14:textId="413E5649" w:rsidR="008A6277" w:rsidRPr="00AF27AA" w:rsidRDefault="008A6277" w:rsidP="00AF27AA">
      <w:pPr>
        <w:pStyle w:val="ListParagraph"/>
        <w:numPr>
          <w:ilvl w:val="0"/>
          <w:numId w:val="3"/>
        </w:numPr>
        <w:rPr>
          <w:b/>
          <w:bCs/>
          <w:sz w:val="28"/>
          <w:szCs w:val="28"/>
        </w:rPr>
      </w:pPr>
      <w:r w:rsidRPr="00AF27AA">
        <w:rPr>
          <w:b/>
          <w:bCs/>
          <w:sz w:val="28"/>
          <w:szCs w:val="28"/>
        </w:rPr>
        <w:t>Target market for Airbnb INC</w:t>
      </w:r>
    </w:p>
    <w:p w14:paraId="6CA0D8E7" w14:textId="1653F47E" w:rsidR="00916168" w:rsidRDefault="00916168" w:rsidP="008A6277">
      <w:pPr>
        <w:rPr>
          <w:sz w:val="28"/>
          <w:szCs w:val="28"/>
        </w:rPr>
      </w:pPr>
      <w:r w:rsidRPr="00916168">
        <w:rPr>
          <w:sz w:val="28"/>
          <w:szCs w:val="28"/>
        </w:rPr>
        <w:t>From their rentals, hosts on Airbnb typically make around $9,600 annually. Airbnb's Plus Program is designed for seasoned hosts. Additionally, in accordance with brand guidelines, listings must be personally checked, have an extraordinary star rating, and maintain a high Hospitality Standard. But this pays off because properties that list on Airbnb Plus typically make up to 400% more than listings on standard Airbnb.</w:t>
      </w:r>
    </w:p>
    <w:p w14:paraId="52CE7E66" w14:textId="77777777" w:rsidR="00BF4797" w:rsidRPr="00BF4797" w:rsidRDefault="00BF4797" w:rsidP="00BF4797">
      <w:pPr>
        <w:rPr>
          <w:sz w:val="28"/>
          <w:szCs w:val="28"/>
        </w:rPr>
      </w:pPr>
      <w:r w:rsidRPr="00BF4797">
        <w:rPr>
          <w:sz w:val="28"/>
          <w:szCs w:val="28"/>
        </w:rPr>
        <w:t xml:space="preserve">Two categories of Airbnb users may be identified: </w:t>
      </w:r>
    </w:p>
    <w:p w14:paraId="1D468C16" w14:textId="77777777" w:rsidR="00BF4797" w:rsidRPr="00BF4797" w:rsidRDefault="00BF4797" w:rsidP="00BF4797">
      <w:pPr>
        <w:rPr>
          <w:sz w:val="28"/>
          <w:szCs w:val="28"/>
        </w:rPr>
      </w:pPr>
      <w:r w:rsidRPr="00BF4797">
        <w:rPr>
          <w:sz w:val="28"/>
          <w:szCs w:val="28"/>
        </w:rPr>
        <w:t>Those in search of lodging</w:t>
      </w:r>
    </w:p>
    <w:p w14:paraId="3678EBA7" w14:textId="77777777" w:rsidR="00BF4797" w:rsidRPr="00BF4797" w:rsidRDefault="00BF4797" w:rsidP="00BF4797">
      <w:pPr>
        <w:rPr>
          <w:sz w:val="28"/>
          <w:szCs w:val="28"/>
        </w:rPr>
      </w:pPr>
      <w:r w:rsidRPr="00BF4797">
        <w:rPr>
          <w:sz w:val="28"/>
          <w:szCs w:val="28"/>
        </w:rPr>
        <w:t xml:space="preserve">Individuals seeking "experiences" </w:t>
      </w:r>
    </w:p>
    <w:p w14:paraId="55CA30AD" w14:textId="57F54054" w:rsidR="00BF4797" w:rsidRDefault="00BF4797" w:rsidP="00BF4797">
      <w:pPr>
        <w:rPr>
          <w:sz w:val="28"/>
          <w:szCs w:val="28"/>
        </w:rPr>
      </w:pPr>
      <w:r w:rsidRPr="00BF4797">
        <w:rPr>
          <w:sz w:val="28"/>
          <w:szCs w:val="28"/>
        </w:rPr>
        <w:t>There were almost 300 million reservations made on Airbnb in 2021 for nights and/or activities. The promise of a local, genuine, and reasonably priced visitor experience in contrast to conventional "cookie cutout" hotels has always been one of the main pulls of the Airbnb brand, as we will see later. According to statistics, 61% of visitors preferred to book on Airbnb rather than a mid-size or low-cost hotel.</w:t>
      </w:r>
    </w:p>
    <w:p w14:paraId="326FD407" w14:textId="2466C829" w:rsidR="00EC751F" w:rsidRPr="00EC751F" w:rsidRDefault="00EC751F" w:rsidP="00EC751F">
      <w:pPr>
        <w:rPr>
          <w:sz w:val="28"/>
          <w:szCs w:val="28"/>
        </w:rPr>
      </w:pPr>
      <w:r w:rsidRPr="00EC751F">
        <w:rPr>
          <w:sz w:val="28"/>
          <w:szCs w:val="28"/>
        </w:rPr>
        <w:t>Almost every age range of consumers is included in Airbnb's target market. Airbnb targets a larger age range of 18 to 60 years old for experiences, but its demography for accommodations is 18 to 45.</w:t>
      </w:r>
    </w:p>
    <w:p w14:paraId="0725DCD3" w14:textId="77777777" w:rsidR="00EC751F" w:rsidRPr="00EC751F" w:rsidRDefault="00EC751F" w:rsidP="00EC751F">
      <w:pPr>
        <w:rPr>
          <w:sz w:val="28"/>
          <w:szCs w:val="28"/>
        </w:rPr>
      </w:pPr>
      <w:r w:rsidRPr="00EC751F">
        <w:rPr>
          <w:sz w:val="28"/>
          <w:szCs w:val="28"/>
        </w:rPr>
        <w:t>The target market for lodging and experiences is made up of professionals, employees, and students; for experiences, it also includes senior managers and executives. This corresponds with the occupational status of the visitors.</w:t>
      </w:r>
    </w:p>
    <w:p w14:paraId="52953AAE" w14:textId="77777777" w:rsidR="00EC751F" w:rsidRPr="00EC751F" w:rsidRDefault="00EC751F" w:rsidP="00EC751F">
      <w:pPr>
        <w:rPr>
          <w:sz w:val="28"/>
          <w:szCs w:val="28"/>
        </w:rPr>
      </w:pPr>
    </w:p>
    <w:p w14:paraId="0008D489" w14:textId="2F47F837" w:rsidR="008F349B" w:rsidRPr="00AF27AA" w:rsidRDefault="00EC751F" w:rsidP="00FD51A2">
      <w:pPr>
        <w:rPr>
          <w:sz w:val="28"/>
          <w:szCs w:val="28"/>
        </w:rPr>
      </w:pPr>
      <w:r w:rsidRPr="00EC751F">
        <w:rPr>
          <w:sz w:val="28"/>
          <w:szCs w:val="28"/>
        </w:rPr>
        <w:t>This older, wealthier demographic is receptive to Airbnb-style experiences, but for the most part, the typical (and more expensive) hotel stay still seems appealing</w:t>
      </w:r>
      <w:r w:rsidR="00AF27AA">
        <w:rPr>
          <w:sz w:val="28"/>
          <w:szCs w:val="28"/>
        </w:rPr>
        <w:t xml:space="preserve">. </w:t>
      </w:r>
      <w:r w:rsidRPr="00EC751F">
        <w:rPr>
          <w:sz w:val="28"/>
          <w:szCs w:val="28"/>
        </w:rPr>
        <w:t>54% of Airbnb users are women, while 46% of users are men, making women the company's target market.</w:t>
      </w:r>
      <w:r w:rsidR="0061404C" w:rsidRPr="0061404C">
        <w:t xml:space="preserve"> </w:t>
      </w:r>
      <w:r w:rsidR="0061404C" w:rsidRPr="0061404C">
        <w:rPr>
          <w:b/>
          <w:bCs/>
          <w:sz w:val="28"/>
          <w:szCs w:val="28"/>
        </w:rPr>
        <w:t>(Start.io, 2022)</w:t>
      </w:r>
    </w:p>
    <w:p w14:paraId="39535C85" w14:textId="77777777" w:rsidR="006508F2" w:rsidRDefault="006508F2" w:rsidP="00A32F31">
      <w:pPr>
        <w:pStyle w:val="ListParagraph"/>
        <w:ind w:left="1080"/>
        <w:rPr>
          <w:b/>
          <w:bCs/>
          <w:sz w:val="36"/>
          <w:szCs w:val="36"/>
        </w:rPr>
      </w:pPr>
    </w:p>
    <w:p w14:paraId="2C4E4327" w14:textId="55AFBA26" w:rsidR="002C7FF1" w:rsidRPr="00AF27AA" w:rsidRDefault="00081ECC" w:rsidP="00AF27AA">
      <w:pPr>
        <w:pStyle w:val="ListParagraph"/>
        <w:numPr>
          <w:ilvl w:val="0"/>
          <w:numId w:val="3"/>
        </w:numPr>
        <w:rPr>
          <w:b/>
          <w:bCs/>
          <w:sz w:val="36"/>
          <w:szCs w:val="36"/>
        </w:rPr>
      </w:pPr>
      <w:r w:rsidRPr="00AF27AA">
        <w:rPr>
          <w:b/>
          <w:bCs/>
          <w:sz w:val="36"/>
          <w:szCs w:val="36"/>
        </w:rPr>
        <w:t>AIRBNB’S USP</w:t>
      </w:r>
    </w:p>
    <w:p w14:paraId="2EA43F5E" w14:textId="02315BFE" w:rsidR="0076683A" w:rsidRPr="00BC4A66" w:rsidRDefault="0076683A" w:rsidP="00BC4A66">
      <w:pPr>
        <w:rPr>
          <w:sz w:val="28"/>
          <w:szCs w:val="28"/>
        </w:rPr>
      </w:pPr>
      <w:r w:rsidRPr="00BC4A66">
        <w:rPr>
          <w:sz w:val="28"/>
          <w:szCs w:val="28"/>
        </w:rPr>
        <w:t xml:space="preserve">-When contrasting the marketing of Airbnb with rivals like as </w:t>
      </w:r>
      <w:r w:rsidR="00BC4A66" w:rsidRPr="00BC4A66">
        <w:rPr>
          <w:sz w:val="28"/>
          <w:szCs w:val="28"/>
        </w:rPr>
        <w:t>Stays</w:t>
      </w:r>
      <w:r w:rsidRPr="00BC4A66">
        <w:rPr>
          <w:sz w:val="28"/>
          <w:szCs w:val="28"/>
        </w:rPr>
        <w:t xml:space="preserve"> and HomeAway, it is clear that Airbnb emphasises price more than any other element. Additionally, in addition to emphasising their unique selling propositions (USPs) like "24/7 Customer Service" and "Free Cancellation Up To 48 Hours," Airbnb's advertisement headlines often include emotive language like "Don't Go There." "Live There" and "Reserve Houses </w:t>
      </w:r>
      <w:r w:rsidR="00396F1A" w:rsidRPr="00BC4A66">
        <w:rPr>
          <w:sz w:val="28"/>
          <w:szCs w:val="28"/>
        </w:rPr>
        <w:t xml:space="preserve">with </w:t>
      </w:r>
      <w:r w:rsidRPr="00BC4A66">
        <w:rPr>
          <w:sz w:val="28"/>
          <w:szCs w:val="28"/>
        </w:rPr>
        <w:t>Local Hosts"</w:t>
      </w:r>
    </w:p>
    <w:p w14:paraId="050D9414" w14:textId="4126D2F3" w:rsidR="006508F2" w:rsidRPr="00BC4A66" w:rsidRDefault="0076683A" w:rsidP="00BC4A66">
      <w:pPr>
        <w:rPr>
          <w:b/>
          <w:bCs/>
          <w:sz w:val="32"/>
          <w:szCs w:val="32"/>
        </w:rPr>
      </w:pPr>
      <w:r w:rsidRPr="00BC4A66">
        <w:rPr>
          <w:sz w:val="28"/>
          <w:szCs w:val="28"/>
        </w:rPr>
        <w:t xml:space="preserve">- However, the marketing from Stays and HomeAway is more specific, emphasising characteristics like "Wide Variety and Great Prices" and "Thousands of </w:t>
      </w:r>
      <w:r w:rsidR="00396F1A" w:rsidRPr="00BC4A66">
        <w:rPr>
          <w:sz w:val="28"/>
          <w:szCs w:val="28"/>
        </w:rPr>
        <w:t>Holidays</w:t>
      </w:r>
      <w:r w:rsidRPr="00BC4A66">
        <w:rPr>
          <w:sz w:val="28"/>
          <w:szCs w:val="28"/>
        </w:rPr>
        <w:t xml:space="preserve"> Homes."</w:t>
      </w:r>
      <w:r w:rsidR="00396F1A" w:rsidRPr="00396F1A">
        <w:t xml:space="preserve"> </w:t>
      </w:r>
      <w:r w:rsidR="00396F1A" w:rsidRPr="00BC4A66">
        <w:rPr>
          <w:b/>
          <w:bCs/>
          <w:sz w:val="32"/>
          <w:szCs w:val="32"/>
        </w:rPr>
        <w:t>(Al-Saad, 2019)</w:t>
      </w:r>
    </w:p>
    <w:p w14:paraId="5B45F272" w14:textId="28594FD5" w:rsidR="00BA6DCC" w:rsidRDefault="007A45A0" w:rsidP="00BA6DCC">
      <w:pPr>
        <w:rPr>
          <w:b/>
          <w:bCs/>
          <w:sz w:val="40"/>
          <w:szCs w:val="40"/>
        </w:rPr>
      </w:pPr>
      <w:r>
        <w:rPr>
          <w:b/>
          <w:bCs/>
          <w:sz w:val="32"/>
          <w:szCs w:val="32"/>
        </w:rPr>
        <w:br/>
      </w:r>
      <w:r w:rsidRPr="002729D2">
        <w:rPr>
          <w:b/>
          <w:bCs/>
          <w:sz w:val="40"/>
          <w:szCs w:val="40"/>
        </w:rPr>
        <w:t>(</w:t>
      </w:r>
      <w:r w:rsidR="0064175A">
        <w:rPr>
          <w:b/>
          <w:bCs/>
          <w:sz w:val="40"/>
          <w:szCs w:val="40"/>
        </w:rPr>
        <w:t>2</w:t>
      </w:r>
      <w:r w:rsidRPr="002729D2">
        <w:rPr>
          <w:b/>
          <w:bCs/>
          <w:sz w:val="40"/>
          <w:szCs w:val="40"/>
        </w:rPr>
        <w:t xml:space="preserve">) </w:t>
      </w:r>
      <w:r w:rsidR="00BA6DCC" w:rsidRPr="002729D2">
        <w:rPr>
          <w:b/>
          <w:bCs/>
          <w:sz w:val="40"/>
          <w:szCs w:val="40"/>
        </w:rPr>
        <w:t xml:space="preserve">DESCRIBE THE MAIN FACTORS OF AIRBNB COMPANY IS GOING PUBLIC </w:t>
      </w:r>
    </w:p>
    <w:p w14:paraId="5BA06348" w14:textId="77777777" w:rsidR="00474D05" w:rsidRPr="00474D05" w:rsidRDefault="00474D05" w:rsidP="00474D05">
      <w:pPr>
        <w:rPr>
          <w:sz w:val="28"/>
          <w:szCs w:val="28"/>
        </w:rPr>
      </w:pPr>
      <w:r w:rsidRPr="00474D05">
        <w:rPr>
          <w:sz w:val="28"/>
          <w:szCs w:val="28"/>
        </w:rPr>
        <w:t>To finance its growth and expansion, Airbnb decided to go public in order to raise money through the sale of shares of stock to the general public. The company's future growth and expansion plans are meant to be supported by this infusion of funds.</w:t>
      </w:r>
    </w:p>
    <w:p w14:paraId="330DA93C" w14:textId="77777777" w:rsidR="00474D05" w:rsidRPr="00474D05" w:rsidRDefault="00474D05" w:rsidP="00474D05">
      <w:pPr>
        <w:rPr>
          <w:sz w:val="28"/>
          <w:szCs w:val="28"/>
        </w:rPr>
      </w:pPr>
      <w:r w:rsidRPr="00474D05">
        <w:rPr>
          <w:sz w:val="28"/>
          <w:szCs w:val="28"/>
        </w:rPr>
        <w:t>Providing the Company's Narrative: CEO Brian Chesky stated that sharing Airbnb's story with a larger audience through going public could help boost the company's credibility and visibility.</w:t>
      </w:r>
    </w:p>
    <w:p w14:paraId="2E2221BD" w14:textId="77777777" w:rsidR="00474D05" w:rsidRPr="00474D05" w:rsidRDefault="00474D05" w:rsidP="00474D05">
      <w:pPr>
        <w:rPr>
          <w:sz w:val="28"/>
          <w:szCs w:val="28"/>
        </w:rPr>
      </w:pPr>
      <w:r w:rsidRPr="00474D05">
        <w:rPr>
          <w:sz w:val="28"/>
          <w:szCs w:val="28"/>
        </w:rPr>
        <w:t>Providing Early Investors and Founders with Liquidity: Through the initial public offering (IPO), early investors and founders can sell their shares on the open market, giving them access to liquidity that was not possible while the business was privately held.</w:t>
      </w:r>
    </w:p>
    <w:p w14:paraId="22186DEC" w14:textId="4549FC39" w:rsidR="00770695" w:rsidRPr="00770695" w:rsidRDefault="00474D05" w:rsidP="00770695">
      <w:pPr>
        <w:rPr>
          <w:sz w:val="28"/>
          <w:szCs w:val="28"/>
        </w:rPr>
      </w:pPr>
      <w:r w:rsidRPr="00474D05">
        <w:rPr>
          <w:sz w:val="28"/>
          <w:szCs w:val="28"/>
        </w:rPr>
        <w:t>Enhanced Inquiry and Long-Term Development: When a company goes public, it comes under more scrutiny and pressure</w:t>
      </w:r>
      <w:r w:rsidR="008F610B">
        <w:rPr>
          <w:sz w:val="28"/>
          <w:szCs w:val="28"/>
        </w:rPr>
        <w:t xml:space="preserve"> </w:t>
      </w:r>
      <w:r w:rsidR="008F610B" w:rsidRPr="008F610B">
        <w:rPr>
          <w:sz w:val="28"/>
          <w:szCs w:val="28"/>
        </w:rPr>
        <w:t>which can support the management team's concentration on profitability and sustainable growth. Additionally, it gives the business money for acquisitions and can aid in luring and keeping top personnel.</w:t>
      </w:r>
      <w:r w:rsidR="00770695" w:rsidRPr="00770695">
        <w:t xml:space="preserve"> </w:t>
      </w:r>
      <w:r w:rsidR="00770695" w:rsidRPr="00770695">
        <w:rPr>
          <w:sz w:val="28"/>
          <w:szCs w:val="28"/>
        </w:rPr>
        <w:t>Market Conditions: The initial public offering (IPO) market was characterized as "red hot," and Airbnb opted to take advantage of this by going public at a time when investor interest in IPOs was high.</w:t>
      </w:r>
    </w:p>
    <w:p w14:paraId="1E3DA950" w14:textId="77777777" w:rsidR="00770695" w:rsidRPr="00770695" w:rsidRDefault="00770695" w:rsidP="00770695">
      <w:pPr>
        <w:rPr>
          <w:sz w:val="28"/>
          <w:szCs w:val="28"/>
        </w:rPr>
      </w:pPr>
      <w:r w:rsidRPr="00770695">
        <w:rPr>
          <w:sz w:val="28"/>
          <w:szCs w:val="28"/>
        </w:rPr>
        <w:lastRenderedPageBreak/>
        <w:t>Employee Stock Expiration: An additional factor influencing the IPO's timing was the employees' expiring company stock. Employees might not have been able to cash out if Airbnb had delayed going public.</w:t>
      </w:r>
    </w:p>
    <w:p w14:paraId="3E952CD7" w14:textId="77777777" w:rsidR="00770695" w:rsidRPr="00770695" w:rsidRDefault="00770695" w:rsidP="00770695">
      <w:pPr>
        <w:rPr>
          <w:sz w:val="28"/>
          <w:szCs w:val="28"/>
        </w:rPr>
      </w:pPr>
      <w:r w:rsidRPr="00770695">
        <w:rPr>
          <w:sz w:val="28"/>
          <w:szCs w:val="28"/>
        </w:rPr>
        <w:t>Airbnb's tech-based business model has given it strategic advantages because it doesn't require significant capital expenditures and allows the company to pass on fixed costs to its hosts. This flexibility enabled the business to handle regular disruptions like CIVID-19</w:t>
      </w:r>
    </w:p>
    <w:p w14:paraId="76109213" w14:textId="3E45865D" w:rsidR="007B2E10" w:rsidRPr="007B2E10" w:rsidRDefault="00770695" w:rsidP="007B2E10">
      <w:pPr>
        <w:rPr>
          <w:sz w:val="28"/>
          <w:szCs w:val="28"/>
        </w:rPr>
      </w:pPr>
      <w:r w:rsidRPr="00770695">
        <w:rPr>
          <w:sz w:val="28"/>
          <w:szCs w:val="28"/>
        </w:rPr>
        <w:t>Brand Power and Customer Loyalty: Since its founding, Airbnb has amassed a devoted following of patrons.</w:t>
      </w:r>
      <w:r w:rsidR="008211E7" w:rsidRPr="008211E7">
        <w:t xml:space="preserve"> </w:t>
      </w:r>
      <w:r w:rsidR="008211E7" w:rsidRPr="008211E7">
        <w:rPr>
          <w:sz w:val="28"/>
          <w:szCs w:val="28"/>
        </w:rPr>
        <w:t>assisted it in retaining a competitive advantage in the travel sector despite the difficulties the pandemic presented.</w:t>
      </w:r>
      <w:r w:rsidR="007B2E10" w:rsidRPr="007B2E10">
        <w:t xml:space="preserve"> </w:t>
      </w:r>
      <w:r w:rsidR="007B2E10" w:rsidRPr="007B2E10">
        <w:rPr>
          <w:sz w:val="28"/>
          <w:szCs w:val="28"/>
        </w:rPr>
        <w:t>Recovering from the Epidemic's Effect: Airbnb was initially severely impacted by the pandemic, but it was able to turn things around by concentrating on weekend getaways and lodging that was appropriate for travel. Potential investors saw this recovery as encouraging.</w:t>
      </w:r>
    </w:p>
    <w:p w14:paraId="74C0D4DE" w14:textId="1062ED3A" w:rsidR="007B2E10" w:rsidRPr="00457444" w:rsidRDefault="007B2E10" w:rsidP="007B2E10">
      <w:pPr>
        <w:rPr>
          <w:b/>
          <w:bCs/>
          <w:sz w:val="28"/>
          <w:szCs w:val="28"/>
        </w:rPr>
      </w:pPr>
      <w:r w:rsidRPr="007B2E10">
        <w:rPr>
          <w:sz w:val="28"/>
          <w:szCs w:val="28"/>
        </w:rPr>
        <w:t>The travel and tourism industry were expected to recover after extended lockdowns, which created a psychological demand for travel and vacations. Airbnb's initial public offering (IPO) was timed to take advantage of this predicted momentum.</w:t>
      </w:r>
      <w:r w:rsidR="00457444" w:rsidRPr="00457444">
        <w:t xml:space="preserve"> </w:t>
      </w:r>
      <w:r w:rsidR="00457444" w:rsidRPr="00457444">
        <w:rPr>
          <w:b/>
          <w:bCs/>
          <w:sz w:val="28"/>
          <w:szCs w:val="28"/>
        </w:rPr>
        <w:t>(</w:t>
      </w:r>
      <w:proofErr w:type="spellStart"/>
      <w:r w:rsidR="00457444" w:rsidRPr="00457444">
        <w:rPr>
          <w:b/>
          <w:bCs/>
          <w:sz w:val="28"/>
          <w:szCs w:val="28"/>
        </w:rPr>
        <w:t>Rajjaque</w:t>
      </w:r>
      <w:proofErr w:type="spellEnd"/>
      <w:r w:rsidR="00457444" w:rsidRPr="00457444">
        <w:rPr>
          <w:b/>
          <w:bCs/>
          <w:sz w:val="28"/>
          <w:szCs w:val="28"/>
        </w:rPr>
        <w:t xml:space="preserve"> &amp; Cam, 2020)</w:t>
      </w:r>
    </w:p>
    <w:p w14:paraId="24B32D21" w14:textId="77777777" w:rsidR="007B2E10" w:rsidRPr="007B2E10" w:rsidRDefault="007B2E10" w:rsidP="007B2E10">
      <w:pPr>
        <w:rPr>
          <w:sz w:val="28"/>
          <w:szCs w:val="28"/>
        </w:rPr>
      </w:pPr>
    </w:p>
    <w:p w14:paraId="00B1433B" w14:textId="08D714CC" w:rsidR="008F610B" w:rsidRPr="008F610B" w:rsidRDefault="007B2E10" w:rsidP="007B2E10">
      <w:pPr>
        <w:rPr>
          <w:sz w:val="28"/>
          <w:szCs w:val="28"/>
        </w:rPr>
      </w:pPr>
      <w:r w:rsidRPr="007B2E10">
        <w:rPr>
          <w:sz w:val="28"/>
          <w:szCs w:val="28"/>
        </w:rPr>
        <w:t>Even though the global pandemic presented difficult circumstances, Airbnb was inspired by these factors to move forward with its IPO.</w:t>
      </w:r>
    </w:p>
    <w:p w14:paraId="2B6CED13" w14:textId="77777777" w:rsidR="008F610B" w:rsidRPr="00DB0EF8" w:rsidRDefault="008F610B" w:rsidP="008F610B">
      <w:pPr>
        <w:rPr>
          <w:b/>
          <w:bCs/>
          <w:sz w:val="36"/>
          <w:szCs w:val="36"/>
        </w:rPr>
      </w:pPr>
    </w:p>
    <w:p w14:paraId="5E3BC725" w14:textId="1CDEDDB3" w:rsidR="00474D05" w:rsidRDefault="00FF5D92" w:rsidP="00474D05">
      <w:pPr>
        <w:rPr>
          <w:b/>
          <w:bCs/>
          <w:sz w:val="36"/>
          <w:szCs w:val="36"/>
        </w:rPr>
      </w:pPr>
      <w:r>
        <w:rPr>
          <w:b/>
          <w:bCs/>
          <w:sz w:val="36"/>
          <w:szCs w:val="36"/>
        </w:rPr>
        <w:t>(3)</w:t>
      </w:r>
      <w:r w:rsidR="00DB0EF8">
        <w:rPr>
          <w:b/>
          <w:bCs/>
          <w:sz w:val="36"/>
          <w:szCs w:val="36"/>
        </w:rPr>
        <w:t>R</w:t>
      </w:r>
      <w:r w:rsidR="00DB0EF8" w:rsidRPr="00DB0EF8">
        <w:rPr>
          <w:b/>
          <w:bCs/>
          <w:sz w:val="36"/>
          <w:szCs w:val="36"/>
        </w:rPr>
        <w:t>eview of the S1 Airbnb firm</w:t>
      </w:r>
      <w:r w:rsidR="00474D05" w:rsidRPr="00DB0EF8">
        <w:rPr>
          <w:b/>
          <w:bCs/>
          <w:sz w:val="36"/>
          <w:szCs w:val="36"/>
        </w:rPr>
        <w:t>.</w:t>
      </w:r>
    </w:p>
    <w:p w14:paraId="4B053879" w14:textId="6D5EB9AA" w:rsidR="00F77449" w:rsidRPr="00F77449" w:rsidRDefault="00F77449" w:rsidP="00474D05">
      <w:pPr>
        <w:rPr>
          <w:sz w:val="28"/>
          <w:szCs w:val="28"/>
        </w:rPr>
      </w:pPr>
      <w:r w:rsidRPr="00F77449">
        <w:rPr>
          <w:sz w:val="28"/>
          <w:szCs w:val="28"/>
        </w:rPr>
        <w:t>The Airbnb S1 form displays the company's financial performance for the prior year, including information on revenues, assets, and liabilities.</w:t>
      </w:r>
    </w:p>
    <w:p w14:paraId="0C4F2CA6" w14:textId="100D6C2C" w:rsidR="00081ECC" w:rsidRDefault="004250AA" w:rsidP="004250AA">
      <w:pPr>
        <w:rPr>
          <w:b/>
          <w:bCs/>
          <w:sz w:val="28"/>
          <w:szCs w:val="28"/>
        </w:rPr>
      </w:pPr>
      <w:r>
        <w:rPr>
          <w:b/>
          <w:bCs/>
          <w:sz w:val="28"/>
          <w:szCs w:val="28"/>
        </w:rPr>
        <w:t>-</w:t>
      </w:r>
      <w:r w:rsidRPr="004250AA">
        <w:rPr>
          <w:b/>
          <w:bCs/>
          <w:sz w:val="28"/>
          <w:szCs w:val="28"/>
        </w:rPr>
        <w:t>These are Airbnb's three main risks.</w:t>
      </w:r>
    </w:p>
    <w:p w14:paraId="27F1BCE3" w14:textId="1215BCC8" w:rsidR="00186B07" w:rsidRDefault="00186B07" w:rsidP="004250AA">
      <w:pPr>
        <w:rPr>
          <w:sz w:val="28"/>
          <w:szCs w:val="28"/>
        </w:rPr>
      </w:pPr>
      <w:r>
        <w:rPr>
          <w:sz w:val="28"/>
          <w:szCs w:val="28"/>
        </w:rPr>
        <w:t>-</w:t>
      </w:r>
      <w:r w:rsidRPr="00186B07">
        <w:rPr>
          <w:sz w:val="28"/>
          <w:szCs w:val="28"/>
        </w:rPr>
        <w:t>The COVID-19 pandemic was officially announced in March 2020 by the World Health Organization. Authorities have implemented a number of measures to stop the virus from spreading, such as quarantines, "shelter at home" orders, travel restrictions, bans on social or public gatherings, school and business closures, and other social distancing measures. These actions have had, and may continue to have, a materially negative impact on our business and operations as well as travel demand and behaviour.</w:t>
      </w:r>
    </w:p>
    <w:p w14:paraId="5B79A6C1" w14:textId="77777777" w:rsidR="00B76B69" w:rsidRPr="00186B07" w:rsidRDefault="00B76B69" w:rsidP="004250AA">
      <w:pPr>
        <w:rPr>
          <w:sz w:val="28"/>
          <w:szCs w:val="28"/>
        </w:rPr>
      </w:pPr>
    </w:p>
    <w:p w14:paraId="1CC98F28" w14:textId="02AE73EB" w:rsidR="00E71B38" w:rsidRDefault="00B76B69" w:rsidP="0092739F">
      <w:pPr>
        <w:rPr>
          <w:sz w:val="28"/>
          <w:szCs w:val="28"/>
        </w:rPr>
      </w:pPr>
      <w:r>
        <w:rPr>
          <w:sz w:val="28"/>
          <w:szCs w:val="28"/>
        </w:rPr>
        <w:t>-</w:t>
      </w:r>
      <w:r w:rsidRPr="00B76B69">
        <w:rPr>
          <w:sz w:val="28"/>
          <w:szCs w:val="28"/>
        </w:rPr>
        <w:t>We announced a decrease in our employment of about 1,800 people in May 2020 in response to the economic problems and uncertainties brought on by the COVID-19 epidemic and its effects on our business. Specifically impacted were our teams in marketing, design, customer service, transportation, Airbnb Studios, Hotels, and Airbnb Luxe. The workforce reduction also meant that important roles lost institutional knowledge, relationships, and expertise that might not have been successfully transferred to new hires. This could have hindered our ability to grow, innovate, and compete as well as diverted attention from running our business and created capacity issues for personnel. All these effects might have a significant negative influence on our company and image, making it more difficult for us to run our business and achieve our goals.</w:t>
      </w:r>
    </w:p>
    <w:p w14:paraId="551A413A" w14:textId="0C62FF6E" w:rsidR="00E71B38" w:rsidRDefault="00CB31DF" w:rsidP="0092739F">
      <w:pPr>
        <w:rPr>
          <w:sz w:val="28"/>
          <w:szCs w:val="28"/>
        </w:rPr>
      </w:pPr>
      <w:r>
        <w:rPr>
          <w:sz w:val="28"/>
          <w:szCs w:val="28"/>
        </w:rPr>
        <w:t>-</w:t>
      </w:r>
      <w:r w:rsidRPr="00CB31DF">
        <w:rPr>
          <w:sz w:val="28"/>
          <w:szCs w:val="28"/>
        </w:rPr>
        <w:t>The current situation has resulted in a rise in staff attrition, which may have a negative impact on our business, operational outcomes, and financial situation. It may also lead to a decline in employee morale and productivity as well as difficulties in attracting new hires. In 2020, a $151.4 million charge arose from the reduction in force and other restructuring actions.</w:t>
      </w:r>
    </w:p>
    <w:p w14:paraId="5AC7BCE5" w14:textId="1FE7F6AF" w:rsidR="00E71B38" w:rsidRPr="00FF5D92" w:rsidRDefault="00641012" w:rsidP="0092739F">
      <w:pPr>
        <w:rPr>
          <w:b/>
          <w:bCs/>
          <w:sz w:val="28"/>
          <w:szCs w:val="28"/>
        </w:rPr>
      </w:pPr>
      <w:r w:rsidRPr="00FF5D92">
        <w:rPr>
          <w:b/>
          <w:bCs/>
          <w:sz w:val="28"/>
          <w:szCs w:val="28"/>
        </w:rPr>
        <w:t>Comment on three risks</w:t>
      </w:r>
    </w:p>
    <w:p w14:paraId="76FE0499" w14:textId="36ECF1BC" w:rsidR="00163430" w:rsidRPr="00163430" w:rsidRDefault="00163430" w:rsidP="00163430">
      <w:pPr>
        <w:rPr>
          <w:sz w:val="28"/>
          <w:szCs w:val="28"/>
        </w:rPr>
      </w:pPr>
      <w:r w:rsidRPr="00163430">
        <w:rPr>
          <w:sz w:val="28"/>
          <w:szCs w:val="28"/>
        </w:rPr>
        <w:t>•</w:t>
      </w:r>
      <w:r w:rsidR="009609FB">
        <w:rPr>
          <w:sz w:val="28"/>
          <w:szCs w:val="28"/>
        </w:rPr>
        <w:t xml:space="preserve">when Airbnb Inc. company </w:t>
      </w:r>
      <w:r w:rsidRPr="00163430">
        <w:rPr>
          <w:sz w:val="28"/>
          <w:szCs w:val="28"/>
        </w:rPr>
        <w:t>operations, financial situation, and business performance have been substantially impacted by the COVID-19 epidemic and the effects of measures taken to counteract it. These effects will not go away.</w:t>
      </w:r>
    </w:p>
    <w:p w14:paraId="0A0361A3" w14:textId="73423BC4" w:rsidR="00163430" w:rsidRPr="00163430" w:rsidRDefault="009609FB" w:rsidP="00163430">
      <w:pPr>
        <w:rPr>
          <w:sz w:val="28"/>
          <w:szCs w:val="28"/>
        </w:rPr>
      </w:pPr>
      <w:r>
        <w:rPr>
          <w:sz w:val="28"/>
          <w:szCs w:val="28"/>
        </w:rPr>
        <w:t>- this are</w:t>
      </w:r>
      <w:r w:rsidR="00690E91">
        <w:rPr>
          <w:sz w:val="28"/>
          <w:szCs w:val="28"/>
        </w:rPr>
        <w:t xml:space="preserve"> what may</w:t>
      </w:r>
      <w:r w:rsidR="00163430" w:rsidRPr="00163430">
        <w:rPr>
          <w:sz w:val="28"/>
          <w:szCs w:val="28"/>
        </w:rPr>
        <w:t xml:space="preserve"> not be able to turn a profit, we have lost money every year since our founding. In 2018, 2019, and 2020, we lost $16.9 million, $674.3 million, and $4.6 billion, net, respectively, at the end of the corresponding years. By the end of 2020, our cumulative deficit had reached $6.0 billion.</w:t>
      </w:r>
    </w:p>
    <w:p w14:paraId="08AD5D6F" w14:textId="1B7566A1" w:rsidR="00E71B38" w:rsidRDefault="009609FB" w:rsidP="0092739F">
      <w:pPr>
        <w:rPr>
          <w:sz w:val="28"/>
          <w:szCs w:val="28"/>
        </w:rPr>
      </w:pPr>
      <w:r>
        <w:rPr>
          <w:sz w:val="28"/>
          <w:szCs w:val="28"/>
        </w:rPr>
        <w:t xml:space="preserve">-May they need to </w:t>
      </w:r>
      <w:r w:rsidRPr="009609FB">
        <w:rPr>
          <w:sz w:val="28"/>
          <w:szCs w:val="28"/>
        </w:rPr>
        <w:t xml:space="preserve">operations may be negatively impacted by the numerous </w:t>
      </w:r>
      <w:r w:rsidR="00690E91" w:rsidRPr="009609FB">
        <w:rPr>
          <w:sz w:val="28"/>
          <w:szCs w:val="28"/>
        </w:rPr>
        <w:t>complexes</w:t>
      </w:r>
      <w:r w:rsidRPr="009609FB">
        <w:rPr>
          <w:sz w:val="28"/>
          <w:szCs w:val="28"/>
        </w:rPr>
        <w:t>, dynamic, and occasionally ambiguous laws and regulations that apply to us. Additionally, these laws and regulations may result in substantial liabilities for us, such as fines and criminal penalties, which could have a detrimental impact on our business, operational results, and financial situation.</w:t>
      </w:r>
    </w:p>
    <w:p w14:paraId="523A3F5F" w14:textId="77777777" w:rsidR="001126E7" w:rsidRDefault="00C728FC" w:rsidP="00C728FC">
      <w:pPr>
        <w:rPr>
          <w:b/>
          <w:bCs/>
          <w:sz w:val="32"/>
          <w:szCs w:val="32"/>
        </w:rPr>
      </w:pPr>
      <w:r w:rsidRPr="00C728FC">
        <w:rPr>
          <w:b/>
          <w:bCs/>
          <w:sz w:val="32"/>
          <w:szCs w:val="32"/>
        </w:rPr>
        <w:t>evaluating the likelihood that Airbnb Inc. will exist</w:t>
      </w:r>
    </w:p>
    <w:p w14:paraId="450EC4AA" w14:textId="640C15E2" w:rsidR="00C728FC" w:rsidRPr="001126E7" w:rsidRDefault="00C728FC" w:rsidP="00C728FC">
      <w:pPr>
        <w:rPr>
          <w:sz w:val="28"/>
          <w:szCs w:val="28"/>
        </w:rPr>
      </w:pPr>
      <w:r w:rsidRPr="00C728FC">
        <w:rPr>
          <w:b/>
          <w:bCs/>
          <w:sz w:val="32"/>
          <w:szCs w:val="32"/>
        </w:rPr>
        <w:t xml:space="preserve"> </w:t>
      </w:r>
      <w:r w:rsidR="001126E7" w:rsidRPr="001126E7">
        <w:rPr>
          <w:sz w:val="28"/>
          <w:szCs w:val="28"/>
        </w:rPr>
        <w:t xml:space="preserve">A worldwide online marketplace for travel and accommodation experiences is run by Airbnb Inc. (Airbnb). Organizing distinctive visitor experiences and stays </w:t>
      </w:r>
      <w:r w:rsidR="001126E7" w:rsidRPr="001126E7">
        <w:rPr>
          <w:sz w:val="28"/>
          <w:szCs w:val="28"/>
        </w:rPr>
        <w:lastRenderedPageBreak/>
        <w:t>from across the globe, offered by hosts, is one of its main functions. Vacation activities, rentals, and lodging are among the company's primary offerings. Both hosts who promote their homes and experiences and travellers looking for genuine local encounters are among the many clientele that Airbnb caters to. The business operates in almost every nation and area on Earth, with a particularly strong presence in sizable regions including Australia, Brazil, Canada, China, India, and South Korea. In San Francisco, California, the US, is where Airbnb is based.</w:t>
      </w:r>
    </w:p>
    <w:p w14:paraId="5554B5B5" w14:textId="68DA58E4" w:rsidR="00597789" w:rsidRPr="005559EF" w:rsidRDefault="00597789" w:rsidP="0077384C">
      <w:pPr>
        <w:rPr>
          <w:b/>
          <w:bCs/>
          <w:sz w:val="28"/>
          <w:szCs w:val="28"/>
        </w:rPr>
      </w:pPr>
      <w:r w:rsidRPr="005559EF">
        <w:rPr>
          <w:b/>
          <w:bCs/>
          <w:sz w:val="28"/>
          <w:szCs w:val="28"/>
        </w:rPr>
        <w:t xml:space="preserve">Comment on risks </w:t>
      </w:r>
    </w:p>
    <w:p w14:paraId="4A890165" w14:textId="77777777" w:rsidR="00A24E95" w:rsidRDefault="005559EF" w:rsidP="004250AA">
      <w:pPr>
        <w:rPr>
          <w:sz w:val="28"/>
          <w:szCs w:val="28"/>
        </w:rPr>
      </w:pPr>
      <w:r w:rsidRPr="005559EF">
        <w:rPr>
          <w:sz w:val="28"/>
          <w:szCs w:val="28"/>
        </w:rPr>
        <w:t>Based on the data from the search results, the summary correctly identifies the primary dangers that Airbnb is facing. As stated in the S-1 filing of the firm, the risks are closely related to Airbnb's general business, operations, and financial performance. The response remains focused on providing an answer to the question and avoids making any unfounded statements.</w:t>
      </w:r>
    </w:p>
    <w:p w14:paraId="09064A24" w14:textId="624E509B" w:rsidR="00466443" w:rsidRPr="00A24E95" w:rsidRDefault="00A24E95" w:rsidP="004250AA">
      <w:pPr>
        <w:rPr>
          <w:sz w:val="28"/>
          <w:szCs w:val="28"/>
        </w:rPr>
      </w:pPr>
      <w:r>
        <w:rPr>
          <w:b/>
          <w:bCs/>
          <w:sz w:val="28"/>
          <w:szCs w:val="28"/>
        </w:rPr>
        <w:t>{</w:t>
      </w:r>
      <w:r w:rsidR="00466443">
        <w:rPr>
          <w:b/>
          <w:bCs/>
          <w:sz w:val="28"/>
          <w:szCs w:val="28"/>
        </w:rPr>
        <w:t>B</w:t>
      </w:r>
      <w:r>
        <w:rPr>
          <w:b/>
          <w:bCs/>
          <w:sz w:val="28"/>
          <w:szCs w:val="28"/>
        </w:rPr>
        <w:t>}</w:t>
      </w:r>
      <w:r w:rsidR="00466443">
        <w:rPr>
          <w:b/>
          <w:bCs/>
          <w:sz w:val="28"/>
          <w:szCs w:val="28"/>
        </w:rPr>
        <w:t xml:space="preserve"> </w:t>
      </w:r>
      <w:r w:rsidR="005078EB">
        <w:rPr>
          <w:b/>
          <w:bCs/>
          <w:sz w:val="28"/>
          <w:szCs w:val="28"/>
        </w:rPr>
        <w:t xml:space="preserve">  </w:t>
      </w:r>
      <w:r w:rsidR="005078EB">
        <w:rPr>
          <w:b/>
          <w:bCs/>
          <w:sz w:val="28"/>
          <w:szCs w:val="28"/>
        </w:rPr>
        <w:t>CALCULATION</w:t>
      </w:r>
    </w:p>
    <w:p w14:paraId="4B4E3E1F" w14:textId="4EAD099F" w:rsidR="00416CE8" w:rsidRDefault="00A24E95" w:rsidP="004250AA">
      <w:pPr>
        <w:rPr>
          <w:b/>
          <w:bCs/>
          <w:sz w:val="28"/>
          <w:szCs w:val="28"/>
        </w:rPr>
      </w:pPr>
      <w:r>
        <w:rPr>
          <w:b/>
          <w:bCs/>
          <w:sz w:val="28"/>
          <w:szCs w:val="28"/>
        </w:rPr>
        <w:t>(1)</w:t>
      </w:r>
      <w:r w:rsidR="00275005" w:rsidRPr="00275005">
        <w:rPr>
          <w:b/>
          <w:bCs/>
          <w:sz w:val="28"/>
          <w:szCs w:val="28"/>
        </w:rPr>
        <w:t>Share price performance</w:t>
      </w:r>
    </w:p>
    <w:p w14:paraId="08C13D23" w14:textId="171067E9" w:rsidR="00275005" w:rsidRPr="00275005" w:rsidRDefault="00416CE8" w:rsidP="00275005">
      <w:pPr>
        <w:rPr>
          <w:sz w:val="28"/>
          <w:szCs w:val="28"/>
        </w:rPr>
      </w:pPr>
      <w:r w:rsidRPr="00275005">
        <w:rPr>
          <w:sz w:val="28"/>
          <w:szCs w:val="28"/>
        </w:rPr>
        <w:t>Produce a full set of descriptive statistics, including such visual aids as will be necessary to understand your selected company’s performance</w:t>
      </w:r>
      <w:r w:rsidR="00275005" w:rsidRPr="00275005">
        <w:rPr>
          <w:sz w:val="28"/>
          <w:szCs w:val="28"/>
        </w:rPr>
        <w:t xml:space="preserve"> The price at which one share of a corporation would be purchased is called the share price, often known as the stock price. An individual share's price is not set; rather, it varies according on the state of the market. If people believe the business is doing well, it will probably rise, and if it is not living up to expectations, it will probably collapse.</w:t>
      </w:r>
    </w:p>
    <w:p w14:paraId="785319D7" w14:textId="77777777" w:rsidR="00275005" w:rsidRPr="00275005" w:rsidRDefault="00275005" w:rsidP="00275005">
      <w:pPr>
        <w:rPr>
          <w:sz w:val="28"/>
          <w:szCs w:val="28"/>
        </w:rPr>
      </w:pPr>
      <w:r w:rsidRPr="00275005">
        <w:rPr>
          <w:sz w:val="28"/>
          <w:szCs w:val="28"/>
        </w:rPr>
        <w:t>First, a company's initial public offering (IPO) sets the price per share based on the perceived supply and demand for the company's shares. A bookrunner, a lead manager hired expressly to assist the firm in choosing a suitable price for its initial public offering (IPO), often sets the prices.</w:t>
      </w:r>
    </w:p>
    <w:p w14:paraId="27133ACD" w14:textId="77777777" w:rsidR="00275005" w:rsidRPr="00275005" w:rsidRDefault="00275005" w:rsidP="00275005">
      <w:pPr>
        <w:rPr>
          <w:sz w:val="28"/>
          <w:szCs w:val="28"/>
        </w:rPr>
      </w:pPr>
      <w:r w:rsidRPr="00275005">
        <w:rPr>
          <w:sz w:val="28"/>
          <w:szCs w:val="28"/>
        </w:rPr>
        <w:t>Numerous variables might affect a company's share price after the IPO. For instance, if demand stays constant, any increase in the quantity of shares available would result in a price decrease. In addition, as long as supply stays the same, any decline in demand—possibly brought on by changes in a company's top management—would result in a decrease in share price.</w:t>
      </w:r>
    </w:p>
    <w:p w14:paraId="31C65239" w14:textId="777D94B4" w:rsidR="00466443" w:rsidRPr="00E352C1" w:rsidRDefault="00275005" w:rsidP="00275005">
      <w:pPr>
        <w:rPr>
          <w:b/>
          <w:bCs/>
          <w:sz w:val="28"/>
          <w:szCs w:val="28"/>
        </w:rPr>
      </w:pPr>
      <w:r w:rsidRPr="00275005">
        <w:rPr>
          <w:sz w:val="28"/>
          <w:szCs w:val="28"/>
        </w:rPr>
        <w:lastRenderedPageBreak/>
        <w:t>To be more precise, unexpected or anticipated macroeconomic data releases, political statements, and industry news can all have an impact on a company's share price</w:t>
      </w:r>
      <w:r w:rsidRPr="00E352C1">
        <w:rPr>
          <w:b/>
          <w:bCs/>
          <w:sz w:val="28"/>
          <w:szCs w:val="28"/>
        </w:rPr>
        <w:t>.</w:t>
      </w:r>
      <w:r w:rsidR="00E352C1" w:rsidRPr="00E352C1">
        <w:rPr>
          <w:b/>
          <w:bCs/>
        </w:rPr>
        <w:t xml:space="preserve"> </w:t>
      </w:r>
      <w:r w:rsidR="00E352C1" w:rsidRPr="00E352C1">
        <w:rPr>
          <w:b/>
          <w:bCs/>
          <w:sz w:val="28"/>
          <w:szCs w:val="28"/>
        </w:rPr>
        <w:t>(IG, 2021)</w:t>
      </w:r>
    </w:p>
    <w:p w14:paraId="31B300BC" w14:textId="77777777" w:rsidR="000B03EE" w:rsidRPr="00275005" w:rsidRDefault="000B03EE" w:rsidP="004250AA">
      <w:pPr>
        <w:rPr>
          <w:b/>
          <w:bCs/>
          <w:sz w:val="28"/>
          <w:szCs w:val="28"/>
        </w:rPr>
      </w:pPr>
    </w:p>
    <w:p w14:paraId="43E2A666" w14:textId="77777777" w:rsidR="00130C41" w:rsidRPr="009F2CF7" w:rsidRDefault="00130C41" w:rsidP="00130C41">
      <w:pPr>
        <w:rPr>
          <w:sz w:val="28"/>
          <w:szCs w:val="28"/>
        </w:rPr>
      </w:pPr>
      <w:r>
        <w:rPr>
          <w:sz w:val="28"/>
          <w:szCs w:val="28"/>
        </w:rPr>
        <w:t>Figure 1</w:t>
      </w:r>
    </w:p>
    <w:p w14:paraId="3057DE29" w14:textId="77777777" w:rsidR="00416CE8" w:rsidRDefault="00416CE8" w:rsidP="004250AA">
      <w:pPr>
        <w:rPr>
          <w:b/>
          <w:bCs/>
          <w:sz w:val="28"/>
          <w:szCs w:val="28"/>
        </w:rPr>
      </w:pPr>
    </w:p>
    <w:p w14:paraId="38CAA808" w14:textId="4C254B12" w:rsidR="000B03EE" w:rsidRDefault="00185A00" w:rsidP="004250AA">
      <w:pPr>
        <w:rPr>
          <w:b/>
          <w:bCs/>
          <w:sz w:val="28"/>
          <w:szCs w:val="28"/>
        </w:rPr>
      </w:pPr>
      <w:r>
        <w:rPr>
          <w:b/>
          <w:bCs/>
          <w:noProof/>
          <w:sz w:val="28"/>
          <w:szCs w:val="28"/>
        </w:rPr>
        <w:drawing>
          <wp:inline distT="0" distB="0" distL="0" distR="0" wp14:anchorId="4DBDBD24" wp14:editId="3E41620C">
            <wp:extent cx="5486400" cy="3200400"/>
            <wp:effectExtent l="0" t="0" r="0" b="0"/>
            <wp:docPr id="12663538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C4D0FF" w14:textId="77777777" w:rsidR="000B03EE" w:rsidRDefault="000B03EE" w:rsidP="004250AA">
      <w:pPr>
        <w:rPr>
          <w:b/>
          <w:bCs/>
          <w:sz w:val="28"/>
          <w:szCs w:val="28"/>
        </w:rPr>
      </w:pPr>
    </w:p>
    <w:p w14:paraId="377EF55C" w14:textId="7CC55B34" w:rsidR="00E3026C" w:rsidRPr="00E3026C" w:rsidRDefault="00E70953" w:rsidP="00E3026C">
      <w:pPr>
        <w:rPr>
          <w:sz w:val="28"/>
          <w:szCs w:val="28"/>
        </w:rPr>
      </w:pPr>
      <w:r>
        <w:rPr>
          <w:b/>
          <w:bCs/>
          <w:sz w:val="28"/>
          <w:szCs w:val="28"/>
        </w:rPr>
        <w:t>Comment</w:t>
      </w:r>
      <w:r w:rsidRPr="00E3026C">
        <w:rPr>
          <w:sz w:val="28"/>
          <w:szCs w:val="28"/>
        </w:rPr>
        <w:t>;</w:t>
      </w:r>
      <w:r w:rsidR="00E3026C" w:rsidRPr="00E3026C">
        <w:t xml:space="preserve"> </w:t>
      </w:r>
      <w:r w:rsidR="00E3026C" w:rsidRPr="00E3026C">
        <w:rPr>
          <w:sz w:val="28"/>
          <w:szCs w:val="28"/>
        </w:rPr>
        <w:t>With a stellar success in 2021, the closing price of Airbnb's shares on February 11, 2021, was all-time high at $216.84. At the company's 2020 IPO price of $68 per share, this constituted a substantial rise.</w:t>
      </w:r>
    </w:p>
    <w:p w14:paraId="730E6699" w14:textId="5B28009D" w:rsidR="00641955" w:rsidRPr="00641955" w:rsidRDefault="00E3026C" w:rsidP="00641955">
      <w:pPr>
        <w:rPr>
          <w:sz w:val="28"/>
          <w:szCs w:val="28"/>
        </w:rPr>
      </w:pPr>
      <w:r w:rsidRPr="00E3026C">
        <w:rPr>
          <w:sz w:val="28"/>
          <w:szCs w:val="28"/>
        </w:rPr>
        <w:t>Nonetheless, the price of Airbnb's shares dropped dramatically in 2022, plummeting from a peak of $186.64 to a low of $82.49, a less than 55% decrease. Potential regulatory issues, worries about the COVID-19 pandemic's effects on the tourism sector, and general market volatility were probably the main causes of this fall.</w:t>
      </w:r>
      <w:r w:rsidR="00641955" w:rsidRPr="00641955">
        <w:t xml:space="preserve"> </w:t>
      </w:r>
      <w:r w:rsidR="00641955" w:rsidRPr="00641955">
        <w:rPr>
          <w:sz w:val="28"/>
          <w:szCs w:val="28"/>
        </w:rPr>
        <w:t>As of June 2023, Airbnb's stock price was ranging between $128 and $162, indicating a possible comeback in 2023. The current share price of $128.68, up 56.75% over the previous 52 weeks, suggests that investors' faith in the business has been steadily regaining.</w:t>
      </w:r>
    </w:p>
    <w:p w14:paraId="2CDA8B83" w14:textId="0A82E8C2" w:rsidR="000B03EE" w:rsidRPr="00E3026C" w:rsidRDefault="00641955" w:rsidP="00641955">
      <w:pPr>
        <w:rPr>
          <w:sz w:val="28"/>
          <w:szCs w:val="28"/>
        </w:rPr>
      </w:pPr>
      <w:r w:rsidRPr="00641955">
        <w:rPr>
          <w:sz w:val="28"/>
          <w:szCs w:val="28"/>
        </w:rPr>
        <w:t xml:space="preserve">In 2024, it seems that Airbnb's strategy will be concentrated on diversifying beyond its primary short-term rental industry. This might lead to more growth </w:t>
      </w:r>
      <w:r w:rsidRPr="00641955">
        <w:rPr>
          <w:sz w:val="28"/>
          <w:szCs w:val="28"/>
        </w:rPr>
        <w:lastRenderedPageBreak/>
        <w:t>and an increase in the share price. The company's future stock price performance will be largely determined by its capacity to carry out this plan and handle any persistent industry obstacles.</w:t>
      </w:r>
    </w:p>
    <w:p w14:paraId="343FE98C" w14:textId="77777777" w:rsidR="00E70953" w:rsidRDefault="00E70953" w:rsidP="004250AA">
      <w:pPr>
        <w:rPr>
          <w:b/>
          <w:bCs/>
          <w:sz w:val="28"/>
          <w:szCs w:val="28"/>
        </w:rPr>
      </w:pPr>
    </w:p>
    <w:p w14:paraId="04F4DE0B" w14:textId="77777777" w:rsidR="00E70953" w:rsidRDefault="00E70953" w:rsidP="004250AA">
      <w:pPr>
        <w:rPr>
          <w:b/>
          <w:bCs/>
          <w:sz w:val="28"/>
          <w:szCs w:val="28"/>
        </w:rPr>
      </w:pPr>
    </w:p>
    <w:p w14:paraId="5FB36B1E" w14:textId="191B7C65" w:rsidR="00E70953" w:rsidRDefault="00E70953" w:rsidP="004250AA">
      <w:pPr>
        <w:rPr>
          <w:b/>
          <w:bCs/>
          <w:sz w:val="28"/>
          <w:szCs w:val="28"/>
        </w:rPr>
      </w:pPr>
      <w:r>
        <w:rPr>
          <w:b/>
          <w:bCs/>
          <w:sz w:val="28"/>
          <w:szCs w:val="28"/>
        </w:rPr>
        <w:t xml:space="preserve">Descriptive statistics </w:t>
      </w:r>
    </w:p>
    <w:p w14:paraId="55970E4E" w14:textId="77777777" w:rsidR="00CD5B54" w:rsidRPr="00CD5B54" w:rsidRDefault="00CD5B54" w:rsidP="00CD5B54">
      <w:pPr>
        <w:rPr>
          <w:sz w:val="28"/>
          <w:szCs w:val="28"/>
        </w:rPr>
      </w:pPr>
      <w:r w:rsidRPr="00CD5B54">
        <w:rPr>
          <w:sz w:val="28"/>
          <w:szCs w:val="28"/>
        </w:rPr>
        <w:t>These are the salient descriptive data concerning the means for Airbnb, ascertained from the search results provided:</w:t>
      </w:r>
    </w:p>
    <w:p w14:paraId="1F0CB5E8" w14:textId="77777777" w:rsidR="00CD5B54" w:rsidRPr="00CD5B54" w:rsidRDefault="00CD5B54" w:rsidP="00CD5B54">
      <w:pPr>
        <w:rPr>
          <w:sz w:val="28"/>
          <w:szCs w:val="28"/>
        </w:rPr>
      </w:pPr>
      <w:r w:rsidRPr="00CD5B54">
        <w:rPr>
          <w:sz w:val="28"/>
          <w:szCs w:val="28"/>
        </w:rPr>
        <w:t>1 The average cost of an Airbnb listing is $120.72.</w:t>
      </w:r>
    </w:p>
    <w:p w14:paraId="45AB4A84" w14:textId="77777777" w:rsidR="00CD5B54" w:rsidRPr="00CD5B54" w:rsidRDefault="00CD5B54" w:rsidP="00CD5B54">
      <w:pPr>
        <w:rPr>
          <w:sz w:val="28"/>
          <w:szCs w:val="28"/>
        </w:rPr>
      </w:pPr>
      <w:r w:rsidRPr="00CD5B54">
        <w:rPr>
          <w:sz w:val="28"/>
          <w:szCs w:val="28"/>
        </w:rPr>
        <w:t>41.26 reviews are averaged per Airbnb listing.</w:t>
      </w:r>
    </w:p>
    <w:p w14:paraId="57567D7F" w14:textId="77777777" w:rsidR="00CD5B54" w:rsidRPr="00CD5B54" w:rsidRDefault="00CD5B54" w:rsidP="00CD5B54">
      <w:pPr>
        <w:rPr>
          <w:sz w:val="28"/>
          <w:szCs w:val="28"/>
        </w:rPr>
      </w:pPr>
      <w:r w:rsidRPr="00CD5B54">
        <w:rPr>
          <w:sz w:val="28"/>
          <w:szCs w:val="28"/>
        </w:rPr>
        <w:t>2 1,524,000 KRW was the average hotel income in Jeju, South Korea.</w:t>
      </w:r>
    </w:p>
    <w:p w14:paraId="2C195F48" w14:textId="77777777" w:rsidR="00CD5B54" w:rsidRPr="00CD5B54" w:rsidRDefault="00CD5B54" w:rsidP="00CD5B54">
      <w:pPr>
        <w:rPr>
          <w:sz w:val="28"/>
          <w:szCs w:val="28"/>
        </w:rPr>
      </w:pPr>
      <w:r w:rsidRPr="00CD5B54">
        <w:rPr>
          <w:sz w:val="28"/>
          <w:szCs w:val="28"/>
        </w:rPr>
        <w:t>In Jeju, South Korea, Airbnb generated 1,032,000 KRW in income on average.</w:t>
      </w:r>
    </w:p>
    <w:p w14:paraId="311B1589" w14:textId="30DA3CFA" w:rsidR="00CD5B54" w:rsidRPr="00CD5B54" w:rsidRDefault="00CD5B54" w:rsidP="00CD5B54">
      <w:pPr>
        <w:rPr>
          <w:sz w:val="28"/>
          <w:szCs w:val="28"/>
        </w:rPr>
      </w:pPr>
      <w:r w:rsidRPr="00CD5B54">
        <w:rPr>
          <w:sz w:val="28"/>
          <w:szCs w:val="28"/>
        </w:rPr>
        <w:t>3</w:t>
      </w:r>
      <w:r>
        <w:rPr>
          <w:sz w:val="28"/>
          <w:szCs w:val="28"/>
        </w:rPr>
        <w:t xml:space="preserve"> </w:t>
      </w:r>
      <w:r w:rsidRPr="00CD5B54">
        <w:rPr>
          <w:sz w:val="28"/>
          <w:szCs w:val="28"/>
        </w:rPr>
        <w:t>41.26 reviews are averaged per Airbnb listing.</w:t>
      </w:r>
    </w:p>
    <w:p w14:paraId="7715E96E" w14:textId="77777777" w:rsidR="00CD5B54" w:rsidRPr="00CD5B54" w:rsidRDefault="00CD5B54" w:rsidP="00CD5B54">
      <w:pPr>
        <w:rPr>
          <w:sz w:val="28"/>
          <w:szCs w:val="28"/>
        </w:rPr>
      </w:pPr>
      <w:r w:rsidRPr="00CD5B54">
        <w:rPr>
          <w:sz w:val="28"/>
          <w:szCs w:val="28"/>
        </w:rPr>
        <w:t>There are 1.56 bedrooms on average per Airbnb property.</w:t>
      </w:r>
    </w:p>
    <w:p w14:paraId="0BC71221" w14:textId="1EA917CD" w:rsidR="000B03EE" w:rsidRPr="00CD5B54" w:rsidRDefault="00CD5B54" w:rsidP="00CD5B54">
      <w:pPr>
        <w:rPr>
          <w:sz w:val="28"/>
          <w:szCs w:val="28"/>
        </w:rPr>
      </w:pPr>
      <w:r w:rsidRPr="00CD5B54">
        <w:rPr>
          <w:sz w:val="28"/>
          <w:szCs w:val="28"/>
        </w:rPr>
        <w:t>In-depth data on many Airbnb indicators, such as the average listing price, average number of reviews, and average hotel/Airbnb revenue in a particular market (Jeju, South Korea), may be found in the search results.</w:t>
      </w:r>
    </w:p>
    <w:p w14:paraId="7F83CDA8" w14:textId="77777777" w:rsidR="00580218" w:rsidRPr="00580218" w:rsidRDefault="00580218" w:rsidP="00580218">
      <w:pPr>
        <w:rPr>
          <w:sz w:val="28"/>
          <w:szCs w:val="28"/>
        </w:rPr>
      </w:pPr>
      <w:r w:rsidRPr="00580218">
        <w:rPr>
          <w:sz w:val="28"/>
          <w:szCs w:val="28"/>
        </w:rPr>
        <w:t xml:space="preserve">CRIPTIVE </w:t>
      </w:r>
      <w:r w:rsidRPr="00580218">
        <w:rPr>
          <w:sz w:val="28"/>
          <w:szCs w:val="28"/>
        </w:rPr>
        <w:tab/>
      </w:r>
    </w:p>
    <w:p w14:paraId="7E759200" w14:textId="77777777" w:rsidR="00580218" w:rsidRPr="00580218" w:rsidRDefault="00580218" w:rsidP="00580218">
      <w:pPr>
        <w:rPr>
          <w:sz w:val="28"/>
          <w:szCs w:val="28"/>
        </w:rPr>
      </w:pPr>
      <w:r w:rsidRPr="00580218">
        <w:rPr>
          <w:sz w:val="28"/>
          <w:szCs w:val="28"/>
        </w:rPr>
        <w:t>MIN</w:t>
      </w:r>
      <w:r w:rsidRPr="00580218">
        <w:rPr>
          <w:sz w:val="28"/>
          <w:szCs w:val="28"/>
        </w:rPr>
        <w:tab/>
        <w:t>-0.109231117</w:t>
      </w:r>
    </w:p>
    <w:p w14:paraId="7F6F0075" w14:textId="77777777" w:rsidR="00580218" w:rsidRPr="00580218" w:rsidRDefault="00580218" w:rsidP="00580218">
      <w:pPr>
        <w:rPr>
          <w:sz w:val="28"/>
          <w:szCs w:val="28"/>
        </w:rPr>
      </w:pPr>
      <w:r w:rsidRPr="00580218">
        <w:rPr>
          <w:sz w:val="28"/>
          <w:szCs w:val="28"/>
        </w:rPr>
        <w:t>MAX</w:t>
      </w:r>
      <w:r w:rsidRPr="00580218">
        <w:rPr>
          <w:sz w:val="28"/>
          <w:szCs w:val="28"/>
        </w:rPr>
        <w:tab/>
        <w:t>0.133531824</w:t>
      </w:r>
    </w:p>
    <w:p w14:paraId="369F42C1" w14:textId="60718F73" w:rsidR="000B03EE" w:rsidRPr="00580218" w:rsidRDefault="00580218" w:rsidP="00580218">
      <w:pPr>
        <w:rPr>
          <w:sz w:val="28"/>
          <w:szCs w:val="28"/>
        </w:rPr>
      </w:pPr>
      <w:r w:rsidRPr="00580218">
        <w:rPr>
          <w:sz w:val="28"/>
          <w:szCs w:val="28"/>
        </w:rPr>
        <w:t xml:space="preserve">STANDARD </w:t>
      </w:r>
      <w:r w:rsidRPr="00580218">
        <w:rPr>
          <w:sz w:val="28"/>
          <w:szCs w:val="28"/>
        </w:rPr>
        <w:tab/>
        <w:t>0.026720737</w:t>
      </w:r>
    </w:p>
    <w:p w14:paraId="77868317" w14:textId="4C50D053" w:rsidR="009C1297" w:rsidRPr="002F3D18" w:rsidRDefault="00A24E95" w:rsidP="004250AA">
      <w:pPr>
        <w:rPr>
          <w:b/>
          <w:bCs/>
          <w:sz w:val="32"/>
          <w:szCs w:val="32"/>
        </w:rPr>
      </w:pPr>
      <w:r>
        <w:rPr>
          <w:b/>
          <w:bCs/>
          <w:sz w:val="32"/>
          <w:szCs w:val="32"/>
        </w:rPr>
        <w:t>(2)</w:t>
      </w:r>
      <w:r w:rsidR="002F3D18">
        <w:rPr>
          <w:b/>
          <w:bCs/>
          <w:sz w:val="32"/>
          <w:szCs w:val="32"/>
        </w:rPr>
        <w:t xml:space="preserve"> </w:t>
      </w:r>
      <w:r w:rsidR="009C1297" w:rsidRPr="00942724">
        <w:rPr>
          <w:b/>
          <w:bCs/>
          <w:sz w:val="32"/>
          <w:szCs w:val="32"/>
        </w:rPr>
        <w:t xml:space="preserve">WHAT IS </w:t>
      </w:r>
      <w:r w:rsidR="00FE28A9" w:rsidRPr="00942724">
        <w:rPr>
          <w:b/>
          <w:bCs/>
          <w:sz w:val="32"/>
          <w:szCs w:val="32"/>
        </w:rPr>
        <w:t>CAGR</w:t>
      </w:r>
      <w:r w:rsidR="009C1297" w:rsidRPr="00942724">
        <w:rPr>
          <w:b/>
          <w:bCs/>
          <w:sz w:val="32"/>
          <w:szCs w:val="32"/>
        </w:rPr>
        <w:t>?</w:t>
      </w:r>
    </w:p>
    <w:p w14:paraId="686AA190" w14:textId="3FE9B100" w:rsidR="000C09FC" w:rsidRPr="00C81122" w:rsidRDefault="000C09FC" w:rsidP="000C09FC">
      <w:pPr>
        <w:spacing w:after="0" w:line="240" w:lineRule="auto"/>
        <w:rPr>
          <w:rFonts w:eastAsia="Times New Roman" w:cstheme="minorHAnsi"/>
          <w:kern w:val="0"/>
          <w:sz w:val="28"/>
          <w:szCs w:val="28"/>
          <w:lang w:eastAsia="en-IN"/>
          <w14:ligatures w14:val="none"/>
        </w:rPr>
      </w:pPr>
      <w:r w:rsidRPr="00C81122">
        <w:rPr>
          <w:rFonts w:cstheme="minorHAnsi"/>
          <w:sz w:val="28"/>
          <w:szCs w:val="28"/>
        </w:rPr>
        <w:t xml:space="preserve"> </w:t>
      </w:r>
      <w:r w:rsidRPr="00C81122">
        <w:rPr>
          <w:rFonts w:eastAsia="Times New Roman" w:cstheme="minorHAnsi"/>
          <w:kern w:val="0"/>
          <w:sz w:val="28"/>
          <w:szCs w:val="28"/>
          <w:lang w:eastAsia="en-IN"/>
          <w14:ligatures w14:val="none"/>
        </w:rPr>
        <w:t xml:space="preserve">CAGR shows the past performance of an investment over a given amount of time. However, what does CAGR mean? Professionals in finance and investments may benefit greatly from these growth rates, which stand for compound annual growth rate or CAGR. </w:t>
      </w:r>
    </w:p>
    <w:p w14:paraId="5DC511E4" w14:textId="77777777" w:rsidR="000C09FC" w:rsidRPr="00C81122" w:rsidRDefault="000C09FC" w:rsidP="000C09FC">
      <w:pPr>
        <w:spacing w:after="0" w:line="240" w:lineRule="auto"/>
        <w:rPr>
          <w:rFonts w:eastAsia="Times New Roman" w:cstheme="minorHAnsi"/>
          <w:kern w:val="0"/>
          <w:sz w:val="28"/>
          <w:szCs w:val="28"/>
          <w:lang w:eastAsia="en-IN"/>
          <w14:ligatures w14:val="none"/>
        </w:rPr>
      </w:pPr>
    </w:p>
    <w:p w14:paraId="6C4C3171" w14:textId="77777777" w:rsidR="000C09FC" w:rsidRPr="00C81122" w:rsidRDefault="000C09FC" w:rsidP="000C09FC">
      <w:pPr>
        <w:spacing w:after="0" w:line="240" w:lineRule="auto"/>
        <w:rPr>
          <w:rFonts w:eastAsia="Times New Roman" w:cstheme="minorHAnsi"/>
          <w:kern w:val="0"/>
          <w:sz w:val="28"/>
          <w:szCs w:val="28"/>
          <w:lang w:eastAsia="en-IN"/>
          <w14:ligatures w14:val="none"/>
        </w:rPr>
      </w:pPr>
      <w:r w:rsidRPr="00C81122">
        <w:rPr>
          <w:rFonts w:eastAsia="Times New Roman" w:cstheme="minorHAnsi"/>
          <w:kern w:val="0"/>
          <w:sz w:val="28"/>
          <w:szCs w:val="28"/>
          <w:lang w:eastAsia="en-IN"/>
          <w14:ligatures w14:val="none"/>
        </w:rPr>
        <w:t>To compare the past performance of business stocks, investment bankers utilize this tool.</w:t>
      </w:r>
    </w:p>
    <w:p w14:paraId="42119F2E" w14:textId="77777777" w:rsidR="000C09FC" w:rsidRPr="00C81122" w:rsidRDefault="000C09FC" w:rsidP="000C09FC">
      <w:pPr>
        <w:spacing w:after="0" w:line="240" w:lineRule="auto"/>
        <w:rPr>
          <w:rFonts w:eastAsia="Times New Roman" w:cstheme="minorHAnsi"/>
          <w:kern w:val="0"/>
          <w:sz w:val="28"/>
          <w:szCs w:val="28"/>
          <w:lang w:eastAsia="en-IN"/>
          <w14:ligatures w14:val="none"/>
        </w:rPr>
      </w:pPr>
      <w:r w:rsidRPr="00C81122">
        <w:rPr>
          <w:rFonts w:eastAsia="Times New Roman" w:cstheme="minorHAnsi"/>
          <w:kern w:val="0"/>
          <w:sz w:val="28"/>
          <w:szCs w:val="28"/>
          <w:lang w:eastAsia="en-IN"/>
          <w14:ligatures w14:val="none"/>
        </w:rPr>
        <w:lastRenderedPageBreak/>
        <w:t xml:space="preserve">Experts in private equity assess an asset's performance in relation to other investment possibilities that are comparable. </w:t>
      </w:r>
    </w:p>
    <w:p w14:paraId="39148D8A" w14:textId="77777777" w:rsidR="000C09FC" w:rsidRPr="00C81122" w:rsidRDefault="000C09FC" w:rsidP="000C09FC">
      <w:pPr>
        <w:spacing w:after="0" w:line="240" w:lineRule="auto"/>
        <w:rPr>
          <w:rFonts w:eastAsia="Times New Roman" w:cstheme="minorHAnsi"/>
          <w:kern w:val="0"/>
          <w:sz w:val="28"/>
          <w:szCs w:val="28"/>
          <w:lang w:eastAsia="en-IN"/>
          <w14:ligatures w14:val="none"/>
        </w:rPr>
      </w:pPr>
      <w:r w:rsidRPr="00C81122">
        <w:rPr>
          <w:rFonts w:eastAsia="Times New Roman" w:cstheme="minorHAnsi"/>
          <w:kern w:val="0"/>
          <w:sz w:val="28"/>
          <w:szCs w:val="28"/>
          <w:lang w:eastAsia="en-IN"/>
          <w14:ligatures w14:val="none"/>
        </w:rPr>
        <w:t xml:space="preserve">It is calculated by portfolio managers to assess the performance of investment portfolios. </w:t>
      </w:r>
    </w:p>
    <w:p w14:paraId="6486BB33" w14:textId="77777777" w:rsidR="000C09FC" w:rsidRPr="00C81122" w:rsidRDefault="000C09FC" w:rsidP="000C09FC">
      <w:pPr>
        <w:spacing w:after="0" w:line="240" w:lineRule="auto"/>
        <w:rPr>
          <w:rFonts w:eastAsia="Times New Roman" w:cstheme="minorHAnsi"/>
          <w:kern w:val="0"/>
          <w:sz w:val="28"/>
          <w:szCs w:val="28"/>
          <w:lang w:eastAsia="en-IN"/>
          <w14:ligatures w14:val="none"/>
        </w:rPr>
      </w:pPr>
      <w:r w:rsidRPr="00C81122">
        <w:rPr>
          <w:rFonts w:eastAsia="Times New Roman" w:cstheme="minorHAnsi"/>
          <w:kern w:val="0"/>
          <w:sz w:val="28"/>
          <w:szCs w:val="28"/>
          <w:lang w:eastAsia="en-IN"/>
          <w14:ligatures w14:val="none"/>
        </w:rPr>
        <w:t>When evaluating investment and commercial decisions, financial analysts take it into account in addition to relevant data.</w:t>
      </w:r>
    </w:p>
    <w:p w14:paraId="45C0203F" w14:textId="3A5D48AD" w:rsidR="009C1297" w:rsidRPr="009D2A2B" w:rsidRDefault="000C09FC" w:rsidP="000C09FC">
      <w:pPr>
        <w:spacing w:after="0" w:line="240" w:lineRule="auto"/>
        <w:rPr>
          <w:rFonts w:eastAsia="Times New Roman" w:cstheme="minorHAnsi"/>
          <w:b/>
          <w:bCs/>
          <w:kern w:val="0"/>
          <w:sz w:val="28"/>
          <w:szCs w:val="28"/>
          <w:lang w:eastAsia="en-IN"/>
          <w14:ligatures w14:val="none"/>
        </w:rPr>
      </w:pPr>
      <w:r w:rsidRPr="00C81122">
        <w:rPr>
          <w:rFonts w:eastAsia="Times New Roman" w:cstheme="minorHAnsi"/>
          <w:kern w:val="0"/>
          <w:sz w:val="28"/>
          <w:szCs w:val="28"/>
          <w:lang w:eastAsia="en-IN"/>
          <w14:ligatures w14:val="none"/>
        </w:rPr>
        <w:t>To understand historical performance, investors typically use CAGR retroactively. But investors may use growth rate—along with other financial metrics—to forecast returns in the future if an investment has a comparatively steady growth rate. That being said, CAGR may be deceptive. Only a "smoothed" rate of return is displayed by these growth rates; the actual history of the investments' highs and lows is not reflected in them.</w:t>
      </w:r>
      <w:r w:rsidR="009D2A2B" w:rsidRPr="009D2A2B">
        <w:t xml:space="preserve"> </w:t>
      </w:r>
      <w:r w:rsidR="009D2A2B" w:rsidRPr="009D2A2B">
        <w:rPr>
          <w:rFonts w:eastAsia="Times New Roman" w:cstheme="minorHAnsi"/>
          <w:b/>
          <w:bCs/>
          <w:kern w:val="0"/>
          <w:sz w:val="28"/>
          <w:szCs w:val="28"/>
          <w:lang w:eastAsia="en-IN"/>
          <w14:ligatures w14:val="none"/>
        </w:rPr>
        <w:t>(Girardin, 2022a)</w:t>
      </w:r>
    </w:p>
    <w:p w14:paraId="67D01381" w14:textId="77777777" w:rsidR="009C1297" w:rsidRPr="00C81122" w:rsidRDefault="009C1297" w:rsidP="004250AA">
      <w:pPr>
        <w:rPr>
          <w:rFonts w:cstheme="minorHAnsi"/>
          <w:b/>
          <w:bCs/>
          <w:sz w:val="28"/>
          <w:szCs w:val="28"/>
        </w:rPr>
      </w:pPr>
    </w:p>
    <w:p w14:paraId="2FD3A6C2" w14:textId="5B7CEC1D" w:rsidR="009C1297" w:rsidRDefault="00732A95" w:rsidP="004250AA">
      <w:pPr>
        <w:rPr>
          <w:b/>
          <w:bCs/>
          <w:sz w:val="28"/>
          <w:szCs w:val="28"/>
        </w:rPr>
      </w:pPr>
      <w:r>
        <w:rPr>
          <w:b/>
          <w:bCs/>
          <w:sz w:val="28"/>
          <w:szCs w:val="28"/>
        </w:rPr>
        <w:t xml:space="preserve">FORMULA </w:t>
      </w:r>
    </w:p>
    <w:p w14:paraId="22343DBF" w14:textId="77777777" w:rsidR="00732A95" w:rsidRDefault="00732A95" w:rsidP="004250AA">
      <w:pPr>
        <w:rPr>
          <w:b/>
          <w:bCs/>
          <w:sz w:val="28"/>
          <w:szCs w:val="28"/>
        </w:rPr>
      </w:pPr>
    </w:p>
    <w:p w14:paraId="08CCD49B" w14:textId="77777777" w:rsidR="00732A95" w:rsidRPr="00AA13E1" w:rsidRDefault="00732A95" w:rsidP="00732A95">
      <w:pPr>
        <w:shd w:val="clear" w:color="auto" w:fill="FFFFFF"/>
        <w:spacing w:after="0" w:line="240" w:lineRule="auto"/>
        <w:rPr>
          <w:rStyle w:val="mord"/>
          <w:b/>
          <w:bCs/>
          <w:color w:val="111111"/>
          <w:spacing w:val="1"/>
          <w:sz w:val="26"/>
          <w:szCs w:val="26"/>
          <w:shd w:val="clear" w:color="auto" w:fill="FFFFFF"/>
        </w:rPr>
      </w:pPr>
      <w:r w:rsidRPr="00AA13E1">
        <w:rPr>
          <w:rStyle w:val="mord"/>
          <w:rFonts w:ascii="KaTeX_Math" w:hAnsi="KaTeX_Math"/>
          <w:b/>
          <w:bCs/>
          <w:i/>
          <w:iCs/>
          <w:color w:val="111111"/>
          <w:spacing w:val="1"/>
          <w:sz w:val="26"/>
          <w:szCs w:val="26"/>
          <w:shd w:val="clear" w:color="auto" w:fill="FFFFFF"/>
        </w:rPr>
        <w:t>CAGR</w:t>
      </w:r>
      <w:r w:rsidRPr="00AA13E1">
        <w:rPr>
          <w:rStyle w:val="mrel"/>
          <w:b/>
          <w:bCs/>
          <w:color w:val="111111"/>
          <w:spacing w:val="1"/>
          <w:sz w:val="26"/>
          <w:szCs w:val="26"/>
          <w:shd w:val="clear" w:color="auto" w:fill="FFFFFF"/>
        </w:rPr>
        <w:t>=</w:t>
      </w:r>
      <w:r w:rsidRPr="00AA13E1">
        <w:rPr>
          <w:rStyle w:val="delimsizing"/>
          <w:rFonts w:ascii="KaTeX_Size4" w:hAnsi="KaTeX_Size4"/>
          <w:b/>
          <w:bCs/>
          <w:color w:val="111111"/>
          <w:spacing w:val="1"/>
          <w:sz w:val="26"/>
          <w:szCs w:val="26"/>
          <w:shd w:val="clear" w:color="auto" w:fill="FFFFFF"/>
        </w:rPr>
        <w:t>(</w:t>
      </w:r>
      <w:r w:rsidRPr="00AA13E1">
        <w:rPr>
          <w:rStyle w:val="delimsizing"/>
          <w:rFonts w:ascii="KaTeX_Size3" w:hAnsi="KaTeX_Size3"/>
          <w:b/>
          <w:bCs/>
          <w:color w:val="111111"/>
          <w:spacing w:val="1"/>
          <w:sz w:val="26"/>
          <w:szCs w:val="26"/>
          <w:shd w:val="clear" w:color="auto" w:fill="FFFFFF"/>
        </w:rPr>
        <w:t>(</w:t>
      </w:r>
      <w:r w:rsidRPr="00AA13E1">
        <w:rPr>
          <w:rStyle w:val="mord"/>
          <w:rFonts w:ascii="KaTeX_Math" w:hAnsi="KaTeX_Math"/>
          <w:b/>
          <w:bCs/>
          <w:i/>
          <w:iCs/>
          <w:color w:val="111111"/>
          <w:spacing w:val="1"/>
          <w:sz w:val="26"/>
          <w:szCs w:val="26"/>
          <w:shd w:val="clear" w:color="auto" w:fill="FFFFFF"/>
        </w:rPr>
        <w:t>BVEV</w:t>
      </w:r>
      <w:r w:rsidRPr="00AA13E1">
        <w:rPr>
          <w:rStyle w:val="vlist-s"/>
          <w:rFonts w:ascii="Arial" w:hAnsi="Arial" w:cs="Arial"/>
          <w:b/>
          <w:bCs/>
          <w:color w:val="111111"/>
          <w:spacing w:val="1"/>
          <w:sz w:val="26"/>
          <w:szCs w:val="26"/>
          <w:shd w:val="clear" w:color="auto" w:fill="FFFFFF"/>
        </w:rPr>
        <w:t>​</w:t>
      </w:r>
      <w:r w:rsidRPr="00AA13E1">
        <w:rPr>
          <w:rStyle w:val="delimsizing"/>
          <w:rFonts w:ascii="KaTeX_Size3" w:hAnsi="KaTeX_Size3"/>
          <w:b/>
          <w:bCs/>
          <w:color w:val="111111"/>
          <w:spacing w:val="1"/>
          <w:sz w:val="26"/>
          <w:szCs w:val="26"/>
          <w:shd w:val="clear" w:color="auto" w:fill="FFFFFF"/>
        </w:rPr>
        <w:t>)</w:t>
      </w:r>
      <w:r w:rsidRPr="00AA13E1">
        <w:rPr>
          <w:rStyle w:val="mord"/>
          <w:rFonts w:ascii="KaTeX_Math" w:hAnsi="KaTeX_Math"/>
          <w:b/>
          <w:bCs/>
          <w:i/>
          <w:iCs/>
          <w:color w:val="111111"/>
          <w:spacing w:val="1"/>
          <w:sz w:val="26"/>
          <w:szCs w:val="26"/>
          <w:shd w:val="clear" w:color="auto" w:fill="FFFFFF"/>
        </w:rPr>
        <w:t>n</w:t>
      </w:r>
      <w:r w:rsidRPr="00AA13E1">
        <w:rPr>
          <w:rStyle w:val="mord"/>
          <w:b/>
          <w:bCs/>
          <w:color w:val="111111"/>
          <w:spacing w:val="1"/>
          <w:sz w:val="26"/>
          <w:szCs w:val="26"/>
          <w:shd w:val="clear" w:color="auto" w:fill="FFFFFF"/>
        </w:rPr>
        <w:t>1</w:t>
      </w:r>
      <w:r w:rsidRPr="00AA13E1">
        <w:rPr>
          <w:rStyle w:val="vlist-s"/>
          <w:rFonts w:ascii="Arial" w:hAnsi="Arial" w:cs="Arial"/>
          <w:b/>
          <w:bCs/>
          <w:color w:val="111111"/>
          <w:spacing w:val="1"/>
          <w:sz w:val="26"/>
          <w:szCs w:val="26"/>
          <w:shd w:val="clear" w:color="auto" w:fill="FFFFFF"/>
        </w:rPr>
        <w:t>​</w:t>
      </w:r>
      <w:r w:rsidRPr="00AA13E1">
        <w:rPr>
          <w:rStyle w:val="mbin"/>
          <w:b/>
          <w:bCs/>
          <w:color w:val="111111"/>
          <w:spacing w:val="1"/>
          <w:sz w:val="26"/>
          <w:szCs w:val="26"/>
          <w:shd w:val="clear" w:color="auto" w:fill="FFFFFF"/>
        </w:rPr>
        <w:t>−</w:t>
      </w:r>
      <w:r w:rsidRPr="00AA13E1">
        <w:rPr>
          <w:rStyle w:val="mord"/>
          <w:b/>
          <w:bCs/>
          <w:color w:val="111111"/>
          <w:spacing w:val="1"/>
          <w:sz w:val="26"/>
          <w:szCs w:val="26"/>
          <w:shd w:val="clear" w:color="auto" w:fill="FFFFFF"/>
        </w:rPr>
        <w:t>1</w:t>
      </w:r>
      <w:r w:rsidRPr="00AA13E1">
        <w:rPr>
          <w:rStyle w:val="delimsizing"/>
          <w:rFonts w:ascii="KaTeX_Size4" w:hAnsi="KaTeX_Size4"/>
          <w:b/>
          <w:bCs/>
          <w:color w:val="111111"/>
          <w:spacing w:val="1"/>
          <w:sz w:val="26"/>
          <w:szCs w:val="26"/>
          <w:shd w:val="clear" w:color="auto" w:fill="FFFFFF"/>
        </w:rPr>
        <w:t>)</w:t>
      </w:r>
      <w:r w:rsidRPr="00AA13E1">
        <w:rPr>
          <w:rStyle w:val="mbin"/>
          <w:b/>
          <w:bCs/>
          <w:color w:val="111111"/>
          <w:spacing w:val="1"/>
          <w:sz w:val="26"/>
          <w:szCs w:val="26"/>
          <w:shd w:val="clear" w:color="auto" w:fill="FFFFFF"/>
        </w:rPr>
        <w:t>×</w:t>
      </w:r>
      <w:r w:rsidRPr="00AA13E1">
        <w:rPr>
          <w:rStyle w:val="mord"/>
          <w:b/>
          <w:bCs/>
          <w:color w:val="111111"/>
          <w:spacing w:val="1"/>
          <w:sz w:val="26"/>
          <w:szCs w:val="26"/>
          <w:shd w:val="clear" w:color="auto" w:fill="FFFFFF"/>
        </w:rPr>
        <w:t>100</w:t>
      </w:r>
    </w:p>
    <w:p w14:paraId="0C71E78D" w14:textId="77777777" w:rsidR="00732A95" w:rsidRDefault="00732A95" w:rsidP="004250AA">
      <w:pPr>
        <w:rPr>
          <w:b/>
          <w:bCs/>
          <w:sz w:val="28"/>
          <w:szCs w:val="28"/>
        </w:rPr>
      </w:pPr>
    </w:p>
    <w:p w14:paraId="635C3047" w14:textId="5354E647" w:rsidR="00732A95" w:rsidRDefault="00732A95" w:rsidP="004250AA">
      <w:pPr>
        <w:rPr>
          <w:b/>
          <w:bCs/>
          <w:sz w:val="28"/>
          <w:szCs w:val="28"/>
        </w:rPr>
      </w:pPr>
      <w:r>
        <w:rPr>
          <w:b/>
          <w:bCs/>
          <w:sz w:val="28"/>
          <w:szCs w:val="28"/>
        </w:rPr>
        <w:t>CAGR GRAPH</w:t>
      </w:r>
    </w:p>
    <w:p w14:paraId="4EDA6F43" w14:textId="6B448764" w:rsidR="008A33F9" w:rsidRPr="008A33F9" w:rsidRDefault="008A33F9" w:rsidP="0028074B">
      <w:pPr>
        <w:rPr>
          <w:sz w:val="28"/>
          <w:szCs w:val="28"/>
        </w:rPr>
      </w:pPr>
      <w:r w:rsidRPr="008A33F9">
        <w:rPr>
          <w:b/>
          <w:bCs/>
          <w:sz w:val="28"/>
          <w:szCs w:val="28"/>
        </w:rPr>
        <w:tab/>
      </w:r>
      <w:r w:rsidR="00130C41">
        <w:rPr>
          <w:b/>
          <w:bCs/>
          <w:sz w:val="28"/>
          <w:szCs w:val="28"/>
        </w:rPr>
        <w:t>FIGURE 2</w:t>
      </w:r>
    </w:p>
    <w:p w14:paraId="55600B3E" w14:textId="621F2BC8" w:rsidR="00732A95" w:rsidRDefault="00732A95" w:rsidP="004250AA">
      <w:pPr>
        <w:rPr>
          <w:b/>
          <w:bCs/>
          <w:sz w:val="28"/>
          <w:szCs w:val="28"/>
        </w:rPr>
      </w:pPr>
      <w:r>
        <w:rPr>
          <w:b/>
          <w:bCs/>
          <w:noProof/>
          <w:sz w:val="28"/>
          <w:szCs w:val="28"/>
        </w:rPr>
        <w:drawing>
          <wp:inline distT="0" distB="0" distL="0" distR="0" wp14:anchorId="60DF832D" wp14:editId="38A08CE9">
            <wp:extent cx="4883727" cy="3096491"/>
            <wp:effectExtent l="0" t="0" r="12700" b="8890"/>
            <wp:docPr id="207460945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84EBA5" w14:textId="77777777" w:rsidR="007C1CA8" w:rsidRDefault="007C1CA8" w:rsidP="004250AA">
      <w:pPr>
        <w:rPr>
          <w:b/>
          <w:bCs/>
          <w:sz w:val="28"/>
          <w:szCs w:val="28"/>
        </w:rPr>
      </w:pPr>
    </w:p>
    <w:p w14:paraId="1AB29D83" w14:textId="77777777" w:rsidR="007C1CA8" w:rsidRDefault="007C1CA8" w:rsidP="004250AA">
      <w:pPr>
        <w:rPr>
          <w:b/>
          <w:bCs/>
          <w:sz w:val="28"/>
          <w:szCs w:val="28"/>
        </w:rPr>
      </w:pPr>
    </w:p>
    <w:p w14:paraId="3D1EDAFB" w14:textId="4CC60230" w:rsidR="007C1CA8" w:rsidRPr="00942724" w:rsidRDefault="00A24E95" w:rsidP="004250AA">
      <w:pPr>
        <w:rPr>
          <w:b/>
          <w:bCs/>
          <w:sz w:val="28"/>
          <w:szCs w:val="28"/>
        </w:rPr>
      </w:pPr>
      <w:bookmarkStart w:id="0" w:name="_Hlk165374030"/>
      <w:r>
        <w:rPr>
          <w:b/>
          <w:bCs/>
          <w:sz w:val="28"/>
          <w:szCs w:val="28"/>
        </w:rPr>
        <w:lastRenderedPageBreak/>
        <w:t>(3)</w:t>
      </w:r>
      <w:r w:rsidR="007C1CA8" w:rsidRPr="00942724">
        <w:rPr>
          <w:b/>
          <w:bCs/>
          <w:sz w:val="28"/>
          <w:szCs w:val="28"/>
        </w:rPr>
        <w:t>SHARP RATIO</w:t>
      </w:r>
    </w:p>
    <w:bookmarkEnd w:id="0"/>
    <w:p w14:paraId="24CCEC23" w14:textId="4D09AA60" w:rsidR="007C1CA8" w:rsidRPr="009D2A2B" w:rsidRDefault="007C1CA8" w:rsidP="007C1CA8">
      <w:pPr>
        <w:spacing w:after="0" w:line="240" w:lineRule="auto"/>
        <w:rPr>
          <w:rFonts w:ascii="Times New Roman" w:eastAsia="Times New Roman" w:hAnsi="Times New Roman" w:cs="Times New Roman"/>
          <w:b/>
          <w:bCs/>
          <w:kern w:val="0"/>
          <w:sz w:val="28"/>
          <w:szCs w:val="28"/>
          <w:lang w:eastAsia="en-IN"/>
          <w14:ligatures w14:val="none"/>
        </w:rPr>
      </w:pPr>
      <w:r w:rsidRPr="00315308">
        <w:rPr>
          <w:rFonts w:ascii="Times New Roman" w:eastAsia="Times New Roman" w:hAnsi="Times New Roman" w:cs="Times New Roman"/>
          <w:kern w:val="0"/>
          <w:sz w:val="28"/>
          <w:szCs w:val="28"/>
          <w:lang w:eastAsia="en-IN"/>
          <w14:ligatures w14:val="none"/>
        </w:rPr>
        <w:t xml:space="preserve">Often used to assess an investment's performance after controlling for risk, the Sharpe Ratio (also known as the Sharpe Index or the Modified Sharpe Ratio) bears the name of American economist William Sharpe. </w:t>
      </w:r>
      <w:r w:rsidRPr="00315308">
        <w:rPr>
          <w:rFonts w:ascii="Times New Roman" w:eastAsia="Times New Roman" w:hAnsi="Times New Roman" w:cs="Times New Roman"/>
          <w:kern w:val="0"/>
          <w:sz w:val="28"/>
          <w:szCs w:val="28"/>
          <w:lang w:eastAsia="en-IN"/>
          <w14:ligatures w14:val="none"/>
        </w:rPr>
        <w:br/>
      </w:r>
      <w:r w:rsidRPr="00315308">
        <w:rPr>
          <w:rFonts w:ascii="Times New Roman" w:eastAsia="Times New Roman" w:hAnsi="Times New Roman" w:cs="Times New Roman"/>
          <w:kern w:val="0"/>
          <w:sz w:val="28"/>
          <w:szCs w:val="28"/>
          <w:lang w:eastAsia="en-IN"/>
          <w14:ligatures w14:val="none"/>
        </w:rPr>
        <w:br/>
        <w:t>A higher ratio indicates a better investment since it shows the relationship between the investment return and the level of risk assumed. The ratio can be used to assess a portfolio as a whole or just one stock or investment.</w:t>
      </w:r>
      <w:r w:rsidR="009E4913" w:rsidRPr="00315308">
        <w:rPr>
          <w:sz w:val="28"/>
          <w:szCs w:val="28"/>
        </w:rPr>
        <w:t xml:space="preserve"> </w:t>
      </w:r>
      <w:r w:rsidR="009E4913" w:rsidRPr="009D2A2B">
        <w:rPr>
          <w:rFonts w:ascii="Times New Roman" w:eastAsia="Times New Roman" w:hAnsi="Times New Roman" w:cs="Times New Roman"/>
          <w:b/>
          <w:bCs/>
          <w:kern w:val="0"/>
          <w:sz w:val="28"/>
          <w:szCs w:val="28"/>
          <w:lang w:eastAsia="en-IN"/>
          <w14:ligatures w14:val="none"/>
        </w:rPr>
        <w:t>(CFI Team, n.d.)</w:t>
      </w:r>
    </w:p>
    <w:p w14:paraId="35AD2DFA" w14:textId="77777777" w:rsidR="007C1CA8" w:rsidRPr="00315308" w:rsidRDefault="007C1CA8" w:rsidP="007C1CA8">
      <w:pPr>
        <w:spacing w:after="0" w:line="240" w:lineRule="auto"/>
        <w:rPr>
          <w:rFonts w:ascii="Times New Roman" w:eastAsia="Times New Roman" w:hAnsi="Times New Roman" w:cs="Times New Roman"/>
          <w:kern w:val="0"/>
          <w:sz w:val="28"/>
          <w:szCs w:val="28"/>
          <w:lang w:eastAsia="en-IN"/>
          <w14:ligatures w14:val="none"/>
        </w:rPr>
      </w:pPr>
    </w:p>
    <w:p w14:paraId="0300D29C" w14:textId="77777777" w:rsidR="00315308" w:rsidRPr="00315308" w:rsidRDefault="00315308" w:rsidP="00315308">
      <w:pPr>
        <w:spacing w:after="0" w:line="240" w:lineRule="auto"/>
        <w:rPr>
          <w:rFonts w:ascii="Times New Roman" w:eastAsia="Times New Roman" w:hAnsi="Times New Roman" w:cs="Times New Roman"/>
          <w:kern w:val="0"/>
          <w:sz w:val="28"/>
          <w:szCs w:val="28"/>
          <w:lang w:eastAsia="en-IN"/>
          <w14:ligatures w14:val="none"/>
        </w:rPr>
      </w:pPr>
      <w:r w:rsidRPr="00315308">
        <w:rPr>
          <w:rFonts w:ascii="Times New Roman" w:eastAsia="Times New Roman" w:hAnsi="Times New Roman" w:cs="Times New Roman"/>
          <w:kern w:val="0"/>
          <w:sz w:val="28"/>
          <w:szCs w:val="28"/>
          <w:lang w:eastAsia="en-IN"/>
          <w14:ligatures w14:val="none"/>
        </w:rPr>
        <w:t>The difference between the risk-free return and an investment's return divided by the standard deviation of the investment is known as the Sharpe Ratio.</w:t>
      </w:r>
    </w:p>
    <w:p w14:paraId="519C4CFD" w14:textId="77777777" w:rsidR="00315308" w:rsidRPr="00315308" w:rsidRDefault="00315308" w:rsidP="00315308">
      <w:pPr>
        <w:spacing w:after="0" w:line="240" w:lineRule="auto"/>
        <w:rPr>
          <w:rFonts w:ascii="Times New Roman" w:eastAsia="Times New Roman" w:hAnsi="Times New Roman" w:cs="Times New Roman"/>
          <w:kern w:val="0"/>
          <w:sz w:val="28"/>
          <w:szCs w:val="28"/>
          <w:lang w:eastAsia="en-IN"/>
          <w14:ligatures w14:val="none"/>
        </w:rPr>
      </w:pPr>
      <w:r w:rsidRPr="00315308">
        <w:rPr>
          <w:rFonts w:ascii="Times New Roman" w:eastAsia="Times New Roman" w:hAnsi="Times New Roman" w:cs="Times New Roman"/>
          <w:kern w:val="0"/>
          <w:sz w:val="28"/>
          <w:szCs w:val="28"/>
          <w:lang w:eastAsia="en-IN"/>
          <w14:ligatures w14:val="none"/>
        </w:rPr>
        <w:t>Put simply, the Sharpe Ratio corrects performance for the excess risk an investor has taken. Nevertheless, the investor may assess whether the investment matches the Sharpe Ratio with his needs.</w:t>
      </w:r>
    </w:p>
    <w:p w14:paraId="74426717" w14:textId="72614EE3" w:rsidR="00315308" w:rsidRPr="00315308" w:rsidRDefault="00315308" w:rsidP="00315308">
      <w:pPr>
        <w:spacing w:after="0" w:line="240" w:lineRule="auto"/>
        <w:rPr>
          <w:rFonts w:ascii="Times New Roman" w:eastAsia="Times New Roman" w:hAnsi="Times New Roman" w:cs="Times New Roman"/>
          <w:kern w:val="0"/>
          <w:sz w:val="28"/>
          <w:szCs w:val="28"/>
          <w:lang w:eastAsia="en-IN"/>
          <w14:ligatures w14:val="none"/>
        </w:rPr>
      </w:pPr>
      <w:r w:rsidRPr="00315308">
        <w:rPr>
          <w:rFonts w:ascii="Times New Roman" w:eastAsia="Times New Roman" w:hAnsi="Times New Roman" w:cs="Times New Roman"/>
          <w:kern w:val="0"/>
          <w:sz w:val="28"/>
          <w:szCs w:val="28"/>
          <w:lang w:eastAsia="en-IN"/>
          <w14:ligatures w14:val="none"/>
        </w:rPr>
        <w:t xml:space="preserve">The Sharpe Ratio is another tool for evaluating a share's performance in relation to risk. To assist an </w:t>
      </w:r>
      <w:r w:rsidR="002F3D18" w:rsidRPr="00315308">
        <w:rPr>
          <w:rFonts w:ascii="Times New Roman" w:eastAsia="Times New Roman" w:hAnsi="Times New Roman" w:cs="Times New Roman"/>
          <w:kern w:val="0"/>
          <w:sz w:val="28"/>
          <w:szCs w:val="28"/>
          <w:lang w:eastAsia="en-IN"/>
          <w14:ligatures w14:val="none"/>
        </w:rPr>
        <w:t>investor,</w:t>
      </w:r>
      <w:r w:rsidRPr="00315308">
        <w:rPr>
          <w:rFonts w:ascii="Times New Roman" w:eastAsia="Times New Roman" w:hAnsi="Times New Roman" w:cs="Times New Roman"/>
          <w:kern w:val="0"/>
          <w:sz w:val="28"/>
          <w:szCs w:val="28"/>
          <w:lang w:eastAsia="en-IN"/>
          <w14:ligatures w14:val="none"/>
        </w:rPr>
        <w:t xml:space="preserve"> understand how well he would be paid, it can compare two different funds with the same risk and returns.</w:t>
      </w:r>
    </w:p>
    <w:p w14:paraId="6A7021BE" w14:textId="3279E4C1" w:rsidR="00315308" w:rsidRPr="00315308" w:rsidRDefault="00315308" w:rsidP="00315308">
      <w:pPr>
        <w:spacing w:after="0" w:line="240" w:lineRule="auto"/>
        <w:rPr>
          <w:rFonts w:ascii="Times New Roman" w:eastAsia="Times New Roman" w:hAnsi="Times New Roman" w:cs="Times New Roman"/>
          <w:kern w:val="0"/>
          <w:sz w:val="28"/>
          <w:szCs w:val="28"/>
          <w:lang w:eastAsia="en-IN"/>
          <w14:ligatures w14:val="none"/>
        </w:rPr>
      </w:pPr>
      <w:r w:rsidRPr="00315308">
        <w:rPr>
          <w:rFonts w:ascii="Times New Roman" w:eastAsia="Times New Roman" w:hAnsi="Times New Roman" w:cs="Times New Roman"/>
          <w:kern w:val="0"/>
          <w:sz w:val="28"/>
          <w:szCs w:val="28"/>
          <w:lang w:eastAsia="en-IN"/>
          <w14:ligatures w14:val="none"/>
        </w:rPr>
        <w:t>Greater returns from an investment at a higher level correspond with a higher Sharpe Ratio. As a result, investors seeking greater returns will put their money into funds carrying a larger risk.</w:t>
      </w:r>
    </w:p>
    <w:p w14:paraId="03F4E74C" w14:textId="136FD94B" w:rsidR="007C1CA8" w:rsidRDefault="007C1CA8" w:rsidP="007C1CA8">
      <w:pPr>
        <w:spacing w:after="0" w:line="240" w:lineRule="auto"/>
        <w:rPr>
          <w:rStyle w:val="formula"/>
          <w:rFonts w:ascii="Open Sans" w:hAnsi="Open Sans" w:cs="Open Sans"/>
          <w:b/>
          <w:bCs/>
          <w:color w:val="57595D"/>
          <w:sz w:val="27"/>
          <w:szCs w:val="27"/>
          <w:shd w:val="clear" w:color="auto" w:fill="FFFFFF"/>
        </w:rPr>
      </w:pPr>
      <w:r>
        <w:rPr>
          <w:rStyle w:val="formula"/>
          <w:rFonts w:ascii="Open Sans" w:hAnsi="Open Sans" w:cs="Open Sans"/>
          <w:b/>
          <w:bCs/>
          <w:color w:val="57595D"/>
          <w:sz w:val="27"/>
          <w:szCs w:val="27"/>
          <w:shd w:val="clear" w:color="auto" w:fill="FFFFFF"/>
        </w:rPr>
        <w:t>Sharpe Ratio = (Rx – Rf) / Std</w:t>
      </w:r>
      <w:r w:rsidR="00E70953">
        <w:rPr>
          <w:rStyle w:val="formula"/>
          <w:rFonts w:ascii="Open Sans" w:hAnsi="Open Sans" w:cs="Open Sans"/>
          <w:b/>
          <w:bCs/>
          <w:color w:val="57595D"/>
          <w:sz w:val="27"/>
          <w:szCs w:val="27"/>
          <w:shd w:val="clear" w:color="auto" w:fill="FFFFFF"/>
        </w:rPr>
        <w:t xml:space="preserve"> </w:t>
      </w:r>
      <w:proofErr w:type="spellStart"/>
      <w:r>
        <w:rPr>
          <w:rStyle w:val="formula"/>
          <w:rFonts w:ascii="Open Sans" w:hAnsi="Open Sans" w:cs="Open Sans"/>
          <w:b/>
          <w:bCs/>
          <w:color w:val="57595D"/>
          <w:sz w:val="27"/>
          <w:szCs w:val="27"/>
          <w:shd w:val="clear" w:color="auto" w:fill="FFFFFF"/>
        </w:rPr>
        <w:t>De</w:t>
      </w:r>
      <w:r w:rsidR="00B26F57">
        <w:rPr>
          <w:rStyle w:val="formula"/>
          <w:rFonts w:ascii="Open Sans" w:hAnsi="Open Sans" w:cs="Open Sans"/>
          <w:b/>
          <w:bCs/>
          <w:color w:val="57595D"/>
          <w:sz w:val="27"/>
          <w:szCs w:val="27"/>
          <w:shd w:val="clear" w:color="auto" w:fill="FFFFFF"/>
        </w:rPr>
        <w:t>T</w:t>
      </w:r>
      <w:proofErr w:type="spellEnd"/>
    </w:p>
    <w:p w14:paraId="4F747A03" w14:textId="77777777" w:rsidR="002F3D18" w:rsidRDefault="002F3D18" w:rsidP="007C1CA8">
      <w:pPr>
        <w:spacing w:after="0" w:line="240" w:lineRule="auto"/>
        <w:rPr>
          <w:rStyle w:val="formula"/>
          <w:rFonts w:ascii="Open Sans" w:hAnsi="Open Sans" w:cs="Open Sans"/>
          <w:b/>
          <w:bCs/>
          <w:color w:val="57595D"/>
          <w:sz w:val="27"/>
          <w:szCs w:val="27"/>
          <w:shd w:val="clear" w:color="auto" w:fill="FFFFFF"/>
        </w:rPr>
      </w:pPr>
    </w:p>
    <w:p w14:paraId="3EDFCC1A" w14:textId="75F5D62B" w:rsidR="00B26F57" w:rsidRDefault="00130C41" w:rsidP="007C1CA8">
      <w:pPr>
        <w:spacing w:after="0" w:line="240" w:lineRule="auto"/>
        <w:rPr>
          <w:rStyle w:val="formula"/>
          <w:rFonts w:ascii="Open Sans" w:hAnsi="Open Sans" w:cs="Open Sans"/>
          <w:b/>
          <w:bCs/>
          <w:color w:val="57595D"/>
          <w:sz w:val="27"/>
          <w:szCs w:val="27"/>
          <w:shd w:val="clear" w:color="auto" w:fill="FFFFFF"/>
        </w:rPr>
      </w:pPr>
      <w:r>
        <w:rPr>
          <w:rStyle w:val="formula"/>
          <w:rFonts w:ascii="Open Sans" w:hAnsi="Open Sans" w:cs="Open Sans"/>
          <w:b/>
          <w:bCs/>
          <w:color w:val="57595D"/>
          <w:sz w:val="27"/>
          <w:szCs w:val="27"/>
          <w:shd w:val="clear" w:color="auto" w:fill="FFFFFF"/>
        </w:rPr>
        <w:t>FIGURE 3</w:t>
      </w:r>
    </w:p>
    <w:p w14:paraId="19CF115E"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35FB4A67" w14:textId="45DD2C3E" w:rsidR="002F3D18" w:rsidRDefault="002F3D18" w:rsidP="007C1CA8">
      <w:pPr>
        <w:spacing w:after="0" w:line="240" w:lineRule="auto"/>
        <w:rPr>
          <w:rStyle w:val="formula"/>
          <w:rFonts w:ascii="Open Sans" w:hAnsi="Open Sans" w:cs="Open Sans"/>
          <w:b/>
          <w:bCs/>
          <w:color w:val="57595D"/>
          <w:sz w:val="27"/>
          <w:szCs w:val="27"/>
          <w:shd w:val="clear" w:color="auto" w:fill="FFFFFF"/>
        </w:rPr>
      </w:pPr>
      <w:r>
        <w:rPr>
          <w:rFonts w:ascii="Open Sans" w:hAnsi="Open Sans" w:cs="Open Sans"/>
          <w:b/>
          <w:bCs/>
          <w:noProof/>
          <w:color w:val="57595D"/>
          <w:sz w:val="27"/>
          <w:szCs w:val="27"/>
          <w:shd w:val="clear" w:color="auto" w:fill="FFFFFF"/>
        </w:rPr>
        <w:drawing>
          <wp:inline distT="0" distB="0" distL="0" distR="0" wp14:anchorId="50F72096" wp14:editId="1B8922E9">
            <wp:extent cx="5173980" cy="3208020"/>
            <wp:effectExtent l="0" t="0" r="7620" b="11430"/>
            <wp:docPr id="10884299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364CE4" w14:textId="77777777" w:rsidR="002F3D18" w:rsidRDefault="002F3D18" w:rsidP="007C1CA8">
      <w:pPr>
        <w:spacing w:after="0" w:line="240" w:lineRule="auto"/>
        <w:rPr>
          <w:rStyle w:val="formula"/>
          <w:rFonts w:ascii="Open Sans" w:hAnsi="Open Sans" w:cs="Open Sans"/>
          <w:b/>
          <w:bCs/>
          <w:color w:val="57595D"/>
          <w:sz w:val="27"/>
          <w:szCs w:val="27"/>
          <w:shd w:val="clear" w:color="auto" w:fill="FFFFFF"/>
        </w:rPr>
      </w:pPr>
    </w:p>
    <w:p w14:paraId="01CCC392" w14:textId="77777777" w:rsidR="002F3D18" w:rsidRDefault="002F3D18" w:rsidP="007C1CA8">
      <w:pPr>
        <w:spacing w:after="0" w:line="240" w:lineRule="auto"/>
        <w:rPr>
          <w:rStyle w:val="formula"/>
          <w:rFonts w:ascii="Open Sans" w:hAnsi="Open Sans" w:cs="Open Sans"/>
          <w:b/>
          <w:bCs/>
          <w:color w:val="57595D"/>
          <w:sz w:val="27"/>
          <w:szCs w:val="27"/>
          <w:shd w:val="clear" w:color="auto" w:fill="FFFFFF"/>
        </w:rPr>
      </w:pPr>
    </w:p>
    <w:p w14:paraId="332B2EFB" w14:textId="77777777" w:rsidR="00B26F57" w:rsidRDefault="00B26F57" w:rsidP="007C1CA8">
      <w:pPr>
        <w:spacing w:after="0" w:line="240" w:lineRule="auto"/>
        <w:rPr>
          <w:rStyle w:val="formula"/>
          <w:rFonts w:ascii="Open Sans" w:hAnsi="Open Sans" w:cs="Open Sans"/>
          <w:b/>
          <w:bCs/>
          <w:color w:val="57595D"/>
          <w:sz w:val="27"/>
          <w:szCs w:val="27"/>
          <w:shd w:val="clear" w:color="auto" w:fill="FFFFFF"/>
        </w:rPr>
      </w:pPr>
    </w:p>
    <w:p w14:paraId="5657F9FA" w14:textId="1E347A77" w:rsidR="00B26F57" w:rsidRPr="00130C41" w:rsidRDefault="00B26F57" w:rsidP="00130C41">
      <w:pPr>
        <w:pStyle w:val="ListParagraph"/>
        <w:numPr>
          <w:ilvl w:val="0"/>
          <w:numId w:val="3"/>
        </w:numPr>
        <w:spacing w:after="0" w:line="240" w:lineRule="auto"/>
        <w:rPr>
          <w:rStyle w:val="formula"/>
          <w:rFonts w:ascii="Open Sans" w:hAnsi="Open Sans" w:cs="Open Sans"/>
          <w:b/>
          <w:bCs/>
          <w:color w:val="57595D"/>
          <w:sz w:val="28"/>
          <w:szCs w:val="28"/>
          <w:shd w:val="clear" w:color="auto" w:fill="FFFFFF"/>
        </w:rPr>
      </w:pPr>
      <w:r w:rsidRPr="00130C41">
        <w:rPr>
          <w:rStyle w:val="formula"/>
          <w:rFonts w:ascii="Open Sans" w:hAnsi="Open Sans" w:cs="Open Sans"/>
          <w:b/>
          <w:bCs/>
          <w:color w:val="57595D"/>
          <w:sz w:val="28"/>
          <w:szCs w:val="28"/>
          <w:shd w:val="clear" w:color="auto" w:fill="FFFFFF"/>
        </w:rPr>
        <w:t xml:space="preserve">TREYNOR RATIO </w:t>
      </w:r>
    </w:p>
    <w:p w14:paraId="44497695" w14:textId="77777777" w:rsidR="00130C41" w:rsidRPr="004D4473" w:rsidRDefault="00130C41" w:rsidP="007C1CA8">
      <w:pPr>
        <w:spacing w:after="0" w:line="240" w:lineRule="auto"/>
        <w:rPr>
          <w:rStyle w:val="formula"/>
          <w:rFonts w:ascii="Open Sans" w:hAnsi="Open Sans" w:cs="Open Sans"/>
          <w:b/>
          <w:bCs/>
          <w:color w:val="57595D"/>
          <w:sz w:val="28"/>
          <w:szCs w:val="28"/>
          <w:shd w:val="clear" w:color="auto" w:fill="FFFFFF"/>
        </w:rPr>
      </w:pPr>
    </w:p>
    <w:p w14:paraId="2BF4ECE0" w14:textId="77777777" w:rsidR="004D4473" w:rsidRPr="004D4473" w:rsidRDefault="004D4473" w:rsidP="004D4473">
      <w:pPr>
        <w:spacing w:after="0" w:line="240" w:lineRule="auto"/>
        <w:rPr>
          <w:rStyle w:val="formula"/>
          <w:rFonts w:ascii="Open Sans" w:hAnsi="Open Sans" w:cs="Open Sans"/>
          <w:color w:val="57595D"/>
          <w:sz w:val="28"/>
          <w:szCs w:val="28"/>
          <w:shd w:val="clear" w:color="auto" w:fill="FFFFFF"/>
        </w:rPr>
      </w:pPr>
      <w:r w:rsidRPr="004D4473">
        <w:rPr>
          <w:rStyle w:val="formula"/>
          <w:rFonts w:ascii="Open Sans" w:hAnsi="Open Sans" w:cs="Open Sans"/>
          <w:color w:val="57595D"/>
          <w:sz w:val="28"/>
          <w:szCs w:val="28"/>
          <w:shd w:val="clear" w:color="auto" w:fill="FFFFFF"/>
        </w:rPr>
        <w:t>This statistic was created by prominent American economist Jack Treynor, who is credited with helping to establish the Capital Asset Pricing Model.</w:t>
      </w:r>
    </w:p>
    <w:p w14:paraId="6E301647" w14:textId="77777777" w:rsidR="004D4473" w:rsidRPr="004D4473" w:rsidRDefault="004D4473" w:rsidP="004D4473">
      <w:pPr>
        <w:spacing w:after="0" w:line="240" w:lineRule="auto"/>
        <w:rPr>
          <w:rStyle w:val="formula"/>
          <w:rFonts w:ascii="Open Sans" w:hAnsi="Open Sans" w:cs="Open Sans"/>
          <w:color w:val="57595D"/>
          <w:sz w:val="28"/>
          <w:szCs w:val="28"/>
          <w:shd w:val="clear" w:color="auto" w:fill="FFFFFF"/>
        </w:rPr>
      </w:pPr>
    </w:p>
    <w:p w14:paraId="45D397E1" w14:textId="77777777" w:rsidR="004D4473" w:rsidRPr="004D4473" w:rsidRDefault="004D4473" w:rsidP="004D4473">
      <w:pPr>
        <w:spacing w:after="0" w:line="240" w:lineRule="auto"/>
        <w:rPr>
          <w:rStyle w:val="formula"/>
          <w:rFonts w:ascii="Open Sans" w:hAnsi="Open Sans" w:cs="Open Sans"/>
          <w:color w:val="57595D"/>
          <w:sz w:val="28"/>
          <w:szCs w:val="28"/>
          <w:shd w:val="clear" w:color="auto" w:fill="FFFFFF"/>
        </w:rPr>
      </w:pPr>
      <w:r w:rsidRPr="004D4473">
        <w:rPr>
          <w:rStyle w:val="formula"/>
          <w:rFonts w:ascii="Open Sans" w:hAnsi="Open Sans" w:cs="Open Sans"/>
          <w:color w:val="57595D"/>
          <w:sz w:val="28"/>
          <w:szCs w:val="28"/>
          <w:shd w:val="clear" w:color="auto" w:fill="FFFFFF"/>
        </w:rPr>
        <w:t>It calculates how much more money an investment or a collection of securities makes for each additional unit of risk that the portfolio assumes. Because it shows how much an investor is compensated for taking systematic risk, it is also known as the reward-to-volatility ratio.</w:t>
      </w:r>
    </w:p>
    <w:p w14:paraId="617676C4" w14:textId="77777777" w:rsidR="004D4473" w:rsidRPr="004D4473" w:rsidRDefault="004D4473" w:rsidP="004D4473">
      <w:pPr>
        <w:spacing w:after="0" w:line="240" w:lineRule="auto"/>
        <w:rPr>
          <w:rStyle w:val="formula"/>
          <w:rFonts w:ascii="Open Sans" w:hAnsi="Open Sans" w:cs="Open Sans"/>
          <w:color w:val="57595D"/>
          <w:sz w:val="28"/>
          <w:szCs w:val="28"/>
          <w:shd w:val="clear" w:color="auto" w:fill="FFFFFF"/>
        </w:rPr>
      </w:pPr>
    </w:p>
    <w:p w14:paraId="18B729DA" w14:textId="77777777" w:rsidR="004D4473" w:rsidRPr="004D4473" w:rsidRDefault="004D4473" w:rsidP="004D4473">
      <w:pPr>
        <w:spacing w:after="0" w:line="240" w:lineRule="auto"/>
        <w:rPr>
          <w:rStyle w:val="formula"/>
          <w:rFonts w:ascii="Open Sans" w:hAnsi="Open Sans" w:cs="Open Sans"/>
          <w:color w:val="57595D"/>
          <w:sz w:val="28"/>
          <w:szCs w:val="28"/>
          <w:shd w:val="clear" w:color="auto" w:fill="FFFFFF"/>
        </w:rPr>
      </w:pPr>
      <w:r w:rsidRPr="004D4473">
        <w:rPr>
          <w:rStyle w:val="formula"/>
          <w:rFonts w:ascii="Open Sans" w:hAnsi="Open Sans" w:cs="Open Sans"/>
          <w:color w:val="57595D"/>
          <w:sz w:val="28"/>
          <w:szCs w:val="28"/>
          <w:shd w:val="clear" w:color="auto" w:fill="FFFFFF"/>
        </w:rPr>
        <w:t>This excess return is in addition to the profits from a risk-free investment, which is typically thought of as Treasury notes. For example, 7% is the excess gain if the rate of return on Treasury notes is 3% and the rate of return on a portfolio is 10%.</w:t>
      </w:r>
    </w:p>
    <w:p w14:paraId="45CD5235" w14:textId="77777777" w:rsidR="004D4473" w:rsidRPr="004D4473" w:rsidRDefault="004D4473" w:rsidP="004D4473">
      <w:pPr>
        <w:spacing w:after="0" w:line="240" w:lineRule="auto"/>
        <w:rPr>
          <w:rStyle w:val="formula"/>
          <w:rFonts w:ascii="Open Sans" w:hAnsi="Open Sans" w:cs="Open Sans"/>
          <w:color w:val="57595D"/>
          <w:sz w:val="28"/>
          <w:szCs w:val="28"/>
          <w:shd w:val="clear" w:color="auto" w:fill="FFFFFF"/>
        </w:rPr>
      </w:pPr>
    </w:p>
    <w:p w14:paraId="530CB247" w14:textId="6D05B8DB" w:rsidR="00FC0814" w:rsidRPr="00FC0814" w:rsidRDefault="004D4473" w:rsidP="00FC0814">
      <w:pPr>
        <w:spacing w:after="0" w:line="240" w:lineRule="auto"/>
        <w:rPr>
          <w:rStyle w:val="formula"/>
          <w:rFonts w:ascii="Open Sans" w:hAnsi="Open Sans" w:cs="Open Sans"/>
          <w:color w:val="57595D"/>
          <w:sz w:val="28"/>
          <w:szCs w:val="28"/>
          <w:shd w:val="clear" w:color="auto" w:fill="FFFFFF"/>
        </w:rPr>
      </w:pPr>
      <w:r w:rsidRPr="004D4473">
        <w:rPr>
          <w:rStyle w:val="formula"/>
          <w:rFonts w:ascii="Open Sans" w:hAnsi="Open Sans" w:cs="Open Sans"/>
          <w:color w:val="57595D"/>
          <w:sz w:val="28"/>
          <w:szCs w:val="28"/>
          <w:shd w:val="clear" w:color="auto" w:fill="FFFFFF"/>
        </w:rPr>
        <w:t>Nevertheless, such a portfolio must presume a certain level of</w:t>
      </w:r>
      <w:r w:rsidR="00FC0814" w:rsidRPr="00FC0814">
        <w:t xml:space="preserve"> </w:t>
      </w:r>
    </w:p>
    <w:p w14:paraId="2920412F" w14:textId="77777777" w:rsidR="00FC0814" w:rsidRPr="00FC0814" w:rsidRDefault="00FC0814" w:rsidP="00FC0814">
      <w:pPr>
        <w:spacing w:after="0" w:line="240" w:lineRule="auto"/>
        <w:rPr>
          <w:rStyle w:val="formula"/>
          <w:rFonts w:ascii="Open Sans" w:hAnsi="Open Sans" w:cs="Open Sans"/>
          <w:color w:val="57595D"/>
          <w:sz w:val="28"/>
          <w:szCs w:val="28"/>
          <w:shd w:val="clear" w:color="auto" w:fill="FFFFFF"/>
        </w:rPr>
      </w:pPr>
    </w:p>
    <w:p w14:paraId="459D8B44" w14:textId="2940D344" w:rsidR="004D4473" w:rsidRPr="004D4473" w:rsidRDefault="00FC0814" w:rsidP="00FC0814">
      <w:pPr>
        <w:spacing w:after="0" w:line="240" w:lineRule="auto"/>
        <w:rPr>
          <w:rStyle w:val="formula"/>
          <w:rFonts w:ascii="Open Sans" w:hAnsi="Open Sans" w:cs="Open Sans"/>
          <w:color w:val="57595D"/>
          <w:sz w:val="28"/>
          <w:szCs w:val="28"/>
          <w:shd w:val="clear" w:color="auto" w:fill="FFFFFF"/>
        </w:rPr>
      </w:pPr>
      <w:r w:rsidRPr="00FC0814">
        <w:rPr>
          <w:rStyle w:val="formula"/>
          <w:rFonts w:ascii="Open Sans" w:hAnsi="Open Sans" w:cs="Open Sans"/>
          <w:color w:val="57595D"/>
          <w:sz w:val="28"/>
          <w:szCs w:val="28"/>
          <w:shd w:val="clear" w:color="auto" w:fill="FFFFFF"/>
        </w:rPr>
        <w:t>The amount of return fluctuation a fund displays in reaction to market turbulence is known as its beta. A portfolio or financial asset has higher volatility if its beta value is higher, and vice versa.</w:t>
      </w:r>
      <w:r w:rsidR="00C30A33" w:rsidRPr="00C30A33">
        <w:t xml:space="preserve"> </w:t>
      </w:r>
      <w:r w:rsidR="00C30A33" w:rsidRPr="00C30A33">
        <w:rPr>
          <w:rStyle w:val="formula"/>
          <w:rFonts w:ascii="Open Sans" w:hAnsi="Open Sans" w:cs="Open Sans"/>
          <w:b/>
          <w:bCs/>
          <w:color w:val="57595D"/>
          <w:sz w:val="28"/>
          <w:szCs w:val="28"/>
          <w:shd w:val="clear" w:color="auto" w:fill="FFFFFF"/>
        </w:rPr>
        <w:t>(Treynor Ratio - Meaning, Formula, Example &amp; Calculation, 2016)</w:t>
      </w:r>
    </w:p>
    <w:p w14:paraId="738C29F8" w14:textId="77777777" w:rsidR="009E4913" w:rsidRDefault="009E4913" w:rsidP="007C1CA8">
      <w:pPr>
        <w:spacing w:after="0" w:line="240" w:lineRule="auto"/>
        <w:rPr>
          <w:rStyle w:val="formula"/>
          <w:rFonts w:ascii="Open Sans" w:hAnsi="Open Sans" w:cs="Open Sans"/>
          <w:b/>
          <w:bCs/>
          <w:color w:val="57595D"/>
          <w:sz w:val="27"/>
          <w:szCs w:val="27"/>
          <w:shd w:val="clear" w:color="auto" w:fill="FFFFFF"/>
        </w:rPr>
      </w:pPr>
    </w:p>
    <w:p w14:paraId="0B11DB8B"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36C1CD40"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4880F411"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67803DDD"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4319859B"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123B01AC"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4CE1F0A9"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5E379878"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75BBEDC5"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48C455A0"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70E5C137" w14:textId="77777777" w:rsidR="00130C41" w:rsidRDefault="00130C41" w:rsidP="007C1CA8">
      <w:pPr>
        <w:spacing w:after="0" w:line="240" w:lineRule="auto"/>
        <w:rPr>
          <w:rStyle w:val="formula"/>
          <w:rFonts w:ascii="Open Sans" w:hAnsi="Open Sans" w:cs="Open Sans"/>
          <w:b/>
          <w:bCs/>
          <w:color w:val="57595D"/>
          <w:sz w:val="27"/>
          <w:szCs w:val="27"/>
          <w:shd w:val="clear" w:color="auto" w:fill="FFFFFF"/>
        </w:rPr>
      </w:pPr>
    </w:p>
    <w:p w14:paraId="29A365A2" w14:textId="2F15C2FA" w:rsidR="009E4913" w:rsidRDefault="00A40385" w:rsidP="007C1CA8">
      <w:pPr>
        <w:spacing w:after="0" w:line="240" w:lineRule="auto"/>
        <w:rPr>
          <w:rStyle w:val="formula"/>
          <w:rFonts w:ascii="Open Sans" w:hAnsi="Open Sans" w:cs="Open Sans"/>
          <w:b/>
          <w:bCs/>
          <w:color w:val="57595D"/>
          <w:sz w:val="27"/>
          <w:szCs w:val="27"/>
          <w:shd w:val="clear" w:color="auto" w:fill="FFFFFF"/>
        </w:rPr>
      </w:pPr>
      <w:r>
        <w:rPr>
          <w:rStyle w:val="formula"/>
          <w:rFonts w:ascii="Open Sans" w:hAnsi="Open Sans" w:cs="Open Sans"/>
          <w:b/>
          <w:bCs/>
          <w:color w:val="57595D"/>
          <w:sz w:val="27"/>
          <w:szCs w:val="27"/>
          <w:shd w:val="clear" w:color="auto" w:fill="FFFFFF"/>
        </w:rPr>
        <w:lastRenderedPageBreak/>
        <w:t>FIGURE 4</w:t>
      </w:r>
    </w:p>
    <w:p w14:paraId="49E7B44B" w14:textId="77777777" w:rsidR="002F3D18" w:rsidRDefault="002F3D18" w:rsidP="007C1CA8">
      <w:pPr>
        <w:spacing w:after="0" w:line="240" w:lineRule="auto"/>
        <w:rPr>
          <w:rStyle w:val="formula"/>
          <w:rFonts w:ascii="Open Sans" w:hAnsi="Open Sans" w:cs="Open Sans"/>
          <w:b/>
          <w:bCs/>
          <w:color w:val="57595D"/>
          <w:sz w:val="27"/>
          <w:szCs w:val="27"/>
          <w:shd w:val="clear" w:color="auto" w:fill="FFFFFF"/>
        </w:rPr>
      </w:pPr>
    </w:p>
    <w:p w14:paraId="683BD5F9" w14:textId="60F0446E" w:rsidR="002F3D18" w:rsidRDefault="002F3D18" w:rsidP="007C1CA8">
      <w:pPr>
        <w:spacing w:after="0" w:line="240" w:lineRule="auto"/>
        <w:rPr>
          <w:rStyle w:val="formula"/>
          <w:rFonts w:ascii="Open Sans" w:hAnsi="Open Sans" w:cs="Open Sans"/>
          <w:b/>
          <w:bCs/>
          <w:color w:val="57595D"/>
          <w:sz w:val="27"/>
          <w:szCs w:val="27"/>
          <w:shd w:val="clear" w:color="auto" w:fill="FFFFFF"/>
        </w:rPr>
      </w:pPr>
      <w:r>
        <w:rPr>
          <w:rFonts w:ascii="Open Sans" w:hAnsi="Open Sans" w:cs="Open Sans"/>
          <w:b/>
          <w:bCs/>
          <w:noProof/>
          <w:color w:val="57595D"/>
          <w:sz w:val="27"/>
          <w:szCs w:val="27"/>
          <w:shd w:val="clear" w:color="auto" w:fill="FFFFFF"/>
        </w:rPr>
        <w:drawing>
          <wp:inline distT="0" distB="0" distL="0" distR="0" wp14:anchorId="7C7E1316" wp14:editId="2B97B21F">
            <wp:extent cx="5486400" cy="3200400"/>
            <wp:effectExtent l="0" t="0" r="0" b="0"/>
            <wp:docPr id="130288903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E136F9" w14:textId="77777777" w:rsidR="00A40385" w:rsidRDefault="00A40385" w:rsidP="007C1CA8">
      <w:pPr>
        <w:spacing w:after="0" w:line="240" w:lineRule="auto"/>
        <w:rPr>
          <w:rStyle w:val="formula"/>
          <w:rFonts w:ascii="Open Sans" w:hAnsi="Open Sans" w:cs="Open Sans"/>
          <w:b/>
          <w:bCs/>
          <w:color w:val="57595D"/>
          <w:sz w:val="27"/>
          <w:szCs w:val="27"/>
          <w:shd w:val="clear" w:color="auto" w:fill="FFFFFF"/>
        </w:rPr>
      </w:pPr>
    </w:p>
    <w:p w14:paraId="6078B1B7" w14:textId="77777777" w:rsidR="00A40385" w:rsidRDefault="00A40385" w:rsidP="007C1CA8">
      <w:pPr>
        <w:spacing w:after="0" w:line="240" w:lineRule="auto"/>
        <w:rPr>
          <w:rStyle w:val="formula"/>
          <w:rFonts w:ascii="Open Sans" w:hAnsi="Open Sans" w:cs="Open Sans"/>
          <w:b/>
          <w:bCs/>
          <w:color w:val="57595D"/>
          <w:sz w:val="27"/>
          <w:szCs w:val="27"/>
          <w:shd w:val="clear" w:color="auto" w:fill="FFFFFF"/>
        </w:rPr>
      </w:pPr>
    </w:p>
    <w:p w14:paraId="352FC706" w14:textId="784BA666" w:rsidR="0028074B" w:rsidRPr="0028074B" w:rsidRDefault="00A40385" w:rsidP="0028074B">
      <w:pPr>
        <w:spacing w:after="0" w:line="240" w:lineRule="auto"/>
        <w:rPr>
          <w:rStyle w:val="formula"/>
          <w:rFonts w:ascii="Open Sans" w:hAnsi="Open Sans" w:cs="Open Sans"/>
          <w:color w:val="57595D"/>
          <w:sz w:val="28"/>
          <w:szCs w:val="28"/>
          <w:shd w:val="clear" w:color="auto" w:fill="FFFFFF"/>
        </w:rPr>
      </w:pPr>
      <w:r>
        <w:rPr>
          <w:rStyle w:val="formula"/>
          <w:rFonts w:ascii="Open Sans" w:hAnsi="Open Sans" w:cs="Open Sans"/>
          <w:b/>
          <w:bCs/>
          <w:color w:val="57595D"/>
          <w:sz w:val="27"/>
          <w:szCs w:val="27"/>
          <w:shd w:val="clear" w:color="auto" w:fill="FFFFFF"/>
        </w:rPr>
        <w:t>COMMENT :</w:t>
      </w:r>
      <w:r w:rsidR="0028074B" w:rsidRPr="0028074B">
        <w:t xml:space="preserve"> </w:t>
      </w:r>
      <w:r w:rsidR="0028074B" w:rsidRPr="0028074B">
        <w:rPr>
          <w:rStyle w:val="formula"/>
          <w:rFonts w:ascii="Open Sans" w:hAnsi="Open Sans" w:cs="Open Sans"/>
          <w:color w:val="57595D"/>
          <w:sz w:val="28"/>
          <w:szCs w:val="28"/>
          <w:shd w:val="clear" w:color="auto" w:fill="FFFFFF"/>
        </w:rPr>
        <w:t>In relation to the risk (as determined by standard deviation) that investors assumed, Airbnb Inc. has produced a respectable amount of return, as indicated by its 1.21 Sharpe Ratio. If Airbnb's Sharpe Ratio is any indication, it has outperformed its volatility, with a ratio more than 1.0 deemed acceptable.</w:t>
      </w:r>
    </w:p>
    <w:p w14:paraId="5B55050C" w14:textId="04F2F91E" w:rsidR="00A40385" w:rsidRPr="0028074B" w:rsidRDefault="0028074B" w:rsidP="0028074B">
      <w:pPr>
        <w:spacing w:after="0" w:line="240" w:lineRule="auto"/>
        <w:rPr>
          <w:rStyle w:val="formula"/>
          <w:rFonts w:ascii="Open Sans" w:hAnsi="Open Sans" w:cs="Open Sans"/>
          <w:color w:val="57595D"/>
          <w:sz w:val="28"/>
          <w:szCs w:val="28"/>
          <w:shd w:val="clear" w:color="auto" w:fill="FFFFFF"/>
        </w:rPr>
      </w:pPr>
      <w:r w:rsidRPr="0028074B">
        <w:rPr>
          <w:rStyle w:val="formula"/>
          <w:rFonts w:ascii="Open Sans" w:hAnsi="Open Sans" w:cs="Open Sans"/>
          <w:color w:val="57595D"/>
          <w:sz w:val="28"/>
          <w:szCs w:val="28"/>
          <w:shd w:val="clear" w:color="auto" w:fill="FFFFFF"/>
        </w:rPr>
        <w:t>Treynor Ratio: The search results include details on the risk-adjusted performance of Airbnb Inc., even if the company's Treynor Ratio is not mentioned explicitly. Using beta (systematic risk) as the risk metric rather than standard deviation, the Treynor Ratio is a further way to calculate risk-adjusted return. Unlike the Treynor Ratio, which simply takes the alpha component of the return into account, the Sharpe Ratio takes the standard deviation of the total returns into account.</w:t>
      </w:r>
    </w:p>
    <w:p w14:paraId="5CD2A56D" w14:textId="77777777" w:rsidR="00A40385" w:rsidRDefault="00A40385" w:rsidP="007C1CA8">
      <w:pPr>
        <w:spacing w:after="0" w:line="240" w:lineRule="auto"/>
        <w:rPr>
          <w:rStyle w:val="formula"/>
          <w:rFonts w:ascii="Open Sans" w:hAnsi="Open Sans" w:cs="Open Sans"/>
          <w:b/>
          <w:bCs/>
          <w:color w:val="57595D"/>
          <w:sz w:val="27"/>
          <w:szCs w:val="27"/>
          <w:shd w:val="clear" w:color="auto" w:fill="FFFFFF"/>
        </w:rPr>
      </w:pPr>
    </w:p>
    <w:p w14:paraId="495C4091" w14:textId="77777777" w:rsidR="00A40385" w:rsidRDefault="00A40385" w:rsidP="007C1CA8">
      <w:pPr>
        <w:spacing w:after="0" w:line="240" w:lineRule="auto"/>
        <w:rPr>
          <w:rStyle w:val="formula"/>
          <w:rFonts w:ascii="Open Sans" w:hAnsi="Open Sans" w:cs="Open Sans"/>
          <w:b/>
          <w:bCs/>
          <w:color w:val="57595D"/>
          <w:sz w:val="27"/>
          <w:szCs w:val="27"/>
          <w:shd w:val="clear" w:color="auto" w:fill="FFFFFF"/>
        </w:rPr>
      </w:pPr>
    </w:p>
    <w:p w14:paraId="6D7BD76C" w14:textId="77777777" w:rsidR="00C30A33" w:rsidRDefault="00C30A33" w:rsidP="007C1CA8">
      <w:pPr>
        <w:spacing w:after="0" w:line="240" w:lineRule="auto"/>
        <w:rPr>
          <w:rStyle w:val="formula"/>
          <w:rFonts w:ascii="Open Sans" w:hAnsi="Open Sans" w:cs="Open Sans"/>
          <w:b/>
          <w:bCs/>
          <w:color w:val="57595D"/>
          <w:sz w:val="27"/>
          <w:szCs w:val="27"/>
          <w:shd w:val="clear" w:color="auto" w:fill="FFFFFF"/>
        </w:rPr>
      </w:pPr>
    </w:p>
    <w:p w14:paraId="15F92467" w14:textId="77777777" w:rsidR="00C30A33" w:rsidRDefault="00C30A33" w:rsidP="007C1CA8">
      <w:pPr>
        <w:spacing w:after="0" w:line="240" w:lineRule="auto"/>
        <w:rPr>
          <w:rStyle w:val="formula"/>
          <w:rFonts w:ascii="Open Sans" w:hAnsi="Open Sans" w:cs="Open Sans"/>
          <w:b/>
          <w:bCs/>
          <w:color w:val="57595D"/>
          <w:sz w:val="27"/>
          <w:szCs w:val="27"/>
          <w:shd w:val="clear" w:color="auto" w:fill="FFFFFF"/>
        </w:rPr>
      </w:pPr>
    </w:p>
    <w:p w14:paraId="2D17E734" w14:textId="77777777" w:rsidR="00C30A33" w:rsidRDefault="00C30A33" w:rsidP="007C1CA8">
      <w:pPr>
        <w:spacing w:after="0" w:line="240" w:lineRule="auto"/>
        <w:rPr>
          <w:rStyle w:val="formula"/>
          <w:rFonts w:ascii="Open Sans" w:hAnsi="Open Sans" w:cs="Open Sans"/>
          <w:b/>
          <w:bCs/>
          <w:color w:val="57595D"/>
          <w:sz w:val="27"/>
          <w:szCs w:val="27"/>
          <w:shd w:val="clear" w:color="auto" w:fill="FFFFFF"/>
        </w:rPr>
      </w:pPr>
    </w:p>
    <w:p w14:paraId="6402DC23" w14:textId="77777777" w:rsidR="00C30A33" w:rsidRDefault="00C30A33" w:rsidP="007C1CA8">
      <w:pPr>
        <w:spacing w:after="0" w:line="240" w:lineRule="auto"/>
        <w:rPr>
          <w:rStyle w:val="formula"/>
          <w:rFonts w:ascii="Open Sans" w:hAnsi="Open Sans" w:cs="Open Sans"/>
          <w:b/>
          <w:bCs/>
          <w:color w:val="57595D"/>
          <w:sz w:val="27"/>
          <w:szCs w:val="27"/>
          <w:shd w:val="clear" w:color="auto" w:fill="FFFFFF"/>
        </w:rPr>
      </w:pPr>
    </w:p>
    <w:p w14:paraId="67B02497" w14:textId="77777777" w:rsidR="00C30A33" w:rsidRDefault="00C30A33" w:rsidP="007C1CA8">
      <w:pPr>
        <w:spacing w:after="0" w:line="240" w:lineRule="auto"/>
        <w:rPr>
          <w:rStyle w:val="formula"/>
          <w:rFonts w:ascii="Open Sans" w:hAnsi="Open Sans" w:cs="Open Sans"/>
          <w:b/>
          <w:bCs/>
          <w:color w:val="57595D"/>
          <w:sz w:val="27"/>
          <w:szCs w:val="27"/>
          <w:shd w:val="clear" w:color="auto" w:fill="FFFFFF"/>
        </w:rPr>
      </w:pPr>
    </w:p>
    <w:p w14:paraId="0F933FF6" w14:textId="77777777" w:rsidR="00C30A33" w:rsidRDefault="00C30A33" w:rsidP="007C1CA8">
      <w:pPr>
        <w:spacing w:after="0" w:line="240" w:lineRule="auto"/>
        <w:rPr>
          <w:rStyle w:val="formula"/>
          <w:rFonts w:ascii="Open Sans" w:hAnsi="Open Sans" w:cs="Open Sans"/>
          <w:b/>
          <w:bCs/>
          <w:color w:val="57595D"/>
          <w:sz w:val="27"/>
          <w:szCs w:val="27"/>
          <w:shd w:val="clear" w:color="auto" w:fill="FFFFFF"/>
        </w:rPr>
      </w:pPr>
    </w:p>
    <w:p w14:paraId="0F137098" w14:textId="6B78AD0A" w:rsidR="00396BBC" w:rsidRDefault="00A40385" w:rsidP="007C1CA8">
      <w:pPr>
        <w:spacing w:after="0" w:line="240" w:lineRule="auto"/>
        <w:rPr>
          <w:rStyle w:val="formula"/>
          <w:rFonts w:ascii="Open Sans" w:hAnsi="Open Sans" w:cs="Open Sans"/>
          <w:b/>
          <w:bCs/>
          <w:color w:val="57595D"/>
          <w:sz w:val="27"/>
          <w:szCs w:val="27"/>
          <w:shd w:val="clear" w:color="auto" w:fill="FFFFFF"/>
        </w:rPr>
      </w:pPr>
      <w:r>
        <w:rPr>
          <w:rStyle w:val="formula"/>
          <w:rFonts w:ascii="Open Sans" w:hAnsi="Open Sans" w:cs="Open Sans"/>
          <w:b/>
          <w:bCs/>
          <w:color w:val="57595D"/>
          <w:sz w:val="27"/>
          <w:szCs w:val="27"/>
          <w:shd w:val="clear" w:color="auto" w:fill="FFFFFF"/>
        </w:rPr>
        <w:t>ONE YEAR PERIOD OF AIRBNB INC</w:t>
      </w:r>
    </w:p>
    <w:p w14:paraId="08AC2A10" w14:textId="4B76D711" w:rsidR="00C30A33" w:rsidRDefault="00A40385" w:rsidP="007C1CA8">
      <w:pPr>
        <w:spacing w:after="0" w:line="240" w:lineRule="auto"/>
        <w:rPr>
          <w:rStyle w:val="formula"/>
          <w:rFonts w:ascii="Open Sans" w:hAnsi="Open Sans" w:cs="Open Sans"/>
          <w:b/>
          <w:bCs/>
          <w:color w:val="57595D"/>
          <w:sz w:val="27"/>
          <w:szCs w:val="27"/>
          <w:shd w:val="clear" w:color="auto" w:fill="FFFFFF"/>
        </w:rPr>
      </w:pPr>
      <w:r>
        <w:rPr>
          <w:rStyle w:val="formula"/>
          <w:rFonts w:ascii="Open Sans" w:hAnsi="Open Sans" w:cs="Open Sans"/>
          <w:b/>
          <w:bCs/>
          <w:color w:val="57595D"/>
          <w:sz w:val="27"/>
          <w:szCs w:val="27"/>
          <w:shd w:val="clear" w:color="auto" w:fill="FFFFFF"/>
        </w:rPr>
        <w:t xml:space="preserve"> </w:t>
      </w:r>
    </w:p>
    <w:p w14:paraId="62494A82" w14:textId="77777777" w:rsidR="009E4913" w:rsidRPr="007C1CA8" w:rsidRDefault="009E4913" w:rsidP="007C1CA8">
      <w:pPr>
        <w:spacing w:after="0" w:line="240" w:lineRule="auto"/>
        <w:rPr>
          <w:rFonts w:ascii="Times New Roman" w:eastAsia="Times New Roman" w:hAnsi="Times New Roman" w:cs="Times New Roman"/>
          <w:kern w:val="0"/>
          <w:sz w:val="24"/>
          <w:szCs w:val="24"/>
          <w:lang w:eastAsia="en-IN"/>
          <w14:ligatures w14:val="none"/>
        </w:rPr>
      </w:pPr>
    </w:p>
    <w:p w14:paraId="7159A373" w14:textId="62665675" w:rsidR="007C1CA8" w:rsidRDefault="00396BBC" w:rsidP="004250AA">
      <w:pPr>
        <w:rPr>
          <w:b/>
          <w:bCs/>
          <w:sz w:val="28"/>
          <w:szCs w:val="28"/>
        </w:rPr>
      </w:pPr>
      <w:r>
        <w:rPr>
          <w:noProof/>
        </w:rPr>
        <w:drawing>
          <wp:inline distT="0" distB="0" distL="0" distR="0" wp14:anchorId="42B89AFB" wp14:editId="01B5CA8D">
            <wp:extent cx="5731510" cy="3793490"/>
            <wp:effectExtent l="0" t="0" r="2540" b="0"/>
            <wp:docPr id="3097788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93490"/>
                    </a:xfrm>
                    <a:prstGeom prst="rect">
                      <a:avLst/>
                    </a:prstGeom>
                    <a:noFill/>
                    <a:ln>
                      <a:noFill/>
                    </a:ln>
                  </pic:spPr>
                </pic:pic>
              </a:graphicData>
            </a:graphic>
          </wp:inline>
        </w:drawing>
      </w:r>
    </w:p>
    <w:p w14:paraId="62F283EF" w14:textId="77777777" w:rsidR="00A24E95" w:rsidRDefault="00A24E95" w:rsidP="000B03EE">
      <w:pPr>
        <w:rPr>
          <w:sz w:val="28"/>
          <w:szCs w:val="28"/>
        </w:rPr>
      </w:pPr>
    </w:p>
    <w:p w14:paraId="507A06C1" w14:textId="77777777" w:rsidR="00F86ECF" w:rsidRPr="00F86ECF" w:rsidRDefault="00BC5679" w:rsidP="00F86ECF">
      <w:pPr>
        <w:rPr>
          <w:sz w:val="28"/>
          <w:szCs w:val="28"/>
        </w:rPr>
      </w:pPr>
      <w:r>
        <w:rPr>
          <w:sz w:val="28"/>
          <w:szCs w:val="28"/>
        </w:rPr>
        <w:t>COMMENT :</w:t>
      </w:r>
      <w:r w:rsidR="00187BC7" w:rsidRPr="00187BC7">
        <w:t xml:space="preserve"> </w:t>
      </w:r>
      <w:r w:rsidR="00F86ECF" w:rsidRPr="00F86ECF">
        <w:rPr>
          <w:sz w:val="28"/>
          <w:szCs w:val="28"/>
        </w:rPr>
        <w:t>Over the last 12 months, Airbnb Inc. (ABNB) has seen a robust performance, with its stock price rising by 35.58%. The company's financial performance reflects this expansion, with sales rising by 19.2% to $9.9 billion in 2023 and net income reaching $4.7 billion, the company's second consecutive year of profit.</w:t>
      </w:r>
    </w:p>
    <w:p w14:paraId="67386935" w14:textId="456FBD34" w:rsidR="009D7E46" w:rsidRPr="009D7E46" w:rsidRDefault="00F86ECF" w:rsidP="009D7E46">
      <w:pPr>
        <w:rPr>
          <w:sz w:val="28"/>
          <w:szCs w:val="28"/>
        </w:rPr>
      </w:pPr>
      <w:r w:rsidRPr="00F86ECF">
        <w:rPr>
          <w:sz w:val="28"/>
          <w:szCs w:val="28"/>
        </w:rPr>
        <w:t>With a debt-to-equity ratio of 24.4%, which indicates a very low amount of debt compared to its equity, the company's financial health has also improved. The company's net profit margin has risen to 48.32%, while its gross margin has been stable at 82.83%.</w:t>
      </w:r>
      <w:r w:rsidR="009D7E46" w:rsidRPr="009D7E46">
        <w:t xml:space="preserve"> </w:t>
      </w:r>
      <w:r w:rsidR="009D7E46" w:rsidRPr="009D7E46">
        <w:rPr>
          <w:sz w:val="28"/>
          <w:szCs w:val="28"/>
        </w:rPr>
        <w:t>Due to its flexibility in responding to shifting market conditions—such as the COVID-19 pandemic—and its commitment to broadening its product offerings beyond short-term rentals, Airbnb has performed very well. Growth has also been aided by the company's acquisitions of Hotel</w:t>
      </w:r>
      <w:r w:rsidR="009D7E46">
        <w:rPr>
          <w:sz w:val="28"/>
          <w:szCs w:val="28"/>
        </w:rPr>
        <w:t xml:space="preserve"> </w:t>
      </w:r>
      <w:r w:rsidR="009D7E46" w:rsidRPr="009D7E46">
        <w:rPr>
          <w:sz w:val="28"/>
          <w:szCs w:val="28"/>
        </w:rPr>
        <w:t>Tonight in 2019 and Luxury Retreats in 2017.</w:t>
      </w:r>
    </w:p>
    <w:p w14:paraId="588CE5D0" w14:textId="29258E5B" w:rsidR="00BC5679" w:rsidRDefault="009D7E46" w:rsidP="000B03EE">
      <w:pPr>
        <w:rPr>
          <w:sz w:val="28"/>
          <w:szCs w:val="28"/>
        </w:rPr>
      </w:pPr>
      <w:r w:rsidRPr="009D7E46">
        <w:rPr>
          <w:sz w:val="28"/>
          <w:szCs w:val="28"/>
        </w:rPr>
        <w:lastRenderedPageBreak/>
        <w:t>Several analysts believe that Airbnb's stock, which has a price-to-earnings ratio (P/E) of 22.68, is overvalued. The stock price of the corporation reached a 52-week high of $170.10 in March 2024, indicating that investor confidence in the company has been high due to its good financial performance and growth potential.</w:t>
      </w:r>
    </w:p>
    <w:p w14:paraId="6B0FCD80" w14:textId="77777777" w:rsidR="00BC5679" w:rsidRDefault="00BC5679" w:rsidP="000B03EE">
      <w:pPr>
        <w:rPr>
          <w:sz w:val="28"/>
          <w:szCs w:val="28"/>
        </w:rPr>
      </w:pPr>
    </w:p>
    <w:p w14:paraId="65DB5F43" w14:textId="5183A46C" w:rsidR="00BC5679" w:rsidRPr="00047437" w:rsidRDefault="00BC5679" w:rsidP="000B03EE">
      <w:pPr>
        <w:rPr>
          <w:b/>
          <w:bCs/>
          <w:sz w:val="40"/>
          <w:szCs w:val="40"/>
        </w:rPr>
      </w:pPr>
      <w:bookmarkStart w:id="1" w:name="_Hlk165374186"/>
      <w:r w:rsidRPr="00047437">
        <w:rPr>
          <w:b/>
          <w:bCs/>
          <w:sz w:val="40"/>
          <w:szCs w:val="40"/>
        </w:rPr>
        <w:t xml:space="preserve">(c) </w:t>
      </w:r>
      <w:r w:rsidR="005078EB">
        <w:rPr>
          <w:b/>
          <w:bCs/>
          <w:sz w:val="28"/>
          <w:szCs w:val="28"/>
        </w:rPr>
        <w:t>TYPES OF DERIVATIVE AND ECONOMICS</w:t>
      </w:r>
    </w:p>
    <w:p w14:paraId="3990F4C5" w14:textId="57F3E57B" w:rsidR="005D523F" w:rsidRPr="00047437" w:rsidRDefault="00BC5679" w:rsidP="005D523F">
      <w:pPr>
        <w:rPr>
          <w:b/>
          <w:bCs/>
          <w:sz w:val="36"/>
          <w:szCs w:val="36"/>
        </w:rPr>
      </w:pPr>
      <w:r w:rsidRPr="00047437">
        <w:rPr>
          <w:b/>
          <w:bCs/>
          <w:sz w:val="36"/>
          <w:szCs w:val="36"/>
        </w:rPr>
        <w:t xml:space="preserve">{1} </w:t>
      </w:r>
      <w:r w:rsidR="005D523F" w:rsidRPr="00047437">
        <w:rPr>
          <w:b/>
          <w:bCs/>
          <w:sz w:val="36"/>
          <w:szCs w:val="36"/>
        </w:rPr>
        <w:t>THE CHOICE OF MONEY CALL DERIVATIVE CONTRACT PAYOFF</w:t>
      </w:r>
    </w:p>
    <w:bookmarkEnd w:id="1"/>
    <w:p w14:paraId="3BAD0E8F" w14:textId="77777777" w:rsidR="001250AA" w:rsidRPr="001250AA" w:rsidRDefault="001250AA" w:rsidP="001250AA">
      <w:pPr>
        <w:rPr>
          <w:sz w:val="28"/>
          <w:szCs w:val="28"/>
        </w:rPr>
      </w:pPr>
      <w:r w:rsidRPr="001250AA">
        <w:rPr>
          <w:sz w:val="28"/>
          <w:szCs w:val="28"/>
        </w:rPr>
        <w:t>Guide to US Derivatives and Hedging</w:t>
      </w:r>
    </w:p>
    <w:p w14:paraId="69CA06F4" w14:textId="0E71ABA4" w:rsidR="00D407E2" w:rsidRDefault="001250AA" w:rsidP="001250AA">
      <w:pPr>
        <w:rPr>
          <w:sz w:val="28"/>
          <w:szCs w:val="28"/>
        </w:rPr>
      </w:pPr>
      <w:r w:rsidRPr="001250AA">
        <w:rPr>
          <w:sz w:val="28"/>
          <w:szCs w:val="28"/>
        </w:rPr>
        <w:t xml:space="preserve">A derivative is a financial instrument where the value is based on changes in one or more </w:t>
      </w:r>
      <w:r w:rsidR="002F3D18" w:rsidRPr="001250AA">
        <w:rPr>
          <w:sz w:val="28"/>
          <w:szCs w:val="28"/>
        </w:rPr>
        <w:t>underlying</w:t>
      </w:r>
      <w:r w:rsidRPr="001250AA">
        <w:rPr>
          <w:sz w:val="28"/>
          <w:szCs w:val="28"/>
        </w:rPr>
        <w:t>. For instance, changes in an interest rate index (such as the Secured Overnight Financing Rate, or "SOFR") affect the value of an interest rate swap. Currency exchange rates, commodities, investment securities, and other market indexes are examples of common underlying assets.</w:t>
      </w:r>
      <w:r>
        <w:rPr>
          <w:sz w:val="28"/>
          <w:szCs w:val="28"/>
        </w:rPr>
        <w:t xml:space="preserve"> </w:t>
      </w:r>
      <w:r w:rsidRPr="001250AA">
        <w:rPr>
          <w:sz w:val="28"/>
          <w:szCs w:val="28"/>
        </w:rPr>
        <w:t xml:space="preserve">Contracts based on options and contracts based on forwards are the two main types of derivatives. </w:t>
      </w:r>
    </w:p>
    <w:p w14:paraId="61F685D2" w14:textId="2E436016" w:rsidR="00BC5679" w:rsidRDefault="001250AA" w:rsidP="001250AA">
      <w:pPr>
        <w:rPr>
          <w:sz w:val="28"/>
          <w:szCs w:val="28"/>
        </w:rPr>
      </w:pPr>
      <w:r w:rsidRPr="001250AA">
        <w:rPr>
          <w:sz w:val="28"/>
          <w:szCs w:val="28"/>
        </w:rPr>
        <w:t>Derivative contracts that are option-based provide the holder the choice—but not the obligation—to execute the contract. Option holders are the people who purchase the option; option writers are the people who sell the options. A holder of an option will usually exercise it when it is</w:t>
      </w:r>
      <w:r w:rsidR="005B6C66" w:rsidRPr="005B6C66">
        <w:t xml:space="preserve"> </w:t>
      </w:r>
      <w:r w:rsidR="005B6C66" w:rsidRPr="005B6C66">
        <w:rPr>
          <w:sz w:val="28"/>
          <w:szCs w:val="28"/>
        </w:rPr>
        <w:t>profitable (economically significant), but not when it is not. Common varieties of option-based derivatives include the following</w:t>
      </w:r>
      <w:r w:rsidR="00D23578">
        <w:rPr>
          <w:sz w:val="28"/>
          <w:szCs w:val="28"/>
        </w:rPr>
        <w:t>.</w:t>
      </w:r>
    </w:p>
    <w:p w14:paraId="66382692" w14:textId="5AB21DB8" w:rsidR="00D23578" w:rsidRDefault="00D407E2" w:rsidP="00D23578">
      <w:pPr>
        <w:rPr>
          <w:sz w:val="28"/>
          <w:szCs w:val="28"/>
        </w:rPr>
      </w:pPr>
      <w:r>
        <w:rPr>
          <w:sz w:val="28"/>
          <w:szCs w:val="28"/>
        </w:rPr>
        <w:t>-</w:t>
      </w:r>
      <w:r w:rsidR="00D23578" w:rsidRPr="00D23578">
        <w:rPr>
          <w:sz w:val="28"/>
          <w:szCs w:val="28"/>
        </w:rPr>
        <w:t>Call options provide the holder the right, but not the responsibility, to purchase an asset on or before a maturity date (expiration date) at a predetermined price (strike price or exercise price). at instance, the right to buy 100,000 barrels of a certain grade of crude oil at $62 per barrel over the course of the following three months may be granted to the holder of a call option on crude oil.</w:t>
      </w:r>
      <w:r>
        <w:rPr>
          <w:sz w:val="28"/>
          <w:szCs w:val="28"/>
        </w:rPr>
        <w:t xml:space="preserve"> </w:t>
      </w:r>
      <w:r w:rsidR="00D23578" w:rsidRPr="00D23578">
        <w:rPr>
          <w:sz w:val="28"/>
          <w:szCs w:val="28"/>
        </w:rPr>
        <w:t>A call option is in the money if the underlying asset's price is higher than the option's strike price, also known as the exercise price</w:t>
      </w:r>
      <w:r w:rsidR="00D23578" w:rsidRPr="003B1DDF">
        <w:rPr>
          <w:b/>
          <w:bCs/>
          <w:sz w:val="28"/>
          <w:szCs w:val="28"/>
        </w:rPr>
        <w:t>.</w:t>
      </w:r>
      <w:r w:rsidR="003B1DDF" w:rsidRPr="003B1DDF">
        <w:rPr>
          <w:b/>
          <w:bCs/>
        </w:rPr>
        <w:t xml:space="preserve"> </w:t>
      </w:r>
      <w:r w:rsidR="003B1DDF" w:rsidRPr="003B1DDF">
        <w:rPr>
          <w:b/>
          <w:bCs/>
          <w:sz w:val="28"/>
          <w:szCs w:val="28"/>
        </w:rPr>
        <w:t>(PWC, 2024)</w:t>
      </w:r>
    </w:p>
    <w:p w14:paraId="57786D8D" w14:textId="77777777" w:rsidR="00C30A33" w:rsidRDefault="00C30A33" w:rsidP="000B03EE">
      <w:pPr>
        <w:rPr>
          <w:sz w:val="28"/>
          <w:szCs w:val="28"/>
        </w:rPr>
      </w:pPr>
    </w:p>
    <w:p w14:paraId="6D30FEA4" w14:textId="77777777" w:rsidR="00C30A33" w:rsidRDefault="00C30A33" w:rsidP="000B03EE">
      <w:pPr>
        <w:rPr>
          <w:sz w:val="28"/>
          <w:szCs w:val="28"/>
        </w:rPr>
      </w:pPr>
    </w:p>
    <w:p w14:paraId="74D17D20" w14:textId="77777777" w:rsidR="00C30A33" w:rsidRDefault="00C30A33" w:rsidP="000B03EE">
      <w:pPr>
        <w:rPr>
          <w:sz w:val="28"/>
          <w:szCs w:val="28"/>
        </w:rPr>
      </w:pPr>
    </w:p>
    <w:p w14:paraId="3A78101B" w14:textId="77777777" w:rsidR="00C30A33" w:rsidRDefault="00C30A33" w:rsidP="000B03EE">
      <w:pPr>
        <w:rPr>
          <w:sz w:val="28"/>
          <w:szCs w:val="28"/>
        </w:rPr>
      </w:pPr>
    </w:p>
    <w:p w14:paraId="461283C1" w14:textId="5B4E5257" w:rsidR="00A24E95" w:rsidRDefault="00773657" w:rsidP="000B03EE">
      <w:pPr>
        <w:rPr>
          <w:sz w:val="28"/>
          <w:szCs w:val="28"/>
        </w:rPr>
      </w:pPr>
      <w:r>
        <w:rPr>
          <w:sz w:val="28"/>
          <w:szCs w:val="28"/>
        </w:rPr>
        <w:t xml:space="preserve">FIGURE </w:t>
      </w:r>
      <w:r w:rsidR="00130C41">
        <w:rPr>
          <w:sz w:val="28"/>
          <w:szCs w:val="28"/>
        </w:rPr>
        <w:t>5</w:t>
      </w:r>
    </w:p>
    <w:p w14:paraId="00E81362" w14:textId="77777777" w:rsidR="00773657" w:rsidRDefault="00773657" w:rsidP="000B03EE">
      <w:pPr>
        <w:rPr>
          <w:sz w:val="28"/>
          <w:szCs w:val="28"/>
        </w:rPr>
      </w:pPr>
    </w:p>
    <w:p w14:paraId="3B2F92C1" w14:textId="0CD18574" w:rsidR="00773657" w:rsidRDefault="00D5516B" w:rsidP="000B03EE">
      <w:pPr>
        <w:rPr>
          <w:sz w:val="28"/>
          <w:szCs w:val="28"/>
        </w:rPr>
      </w:pPr>
      <w:r>
        <w:rPr>
          <w:noProof/>
        </w:rPr>
        <w:drawing>
          <wp:inline distT="0" distB="0" distL="0" distR="0" wp14:anchorId="27A64A98" wp14:editId="5D22A2F4">
            <wp:extent cx="5731510" cy="2217420"/>
            <wp:effectExtent l="0" t="0" r="2540" b="0"/>
            <wp:docPr id="13626800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217420"/>
                    </a:xfrm>
                    <a:prstGeom prst="rect">
                      <a:avLst/>
                    </a:prstGeom>
                    <a:noFill/>
                    <a:ln>
                      <a:noFill/>
                    </a:ln>
                  </pic:spPr>
                </pic:pic>
              </a:graphicData>
            </a:graphic>
          </wp:inline>
        </w:drawing>
      </w:r>
    </w:p>
    <w:p w14:paraId="30190853" w14:textId="77777777" w:rsidR="00773657" w:rsidRDefault="00773657" w:rsidP="000B03EE">
      <w:pPr>
        <w:rPr>
          <w:sz w:val="28"/>
          <w:szCs w:val="28"/>
        </w:rPr>
      </w:pPr>
    </w:p>
    <w:p w14:paraId="6982DD8F" w14:textId="77777777" w:rsidR="00773657" w:rsidRDefault="00773657" w:rsidP="000B03EE">
      <w:pPr>
        <w:rPr>
          <w:sz w:val="28"/>
          <w:szCs w:val="28"/>
        </w:rPr>
      </w:pPr>
    </w:p>
    <w:p w14:paraId="126B54EF" w14:textId="2C08A562" w:rsidR="00773657" w:rsidRDefault="00281767" w:rsidP="000B03EE">
      <w:pPr>
        <w:rPr>
          <w:sz w:val="28"/>
          <w:szCs w:val="28"/>
        </w:rPr>
      </w:pPr>
      <w:r>
        <w:rPr>
          <w:sz w:val="28"/>
          <w:szCs w:val="28"/>
        </w:rPr>
        <w:t xml:space="preserve">To calculate the payoff, we use the following formula </w:t>
      </w:r>
    </w:p>
    <w:p w14:paraId="507D68F6" w14:textId="77777777" w:rsidR="00C30A33" w:rsidRDefault="00C30A33" w:rsidP="000B03EE">
      <w:pPr>
        <w:rPr>
          <w:sz w:val="28"/>
          <w:szCs w:val="28"/>
        </w:rPr>
      </w:pPr>
    </w:p>
    <w:p w14:paraId="3CC3C5FB" w14:textId="6F5C20E3" w:rsidR="00C30A33" w:rsidRDefault="00281767" w:rsidP="000B03EE">
      <w:pPr>
        <w:rPr>
          <w:sz w:val="28"/>
          <w:szCs w:val="28"/>
        </w:rPr>
      </w:pPr>
      <w:r>
        <w:rPr>
          <w:sz w:val="28"/>
          <w:szCs w:val="28"/>
        </w:rPr>
        <w:t xml:space="preserve">Pay off= current price of share - strike price </w:t>
      </w:r>
    </w:p>
    <w:p w14:paraId="34C60DBF" w14:textId="0CA1BEDB" w:rsidR="00C30A33" w:rsidRDefault="00281767" w:rsidP="000B03EE">
      <w:pPr>
        <w:rPr>
          <w:sz w:val="28"/>
          <w:szCs w:val="28"/>
        </w:rPr>
      </w:pPr>
      <w:r>
        <w:rPr>
          <w:sz w:val="28"/>
          <w:szCs w:val="28"/>
        </w:rPr>
        <w:t>Payoff=$162.25-$160.00</w:t>
      </w:r>
    </w:p>
    <w:p w14:paraId="7AEAF01A" w14:textId="177BB6C1" w:rsidR="00C30A33" w:rsidRDefault="00281767" w:rsidP="000B03EE">
      <w:pPr>
        <w:rPr>
          <w:sz w:val="28"/>
          <w:szCs w:val="28"/>
        </w:rPr>
      </w:pPr>
      <w:r>
        <w:rPr>
          <w:sz w:val="28"/>
          <w:szCs w:val="28"/>
        </w:rPr>
        <w:t>Payoff=$2.25</w:t>
      </w:r>
    </w:p>
    <w:p w14:paraId="76AB6188" w14:textId="0A8EC0BA" w:rsidR="00C30A33" w:rsidRDefault="00281767" w:rsidP="000B03EE">
      <w:pPr>
        <w:rPr>
          <w:sz w:val="28"/>
          <w:szCs w:val="28"/>
        </w:rPr>
      </w:pPr>
      <w:r>
        <w:rPr>
          <w:sz w:val="28"/>
          <w:szCs w:val="28"/>
        </w:rPr>
        <w:t>Payoff profit is calculated as go after:</w:t>
      </w:r>
    </w:p>
    <w:p w14:paraId="62DBC404" w14:textId="14AF2869" w:rsidR="00281767" w:rsidRDefault="00281767" w:rsidP="000B03EE">
      <w:pPr>
        <w:rPr>
          <w:sz w:val="28"/>
          <w:szCs w:val="28"/>
        </w:rPr>
      </w:pPr>
      <w:r>
        <w:rPr>
          <w:sz w:val="28"/>
          <w:szCs w:val="28"/>
        </w:rPr>
        <w:t xml:space="preserve">Payoff profit= payoff-premium </w:t>
      </w:r>
    </w:p>
    <w:p w14:paraId="7D73750A" w14:textId="0030410A" w:rsidR="00281767" w:rsidRDefault="00281767" w:rsidP="000B03EE">
      <w:pPr>
        <w:rPr>
          <w:sz w:val="28"/>
          <w:szCs w:val="28"/>
        </w:rPr>
      </w:pPr>
      <w:r>
        <w:rPr>
          <w:sz w:val="28"/>
          <w:szCs w:val="28"/>
        </w:rPr>
        <w:t>In this case:</w:t>
      </w:r>
    </w:p>
    <w:p w14:paraId="509FE8DA" w14:textId="1332702A" w:rsidR="00281767" w:rsidRDefault="00281767" w:rsidP="000B03EE">
      <w:pPr>
        <w:rPr>
          <w:sz w:val="28"/>
          <w:szCs w:val="28"/>
        </w:rPr>
      </w:pPr>
      <w:r>
        <w:rPr>
          <w:sz w:val="28"/>
          <w:szCs w:val="28"/>
        </w:rPr>
        <w:t>Payoff Profit= $2.25-$4.20</w:t>
      </w:r>
    </w:p>
    <w:p w14:paraId="25F2A718" w14:textId="7510F0B4" w:rsidR="00281767" w:rsidRDefault="00281767" w:rsidP="000B03EE">
      <w:pPr>
        <w:rPr>
          <w:sz w:val="28"/>
          <w:szCs w:val="28"/>
        </w:rPr>
      </w:pPr>
      <w:r>
        <w:rPr>
          <w:sz w:val="28"/>
          <w:szCs w:val="28"/>
        </w:rPr>
        <w:t>Pay off profit=-$1.95</w:t>
      </w:r>
    </w:p>
    <w:p w14:paraId="7AE0B885" w14:textId="77777777" w:rsidR="00773657" w:rsidRPr="002C07E3" w:rsidRDefault="00773657" w:rsidP="000B03EE">
      <w:pPr>
        <w:rPr>
          <w:b/>
          <w:bCs/>
          <w:sz w:val="32"/>
          <w:szCs w:val="32"/>
        </w:rPr>
      </w:pPr>
    </w:p>
    <w:p w14:paraId="01FBE1EE" w14:textId="4225879F" w:rsidR="00773657" w:rsidRPr="002C07E3" w:rsidRDefault="00773657" w:rsidP="000B03EE">
      <w:pPr>
        <w:rPr>
          <w:b/>
          <w:bCs/>
          <w:sz w:val="32"/>
          <w:szCs w:val="32"/>
        </w:rPr>
      </w:pPr>
      <w:r w:rsidRPr="002C07E3">
        <w:rPr>
          <w:b/>
          <w:bCs/>
          <w:sz w:val="32"/>
          <w:szCs w:val="32"/>
        </w:rPr>
        <w:t>{2} MONEY PUT OPTION OF DERIVATION CONTRACT PAYOFF</w:t>
      </w:r>
    </w:p>
    <w:p w14:paraId="2FCB1805" w14:textId="1F5E7C3E" w:rsidR="007C4CEB" w:rsidRPr="007C4CEB" w:rsidRDefault="007C4CEB" w:rsidP="007C4CEB">
      <w:pPr>
        <w:rPr>
          <w:sz w:val="28"/>
          <w:szCs w:val="28"/>
        </w:rPr>
      </w:pPr>
      <w:r w:rsidRPr="007C4CEB">
        <w:rPr>
          <w:sz w:val="28"/>
          <w:szCs w:val="28"/>
        </w:rPr>
        <w:lastRenderedPageBreak/>
        <w:t>An asset may be sold at a predetermined future price on or before the option's maturity date, but the holder of a put option is only entitled to do so. For instance, the right to sell 700,000 shares of a publicly listed company at $100 a share for the duration of the next year may be granted to the holder of a put option on stocks.</w:t>
      </w:r>
    </w:p>
    <w:p w14:paraId="1D654273" w14:textId="77777777" w:rsidR="007C4CEB" w:rsidRPr="007C4CEB" w:rsidRDefault="007C4CEB" w:rsidP="007C4CEB">
      <w:pPr>
        <w:rPr>
          <w:sz w:val="28"/>
          <w:szCs w:val="28"/>
        </w:rPr>
      </w:pPr>
      <w:r w:rsidRPr="007C4CEB">
        <w:rPr>
          <w:sz w:val="28"/>
          <w:szCs w:val="28"/>
        </w:rPr>
        <w:t>When an option's strike price, or exercise price, is less than the value of the underlying asset, the put option is said to be in the money.</w:t>
      </w:r>
    </w:p>
    <w:p w14:paraId="46DF16C3" w14:textId="50B2E5F5" w:rsidR="00773657" w:rsidRDefault="007C4CEB" w:rsidP="007C4CEB">
      <w:pPr>
        <w:rPr>
          <w:sz w:val="28"/>
          <w:szCs w:val="28"/>
        </w:rPr>
      </w:pPr>
      <w:r w:rsidRPr="007C4CEB">
        <w:rPr>
          <w:sz w:val="28"/>
          <w:szCs w:val="28"/>
        </w:rPr>
        <w:t>An business that reports on its own ordinary or preferred equity shares may write call options on those shares, which are called warrants. The right, but not the responsibility, to buy the underlying shares at a given price on or before</w:t>
      </w:r>
    </w:p>
    <w:p w14:paraId="1A209FB4" w14:textId="29ADF36C" w:rsidR="00A24E95" w:rsidRPr="003B1DDF" w:rsidRDefault="001C51B1" w:rsidP="000B03EE">
      <w:pPr>
        <w:rPr>
          <w:b/>
          <w:bCs/>
          <w:sz w:val="28"/>
          <w:szCs w:val="28"/>
        </w:rPr>
      </w:pPr>
      <w:r w:rsidRPr="001C51B1">
        <w:rPr>
          <w:sz w:val="28"/>
          <w:szCs w:val="28"/>
        </w:rPr>
        <w:t>when something becomes mature. For instance, within two years after receiving the warrant, the holder may be entitled to buy $1,000 worth of the issuer's common stock at a price of $100 per share.</w:t>
      </w:r>
      <w:r w:rsidR="003B1DDF" w:rsidRPr="003B1DDF">
        <w:t xml:space="preserve"> </w:t>
      </w:r>
      <w:r w:rsidR="003B1DDF" w:rsidRPr="003B1DDF">
        <w:rPr>
          <w:b/>
          <w:bCs/>
          <w:sz w:val="28"/>
          <w:szCs w:val="28"/>
        </w:rPr>
        <w:t>(PWC, 2024)</w:t>
      </w:r>
    </w:p>
    <w:p w14:paraId="094BF05D" w14:textId="77777777" w:rsidR="00992BE6" w:rsidRDefault="00992BE6" w:rsidP="000B03EE">
      <w:pPr>
        <w:rPr>
          <w:sz w:val="28"/>
          <w:szCs w:val="28"/>
        </w:rPr>
      </w:pPr>
    </w:p>
    <w:p w14:paraId="547AC660" w14:textId="7EEEC12C" w:rsidR="00992BE6" w:rsidRDefault="00992BE6" w:rsidP="000B03EE">
      <w:pPr>
        <w:rPr>
          <w:sz w:val="28"/>
          <w:szCs w:val="28"/>
        </w:rPr>
      </w:pPr>
      <w:r>
        <w:rPr>
          <w:sz w:val="28"/>
          <w:szCs w:val="28"/>
        </w:rPr>
        <w:t xml:space="preserve">FIGURE </w:t>
      </w:r>
      <w:r w:rsidR="00130C41">
        <w:rPr>
          <w:sz w:val="28"/>
          <w:szCs w:val="28"/>
        </w:rPr>
        <w:t>6</w:t>
      </w:r>
    </w:p>
    <w:p w14:paraId="11593A28" w14:textId="109DB663" w:rsidR="00992BE6" w:rsidRDefault="009F0B66" w:rsidP="000B03EE">
      <w:pPr>
        <w:rPr>
          <w:sz w:val="28"/>
          <w:szCs w:val="28"/>
        </w:rPr>
      </w:pPr>
      <w:r>
        <w:rPr>
          <w:noProof/>
        </w:rPr>
        <w:drawing>
          <wp:inline distT="0" distB="0" distL="0" distR="0" wp14:anchorId="03A21C17" wp14:editId="66F6832A">
            <wp:extent cx="5731510" cy="2344420"/>
            <wp:effectExtent l="0" t="0" r="2540" b="0"/>
            <wp:docPr id="4606146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344420"/>
                    </a:xfrm>
                    <a:prstGeom prst="rect">
                      <a:avLst/>
                    </a:prstGeom>
                    <a:noFill/>
                    <a:ln>
                      <a:noFill/>
                    </a:ln>
                  </pic:spPr>
                </pic:pic>
              </a:graphicData>
            </a:graphic>
          </wp:inline>
        </w:drawing>
      </w:r>
    </w:p>
    <w:p w14:paraId="7F01516B" w14:textId="77777777" w:rsidR="00992BE6" w:rsidRDefault="00992BE6" w:rsidP="000B03EE">
      <w:pPr>
        <w:rPr>
          <w:sz w:val="28"/>
          <w:szCs w:val="28"/>
        </w:rPr>
      </w:pPr>
    </w:p>
    <w:p w14:paraId="61748358" w14:textId="44ABA2BB" w:rsidR="00992BE6" w:rsidRDefault="00281767" w:rsidP="000B03EE">
      <w:pPr>
        <w:rPr>
          <w:sz w:val="28"/>
          <w:szCs w:val="28"/>
        </w:rPr>
      </w:pPr>
      <w:r>
        <w:rPr>
          <w:sz w:val="28"/>
          <w:szCs w:val="28"/>
        </w:rPr>
        <w:t xml:space="preserve">Future price=$ </w:t>
      </w:r>
      <w:r w:rsidR="00EF6BF0">
        <w:rPr>
          <w:sz w:val="28"/>
          <w:szCs w:val="28"/>
        </w:rPr>
        <w:t>3.07</w:t>
      </w:r>
    </w:p>
    <w:p w14:paraId="13F38976" w14:textId="2E237B36" w:rsidR="00281767" w:rsidRDefault="00281767" w:rsidP="000B03EE">
      <w:pPr>
        <w:rPr>
          <w:sz w:val="28"/>
          <w:szCs w:val="28"/>
        </w:rPr>
      </w:pPr>
      <w:r>
        <w:rPr>
          <w:sz w:val="28"/>
          <w:szCs w:val="28"/>
        </w:rPr>
        <w:t>Payoff calls=$</w:t>
      </w:r>
      <w:r w:rsidR="00EF6BF0">
        <w:rPr>
          <w:sz w:val="28"/>
          <w:szCs w:val="28"/>
        </w:rPr>
        <w:t xml:space="preserve"> 4.20</w:t>
      </w:r>
    </w:p>
    <w:p w14:paraId="6D044391" w14:textId="3A8D96D4" w:rsidR="00281767" w:rsidRDefault="00281767" w:rsidP="000B03EE">
      <w:pPr>
        <w:rPr>
          <w:sz w:val="28"/>
          <w:szCs w:val="28"/>
        </w:rPr>
      </w:pPr>
      <w:r>
        <w:rPr>
          <w:sz w:val="28"/>
          <w:szCs w:val="28"/>
        </w:rPr>
        <w:t>Pay of put=$</w:t>
      </w:r>
      <w:r w:rsidR="00EF6BF0">
        <w:rPr>
          <w:sz w:val="28"/>
          <w:szCs w:val="28"/>
        </w:rPr>
        <w:t xml:space="preserve"> 22.50</w:t>
      </w:r>
    </w:p>
    <w:p w14:paraId="7BD7BA4C" w14:textId="52723381" w:rsidR="00281767" w:rsidRDefault="00281767" w:rsidP="000B03EE">
      <w:pPr>
        <w:rPr>
          <w:sz w:val="28"/>
          <w:szCs w:val="28"/>
        </w:rPr>
      </w:pPr>
      <w:r>
        <w:rPr>
          <w:sz w:val="28"/>
          <w:szCs w:val="28"/>
        </w:rPr>
        <w:t>Strike price</w:t>
      </w:r>
      <w:r w:rsidR="00EF6BF0">
        <w:rPr>
          <w:sz w:val="28"/>
          <w:szCs w:val="28"/>
        </w:rPr>
        <w:t>=</w:t>
      </w:r>
      <w:r>
        <w:rPr>
          <w:sz w:val="28"/>
          <w:szCs w:val="28"/>
        </w:rPr>
        <w:t>$</w:t>
      </w:r>
      <w:r w:rsidR="00EF6BF0">
        <w:rPr>
          <w:sz w:val="28"/>
          <w:szCs w:val="28"/>
        </w:rPr>
        <w:t xml:space="preserve"> 190</w:t>
      </w:r>
    </w:p>
    <w:p w14:paraId="187667DF" w14:textId="77777777" w:rsidR="00992BE6" w:rsidRDefault="00992BE6" w:rsidP="000B03EE">
      <w:pPr>
        <w:rPr>
          <w:sz w:val="28"/>
          <w:szCs w:val="28"/>
        </w:rPr>
      </w:pPr>
    </w:p>
    <w:p w14:paraId="03C2DA9D" w14:textId="088C1095" w:rsidR="00EF6BF0" w:rsidRDefault="00EF6BF0" w:rsidP="000B03EE">
      <w:pPr>
        <w:rPr>
          <w:sz w:val="28"/>
          <w:szCs w:val="28"/>
        </w:rPr>
      </w:pPr>
      <w:r>
        <w:rPr>
          <w:sz w:val="28"/>
          <w:szCs w:val="28"/>
        </w:rPr>
        <w:t>=$3.07-$4.20+$22.50-$190</w:t>
      </w:r>
    </w:p>
    <w:p w14:paraId="4E5E6F2A" w14:textId="5869A254" w:rsidR="00992BE6" w:rsidRDefault="00EF6BF0" w:rsidP="000B03EE">
      <w:pPr>
        <w:rPr>
          <w:sz w:val="28"/>
          <w:szCs w:val="28"/>
        </w:rPr>
      </w:pPr>
      <w:r>
        <w:rPr>
          <w:sz w:val="28"/>
          <w:szCs w:val="28"/>
        </w:rPr>
        <w:lastRenderedPageBreak/>
        <w:t>=168.63</w:t>
      </w:r>
    </w:p>
    <w:p w14:paraId="00CCE7DD" w14:textId="77777777" w:rsidR="00EF6BF0" w:rsidRDefault="00EF6BF0" w:rsidP="000B03EE">
      <w:pPr>
        <w:rPr>
          <w:sz w:val="28"/>
          <w:szCs w:val="28"/>
        </w:rPr>
      </w:pPr>
    </w:p>
    <w:p w14:paraId="15421348" w14:textId="678552F8" w:rsidR="00A24E95" w:rsidRPr="00E23C35" w:rsidRDefault="000061C2" w:rsidP="000B03EE">
      <w:pPr>
        <w:rPr>
          <w:b/>
          <w:bCs/>
          <w:sz w:val="32"/>
          <w:szCs w:val="32"/>
        </w:rPr>
      </w:pPr>
      <w:r w:rsidRPr="00E23C35">
        <w:rPr>
          <w:b/>
          <w:bCs/>
          <w:sz w:val="32"/>
          <w:szCs w:val="32"/>
        </w:rPr>
        <w:t xml:space="preserve">(3) STRADDLE OF AIRBNB </w:t>
      </w:r>
    </w:p>
    <w:p w14:paraId="08442A41" w14:textId="77777777" w:rsidR="00F742BF" w:rsidRPr="00F742BF" w:rsidRDefault="00F742BF" w:rsidP="00F742BF">
      <w:pPr>
        <w:rPr>
          <w:sz w:val="28"/>
          <w:szCs w:val="28"/>
        </w:rPr>
      </w:pPr>
      <w:r w:rsidRPr="00F742BF">
        <w:rPr>
          <w:sz w:val="28"/>
          <w:szCs w:val="28"/>
        </w:rPr>
        <w:t>Buying a call and a put option at the same time, both with the same strike price and expiration date, is known as a "At The Money" (ATM) straddle: this particular kind of options trading method.</w:t>
      </w:r>
    </w:p>
    <w:p w14:paraId="3A15A65A" w14:textId="77777777" w:rsidR="00F742BF" w:rsidRPr="00F742BF" w:rsidRDefault="00F742BF" w:rsidP="00F742BF">
      <w:pPr>
        <w:rPr>
          <w:sz w:val="28"/>
          <w:szCs w:val="28"/>
        </w:rPr>
      </w:pPr>
      <w:r w:rsidRPr="00F742BF">
        <w:rPr>
          <w:sz w:val="28"/>
          <w:szCs w:val="28"/>
        </w:rPr>
        <w:t>When the strike price of the options is equal to the current market value of the underlying asset, this is referred to as being "at the money." This approach is employed by traders who anticipate a notable shift in the value of the underlying asset, but they are unsure of the path that this move will take. If the price swings much higher or lower, the trader makes enough money to pay the whole expense of the put and call options combined.</w:t>
      </w:r>
    </w:p>
    <w:p w14:paraId="141759D9" w14:textId="02E6D0A1" w:rsidR="000061C2" w:rsidRDefault="00F742BF" w:rsidP="00F742BF">
      <w:pPr>
        <w:rPr>
          <w:b/>
          <w:bCs/>
          <w:sz w:val="28"/>
          <w:szCs w:val="28"/>
        </w:rPr>
      </w:pPr>
      <w:r w:rsidRPr="00F742BF">
        <w:rPr>
          <w:sz w:val="28"/>
          <w:szCs w:val="28"/>
        </w:rPr>
        <w:t>An ATM straddle has theoretically infinite profit potential because the underlying asset's price is</w:t>
      </w:r>
      <w:r w:rsidR="003257EF" w:rsidRPr="003257EF">
        <w:rPr>
          <w:sz w:val="28"/>
          <w:szCs w:val="28"/>
        </w:rPr>
        <w:t xml:space="preserve"> risk </w:t>
      </w:r>
      <w:r w:rsidR="003257EF">
        <w:rPr>
          <w:sz w:val="28"/>
          <w:szCs w:val="28"/>
        </w:rPr>
        <w:t>C</w:t>
      </w:r>
      <w:r w:rsidR="003257EF" w:rsidRPr="003257EF">
        <w:rPr>
          <w:sz w:val="28"/>
          <w:szCs w:val="28"/>
        </w:rPr>
        <w:t>apped at the entire premium paid on both the call and put options, even if the asset might rise or decrease at any time. The trader would forfeit the whole premium paid for the straddle if both options expire worthless and the price of the underlying asset stays around the strike price as the expiration date draws near. Thus, the optimum times to employ this method are during erratic markets or in front of a big news story that might alter prices significantly.</w:t>
      </w:r>
      <w:r w:rsidR="003B1DDF" w:rsidRPr="003B1DDF">
        <w:t xml:space="preserve"> </w:t>
      </w:r>
      <w:r w:rsidR="003B1DDF" w:rsidRPr="003B1DDF">
        <w:rPr>
          <w:b/>
          <w:bCs/>
          <w:sz w:val="28"/>
          <w:szCs w:val="28"/>
        </w:rPr>
        <w:t>(CFI TEAM, n.d.)</w:t>
      </w:r>
    </w:p>
    <w:p w14:paraId="73062911" w14:textId="4E625428" w:rsidR="00130C41" w:rsidRPr="00130C41" w:rsidRDefault="00EF6BF0" w:rsidP="00130C41">
      <w:pPr>
        <w:rPr>
          <w:b/>
          <w:bCs/>
          <w:sz w:val="28"/>
          <w:szCs w:val="28"/>
        </w:rPr>
      </w:pPr>
      <w:r w:rsidRPr="00EE0761">
        <w:rPr>
          <w:b/>
          <w:bCs/>
          <w:sz w:val="28"/>
          <w:szCs w:val="28"/>
        </w:rPr>
        <w:t xml:space="preserve">FIGURE </w:t>
      </w:r>
      <w:r w:rsidR="00130C41">
        <w:rPr>
          <w:b/>
          <w:bCs/>
          <w:sz w:val="28"/>
          <w:szCs w:val="28"/>
        </w:rPr>
        <w:t>7</w:t>
      </w:r>
    </w:p>
    <w:p w14:paraId="16A49B32" w14:textId="0964576D" w:rsidR="00A24E95" w:rsidRDefault="00EE0761" w:rsidP="000B03EE">
      <w:pPr>
        <w:rPr>
          <w:sz w:val="28"/>
          <w:szCs w:val="28"/>
        </w:rPr>
      </w:pPr>
      <w:r>
        <w:rPr>
          <w:noProof/>
        </w:rPr>
        <w:drawing>
          <wp:inline distT="0" distB="0" distL="0" distR="0" wp14:anchorId="697A9995" wp14:editId="546137B1">
            <wp:extent cx="5731510" cy="3000375"/>
            <wp:effectExtent l="0" t="0" r="2540" b="9525"/>
            <wp:docPr id="21062920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00375"/>
                    </a:xfrm>
                    <a:prstGeom prst="rect">
                      <a:avLst/>
                    </a:prstGeom>
                    <a:noFill/>
                    <a:ln>
                      <a:noFill/>
                    </a:ln>
                  </pic:spPr>
                </pic:pic>
              </a:graphicData>
            </a:graphic>
          </wp:inline>
        </w:drawing>
      </w:r>
    </w:p>
    <w:p w14:paraId="124A7C69" w14:textId="765676C1" w:rsidR="0034259C" w:rsidRPr="00EF6BF0" w:rsidRDefault="0034259C" w:rsidP="000B03EE">
      <w:pPr>
        <w:rPr>
          <w:sz w:val="28"/>
          <w:szCs w:val="28"/>
        </w:rPr>
      </w:pPr>
    </w:p>
    <w:p w14:paraId="0B64AFA7" w14:textId="77777777" w:rsidR="0034259C" w:rsidRDefault="0034259C" w:rsidP="000B03EE">
      <w:pPr>
        <w:rPr>
          <w:b/>
          <w:bCs/>
          <w:sz w:val="36"/>
          <w:szCs w:val="36"/>
        </w:rPr>
      </w:pPr>
    </w:p>
    <w:p w14:paraId="1A372DEE" w14:textId="77777777" w:rsidR="00DF4ADC" w:rsidRDefault="00DF4ADC" w:rsidP="000B03EE">
      <w:pPr>
        <w:rPr>
          <w:b/>
          <w:bCs/>
          <w:sz w:val="36"/>
          <w:szCs w:val="36"/>
        </w:rPr>
      </w:pPr>
    </w:p>
    <w:p w14:paraId="119F9E62" w14:textId="77777777" w:rsidR="00DF4ADC" w:rsidRDefault="00DF4ADC" w:rsidP="000B03EE">
      <w:pPr>
        <w:rPr>
          <w:b/>
          <w:bCs/>
          <w:sz w:val="36"/>
          <w:szCs w:val="36"/>
        </w:rPr>
      </w:pPr>
    </w:p>
    <w:p w14:paraId="560C77A3" w14:textId="06B84E13" w:rsidR="006423A0" w:rsidRDefault="006423A0" w:rsidP="000B03EE">
      <w:pPr>
        <w:rPr>
          <w:rFonts w:ascii="Times New Roman" w:eastAsia="Times New Roman" w:hAnsi="Times New Roman" w:cs="Times New Roman"/>
          <w:b/>
          <w:bCs/>
          <w:kern w:val="0"/>
          <w:sz w:val="32"/>
          <w:szCs w:val="32"/>
          <w:lang w:eastAsia="en-IN"/>
          <w14:ligatures w14:val="none"/>
        </w:rPr>
      </w:pPr>
      <w:r w:rsidRPr="000D1AB4">
        <w:rPr>
          <w:b/>
          <w:bCs/>
          <w:sz w:val="36"/>
          <w:szCs w:val="36"/>
        </w:rPr>
        <w:t>{</w:t>
      </w:r>
      <w:bookmarkStart w:id="2" w:name="_Hlk165374401"/>
      <w:r w:rsidRPr="000D1AB4">
        <w:rPr>
          <w:b/>
          <w:bCs/>
          <w:sz w:val="36"/>
          <w:szCs w:val="36"/>
        </w:rPr>
        <w:t>D}</w:t>
      </w:r>
      <w:r w:rsidR="00DF4ADC">
        <w:rPr>
          <w:b/>
          <w:bCs/>
          <w:sz w:val="36"/>
          <w:szCs w:val="36"/>
        </w:rPr>
        <w:t xml:space="preserve">  </w:t>
      </w:r>
      <w:r w:rsidR="00DF4ADC" w:rsidRPr="005078EB">
        <w:rPr>
          <w:rFonts w:ascii="Times New Roman" w:eastAsia="Times New Roman" w:hAnsi="Times New Roman" w:cs="Times New Roman"/>
          <w:b/>
          <w:bCs/>
          <w:kern w:val="0"/>
          <w:sz w:val="32"/>
          <w:szCs w:val="32"/>
          <w:lang w:eastAsia="en-IN"/>
          <w14:ligatures w14:val="none"/>
        </w:rPr>
        <w:t>EXCHANGE BRIEF NOTE AND IMPACT DEBT FROM CONSUMERS</w:t>
      </w:r>
    </w:p>
    <w:p w14:paraId="4B66B74B" w14:textId="77777777" w:rsidR="00DF4ADC" w:rsidRPr="000D1AB4" w:rsidRDefault="00DF4ADC" w:rsidP="000B03EE">
      <w:pPr>
        <w:rPr>
          <w:b/>
          <w:bCs/>
          <w:sz w:val="36"/>
          <w:szCs w:val="36"/>
        </w:rPr>
      </w:pPr>
    </w:p>
    <w:p w14:paraId="3FECF27F" w14:textId="553073AB" w:rsidR="006423A0" w:rsidRDefault="006423A0" w:rsidP="000B03EE">
      <w:pPr>
        <w:rPr>
          <w:b/>
          <w:bCs/>
          <w:sz w:val="36"/>
          <w:szCs w:val="36"/>
        </w:rPr>
      </w:pPr>
      <w:r w:rsidRPr="000D1AB4">
        <w:rPr>
          <w:b/>
          <w:bCs/>
          <w:sz w:val="36"/>
          <w:szCs w:val="36"/>
        </w:rPr>
        <w:t xml:space="preserve">(1) </w:t>
      </w:r>
      <w:r w:rsidR="00EC4968" w:rsidRPr="000D1AB4">
        <w:rPr>
          <w:b/>
          <w:bCs/>
          <w:sz w:val="36"/>
          <w:szCs w:val="36"/>
        </w:rPr>
        <w:t>Talk about the 10-year note's performance.</w:t>
      </w:r>
    </w:p>
    <w:p w14:paraId="68597B7B" w14:textId="4399712E" w:rsidR="0034259C" w:rsidRDefault="0034259C" w:rsidP="0034259C">
      <w:pPr>
        <w:rPr>
          <w:sz w:val="28"/>
          <w:szCs w:val="28"/>
        </w:rPr>
      </w:pPr>
      <w:r w:rsidRPr="0034259C">
        <w:rPr>
          <w:sz w:val="28"/>
          <w:szCs w:val="28"/>
        </w:rPr>
        <w:t>The current rate that investors would receive if they purchased 10-year Treasury notes today is known as the yield.</w:t>
      </w:r>
    </w:p>
    <w:p w14:paraId="539EB880" w14:textId="77777777" w:rsidR="00EF6BF0" w:rsidRPr="0034259C" w:rsidRDefault="00EF6BF0" w:rsidP="0034259C">
      <w:pPr>
        <w:rPr>
          <w:sz w:val="28"/>
          <w:szCs w:val="28"/>
        </w:rPr>
      </w:pPr>
    </w:p>
    <w:p w14:paraId="3F3D922A" w14:textId="0B18F8FE" w:rsidR="00EF6BF0" w:rsidRPr="0034259C" w:rsidRDefault="0034259C" w:rsidP="0034259C">
      <w:pPr>
        <w:rPr>
          <w:sz w:val="28"/>
          <w:szCs w:val="28"/>
        </w:rPr>
      </w:pPr>
      <w:r w:rsidRPr="0034259C">
        <w:rPr>
          <w:sz w:val="28"/>
          <w:szCs w:val="28"/>
        </w:rPr>
        <w:t xml:space="preserve">Expert investors examine trends in 10-year Treasury yields and forecast changes in yields over time, as changes in these rates reveal a great deal about the state of the economy and the mood of the world's markets. Global economic optimism is </w:t>
      </w:r>
      <w:r w:rsidRPr="0034259C">
        <w:rPr>
          <w:sz w:val="28"/>
          <w:szCs w:val="28"/>
        </w:rPr>
        <w:t>signalled</w:t>
      </w:r>
      <w:r w:rsidRPr="0034259C">
        <w:rPr>
          <w:sz w:val="28"/>
          <w:szCs w:val="28"/>
        </w:rPr>
        <w:t xml:space="preserve"> by advances in the 10-year Treasury yield, while declines often suggest worry about the state of the world economy.</w:t>
      </w:r>
    </w:p>
    <w:p w14:paraId="75A59252" w14:textId="7AF4AC8E" w:rsidR="0034259C" w:rsidRDefault="0034259C" w:rsidP="0034259C">
      <w:pPr>
        <w:rPr>
          <w:sz w:val="28"/>
          <w:szCs w:val="28"/>
        </w:rPr>
      </w:pPr>
      <w:r w:rsidRPr="0034259C">
        <w:rPr>
          <w:sz w:val="28"/>
          <w:szCs w:val="28"/>
        </w:rPr>
        <w:t>For the first time in almost fifteen years, the yield on the 10-year Treasury note exceeded 5.00% on October 23, 2023. But the 10-year yield was 6.23% in April 2000. The 10-year Treasury yield has decreased significantly since 1990, as you can see in the graphic below.</w:t>
      </w:r>
    </w:p>
    <w:p w14:paraId="3C796171" w14:textId="5FB53730" w:rsidR="0007028F" w:rsidRDefault="00DB0039" w:rsidP="0007028F">
      <w:pPr>
        <w:rPr>
          <w:sz w:val="28"/>
          <w:szCs w:val="28"/>
        </w:rPr>
      </w:pPr>
      <w:r>
        <w:rPr>
          <w:noProof/>
        </w:rPr>
        <w:lastRenderedPageBreak/>
        <w:drawing>
          <wp:inline distT="0" distB="0" distL="0" distR="0" wp14:anchorId="46132466" wp14:editId="47A66666">
            <wp:extent cx="6507480" cy="4302125"/>
            <wp:effectExtent l="0" t="0" r="7620" b="3175"/>
            <wp:docPr id="1852202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07639" cy="4302230"/>
                    </a:xfrm>
                    <a:prstGeom prst="rect">
                      <a:avLst/>
                    </a:prstGeom>
                    <a:noFill/>
                    <a:ln>
                      <a:noFill/>
                    </a:ln>
                  </pic:spPr>
                </pic:pic>
              </a:graphicData>
            </a:graphic>
          </wp:inline>
        </w:drawing>
      </w:r>
    </w:p>
    <w:p w14:paraId="6EAF5932" w14:textId="0DB3B326" w:rsidR="0007028F" w:rsidRPr="0007028F" w:rsidRDefault="0007028F" w:rsidP="0007028F">
      <w:pPr>
        <w:rPr>
          <w:sz w:val="28"/>
          <w:szCs w:val="28"/>
        </w:rPr>
      </w:pPr>
      <w:r w:rsidRPr="0007028F">
        <w:rPr>
          <w:sz w:val="28"/>
          <w:szCs w:val="28"/>
        </w:rPr>
        <w:t>Let us examine the yield on the 10-year Treasury note in detail for 2016. Shortly after the United Kingdom's voters concluded a referendum in which they chose to leave the European Union, on July 5, 2016, the yield on the 10-year Treasury fell to a (then) record low of 1.37%. Because of the global market trembling caused by this political earthquake, the 10-year yield fell.</w:t>
      </w:r>
    </w:p>
    <w:p w14:paraId="57FDC414" w14:textId="77777777" w:rsidR="0007028F" w:rsidRPr="0007028F" w:rsidRDefault="0007028F" w:rsidP="0007028F">
      <w:pPr>
        <w:rPr>
          <w:sz w:val="28"/>
          <w:szCs w:val="28"/>
        </w:rPr>
      </w:pPr>
    </w:p>
    <w:p w14:paraId="3A736FAE" w14:textId="65447918" w:rsidR="00B86D44" w:rsidRDefault="0007028F" w:rsidP="0007028F">
      <w:pPr>
        <w:rPr>
          <w:sz w:val="28"/>
          <w:szCs w:val="28"/>
        </w:rPr>
      </w:pPr>
      <w:r w:rsidRPr="0007028F">
        <w:rPr>
          <w:sz w:val="28"/>
          <w:szCs w:val="28"/>
        </w:rPr>
        <w:t>In the meanwhile, the 10-year yield increased significantly following Donald Trump's election as US president in November 2016, hitting 2.60% by mid-December.</w:t>
      </w:r>
      <w:r w:rsidR="00334726" w:rsidRPr="00334726">
        <w:t xml:space="preserve"> </w:t>
      </w:r>
      <w:r w:rsidR="00334726" w:rsidRPr="00334726">
        <w:rPr>
          <w:sz w:val="28"/>
          <w:szCs w:val="28"/>
        </w:rPr>
        <w:t>Let us examine this more closely: the pandemic's onset caused investors to fear and sent world markets into disarray</w:t>
      </w:r>
      <w:r w:rsidR="00FB5522">
        <w:rPr>
          <w:sz w:val="28"/>
          <w:szCs w:val="28"/>
        </w:rPr>
        <w:t xml:space="preserve"> </w:t>
      </w:r>
      <w:r w:rsidRPr="0007028F">
        <w:rPr>
          <w:sz w:val="28"/>
          <w:szCs w:val="28"/>
        </w:rPr>
        <w:t>Take note that, until the Covid-19 epidemic started in 2020, the yield on the 10-year Treasury note was consistently higher than its July 2016 low. The yield on the 10-year Treasury hit a record low of 0.54% on March 9, 2020.</w:t>
      </w:r>
    </w:p>
    <w:p w14:paraId="5F371F0F" w14:textId="77777777" w:rsidR="00FB5522" w:rsidRPr="00FB5522" w:rsidRDefault="00FB5522" w:rsidP="00FB5522">
      <w:pPr>
        <w:rPr>
          <w:sz w:val="28"/>
          <w:szCs w:val="28"/>
        </w:rPr>
      </w:pPr>
      <w:r w:rsidRPr="00FB5522">
        <w:rPr>
          <w:sz w:val="28"/>
          <w:szCs w:val="28"/>
        </w:rPr>
        <w:t xml:space="preserve">The $1,000 face value 10-year T-notes are issued by the U.S. Treasury together with a coupon that details the amount of interest that must be paid every six months. The Federal Reserve holds auctions wherein banks and other financial </w:t>
      </w:r>
      <w:r w:rsidRPr="00FB5522">
        <w:rPr>
          <w:sz w:val="28"/>
          <w:szCs w:val="28"/>
        </w:rPr>
        <w:lastRenderedPageBreak/>
        <w:t>institutions that are institutional investors purchase the notes. In the secondary market, institutions resale these notes to investors.</w:t>
      </w:r>
    </w:p>
    <w:p w14:paraId="60AF75B0" w14:textId="77777777" w:rsidR="00FB5522" w:rsidRPr="00FB5522" w:rsidRDefault="00FB5522" w:rsidP="00FB5522">
      <w:pPr>
        <w:rPr>
          <w:sz w:val="28"/>
          <w:szCs w:val="28"/>
        </w:rPr>
      </w:pPr>
    </w:p>
    <w:p w14:paraId="38E601B3" w14:textId="4642C8B7" w:rsidR="00FB5522" w:rsidRDefault="00FB5522" w:rsidP="00FB5522">
      <w:pPr>
        <w:rPr>
          <w:sz w:val="28"/>
          <w:szCs w:val="28"/>
        </w:rPr>
      </w:pPr>
      <w:r w:rsidRPr="00FB5522">
        <w:rPr>
          <w:sz w:val="28"/>
          <w:szCs w:val="28"/>
        </w:rPr>
        <w:t>The yield is decided by what happens in the secondary market. This is significant to remember because when people discuss Treasuries, they are referring to this rate. Although the coupon rate is the interest rate you will get relative to the face value of the Treasury, the actual yield you receive will probably differ from the coupon rate. Less than face value will result in your</w:t>
      </w:r>
    </w:p>
    <w:p w14:paraId="69408335" w14:textId="77777777" w:rsidR="00AB267E" w:rsidRPr="00AB267E" w:rsidRDefault="00AB267E" w:rsidP="00AB267E">
      <w:pPr>
        <w:rPr>
          <w:sz w:val="28"/>
          <w:szCs w:val="28"/>
        </w:rPr>
      </w:pPr>
      <w:r w:rsidRPr="00AB267E">
        <w:rPr>
          <w:sz w:val="28"/>
          <w:szCs w:val="28"/>
        </w:rPr>
        <w:t>Bond prices, and hence effective yields, fluctuate virtually daily. This is due to the fact that the price of a bond and yield are inversely correlated: yields rise in response to strong demand, whereas Treasury prices decrease in response to low demand. People gravitate towards (and subsequently away from) Treasuries depending on the state of the economy, which eventually generates the Treasury pricing market.</w:t>
      </w:r>
    </w:p>
    <w:p w14:paraId="6AF68874" w14:textId="77777777" w:rsidR="00AB267E" w:rsidRPr="00AB267E" w:rsidRDefault="00AB267E" w:rsidP="00AB267E">
      <w:pPr>
        <w:rPr>
          <w:sz w:val="28"/>
          <w:szCs w:val="28"/>
        </w:rPr>
      </w:pPr>
    </w:p>
    <w:p w14:paraId="32B1D10E" w14:textId="01B39D9D" w:rsidR="00AB267E" w:rsidRDefault="00EF6BF0" w:rsidP="00AB267E">
      <w:pPr>
        <w:rPr>
          <w:sz w:val="28"/>
          <w:szCs w:val="28"/>
        </w:rPr>
      </w:pPr>
      <w:r>
        <w:rPr>
          <w:sz w:val="28"/>
          <w:szCs w:val="28"/>
        </w:rPr>
        <w:t>T</w:t>
      </w:r>
      <w:r w:rsidR="00AB267E" w:rsidRPr="00AB267E">
        <w:rPr>
          <w:sz w:val="28"/>
          <w:szCs w:val="28"/>
        </w:rPr>
        <w:t>he US government has never had a debt default, all US Treasury assets are viewed as risk-free investments. In times of economic uncertainty and market</w:t>
      </w:r>
      <w:r>
        <w:rPr>
          <w:sz w:val="28"/>
          <w:szCs w:val="28"/>
        </w:rPr>
        <w:t xml:space="preserve"> </w:t>
      </w:r>
      <w:r w:rsidR="00AB267E" w:rsidRPr="00AB267E">
        <w:rPr>
          <w:sz w:val="28"/>
          <w:szCs w:val="28"/>
        </w:rPr>
        <w:t>danger, investors seek for capital-preserving safe havens, and Treasuries are among the safest options available.</w:t>
      </w:r>
    </w:p>
    <w:p w14:paraId="10893A85" w14:textId="0E8E576C" w:rsidR="00CE044A" w:rsidRPr="00EF6BF0" w:rsidRDefault="00C26698" w:rsidP="000B03EE">
      <w:pPr>
        <w:rPr>
          <w:b/>
          <w:bCs/>
          <w:sz w:val="28"/>
          <w:szCs w:val="28"/>
        </w:rPr>
      </w:pPr>
      <w:r w:rsidRPr="00C26698">
        <w:rPr>
          <w:sz w:val="28"/>
          <w:szCs w:val="28"/>
        </w:rPr>
        <w:t>The relationship between risk and return is one of the cornerstones of finance. A thriving economy and rising markets increase people's willingness to take on risk and make money. Because of their decreased returns, risk-free Treasuries become significantly less tempting. Treasury notes trade at a discount to face value when demand drops.</w:t>
      </w:r>
      <w:r w:rsidR="00D634DE" w:rsidRPr="00D634DE">
        <w:t xml:space="preserve"> </w:t>
      </w:r>
      <w:r w:rsidR="00D634DE" w:rsidRPr="00D634DE">
        <w:rPr>
          <w:b/>
          <w:bCs/>
          <w:sz w:val="28"/>
          <w:szCs w:val="28"/>
        </w:rPr>
        <w:t>(Baldridge, 2021)</w:t>
      </w:r>
    </w:p>
    <w:p w14:paraId="633C5939" w14:textId="77777777" w:rsidR="00CE044A" w:rsidRDefault="00CE044A" w:rsidP="000B03EE">
      <w:pPr>
        <w:rPr>
          <w:sz w:val="28"/>
          <w:szCs w:val="28"/>
        </w:rPr>
      </w:pPr>
    </w:p>
    <w:p w14:paraId="7E76FA49" w14:textId="77777777" w:rsidR="00CE044A" w:rsidRDefault="00CE044A" w:rsidP="000B03EE">
      <w:pPr>
        <w:rPr>
          <w:sz w:val="28"/>
          <w:szCs w:val="28"/>
        </w:rPr>
      </w:pPr>
    </w:p>
    <w:p w14:paraId="284EC6C4" w14:textId="6D78A5F5" w:rsidR="00CE044A" w:rsidRPr="000D1AB4" w:rsidRDefault="00CE044A" w:rsidP="000B03EE">
      <w:pPr>
        <w:rPr>
          <w:b/>
          <w:bCs/>
          <w:sz w:val="36"/>
          <w:szCs w:val="36"/>
        </w:rPr>
      </w:pPr>
      <w:r w:rsidRPr="000D1AB4">
        <w:rPr>
          <w:b/>
          <w:bCs/>
          <w:sz w:val="36"/>
          <w:szCs w:val="36"/>
        </w:rPr>
        <w:t>(2)</w:t>
      </w:r>
      <w:r w:rsidR="00397716" w:rsidRPr="000D1AB4">
        <w:rPr>
          <w:b/>
          <w:bCs/>
          <w:sz w:val="36"/>
          <w:szCs w:val="36"/>
        </w:rPr>
        <w:t xml:space="preserve"> A CHANGE IN AIRBNB INC'S YIELD AND ITS IMPACT</w:t>
      </w:r>
    </w:p>
    <w:bookmarkEnd w:id="2"/>
    <w:p w14:paraId="580436F1" w14:textId="23D29D60" w:rsidR="005D3C87" w:rsidRPr="005D3C87" w:rsidRDefault="005D3C87" w:rsidP="005D3C87">
      <w:pPr>
        <w:rPr>
          <w:sz w:val="28"/>
          <w:szCs w:val="28"/>
        </w:rPr>
      </w:pPr>
      <w:r w:rsidRPr="005D3C87">
        <w:rPr>
          <w:sz w:val="28"/>
          <w:szCs w:val="28"/>
        </w:rPr>
        <w:t xml:space="preserve">Theories of consumption aim to forecast and explain trends in consumer expenditure. Since consumer spending drives demand for goods and services and has a major influence on economic growth, it is essential to understanding consumer </w:t>
      </w:r>
      <w:r w:rsidR="00701408" w:rsidRPr="005D3C87">
        <w:rPr>
          <w:sz w:val="28"/>
          <w:szCs w:val="28"/>
        </w:rPr>
        <w:t>behaviour</w:t>
      </w:r>
      <w:r w:rsidRPr="005D3C87">
        <w:rPr>
          <w:sz w:val="28"/>
          <w:szCs w:val="28"/>
        </w:rPr>
        <w:t xml:space="preserve"> in the economy.</w:t>
      </w:r>
    </w:p>
    <w:p w14:paraId="34BCA5CD" w14:textId="77777777" w:rsidR="005D3C87" w:rsidRPr="005D3C87" w:rsidRDefault="005D3C87" w:rsidP="005D3C87">
      <w:pPr>
        <w:rPr>
          <w:sz w:val="28"/>
          <w:szCs w:val="28"/>
        </w:rPr>
      </w:pPr>
      <w:r w:rsidRPr="005D3C87">
        <w:rPr>
          <w:sz w:val="28"/>
          <w:szCs w:val="28"/>
        </w:rPr>
        <w:t>A variety of ideas exist about consumption, such as:</w:t>
      </w:r>
    </w:p>
    <w:p w14:paraId="443172AD" w14:textId="7635B3BD" w:rsidR="005D3C87" w:rsidRPr="005D3C87" w:rsidRDefault="005D3C87" w:rsidP="005D3C87">
      <w:pPr>
        <w:rPr>
          <w:sz w:val="28"/>
          <w:szCs w:val="28"/>
        </w:rPr>
      </w:pPr>
      <w:r w:rsidRPr="005D3C87">
        <w:rPr>
          <w:sz w:val="28"/>
          <w:szCs w:val="28"/>
        </w:rPr>
        <w:lastRenderedPageBreak/>
        <w:t xml:space="preserve">Utilization Function in </w:t>
      </w:r>
      <w:r w:rsidR="00701408" w:rsidRPr="005D3C87">
        <w:rPr>
          <w:sz w:val="28"/>
          <w:szCs w:val="28"/>
        </w:rPr>
        <w:t>Keynesian</w:t>
      </w:r>
      <w:r w:rsidRPr="005D3C87">
        <w:rPr>
          <w:sz w:val="28"/>
          <w:szCs w:val="28"/>
        </w:rPr>
        <w:t xml:space="preserve"> Theory In 1936, Keynes: Economist John Maynard Keynes proposed this hypothesis, which contends that disposable income influences consumer purchasing.</w:t>
      </w:r>
    </w:p>
    <w:p w14:paraId="38094272" w14:textId="77777777" w:rsidR="005D3C87" w:rsidRPr="005D3C87" w:rsidRDefault="005D3C87" w:rsidP="005D3C87">
      <w:pPr>
        <w:rPr>
          <w:sz w:val="28"/>
          <w:szCs w:val="28"/>
        </w:rPr>
      </w:pPr>
      <w:r w:rsidRPr="005D3C87">
        <w:rPr>
          <w:sz w:val="28"/>
          <w:szCs w:val="28"/>
        </w:rPr>
        <w:t>In 1957, Friedman proposed the Permanent Income Hypothesis. According to Milton Friedman's thesis, consumer spending is influenced by both the individual's predicted lifelong income and their present disposable income. By this argument, consumers will not only change their spending to reflect their present income but also to reflect their predicted lifetime income.</w:t>
      </w:r>
    </w:p>
    <w:p w14:paraId="58BA0F85" w14:textId="77777777" w:rsidR="00EA4EDE" w:rsidRDefault="005D3C87" w:rsidP="000B03EE">
      <w:r w:rsidRPr="005D3C87">
        <w:rPr>
          <w:sz w:val="28"/>
          <w:szCs w:val="28"/>
        </w:rPr>
        <w:t>The Life Cycle</w:t>
      </w:r>
      <w:r w:rsidR="00701408" w:rsidRPr="00701408">
        <w:t xml:space="preserve"> </w:t>
      </w:r>
      <w:r w:rsidR="00701408" w:rsidRPr="00701408">
        <w:rPr>
          <w:sz w:val="28"/>
          <w:szCs w:val="28"/>
        </w:rPr>
        <w:t>Modigliani and Brumberg (1954); Ando and Modigliani (1963): The Life Cycle Hypothesis According to this idea, which economist Franco Modigliani created, a person's life stage and anticipated future income have an impact on their consumer purchasing. This hypothesis states that the likelihood of having larger debt and lesser savings is higher for younger people, whereas the likelihood of having higher savings and lower debt is higher for older people.</w:t>
      </w:r>
      <w:r w:rsidR="00EA4EDE" w:rsidRPr="00EA4EDE">
        <w:t xml:space="preserve"> </w:t>
      </w:r>
    </w:p>
    <w:p w14:paraId="6B276C45" w14:textId="6DB876FF" w:rsidR="00A24E95" w:rsidRDefault="00EA4EDE" w:rsidP="000B03EE">
      <w:pPr>
        <w:rPr>
          <w:sz w:val="28"/>
          <w:szCs w:val="28"/>
        </w:rPr>
      </w:pPr>
      <w:r w:rsidRPr="00EA4EDE">
        <w:rPr>
          <w:sz w:val="28"/>
          <w:szCs w:val="28"/>
        </w:rPr>
        <w:t>A common method of financing household expenditure is borrowing. It applies especially to durable goods and houses. Credit is also a viable option for the consumption of nondurables and services, particularly in industrialized nations. In previous decades, interest rates were usually down and borrowing was easily accessible. Household consumption is significantly impacted by these two variables. In general, higher interest rates promote saving and discourage consumption. Due to the diminished value of saving money, lower interest rates promote consuming rather than saving. Lower interest rates make it more affordable for people to borrow money, which may lead to increased consumption. People could be more inclined to take on debt in this situation as borrowing money is less expensive. Prior to now, credit was mostly</w:t>
      </w:r>
    </w:p>
    <w:p w14:paraId="0D8FFB18" w14:textId="65D033DC" w:rsidR="00BF04F1" w:rsidRDefault="00BF04F1" w:rsidP="000B03EE">
      <w:pPr>
        <w:rPr>
          <w:sz w:val="28"/>
          <w:szCs w:val="28"/>
        </w:rPr>
      </w:pPr>
      <w:r w:rsidRPr="00BF04F1">
        <w:rPr>
          <w:sz w:val="28"/>
          <w:szCs w:val="28"/>
        </w:rPr>
        <w:t xml:space="preserve">Figure 1 illustrates how consumer finance is playing a bigger role. A study conducted by Barba and </w:t>
      </w:r>
      <w:r w:rsidRPr="00BF04F1">
        <w:rPr>
          <w:sz w:val="28"/>
          <w:szCs w:val="28"/>
        </w:rPr>
        <w:t>Pipette</w:t>
      </w:r>
      <w:r w:rsidRPr="00BF04F1">
        <w:rPr>
          <w:sz w:val="28"/>
          <w:szCs w:val="28"/>
        </w:rPr>
        <w:t xml:space="preserve"> (2009), Christen and Morgan (2005), and Wolff (2011) examined the relationship between household debt increase and consumption growth. Note that rising household debt is a widespread phenomenon in many nations. Johnston and others (2021); Mian and others (2017). Nevertheless, a sizable portion of families save little to nothing in liquid assets (see Leung (2000) and the references therein). Interest rates and the expansion of credit are closely related. One common belief is that interest rates have a major role in the expansion of credit. The interest rate statistics in Figure 2 and in the USA provide clear evidence of this.</w:t>
      </w:r>
    </w:p>
    <w:p w14:paraId="3E6ADE73" w14:textId="0AB1414E" w:rsidR="00A6649F" w:rsidRDefault="00A6649F" w:rsidP="000B03EE">
      <w:pPr>
        <w:rPr>
          <w:sz w:val="28"/>
          <w:szCs w:val="28"/>
        </w:rPr>
      </w:pPr>
      <w:r w:rsidRPr="00A6649F">
        <w:rPr>
          <w:sz w:val="28"/>
          <w:szCs w:val="28"/>
        </w:rPr>
        <w:lastRenderedPageBreak/>
        <w:t>Figure 3 displays statistics on government bonds. Figure 2 displays a series of sharp declines and slow rises in interest rates. In previous decades, interest rates have generally declined from high (double-digit) values to values that are almost zero. Let us take the 1980s as an example. In hard economic times, significant reductions in loan rates are typically applied to boost company and consumer spending. For instance, the 2007–2009 financial crisis was the source of the most recent significant decline. All but one of them had to do with the 2000 dot-com bubble. Such adjustments inevitably had an impact on the pattern of consumption.</w:t>
      </w:r>
    </w:p>
    <w:p w14:paraId="4F77045F" w14:textId="77777777" w:rsidR="00584558" w:rsidRDefault="00584558" w:rsidP="000B03EE">
      <w:pPr>
        <w:rPr>
          <w:sz w:val="28"/>
          <w:szCs w:val="28"/>
        </w:rPr>
      </w:pPr>
    </w:p>
    <w:p w14:paraId="388502C0" w14:textId="79CC4A89" w:rsidR="00A24E95" w:rsidRDefault="00584558" w:rsidP="000B03EE">
      <w:pPr>
        <w:rPr>
          <w:sz w:val="28"/>
          <w:szCs w:val="28"/>
        </w:rPr>
      </w:pPr>
      <w:r>
        <w:rPr>
          <w:noProof/>
          <w:sz w:val="28"/>
          <w:szCs w:val="28"/>
        </w:rPr>
        <w:drawing>
          <wp:inline distT="0" distB="0" distL="0" distR="0" wp14:anchorId="200A208E" wp14:editId="3D813E4E">
            <wp:extent cx="6187440" cy="2628900"/>
            <wp:effectExtent l="0" t="0" r="3810" b="0"/>
            <wp:docPr id="7953123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87440" cy="2628900"/>
                    </a:xfrm>
                    <a:prstGeom prst="rect">
                      <a:avLst/>
                    </a:prstGeom>
                    <a:noFill/>
                  </pic:spPr>
                </pic:pic>
              </a:graphicData>
            </a:graphic>
          </wp:inline>
        </w:drawing>
      </w:r>
    </w:p>
    <w:p w14:paraId="367FF624" w14:textId="77777777" w:rsidR="00A24E95" w:rsidRDefault="00A24E95" w:rsidP="000B03EE">
      <w:pPr>
        <w:rPr>
          <w:sz w:val="28"/>
          <w:szCs w:val="28"/>
        </w:rPr>
      </w:pPr>
    </w:p>
    <w:p w14:paraId="73D58CA2" w14:textId="77777777" w:rsidR="00A24E95" w:rsidRDefault="00A24E95" w:rsidP="000B03EE">
      <w:pPr>
        <w:rPr>
          <w:sz w:val="28"/>
          <w:szCs w:val="28"/>
        </w:rPr>
      </w:pPr>
    </w:p>
    <w:p w14:paraId="0F334186" w14:textId="77777777" w:rsidR="00A24E95" w:rsidRDefault="00A24E95" w:rsidP="000B03EE">
      <w:pPr>
        <w:rPr>
          <w:sz w:val="28"/>
          <w:szCs w:val="28"/>
        </w:rPr>
      </w:pPr>
    </w:p>
    <w:p w14:paraId="19119F44" w14:textId="77777777" w:rsidR="00A24E95" w:rsidRDefault="00A24E95" w:rsidP="000B03EE">
      <w:pPr>
        <w:rPr>
          <w:sz w:val="28"/>
          <w:szCs w:val="28"/>
        </w:rPr>
      </w:pPr>
    </w:p>
    <w:p w14:paraId="2CA0286D" w14:textId="77777777" w:rsidR="00A24E95" w:rsidRDefault="00A24E95" w:rsidP="000B03EE">
      <w:pPr>
        <w:rPr>
          <w:sz w:val="28"/>
          <w:szCs w:val="28"/>
        </w:rPr>
      </w:pPr>
    </w:p>
    <w:p w14:paraId="64B1E6A1" w14:textId="3721A818" w:rsidR="00A24E95" w:rsidRDefault="00584558" w:rsidP="000B03EE">
      <w:pPr>
        <w:rPr>
          <w:sz w:val="28"/>
          <w:szCs w:val="28"/>
        </w:rPr>
      </w:pPr>
      <w:r>
        <w:rPr>
          <w:noProof/>
          <w:sz w:val="28"/>
          <w:szCs w:val="28"/>
        </w:rPr>
        <w:lastRenderedPageBreak/>
        <w:drawing>
          <wp:inline distT="0" distB="0" distL="0" distR="0" wp14:anchorId="213A7CF5" wp14:editId="3460C6B1">
            <wp:extent cx="6416040" cy="3048000"/>
            <wp:effectExtent l="0" t="0" r="3810" b="0"/>
            <wp:docPr id="10502834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16040" cy="3048000"/>
                    </a:xfrm>
                    <a:prstGeom prst="rect">
                      <a:avLst/>
                    </a:prstGeom>
                    <a:noFill/>
                  </pic:spPr>
                </pic:pic>
              </a:graphicData>
            </a:graphic>
          </wp:inline>
        </w:drawing>
      </w:r>
    </w:p>
    <w:p w14:paraId="7A63F388" w14:textId="77777777" w:rsidR="00A24E95" w:rsidRDefault="00A24E95" w:rsidP="000B03EE">
      <w:pPr>
        <w:rPr>
          <w:sz w:val="28"/>
          <w:szCs w:val="28"/>
        </w:rPr>
      </w:pPr>
    </w:p>
    <w:p w14:paraId="1849747E" w14:textId="19FB3C4F" w:rsidR="00A24E95" w:rsidRDefault="00A24E95" w:rsidP="000B03EE">
      <w:pPr>
        <w:rPr>
          <w:sz w:val="28"/>
          <w:szCs w:val="28"/>
        </w:rPr>
      </w:pPr>
    </w:p>
    <w:p w14:paraId="24062254" w14:textId="672ADF01" w:rsidR="00613562" w:rsidRPr="00613562" w:rsidRDefault="00584558" w:rsidP="00613562">
      <w:pPr>
        <w:rPr>
          <w:sz w:val="28"/>
          <w:szCs w:val="28"/>
        </w:rPr>
      </w:pPr>
      <w:r w:rsidRPr="00584558">
        <w:rPr>
          <w:sz w:val="28"/>
          <w:szCs w:val="28"/>
        </w:rPr>
        <w:t>Numerous economists were drawn to the correlation that existed between interest rates and saving (or consumption). Fortune and Ortmeyer (1985), Gylfason (1981), Carlino (1982), and Taylor (1999). One area of focus is how interest rate shocks affect consumer spending. 2020 Cloyne et al.; 2022 Coskun et al. It is especially important to comprehend how changes in interest rates affect consumption in order to carry out monetary policy effectively. Comparatively few empirical studies were conducted to examine how changes in interest rates affected consumption; in fact, very few</w:t>
      </w:r>
      <w:r w:rsidR="00613562" w:rsidRPr="00613562">
        <w:t xml:space="preserve"> </w:t>
      </w:r>
      <w:r w:rsidR="00613562" w:rsidRPr="00613562">
        <w:rPr>
          <w:sz w:val="28"/>
          <w:szCs w:val="28"/>
        </w:rPr>
        <w:t>tries to take a disaggregated approach to this subject. The majority of academics make the case that shifts in interest rates and consumption are inversely related. They contend that taking the actual interest rate into account rather than only the nominal one is reasonable. The conflicting results of several empirical research were explored in Carlino (1982) and Gylfason (1981). Note that throughout the last 20 years, low interest rates have become the new normal, yet the majority of the outcomes that are currently known were established earlier.</w:t>
      </w:r>
    </w:p>
    <w:p w14:paraId="367B7C11" w14:textId="2ED21FA5" w:rsidR="007B6DA0" w:rsidRDefault="00613562" w:rsidP="000B03EE">
      <w:pPr>
        <w:rPr>
          <w:sz w:val="28"/>
          <w:szCs w:val="28"/>
        </w:rPr>
      </w:pPr>
      <w:r w:rsidRPr="00613562">
        <w:rPr>
          <w:sz w:val="28"/>
          <w:szCs w:val="28"/>
        </w:rPr>
        <w:t>Refinancing may be done to take advantage of declining mortgage rates, which can free up cash for more spending. Tauheed &amp; Wray, 2006. The impact of reduced mortgage rates on mortgage downpayments and consumption was examined by Di Maggio et al. (2017). Vehicle</w:t>
      </w:r>
      <w:r w:rsidR="00BE39AC" w:rsidRPr="00BE39AC">
        <w:t xml:space="preserve"> </w:t>
      </w:r>
      <w:r w:rsidR="00BE39AC" w:rsidRPr="00BE39AC">
        <w:rPr>
          <w:b/>
          <w:bCs/>
          <w:sz w:val="28"/>
          <w:szCs w:val="28"/>
        </w:rPr>
        <w:t>(Kozlov, 2023)</w:t>
      </w:r>
    </w:p>
    <w:p w14:paraId="2DB45BDA" w14:textId="77777777" w:rsidR="007B6DA0" w:rsidRDefault="007B6DA0" w:rsidP="000B03EE">
      <w:pPr>
        <w:rPr>
          <w:sz w:val="28"/>
          <w:szCs w:val="28"/>
        </w:rPr>
      </w:pPr>
    </w:p>
    <w:p w14:paraId="19BF88B3" w14:textId="77777777" w:rsidR="00130C41" w:rsidRDefault="00130C41" w:rsidP="00130C41">
      <w:pPr>
        <w:widowControl w:val="0"/>
        <w:autoSpaceDE w:val="0"/>
        <w:autoSpaceDN w:val="0"/>
        <w:adjustRightInd w:val="0"/>
        <w:spacing w:after="0" w:line="480" w:lineRule="auto"/>
        <w:jc w:val="center"/>
        <w:rPr>
          <w:rFonts w:ascii="Times New Roman" w:hAnsi="Times New Roman" w:cs="Times New Roman"/>
          <w:b/>
          <w:bCs/>
          <w:kern w:val="0"/>
          <w:sz w:val="24"/>
          <w:szCs w:val="24"/>
          <w:lang w:val="en-US"/>
        </w:rPr>
      </w:pPr>
      <w:r>
        <w:rPr>
          <w:rFonts w:ascii="Times New Roman" w:hAnsi="Times New Roman" w:cs="Times New Roman"/>
          <w:b/>
          <w:bCs/>
          <w:kern w:val="0"/>
          <w:sz w:val="24"/>
          <w:szCs w:val="24"/>
          <w:lang w:val="en-US"/>
        </w:rPr>
        <w:lastRenderedPageBreak/>
        <w:t>References</w:t>
      </w:r>
    </w:p>
    <w:p w14:paraId="63EBFE16" w14:textId="77777777" w:rsidR="00130C41" w:rsidRP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it-IT"/>
        </w:rPr>
      </w:pPr>
      <w:r>
        <w:rPr>
          <w:rFonts w:ascii="Times New Roman" w:hAnsi="Times New Roman" w:cs="Times New Roman"/>
          <w:kern w:val="0"/>
          <w:sz w:val="24"/>
          <w:szCs w:val="24"/>
          <w:lang w:val="en-US"/>
        </w:rPr>
        <w:t xml:space="preserve">AIR BNB INC. (2020, December 31). </w:t>
      </w:r>
      <w:r w:rsidRPr="00130C41">
        <w:rPr>
          <w:rFonts w:ascii="Times New Roman" w:hAnsi="Times New Roman" w:cs="Times New Roman"/>
          <w:i/>
          <w:iCs/>
          <w:kern w:val="0"/>
          <w:sz w:val="24"/>
          <w:szCs w:val="24"/>
          <w:lang w:val="it-IT"/>
        </w:rPr>
        <w:t>Document</w:t>
      </w:r>
      <w:r w:rsidRPr="00130C41">
        <w:rPr>
          <w:rFonts w:ascii="Times New Roman" w:hAnsi="Times New Roman" w:cs="Times New Roman"/>
          <w:kern w:val="0"/>
          <w:sz w:val="24"/>
          <w:szCs w:val="24"/>
          <w:lang w:val="it-IT"/>
        </w:rPr>
        <w:t xml:space="preserve">. Www.sec.gov. </w:t>
      </w:r>
      <w:r>
        <w:rPr>
          <w:rFonts w:ascii="Times New Roman" w:hAnsi="Times New Roman" w:cs="Times New Roman"/>
          <w:kern w:val="0"/>
          <w:sz w:val="24"/>
          <w:szCs w:val="24"/>
          <w:lang w:val="en-US"/>
        </w:rPr>
        <w:fldChar w:fldCharType="begin"/>
      </w:r>
      <w:r w:rsidRPr="00130C41">
        <w:rPr>
          <w:rFonts w:ascii="Times New Roman" w:hAnsi="Times New Roman" w:cs="Times New Roman"/>
          <w:kern w:val="0"/>
          <w:sz w:val="24"/>
          <w:szCs w:val="24"/>
          <w:lang w:val="it-IT"/>
        </w:rPr>
        <w:instrText>HYPERLINK "https://www.sec.gov/Archives/edgar/data/1559720/000155972021000010/airbnb-10k.htm"</w:instrText>
      </w:r>
      <w:r>
        <w:rPr>
          <w:rFonts w:ascii="Times New Roman" w:hAnsi="Times New Roman" w:cs="Times New Roman"/>
          <w:kern w:val="0"/>
          <w:sz w:val="24"/>
          <w:szCs w:val="24"/>
          <w:lang w:val="en-US"/>
        </w:rPr>
      </w:r>
      <w:r>
        <w:rPr>
          <w:rFonts w:ascii="Times New Roman" w:hAnsi="Times New Roman" w:cs="Times New Roman"/>
          <w:kern w:val="0"/>
          <w:sz w:val="24"/>
          <w:szCs w:val="24"/>
          <w:lang w:val="en-US"/>
        </w:rPr>
        <w:fldChar w:fldCharType="separate"/>
      </w:r>
      <w:r w:rsidRPr="00130C41">
        <w:rPr>
          <w:rFonts w:ascii="Times New Roman" w:hAnsi="Times New Roman" w:cs="Times New Roman"/>
          <w:kern w:val="0"/>
          <w:sz w:val="24"/>
          <w:szCs w:val="24"/>
          <w:lang w:val="it-IT"/>
        </w:rPr>
        <w:t>https://www.sec.gov/Archives/edgar/data/1559720/000155972021000010/airbnb-10k.htm</w:t>
      </w:r>
      <w:r>
        <w:rPr>
          <w:rFonts w:ascii="Times New Roman" w:hAnsi="Times New Roman" w:cs="Times New Roman"/>
          <w:kern w:val="0"/>
          <w:sz w:val="24"/>
          <w:szCs w:val="24"/>
          <w:lang w:val="en-US"/>
        </w:rPr>
        <w:fldChar w:fldCharType="end"/>
      </w:r>
    </w:p>
    <w:p w14:paraId="6F7F81A2"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Airbnb Inc. (n.d.). </w:t>
      </w:r>
      <w:r>
        <w:rPr>
          <w:rFonts w:ascii="Times New Roman" w:hAnsi="Times New Roman" w:cs="Times New Roman"/>
          <w:i/>
          <w:iCs/>
          <w:kern w:val="0"/>
          <w:sz w:val="24"/>
          <w:szCs w:val="24"/>
          <w:lang w:val="en-US"/>
        </w:rPr>
        <w:t>of Principal Executive Offices)(Zip Code) (415) 510-4027 (Registrant’s Telephone Number, Including Area Code) ______________ Securities registered pursuant to Section 12(b) of the Act: Title of Each Class Trading Symbol(s) Name of Each Exchange on Which Registered</w:t>
      </w:r>
      <w:r>
        <w:rPr>
          <w:rFonts w:ascii="Times New Roman" w:hAnsi="Times New Roman" w:cs="Times New Roman"/>
          <w:kern w:val="0"/>
          <w:sz w:val="24"/>
          <w:szCs w:val="24"/>
          <w:lang w:val="en-US"/>
        </w:rPr>
        <w:t xml:space="preserve">. </w:t>
      </w:r>
      <w:hyperlink r:id="rId21" w:history="1">
        <w:r>
          <w:rPr>
            <w:rFonts w:ascii="Times New Roman" w:hAnsi="Times New Roman" w:cs="Times New Roman"/>
            <w:kern w:val="0"/>
            <w:sz w:val="24"/>
            <w:szCs w:val="24"/>
            <w:lang w:val="en-US"/>
          </w:rPr>
          <w:t>https://airbnb2020ipo.q4web.com/files/doc_financials/2023/q4/AIRBNB-10K-20241602.pdf</w:t>
        </w:r>
      </w:hyperlink>
    </w:p>
    <w:p w14:paraId="099D166C"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Al-Saad, T. (2019, May 28). </w:t>
      </w:r>
      <w:r>
        <w:rPr>
          <w:rFonts w:ascii="Times New Roman" w:hAnsi="Times New Roman" w:cs="Times New Roman"/>
          <w:i/>
          <w:iCs/>
          <w:kern w:val="0"/>
          <w:sz w:val="24"/>
          <w:szCs w:val="24"/>
          <w:lang w:val="en-US"/>
        </w:rPr>
        <w:t>Airbnb’s Growth Strategy: How they attract and retain 150 million users</w:t>
      </w:r>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Webprofits</w:t>
      </w:r>
      <w:proofErr w:type="spellEnd"/>
      <w:r>
        <w:rPr>
          <w:rFonts w:ascii="Times New Roman" w:hAnsi="Times New Roman" w:cs="Times New Roman"/>
          <w:kern w:val="0"/>
          <w:sz w:val="24"/>
          <w:szCs w:val="24"/>
          <w:lang w:val="en-US"/>
        </w:rPr>
        <w:t xml:space="preserve"> Blog. </w:t>
      </w:r>
      <w:hyperlink r:id="rId22" w:history="1">
        <w:r>
          <w:rPr>
            <w:rFonts w:ascii="Times New Roman" w:hAnsi="Times New Roman" w:cs="Times New Roman"/>
            <w:kern w:val="0"/>
            <w:sz w:val="24"/>
            <w:szCs w:val="24"/>
            <w:lang w:val="en-US"/>
          </w:rPr>
          <w:t>https://www.webprofits.com.au/blog/airbnb-growth-strategy</w:t>
        </w:r>
      </w:hyperlink>
    </w:p>
    <w:p w14:paraId="6A71D65E"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Baldridge, R. (2021, May 19). Understanding The 10-Year Treasury Yield. </w:t>
      </w:r>
      <w:r>
        <w:rPr>
          <w:rFonts w:ascii="Times New Roman" w:hAnsi="Times New Roman" w:cs="Times New Roman"/>
          <w:i/>
          <w:iCs/>
          <w:kern w:val="0"/>
          <w:sz w:val="24"/>
          <w:szCs w:val="24"/>
          <w:lang w:val="en-US"/>
        </w:rPr>
        <w:t>Forbes</w:t>
      </w:r>
      <w:r>
        <w:rPr>
          <w:rFonts w:ascii="Times New Roman" w:hAnsi="Times New Roman" w:cs="Times New Roman"/>
          <w:kern w:val="0"/>
          <w:sz w:val="24"/>
          <w:szCs w:val="24"/>
          <w:lang w:val="en-US"/>
        </w:rPr>
        <w:t xml:space="preserve">. </w:t>
      </w:r>
      <w:hyperlink r:id="rId23" w:history="1">
        <w:r>
          <w:rPr>
            <w:rFonts w:ascii="Times New Roman" w:hAnsi="Times New Roman" w:cs="Times New Roman"/>
            <w:kern w:val="0"/>
            <w:sz w:val="24"/>
            <w:szCs w:val="24"/>
            <w:lang w:val="en-US"/>
          </w:rPr>
          <w:t>https://www.forbes.com/advisor/investing/10-year-treasury-yield/</w:t>
        </w:r>
      </w:hyperlink>
    </w:p>
    <w:p w14:paraId="2C39C9A3"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CFI TEAM. (n.d.). </w:t>
      </w:r>
      <w:r>
        <w:rPr>
          <w:rFonts w:ascii="Times New Roman" w:hAnsi="Times New Roman" w:cs="Times New Roman"/>
          <w:i/>
          <w:iCs/>
          <w:kern w:val="0"/>
          <w:sz w:val="24"/>
          <w:szCs w:val="24"/>
          <w:lang w:val="en-US"/>
        </w:rPr>
        <w:t>Straddle</w:t>
      </w:r>
      <w:r>
        <w:rPr>
          <w:rFonts w:ascii="Times New Roman" w:hAnsi="Times New Roman" w:cs="Times New Roman"/>
          <w:kern w:val="0"/>
          <w:sz w:val="24"/>
          <w:szCs w:val="24"/>
          <w:lang w:val="en-US"/>
        </w:rPr>
        <w:t xml:space="preserve">. Corporate Finance Institute. </w:t>
      </w:r>
      <w:hyperlink r:id="rId24" w:history="1">
        <w:r>
          <w:rPr>
            <w:rFonts w:ascii="Times New Roman" w:hAnsi="Times New Roman" w:cs="Times New Roman"/>
            <w:kern w:val="0"/>
            <w:sz w:val="24"/>
            <w:szCs w:val="24"/>
            <w:lang w:val="en-US"/>
          </w:rPr>
          <w:t>https://corporatefinanceinstitute.com/resources/derivatives/straddle/</w:t>
        </w:r>
      </w:hyperlink>
    </w:p>
    <w:p w14:paraId="3FF944DC"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Curnes, A., Kreun, A., Royal, T., </w:t>
      </w:r>
      <w:proofErr w:type="spellStart"/>
      <w:r>
        <w:rPr>
          <w:rFonts w:ascii="Times New Roman" w:hAnsi="Times New Roman" w:cs="Times New Roman"/>
          <w:kern w:val="0"/>
          <w:sz w:val="24"/>
          <w:szCs w:val="24"/>
          <w:lang w:val="en-US"/>
        </w:rPr>
        <w:t>Zadalis</w:t>
      </w:r>
      <w:proofErr w:type="spellEnd"/>
      <w:r>
        <w:rPr>
          <w:rFonts w:ascii="Times New Roman" w:hAnsi="Times New Roman" w:cs="Times New Roman"/>
          <w:kern w:val="0"/>
          <w:sz w:val="24"/>
          <w:szCs w:val="24"/>
          <w:lang w:val="en-US"/>
        </w:rPr>
        <w:t xml:space="preserve">, J., &amp; Hohn, C. (2023). </w:t>
      </w:r>
      <w:r>
        <w:rPr>
          <w:rFonts w:ascii="Times New Roman" w:hAnsi="Times New Roman" w:cs="Times New Roman"/>
          <w:i/>
          <w:iCs/>
          <w:kern w:val="0"/>
          <w:sz w:val="24"/>
          <w:szCs w:val="24"/>
          <w:lang w:val="en-US"/>
        </w:rPr>
        <w:t xml:space="preserve">Airbnb strategic audit overview </w:t>
      </w:r>
      <w:proofErr w:type="spellStart"/>
      <w:r>
        <w:rPr>
          <w:rFonts w:ascii="Times New Roman" w:hAnsi="Times New Roman" w:cs="Times New Roman"/>
          <w:i/>
          <w:iCs/>
          <w:kern w:val="0"/>
          <w:sz w:val="24"/>
          <w:szCs w:val="24"/>
          <w:lang w:val="en-US"/>
        </w:rPr>
        <w:t>airbnb</w:t>
      </w:r>
      <w:proofErr w:type="spellEnd"/>
      <w:r>
        <w:rPr>
          <w:rFonts w:ascii="Times New Roman" w:hAnsi="Times New Roman" w:cs="Times New Roman"/>
          <w:i/>
          <w:iCs/>
          <w:kern w:val="0"/>
          <w:sz w:val="24"/>
          <w:szCs w:val="24"/>
          <w:lang w:val="en-US"/>
        </w:rPr>
        <w:t xml:space="preserve"> strategic audit overview</w:t>
      </w:r>
      <w:r>
        <w:rPr>
          <w:rFonts w:ascii="Times New Roman" w:hAnsi="Times New Roman" w:cs="Times New Roman"/>
          <w:kern w:val="0"/>
          <w:sz w:val="24"/>
          <w:szCs w:val="24"/>
          <w:lang w:val="en-US"/>
        </w:rPr>
        <w:t xml:space="preserve">. </w:t>
      </w:r>
      <w:hyperlink r:id="rId25" w:history="1">
        <w:r>
          <w:rPr>
            <w:rFonts w:ascii="Times New Roman" w:hAnsi="Times New Roman" w:cs="Times New Roman"/>
            <w:kern w:val="0"/>
            <w:sz w:val="24"/>
            <w:szCs w:val="24"/>
            <w:lang w:val="en-US"/>
          </w:rPr>
          <w:t>https://digitalcommons.unl.edu/cgi/viewcontent.cgi?article=1642&amp;context=honorstheses</w:t>
        </w:r>
      </w:hyperlink>
    </w:p>
    <w:p w14:paraId="58D3932C"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Girardin, M. (2022a, September 19). </w:t>
      </w:r>
      <w:r>
        <w:rPr>
          <w:rFonts w:ascii="Times New Roman" w:hAnsi="Times New Roman" w:cs="Times New Roman"/>
          <w:i/>
          <w:iCs/>
          <w:kern w:val="0"/>
          <w:sz w:val="24"/>
          <w:szCs w:val="24"/>
          <w:lang w:val="en-US"/>
        </w:rPr>
        <w:t>What Is Compound Annual Growth Rate (CAGR)?</w:t>
      </w:r>
      <w:r>
        <w:rPr>
          <w:rFonts w:ascii="Times New Roman" w:hAnsi="Times New Roman" w:cs="Times New Roman"/>
          <w:kern w:val="0"/>
          <w:sz w:val="24"/>
          <w:szCs w:val="24"/>
          <w:lang w:val="en-US"/>
        </w:rPr>
        <w:t xml:space="preserve"> Forage. </w:t>
      </w:r>
      <w:hyperlink r:id="rId26" w:history="1">
        <w:r>
          <w:rPr>
            <w:rFonts w:ascii="Times New Roman" w:hAnsi="Times New Roman" w:cs="Times New Roman"/>
            <w:kern w:val="0"/>
            <w:sz w:val="24"/>
            <w:szCs w:val="24"/>
            <w:lang w:val="en-US"/>
          </w:rPr>
          <w:t>https://www.theforage.com/blog/skills/cagr</w:t>
        </w:r>
      </w:hyperlink>
    </w:p>
    <w:p w14:paraId="47C1E45D" w14:textId="77777777" w:rsidR="00130C41" w:rsidRP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it-IT"/>
        </w:rPr>
      </w:pPr>
      <w:r>
        <w:rPr>
          <w:rFonts w:ascii="Times New Roman" w:hAnsi="Times New Roman" w:cs="Times New Roman"/>
          <w:kern w:val="0"/>
          <w:sz w:val="24"/>
          <w:szCs w:val="24"/>
          <w:lang w:val="en-US"/>
        </w:rPr>
        <w:t xml:space="preserve">Girardin, M. (2022b, September 19). </w:t>
      </w:r>
      <w:r>
        <w:rPr>
          <w:rFonts w:ascii="Times New Roman" w:hAnsi="Times New Roman" w:cs="Times New Roman"/>
          <w:i/>
          <w:iCs/>
          <w:kern w:val="0"/>
          <w:sz w:val="24"/>
          <w:szCs w:val="24"/>
          <w:lang w:val="en-US"/>
        </w:rPr>
        <w:t>What Is Compound Annual Growth Rate (CAGR)?</w:t>
      </w:r>
      <w:r>
        <w:rPr>
          <w:rFonts w:ascii="Times New Roman" w:hAnsi="Times New Roman" w:cs="Times New Roman"/>
          <w:kern w:val="0"/>
          <w:sz w:val="24"/>
          <w:szCs w:val="24"/>
          <w:lang w:val="en-US"/>
        </w:rPr>
        <w:t xml:space="preserve"> </w:t>
      </w:r>
      <w:r w:rsidRPr="00130C41">
        <w:rPr>
          <w:rFonts w:ascii="Times New Roman" w:hAnsi="Times New Roman" w:cs="Times New Roman"/>
          <w:kern w:val="0"/>
          <w:sz w:val="24"/>
          <w:szCs w:val="24"/>
          <w:lang w:val="it-IT"/>
        </w:rPr>
        <w:t xml:space="preserve">Forage. </w:t>
      </w:r>
      <w:r>
        <w:rPr>
          <w:rFonts w:ascii="Times New Roman" w:hAnsi="Times New Roman" w:cs="Times New Roman"/>
          <w:kern w:val="0"/>
          <w:sz w:val="24"/>
          <w:szCs w:val="24"/>
          <w:lang w:val="en-US"/>
        </w:rPr>
        <w:fldChar w:fldCharType="begin"/>
      </w:r>
      <w:r w:rsidRPr="00130C41">
        <w:rPr>
          <w:rFonts w:ascii="Times New Roman" w:hAnsi="Times New Roman" w:cs="Times New Roman"/>
          <w:kern w:val="0"/>
          <w:sz w:val="24"/>
          <w:szCs w:val="24"/>
          <w:lang w:val="it-IT"/>
        </w:rPr>
        <w:instrText>HYPERLINK "https://www.theforage.com/blog/skills/cagr"</w:instrText>
      </w:r>
      <w:r>
        <w:rPr>
          <w:rFonts w:ascii="Times New Roman" w:hAnsi="Times New Roman" w:cs="Times New Roman"/>
          <w:kern w:val="0"/>
          <w:sz w:val="24"/>
          <w:szCs w:val="24"/>
          <w:lang w:val="en-US"/>
        </w:rPr>
      </w:r>
      <w:r>
        <w:rPr>
          <w:rFonts w:ascii="Times New Roman" w:hAnsi="Times New Roman" w:cs="Times New Roman"/>
          <w:kern w:val="0"/>
          <w:sz w:val="24"/>
          <w:szCs w:val="24"/>
          <w:lang w:val="en-US"/>
        </w:rPr>
        <w:fldChar w:fldCharType="separate"/>
      </w:r>
      <w:r w:rsidRPr="00130C41">
        <w:rPr>
          <w:rFonts w:ascii="Times New Roman" w:hAnsi="Times New Roman" w:cs="Times New Roman"/>
          <w:kern w:val="0"/>
          <w:sz w:val="24"/>
          <w:szCs w:val="24"/>
          <w:lang w:val="it-IT"/>
        </w:rPr>
        <w:t>https://www.theforage.com/blog/skills/cagr</w:t>
      </w:r>
      <w:r>
        <w:rPr>
          <w:rFonts w:ascii="Times New Roman" w:hAnsi="Times New Roman" w:cs="Times New Roman"/>
          <w:kern w:val="0"/>
          <w:sz w:val="24"/>
          <w:szCs w:val="24"/>
          <w:lang w:val="en-US"/>
        </w:rPr>
        <w:fldChar w:fldCharType="end"/>
      </w:r>
    </w:p>
    <w:p w14:paraId="74629468"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sidRPr="00130C41">
        <w:rPr>
          <w:rFonts w:ascii="Times New Roman" w:hAnsi="Times New Roman" w:cs="Times New Roman"/>
          <w:kern w:val="0"/>
          <w:sz w:val="24"/>
          <w:szCs w:val="24"/>
          <w:lang w:val="it-IT"/>
        </w:rPr>
        <w:lastRenderedPageBreak/>
        <w:t xml:space="preserve">GLOBAL DATA . </w:t>
      </w:r>
      <w:r>
        <w:rPr>
          <w:rFonts w:ascii="Times New Roman" w:hAnsi="Times New Roman" w:cs="Times New Roman"/>
          <w:kern w:val="0"/>
          <w:sz w:val="24"/>
          <w:szCs w:val="24"/>
          <w:lang w:val="en-US"/>
        </w:rPr>
        <w:t xml:space="preserve">(n.d.). </w:t>
      </w:r>
      <w:proofErr w:type="spellStart"/>
      <w:r>
        <w:rPr>
          <w:rFonts w:ascii="Times New Roman" w:hAnsi="Times New Roman" w:cs="Times New Roman"/>
          <w:i/>
          <w:iCs/>
          <w:kern w:val="0"/>
          <w:sz w:val="24"/>
          <w:szCs w:val="24"/>
          <w:lang w:val="en-US"/>
        </w:rPr>
        <w:t>ShieldSquare</w:t>
      </w:r>
      <w:proofErr w:type="spellEnd"/>
      <w:r>
        <w:rPr>
          <w:rFonts w:ascii="Times New Roman" w:hAnsi="Times New Roman" w:cs="Times New Roman"/>
          <w:i/>
          <w:iCs/>
          <w:kern w:val="0"/>
          <w:sz w:val="24"/>
          <w:szCs w:val="24"/>
          <w:lang w:val="en-US"/>
        </w:rPr>
        <w:t xml:space="preserve"> Captcha</w:t>
      </w:r>
      <w:r>
        <w:rPr>
          <w:rFonts w:ascii="Times New Roman" w:hAnsi="Times New Roman" w:cs="Times New Roman"/>
          <w:kern w:val="0"/>
          <w:sz w:val="24"/>
          <w:szCs w:val="24"/>
          <w:lang w:val="en-US"/>
        </w:rPr>
        <w:t xml:space="preserve">. Www.globaldata.com. </w:t>
      </w:r>
      <w:hyperlink r:id="rId27" w:history="1">
        <w:r>
          <w:rPr>
            <w:rFonts w:ascii="Times New Roman" w:hAnsi="Times New Roman" w:cs="Times New Roman"/>
            <w:kern w:val="0"/>
            <w:sz w:val="24"/>
            <w:szCs w:val="24"/>
            <w:lang w:val="en-US"/>
          </w:rPr>
          <w:t>https://www.globaldata.com/company-profile/airbnb-inc/</w:t>
        </w:r>
      </w:hyperlink>
    </w:p>
    <w:p w14:paraId="04E444B5"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IG. (2021). </w:t>
      </w:r>
      <w:r>
        <w:rPr>
          <w:rFonts w:ascii="Times New Roman" w:hAnsi="Times New Roman" w:cs="Times New Roman"/>
          <w:i/>
          <w:iCs/>
          <w:kern w:val="0"/>
          <w:sz w:val="24"/>
          <w:szCs w:val="24"/>
          <w:lang w:val="en-US"/>
        </w:rPr>
        <w:t>Share price definition</w:t>
      </w:r>
      <w:r>
        <w:rPr>
          <w:rFonts w:ascii="Times New Roman" w:hAnsi="Times New Roman" w:cs="Times New Roman"/>
          <w:kern w:val="0"/>
          <w:sz w:val="24"/>
          <w:szCs w:val="24"/>
          <w:lang w:val="en-US"/>
        </w:rPr>
        <w:t xml:space="preserve">. IG. </w:t>
      </w:r>
      <w:hyperlink r:id="rId28" w:history="1">
        <w:r>
          <w:rPr>
            <w:rFonts w:ascii="Times New Roman" w:hAnsi="Times New Roman" w:cs="Times New Roman"/>
            <w:kern w:val="0"/>
            <w:sz w:val="24"/>
            <w:szCs w:val="24"/>
            <w:lang w:val="en-US"/>
          </w:rPr>
          <w:t>https://www.ig.com/en/glossary-trading-terms/share-price-definition</w:t>
        </w:r>
      </w:hyperlink>
    </w:p>
    <w:p w14:paraId="442C8F06"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Kozlov, R. (2023). The Effect of Interest Rate Changes on Consumption: An Age-Structured Approach. </w:t>
      </w:r>
      <w:r>
        <w:rPr>
          <w:rFonts w:ascii="Times New Roman" w:hAnsi="Times New Roman" w:cs="Times New Roman"/>
          <w:i/>
          <w:iCs/>
          <w:kern w:val="0"/>
          <w:sz w:val="24"/>
          <w:szCs w:val="24"/>
          <w:lang w:val="en-US"/>
        </w:rPr>
        <w:t>Economies</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11</w:t>
      </w:r>
      <w:r>
        <w:rPr>
          <w:rFonts w:ascii="Times New Roman" w:hAnsi="Times New Roman" w:cs="Times New Roman"/>
          <w:kern w:val="0"/>
          <w:sz w:val="24"/>
          <w:szCs w:val="24"/>
          <w:lang w:val="en-US"/>
        </w:rPr>
        <w:t xml:space="preserve">(1), 23. </w:t>
      </w:r>
      <w:hyperlink r:id="rId29" w:history="1">
        <w:r>
          <w:rPr>
            <w:rFonts w:ascii="Times New Roman" w:hAnsi="Times New Roman" w:cs="Times New Roman"/>
            <w:kern w:val="0"/>
            <w:sz w:val="24"/>
            <w:szCs w:val="24"/>
            <w:lang w:val="en-US"/>
          </w:rPr>
          <w:t>https://doi.org/10.3390/economies11010023</w:t>
        </w:r>
      </w:hyperlink>
    </w:p>
    <w:p w14:paraId="7C77A6A7"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NIRMAL BANG . (n.d.). </w:t>
      </w:r>
      <w:r>
        <w:rPr>
          <w:rFonts w:ascii="Times New Roman" w:hAnsi="Times New Roman" w:cs="Times New Roman"/>
          <w:i/>
          <w:iCs/>
          <w:kern w:val="0"/>
          <w:sz w:val="24"/>
          <w:szCs w:val="24"/>
          <w:lang w:val="en-US"/>
        </w:rPr>
        <w:t>Sharpe Ratio: Meaning, Advantages &amp; Limitations</w:t>
      </w:r>
      <w:r>
        <w:rPr>
          <w:rFonts w:ascii="Times New Roman" w:hAnsi="Times New Roman" w:cs="Times New Roman"/>
          <w:kern w:val="0"/>
          <w:sz w:val="24"/>
          <w:szCs w:val="24"/>
          <w:lang w:val="en-US"/>
        </w:rPr>
        <w:t xml:space="preserve">. Nirmal Bang. </w:t>
      </w:r>
      <w:hyperlink r:id="rId30" w:history="1">
        <w:r>
          <w:rPr>
            <w:rFonts w:ascii="Times New Roman" w:hAnsi="Times New Roman" w:cs="Times New Roman"/>
            <w:kern w:val="0"/>
            <w:sz w:val="24"/>
            <w:szCs w:val="24"/>
            <w:lang w:val="en-US"/>
          </w:rPr>
          <w:t>https://www.nirmalbang.com/knowledge-center/what-is-sharpe-ratio.html</w:t>
        </w:r>
      </w:hyperlink>
    </w:p>
    <w:p w14:paraId="15414DD4"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PWC. (2024, March 31). </w:t>
      </w:r>
      <w:r>
        <w:rPr>
          <w:rFonts w:ascii="Times New Roman" w:hAnsi="Times New Roman" w:cs="Times New Roman"/>
          <w:i/>
          <w:iCs/>
          <w:kern w:val="0"/>
          <w:sz w:val="24"/>
          <w:szCs w:val="24"/>
          <w:lang w:val="en-US"/>
        </w:rPr>
        <w:t>1.2 Types of derivatives</w:t>
      </w:r>
      <w:r>
        <w:rPr>
          <w:rFonts w:ascii="Times New Roman" w:hAnsi="Times New Roman" w:cs="Times New Roman"/>
          <w:kern w:val="0"/>
          <w:sz w:val="24"/>
          <w:szCs w:val="24"/>
          <w:lang w:val="en-US"/>
        </w:rPr>
        <w:t xml:space="preserve">. Viewpoint.pwc.com. </w:t>
      </w:r>
      <w:hyperlink r:id="rId31" w:history="1">
        <w:r>
          <w:rPr>
            <w:rFonts w:ascii="Times New Roman" w:hAnsi="Times New Roman" w:cs="Times New Roman"/>
            <w:kern w:val="0"/>
            <w:sz w:val="24"/>
            <w:szCs w:val="24"/>
            <w:lang w:val="en-US"/>
          </w:rPr>
          <w:t>https://viewpoint.pwc.com/dt/us/en/pwc/accounting_guides/derivatives_and_hedg/derivatives_and_hedg_US/chapter_1_introducti_US/12_types_of_derivati_US.html#pwc-topic.dita_1821133804141574</w:t>
        </w:r>
      </w:hyperlink>
    </w:p>
    <w:p w14:paraId="05538CEB"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Rajjaque</w:t>
      </w:r>
      <w:proofErr w:type="spellEnd"/>
      <w:r>
        <w:rPr>
          <w:rFonts w:ascii="Times New Roman" w:hAnsi="Times New Roman" w:cs="Times New Roman"/>
          <w:kern w:val="0"/>
          <w:sz w:val="24"/>
          <w:szCs w:val="24"/>
          <w:lang w:val="en-US"/>
        </w:rPr>
        <w:t xml:space="preserve">, M., &amp; Cam, O. (2020, December 10). </w:t>
      </w:r>
      <w:r>
        <w:rPr>
          <w:rFonts w:ascii="Times New Roman" w:hAnsi="Times New Roman" w:cs="Times New Roman"/>
          <w:i/>
          <w:iCs/>
          <w:kern w:val="0"/>
          <w:sz w:val="24"/>
          <w:szCs w:val="24"/>
          <w:lang w:val="en-US"/>
        </w:rPr>
        <w:t>Airbnb going public is a maverick move</w:t>
      </w:r>
      <w:r>
        <w:rPr>
          <w:rFonts w:ascii="Times New Roman" w:hAnsi="Times New Roman" w:cs="Times New Roman"/>
          <w:kern w:val="0"/>
          <w:sz w:val="24"/>
          <w:szCs w:val="24"/>
          <w:lang w:val="en-US"/>
        </w:rPr>
        <w:t xml:space="preserve">. The Conversation. </w:t>
      </w:r>
      <w:hyperlink r:id="rId32" w:history="1">
        <w:r>
          <w:rPr>
            <w:rFonts w:ascii="Times New Roman" w:hAnsi="Times New Roman" w:cs="Times New Roman"/>
            <w:kern w:val="0"/>
            <w:sz w:val="24"/>
            <w:szCs w:val="24"/>
            <w:lang w:val="en-US"/>
          </w:rPr>
          <w:t>https://theconversation.com/airbnb-going-public-is-a-maverick-move-151784</w:t>
        </w:r>
      </w:hyperlink>
    </w:p>
    <w:p w14:paraId="7151D11C"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Start.io. (2022, April 19). </w:t>
      </w:r>
      <w:r>
        <w:rPr>
          <w:rFonts w:ascii="Times New Roman" w:hAnsi="Times New Roman" w:cs="Times New Roman"/>
          <w:i/>
          <w:iCs/>
          <w:kern w:val="0"/>
          <w:sz w:val="24"/>
          <w:szCs w:val="24"/>
          <w:lang w:val="en-US"/>
        </w:rPr>
        <w:t>Start.io | Airbnb Target Market Segmentation - Customer Profile</w:t>
      </w:r>
      <w:r>
        <w:rPr>
          <w:rFonts w:ascii="Times New Roman" w:hAnsi="Times New Roman" w:cs="Times New Roman"/>
          <w:kern w:val="0"/>
          <w:sz w:val="24"/>
          <w:szCs w:val="24"/>
          <w:lang w:val="en-US"/>
        </w:rPr>
        <w:t xml:space="preserve">. Start.io - a Mobile Marketing and Audience Platform. </w:t>
      </w:r>
      <w:hyperlink r:id="rId33" w:history="1">
        <w:r>
          <w:rPr>
            <w:rFonts w:ascii="Times New Roman" w:hAnsi="Times New Roman" w:cs="Times New Roman"/>
            <w:kern w:val="0"/>
            <w:sz w:val="24"/>
            <w:szCs w:val="24"/>
            <w:lang w:val="en-US"/>
          </w:rPr>
          <w:t>https://www.start.io/blog/airbnb-target-market-segmentation-customer-profile-brand-positioning/</w:t>
        </w:r>
      </w:hyperlink>
    </w:p>
    <w:p w14:paraId="6AD012C9" w14:textId="77777777" w:rsidR="00130C41" w:rsidRDefault="00130C41" w:rsidP="00130C41">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Treynor Ratio - Meaning, Formula, Example &amp; Calculation. (2016). </w:t>
      </w:r>
      <w:r>
        <w:rPr>
          <w:rFonts w:ascii="Times New Roman" w:hAnsi="Times New Roman" w:cs="Times New Roman"/>
          <w:i/>
          <w:iCs/>
          <w:kern w:val="0"/>
          <w:sz w:val="24"/>
          <w:szCs w:val="24"/>
          <w:lang w:val="en-US"/>
        </w:rPr>
        <w:t>Treynor Ratio - Meaning, Formula, Example &amp; Calculation</w:t>
      </w:r>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Groww</w:t>
      </w:r>
      <w:proofErr w:type="spellEnd"/>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Groww</w:t>
      </w:r>
      <w:proofErr w:type="spellEnd"/>
      <w:r>
        <w:rPr>
          <w:rFonts w:ascii="Times New Roman" w:hAnsi="Times New Roman" w:cs="Times New Roman"/>
          <w:kern w:val="0"/>
          <w:sz w:val="24"/>
          <w:szCs w:val="24"/>
          <w:lang w:val="en-US"/>
        </w:rPr>
        <w:t xml:space="preserve">. </w:t>
      </w:r>
      <w:hyperlink r:id="rId34" w:history="1">
        <w:r>
          <w:rPr>
            <w:rFonts w:ascii="Times New Roman" w:hAnsi="Times New Roman" w:cs="Times New Roman"/>
            <w:kern w:val="0"/>
            <w:sz w:val="24"/>
            <w:szCs w:val="24"/>
            <w:lang w:val="en-US"/>
          </w:rPr>
          <w:t>https://groww.in/p/treynor-ratio</w:t>
        </w:r>
      </w:hyperlink>
    </w:p>
    <w:p w14:paraId="28AD4B23" w14:textId="77777777" w:rsidR="007B6DA0" w:rsidRDefault="007B6DA0" w:rsidP="000B03EE">
      <w:pPr>
        <w:rPr>
          <w:sz w:val="28"/>
          <w:szCs w:val="28"/>
        </w:rPr>
      </w:pPr>
    </w:p>
    <w:p w14:paraId="7249DB92" w14:textId="77777777" w:rsidR="007B6DA0" w:rsidRDefault="007B6DA0" w:rsidP="000B03EE">
      <w:pPr>
        <w:rPr>
          <w:sz w:val="28"/>
          <w:szCs w:val="28"/>
        </w:rPr>
      </w:pPr>
    </w:p>
    <w:p w14:paraId="49C8A3CF" w14:textId="77777777" w:rsidR="007B6DA0" w:rsidRDefault="007B6DA0" w:rsidP="000B03EE">
      <w:pPr>
        <w:rPr>
          <w:sz w:val="28"/>
          <w:szCs w:val="28"/>
        </w:rPr>
      </w:pPr>
    </w:p>
    <w:p w14:paraId="275C41CD" w14:textId="77777777" w:rsidR="007B6DA0" w:rsidRDefault="007B6DA0" w:rsidP="000B03EE">
      <w:pPr>
        <w:rPr>
          <w:sz w:val="28"/>
          <w:szCs w:val="28"/>
        </w:rPr>
      </w:pPr>
    </w:p>
    <w:p w14:paraId="7047ACCC" w14:textId="77777777" w:rsidR="007B6DA0" w:rsidRDefault="007B6DA0" w:rsidP="000B03EE">
      <w:pPr>
        <w:rPr>
          <w:sz w:val="28"/>
          <w:szCs w:val="28"/>
        </w:rPr>
      </w:pPr>
    </w:p>
    <w:p w14:paraId="567954A4" w14:textId="77777777" w:rsidR="007B6DA0" w:rsidRDefault="007B6DA0" w:rsidP="000B03EE">
      <w:pPr>
        <w:rPr>
          <w:sz w:val="28"/>
          <w:szCs w:val="28"/>
        </w:rPr>
      </w:pPr>
    </w:p>
    <w:p w14:paraId="2B527A39" w14:textId="77777777" w:rsidR="007B6DA0" w:rsidRDefault="007B6DA0" w:rsidP="000B03EE">
      <w:pPr>
        <w:rPr>
          <w:sz w:val="28"/>
          <w:szCs w:val="28"/>
        </w:rPr>
      </w:pPr>
    </w:p>
    <w:p w14:paraId="15502484" w14:textId="5B33E96F" w:rsidR="00EF6BF0" w:rsidRPr="00EF6BF0" w:rsidRDefault="00EF6BF0" w:rsidP="00EF6BF0">
      <w:pPr>
        <w:rPr>
          <w:sz w:val="28"/>
          <w:szCs w:val="28"/>
        </w:rPr>
      </w:pPr>
    </w:p>
    <w:sectPr w:rsidR="00EF6BF0" w:rsidRPr="00EF6BF0" w:rsidSect="0036768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371883" w14:textId="77777777" w:rsidR="00367686" w:rsidRDefault="00367686" w:rsidP="009C1297">
      <w:pPr>
        <w:spacing w:after="0" w:line="240" w:lineRule="auto"/>
      </w:pPr>
      <w:r>
        <w:separator/>
      </w:r>
    </w:p>
  </w:endnote>
  <w:endnote w:type="continuationSeparator" w:id="0">
    <w:p w14:paraId="47CCE427" w14:textId="77777777" w:rsidR="00367686" w:rsidRDefault="00367686" w:rsidP="009C1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KaTeX_Math">
    <w:altName w:val="Cambria"/>
    <w:panose1 w:val="00000000000000000000"/>
    <w:charset w:val="00"/>
    <w:family w:val="roman"/>
    <w:notTrueType/>
    <w:pitch w:val="default"/>
  </w:font>
  <w:font w:name="KaTeX_Size4">
    <w:altName w:val="Cambria"/>
    <w:panose1 w:val="00000000000000000000"/>
    <w:charset w:val="00"/>
    <w:family w:val="roman"/>
    <w:notTrueType/>
    <w:pitch w:val="default"/>
  </w:font>
  <w:font w:name="KaTeX_Size3">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545C9F" w14:textId="77777777" w:rsidR="00367686" w:rsidRDefault="00367686" w:rsidP="009C1297">
      <w:pPr>
        <w:spacing w:after="0" w:line="240" w:lineRule="auto"/>
      </w:pPr>
      <w:r>
        <w:separator/>
      </w:r>
    </w:p>
  </w:footnote>
  <w:footnote w:type="continuationSeparator" w:id="0">
    <w:p w14:paraId="0B789B36" w14:textId="77777777" w:rsidR="00367686" w:rsidRDefault="00367686" w:rsidP="009C1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C63E5"/>
    <w:multiLevelType w:val="hybridMultilevel"/>
    <w:tmpl w:val="91F841CC"/>
    <w:lvl w:ilvl="0" w:tplc="8EBC46CC">
      <w:start w:val="1"/>
      <w:numFmt w:val="decimal"/>
      <w:lvlText w:val="%1)"/>
      <w:lvlJc w:val="left"/>
      <w:pPr>
        <w:ind w:left="732" w:hanging="372"/>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1D0D34"/>
    <w:multiLevelType w:val="hybridMultilevel"/>
    <w:tmpl w:val="B2447EA2"/>
    <w:lvl w:ilvl="0" w:tplc="CE0E6D4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0D453EF"/>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633801463">
    <w:abstractNumId w:val="0"/>
  </w:num>
  <w:num w:numId="2" w16cid:durableId="1255364536">
    <w:abstractNumId w:val="1"/>
  </w:num>
  <w:num w:numId="3" w16cid:durableId="11374498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969"/>
    <w:rsid w:val="000061C2"/>
    <w:rsid w:val="00014C8A"/>
    <w:rsid w:val="00024F8C"/>
    <w:rsid w:val="000272EB"/>
    <w:rsid w:val="00047437"/>
    <w:rsid w:val="0007028F"/>
    <w:rsid w:val="00081ECC"/>
    <w:rsid w:val="000B03EE"/>
    <w:rsid w:val="000C09FC"/>
    <w:rsid w:val="000D1AB4"/>
    <w:rsid w:val="000D3192"/>
    <w:rsid w:val="000D737C"/>
    <w:rsid w:val="000E51E6"/>
    <w:rsid w:val="00111FFE"/>
    <w:rsid w:val="001126E7"/>
    <w:rsid w:val="001250AA"/>
    <w:rsid w:val="00130C41"/>
    <w:rsid w:val="0014272C"/>
    <w:rsid w:val="00163430"/>
    <w:rsid w:val="00172FBF"/>
    <w:rsid w:val="00185A00"/>
    <w:rsid w:val="00186B07"/>
    <w:rsid w:val="00187BC7"/>
    <w:rsid w:val="001C51B1"/>
    <w:rsid w:val="001D1589"/>
    <w:rsid w:val="00263AA7"/>
    <w:rsid w:val="002729D2"/>
    <w:rsid w:val="00275005"/>
    <w:rsid w:val="00275A91"/>
    <w:rsid w:val="0028074B"/>
    <w:rsid w:val="00281767"/>
    <w:rsid w:val="002A3C21"/>
    <w:rsid w:val="002C07E3"/>
    <w:rsid w:val="002C6779"/>
    <w:rsid w:val="002C7FF1"/>
    <w:rsid w:val="002F3D18"/>
    <w:rsid w:val="00315308"/>
    <w:rsid w:val="003257EF"/>
    <w:rsid w:val="00334726"/>
    <w:rsid w:val="0034259C"/>
    <w:rsid w:val="00367686"/>
    <w:rsid w:val="00396BBC"/>
    <w:rsid w:val="00396F1A"/>
    <w:rsid w:val="00397716"/>
    <w:rsid w:val="003B1DDF"/>
    <w:rsid w:val="003C111F"/>
    <w:rsid w:val="003F01EB"/>
    <w:rsid w:val="00416CE8"/>
    <w:rsid w:val="004250AA"/>
    <w:rsid w:val="00457444"/>
    <w:rsid w:val="00465867"/>
    <w:rsid w:val="00466443"/>
    <w:rsid w:val="004672B9"/>
    <w:rsid w:val="00474D05"/>
    <w:rsid w:val="00493C36"/>
    <w:rsid w:val="0049599D"/>
    <w:rsid w:val="004A7E5F"/>
    <w:rsid w:val="004B05BA"/>
    <w:rsid w:val="004B6B9A"/>
    <w:rsid w:val="004D028B"/>
    <w:rsid w:val="004D4473"/>
    <w:rsid w:val="004D5187"/>
    <w:rsid w:val="004F5E38"/>
    <w:rsid w:val="005078EB"/>
    <w:rsid w:val="005559EF"/>
    <w:rsid w:val="005718D3"/>
    <w:rsid w:val="00580218"/>
    <w:rsid w:val="00584558"/>
    <w:rsid w:val="00597789"/>
    <w:rsid w:val="005B6C66"/>
    <w:rsid w:val="005C06C3"/>
    <w:rsid w:val="005C30AD"/>
    <w:rsid w:val="005D3C87"/>
    <w:rsid w:val="005D523F"/>
    <w:rsid w:val="005E515F"/>
    <w:rsid w:val="00606537"/>
    <w:rsid w:val="00613562"/>
    <w:rsid w:val="0061404C"/>
    <w:rsid w:val="00641012"/>
    <w:rsid w:val="0064175A"/>
    <w:rsid w:val="00641955"/>
    <w:rsid w:val="006423A0"/>
    <w:rsid w:val="006435BE"/>
    <w:rsid w:val="006508F2"/>
    <w:rsid w:val="00690E91"/>
    <w:rsid w:val="00693A73"/>
    <w:rsid w:val="006D4881"/>
    <w:rsid w:val="00701408"/>
    <w:rsid w:val="00716A5B"/>
    <w:rsid w:val="00723B6A"/>
    <w:rsid w:val="00732A95"/>
    <w:rsid w:val="00757218"/>
    <w:rsid w:val="00757ED5"/>
    <w:rsid w:val="0076276E"/>
    <w:rsid w:val="0076683A"/>
    <w:rsid w:val="00770695"/>
    <w:rsid w:val="00772969"/>
    <w:rsid w:val="00773657"/>
    <w:rsid w:val="0077384C"/>
    <w:rsid w:val="007A45A0"/>
    <w:rsid w:val="007B2E10"/>
    <w:rsid w:val="007B6DA0"/>
    <w:rsid w:val="007C1CA8"/>
    <w:rsid w:val="007C4CEB"/>
    <w:rsid w:val="008211E7"/>
    <w:rsid w:val="0086394C"/>
    <w:rsid w:val="00886288"/>
    <w:rsid w:val="008A33F9"/>
    <w:rsid w:val="008A3EF0"/>
    <w:rsid w:val="008A6277"/>
    <w:rsid w:val="008B2B3D"/>
    <w:rsid w:val="008D0218"/>
    <w:rsid w:val="008E0D19"/>
    <w:rsid w:val="008F31DD"/>
    <w:rsid w:val="008F349B"/>
    <w:rsid w:val="008F610B"/>
    <w:rsid w:val="008F626A"/>
    <w:rsid w:val="00911591"/>
    <w:rsid w:val="00916168"/>
    <w:rsid w:val="0092739F"/>
    <w:rsid w:val="00942724"/>
    <w:rsid w:val="009609FB"/>
    <w:rsid w:val="00992BE6"/>
    <w:rsid w:val="009C1297"/>
    <w:rsid w:val="009D2A2B"/>
    <w:rsid w:val="009D7E46"/>
    <w:rsid w:val="009E4913"/>
    <w:rsid w:val="009F02B8"/>
    <w:rsid w:val="009F0B66"/>
    <w:rsid w:val="009F2CF7"/>
    <w:rsid w:val="00A24E95"/>
    <w:rsid w:val="00A25283"/>
    <w:rsid w:val="00A32F31"/>
    <w:rsid w:val="00A40385"/>
    <w:rsid w:val="00A52239"/>
    <w:rsid w:val="00A6649F"/>
    <w:rsid w:val="00A767B6"/>
    <w:rsid w:val="00A91713"/>
    <w:rsid w:val="00A929E3"/>
    <w:rsid w:val="00AB267E"/>
    <w:rsid w:val="00AB3A86"/>
    <w:rsid w:val="00AB53F7"/>
    <w:rsid w:val="00AF27AA"/>
    <w:rsid w:val="00B120C3"/>
    <w:rsid w:val="00B16E03"/>
    <w:rsid w:val="00B16E1C"/>
    <w:rsid w:val="00B26F57"/>
    <w:rsid w:val="00B65642"/>
    <w:rsid w:val="00B74C0E"/>
    <w:rsid w:val="00B76B69"/>
    <w:rsid w:val="00B86D44"/>
    <w:rsid w:val="00BA6DCC"/>
    <w:rsid w:val="00BC4A66"/>
    <w:rsid w:val="00BC5679"/>
    <w:rsid w:val="00BD305F"/>
    <w:rsid w:val="00BD5232"/>
    <w:rsid w:val="00BE39AC"/>
    <w:rsid w:val="00BF04F1"/>
    <w:rsid w:val="00BF45D4"/>
    <w:rsid w:val="00BF4797"/>
    <w:rsid w:val="00BF5E9D"/>
    <w:rsid w:val="00C019A2"/>
    <w:rsid w:val="00C16A4C"/>
    <w:rsid w:val="00C26698"/>
    <w:rsid w:val="00C30A33"/>
    <w:rsid w:val="00C37783"/>
    <w:rsid w:val="00C728FC"/>
    <w:rsid w:val="00C81122"/>
    <w:rsid w:val="00CB31DF"/>
    <w:rsid w:val="00CC14D9"/>
    <w:rsid w:val="00CC45E1"/>
    <w:rsid w:val="00CD4854"/>
    <w:rsid w:val="00CD5B54"/>
    <w:rsid w:val="00CE044A"/>
    <w:rsid w:val="00CF5562"/>
    <w:rsid w:val="00D23578"/>
    <w:rsid w:val="00D407E2"/>
    <w:rsid w:val="00D4111D"/>
    <w:rsid w:val="00D5516B"/>
    <w:rsid w:val="00D624B0"/>
    <w:rsid w:val="00D634DE"/>
    <w:rsid w:val="00D64F7A"/>
    <w:rsid w:val="00D766F7"/>
    <w:rsid w:val="00D81AFC"/>
    <w:rsid w:val="00D83F6C"/>
    <w:rsid w:val="00D93F7A"/>
    <w:rsid w:val="00DB0039"/>
    <w:rsid w:val="00DB0EF8"/>
    <w:rsid w:val="00DC3395"/>
    <w:rsid w:val="00DF4ADC"/>
    <w:rsid w:val="00E2156E"/>
    <w:rsid w:val="00E23C35"/>
    <w:rsid w:val="00E3026C"/>
    <w:rsid w:val="00E352C1"/>
    <w:rsid w:val="00E60A62"/>
    <w:rsid w:val="00E70953"/>
    <w:rsid w:val="00E71B38"/>
    <w:rsid w:val="00EA4EDE"/>
    <w:rsid w:val="00EB2931"/>
    <w:rsid w:val="00EC4968"/>
    <w:rsid w:val="00EC751F"/>
    <w:rsid w:val="00EE0761"/>
    <w:rsid w:val="00EF6BF0"/>
    <w:rsid w:val="00F214C5"/>
    <w:rsid w:val="00F742BF"/>
    <w:rsid w:val="00F762A2"/>
    <w:rsid w:val="00F77449"/>
    <w:rsid w:val="00F80FFF"/>
    <w:rsid w:val="00F86ECF"/>
    <w:rsid w:val="00FB5522"/>
    <w:rsid w:val="00FC0814"/>
    <w:rsid w:val="00FD51A2"/>
    <w:rsid w:val="00FE28A9"/>
    <w:rsid w:val="00FF5D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47D54"/>
  <w15:chartTrackingRefBased/>
  <w15:docId w15:val="{59184588-7BCA-4AA6-A9B3-46C7BBBA0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A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26A"/>
    <w:pPr>
      <w:ind w:left="720"/>
      <w:contextualSpacing/>
    </w:pPr>
  </w:style>
  <w:style w:type="paragraph" w:styleId="Header">
    <w:name w:val="header"/>
    <w:basedOn w:val="Normal"/>
    <w:link w:val="HeaderChar"/>
    <w:uiPriority w:val="99"/>
    <w:unhideWhenUsed/>
    <w:rsid w:val="009C1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297"/>
  </w:style>
  <w:style w:type="paragraph" w:styleId="Footer">
    <w:name w:val="footer"/>
    <w:basedOn w:val="Normal"/>
    <w:link w:val="FooterChar"/>
    <w:uiPriority w:val="99"/>
    <w:unhideWhenUsed/>
    <w:rsid w:val="009C1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297"/>
  </w:style>
  <w:style w:type="character" w:customStyle="1" w:styleId="mord">
    <w:name w:val="mord"/>
    <w:basedOn w:val="DefaultParagraphFont"/>
    <w:rsid w:val="00732A95"/>
  </w:style>
  <w:style w:type="character" w:customStyle="1" w:styleId="mrel">
    <w:name w:val="mrel"/>
    <w:basedOn w:val="DefaultParagraphFont"/>
    <w:rsid w:val="00732A95"/>
  </w:style>
  <w:style w:type="character" w:customStyle="1" w:styleId="delimsizing">
    <w:name w:val="delimsizing"/>
    <w:basedOn w:val="DefaultParagraphFont"/>
    <w:rsid w:val="00732A95"/>
  </w:style>
  <w:style w:type="character" w:customStyle="1" w:styleId="vlist-s">
    <w:name w:val="vlist-s"/>
    <w:basedOn w:val="DefaultParagraphFont"/>
    <w:rsid w:val="00732A95"/>
  </w:style>
  <w:style w:type="character" w:customStyle="1" w:styleId="mbin">
    <w:name w:val="mbin"/>
    <w:basedOn w:val="DefaultParagraphFont"/>
    <w:rsid w:val="00732A95"/>
  </w:style>
  <w:style w:type="character" w:customStyle="1" w:styleId="formula">
    <w:name w:val="formula"/>
    <w:basedOn w:val="DefaultParagraphFont"/>
    <w:rsid w:val="007C1CA8"/>
  </w:style>
  <w:style w:type="character" w:customStyle="1" w:styleId="Heading1Char">
    <w:name w:val="Heading 1 Char"/>
    <w:basedOn w:val="DefaultParagraphFont"/>
    <w:link w:val="Heading1"/>
    <w:uiPriority w:val="9"/>
    <w:rsid w:val="00263A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3AA7"/>
    <w:pPr>
      <w:outlineLvl w:val="9"/>
    </w:pPr>
    <w:rPr>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349345">
      <w:bodyDiv w:val="1"/>
      <w:marLeft w:val="0"/>
      <w:marRight w:val="0"/>
      <w:marTop w:val="0"/>
      <w:marBottom w:val="0"/>
      <w:divBdr>
        <w:top w:val="none" w:sz="0" w:space="0" w:color="auto"/>
        <w:left w:val="none" w:sz="0" w:space="0" w:color="auto"/>
        <w:bottom w:val="none" w:sz="0" w:space="0" w:color="auto"/>
        <w:right w:val="none" w:sz="0" w:space="0" w:color="auto"/>
      </w:divBdr>
    </w:div>
    <w:div w:id="785393675">
      <w:bodyDiv w:val="1"/>
      <w:marLeft w:val="0"/>
      <w:marRight w:val="0"/>
      <w:marTop w:val="0"/>
      <w:marBottom w:val="0"/>
      <w:divBdr>
        <w:top w:val="none" w:sz="0" w:space="0" w:color="auto"/>
        <w:left w:val="none" w:sz="0" w:space="0" w:color="auto"/>
        <w:bottom w:val="none" w:sz="0" w:space="0" w:color="auto"/>
        <w:right w:val="none" w:sz="0" w:space="0" w:color="auto"/>
      </w:divBdr>
    </w:div>
    <w:div w:id="1291091116">
      <w:bodyDiv w:val="1"/>
      <w:marLeft w:val="0"/>
      <w:marRight w:val="0"/>
      <w:marTop w:val="0"/>
      <w:marBottom w:val="0"/>
      <w:divBdr>
        <w:top w:val="none" w:sz="0" w:space="0" w:color="auto"/>
        <w:left w:val="none" w:sz="0" w:space="0" w:color="auto"/>
        <w:bottom w:val="none" w:sz="0" w:space="0" w:color="auto"/>
        <w:right w:val="none" w:sz="0" w:space="0" w:color="auto"/>
      </w:divBdr>
    </w:div>
    <w:div w:id="1669212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7.jpeg"/><Relationship Id="rId26" Type="http://schemas.openxmlformats.org/officeDocument/2006/relationships/hyperlink" Target="https://www.theforage.com/blog/skills/cagr" TargetMode="External"/><Relationship Id="rId3" Type="http://schemas.openxmlformats.org/officeDocument/2006/relationships/styles" Target="styles.xml"/><Relationship Id="rId21" Type="http://schemas.openxmlformats.org/officeDocument/2006/relationships/hyperlink" Target="https://airbnb2020ipo.q4web.com/files/doc_financials/2023/q4/AIRBNB-10K-20241602.pdf" TargetMode="External"/><Relationship Id="rId34" Type="http://schemas.openxmlformats.org/officeDocument/2006/relationships/hyperlink" Target="https://groww.in/p/treynor-ratio"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6.jpeg"/><Relationship Id="rId25" Type="http://schemas.openxmlformats.org/officeDocument/2006/relationships/hyperlink" Target="https://digitalcommons.unl.edu/cgi/viewcontent.cgi?article=1642&amp;context=honorstheses" TargetMode="External"/><Relationship Id="rId33" Type="http://schemas.openxmlformats.org/officeDocument/2006/relationships/hyperlink" Target="https://www.start.io/blog/airbnb-target-market-segmentation-customer-profile-brand-positioning/"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hyperlink" Target="https://doi.org/10.3390/economies11010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corporatefinanceinstitute.com/resources/derivatives/straddle/" TargetMode="External"/><Relationship Id="rId32" Type="http://schemas.openxmlformats.org/officeDocument/2006/relationships/hyperlink" Target="https://theconversation.com/airbnb-going-public-is-a-maverick-move-151784"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forbes.com/advisor/investing/10-year-treasury-yield/" TargetMode="External"/><Relationship Id="rId28" Type="http://schemas.openxmlformats.org/officeDocument/2006/relationships/hyperlink" Target="https://www.ig.com/en/glossary-trading-terms/share-price-definition" TargetMode="Externa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8.png"/><Relationship Id="rId31" Type="http://schemas.openxmlformats.org/officeDocument/2006/relationships/hyperlink" Target="https://viewpoint.pwc.com/dt/us/en/pwc/accounting_guides/derivatives_and_hedg/derivatives_and_hedg_US/chapter_1_introducti_US/12_types_of_derivati_US.html#pwc-topic.dita_182113380414157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jpeg"/><Relationship Id="rId22" Type="http://schemas.openxmlformats.org/officeDocument/2006/relationships/hyperlink" Target="https://www.webprofits.com.au/blog/airbnb-growth-strategy" TargetMode="External"/><Relationship Id="rId27" Type="http://schemas.openxmlformats.org/officeDocument/2006/relationships/hyperlink" Target="https://www.globaldata.com/company-profile/airbnb-inc/" TargetMode="External"/><Relationship Id="rId30" Type="http://schemas.openxmlformats.org/officeDocument/2006/relationships/hyperlink" Target="https://www.nirmalbang.com/knowledge-center/what-is-sharpe-ratio.html" TargetMode="External"/><Relationship Id="rId35" Type="http://schemas.openxmlformats.org/officeDocument/2006/relationships/fontTable" Target="fontTable.xml"/><Relationship Id="rId8"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AIR BNB SHARE PERFORMANCE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Sheet1!$A$2:$A$5</c:f>
              <c:numCache>
                <c:formatCode>General</c:formatCode>
                <c:ptCount val="4"/>
                <c:pt idx="0">
                  <c:v>2021</c:v>
                </c:pt>
                <c:pt idx="1">
                  <c:v>2022</c:v>
                </c:pt>
                <c:pt idx="2">
                  <c:v>2023</c:v>
                </c:pt>
              </c:numCache>
            </c:numRef>
          </c:cat>
          <c:val>
            <c:numRef>
              <c:f>Sheet1!$B$2:$B$5</c:f>
              <c:numCache>
                <c:formatCode>General</c:formatCode>
                <c:ptCount val="4"/>
                <c:pt idx="0">
                  <c:v>166.49</c:v>
                </c:pt>
                <c:pt idx="1">
                  <c:v>85.5</c:v>
                </c:pt>
                <c:pt idx="2">
                  <c:v>136.13999999999999</c:v>
                </c:pt>
              </c:numCache>
            </c:numRef>
          </c:val>
          <c:smooth val="0"/>
          <c:extLst>
            <c:ext xmlns:c16="http://schemas.microsoft.com/office/drawing/2014/chart" uri="{C3380CC4-5D6E-409C-BE32-E72D297353CC}">
              <c16:uniqueId val="{00000000-D864-4C79-B89C-36226973AC6E}"/>
            </c:ext>
          </c:extLst>
        </c:ser>
        <c:dLbls>
          <c:showLegendKey val="0"/>
          <c:showVal val="0"/>
          <c:showCatName val="0"/>
          <c:showSerName val="0"/>
          <c:showPercent val="0"/>
          <c:showBubbleSize val="0"/>
        </c:dLbls>
        <c:marker val="1"/>
        <c:smooth val="0"/>
        <c:axId val="1019992095"/>
        <c:axId val="1019980575"/>
      </c:lineChart>
      <c:catAx>
        <c:axId val="1019992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980575"/>
        <c:crosses val="autoZero"/>
        <c:auto val="1"/>
        <c:lblAlgn val="ctr"/>
        <c:lblOffset val="100"/>
        <c:noMultiLvlLbl val="0"/>
      </c:catAx>
      <c:valAx>
        <c:axId val="10199805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9920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c:f>
              <c:strCache>
                <c:ptCount val="1"/>
                <c:pt idx="0">
                  <c:v>CAGR</c:v>
                </c:pt>
              </c:strCache>
            </c:strRef>
          </c:cat>
          <c:val>
            <c:numRef>
              <c:f>Sheet1!$B$2</c:f>
              <c:numCache>
                <c:formatCode>General</c:formatCode>
                <c:ptCount val="1"/>
                <c:pt idx="0">
                  <c:v>1.890624E-3</c:v>
                </c:pt>
              </c:numCache>
            </c:numRef>
          </c:val>
          <c:extLst>
            <c:ext xmlns:c16="http://schemas.microsoft.com/office/drawing/2014/chart" uri="{C3380CC4-5D6E-409C-BE32-E72D297353CC}">
              <c16:uniqueId val="{00000000-DC44-40BC-9F9C-8BC83E4FE5DE}"/>
            </c:ext>
          </c:extLst>
        </c:ser>
        <c:dLbls>
          <c:showLegendKey val="0"/>
          <c:showVal val="0"/>
          <c:showCatName val="0"/>
          <c:showSerName val="0"/>
          <c:showPercent val="0"/>
          <c:showBubbleSize val="0"/>
        </c:dLbls>
        <c:gapWidth val="219"/>
        <c:overlap val="-27"/>
        <c:axId val="958073679"/>
        <c:axId val="958086639"/>
      </c:barChart>
      <c:catAx>
        <c:axId val="95807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086639"/>
        <c:crosses val="autoZero"/>
        <c:auto val="1"/>
        <c:lblAlgn val="ctr"/>
        <c:lblOffset val="100"/>
        <c:noMultiLvlLbl val="0"/>
      </c:catAx>
      <c:valAx>
        <c:axId val="958086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0736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SHARPE RATIO</c:v>
                </c:pt>
              </c:strCache>
            </c:strRef>
          </c:tx>
          <c:spPr>
            <a:solidFill>
              <a:schemeClr val="accent1"/>
            </a:solidFill>
            <a:ln>
              <a:noFill/>
            </a:ln>
            <a:effectLst/>
          </c:spPr>
          <c:invertIfNegative val="0"/>
          <c:cat>
            <c:strRef>
              <c:f>Sheet1!$A$2</c:f>
              <c:strCache>
                <c:ptCount val="1"/>
                <c:pt idx="0">
                  <c:v>SHARPE</c:v>
                </c:pt>
              </c:strCache>
            </c:strRef>
          </c:cat>
          <c:val>
            <c:numRef>
              <c:f>Sheet1!$B$2</c:f>
              <c:numCache>
                <c:formatCode>General</c:formatCode>
                <c:ptCount val="1"/>
                <c:pt idx="0">
                  <c:v>20.715503250000001</c:v>
                </c:pt>
              </c:numCache>
            </c:numRef>
          </c:val>
          <c:extLst>
            <c:ext xmlns:c16="http://schemas.microsoft.com/office/drawing/2014/chart" uri="{C3380CC4-5D6E-409C-BE32-E72D297353CC}">
              <c16:uniqueId val="{00000000-809C-4FD0-8727-CE178FE81E76}"/>
            </c:ext>
          </c:extLst>
        </c:ser>
        <c:dLbls>
          <c:showLegendKey val="0"/>
          <c:showVal val="0"/>
          <c:showCatName val="0"/>
          <c:showSerName val="0"/>
          <c:showPercent val="0"/>
          <c:showBubbleSize val="0"/>
        </c:dLbls>
        <c:gapWidth val="219"/>
        <c:overlap val="-27"/>
        <c:axId val="373784032"/>
        <c:axId val="373785952"/>
      </c:barChart>
      <c:catAx>
        <c:axId val="373784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785952"/>
        <c:crosses val="autoZero"/>
        <c:auto val="1"/>
        <c:lblAlgn val="ctr"/>
        <c:lblOffset val="100"/>
        <c:noMultiLvlLbl val="0"/>
      </c:catAx>
      <c:valAx>
        <c:axId val="373785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78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TREYNOR RATIO</c:v>
                </c:pt>
              </c:strCache>
            </c:strRef>
          </c:tx>
          <c:spPr>
            <a:solidFill>
              <a:schemeClr val="accent1"/>
            </a:solidFill>
            <a:ln>
              <a:noFill/>
            </a:ln>
            <a:effectLst/>
          </c:spPr>
          <c:invertIfNegative val="0"/>
          <c:cat>
            <c:strRef>
              <c:f>Sheet1!$A$2</c:f>
              <c:strCache>
                <c:ptCount val="1"/>
                <c:pt idx="0">
                  <c:v>TREYNOR </c:v>
                </c:pt>
              </c:strCache>
            </c:strRef>
          </c:cat>
          <c:val>
            <c:numRef>
              <c:f>Sheet1!$B$2</c:f>
              <c:numCache>
                <c:formatCode>General</c:formatCode>
                <c:ptCount val="1"/>
                <c:pt idx="0">
                  <c:v>0.44282681499999998</c:v>
                </c:pt>
              </c:numCache>
            </c:numRef>
          </c:val>
          <c:extLst>
            <c:ext xmlns:c16="http://schemas.microsoft.com/office/drawing/2014/chart" uri="{C3380CC4-5D6E-409C-BE32-E72D297353CC}">
              <c16:uniqueId val="{00000000-726E-49F4-9E53-064F099BB55F}"/>
            </c:ext>
          </c:extLst>
        </c:ser>
        <c:dLbls>
          <c:showLegendKey val="0"/>
          <c:showVal val="0"/>
          <c:showCatName val="0"/>
          <c:showSerName val="0"/>
          <c:showPercent val="0"/>
          <c:showBubbleSize val="0"/>
        </c:dLbls>
        <c:gapWidth val="219"/>
        <c:overlap val="-27"/>
        <c:axId val="603770672"/>
        <c:axId val="473164144"/>
      </c:barChart>
      <c:catAx>
        <c:axId val="603770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164144"/>
        <c:crosses val="autoZero"/>
        <c:auto val="1"/>
        <c:lblAlgn val="ctr"/>
        <c:lblOffset val="100"/>
        <c:noMultiLvlLbl val="0"/>
      </c:catAx>
      <c:valAx>
        <c:axId val="473164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70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66B1E-328D-4974-B865-BD7460DA8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1745</TotalTime>
  <Pages>28</Pages>
  <Words>5745</Words>
  <Characters>32748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Amisha Setiyar</dc:creator>
  <cp:keywords/>
  <dc:description/>
  <cp:lastModifiedBy>Amisha Setiyar</cp:lastModifiedBy>
  <cp:revision>223</cp:revision>
  <dcterms:created xsi:type="dcterms:W3CDTF">2024-04-04T23:00:00Z</dcterms:created>
  <dcterms:modified xsi:type="dcterms:W3CDTF">2024-04-30T12:34:00Z</dcterms:modified>
</cp:coreProperties>
</file>