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F1284A" w14:textId="77777777" w:rsidR="00C6002C" w:rsidRPr="00287196" w:rsidRDefault="00C6002C" w:rsidP="00C6002C">
      <w:pPr>
        <w:spacing w:line="360" w:lineRule="auto"/>
        <w:rPr>
          <w:rFonts w:ascii="Brill" w:hAnsi="Brill"/>
          <w:b/>
          <w:bCs/>
          <w:sz w:val="24"/>
          <w:szCs w:val="24"/>
        </w:rPr>
      </w:pPr>
      <w:bookmarkStart w:id="0" w:name="_GoBack"/>
      <w:r w:rsidRPr="00287196">
        <w:rPr>
          <w:rFonts w:ascii="Brill" w:hAnsi="Brill"/>
          <w:b/>
          <w:bCs/>
          <w:sz w:val="24"/>
          <w:szCs w:val="24"/>
        </w:rPr>
        <w:t xml:space="preserve">The Infusion of Eastern methodologies of teaching Islamic studies into Western pedagogical systems </w:t>
      </w:r>
    </w:p>
    <w:bookmarkEnd w:id="0"/>
    <w:p w14:paraId="3BA35B20" w14:textId="77777777" w:rsidR="00C6002C" w:rsidRPr="00287196" w:rsidRDefault="00C6002C" w:rsidP="00C6002C">
      <w:pPr>
        <w:spacing w:line="360" w:lineRule="auto"/>
        <w:rPr>
          <w:rFonts w:ascii="Brill" w:hAnsi="Brill"/>
          <w:b/>
          <w:bCs/>
          <w:sz w:val="24"/>
          <w:szCs w:val="24"/>
        </w:rPr>
      </w:pPr>
      <w:r w:rsidRPr="00287196">
        <w:rPr>
          <w:rFonts w:ascii="Brill" w:hAnsi="Brill"/>
          <w:b/>
          <w:bCs/>
          <w:sz w:val="24"/>
          <w:szCs w:val="24"/>
        </w:rPr>
        <w:t>Abstract</w:t>
      </w:r>
    </w:p>
    <w:p w14:paraId="04EBB5F7" w14:textId="77777777" w:rsidR="00C6002C" w:rsidRPr="00287196" w:rsidRDefault="00C6002C" w:rsidP="00C6002C">
      <w:pPr>
        <w:spacing w:line="360" w:lineRule="auto"/>
        <w:rPr>
          <w:rFonts w:ascii="Brill" w:hAnsi="Brill"/>
          <w:b/>
          <w:bCs/>
          <w:sz w:val="24"/>
          <w:szCs w:val="24"/>
        </w:rPr>
      </w:pPr>
      <w:r w:rsidRPr="00287196">
        <w:rPr>
          <w:rFonts w:ascii="Brill" w:hAnsi="Brill"/>
          <w:sz w:val="24"/>
          <w:szCs w:val="24"/>
        </w:rPr>
        <w:t>This paper is an attempt to understand Eastern and Western methodologies of Islamic studies and the dichotomy between the two, and how, students from both backgrounds would benefit from a synthesised approach.</w:t>
      </w:r>
    </w:p>
    <w:p w14:paraId="61B08850" w14:textId="77777777" w:rsidR="00C6002C" w:rsidRPr="00287196" w:rsidRDefault="00C6002C" w:rsidP="00C6002C">
      <w:pPr>
        <w:spacing w:line="360" w:lineRule="auto"/>
        <w:rPr>
          <w:rFonts w:ascii="Brill" w:hAnsi="Brill"/>
          <w:sz w:val="24"/>
          <w:szCs w:val="24"/>
        </w:rPr>
      </w:pPr>
      <w:r w:rsidRPr="00287196">
        <w:rPr>
          <w:rFonts w:ascii="Brill" w:hAnsi="Brill"/>
          <w:b/>
          <w:bCs/>
          <w:sz w:val="24"/>
          <w:szCs w:val="24"/>
        </w:rPr>
        <w:t>The Imaginary divide between the East and the West</w:t>
      </w:r>
    </w:p>
    <w:p w14:paraId="4C6A5F1F" w14:textId="77777777" w:rsidR="00C6002C" w:rsidRPr="00287196" w:rsidRDefault="00C6002C" w:rsidP="00C6002C">
      <w:pPr>
        <w:pStyle w:val="ListParagraph"/>
        <w:spacing w:line="360" w:lineRule="auto"/>
        <w:ind w:left="0" w:firstLine="720"/>
        <w:rPr>
          <w:rFonts w:ascii="Brill" w:hAnsi="Brill"/>
          <w:sz w:val="24"/>
          <w:szCs w:val="24"/>
        </w:rPr>
      </w:pPr>
      <w:r w:rsidRPr="00287196">
        <w:rPr>
          <w:rFonts w:ascii="Brill" w:hAnsi="Brill"/>
          <w:sz w:val="24"/>
          <w:szCs w:val="24"/>
        </w:rPr>
        <w:t>In the absence of a geographical boundary, what divides the East and the West? For the Orientalists, the ‘West’ was defined as Hellenistic and Roman cultures, later substituted by a Judeo-Christian one</w:t>
      </w:r>
      <w:r w:rsidRPr="00287196">
        <w:rPr>
          <w:rStyle w:val="FootnoteReference"/>
          <w:rFonts w:ascii="Brill" w:hAnsi="Brill"/>
          <w:sz w:val="24"/>
          <w:szCs w:val="24"/>
        </w:rPr>
        <w:footnoteReference w:id="1"/>
      </w:r>
      <w:r w:rsidRPr="00287196">
        <w:rPr>
          <w:rFonts w:ascii="Brill" w:hAnsi="Brill"/>
          <w:sz w:val="24"/>
          <w:szCs w:val="24"/>
        </w:rPr>
        <w:t>.</w:t>
      </w:r>
    </w:p>
    <w:p w14:paraId="27CFFDFB" w14:textId="77777777" w:rsidR="00C6002C" w:rsidRPr="00287196" w:rsidRDefault="00C6002C" w:rsidP="00C6002C">
      <w:pPr>
        <w:pStyle w:val="ListParagraph"/>
        <w:spacing w:line="360" w:lineRule="auto"/>
        <w:ind w:left="0" w:firstLine="720"/>
        <w:rPr>
          <w:rFonts w:ascii="Brill" w:hAnsi="Brill"/>
          <w:sz w:val="24"/>
          <w:szCs w:val="24"/>
        </w:rPr>
      </w:pPr>
      <w:r w:rsidRPr="00287196">
        <w:rPr>
          <w:rFonts w:ascii="Brill" w:hAnsi="Brill"/>
          <w:sz w:val="24"/>
          <w:szCs w:val="24"/>
        </w:rPr>
        <w:t>Until the early 19</w:t>
      </w:r>
      <w:r w:rsidRPr="00287196">
        <w:rPr>
          <w:rFonts w:ascii="Brill" w:hAnsi="Brill"/>
          <w:sz w:val="24"/>
          <w:szCs w:val="24"/>
          <w:vertAlign w:val="superscript"/>
        </w:rPr>
        <w:t>th</w:t>
      </w:r>
      <w:r w:rsidRPr="00287196">
        <w:rPr>
          <w:rFonts w:ascii="Brill" w:hAnsi="Brill"/>
          <w:sz w:val="24"/>
          <w:szCs w:val="24"/>
        </w:rPr>
        <w:t xml:space="preserve"> century, the Orient meant the Middle East and India, but with the subsequent discoveries of large parts of Asia, the scope of Orientalism expanded accordingly (Said 1995, p.4)</w:t>
      </w:r>
      <w:r w:rsidRPr="00287196">
        <w:rPr>
          <w:rStyle w:val="FootnoteReference"/>
          <w:rFonts w:ascii="Brill" w:hAnsi="Brill"/>
          <w:sz w:val="24"/>
          <w:szCs w:val="24"/>
        </w:rPr>
        <w:footnoteReference w:id="2"/>
      </w:r>
      <w:r w:rsidRPr="00287196">
        <w:rPr>
          <w:rFonts w:ascii="Brill" w:hAnsi="Brill"/>
          <w:sz w:val="24"/>
          <w:szCs w:val="24"/>
        </w:rPr>
        <w:t>.</w:t>
      </w:r>
    </w:p>
    <w:p w14:paraId="714F583A" w14:textId="77777777" w:rsidR="00C6002C" w:rsidRPr="00287196" w:rsidRDefault="00C6002C" w:rsidP="00C6002C">
      <w:pPr>
        <w:pStyle w:val="ListParagraph"/>
        <w:spacing w:line="360" w:lineRule="auto"/>
        <w:ind w:left="0" w:firstLine="720"/>
        <w:rPr>
          <w:rFonts w:ascii="Brill" w:hAnsi="Brill"/>
          <w:sz w:val="24"/>
          <w:szCs w:val="24"/>
        </w:rPr>
      </w:pPr>
      <w:r w:rsidRPr="00287196">
        <w:rPr>
          <w:rFonts w:ascii="Brill" w:hAnsi="Brill"/>
          <w:sz w:val="24"/>
          <w:szCs w:val="24"/>
        </w:rPr>
        <w:t>The East was everything else</w:t>
      </w:r>
      <w:r w:rsidRPr="00287196">
        <w:rPr>
          <w:rStyle w:val="FootnoteReference"/>
          <w:rFonts w:ascii="Brill" w:hAnsi="Brill"/>
          <w:sz w:val="24"/>
          <w:szCs w:val="24"/>
        </w:rPr>
        <w:footnoteReference w:id="3"/>
      </w:r>
      <w:r w:rsidRPr="00287196">
        <w:rPr>
          <w:rFonts w:ascii="Brill" w:hAnsi="Brill"/>
          <w:sz w:val="24"/>
          <w:szCs w:val="24"/>
        </w:rPr>
        <w:t>. It did not matter that Japan was thousands of kilometres away from Arabia, or that Chinese philosophy differed vastly from Sumerian and Akkadian philosophy. It was ambitious, to say the least, to box together this massive land mass and its peoples, these religions, cultures and languages. Anyone who taught, wrote about or studied these lands, whether they were priests, anthropologists, sociologists, historians or philologists was an Orientalist</w:t>
      </w:r>
      <w:r w:rsidRPr="00287196">
        <w:rPr>
          <w:rStyle w:val="FootnoteReference"/>
          <w:rFonts w:ascii="Brill" w:hAnsi="Brill"/>
          <w:sz w:val="24"/>
          <w:szCs w:val="24"/>
        </w:rPr>
        <w:footnoteReference w:id="4"/>
      </w:r>
      <w:r w:rsidRPr="00287196">
        <w:rPr>
          <w:rFonts w:ascii="Brill" w:hAnsi="Brill"/>
          <w:sz w:val="24"/>
          <w:szCs w:val="24"/>
        </w:rPr>
        <w:t xml:space="preserve">. </w:t>
      </w:r>
    </w:p>
    <w:p w14:paraId="0BF8A54E" w14:textId="77777777" w:rsidR="00C6002C" w:rsidRPr="00287196" w:rsidRDefault="00C6002C" w:rsidP="00C6002C">
      <w:pPr>
        <w:spacing w:line="360" w:lineRule="auto"/>
        <w:ind w:firstLine="720"/>
        <w:rPr>
          <w:rFonts w:ascii="Brill" w:hAnsi="Brill"/>
          <w:sz w:val="24"/>
          <w:szCs w:val="24"/>
        </w:rPr>
      </w:pPr>
      <w:r w:rsidRPr="00287196">
        <w:rPr>
          <w:rFonts w:ascii="Brill" w:hAnsi="Brill"/>
          <w:sz w:val="24"/>
          <w:szCs w:val="24"/>
        </w:rPr>
        <w:t xml:space="preserve">Post-medieval Orientalism was rooted in two </w:t>
      </w:r>
      <w:proofErr w:type="gramStart"/>
      <w:r w:rsidRPr="00287196">
        <w:rPr>
          <w:rFonts w:ascii="Brill" w:hAnsi="Brill"/>
          <w:sz w:val="24"/>
          <w:szCs w:val="24"/>
        </w:rPr>
        <w:t>other</w:t>
      </w:r>
      <w:proofErr w:type="gramEnd"/>
      <w:r w:rsidRPr="00287196">
        <w:rPr>
          <w:rFonts w:ascii="Brill" w:hAnsi="Brill"/>
          <w:sz w:val="24"/>
          <w:szCs w:val="24"/>
        </w:rPr>
        <w:t xml:space="preserve"> ‘</w:t>
      </w:r>
      <w:r w:rsidRPr="00287196">
        <w:rPr>
          <w:rFonts w:ascii="Brill" w:hAnsi="Brill"/>
          <w:i/>
          <w:iCs/>
          <w:sz w:val="24"/>
          <w:szCs w:val="24"/>
        </w:rPr>
        <w:t>isms</w:t>
      </w:r>
      <w:r w:rsidRPr="00287196">
        <w:rPr>
          <w:rFonts w:ascii="Brill" w:hAnsi="Brill"/>
          <w:sz w:val="24"/>
          <w:szCs w:val="24"/>
        </w:rPr>
        <w:t>’, namely ‘colonialism’ and ‘imperialism’</w:t>
      </w:r>
      <w:r w:rsidRPr="00287196">
        <w:rPr>
          <w:rStyle w:val="FootnoteReference"/>
          <w:rFonts w:ascii="Brill" w:hAnsi="Brill"/>
          <w:sz w:val="24"/>
          <w:szCs w:val="24"/>
        </w:rPr>
        <w:footnoteReference w:id="5"/>
      </w:r>
      <w:r w:rsidRPr="00287196">
        <w:rPr>
          <w:rFonts w:ascii="Brill" w:hAnsi="Brill"/>
          <w:sz w:val="24"/>
          <w:szCs w:val="24"/>
        </w:rPr>
        <w:t>, whose driving force was Christianity. The rise of European hegemony was primarily due to unprecedented development, during the renaissance and the industrial age, and was facilitated by the East, which itself disintegrated into insignificant states; so insignificant that they could not counter a colonising master</w:t>
      </w:r>
      <w:r w:rsidRPr="00287196">
        <w:rPr>
          <w:rStyle w:val="FootnoteReference"/>
          <w:rFonts w:ascii="Brill" w:hAnsi="Brill"/>
          <w:sz w:val="24"/>
          <w:szCs w:val="24"/>
        </w:rPr>
        <w:footnoteReference w:id="6"/>
      </w:r>
      <w:r w:rsidRPr="00287196">
        <w:rPr>
          <w:rFonts w:ascii="Brill" w:hAnsi="Brill"/>
          <w:sz w:val="24"/>
          <w:szCs w:val="24"/>
        </w:rPr>
        <w:t>. A master who ruled over their lands, their culture and as a result their religions</w:t>
      </w:r>
      <w:r w:rsidRPr="00287196">
        <w:rPr>
          <w:rStyle w:val="FootnoteReference"/>
          <w:rFonts w:ascii="Brill" w:hAnsi="Brill"/>
          <w:sz w:val="24"/>
          <w:szCs w:val="24"/>
        </w:rPr>
        <w:footnoteReference w:id="7"/>
      </w:r>
      <w:r w:rsidRPr="00287196">
        <w:rPr>
          <w:rFonts w:ascii="Brill" w:hAnsi="Brill"/>
          <w:sz w:val="24"/>
          <w:szCs w:val="24"/>
        </w:rPr>
        <w:t xml:space="preserve">. </w:t>
      </w:r>
      <w:r w:rsidRPr="00287196">
        <w:rPr>
          <w:rFonts w:ascii="Brill" w:hAnsi="Brill"/>
          <w:sz w:val="24"/>
          <w:szCs w:val="24"/>
        </w:rPr>
        <w:lastRenderedPageBreak/>
        <w:t>Christianity</w:t>
      </w:r>
      <w:r w:rsidRPr="00287196">
        <w:rPr>
          <w:rStyle w:val="FootnoteReference"/>
          <w:rFonts w:ascii="Brill" w:hAnsi="Brill"/>
          <w:sz w:val="24"/>
          <w:szCs w:val="24"/>
        </w:rPr>
        <w:footnoteReference w:id="8"/>
      </w:r>
      <w:r w:rsidRPr="00287196">
        <w:rPr>
          <w:rFonts w:ascii="Brill" w:hAnsi="Brill"/>
          <w:sz w:val="24"/>
          <w:szCs w:val="24"/>
        </w:rPr>
        <w:t xml:space="preserve"> and colonialism together set the tone for discourse amongst the Orientalists and ergo the curricula of Western universities.</w:t>
      </w:r>
    </w:p>
    <w:p w14:paraId="5CEA5B1B" w14:textId="77777777" w:rsidR="00C6002C" w:rsidRPr="00287196" w:rsidRDefault="00C6002C" w:rsidP="00C6002C">
      <w:pPr>
        <w:spacing w:line="360" w:lineRule="auto"/>
        <w:ind w:firstLine="720"/>
        <w:rPr>
          <w:rFonts w:ascii="Brill" w:hAnsi="Brill"/>
          <w:sz w:val="24"/>
          <w:szCs w:val="24"/>
        </w:rPr>
      </w:pPr>
      <w:r w:rsidRPr="00287196">
        <w:rPr>
          <w:rFonts w:ascii="Brill" w:hAnsi="Brill"/>
          <w:sz w:val="24"/>
          <w:szCs w:val="24"/>
        </w:rPr>
        <w:t>Orientalism later became focussed on Islam and the Middle East, while the study of China became Sinology and that of Far East Asia, Asian or East Asian studies</w:t>
      </w:r>
      <w:r w:rsidRPr="00287196">
        <w:rPr>
          <w:rStyle w:val="FootnoteReference"/>
          <w:rFonts w:ascii="Brill" w:hAnsi="Brill"/>
          <w:sz w:val="24"/>
          <w:szCs w:val="24"/>
        </w:rPr>
        <w:footnoteReference w:id="9"/>
      </w:r>
      <w:r w:rsidRPr="00287196">
        <w:rPr>
          <w:rFonts w:ascii="Brill" w:hAnsi="Brill"/>
          <w:sz w:val="24"/>
          <w:szCs w:val="24"/>
        </w:rPr>
        <w:t xml:space="preserve">. </w:t>
      </w:r>
    </w:p>
    <w:p w14:paraId="25B5F65F" w14:textId="77777777" w:rsidR="00C6002C" w:rsidRPr="00287196" w:rsidRDefault="00C6002C" w:rsidP="00C6002C">
      <w:pPr>
        <w:pStyle w:val="ListParagraph"/>
        <w:spacing w:line="360" w:lineRule="auto"/>
        <w:ind w:left="0" w:firstLine="720"/>
        <w:rPr>
          <w:rFonts w:ascii="Brill" w:hAnsi="Brill"/>
          <w:sz w:val="24"/>
          <w:szCs w:val="24"/>
        </w:rPr>
      </w:pPr>
    </w:p>
    <w:p w14:paraId="50B97300" w14:textId="77777777" w:rsidR="00C6002C" w:rsidRPr="00287196" w:rsidRDefault="00C6002C" w:rsidP="00C6002C">
      <w:pPr>
        <w:spacing w:line="360" w:lineRule="auto"/>
        <w:rPr>
          <w:rFonts w:ascii="Brill" w:hAnsi="Brill"/>
          <w:b/>
          <w:bCs/>
          <w:sz w:val="24"/>
          <w:szCs w:val="24"/>
        </w:rPr>
      </w:pPr>
      <w:r w:rsidRPr="00287196">
        <w:rPr>
          <w:rFonts w:ascii="Brill" w:hAnsi="Brill"/>
          <w:b/>
          <w:bCs/>
          <w:sz w:val="24"/>
          <w:szCs w:val="24"/>
        </w:rPr>
        <w:t>Orientalism as the study of Islam and the Middle East</w:t>
      </w:r>
    </w:p>
    <w:p w14:paraId="757DB4B1" w14:textId="77777777" w:rsidR="00C6002C" w:rsidRPr="00287196" w:rsidRDefault="00C6002C" w:rsidP="00C6002C">
      <w:pPr>
        <w:spacing w:line="360" w:lineRule="auto"/>
        <w:ind w:firstLine="720"/>
        <w:rPr>
          <w:rFonts w:ascii="Brill" w:hAnsi="Brill"/>
          <w:sz w:val="24"/>
          <w:szCs w:val="24"/>
        </w:rPr>
      </w:pPr>
      <w:r w:rsidRPr="00287196">
        <w:rPr>
          <w:rFonts w:ascii="Brill" w:hAnsi="Brill"/>
          <w:sz w:val="24"/>
          <w:szCs w:val="24"/>
        </w:rPr>
        <w:t>A major shortcoming in the Orientalist’s approach to the study of Islam was that Islam itself was not a homogeneous whole</w:t>
      </w:r>
      <w:r w:rsidRPr="00287196">
        <w:rPr>
          <w:rStyle w:val="FootnoteReference"/>
          <w:rFonts w:ascii="Brill" w:hAnsi="Brill"/>
          <w:sz w:val="24"/>
          <w:szCs w:val="24"/>
        </w:rPr>
        <w:footnoteReference w:id="10"/>
      </w:r>
      <w:r w:rsidRPr="00287196">
        <w:rPr>
          <w:rFonts w:ascii="Brill" w:hAnsi="Brill"/>
          <w:sz w:val="24"/>
          <w:szCs w:val="24"/>
        </w:rPr>
        <w:t>. For academics studying Islam or even the Middle East, this seems obvious today, but it was not so before the 19</w:t>
      </w:r>
      <w:r w:rsidRPr="00287196">
        <w:rPr>
          <w:rFonts w:ascii="Brill" w:hAnsi="Brill"/>
          <w:sz w:val="24"/>
          <w:szCs w:val="24"/>
          <w:vertAlign w:val="superscript"/>
        </w:rPr>
        <w:t>th</w:t>
      </w:r>
      <w:r w:rsidRPr="00287196">
        <w:rPr>
          <w:rFonts w:ascii="Brill" w:hAnsi="Brill"/>
          <w:sz w:val="24"/>
          <w:szCs w:val="24"/>
        </w:rPr>
        <w:t xml:space="preserve"> century. While Islamic creed held that it was a continuation of Christianity and its Prophet the successor to Jesus; Christianity, for obvious reasons, was vary of this new ‘psuedo-prophet’ from Arabia who called towards a false God</w:t>
      </w:r>
      <w:r w:rsidRPr="00287196">
        <w:rPr>
          <w:rStyle w:val="FootnoteReference"/>
          <w:rFonts w:ascii="Brill" w:hAnsi="Brill"/>
          <w:sz w:val="24"/>
          <w:szCs w:val="24"/>
        </w:rPr>
        <w:footnoteReference w:id="11"/>
      </w:r>
      <w:r w:rsidRPr="00287196">
        <w:rPr>
          <w:rFonts w:ascii="Brill" w:hAnsi="Brill"/>
          <w:sz w:val="24"/>
          <w:szCs w:val="24"/>
        </w:rPr>
        <w:t xml:space="preserve">. Their focus then, </w:t>
      </w:r>
      <w:proofErr w:type="gramStart"/>
      <w:r w:rsidRPr="00287196">
        <w:rPr>
          <w:rFonts w:ascii="Brill" w:hAnsi="Brill"/>
          <w:sz w:val="24"/>
          <w:szCs w:val="24"/>
        </w:rPr>
        <w:t>was more or less</w:t>
      </w:r>
      <w:proofErr w:type="gramEnd"/>
      <w:r w:rsidRPr="00287196">
        <w:rPr>
          <w:rFonts w:ascii="Brill" w:hAnsi="Brill"/>
          <w:sz w:val="24"/>
          <w:szCs w:val="24"/>
        </w:rPr>
        <w:t xml:space="preserve"> to project their own superiority over the uncouth Arab ’Mohammedans’. Their debates were directed towards the very root of this cause of heathendom, the Prophet of Islam himself</w:t>
      </w:r>
      <w:r w:rsidRPr="00287196">
        <w:rPr>
          <w:rStyle w:val="FootnoteReference"/>
          <w:rFonts w:ascii="Brill" w:hAnsi="Brill"/>
          <w:sz w:val="24"/>
          <w:szCs w:val="24"/>
        </w:rPr>
        <w:footnoteReference w:id="12"/>
      </w:r>
      <w:r w:rsidRPr="00287196">
        <w:rPr>
          <w:rFonts w:ascii="Brill" w:hAnsi="Brill"/>
          <w:sz w:val="24"/>
          <w:szCs w:val="24"/>
        </w:rPr>
        <w:t xml:space="preserve">. Very little was done to study its sects and understand its myriad local traditions and cultures. </w:t>
      </w:r>
    </w:p>
    <w:p w14:paraId="7289E781" w14:textId="77777777" w:rsidR="00C6002C" w:rsidRPr="00287196" w:rsidRDefault="00C6002C" w:rsidP="00C6002C">
      <w:pPr>
        <w:spacing w:line="360" w:lineRule="auto"/>
        <w:ind w:firstLine="720"/>
        <w:rPr>
          <w:rFonts w:ascii="Brill" w:hAnsi="Brill"/>
          <w:sz w:val="24"/>
          <w:szCs w:val="24"/>
        </w:rPr>
      </w:pPr>
      <w:r w:rsidRPr="00287196">
        <w:rPr>
          <w:rFonts w:ascii="Brill" w:hAnsi="Brill"/>
          <w:sz w:val="24"/>
          <w:szCs w:val="24"/>
        </w:rPr>
        <w:t>The Crusades was an outpouring of this antagonism, and studying Islam was for the purpose of knowing the enemy. Christian polemics written after the Crusades till the 13</w:t>
      </w:r>
      <w:r w:rsidRPr="00287196">
        <w:rPr>
          <w:rFonts w:ascii="Brill" w:hAnsi="Brill"/>
          <w:sz w:val="24"/>
          <w:szCs w:val="24"/>
          <w:vertAlign w:val="superscript"/>
        </w:rPr>
        <w:t>th</w:t>
      </w:r>
      <w:r w:rsidRPr="00287196">
        <w:rPr>
          <w:rFonts w:ascii="Brill" w:hAnsi="Brill"/>
          <w:sz w:val="24"/>
          <w:szCs w:val="24"/>
        </w:rPr>
        <w:t xml:space="preserve"> century reflect this attitude</w:t>
      </w:r>
      <w:r w:rsidRPr="00287196">
        <w:rPr>
          <w:rStyle w:val="FootnoteReference"/>
          <w:rFonts w:ascii="Brill" w:hAnsi="Brill"/>
          <w:sz w:val="24"/>
          <w:szCs w:val="24"/>
        </w:rPr>
        <w:footnoteReference w:id="13"/>
      </w:r>
      <w:r w:rsidRPr="00287196">
        <w:rPr>
          <w:rFonts w:ascii="Brill" w:hAnsi="Brill"/>
          <w:sz w:val="24"/>
          <w:szCs w:val="24"/>
        </w:rPr>
        <w:t>. The introduction of the humanities in education</w:t>
      </w:r>
      <w:r w:rsidRPr="00287196">
        <w:rPr>
          <w:rStyle w:val="FootnoteReference"/>
          <w:rFonts w:ascii="Brill" w:hAnsi="Brill"/>
          <w:sz w:val="24"/>
          <w:szCs w:val="24"/>
        </w:rPr>
        <w:footnoteReference w:id="14"/>
      </w:r>
      <w:r w:rsidRPr="00287196">
        <w:rPr>
          <w:rFonts w:ascii="Brill" w:hAnsi="Brill"/>
          <w:sz w:val="24"/>
          <w:szCs w:val="24"/>
        </w:rPr>
        <w:t xml:space="preserve"> and the gradual moving of religion into the background of discourse softened this </w:t>
      </w:r>
      <w:r w:rsidRPr="00287196">
        <w:rPr>
          <w:rFonts w:ascii="Brill" w:hAnsi="Brill"/>
          <w:sz w:val="24"/>
          <w:szCs w:val="24"/>
        </w:rPr>
        <w:lastRenderedPageBreak/>
        <w:t>stance somewhat</w:t>
      </w:r>
      <w:r w:rsidRPr="00287196">
        <w:rPr>
          <w:rStyle w:val="FootnoteReference"/>
          <w:rFonts w:ascii="Brill" w:hAnsi="Brill"/>
          <w:sz w:val="24"/>
          <w:szCs w:val="24"/>
        </w:rPr>
        <w:footnoteReference w:id="15"/>
      </w:r>
      <w:r w:rsidRPr="00287196">
        <w:rPr>
          <w:rFonts w:ascii="Brill" w:hAnsi="Brill"/>
          <w:sz w:val="24"/>
          <w:szCs w:val="24"/>
        </w:rPr>
        <w:t>. The newfound fervour to conquer and subdue new lands changed this discourse again and pre-modern Orientalism was its product</w:t>
      </w:r>
      <w:r w:rsidRPr="00287196">
        <w:rPr>
          <w:rStyle w:val="FootnoteReference"/>
          <w:rFonts w:ascii="Brill" w:hAnsi="Brill"/>
          <w:sz w:val="24"/>
          <w:szCs w:val="24"/>
        </w:rPr>
        <w:footnoteReference w:id="16"/>
      </w:r>
      <w:r w:rsidRPr="00287196">
        <w:rPr>
          <w:rFonts w:ascii="Brill" w:hAnsi="Brill"/>
          <w:sz w:val="24"/>
          <w:szCs w:val="24"/>
        </w:rPr>
        <w:t>.</w:t>
      </w:r>
    </w:p>
    <w:p w14:paraId="2F832DC9" w14:textId="77777777" w:rsidR="00C6002C" w:rsidRPr="00287196" w:rsidRDefault="00C6002C" w:rsidP="00C6002C">
      <w:pPr>
        <w:spacing w:line="360" w:lineRule="auto"/>
        <w:ind w:firstLine="720"/>
        <w:rPr>
          <w:rFonts w:ascii="Brill" w:hAnsi="Brill"/>
          <w:sz w:val="24"/>
          <w:szCs w:val="24"/>
        </w:rPr>
      </w:pPr>
      <w:r w:rsidRPr="00287196">
        <w:rPr>
          <w:rFonts w:ascii="Brill" w:hAnsi="Brill"/>
          <w:sz w:val="24"/>
          <w:szCs w:val="24"/>
        </w:rPr>
        <w:t>The initial methodology of studying Islam and Muslims, which was to understand the ‘other’</w:t>
      </w:r>
      <w:r w:rsidRPr="00287196">
        <w:rPr>
          <w:rStyle w:val="FootnoteReference"/>
          <w:rFonts w:ascii="Brill" w:hAnsi="Brill"/>
          <w:sz w:val="24"/>
          <w:szCs w:val="24"/>
        </w:rPr>
        <w:footnoteReference w:id="17"/>
      </w:r>
      <w:r w:rsidRPr="00287196">
        <w:rPr>
          <w:rFonts w:ascii="Brill" w:hAnsi="Brill"/>
          <w:sz w:val="24"/>
          <w:szCs w:val="24"/>
        </w:rPr>
        <w:t>, was overtaken gradually by the spirit of Orientalism.</w:t>
      </w:r>
    </w:p>
    <w:p w14:paraId="56803D7A" w14:textId="77777777" w:rsidR="00C6002C" w:rsidRPr="00287196" w:rsidRDefault="00C6002C" w:rsidP="00C6002C">
      <w:pPr>
        <w:spacing w:line="360" w:lineRule="auto"/>
        <w:ind w:firstLine="720"/>
        <w:rPr>
          <w:rFonts w:ascii="Brill" w:hAnsi="Brill"/>
          <w:sz w:val="24"/>
          <w:szCs w:val="24"/>
        </w:rPr>
      </w:pPr>
      <w:r w:rsidRPr="00287196">
        <w:rPr>
          <w:rFonts w:ascii="Brill" w:hAnsi="Brill"/>
          <w:sz w:val="24"/>
          <w:szCs w:val="24"/>
        </w:rPr>
        <w:t>The knowledge of an Orientalist, no doubt informed, but steeped in believer versus non-believer tradition</w:t>
      </w:r>
      <w:r w:rsidRPr="00287196">
        <w:rPr>
          <w:rStyle w:val="FootnoteReference"/>
          <w:rFonts w:ascii="Brill" w:hAnsi="Brill"/>
          <w:sz w:val="24"/>
          <w:szCs w:val="24"/>
        </w:rPr>
        <w:footnoteReference w:id="18"/>
      </w:r>
      <w:r w:rsidRPr="00287196">
        <w:rPr>
          <w:rFonts w:ascii="Brill" w:hAnsi="Brill"/>
          <w:sz w:val="24"/>
          <w:szCs w:val="24"/>
        </w:rPr>
        <w:t>, was garnered mainly from the texts of the majority Sunnis, who the Orientalist regarded as the orthodox Muslims. Meanwhile Shi’ism was considered a heterodoxy or in its extreme a heresy</w:t>
      </w:r>
      <w:r w:rsidRPr="00287196">
        <w:rPr>
          <w:rStyle w:val="FootnoteReference"/>
          <w:rFonts w:ascii="Brill" w:hAnsi="Brill"/>
          <w:sz w:val="24"/>
          <w:szCs w:val="24"/>
        </w:rPr>
        <w:footnoteReference w:id="19"/>
      </w:r>
      <w:r w:rsidRPr="00287196">
        <w:rPr>
          <w:rFonts w:ascii="Brill" w:hAnsi="Brill"/>
          <w:sz w:val="24"/>
          <w:szCs w:val="24"/>
        </w:rPr>
        <w:t>. There were several problems with this:</w:t>
      </w:r>
    </w:p>
    <w:p w14:paraId="10C359C6" w14:textId="77777777" w:rsidR="00C6002C" w:rsidRPr="00287196" w:rsidRDefault="00C6002C" w:rsidP="00C6002C">
      <w:pPr>
        <w:spacing w:line="360" w:lineRule="auto"/>
        <w:ind w:firstLine="720"/>
        <w:rPr>
          <w:rFonts w:ascii="Brill" w:hAnsi="Brill"/>
          <w:sz w:val="24"/>
          <w:szCs w:val="24"/>
        </w:rPr>
      </w:pPr>
      <w:r w:rsidRPr="00287196">
        <w:rPr>
          <w:rFonts w:ascii="Brill" w:hAnsi="Brill"/>
          <w:sz w:val="24"/>
          <w:szCs w:val="24"/>
        </w:rPr>
        <w:t xml:space="preserve">Firstly, the Shi’a had a different approach to the seeking of knowledge. It stemmed from the fact that the Shi’a believed that there had to be a living imām, from the progeny of the Prophet and his Legatee, Alī b. Abī Tālib </w:t>
      </w:r>
      <w:r w:rsidRPr="00287196">
        <w:rPr>
          <w:rFonts w:ascii="Brill" w:hAnsi="Brill"/>
          <w:sz w:val="24"/>
          <w:szCs w:val="24"/>
          <w:lang w:val="en-US"/>
        </w:rPr>
        <w:t>(d. 40/661)</w:t>
      </w:r>
      <w:r w:rsidRPr="00287196">
        <w:rPr>
          <w:rFonts w:ascii="Brill" w:hAnsi="Brill"/>
          <w:sz w:val="24"/>
          <w:szCs w:val="24"/>
        </w:rPr>
        <w:t>, who like Alī, was the gateway to the knowledge of the Prophet</w:t>
      </w:r>
      <w:r w:rsidRPr="00287196">
        <w:rPr>
          <w:rStyle w:val="FootnoteReference"/>
          <w:rFonts w:ascii="Brill" w:hAnsi="Brill"/>
          <w:sz w:val="24"/>
          <w:szCs w:val="24"/>
        </w:rPr>
        <w:footnoteReference w:id="20"/>
      </w:r>
      <w:r w:rsidRPr="00287196">
        <w:rPr>
          <w:rFonts w:ascii="Brill" w:hAnsi="Brill"/>
          <w:sz w:val="24"/>
          <w:szCs w:val="24"/>
        </w:rPr>
        <w:t>. This imām</w:t>
      </w:r>
      <w:r w:rsidRPr="00287196">
        <w:rPr>
          <w:rStyle w:val="FootnoteReference"/>
          <w:rFonts w:ascii="Brill" w:hAnsi="Brill"/>
          <w:sz w:val="24"/>
          <w:szCs w:val="24"/>
        </w:rPr>
        <w:footnoteReference w:id="21"/>
      </w:r>
      <w:r w:rsidRPr="00287196">
        <w:rPr>
          <w:rFonts w:ascii="Brill" w:hAnsi="Brill"/>
          <w:sz w:val="24"/>
          <w:szCs w:val="24"/>
        </w:rPr>
        <w:t xml:space="preserve"> was the fount of all knowledge and the interpreter of the Qur’ān. Knowledge could only be learnt from him, or from someone authorised by him</w:t>
      </w:r>
      <w:r w:rsidRPr="00287196">
        <w:rPr>
          <w:rStyle w:val="FootnoteReference"/>
          <w:rFonts w:ascii="Brill" w:hAnsi="Brill"/>
          <w:sz w:val="24"/>
          <w:szCs w:val="24"/>
        </w:rPr>
        <w:footnoteReference w:id="22"/>
      </w:r>
      <w:r w:rsidRPr="00287196">
        <w:rPr>
          <w:rFonts w:ascii="Brill" w:hAnsi="Brill"/>
          <w:sz w:val="24"/>
          <w:szCs w:val="24"/>
        </w:rPr>
        <w:t xml:space="preserve">.. </w:t>
      </w:r>
    </w:p>
    <w:p w14:paraId="3157BC59" w14:textId="77777777" w:rsidR="00C6002C" w:rsidRPr="00287196" w:rsidRDefault="00C6002C" w:rsidP="00C6002C">
      <w:pPr>
        <w:spacing w:line="360" w:lineRule="auto"/>
        <w:ind w:firstLine="720"/>
        <w:rPr>
          <w:rFonts w:ascii="Brill" w:hAnsi="Brill"/>
          <w:sz w:val="24"/>
          <w:szCs w:val="24"/>
        </w:rPr>
      </w:pPr>
      <w:r w:rsidRPr="00287196">
        <w:rPr>
          <w:rFonts w:ascii="Brill" w:hAnsi="Brill"/>
          <w:sz w:val="24"/>
          <w:szCs w:val="24"/>
        </w:rPr>
        <w:t>Secondly, Islam spread far and wide. This entailed a diversity of peoples and cultures, and as a result a vast variety of localised educational traditions were established</w:t>
      </w:r>
      <w:r w:rsidRPr="00287196">
        <w:rPr>
          <w:rStyle w:val="FootnoteReference"/>
          <w:rFonts w:ascii="Brill" w:hAnsi="Brill"/>
          <w:sz w:val="24"/>
          <w:szCs w:val="24"/>
        </w:rPr>
        <w:footnoteReference w:id="23"/>
      </w:r>
      <w:r w:rsidRPr="00287196">
        <w:rPr>
          <w:rFonts w:ascii="Brill" w:hAnsi="Brill"/>
          <w:sz w:val="24"/>
          <w:szCs w:val="24"/>
        </w:rPr>
        <w:t>.</w:t>
      </w:r>
      <w:r w:rsidRPr="00287196">
        <w:rPr>
          <w:rStyle w:val="FootnoteReference"/>
          <w:rFonts w:ascii="Brill" w:hAnsi="Brill"/>
          <w:sz w:val="24"/>
          <w:szCs w:val="24"/>
        </w:rPr>
        <w:footnoteReference w:id="24"/>
      </w:r>
      <w:r w:rsidRPr="00287196">
        <w:rPr>
          <w:rFonts w:ascii="Brill" w:hAnsi="Brill"/>
          <w:sz w:val="24"/>
          <w:szCs w:val="24"/>
        </w:rPr>
        <w:t>.</w:t>
      </w:r>
    </w:p>
    <w:p w14:paraId="0DE17DBF" w14:textId="77777777" w:rsidR="00C6002C" w:rsidRPr="00287196" w:rsidRDefault="00C6002C" w:rsidP="00C6002C">
      <w:pPr>
        <w:spacing w:line="360" w:lineRule="auto"/>
        <w:ind w:firstLine="720"/>
        <w:rPr>
          <w:rFonts w:ascii="Brill" w:hAnsi="Brill"/>
          <w:sz w:val="24"/>
          <w:szCs w:val="24"/>
        </w:rPr>
      </w:pPr>
      <w:r w:rsidRPr="00287196">
        <w:rPr>
          <w:rFonts w:ascii="Brill" w:hAnsi="Brill"/>
          <w:sz w:val="24"/>
          <w:szCs w:val="24"/>
        </w:rPr>
        <w:lastRenderedPageBreak/>
        <w:t xml:space="preserve">Thirdly, Islamic Educational traditions in the East did not focus solely on textual knowledge. For the Sunnis, the Qur’ān, traditions of the Prophet and the </w:t>
      </w:r>
      <w:r w:rsidRPr="00287196">
        <w:rPr>
          <w:rFonts w:ascii="Brill" w:hAnsi="Brill"/>
          <w:i/>
          <w:iCs/>
          <w:sz w:val="24"/>
          <w:szCs w:val="24"/>
        </w:rPr>
        <w:t xml:space="preserve">sunna </w:t>
      </w:r>
      <w:r w:rsidRPr="00287196">
        <w:rPr>
          <w:rFonts w:ascii="Brill" w:hAnsi="Brill"/>
          <w:sz w:val="24"/>
          <w:szCs w:val="24"/>
        </w:rPr>
        <w:t>(deeds and actions of the Prophet) were sacred, the Shi’a, in addition to this, held the words of their respective imams as sacred</w:t>
      </w:r>
      <w:r w:rsidRPr="00287196">
        <w:rPr>
          <w:rStyle w:val="FootnoteReference"/>
          <w:rFonts w:ascii="Brill" w:hAnsi="Brill"/>
          <w:sz w:val="24"/>
          <w:szCs w:val="24"/>
        </w:rPr>
        <w:footnoteReference w:id="25"/>
      </w:r>
      <w:r w:rsidRPr="00287196">
        <w:rPr>
          <w:rFonts w:ascii="Brill" w:hAnsi="Brill"/>
          <w:sz w:val="24"/>
          <w:szCs w:val="24"/>
        </w:rPr>
        <w:t>. Other aspects were a matter of interpretation, application, needs and resources, both material and cultural</w:t>
      </w:r>
      <w:r w:rsidRPr="00287196">
        <w:rPr>
          <w:rStyle w:val="FootnoteReference"/>
          <w:rFonts w:ascii="Brill" w:hAnsi="Brill"/>
          <w:sz w:val="24"/>
          <w:szCs w:val="24"/>
        </w:rPr>
        <w:footnoteReference w:id="26"/>
      </w:r>
      <w:r w:rsidRPr="00287196">
        <w:rPr>
          <w:rFonts w:ascii="Brill" w:hAnsi="Brill"/>
          <w:sz w:val="24"/>
          <w:szCs w:val="24"/>
        </w:rPr>
        <w:t>. The value of knowledge is what it did, therefore character and morals embodied by pious scholars and saints were also meant to be transferred and instilled in the student</w:t>
      </w:r>
      <w:r w:rsidRPr="00287196">
        <w:rPr>
          <w:rStyle w:val="FootnoteReference"/>
          <w:rFonts w:ascii="Brill" w:hAnsi="Brill"/>
          <w:sz w:val="24"/>
          <w:szCs w:val="24"/>
        </w:rPr>
        <w:footnoteReference w:id="27"/>
      </w:r>
      <w:r w:rsidRPr="00287196">
        <w:rPr>
          <w:rFonts w:ascii="Brill" w:hAnsi="Brill"/>
          <w:sz w:val="24"/>
          <w:szCs w:val="24"/>
        </w:rPr>
        <w:t>. Orientalism, an antiquarian methodology based on long-held stereotypes, presuppositions and theories, was not successful in understanding this ethos</w:t>
      </w:r>
      <w:r w:rsidRPr="00287196">
        <w:rPr>
          <w:rStyle w:val="FootnoteReference"/>
          <w:rFonts w:ascii="Brill" w:hAnsi="Brill"/>
          <w:sz w:val="24"/>
          <w:szCs w:val="24"/>
        </w:rPr>
        <w:footnoteReference w:id="28"/>
      </w:r>
      <w:r w:rsidRPr="00287196">
        <w:rPr>
          <w:rFonts w:ascii="Brill" w:hAnsi="Brill"/>
          <w:sz w:val="24"/>
          <w:szCs w:val="24"/>
        </w:rPr>
        <w:t>. Orientalism’s approach almost deified texts, equating Islam with texts</w:t>
      </w:r>
      <w:r w:rsidRPr="00287196">
        <w:rPr>
          <w:rStyle w:val="FootnoteReference"/>
          <w:rFonts w:ascii="Brill" w:hAnsi="Brill"/>
          <w:sz w:val="24"/>
          <w:szCs w:val="24"/>
        </w:rPr>
        <w:footnoteReference w:id="29"/>
      </w:r>
      <w:r w:rsidRPr="00287196">
        <w:rPr>
          <w:rFonts w:ascii="Brill" w:hAnsi="Brill"/>
          <w:sz w:val="24"/>
          <w:szCs w:val="24"/>
        </w:rPr>
        <w:t xml:space="preserve"> and laid emphasis on a few with the exclusion of others, severely marginalising whole sects and communities </w:t>
      </w:r>
      <w:proofErr w:type="gramStart"/>
      <w:r w:rsidRPr="00287196">
        <w:rPr>
          <w:rFonts w:ascii="Brill" w:hAnsi="Brill"/>
          <w:sz w:val="24"/>
          <w:szCs w:val="24"/>
        </w:rPr>
        <w:t>and also</w:t>
      </w:r>
      <w:proofErr w:type="gramEnd"/>
      <w:r w:rsidRPr="00287196">
        <w:rPr>
          <w:rFonts w:ascii="Brill" w:hAnsi="Brill"/>
          <w:sz w:val="24"/>
          <w:szCs w:val="24"/>
        </w:rPr>
        <w:t xml:space="preserve"> ruling out in the process interaction with the lived experiences of men and women</w:t>
      </w:r>
      <w:r w:rsidRPr="00287196">
        <w:rPr>
          <w:rStyle w:val="FootnoteReference"/>
          <w:rFonts w:ascii="Brill" w:hAnsi="Brill"/>
          <w:sz w:val="24"/>
          <w:szCs w:val="24"/>
        </w:rPr>
        <w:footnoteReference w:id="30"/>
      </w:r>
      <w:r w:rsidRPr="00287196">
        <w:rPr>
          <w:rFonts w:ascii="Brill" w:hAnsi="Brill"/>
          <w:sz w:val="24"/>
          <w:szCs w:val="24"/>
        </w:rPr>
        <w:t xml:space="preserve">. </w:t>
      </w:r>
    </w:p>
    <w:p w14:paraId="1EA1D2F1" w14:textId="77777777" w:rsidR="00C6002C" w:rsidRPr="00287196" w:rsidRDefault="00C6002C" w:rsidP="00C6002C">
      <w:pPr>
        <w:spacing w:line="360" w:lineRule="auto"/>
        <w:ind w:firstLine="720"/>
        <w:rPr>
          <w:rFonts w:ascii="Brill" w:hAnsi="Brill"/>
          <w:sz w:val="24"/>
          <w:szCs w:val="24"/>
        </w:rPr>
      </w:pPr>
      <w:r w:rsidRPr="00287196">
        <w:rPr>
          <w:rFonts w:ascii="Brill" w:hAnsi="Brill"/>
          <w:sz w:val="24"/>
          <w:szCs w:val="24"/>
        </w:rPr>
        <w:t>Martin says that Orientalism gradually started to lose credence starting from the first half of the 20</w:t>
      </w:r>
      <w:r w:rsidRPr="00287196">
        <w:rPr>
          <w:rFonts w:ascii="Brill" w:hAnsi="Brill"/>
          <w:sz w:val="24"/>
          <w:szCs w:val="24"/>
          <w:vertAlign w:val="superscript"/>
        </w:rPr>
        <w:t>th</w:t>
      </w:r>
      <w:r w:rsidRPr="00287196">
        <w:rPr>
          <w:rFonts w:ascii="Brill" w:hAnsi="Brill"/>
          <w:sz w:val="24"/>
          <w:szCs w:val="24"/>
        </w:rPr>
        <w:t xml:space="preserve"> century, with </w:t>
      </w:r>
      <w:proofErr w:type="gramStart"/>
      <w:r w:rsidRPr="00287196">
        <w:rPr>
          <w:rFonts w:ascii="Brill" w:hAnsi="Brill"/>
          <w:sz w:val="24"/>
          <w:szCs w:val="24"/>
        </w:rPr>
        <w:t>the majority of</w:t>
      </w:r>
      <w:proofErr w:type="gramEnd"/>
      <w:r w:rsidRPr="00287196">
        <w:rPr>
          <w:rFonts w:ascii="Brill" w:hAnsi="Brill"/>
          <w:sz w:val="24"/>
          <w:szCs w:val="24"/>
        </w:rPr>
        <w:t xml:space="preserve"> universities restructuring or at least renaming their departments</w:t>
      </w:r>
      <w:r w:rsidRPr="00287196">
        <w:rPr>
          <w:rStyle w:val="FootnoteReference"/>
          <w:rFonts w:ascii="Brill" w:hAnsi="Brill"/>
          <w:sz w:val="24"/>
          <w:szCs w:val="24"/>
        </w:rPr>
        <w:footnoteReference w:id="31"/>
      </w:r>
      <w:r w:rsidRPr="00287196">
        <w:rPr>
          <w:rFonts w:ascii="Brill" w:hAnsi="Brill"/>
          <w:sz w:val="24"/>
          <w:szCs w:val="24"/>
        </w:rPr>
        <w:t>. According to Said (1995, p. 2 &amp; 53) remnants are still to be found in their academic theorisation, theses and public policies</w:t>
      </w:r>
      <w:r w:rsidRPr="00287196">
        <w:rPr>
          <w:rStyle w:val="FootnoteReference"/>
          <w:rFonts w:ascii="Brill" w:hAnsi="Brill"/>
          <w:sz w:val="24"/>
          <w:szCs w:val="24"/>
        </w:rPr>
        <w:footnoteReference w:id="32"/>
      </w:r>
      <w:r w:rsidRPr="00287196">
        <w:rPr>
          <w:rFonts w:ascii="Brill" w:hAnsi="Brill"/>
          <w:sz w:val="24"/>
          <w:szCs w:val="24"/>
        </w:rPr>
        <w:t>.</w:t>
      </w:r>
    </w:p>
    <w:p w14:paraId="41263720" w14:textId="77777777" w:rsidR="00C6002C" w:rsidRPr="00287196" w:rsidRDefault="00C6002C" w:rsidP="00C6002C">
      <w:pPr>
        <w:spacing w:line="360" w:lineRule="auto"/>
        <w:ind w:firstLine="720"/>
        <w:rPr>
          <w:rFonts w:ascii="Brill" w:hAnsi="Brill"/>
          <w:sz w:val="24"/>
          <w:szCs w:val="24"/>
        </w:rPr>
      </w:pPr>
      <w:r w:rsidRPr="00287196">
        <w:rPr>
          <w:rFonts w:ascii="Brill" w:hAnsi="Brill"/>
          <w:sz w:val="24"/>
          <w:szCs w:val="24"/>
        </w:rPr>
        <w:t>According to Martin, Said’s launch of his seminal work “Orientalism”, singlehandedly changed the way academia looked at Orientalism</w:t>
      </w:r>
      <w:r w:rsidRPr="00287196">
        <w:rPr>
          <w:rStyle w:val="FootnoteReference"/>
          <w:rFonts w:ascii="Brill" w:hAnsi="Brill"/>
          <w:sz w:val="24"/>
          <w:szCs w:val="24"/>
        </w:rPr>
        <w:footnoteReference w:id="33"/>
      </w:r>
      <w:r w:rsidRPr="00287196">
        <w:rPr>
          <w:rFonts w:ascii="Brill" w:hAnsi="Brill"/>
          <w:sz w:val="24"/>
          <w:szCs w:val="24"/>
        </w:rPr>
        <w:t>. The study of Islam and the Middle East under Orientalism gave way to ‘Islamic studies’ and ‘Middle Eastern studies’ under the departments of either history or religion and theology</w:t>
      </w:r>
      <w:r w:rsidRPr="00287196">
        <w:rPr>
          <w:rStyle w:val="FootnoteReference"/>
          <w:rFonts w:ascii="Brill" w:hAnsi="Brill"/>
          <w:sz w:val="24"/>
          <w:szCs w:val="24"/>
        </w:rPr>
        <w:footnoteReference w:id="34"/>
      </w:r>
      <w:r w:rsidRPr="00287196">
        <w:rPr>
          <w:rFonts w:ascii="Brill" w:hAnsi="Brill"/>
          <w:sz w:val="24"/>
          <w:szCs w:val="24"/>
        </w:rPr>
        <w:t xml:space="preserve">. </w:t>
      </w:r>
    </w:p>
    <w:p w14:paraId="721D9CB7" w14:textId="77777777" w:rsidR="00C6002C" w:rsidRPr="00287196" w:rsidRDefault="00C6002C" w:rsidP="00C6002C">
      <w:pPr>
        <w:spacing w:line="360" w:lineRule="auto"/>
        <w:rPr>
          <w:rFonts w:ascii="Brill" w:hAnsi="Brill"/>
          <w:b/>
          <w:bCs/>
          <w:sz w:val="24"/>
          <w:szCs w:val="24"/>
        </w:rPr>
      </w:pPr>
    </w:p>
    <w:p w14:paraId="75120D5E" w14:textId="77777777" w:rsidR="00C6002C" w:rsidRPr="00287196" w:rsidRDefault="00C6002C" w:rsidP="00C6002C">
      <w:pPr>
        <w:spacing w:line="360" w:lineRule="auto"/>
        <w:rPr>
          <w:rFonts w:ascii="Brill" w:hAnsi="Brill"/>
          <w:b/>
          <w:bCs/>
          <w:sz w:val="24"/>
          <w:szCs w:val="24"/>
        </w:rPr>
      </w:pPr>
      <w:r w:rsidRPr="00287196">
        <w:rPr>
          <w:rFonts w:ascii="Brill" w:hAnsi="Brill"/>
          <w:b/>
          <w:bCs/>
          <w:sz w:val="24"/>
          <w:szCs w:val="24"/>
        </w:rPr>
        <w:lastRenderedPageBreak/>
        <w:t>Between the Universities and Seminaries: The dichotomy between Orientalism and Islamism</w:t>
      </w:r>
    </w:p>
    <w:p w14:paraId="5097B6C6" w14:textId="77777777" w:rsidR="00C6002C" w:rsidRPr="00287196" w:rsidRDefault="00C6002C" w:rsidP="00C6002C">
      <w:pPr>
        <w:spacing w:line="360" w:lineRule="auto"/>
        <w:ind w:firstLine="720"/>
        <w:rPr>
          <w:rFonts w:ascii="Brill" w:hAnsi="Brill"/>
          <w:sz w:val="24"/>
          <w:szCs w:val="24"/>
        </w:rPr>
      </w:pPr>
      <w:r w:rsidRPr="00287196">
        <w:rPr>
          <w:rFonts w:ascii="Brill" w:hAnsi="Brill"/>
          <w:sz w:val="24"/>
          <w:szCs w:val="24"/>
        </w:rPr>
        <w:t>Although Orientalist methodologies which prevailed till the 20</w:t>
      </w:r>
      <w:r w:rsidRPr="00287196">
        <w:rPr>
          <w:rFonts w:ascii="Brill" w:hAnsi="Brill"/>
          <w:sz w:val="24"/>
          <w:szCs w:val="24"/>
          <w:vertAlign w:val="superscript"/>
        </w:rPr>
        <w:t>th</w:t>
      </w:r>
      <w:r w:rsidRPr="00287196">
        <w:rPr>
          <w:rFonts w:ascii="Brill" w:hAnsi="Brill"/>
          <w:sz w:val="24"/>
          <w:szCs w:val="24"/>
        </w:rPr>
        <w:t xml:space="preserve"> century, started to be replaced with more modern pedagogies, there are some, like Talal Asad and Hodgson, who have said that Islamic studies is still Eurocentric and hence leans towards the old Oriental tendencies</w:t>
      </w:r>
      <w:r w:rsidRPr="00287196">
        <w:rPr>
          <w:rStyle w:val="FootnoteReference"/>
          <w:rFonts w:ascii="Brill" w:hAnsi="Brill"/>
          <w:sz w:val="24"/>
          <w:szCs w:val="24"/>
        </w:rPr>
        <w:footnoteReference w:id="35"/>
      </w:r>
      <w:r w:rsidRPr="00287196">
        <w:rPr>
          <w:rFonts w:ascii="Brill" w:hAnsi="Brill"/>
          <w:sz w:val="24"/>
          <w:szCs w:val="24"/>
        </w:rPr>
        <w:t>. Muslim students with a traditional Islamic educational background also feel that Islamic studies in Western universities takes an Orientalist approach</w:t>
      </w:r>
      <w:r w:rsidRPr="00287196">
        <w:rPr>
          <w:rStyle w:val="FootnoteReference"/>
          <w:rFonts w:ascii="Brill" w:hAnsi="Brill"/>
          <w:sz w:val="24"/>
          <w:szCs w:val="24"/>
        </w:rPr>
        <w:footnoteReference w:id="36"/>
      </w:r>
      <w:r w:rsidRPr="00287196">
        <w:rPr>
          <w:rFonts w:ascii="Brill" w:hAnsi="Brill"/>
          <w:sz w:val="24"/>
          <w:szCs w:val="24"/>
        </w:rPr>
        <w:t>. On the other hand, Islamic seminaries are perceived in the West as propagating radicalisation and cognitive and behavioural extremism</w:t>
      </w:r>
      <w:r w:rsidRPr="00287196">
        <w:rPr>
          <w:rStyle w:val="FootnoteReference"/>
          <w:rFonts w:ascii="Brill" w:hAnsi="Brill" w:cs="Arial"/>
          <w:color w:val="333333"/>
          <w:sz w:val="24"/>
          <w:szCs w:val="24"/>
        </w:rPr>
        <w:footnoteReference w:id="37"/>
      </w:r>
      <w:r w:rsidRPr="00287196">
        <w:rPr>
          <w:rFonts w:ascii="Brill" w:hAnsi="Brill" w:cs="Arial"/>
          <w:color w:val="333333"/>
          <w:sz w:val="24"/>
          <w:szCs w:val="24"/>
        </w:rPr>
        <w:t>.</w:t>
      </w:r>
    </w:p>
    <w:p w14:paraId="674BABDC" w14:textId="77777777" w:rsidR="00C6002C" w:rsidRPr="00287196" w:rsidRDefault="00C6002C" w:rsidP="00C6002C">
      <w:pPr>
        <w:spacing w:line="360" w:lineRule="auto"/>
        <w:ind w:firstLine="720"/>
        <w:rPr>
          <w:rFonts w:ascii="Brill" w:hAnsi="Brill"/>
          <w:sz w:val="24"/>
          <w:szCs w:val="24"/>
        </w:rPr>
      </w:pPr>
      <w:r w:rsidRPr="00287196">
        <w:rPr>
          <w:rFonts w:ascii="Brill" w:hAnsi="Brill"/>
          <w:sz w:val="24"/>
          <w:szCs w:val="24"/>
        </w:rPr>
        <w:t>According to Ibrahim understanding the Orientalism of Western universities and understanding Islamism of the Islamic seminaries and the dichotomy between the two will facilitate the understanding of how discourses evolve and how each shape the other. This will help build mutual trust and understanding between the proponents of both</w:t>
      </w:r>
      <w:r w:rsidRPr="00287196">
        <w:rPr>
          <w:rStyle w:val="FootnoteReference"/>
          <w:rFonts w:ascii="Brill" w:hAnsi="Brill"/>
          <w:sz w:val="24"/>
          <w:szCs w:val="24"/>
        </w:rPr>
        <w:footnoteReference w:id="38"/>
      </w:r>
      <w:r w:rsidRPr="00287196">
        <w:rPr>
          <w:rFonts w:ascii="Brill" w:hAnsi="Brill"/>
          <w:sz w:val="24"/>
          <w:szCs w:val="24"/>
        </w:rPr>
        <w:t>.</w:t>
      </w:r>
    </w:p>
    <w:p w14:paraId="5D0D0045" w14:textId="77777777" w:rsidR="00C6002C" w:rsidRPr="00287196" w:rsidRDefault="00C6002C" w:rsidP="00C6002C">
      <w:pPr>
        <w:spacing w:line="360" w:lineRule="auto"/>
        <w:ind w:firstLine="720"/>
        <w:rPr>
          <w:rFonts w:ascii="Brill" w:hAnsi="Brill"/>
          <w:sz w:val="24"/>
          <w:szCs w:val="24"/>
        </w:rPr>
      </w:pPr>
      <w:r w:rsidRPr="00287196">
        <w:rPr>
          <w:rFonts w:ascii="Brill" w:hAnsi="Brill"/>
          <w:sz w:val="24"/>
          <w:szCs w:val="24"/>
        </w:rPr>
        <w:t>Said has elaborated how the European concept of Orientalism differed from the American</w:t>
      </w:r>
      <w:r w:rsidRPr="00287196">
        <w:rPr>
          <w:rStyle w:val="FootnoteReference"/>
          <w:rFonts w:ascii="Brill" w:hAnsi="Brill"/>
          <w:sz w:val="24"/>
          <w:szCs w:val="24"/>
        </w:rPr>
        <w:footnoteReference w:id="39"/>
      </w:r>
      <w:r w:rsidRPr="00287196">
        <w:rPr>
          <w:rFonts w:ascii="Brill" w:hAnsi="Brill"/>
          <w:sz w:val="24"/>
          <w:szCs w:val="24"/>
        </w:rPr>
        <w:t xml:space="preserve"> one. Modern European Orientalism during the mid-20</w:t>
      </w:r>
      <w:r w:rsidRPr="00287196">
        <w:rPr>
          <w:rFonts w:ascii="Brill" w:hAnsi="Brill"/>
          <w:sz w:val="24"/>
          <w:szCs w:val="24"/>
          <w:vertAlign w:val="superscript"/>
        </w:rPr>
        <w:t>th</w:t>
      </w:r>
      <w:r w:rsidRPr="00287196">
        <w:rPr>
          <w:rFonts w:ascii="Brill" w:hAnsi="Brill"/>
          <w:sz w:val="24"/>
          <w:szCs w:val="24"/>
        </w:rPr>
        <w:t xml:space="preserve"> century took a more textual and philological direction. Later approaches added social and political sciences as well</w:t>
      </w:r>
      <w:r w:rsidRPr="00287196">
        <w:rPr>
          <w:rStyle w:val="FootnoteReference"/>
          <w:rFonts w:ascii="Brill" w:hAnsi="Brill"/>
          <w:sz w:val="24"/>
          <w:szCs w:val="24"/>
        </w:rPr>
        <w:footnoteReference w:id="40"/>
      </w:r>
      <w:r w:rsidRPr="00287196">
        <w:rPr>
          <w:rFonts w:ascii="Brill" w:hAnsi="Brill"/>
          <w:sz w:val="24"/>
          <w:szCs w:val="24"/>
        </w:rPr>
        <w:t>, but it was still focussed on the Middle East and North Africa, as it was housed in the Middle Eastern and Near Eastern studies departments, as a result studies on Islam and Muslims in areas like sub-Saharan Africa or the Far East was neglected</w:t>
      </w:r>
      <w:r w:rsidRPr="00287196">
        <w:rPr>
          <w:rStyle w:val="FootnoteReference"/>
          <w:rFonts w:ascii="Brill" w:hAnsi="Brill"/>
          <w:sz w:val="24"/>
          <w:szCs w:val="24"/>
        </w:rPr>
        <w:footnoteReference w:id="41"/>
      </w:r>
      <w:r w:rsidRPr="00287196">
        <w:rPr>
          <w:rFonts w:ascii="Brill" w:hAnsi="Brill"/>
          <w:sz w:val="24"/>
          <w:szCs w:val="24"/>
        </w:rPr>
        <w:t xml:space="preserve">.  </w:t>
      </w:r>
    </w:p>
    <w:p w14:paraId="56D03FBD" w14:textId="77777777" w:rsidR="00C6002C" w:rsidRPr="00287196" w:rsidRDefault="00C6002C" w:rsidP="00C6002C">
      <w:pPr>
        <w:spacing w:line="360" w:lineRule="auto"/>
        <w:ind w:firstLine="720"/>
        <w:rPr>
          <w:rFonts w:ascii="Brill" w:hAnsi="Brill"/>
          <w:sz w:val="24"/>
          <w:szCs w:val="24"/>
        </w:rPr>
      </w:pPr>
      <w:r w:rsidRPr="00287196">
        <w:rPr>
          <w:rFonts w:ascii="Brill" w:hAnsi="Brill"/>
          <w:sz w:val="24"/>
          <w:szCs w:val="24"/>
        </w:rPr>
        <w:t xml:space="preserve">Today the curricula in European universities generally focusses on the Qur’ān, Hadīth (traditions of the Prophet) criticism, Arabic or another Oriental language relevant to the study of Islam, like Persian or Urdu, early Islamic history, theological beliefs, jurisprudence and ethics. Basic Arabic is mandatory in some universities, while </w:t>
      </w:r>
      <w:r w:rsidRPr="00287196">
        <w:rPr>
          <w:rFonts w:ascii="Brill" w:hAnsi="Brill"/>
          <w:sz w:val="24"/>
          <w:szCs w:val="24"/>
        </w:rPr>
        <w:lastRenderedPageBreak/>
        <w:t xml:space="preserve">at others at the </w:t>
      </w:r>
      <w:proofErr w:type="gramStart"/>
      <w:r w:rsidRPr="00287196">
        <w:rPr>
          <w:rFonts w:ascii="Brill" w:hAnsi="Brill"/>
          <w:sz w:val="24"/>
          <w:szCs w:val="24"/>
        </w:rPr>
        <w:t>Bachelor’s</w:t>
      </w:r>
      <w:proofErr w:type="gramEnd"/>
      <w:r w:rsidRPr="00287196">
        <w:rPr>
          <w:rFonts w:ascii="Brill" w:hAnsi="Brill"/>
          <w:sz w:val="24"/>
          <w:szCs w:val="24"/>
        </w:rPr>
        <w:t xml:space="preserve"> level it is taught </w:t>
      </w:r>
      <w:r w:rsidRPr="00287196">
        <w:rPr>
          <w:rFonts w:ascii="Brill" w:hAnsi="Brill"/>
          <w:i/>
          <w:iCs/>
          <w:sz w:val="24"/>
          <w:szCs w:val="24"/>
        </w:rPr>
        <w:t>ab initio</w:t>
      </w:r>
      <w:r w:rsidRPr="00287196">
        <w:rPr>
          <w:rStyle w:val="FootnoteReference"/>
          <w:rFonts w:ascii="Brill" w:hAnsi="Brill"/>
          <w:sz w:val="24"/>
          <w:szCs w:val="24"/>
        </w:rPr>
        <w:footnoteReference w:id="42"/>
      </w:r>
      <w:r w:rsidRPr="00287196">
        <w:rPr>
          <w:rFonts w:ascii="Brill" w:hAnsi="Brill"/>
          <w:sz w:val="24"/>
          <w:szCs w:val="24"/>
        </w:rPr>
        <w:t>, such as at SOAS, but a command over it is required at the Master’s level</w:t>
      </w:r>
      <w:r w:rsidRPr="00287196">
        <w:rPr>
          <w:rStyle w:val="FootnoteReference"/>
          <w:rFonts w:ascii="Brill" w:hAnsi="Brill"/>
          <w:sz w:val="24"/>
          <w:szCs w:val="24"/>
        </w:rPr>
        <w:footnoteReference w:id="43"/>
      </w:r>
      <w:r w:rsidRPr="00287196">
        <w:rPr>
          <w:rFonts w:ascii="Brill" w:hAnsi="Brill"/>
          <w:sz w:val="24"/>
          <w:szCs w:val="24"/>
        </w:rPr>
        <w:t>. Most European universities, including Leiden University</w:t>
      </w:r>
      <w:r w:rsidRPr="00287196">
        <w:rPr>
          <w:rStyle w:val="FootnoteReference"/>
          <w:rFonts w:ascii="Brill" w:hAnsi="Brill"/>
          <w:sz w:val="24"/>
          <w:szCs w:val="24"/>
        </w:rPr>
        <w:footnoteReference w:id="44"/>
      </w:r>
      <w:r w:rsidRPr="00287196">
        <w:rPr>
          <w:rFonts w:ascii="Brill" w:hAnsi="Brill"/>
          <w:sz w:val="24"/>
          <w:szCs w:val="24"/>
        </w:rPr>
        <w:t xml:space="preserve">  and the University of Exeter</w:t>
      </w:r>
      <w:r w:rsidRPr="00287196">
        <w:rPr>
          <w:rStyle w:val="FootnoteReference"/>
          <w:rFonts w:ascii="Brill" w:hAnsi="Brill"/>
          <w:sz w:val="24"/>
          <w:szCs w:val="24"/>
        </w:rPr>
        <w:footnoteReference w:id="45"/>
      </w:r>
      <w:r w:rsidRPr="00287196">
        <w:rPr>
          <w:rFonts w:ascii="Brill" w:hAnsi="Brill"/>
          <w:sz w:val="24"/>
          <w:szCs w:val="24"/>
        </w:rPr>
        <w:t>, among others, offer Islamic studies under the Humanities programmes. While most American universities offer it, since the 1970’s, under the departments of theology or religious studies</w:t>
      </w:r>
      <w:r w:rsidRPr="00287196">
        <w:rPr>
          <w:rStyle w:val="FootnoteReference"/>
          <w:rFonts w:ascii="Brill" w:hAnsi="Brill"/>
          <w:sz w:val="24"/>
          <w:szCs w:val="24"/>
        </w:rPr>
        <w:footnoteReference w:id="46"/>
      </w:r>
      <w:r w:rsidRPr="00287196">
        <w:rPr>
          <w:rFonts w:ascii="Brill" w:hAnsi="Brill"/>
          <w:sz w:val="24"/>
          <w:szCs w:val="24"/>
        </w:rPr>
        <w:t xml:space="preserve">, Davary (2014) maintains that even in religious studies there was still bias against Islamic studies, and not, till very recently, was there a marked change in this regard. </w:t>
      </w:r>
    </w:p>
    <w:p w14:paraId="0E2A2C5A" w14:textId="77777777" w:rsidR="00C6002C" w:rsidRPr="00287196" w:rsidRDefault="00C6002C" w:rsidP="00C6002C">
      <w:pPr>
        <w:spacing w:line="360" w:lineRule="auto"/>
        <w:ind w:firstLine="720"/>
        <w:rPr>
          <w:rFonts w:ascii="Brill" w:hAnsi="Brill"/>
          <w:sz w:val="24"/>
          <w:szCs w:val="24"/>
        </w:rPr>
      </w:pPr>
      <w:r w:rsidRPr="00287196">
        <w:rPr>
          <w:rFonts w:ascii="Brill" w:hAnsi="Brill"/>
          <w:sz w:val="24"/>
          <w:szCs w:val="24"/>
        </w:rPr>
        <w:t>Recently American as well as European universities have taken a more contemporary interdisciplinary approach. According to Koch (2017), the issues addressed are as diverse as feminism and gender studies, postmodernism, mysticism and spirituality, new religious movements, fundamentalism in a broader, and violent Jihadism in a narrower sense</w:t>
      </w:r>
      <w:r w:rsidRPr="00287196">
        <w:rPr>
          <w:rStyle w:val="FootnoteReference"/>
          <w:rFonts w:ascii="Brill" w:hAnsi="Brill"/>
          <w:sz w:val="24"/>
          <w:szCs w:val="24"/>
        </w:rPr>
        <w:footnoteReference w:id="47"/>
      </w:r>
      <w:r w:rsidRPr="00287196">
        <w:rPr>
          <w:rFonts w:ascii="Brill" w:hAnsi="Brill"/>
          <w:sz w:val="24"/>
          <w:szCs w:val="24"/>
        </w:rPr>
        <w:t>.</w:t>
      </w:r>
    </w:p>
    <w:p w14:paraId="02F42163" w14:textId="77777777" w:rsidR="00C6002C" w:rsidRPr="00287196" w:rsidRDefault="00C6002C" w:rsidP="00C6002C">
      <w:pPr>
        <w:spacing w:line="360" w:lineRule="auto"/>
        <w:ind w:firstLine="720"/>
        <w:rPr>
          <w:rFonts w:ascii="Brill" w:hAnsi="Brill"/>
          <w:sz w:val="24"/>
          <w:szCs w:val="24"/>
        </w:rPr>
      </w:pPr>
    </w:p>
    <w:p w14:paraId="6AB17847" w14:textId="77777777" w:rsidR="00C6002C" w:rsidRPr="00287196" w:rsidRDefault="00C6002C" w:rsidP="00C6002C">
      <w:pPr>
        <w:spacing w:line="360" w:lineRule="auto"/>
        <w:rPr>
          <w:rFonts w:ascii="Brill" w:hAnsi="Brill"/>
          <w:b/>
          <w:bCs/>
          <w:sz w:val="24"/>
          <w:szCs w:val="24"/>
        </w:rPr>
      </w:pPr>
      <w:r w:rsidRPr="00287196">
        <w:rPr>
          <w:rFonts w:ascii="Brill" w:hAnsi="Brill"/>
          <w:b/>
          <w:bCs/>
          <w:sz w:val="24"/>
          <w:szCs w:val="24"/>
        </w:rPr>
        <w:t>The Islamic concept of pursuing knowledge</w:t>
      </w:r>
    </w:p>
    <w:p w14:paraId="3560272B" w14:textId="77777777" w:rsidR="00C6002C" w:rsidRPr="00287196" w:rsidRDefault="00C6002C" w:rsidP="00C6002C">
      <w:pPr>
        <w:spacing w:line="360" w:lineRule="auto"/>
        <w:ind w:firstLine="720"/>
        <w:rPr>
          <w:rFonts w:ascii="Brill" w:hAnsi="Brill"/>
          <w:sz w:val="24"/>
          <w:szCs w:val="24"/>
        </w:rPr>
      </w:pPr>
      <w:r w:rsidRPr="00287196">
        <w:rPr>
          <w:rFonts w:ascii="Brill" w:hAnsi="Brill"/>
          <w:sz w:val="24"/>
          <w:szCs w:val="24"/>
        </w:rPr>
        <w:t xml:space="preserve">The pursuit of knowledge in Islam is a religious duty. All Muslims must seek knowledge. This knowledge, according to Halstead, is not any knowledge, but that what is revealed unto God, i.e. religious knowledge. In Islam there is no notion of ‘knowledge for knowledge’s sake’, instead knowledge, like money, is worthless if not </w:t>
      </w:r>
      <w:proofErr w:type="gramStart"/>
      <w:r w:rsidRPr="00287196">
        <w:rPr>
          <w:rFonts w:ascii="Brill" w:hAnsi="Brill"/>
          <w:sz w:val="24"/>
          <w:szCs w:val="24"/>
        </w:rPr>
        <w:t>put to use</w:t>
      </w:r>
      <w:proofErr w:type="gramEnd"/>
      <w:r w:rsidRPr="00287196">
        <w:rPr>
          <w:rStyle w:val="FootnoteReference"/>
          <w:rFonts w:ascii="Brill" w:hAnsi="Brill"/>
          <w:sz w:val="24"/>
          <w:szCs w:val="24"/>
        </w:rPr>
        <w:footnoteReference w:id="48"/>
      </w:r>
      <w:r w:rsidRPr="00287196">
        <w:rPr>
          <w:rFonts w:ascii="Brill" w:hAnsi="Brill"/>
          <w:sz w:val="24"/>
          <w:szCs w:val="24"/>
        </w:rPr>
        <w:t>. Although philosophical and Shi’a esoteric texts require man to gain knowledge, even the abstract metaphysical kind, because imbibing this knowledge would lead to an increase in one’s certitude which then manifests in one’s faith</w:t>
      </w:r>
      <w:r w:rsidRPr="00287196">
        <w:rPr>
          <w:rStyle w:val="FootnoteReference"/>
          <w:rFonts w:ascii="Brill" w:hAnsi="Brill"/>
          <w:sz w:val="24"/>
          <w:szCs w:val="24"/>
        </w:rPr>
        <w:footnoteReference w:id="49"/>
      </w:r>
      <w:r w:rsidRPr="00287196">
        <w:rPr>
          <w:rFonts w:ascii="Brill" w:hAnsi="Brill"/>
          <w:sz w:val="24"/>
          <w:szCs w:val="24"/>
        </w:rPr>
        <w:t xml:space="preserve">. The Brethren of purity state that “Any knowledge and morals that do not lead or aid one towards the pursuit of the </w:t>
      </w:r>
      <w:r w:rsidRPr="00287196">
        <w:rPr>
          <w:rFonts w:ascii="Brill" w:hAnsi="Brill"/>
          <w:sz w:val="24"/>
          <w:szCs w:val="24"/>
        </w:rPr>
        <w:lastRenderedPageBreak/>
        <w:t>Hereafter will lead him to an undesirable outcome”</w:t>
      </w:r>
      <w:r w:rsidRPr="00287196">
        <w:rPr>
          <w:rStyle w:val="FootnoteReference"/>
          <w:rFonts w:ascii="Brill" w:hAnsi="Brill"/>
          <w:sz w:val="24"/>
          <w:szCs w:val="24"/>
        </w:rPr>
        <w:footnoteReference w:id="50"/>
      </w:r>
      <w:r w:rsidRPr="00287196">
        <w:rPr>
          <w:rFonts w:ascii="Brill" w:hAnsi="Brill"/>
          <w:sz w:val="24"/>
          <w:szCs w:val="24"/>
        </w:rPr>
        <w:t xml:space="preserve">. Consequently, any knowledge if employed for the benefit of one’s self or society </w:t>
      </w:r>
      <w:proofErr w:type="gramStart"/>
      <w:r w:rsidRPr="00287196">
        <w:rPr>
          <w:rFonts w:ascii="Brill" w:hAnsi="Brill"/>
          <w:sz w:val="24"/>
          <w:szCs w:val="24"/>
        </w:rPr>
        <w:t>is considered to be</w:t>
      </w:r>
      <w:proofErr w:type="gramEnd"/>
      <w:r w:rsidRPr="00287196">
        <w:rPr>
          <w:rFonts w:ascii="Brill" w:hAnsi="Brill"/>
          <w:sz w:val="24"/>
          <w:szCs w:val="24"/>
        </w:rPr>
        <w:t xml:space="preserve"> Islamic. According to Halstead (2004) this </w:t>
      </w:r>
      <w:r w:rsidRPr="00287196">
        <w:rPr>
          <w:rFonts w:ascii="Brill" w:hAnsi="Brill"/>
          <w:i/>
          <w:iCs/>
          <w:sz w:val="24"/>
          <w:szCs w:val="24"/>
        </w:rPr>
        <w:t>ipso facto</w:t>
      </w:r>
      <w:r w:rsidRPr="00287196">
        <w:rPr>
          <w:rFonts w:ascii="Brill" w:hAnsi="Brill"/>
          <w:sz w:val="24"/>
          <w:szCs w:val="24"/>
        </w:rPr>
        <w:t xml:space="preserve"> </w:t>
      </w:r>
      <w:proofErr w:type="gramStart"/>
      <w:r w:rsidRPr="00287196">
        <w:rPr>
          <w:rFonts w:ascii="Brill" w:hAnsi="Brill"/>
          <w:sz w:val="24"/>
          <w:szCs w:val="24"/>
        </w:rPr>
        <w:t>opens up</w:t>
      </w:r>
      <w:proofErr w:type="gramEnd"/>
      <w:r w:rsidRPr="00287196">
        <w:rPr>
          <w:rFonts w:ascii="Brill" w:hAnsi="Brill"/>
          <w:sz w:val="24"/>
          <w:szCs w:val="24"/>
        </w:rPr>
        <w:t xml:space="preserve"> avenues for the teaching of many other subjects along with religious studies in seminaries, albeit the curricula should be based on an Islamic point of view. It also </w:t>
      </w:r>
      <w:proofErr w:type="gramStart"/>
      <w:r w:rsidRPr="00287196">
        <w:rPr>
          <w:rFonts w:ascii="Brill" w:hAnsi="Brill"/>
          <w:sz w:val="24"/>
          <w:szCs w:val="24"/>
        </w:rPr>
        <w:t>opens up</w:t>
      </w:r>
      <w:proofErr w:type="gramEnd"/>
      <w:r w:rsidRPr="00287196">
        <w:rPr>
          <w:rFonts w:ascii="Brill" w:hAnsi="Brill"/>
          <w:sz w:val="24"/>
          <w:szCs w:val="24"/>
        </w:rPr>
        <w:t xml:space="preserve"> room for the introduction of new methodologies and technology in teaching Islamic subjects in seminaries and universities</w:t>
      </w:r>
      <w:r w:rsidRPr="00287196">
        <w:rPr>
          <w:rStyle w:val="FootnoteReference"/>
          <w:rFonts w:ascii="Brill" w:hAnsi="Brill"/>
          <w:sz w:val="24"/>
          <w:szCs w:val="24"/>
        </w:rPr>
        <w:footnoteReference w:id="51"/>
      </w:r>
      <w:r w:rsidRPr="00287196">
        <w:rPr>
          <w:rFonts w:ascii="Brill" w:hAnsi="Brill"/>
          <w:sz w:val="24"/>
          <w:szCs w:val="24"/>
        </w:rPr>
        <w:t xml:space="preserve">. </w:t>
      </w:r>
    </w:p>
    <w:p w14:paraId="44CB7244" w14:textId="77777777" w:rsidR="00C6002C" w:rsidRPr="00287196" w:rsidRDefault="00C6002C" w:rsidP="00C6002C">
      <w:pPr>
        <w:spacing w:line="360" w:lineRule="auto"/>
        <w:rPr>
          <w:rFonts w:ascii="Brill" w:hAnsi="Brill"/>
          <w:b/>
          <w:bCs/>
          <w:sz w:val="24"/>
          <w:szCs w:val="24"/>
        </w:rPr>
      </w:pPr>
      <w:r w:rsidRPr="00287196">
        <w:rPr>
          <w:rFonts w:ascii="Brill" w:hAnsi="Brill"/>
          <w:b/>
          <w:bCs/>
          <w:sz w:val="24"/>
          <w:szCs w:val="24"/>
        </w:rPr>
        <w:t>Modern Universities in the Islamic World</w:t>
      </w:r>
    </w:p>
    <w:p w14:paraId="4BEB65C8" w14:textId="77777777" w:rsidR="00C6002C" w:rsidRPr="00287196" w:rsidRDefault="00C6002C" w:rsidP="00C6002C">
      <w:pPr>
        <w:spacing w:line="360" w:lineRule="auto"/>
        <w:rPr>
          <w:rFonts w:ascii="Brill" w:hAnsi="Brill"/>
          <w:sz w:val="24"/>
          <w:szCs w:val="24"/>
        </w:rPr>
      </w:pPr>
      <w:r w:rsidRPr="00287196">
        <w:rPr>
          <w:rFonts w:ascii="Brill" w:hAnsi="Brill"/>
          <w:sz w:val="24"/>
          <w:szCs w:val="24"/>
        </w:rPr>
        <w:tab/>
        <w:t>Many Arab and other Muslim-majority states established modern Islamic universities in the 20</w:t>
      </w:r>
      <w:r w:rsidRPr="00287196">
        <w:rPr>
          <w:rFonts w:ascii="Brill" w:hAnsi="Brill"/>
          <w:sz w:val="24"/>
          <w:szCs w:val="24"/>
          <w:vertAlign w:val="superscript"/>
        </w:rPr>
        <w:t>th</w:t>
      </w:r>
      <w:r w:rsidRPr="00287196">
        <w:rPr>
          <w:rFonts w:ascii="Brill" w:hAnsi="Brill"/>
          <w:sz w:val="24"/>
          <w:szCs w:val="24"/>
        </w:rPr>
        <w:t xml:space="preserve"> century, such as al-Imam Muhammad ibn Saud Islamic University (founded in 1974) in Riyadh</w:t>
      </w:r>
      <w:r w:rsidRPr="00287196">
        <w:rPr>
          <w:rStyle w:val="FootnoteReference"/>
          <w:rFonts w:ascii="Brill" w:hAnsi="Brill"/>
          <w:sz w:val="24"/>
          <w:szCs w:val="24"/>
        </w:rPr>
        <w:footnoteReference w:id="52"/>
      </w:r>
      <w:r w:rsidRPr="00287196">
        <w:rPr>
          <w:rFonts w:ascii="Brill" w:hAnsi="Brill"/>
          <w:sz w:val="24"/>
          <w:szCs w:val="24"/>
        </w:rPr>
        <w:t>, Islamic University of Medina (founded in 1961)</w:t>
      </w:r>
      <w:r w:rsidRPr="00287196">
        <w:rPr>
          <w:rStyle w:val="FootnoteReference"/>
          <w:rFonts w:ascii="Brill" w:hAnsi="Brill"/>
          <w:sz w:val="24"/>
          <w:szCs w:val="24"/>
        </w:rPr>
        <w:footnoteReference w:id="53"/>
      </w:r>
      <w:r w:rsidRPr="00287196">
        <w:rPr>
          <w:rFonts w:ascii="Brill" w:hAnsi="Brill"/>
          <w:sz w:val="24"/>
          <w:szCs w:val="24"/>
        </w:rPr>
        <w:t xml:space="preserve"> and </w:t>
      </w:r>
      <w:r w:rsidRPr="00287196">
        <w:rPr>
          <w:rFonts w:ascii="Brill" w:hAnsi="Brill"/>
          <w:color w:val="222222"/>
          <w:sz w:val="24"/>
          <w:szCs w:val="24"/>
          <w:shd w:val="clear" w:color="auto" w:fill="FFFFFF"/>
        </w:rPr>
        <w:t>Universitas Islam Indonesia in Sleman (founded in 1945)</w:t>
      </w:r>
      <w:r w:rsidRPr="00287196">
        <w:rPr>
          <w:rStyle w:val="FootnoteReference"/>
          <w:rFonts w:ascii="Brill" w:hAnsi="Brill"/>
          <w:color w:val="222222"/>
          <w:sz w:val="24"/>
          <w:szCs w:val="24"/>
          <w:shd w:val="clear" w:color="auto" w:fill="FFFFFF"/>
        </w:rPr>
        <w:footnoteReference w:id="54"/>
      </w:r>
      <w:r w:rsidRPr="00287196">
        <w:rPr>
          <w:rFonts w:ascii="Brill" w:hAnsi="Brill"/>
          <w:sz w:val="24"/>
          <w:szCs w:val="24"/>
        </w:rPr>
        <w:t>. Still other established institutions of Islamic learning transformed into modern universities such as the al-Azhar University</w:t>
      </w:r>
      <w:r w:rsidRPr="00287196">
        <w:rPr>
          <w:rStyle w:val="FootnoteReference"/>
          <w:rFonts w:ascii="Brill" w:hAnsi="Brill"/>
          <w:sz w:val="24"/>
          <w:szCs w:val="24"/>
        </w:rPr>
        <w:footnoteReference w:id="55"/>
      </w:r>
      <w:r w:rsidRPr="00287196">
        <w:rPr>
          <w:rFonts w:ascii="Brill" w:hAnsi="Brill"/>
          <w:sz w:val="24"/>
          <w:szCs w:val="24"/>
        </w:rPr>
        <w:t xml:space="preserve"> of Cairo which was converted into a university in 1961</w:t>
      </w:r>
      <w:r w:rsidRPr="00287196">
        <w:rPr>
          <w:rStyle w:val="FootnoteReference"/>
          <w:rFonts w:ascii="Brill" w:hAnsi="Brill"/>
          <w:sz w:val="24"/>
          <w:szCs w:val="24"/>
        </w:rPr>
        <w:footnoteReference w:id="56"/>
      </w:r>
      <w:r w:rsidRPr="00287196">
        <w:rPr>
          <w:rFonts w:ascii="Brill" w:hAnsi="Brill"/>
          <w:sz w:val="24"/>
          <w:szCs w:val="24"/>
        </w:rPr>
        <w:t xml:space="preserve"> and University of Al-Quaraouiyine in Fez, which was converted into a university in 1963</w:t>
      </w:r>
      <w:r w:rsidRPr="00287196">
        <w:rPr>
          <w:rStyle w:val="FootnoteReference"/>
          <w:rFonts w:ascii="Brill" w:hAnsi="Brill"/>
          <w:sz w:val="24"/>
          <w:szCs w:val="24"/>
        </w:rPr>
        <w:footnoteReference w:id="57"/>
      </w:r>
      <w:r w:rsidRPr="00287196">
        <w:rPr>
          <w:rFonts w:ascii="Brill" w:hAnsi="Brill"/>
          <w:sz w:val="24"/>
          <w:szCs w:val="24"/>
        </w:rPr>
        <w:t xml:space="preserve">. </w:t>
      </w:r>
    </w:p>
    <w:p w14:paraId="20AC83A6" w14:textId="77777777" w:rsidR="00C6002C" w:rsidRPr="00287196" w:rsidRDefault="00C6002C" w:rsidP="00C6002C">
      <w:pPr>
        <w:spacing w:line="360" w:lineRule="auto"/>
        <w:ind w:firstLine="720"/>
        <w:rPr>
          <w:rFonts w:ascii="Brill" w:hAnsi="Brill"/>
          <w:sz w:val="24"/>
          <w:szCs w:val="24"/>
        </w:rPr>
      </w:pPr>
      <w:r w:rsidRPr="00287196">
        <w:rPr>
          <w:rFonts w:ascii="Brill" w:hAnsi="Brill"/>
          <w:sz w:val="24"/>
          <w:szCs w:val="24"/>
        </w:rPr>
        <w:t>All this, according to Reetz (2010:122), was to ‘Islamicise’ knowledge. These Islamic universities were more inclined to adopt only the administrative systems of Western universities</w:t>
      </w:r>
      <w:r w:rsidRPr="00287196">
        <w:rPr>
          <w:rStyle w:val="FootnoteReference"/>
          <w:rFonts w:ascii="Brill" w:hAnsi="Brill"/>
          <w:sz w:val="24"/>
          <w:szCs w:val="24"/>
        </w:rPr>
        <w:footnoteReference w:id="58"/>
      </w:r>
      <w:r w:rsidRPr="00287196">
        <w:rPr>
          <w:rFonts w:ascii="Brill" w:hAnsi="Brill"/>
          <w:sz w:val="24"/>
          <w:szCs w:val="24"/>
        </w:rPr>
        <w:t xml:space="preserve">, which included, </w:t>
      </w:r>
      <w:r w:rsidRPr="00287196">
        <w:rPr>
          <w:rFonts w:ascii="Brill" w:hAnsi="Brill"/>
          <w:i/>
          <w:iCs/>
          <w:sz w:val="24"/>
          <w:szCs w:val="24"/>
        </w:rPr>
        <w:t>inter alia</w:t>
      </w:r>
      <w:r w:rsidRPr="00287196">
        <w:rPr>
          <w:rFonts w:ascii="Brill" w:hAnsi="Brill"/>
          <w:sz w:val="24"/>
          <w:szCs w:val="24"/>
        </w:rPr>
        <w:t xml:space="preserve">, the compartmentalising of faculties, conferral of degrees, semester or year-based learning, division of subjects, appointment of professors and lecturers and assessment methods. At the same time, they differed </w:t>
      </w:r>
      <w:r w:rsidRPr="00287196">
        <w:rPr>
          <w:rFonts w:ascii="Brill" w:hAnsi="Brill"/>
          <w:sz w:val="24"/>
          <w:szCs w:val="24"/>
        </w:rPr>
        <w:lastRenderedPageBreak/>
        <w:t>fundamentally from their Western counterparts in their curricula and the methodology of imparting knowledge in which they were closer to traditional seminaries</w:t>
      </w:r>
      <w:r w:rsidRPr="00287196">
        <w:rPr>
          <w:rStyle w:val="FootnoteReference"/>
          <w:rFonts w:ascii="Brill" w:hAnsi="Brill"/>
          <w:sz w:val="24"/>
          <w:szCs w:val="24"/>
        </w:rPr>
        <w:footnoteReference w:id="59"/>
      </w:r>
      <w:r w:rsidRPr="00287196">
        <w:rPr>
          <w:rFonts w:ascii="Brill" w:hAnsi="Brill"/>
          <w:sz w:val="24"/>
          <w:szCs w:val="24"/>
        </w:rPr>
        <w:t>. While seminaries laid equal importance on learning outcomes through deeds and actions and the building of character and morals, universities in the Islamic World stressed more on the acquisition of knowledge. Both, ultimately, stressing on the acquisition of faith-based</w:t>
      </w:r>
      <w:r w:rsidRPr="00287196">
        <w:rPr>
          <w:rStyle w:val="FootnoteReference"/>
          <w:rFonts w:ascii="Brill" w:hAnsi="Brill"/>
          <w:sz w:val="24"/>
          <w:szCs w:val="24"/>
        </w:rPr>
        <w:footnoteReference w:id="60"/>
      </w:r>
      <w:r w:rsidRPr="00287196">
        <w:rPr>
          <w:rFonts w:ascii="Brill" w:hAnsi="Brill"/>
          <w:sz w:val="24"/>
          <w:szCs w:val="24"/>
        </w:rPr>
        <w:t xml:space="preserve">  certainty</w:t>
      </w:r>
      <w:r w:rsidRPr="00287196">
        <w:rPr>
          <w:rStyle w:val="FootnoteReference"/>
          <w:rFonts w:ascii="Brill" w:hAnsi="Brill"/>
          <w:sz w:val="24"/>
          <w:szCs w:val="24"/>
        </w:rPr>
        <w:footnoteReference w:id="61"/>
      </w:r>
      <w:r w:rsidRPr="00287196">
        <w:rPr>
          <w:rFonts w:ascii="Brill" w:hAnsi="Brill"/>
          <w:sz w:val="24"/>
          <w:szCs w:val="24"/>
        </w:rPr>
        <w:t xml:space="preserve">. </w:t>
      </w:r>
    </w:p>
    <w:p w14:paraId="1543308E" w14:textId="77777777" w:rsidR="00C6002C" w:rsidRPr="00287196" w:rsidRDefault="00C6002C" w:rsidP="00C6002C">
      <w:pPr>
        <w:spacing w:line="360" w:lineRule="auto"/>
        <w:rPr>
          <w:rFonts w:ascii="Brill" w:hAnsi="Brill"/>
          <w:b/>
          <w:bCs/>
          <w:sz w:val="24"/>
          <w:szCs w:val="24"/>
        </w:rPr>
      </w:pPr>
      <w:r w:rsidRPr="00287196">
        <w:rPr>
          <w:rFonts w:ascii="Brill" w:hAnsi="Brill"/>
          <w:b/>
          <w:bCs/>
          <w:sz w:val="24"/>
          <w:szCs w:val="24"/>
        </w:rPr>
        <w:t>Observations</w:t>
      </w:r>
    </w:p>
    <w:p w14:paraId="4DAA625F" w14:textId="77777777" w:rsidR="00C6002C" w:rsidRPr="00287196" w:rsidRDefault="00C6002C" w:rsidP="00C6002C">
      <w:pPr>
        <w:spacing w:line="360" w:lineRule="auto"/>
        <w:ind w:firstLine="720"/>
        <w:rPr>
          <w:rFonts w:ascii="Brill" w:hAnsi="Brill"/>
          <w:sz w:val="24"/>
          <w:szCs w:val="24"/>
        </w:rPr>
      </w:pPr>
      <w:r w:rsidRPr="00287196">
        <w:rPr>
          <w:rFonts w:ascii="Brill" w:hAnsi="Brill"/>
          <w:sz w:val="24"/>
          <w:szCs w:val="24"/>
        </w:rPr>
        <w:t>While Islamic studies programmes in the Islamic World have adopted many Western methodologies, rational investigation stemming from liberal thinking is not encouraged even today, because traditional Islamic educational methods do not encourage questioning authority</w:t>
      </w:r>
      <w:r w:rsidRPr="00287196">
        <w:rPr>
          <w:rStyle w:val="FootnoteReference"/>
          <w:rFonts w:ascii="Brill" w:hAnsi="Brill"/>
          <w:sz w:val="24"/>
          <w:szCs w:val="24"/>
        </w:rPr>
        <w:footnoteReference w:id="62"/>
      </w:r>
      <w:r w:rsidRPr="00287196">
        <w:rPr>
          <w:rFonts w:ascii="Brill" w:hAnsi="Brill"/>
          <w:sz w:val="24"/>
          <w:szCs w:val="24"/>
        </w:rPr>
        <w:t>. Here religion is still sacred and counted as the absolute truth, while in a Western academic setup, religion is not sacred; it can be studied without affiliation to it; is open to questioning and is comparative in its methodology</w:t>
      </w:r>
      <w:r w:rsidRPr="00287196">
        <w:rPr>
          <w:rStyle w:val="FootnoteReference"/>
          <w:rFonts w:ascii="Brill" w:hAnsi="Brill"/>
          <w:sz w:val="24"/>
          <w:szCs w:val="24"/>
        </w:rPr>
        <w:footnoteReference w:id="63"/>
      </w:r>
      <w:r w:rsidRPr="00287196">
        <w:rPr>
          <w:rFonts w:ascii="Brill" w:hAnsi="Brill"/>
          <w:sz w:val="24"/>
          <w:szCs w:val="24"/>
        </w:rPr>
        <w:t>.</w:t>
      </w:r>
    </w:p>
    <w:p w14:paraId="1C8CA57D" w14:textId="77777777" w:rsidR="00C6002C" w:rsidRPr="00287196" w:rsidRDefault="00C6002C" w:rsidP="00C6002C">
      <w:pPr>
        <w:spacing w:line="360" w:lineRule="auto"/>
        <w:ind w:firstLine="720"/>
        <w:rPr>
          <w:rFonts w:ascii="Brill" w:hAnsi="Brill"/>
          <w:sz w:val="24"/>
          <w:szCs w:val="24"/>
        </w:rPr>
      </w:pPr>
      <w:r w:rsidRPr="00287196">
        <w:rPr>
          <w:rFonts w:ascii="Brill" w:hAnsi="Brill"/>
          <w:sz w:val="24"/>
          <w:szCs w:val="24"/>
        </w:rPr>
        <w:t xml:space="preserve">In Western academe, teaching Islam to Muslims, even with an interdisciplinary or intercultural approach with an Islamic worldview as a professed faith, does not count as an academic pursuit </w:t>
      </w:r>
      <w:r w:rsidRPr="00287196">
        <w:rPr>
          <w:rStyle w:val="FootnoteReference"/>
          <w:rFonts w:ascii="Brill" w:hAnsi="Brill"/>
          <w:sz w:val="24"/>
          <w:szCs w:val="24"/>
        </w:rPr>
        <w:footnoteReference w:id="64"/>
      </w:r>
      <w:r w:rsidRPr="00287196">
        <w:rPr>
          <w:rFonts w:ascii="Brill" w:hAnsi="Brill"/>
          <w:sz w:val="24"/>
          <w:szCs w:val="24"/>
        </w:rPr>
        <w:t>, though it does not always mean that this differs from the academic teaching of Islam in Western universities, nor does it eliminate the possibility of synthesising both</w:t>
      </w:r>
      <w:r w:rsidRPr="00287196">
        <w:rPr>
          <w:rStyle w:val="FootnoteReference"/>
          <w:rFonts w:ascii="Brill" w:hAnsi="Brill"/>
          <w:sz w:val="24"/>
          <w:szCs w:val="24"/>
        </w:rPr>
        <w:footnoteReference w:id="65"/>
      </w:r>
      <w:r w:rsidRPr="00287196">
        <w:rPr>
          <w:rFonts w:ascii="Brill" w:hAnsi="Brill"/>
          <w:sz w:val="24"/>
          <w:szCs w:val="24"/>
        </w:rPr>
        <w:t xml:space="preserve">. </w:t>
      </w:r>
    </w:p>
    <w:p w14:paraId="5AB5711E" w14:textId="77777777" w:rsidR="00C6002C" w:rsidRPr="00287196" w:rsidRDefault="00C6002C" w:rsidP="00C6002C">
      <w:pPr>
        <w:spacing w:line="360" w:lineRule="auto"/>
        <w:ind w:firstLine="720"/>
        <w:rPr>
          <w:rFonts w:ascii="Brill" w:hAnsi="Brill"/>
          <w:sz w:val="24"/>
          <w:szCs w:val="24"/>
        </w:rPr>
      </w:pPr>
      <w:r w:rsidRPr="00287196">
        <w:rPr>
          <w:rFonts w:ascii="Brill" w:hAnsi="Brill"/>
          <w:sz w:val="24"/>
          <w:szCs w:val="24"/>
        </w:rPr>
        <w:t xml:space="preserve">A synthesis of the Eastern and Western approaches to teaching Islam in universities, which is like the synthesis of the old and the new, would contribute to better understanding of Islam amongst both, Muslims and non-Muslims. </w:t>
      </w:r>
    </w:p>
    <w:p w14:paraId="7DC17B63" w14:textId="77777777" w:rsidR="00C6002C" w:rsidRPr="00287196" w:rsidRDefault="00C6002C" w:rsidP="00C6002C">
      <w:pPr>
        <w:spacing w:line="360" w:lineRule="auto"/>
        <w:ind w:firstLine="720"/>
        <w:rPr>
          <w:rFonts w:ascii="Brill" w:hAnsi="Brill"/>
          <w:sz w:val="24"/>
          <w:szCs w:val="24"/>
        </w:rPr>
      </w:pPr>
      <w:r w:rsidRPr="00287196">
        <w:rPr>
          <w:rFonts w:ascii="Brill" w:hAnsi="Brill"/>
          <w:sz w:val="24"/>
          <w:szCs w:val="24"/>
        </w:rPr>
        <w:lastRenderedPageBreak/>
        <w:t>While this paper concurs with Ahmed (2016:6) that the greatest challenge to understanding Islam is its diversity</w:t>
      </w:r>
      <w:r w:rsidRPr="00287196">
        <w:rPr>
          <w:rStyle w:val="FootnoteReference"/>
          <w:rFonts w:ascii="Brill" w:hAnsi="Brill"/>
          <w:sz w:val="24"/>
          <w:szCs w:val="24"/>
        </w:rPr>
        <w:footnoteReference w:id="66"/>
      </w:r>
      <w:r w:rsidRPr="00287196">
        <w:rPr>
          <w:rFonts w:ascii="Brill" w:hAnsi="Brill"/>
          <w:sz w:val="24"/>
          <w:szCs w:val="24"/>
        </w:rPr>
        <w:t xml:space="preserve">, I do not fully agree with his suggestion that Islam should </w:t>
      </w:r>
      <w:proofErr w:type="gramStart"/>
      <w:r w:rsidRPr="00287196">
        <w:rPr>
          <w:rFonts w:ascii="Brill" w:hAnsi="Brill"/>
          <w:sz w:val="24"/>
          <w:szCs w:val="24"/>
        </w:rPr>
        <w:t>be seen as</w:t>
      </w:r>
      <w:proofErr w:type="gramEnd"/>
      <w:r w:rsidRPr="00287196">
        <w:rPr>
          <w:rFonts w:ascii="Brill" w:hAnsi="Brill"/>
          <w:sz w:val="24"/>
          <w:szCs w:val="24"/>
        </w:rPr>
        <w:t xml:space="preserve"> a “human and historical phenomenon”</w:t>
      </w:r>
      <w:r w:rsidRPr="00287196">
        <w:rPr>
          <w:rStyle w:val="FootnoteReference"/>
          <w:rFonts w:ascii="Brill" w:hAnsi="Brill"/>
          <w:sz w:val="24"/>
          <w:szCs w:val="24"/>
        </w:rPr>
        <w:footnoteReference w:id="67"/>
      </w:r>
      <w:r w:rsidRPr="00287196">
        <w:rPr>
          <w:rFonts w:ascii="Brill" w:hAnsi="Brill"/>
          <w:sz w:val="24"/>
          <w:szCs w:val="24"/>
        </w:rPr>
        <w:t xml:space="preserve">. This would inevitably relegate all texts, even those which are considered sacred, to a secondary level, open to all and any type of interpretation.  However, a complete refutation of texts is not possible. </w:t>
      </w:r>
    </w:p>
    <w:p w14:paraId="02A78FF6" w14:textId="77777777" w:rsidR="00C6002C" w:rsidRPr="00287196" w:rsidRDefault="00C6002C" w:rsidP="00C6002C">
      <w:pPr>
        <w:spacing w:line="360" w:lineRule="auto"/>
        <w:ind w:firstLine="720"/>
        <w:rPr>
          <w:rFonts w:ascii="Brill" w:hAnsi="Brill"/>
          <w:sz w:val="24"/>
          <w:szCs w:val="24"/>
          <w:rtl/>
        </w:rPr>
      </w:pPr>
      <w:r w:rsidRPr="00287196">
        <w:rPr>
          <w:rFonts w:ascii="Brill" w:hAnsi="Brill"/>
          <w:sz w:val="24"/>
          <w:szCs w:val="24"/>
        </w:rPr>
        <w:t>According to Koch, the International Institute of Islamic Thought suggests that at least at the introductory level, courses should exclusively focus on the normative structure and texts of Islam, because focusing on other disciplines does not allow students to study Islam in-depth. A post-Orientalist solution for Western universities might be to choose relevant texts and focus on them</w:t>
      </w:r>
      <w:r w:rsidRPr="00287196">
        <w:rPr>
          <w:rStyle w:val="FootnoteReference"/>
          <w:rFonts w:ascii="Brill" w:hAnsi="Brill"/>
          <w:sz w:val="24"/>
          <w:szCs w:val="24"/>
        </w:rPr>
        <w:footnoteReference w:id="68"/>
      </w:r>
      <w:r w:rsidRPr="00287196">
        <w:rPr>
          <w:rFonts w:ascii="Brill" w:hAnsi="Brill"/>
          <w:sz w:val="24"/>
          <w:szCs w:val="24"/>
        </w:rPr>
        <w:t xml:space="preserve">. While Arabic can be taught to Islamic studies’ students </w:t>
      </w:r>
      <w:r w:rsidRPr="00287196">
        <w:rPr>
          <w:rFonts w:ascii="Brill" w:hAnsi="Brill"/>
          <w:i/>
          <w:iCs/>
          <w:sz w:val="24"/>
          <w:szCs w:val="24"/>
        </w:rPr>
        <w:t>ab initio</w:t>
      </w:r>
      <w:r w:rsidRPr="00287196">
        <w:rPr>
          <w:rFonts w:ascii="Brill" w:hAnsi="Brill"/>
          <w:sz w:val="24"/>
          <w:szCs w:val="24"/>
        </w:rPr>
        <w:t xml:space="preserve"> at the graduate level, it would be better if entry-level Arabic is made mandatory to expedite learning. Post-graduate studies can make having a command over classical Arabic as a pre-requisite</w:t>
      </w:r>
      <w:r w:rsidRPr="00287196">
        <w:rPr>
          <w:rStyle w:val="FootnoteReference"/>
          <w:rFonts w:ascii="Brill" w:hAnsi="Brill"/>
          <w:sz w:val="24"/>
          <w:szCs w:val="24"/>
        </w:rPr>
        <w:footnoteReference w:id="69"/>
      </w:r>
      <w:r w:rsidRPr="00287196">
        <w:rPr>
          <w:rFonts w:ascii="Brill" w:hAnsi="Brill"/>
          <w:sz w:val="24"/>
          <w:szCs w:val="24"/>
        </w:rPr>
        <w:t>. Secondly graduate studies can incorporate compulsory textual training, with selections from: the Qur’ān, Hadīth collections, exegeses, jurisprudential, theological and philosophical texts; across various sects, geographical boundaries and eras being made compulsory. Along with this a broad view of 1400 years of Islamic history should also be made compulsory reading. This approach would enable a graduate student to be exposed to a wide range of Islamic texts, which would then help him to choose other electives and disciplines in his graduate as well as post-graduate years of study. Elective courses may offer other inter and multi-disciplinary approaches such as anthropology, history, geography, politics, philology, literature, sociology, psychology and ethics. Care should be taken so as not to focus on outdated and irrelevant issues</w:t>
      </w:r>
      <w:r w:rsidRPr="00287196">
        <w:rPr>
          <w:rStyle w:val="FootnoteReference"/>
          <w:rFonts w:ascii="Brill" w:hAnsi="Brill"/>
          <w:sz w:val="24"/>
          <w:szCs w:val="24"/>
        </w:rPr>
        <w:footnoteReference w:id="70"/>
      </w:r>
      <w:r w:rsidRPr="00287196">
        <w:rPr>
          <w:rFonts w:ascii="Brill" w:hAnsi="Brill"/>
          <w:sz w:val="24"/>
          <w:szCs w:val="24"/>
        </w:rPr>
        <w:t xml:space="preserve">, and to develop an inclusive geographical area of study. Additionally, each student should be asked to choose a focus-area of research </w:t>
      </w:r>
      <w:r w:rsidRPr="00287196">
        <w:rPr>
          <w:rFonts w:ascii="Brill" w:hAnsi="Brill"/>
          <w:sz w:val="24"/>
          <w:szCs w:val="24"/>
        </w:rPr>
        <w:lastRenderedPageBreak/>
        <w:t>at an appropriate time which would help in selecting further elective courses in the subsequent years and also prepare for a field of specialisation if he/she wishes to pursue post-graduation. Post-graduate Islamic studies should still incorporate textual readings, albeit in the now specialised subjects of his/her choice.</w:t>
      </w:r>
    </w:p>
    <w:p w14:paraId="714A81BE" w14:textId="77777777" w:rsidR="00C6002C" w:rsidRPr="00287196" w:rsidRDefault="00C6002C" w:rsidP="00C6002C">
      <w:pPr>
        <w:spacing w:line="360" w:lineRule="auto"/>
        <w:rPr>
          <w:rFonts w:ascii="Brill" w:hAnsi="Brill"/>
          <w:sz w:val="24"/>
          <w:szCs w:val="24"/>
        </w:rPr>
      </w:pPr>
      <w:r w:rsidRPr="00287196">
        <w:rPr>
          <w:rFonts w:ascii="Brill" w:hAnsi="Brill"/>
          <w:sz w:val="24"/>
          <w:szCs w:val="24"/>
        </w:rPr>
        <w:t xml:space="preserve"> </w:t>
      </w:r>
      <w:r w:rsidRPr="00287196">
        <w:rPr>
          <w:rFonts w:ascii="Brill" w:hAnsi="Brill"/>
          <w:sz w:val="24"/>
          <w:szCs w:val="24"/>
        </w:rPr>
        <w:tab/>
        <w:t xml:space="preserve">Those who have studied at Islamic seminaries and academies or have graduated from universities in Islamic countries would also benefit from a critical rereading of texts which they have already studied and a reading of those which they have not. This is because Islamic seminaries normally limit textual readings to a </w:t>
      </w:r>
      <w:proofErr w:type="gramStart"/>
      <w:r w:rsidRPr="00287196">
        <w:rPr>
          <w:rFonts w:ascii="Brill" w:hAnsi="Brill"/>
          <w:sz w:val="24"/>
          <w:szCs w:val="24"/>
        </w:rPr>
        <w:t>particular sect</w:t>
      </w:r>
      <w:proofErr w:type="gramEnd"/>
      <w:r w:rsidRPr="00287196">
        <w:rPr>
          <w:rFonts w:ascii="Brill" w:hAnsi="Brill"/>
          <w:sz w:val="24"/>
          <w:szCs w:val="24"/>
        </w:rPr>
        <w:t>, if not a school</w:t>
      </w:r>
      <w:r w:rsidRPr="00287196">
        <w:rPr>
          <w:rStyle w:val="FootnoteReference"/>
          <w:rFonts w:ascii="Brill" w:hAnsi="Brill"/>
          <w:sz w:val="24"/>
          <w:szCs w:val="24"/>
        </w:rPr>
        <w:footnoteReference w:id="71"/>
      </w:r>
      <w:r w:rsidRPr="00287196">
        <w:rPr>
          <w:rFonts w:ascii="Brill" w:hAnsi="Brill"/>
          <w:sz w:val="24"/>
          <w:szCs w:val="24"/>
        </w:rPr>
        <w:t>. Critical analysis skills and the use of reasoning will help them to research and develop theses. An inter and multi-disciplinary approach and study of Islamic sects, regional cultures and societies, which is normally frowned upon in traditional Islamic educational institutions</w:t>
      </w:r>
      <w:r w:rsidRPr="00287196">
        <w:rPr>
          <w:rStyle w:val="FootnoteReference"/>
          <w:rFonts w:ascii="Brill" w:hAnsi="Brill"/>
          <w:sz w:val="24"/>
          <w:szCs w:val="24"/>
        </w:rPr>
        <w:footnoteReference w:id="72"/>
      </w:r>
      <w:r w:rsidRPr="00287196">
        <w:rPr>
          <w:rFonts w:ascii="Brill" w:hAnsi="Brill"/>
          <w:sz w:val="24"/>
          <w:szCs w:val="24"/>
        </w:rPr>
        <w:t xml:space="preserve">, will help to cultivate a wider world view and instil respect for others. </w:t>
      </w:r>
    </w:p>
    <w:p w14:paraId="52604AC3" w14:textId="77777777" w:rsidR="00C6002C" w:rsidRPr="00287196" w:rsidRDefault="00C6002C" w:rsidP="00C6002C">
      <w:pPr>
        <w:spacing w:line="360" w:lineRule="auto"/>
        <w:rPr>
          <w:rFonts w:ascii="Brill" w:hAnsi="Brill"/>
          <w:b/>
          <w:bCs/>
          <w:sz w:val="24"/>
          <w:szCs w:val="24"/>
        </w:rPr>
      </w:pPr>
      <w:r w:rsidRPr="00287196">
        <w:rPr>
          <w:rFonts w:ascii="Brill" w:hAnsi="Brill"/>
          <w:b/>
          <w:bCs/>
          <w:sz w:val="24"/>
          <w:szCs w:val="24"/>
        </w:rPr>
        <w:t>Conclusion</w:t>
      </w:r>
    </w:p>
    <w:p w14:paraId="53210B9B" w14:textId="77777777" w:rsidR="00C6002C" w:rsidRPr="00287196" w:rsidRDefault="00C6002C" w:rsidP="00C6002C">
      <w:pPr>
        <w:spacing w:line="360" w:lineRule="auto"/>
        <w:ind w:firstLine="720"/>
        <w:rPr>
          <w:rFonts w:ascii="Brill" w:hAnsi="Brill"/>
          <w:sz w:val="24"/>
          <w:szCs w:val="24"/>
        </w:rPr>
      </w:pPr>
      <w:r w:rsidRPr="00287196">
        <w:rPr>
          <w:rFonts w:ascii="Brill" w:hAnsi="Brill"/>
          <w:sz w:val="24"/>
          <w:szCs w:val="24"/>
        </w:rPr>
        <w:t xml:space="preserve">Thus, a combination of rigorous textual training, which is favoured by Eastern Islamic institutions, coupled with a compulsory reading of Islamic history, would widen perspectives and help to focus on core issues during the foundational years of Islamic studies at Western universities. Later critical readings and analysis of texts and other elective courses, along with area specialisations will help in the later years and especially during post-graduation. Students coming from Islamic Institutional backgrounds will benefit most from a critical reading of a wide variety of texts in addition to the interdisciplinary and probing approach of Western university education. </w:t>
      </w:r>
    </w:p>
    <w:p w14:paraId="35C7214F" w14:textId="77777777" w:rsidR="00C6002C" w:rsidRPr="00287196" w:rsidRDefault="00C6002C" w:rsidP="00C6002C">
      <w:pPr>
        <w:spacing w:line="360" w:lineRule="auto"/>
        <w:ind w:firstLine="720"/>
        <w:jc w:val="right"/>
        <w:rPr>
          <w:rFonts w:ascii="Brill" w:hAnsi="Brill"/>
          <w:sz w:val="24"/>
          <w:szCs w:val="24"/>
        </w:rPr>
      </w:pPr>
      <w:r w:rsidRPr="00287196">
        <w:rPr>
          <w:rFonts w:ascii="Brill" w:hAnsi="Brill"/>
          <w:sz w:val="24"/>
          <w:szCs w:val="24"/>
        </w:rPr>
        <w:t>(</w:t>
      </w:r>
      <w:r w:rsidRPr="00287196">
        <w:rPr>
          <w:rFonts w:ascii="Brill" w:hAnsi="Brill"/>
          <w:sz w:val="24"/>
          <w:szCs w:val="24"/>
        </w:rPr>
        <w:t>25</w:t>
      </w:r>
      <w:r>
        <w:rPr>
          <w:rFonts w:ascii="Brill" w:hAnsi="Brill"/>
          <w:sz w:val="24"/>
          <w:szCs w:val="24"/>
        </w:rPr>
        <w:t>69</w:t>
      </w:r>
      <w:r w:rsidRPr="00287196">
        <w:rPr>
          <w:rFonts w:ascii="Brill" w:hAnsi="Brill"/>
          <w:sz w:val="24"/>
          <w:szCs w:val="24"/>
        </w:rPr>
        <w:t xml:space="preserve"> </w:t>
      </w:r>
      <w:r w:rsidRPr="00287196">
        <w:rPr>
          <w:rFonts w:ascii="Brill" w:hAnsi="Brill"/>
          <w:sz w:val="24"/>
          <w:szCs w:val="24"/>
        </w:rPr>
        <w:t>words)</w:t>
      </w:r>
    </w:p>
    <w:p w14:paraId="3355B209" w14:textId="77777777" w:rsidR="00C6002C" w:rsidRPr="00287196" w:rsidRDefault="00C6002C" w:rsidP="00C6002C">
      <w:pPr>
        <w:spacing w:line="360" w:lineRule="auto"/>
        <w:ind w:firstLine="720"/>
        <w:rPr>
          <w:rFonts w:ascii="Brill" w:hAnsi="Brill"/>
          <w:sz w:val="24"/>
          <w:szCs w:val="24"/>
        </w:rPr>
      </w:pPr>
    </w:p>
    <w:p w14:paraId="799BD10B" w14:textId="77777777" w:rsidR="00C6002C" w:rsidRPr="00287196" w:rsidRDefault="00C6002C" w:rsidP="00C6002C">
      <w:pPr>
        <w:spacing w:line="360" w:lineRule="auto"/>
        <w:ind w:firstLine="720"/>
        <w:rPr>
          <w:rFonts w:ascii="Brill" w:hAnsi="Brill"/>
          <w:sz w:val="24"/>
          <w:szCs w:val="24"/>
        </w:rPr>
      </w:pPr>
    </w:p>
    <w:p w14:paraId="69AF81AA" w14:textId="77777777" w:rsidR="00C6002C" w:rsidRPr="00287196" w:rsidRDefault="00C6002C" w:rsidP="00C6002C">
      <w:pPr>
        <w:spacing w:line="360" w:lineRule="auto"/>
        <w:ind w:firstLine="720"/>
        <w:rPr>
          <w:rFonts w:ascii="Brill" w:hAnsi="Brill"/>
          <w:sz w:val="24"/>
          <w:szCs w:val="24"/>
        </w:rPr>
      </w:pPr>
    </w:p>
    <w:p w14:paraId="0D0E3B8A" w14:textId="77777777" w:rsidR="00C6002C" w:rsidRPr="00287196" w:rsidRDefault="00C6002C" w:rsidP="00C6002C">
      <w:pPr>
        <w:spacing w:line="360" w:lineRule="auto"/>
        <w:ind w:firstLine="720"/>
        <w:jc w:val="center"/>
        <w:rPr>
          <w:rFonts w:ascii="Brill" w:hAnsi="Brill"/>
          <w:b/>
          <w:bCs/>
          <w:sz w:val="24"/>
          <w:szCs w:val="24"/>
        </w:rPr>
      </w:pPr>
      <w:r w:rsidRPr="00287196">
        <w:rPr>
          <w:rFonts w:ascii="Brill" w:hAnsi="Brill"/>
          <w:b/>
          <w:bCs/>
          <w:sz w:val="24"/>
          <w:szCs w:val="24"/>
        </w:rPr>
        <w:t>Bibliography</w:t>
      </w:r>
    </w:p>
    <w:p w14:paraId="760EDC5F" w14:textId="77777777" w:rsidR="00C6002C" w:rsidRPr="00287196" w:rsidRDefault="00C6002C" w:rsidP="00C6002C">
      <w:pPr>
        <w:spacing w:line="360" w:lineRule="auto"/>
        <w:rPr>
          <w:rFonts w:ascii="Brill" w:hAnsi="Brill" w:cstheme="majorBidi"/>
          <w:b/>
          <w:bCs/>
          <w:color w:val="333333"/>
          <w:sz w:val="24"/>
          <w:szCs w:val="24"/>
          <w:shd w:val="clear" w:color="auto" w:fill="FFFFFF"/>
        </w:rPr>
      </w:pPr>
      <w:r w:rsidRPr="00287196">
        <w:rPr>
          <w:rFonts w:ascii="Brill" w:hAnsi="Brill" w:cstheme="majorBidi"/>
          <w:b/>
          <w:bCs/>
          <w:color w:val="333333"/>
          <w:sz w:val="24"/>
          <w:szCs w:val="24"/>
          <w:shd w:val="clear" w:color="auto" w:fill="FFFFFF"/>
        </w:rPr>
        <w:lastRenderedPageBreak/>
        <w:t>Research Papers</w:t>
      </w:r>
    </w:p>
    <w:p w14:paraId="33290E0A" w14:textId="77777777" w:rsidR="00C6002C" w:rsidRPr="00287196" w:rsidRDefault="00C6002C" w:rsidP="00C6002C">
      <w:pPr>
        <w:pStyle w:val="ListParagraph"/>
        <w:numPr>
          <w:ilvl w:val="0"/>
          <w:numId w:val="1"/>
        </w:numPr>
        <w:spacing w:line="360" w:lineRule="auto"/>
        <w:rPr>
          <w:rFonts w:ascii="Brill" w:hAnsi="Brill" w:cstheme="majorBidi"/>
          <w:color w:val="333333"/>
          <w:sz w:val="24"/>
          <w:szCs w:val="24"/>
          <w:shd w:val="clear" w:color="auto" w:fill="FFFFFF"/>
          <w:lang w:val="en-US"/>
        </w:rPr>
      </w:pPr>
      <w:bookmarkStart w:id="1" w:name="_Hlk29636257"/>
      <w:r w:rsidRPr="00287196">
        <w:rPr>
          <w:rFonts w:ascii="Brill" w:hAnsi="Brill" w:cstheme="majorBidi"/>
          <w:color w:val="333333"/>
          <w:sz w:val="24"/>
          <w:szCs w:val="24"/>
          <w:shd w:val="clear" w:color="auto" w:fill="FFFFFF"/>
        </w:rPr>
        <w:t>Buck, Christopher. (2012). The Constitutionality of Teaching Islam: The University of North Carolina Qur’an Controversy. 10.2307/</w:t>
      </w:r>
      <w:proofErr w:type="gramStart"/>
      <w:r w:rsidRPr="00287196">
        <w:rPr>
          <w:rFonts w:ascii="Brill" w:hAnsi="Brill" w:cstheme="majorBidi"/>
          <w:color w:val="333333"/>
          <w:sz w:val="24"/>
          <w:szCs w:val="24"/>
          <w:shd w:val="clear" w:color="auto" w:fill="FFFFFF"/>
        </w:rPr>
        <w:t>j.ctvkc</w:t>
      </w:r>
      <w:proofErr w:type="gramEnd"/>
      <w:r w:rsidRPr="00287196">
        <w:rPr>
          <w:rFonts w:ascii="Brill" w:hAnsi="Brill" w:cstheme="majorBidi"/>
          <w:color w:val="333333"/>
          <w:sz w:val="24"/>
          <w:szCs w:val="24"/>
          <w:shd w:val="clear" w:color="auto" w:fill="FFFFFF"/>
        </w:rPr>
        <w:t>672v.13.</w:t>
      </w:r>
    </w:p>
    <w:p w14:paraId="490C7444" w14:textId="77777777" w:rsidR="00C6002C" w:rsidRPr="00287196" w:rsidRDefault="00C6002C" w:rsidP="00C6002C">
      <w:pPr>
        <w:pStyle w:val="ListParagraph"/>
        <w:numPr>
          <w:ilvl w:val="0"/>
          <w:numId w:val="1"/>
        </w:numPr>
        <w:spacing w:line="360" w:lineRule="auto"/>
        <w:rPr>
          <w:rFonts w:ascii="Brill" w:hAnsi="Brill" w:cstheme="majorBidi"/>
          <w:color w:val="333333"/>
          <w:sz w:val="24"/>
          <w:szCs w:val="24"/>
          <w:shd w:val="clear" w:color="auto" w:fill="FFFFFF"/>
        </w:rPr>
      </w:pPr>
      <w:r w:rsidRPr="00287196">
        <w:rPr>
          <w:rFonts w:ascii="Brill" w:hAnsi="Brill"/>
          <w:sz w:val="24"/>
          <w:szCs w:val="24"/>
        </w:rPr>
        <w:t xml:space="preserve">Enache, B. (2010). What Is the West? The Independent Review, 14(3), 450-453. </w:t>
      </w:r>
      <w:r w:rsidRPr="00287196">
        <w:rPr>
          <w:rFonts w:ascii="Brill" w:hAnsi="Brill" w:cstheme="majorBidi"/>
          <w:sz w:val="24"/>
          <w:szCs w:val="24"/>
        </w:rPr>
        <w:t xml:space="preserve">Accessed 14 </w:t>
      </w:r>
      <w:proofErr w:type="gramStart"/>
      <w:r w:rsidRPr="00287196">
        <w:rPr>
          <w:rFonts w:ascii="Brill" w:hAnsi="Brill" w:cstheme="majorBidi"/>
          <w:sz w:val="24"/>
          <w:szCs w:val="24"/>
        </w:rPr>
        <w:t>January,</w:t>
      </w:r>
      <w:proofErr w:type="gramEnd"/>
      <w:r w:rsidRPr="00287196">
        <w:rPr>
          <w:rFonts w:ascii="Brill" w:hAnsi="Brill" w:cstheme="majorBidi"/>
          <w:sz w:val="24"/>
          <w:szCs w:val="24"/>
        </w:rPr>
        <w:t xml:space="preserve"> 2020</w:t>
      </w:r>
      <w:r w:rsidRPr="00287196">
        <w:rPr>
          <w:rFonts w:ascii="Brill" w:hAnsi="Brill"/>
          <w:sz w:val="24"/>
          <w:szCs w:val="24"/>
        </w:rPr>
        <w:t xml:space="preserve">, </w:t>
      </w:r>
      <w:r w:rsidRPr="00287196">
        <w:rPr>
          <w:rFonts w:ascii="Brill" w:hAnsi="Brill" w:cs="Arial"/>
          <w:i/>
          <w:iCs/>
          <w:color w:val="333333"/>
          <w:sz w:val="24"/>
          <w:szCs w:val="24"/>
          <w:shd w:val="clear" w:color="auto" w:fill="FFFFFF"/>
        </w:rPr>
        <w:t>JSTOR</w:t>
      </w:r>
      <w:r w:rsidRPr="00287196">
        <w:rPr>
          <w:rFonts w:ascii="Brill" w:hAnsi="Brill" w:cs="Arial"/>
          <w:color w:val="333333"/>
          <w:sz w:val="24"/>
          <w:szCs w:val="24"/>
          <w:shd w:val="clear" w:color="auto" w:fill="FFFFFF"/>
        </w:rPr>
        <w:t xml:space="preserve">, </w:t>
      </w:r>
      <w:hyperlink r:id="rId7" w:history="1">
        <w:r w:rsidRPr="00287196">
          <w:rPr>
            <w:rStyle w:val="Hyperlink"/>
            <w:rFonts w:ascii="Brill" w:hAnsi="Brill" w:cs="Arial"/>
            <w:sz w:val="24"/>
            <w:szCs w:val="24"/>
            <w:shd w:val="clear" w:color="auto" w:fill="FFFFFF"/>
          </w:rPr>
          <w:t>www.jstor.org/stable/24562884</w:t>
        </w:r>
      </w:hyperlink>
    </w:p>
    <w:p w14:paraId="7DD53E59" w14:textId="77777777" w:rsidR="00C6002C" w:rsidRPr="00287196" w:rsidRDefault="00C6002C" w:rsidP="00C6002C">
      <w:pPr>
        <w:pStyle w:val="ListParagraph"/>
        <w:numPr>
          <w:ilvl w:val="0"/>
          <w:numId w:val="1"/>
        </w:numPr>
        <w:spacing w:line="360" w:lineRule="auto"/>
        <w:rPr>
          <w:rFonts w:ascii="Brill" w:hAnsi="Brill" w:cstheme="majorBidi"/>
          <w:sz w:val="24"/>
          <w:szCs w:val="24"/>
        </w:rPr>
      </w:pPr>
      <w:r w:rsidRPr="00287196">
        <w:rPr>
          <w:rFonts w:ascii="Brill" w:hAnsi="Brill" w:cstheme="majorBidi"/>
          <w:sz w:val="24"/>
          <w:szCs w:val="24"/>
        </w:rPr>
        <w:t xml:space="preserve">Ernst, Carl W. &amp; Martin, Richard C., (2010) Introduction Toward a Post-Orientalist Approach to Islamic Religious Studies, </w:t>
      </w:r>
      <w:r w:rsidRPr="00287196">
        <w:rPr>
          <w:rFonts w:ascii="Brill" w:hAnsi="Brill" w:cstheme="majorBidi"/>
          <w:sz w:val="24"/>
          <w:szCs w:val="24"/>
          <w:u w:val="single"/>
        </w:rPr>
        <w:t>sc.edu</w:t>
      </w:r>
      <w:r w:rsidRPr="00287196">
        <w:rPr>
          <w:rFonts w:ascii="Brill" w:hAnsi="Brill" w:cstheme="majorBidi"/>
          <w:sz w:val="24"/>
          <w:szCs w:val="24"/>
        </w:rPr>
        <w:t xml:space="preserve">, </w:t>
      </w:r>
      <w:hyperlink r:id="rId8" w:history="1">
        <w:r w:rsidRPr="00287196">
          <w:rPr>
            <w:rStyle w:val="Hyperlink"/>
            <w:rFonts w:ascii="Brill" w:hAnsi="Brill" w:cstheme="majorBidi"/>
            <w:sz w:val="24"/>
            <w:szCs w:val="24"/>
          </w:rPr>
          <w:t>https://www.sc.edu/uscpress/books/2010/3892x.pdf</w:t>
        </w:r>
      </w:hyperlink>
      <w:r w:rsidRPr="00287196">
        <w:rPr>
          <w:rFonts w:ascii="Brill" w:hAnsi="Brill" w:cstheme="majorBidi"/>
          <w:sz w:val="24"/>
          <w:szCs w:val="24"/>
        </w:rPr>
        <w:t xml:space="preserve"> </w:t>
      </w:r>
    </w:p>
    <w:p w14:paraId="78C5E0E1" w14:textId="77777777" w:rsidR="00C6002C" w:rsidRPr="00287196" w:rsidRDefault="00C6002C" w:rsidP="00C6002C">
      <w:pPr>
        <w:pStyle w:val="ListParagraph"/>
        <w:numPr>
          <w:ilvl w:val="0"/>
          <w:numId w:val="1"/>
        </w:numPr>
        <w:spacing w:line="360" w:lineRule="auto"/>
        <w:rPr>
          <w:rFonts w:ascii="Brill" w:hAnsi="Brill" w:cstheme="majorBidi"/>
          <w:color w:val="333333"/>
          <w:sz w:val="24"/>
          <w:szCs w:val="24"/>
          <w:shd w:val="clear" w:color="auto" w:fill="FFFFFF"/>
        </w:rPr>
      </w:pPr>
      <w:r w:rsidRPr="00287196">
        <w:rPr>
          <w:rFonts w:ascii="Brill" w:hAnsi="Brill" w:cstheme="majorBidi"/>
          <w:color w:val="333333"/>
          <w:sz w:val="24"/>
          <w:szCs w:val="24"/>
          <w:shd w:val="clear" w:color="auto" w:fill="FFFFFF"/>
        </w:rPr>
        <w:t>Halstead, J. (2004). An Islamic Concept of Education. </w:t>
      </w:r>
      <w:r w:rsidRPr="00287196">
        <w:rPr>
          <w:rFonts w:ascii="Brill" w:hAnsi="Brill" w:cstheme="majorBidi"/>
          <w:i/>
          <w:iCs/>
          <w:sz w:val="24"/>
          <w:szCs w:val="24"/>
        </w:rPr>
        <w:t>Comparative Education,</w:t>
      </w:r>
      <w:r w:rsidRPr="00287196">
        <w:rPr>
          <w:rFonts w:ascii="Brill" w:hAnsi="Brill" w:cstheme="majorBidi"/>
          <w:sz w:val="24"/>
          <w:szCs w:val="24"/>
        </w:rPr>
        <w:t> </w:t>
      </w:r>
      <w:r w:rsidRPr="00287196">
        <w:rPr>
          <w:rFonts w:ascii="Brill" w:hAnsi="Brill" w:cstheme="majorBidi"/>
          <w:i/>
          <w:iCs/>
          <w:sz w:val="24"/>
          <w:szCs w:val="24"/>
        </w:rPr>
        <w:t>40</w:t>
      </w:r>
      <w:r w:rsidRPr="00287196">
        <w:rPr>
          <w:rFonts w:ascii="Brill" w:hAnsi="Brill" w:cstheme="majorBidi"/>
          <w:sz w:val="24"/>
          <w:szCs w:val="24"/>
        </w:rPr>
        <w:t xml:space="preserve">(4), 517-529. Accessed 7 </w:t>
      </w:r>
      <w:proofErr w:type="gramStart"/>
      <w:r w:rsidRPr="00287196">
        <w:rPr>
          <w:rFonts w:ascii="Brill" w:hAnsi="Brill" w:cstheme="majorBidi"/>
          <w:sz w:val="24"/>
          <w:szCs w:val="24"/>
        </w:rPr>
        <w:t>January,</w:t>
      </w:r>
      <w:proofErr w:type="gramEnd"/>
      <w:r w:rsidRPr="00287196">
        <w:rPr>
          <w:rFonts w:ascii="Brill" w:hAnsi="Brill" w:cstheme="majorBidi"/>
          <w:sz w:val="24"/>
          <w:szCs w:val="24"/>
        </w:rPr>
        <w:t xml:space="preserve"> 2020, </w:t>
      </w:r>
      <w:r w:rsidRPr="00287196">
        <w:rPr>
          <w:rFonts w:ascii="Brill" w:hAnsi="Brill" w:cstheme="majorBidi"/>
          <w:i/>
          <w:iCs/>
          <w:color w:val="333333"/>
          <w:sz w:val="24"/>
          <w:szCs w:val="24"/>
          <w:shd w:val="clear" w:color="auto" w:fill="FFFFFF"/>
        </w:rPr>
        <w:t>JSTOR</w:t>
      </w:r>
      <w:r w:rsidRPr="00287196">
        <w:rPr>
          <w:rFonts w:ascii="Brill" w:hAnsi="Brill" w:cstheme="majorBidi"/>
          <w:color w:val="333333"/>
          <w:sz w:val="24"/>
          <w:szCs w:val="24"/>
          <w:shd w:val="clear" w:color="auto" w:fill="FFFFFF"/>
        </w:rPr>
        <w:t xml:space="preserve">, </w:t>
      </w:r>
      <w:hyperlink r:id="rId9" w:history="1">
        <w:r w:rsidRPr="00287196">
          <w:rPr>
            <w:rStyle w:val="Hyperlink"/>
            <w:rFonts w:ascii="Brill" w:hAnsi="Brill" w:cstheme="majorBidi"/>
            <w:sz w:val="24"/>
            <w:szCs w:val="24"/>
            <w:shd w:val="clear" w:color="auto" w:fill="FFFFFF"/>
          </w:rPr>
          <w:t>www.jstor.org/stable/413462</w:t>
        </w:r>
      </w:hyperlink>
      <w:bookmarkEnd w:id="1"/>
      <w:r w:rsidRPr="00287196">
        <w:rPr>
          <w:rFonts w:ascii="Brill" w:hAnsi="Brill" w:cstheme="majorBidi"/>
          <w:color w:val="333333"/>
          <w:sz w:val="24"/>
          <w:szCs w:val="24"/>
          <w:shd w:val="clear" w:color="auto" w:fill="FFFFFF"/>
        </w:rPr>
        <w:tab/>
      </w:r>
    </w:p>
    <w:p w14:paraId="5A50FE04" w14:textId="77777777" w:rsidR="00C6002C" w:rsidRPr="00287196" w:rsidRDefault="00C6002C" w:rsidP="00C6002C">
      <w:pPr>
        <w:pStyle w:val="ListParagraph"/>
        <w:numPr>
          <w:ilvl w:val="0"/>
          <w:numId w:val="1"/>
        </w:numPr>
        <w:autoSpaceDE w:val="0"/>
        <w:autoSpaceDN w:val="0"/>
        <w:adjustRightInd w:val="0"/>
        <w:spacing w:after="0" w:line="360" w:lineRule="auto"/>
        <w:rPr>
          <w:rFonts w:ascii="Brill" w:hAnsi="Brill" w:cstheme="majorBidi"/>
          <w:color w:val="185FA2"/>
          <w:sz w:val="24"/>
          <w:szCs w:val="24"/>
        </w:rPr>
      </w:pPr>
      <w:bookmarkStart w:id="2" w:name="_Hlk29567645"/>
      <w:r w:rsidRPr="00287196">
        <w:rPr>
          <w:rFonts w:ascii="Brill" w:hAnsi="Brill" w:cstheme="majorBidi"/>
          <w:color w:val="333333"/>
          <w:sz w:val="24"/>
          <w:szCs w:val="24"/>
          <w:shd w:val="clear" w:color="auto" w:fill="FFFFFF"/>
        </w:rPr>
        <w:t xml:space="preserve">Ibrahim, Haruna Hassan, (2015). Orientalism and Islamism: A Comparative Study of Approaches to Islamic Studies. </w:t>
      </w:r>
      <w:r w:rsidRPr="00287196">
        <w:rPr>
          <w:rFonts w:ascii="Brill" w:hAnsi="Brill" w:cstheme="majorBidi"/>
          <w:i/>
          <w:iCs/>
          <w:color w:val="333333"/>
          <w:sz w:val="24"/>
          <w:szCs w:val="24"/>
          <w:shd w:val="clear" w:color="auto" w:fill="FFFFFF"/>
        </w:rPr>
        <w:t>Arts Social Science Journal.</w:t>
      </w:r>
      <w:r w:rsidRPr="00287196">
        <w:rPr>
          <w:rFonts w:ascii="Brill" w:hAnsi="Brill" w:cstheme="majorBidi"/>
          <w:color w:val="333333"/>
          <w:sz w:val="24"/>
          <w:szCs w:val="24"/>
          <w:shd w:val="clear" w:color="auto" w:fill="FFFFFF"/>
        </w:rPr>
        <w:t xml:space="preserve"> </w:t>
      </w:r>
      <w:r w:rsidRPr="00287196">
        <w:rPr>
          <w:rFonts w:ascii="Brill" w:hAnsi="Brill" w:cstheme="majorBidi"/>
          <w:color w:val="000000"/>
          <w:sz w:val="24"/>
          <w:szCs w:val="24"/>
        </w:rPr>
        <w:t>J 6: 91. doi:</w:t>
      </w:r>
      <w:r w:rsidRPr="00287196">
        <w:rPr>
          <w:rFonts w:ascii="Brill" w:hAnsi="Brill" w:cstheme="majorBidi"/>
          <w:color w:val="185FA2"/>
          <w:sz w:val="24"/>
          <w:szCs w:val="24"/>
        </w:rPr>
        <w:t>10.4172/2151-6200.100091</w:t>
      </w:r>
    </w:p>
    <w:bookmarkEnd w:id="2"/>
    <w:p w14:paraId="702DB70B" w14:textId="77777777" w:rsidR="00C6002C" w:rsidRPr="00287196" w:rsidRDefault="00C6002C" w:rsidP="00C6002C">
      <w:pPr>
        <w:pStyle w:val="ListParagraph"/>
        <w:numPr>
          <w:ilvl w:val="0"/>
          <w:numId w:val="1"/>
        </w:numPr>
        <w:spacing w:line="360" w:lineRule="auto"/>
        <w:rPr>
          <w:rStyle w:val="doilink"/>
          <w:rFonts w:ascii="Brill" w:hAnsi="Brill"/>
          <w:color w:val="333333"/>
          <w:sz w:val="24"/>
          <w:szCs w:val="24"/>
          <w:shd w:val="clear" w:color="auto" w:fill="FFFFFF"/>
        </w:rPr>
      </w:pPr>
      <w:r w:rsidRPr="00287196">
        <w:rPr>
          <w:rStyle w:val="authors"/>
          <w:rFonts w:ascii="Brill" w:hAnsi="Brill" w:cstheme="majorBidi"/>
          <w:color w:val="333333"/>
          <w:sz w:val="24"/>
          <w:szCs w:val="24"/>
          <w:shd w:val="clear" w:color="auto" w:fill="FFFFFF"/>
        </w:rPr>
        <w:t>Katherine E. Brown &amp; Tania Saeed</w:t>
      </w:r>
      <w:r w:rsidRPr="00287196">
        <w:rPr>
          <w:rFonts w:ascii="Brill" w:hAnsi="Brill" w:cstheme="majorBidi"/>
          <w:color w:val="333333"/>
          <w:sz w:val="24"/>
          <w:szCs w:val="24"/>
          <w:shd w:val="clear" w:color="auto" w:fill="FFFFFF"/>
        </w:rPr>
        <w:t> </w:t>
      </w:r>
      <w:r w:rsidRPr="00287196">
        <w:rPr>
          <w:rStyle w:val="Date2"/>
          <w:rFonts w:ascii="Brill" w:hAnsi="Brill" w:cstheme="majorBidi"/>
          <w:color w:val="333333"/>
          <w:sz w:val="24"/>
          <w:szCs w:val="24"/>
          <w:shd w:val="clear" w:color="auto" w:fill="FFFFFF"/>
        </w:rPr>
        <w:t>(2015)</w:t>
      </w:r>
      <w:r w:rsidRPr="00287196">
        <w:rPr>
          <w:rFonts w:ascii="Brill" w:hAnsi="Brill" w:cstheme="majorBidi"/>
          <w:color w:val="333333"/>
          <w:sz w:val="24"/>
          <w:szCs w:val="24"/>
          <w:shd w:val="clear" w:color="auto" w:fill="FFFFFF"/>
        </w:rPr>
        <w:t> </w:t>
      </w:r>
      <w:r w:rsidRPr="00287196">
        <w:rPr>
          <w:rStyle w:val="arttitle"/>
          <w:rFonts w:ascii="Brill" w:hAnsi="Brill" w:cstheme="majorBidi"/>
          <w:color w:val="333333"/>
          <w:sz w:val="24"/>
          <w:szCs w:val="24"/>
          <w:shd w:val="clear" w:color="auto" w:fill="FFFFFF"/>
        </w:rPr>
        <w:t>Radicalization and counter-radicalization at British universities: Muslim encounters and alternatives,</w:t>
      </w:r>
      <w:r w:rsidRPr="00287196">
        <w:rPr>
          <w:rFonts w:ascii="Brill" w:hAnsi="Brill" w:cstheme="majorBidi"/>
          <w:color w:val="333333"/>
          <w:sz w:val="24"/>
          <w:szCs w:val="24"/>
          <w:shd w:val="clear" w:color="auto" w:fill="FFFFFF"/>
        </w:rPr>
        <w:t> </w:t>
      </w:r>
      <w:r w:rsidRPr="00287196">
        <w:rPr>
          <w:rStyle w:val="serialtitle"/>
          <w:rFonts w:ascii="Brill" w:hAnsi="Brill" w:cstheme="majorBidi"/>
          <w:color w:val="333333"/>
          <w:sz w:val="24"/>
          <w:szCs w:val="24"/>
          <w:shd w:val="clear" w:color="auto" w:fill="FFFFFF"/>
        </w:rPr>
        <w:t>Ethnic and Racial Studies,</w:t>
      </w:r>
      <w:r w:rsidRPr="00287196">
        <w:rPr>
          <w:rFonts w:ascii="Brill" w:hAnsi="Brill" w:cstheme="majorBidi"/>
          <w:color w:val="333333"/>
          <w:sz w:val="24"/>
          <w:szCs w:val="24"/>
          <w:shd w:val="clear" w:color="auto" w:fill="FFFFFF"/>
        </w:rPr>
        <w:t> </w:t>
      </w:r>
      <w:r w:rsidRPr="00287196">
        <w:rPr>
          <w:rStyle w:val="volumeissue"/>
          <w:rFonts w:ascii="Brill" w:hAnsi="Brill" w:cstheme="majorBidi"/>
          <w:color w:val="333333"/>
          <w:sz w:val="24"/>
          <w:szCs w:val="24"/>
          <w:shd w:val="clear" w:color="auto" w:fill="FFFFFF"/>
        </w:rPr>
        <w:t>38:11,</w:t>
      </w:r>
      <w:r w:rsidRPr="00287196">
        <w:rPr>
          <w:rFonts w:ascii="Brill" w:hAnsi="Brill" w:cstheme="majorBidi"/>
          <w:color w:val="333333"/>
          <w:sz w:val="24"/>
          <w:szCs w:val="24"/>
          <w:shd w:val="clear" w:color="auto" w:fill="FFFFFF"/>
        </w:rPr>
        <w:t> </w:t>
      </w:r>
      <w:r w:rsidRPr="00287196">
        <w:rPr>
          <w:rStyle w:val="pagerange"/>
          <w:rFonts w:ascii="Brill" w:hAnsi="Brill" w:cstheme="majorBidi"/>
          <w:color w:val="333333"/>
          <w:sz w:val="24"/>
          <w:szCs w:val="24"/>
          <w:shd w:val="clear" w:color="auto" w:fill="FFFFFF"/>
        </w:rPr>
        <w:t>1952-1968,</w:t>
      </w:r>
      <w:r w:rsidRPr="00287196">
        <w:rPr>
          <w:rFonts w:ascii="Brill" w:hAnsi="Brill" w:cstheme="majorBidi"/>
          <w:color w:val="333333"/>
          <w:sz w:val="24"/>
          <w:szCs w:val="24"/>
          <w:shd w:val="clear" w:color="auto" w:fill="FFFFFF"/>
        </w:rPr>
        <w:t> </w:t>
      </w:r>
      <w:r w:rsidRPr="00287196">
        <w:rPr>
          <w:rStyle w:val="doilink"/>
          <w:rFonts w:ascii="Brill" w:hAnsi="Brill" w:cstheme="majorBidi"/>
          <w:color w:val="333333"/>
          <w:sz w:val="24"/>
          <w:szCs w:val="24"/>
          <w:shd w:val="clear" w:color="auto" w:fill="FFFFFF"/>
        </w:rPr>
        <w:t>DOI: </w:t>
      </w:r>
      <w:hyperlink r:id="rId10" w:history="1">
        <w:r w:rsidRPr="00287196">
          <w:rPr>
            <w:rStyle w:val="Hyperlink"/>
            <w:rFonts w:ascii="Brill" w:hAnsi="Brill" w:cstheme="majorBidi"/>
            <w:color w:val="333333"/>
            <w:sz w:val="24"/>
            <w:szCs w:val="24"/>
            <w:shd w:val="clear" w:color="auto" w:fill="FFFFFF"/>
          </w:rPr>
          <w:t>10.1080/01419870.2014.911343</w:t>
        </w:r>
      </w:hyperlink>
      <w:r w:rsidRPr="00287196">
        <w:rPr>
          <w:rStyle w:val="doilink"/>
          <w:rFonts w:ascii="Brill" w:hAnsi="Brill" w:cstheme="majorBidi"/>
          <w:color w:val="333333"/>
          <w:sz w:val="24"/>
          <w:szCs w:val="24"/>
          <w:shd w:val="clear" w:color="auto" w:fill="FFFFFF"/>
        </w:rPr>
        <w:tab/>
      </w:r>
      <w:r w:rsidRPr="00287196">
        <w:rPr>
          <w:rStyle w:val="doilink"/>
          <w:rFonts w:ascii="Brill" w:hAnsi="Brill" w:cstheme="majorBidi"/>
          <w:color w:val="333333"/>
          <w:sz w:val="24"/>
          <w:szCs w:val="24"/>
          <w:shd w:val="clear" w:color="auto" w:fill="FFFFFF"/>
        </w:rPr>
        <w:tab/>
      </w:r>
    </w:p>
    <w:p w14:paraId="24D407CD" w14:textId="77777777" w:rsidR="00C6002C" w:rsidRPr="00287196" w:rsidRDefault="00C6002C" w:rsidP="00C6002C">
      <w:pPr>
        <w:pStyle w:val="ListParagraph"/>
        <w:numPr>
          <w:ilvl w:val="0"/>
          <w:numId w:val="1"/>
        </w:numPr>
        <w:spacing w:line="360" w:lineRule="auto"/>
        <w:rPr>
          <w:rFonts w:ascii="Brill" w:hAnsi="Brill"/>
          <w:sz w:val="24"/>
          <w:szCs w:val="24"/>
        </w:rPr>
      </w:pPr>
      <w:bookmarkStart w:id="3" w:name="_Hlk29658043"/>
      <w:r w:rsidRPr="00287196">
        <w:rPr>
          <w:rFonts w:ascii="Brill" w:hAnsi="Brill" w:cstheme="majorBidi"/>
          <w:color w:val="333333"/>
          <w:sz w:val="24"/>
          <w:szCs w:val="24"/>
          <w:shd w:val="clear" w:color="auto" w:fill="FFFFFF"/>
        </w:rPr>
        <w:t>Koch, Thorsten. (2017). Islamic Studies: The Differences in Curricula Around the World (UWTSD, 2017)</w:t>
      </w:r>
    </w:p>
    <w:p w14:paraId="753BFF0A" w14:textId="77777777" w:rsidR="00C6002C" w:rsidRPr="00287196" w:rsidRDefault="00C6002C" w:rsidP="00C6002C">
      <w:pPr>
        <w:pStyle w:val="ListParagraph"/>
        <w:numPr>
          <w:ilvl w:val="0"/>
          <w:numId w:val="1"/>
        </w:numPr>
        <w:spacing w:line="360" w:lineRule="auto"/>
        <w:rPr>
          <w:rFonts w:ascii="Brill" w:hAnsi="Brill" w:cstheme="majorBidi"/>
          <w:color w:val="333333"/>
          <w:sz w:val="24"/>
          <w:szCs w:val="24"/>
          <w:shd w:val="clear" w:color="auto" w:fill="FFFFFF"/>
        </w:rPr>
      </w:pPr>
      <w:bookmarkStart w:id="4" w:name="_Hlk29812883"/>
      <w:bookmarkEnd w:id="3"/>
      <w:r w:rsidRPr="00287196">
        <w:rPr>
          <w:rFonts w:ascii="Brill" w:hAnsi="Brill" w:cstheme="majorBidi"/>
          <w:color w:val="333333"/>
          <w:sz w:val="24"/>
          <w:szCs w:val="24"/>
          <w:shd w:val="clear" w:color="auto" w:fill="FFFFFF"/>
        </w:rPr>
        <w:t xml:space="preserve">Mat, Hamidah &amp; Abas, Wan Mohammed, (2016). The Relevance of Arabic Language in Islamic Studies Program: A Case Study of Open University Malaysia (OUM), </w:t>
      </w:r>
      <w:r w:rsidRPr="00287196">
        <w:rPr>
          <w:rFonts w:ascii="Brill" w:hAnsi="Brill" w:cstheme="majorBidi"/>
          <w:i/>
          <w:iCs/>
          <w:color w:val="555555"/>
          <w:sz w:val="24"/>
          <w:szCs w:val="24"/>
        </w:rPr>
        <w:t>Journal of Education and Social Sciences</w:t>
      </w:r>
      <w:r w:rsidRPr="00287196">
        <w:rPr>
          <w:rFonts w:ascii="Brill" w:hAnsi="Brill" w:cstheme="majorBidi"/>
          <w:color w:val="555555"/>
          <w:sz w:val="24"/>
          <w:szCs w:val="24"/>
        </w:rPr>
        <w:t>, Vol. 5, issue 2, (October)</w:t>
      </w:r>
    </w:p>
    <w:bookmarkEnd w:id="4"/>
    <w:p w14:paraId="19B40BFC" w14:textId="77777777" w:rsidR="00C6002C" w:rsidRPr="00287196" w:rsidRDefault="00C6002C" w:rsidP="00C6002C">
      <w:pPr>
        <w:pStyle w:val="ListParagraph"/>
        <w:numPr>
          <w:ilvl w:val="0"/>
          <w:numId w:val="1"/>
        </w:numPr>
        <w:spacing w:line="360" w:lineRule="auto"/>
        <w:rPr>
          <w:rFonts w:ascii="Brill" w:hAnsi="Brill" w:cstheme="majorBidi"/>
          <w:color w:val="333333"/>
          <w:sz w:val="24"/>
          <w:szCs w:val="24"/>
          <w:shd w:val="clear" w:color="auto" w:fill="FFFFFF"/>
        </w:rPr>
      </w:pPr>
      <w:r w:rsidRPr="00287196">
        <w:rPr>
          <w:rFonts w:ascii="Brill" w:hAnsi="Brill" w:cstheme="majorBidi"/>
          <w:color w:val="333333"/>
          <w:sz w:val="24"/>
          <w:szCs w:val="24"/>
          <w:shd w:val="clear" w:color="auto" w:fill="FFFFFF"/>
        </w:rPr>
        <w:t>Michael G. Carter. (2013). “Blessed are the cheese makers”: Reflections on the Transmission of Knowledge in Islam. </w:t>
      </w:r>
      <w:r w:rsidRPr="00287196">
        <w:rPr>
          <w:rFonts w:ascii="Brill" w:hAnsi="Brill" w:cstheme="majorBidi"/>
          <w:i/>
          <w:iCs/>
          <w:color w:val="333333"/>
          <w:sz w:val="24"/>
          <w:szCs w:val="24"/>
          <w:shd w:val="clear" w:color="auto" w:fill="FFFFFF"/>
        </w:rPr>
        <w:t>Journal of the American Oriental Society,</w:t>
      </w:r>
      <w:r w:rsidRPr="00287196">
        <w:rPr>
          <w:rFonts w:ascii="Brill" w:hAnsi="Brill" w:cstheme="majorBidi"/>
          <w:color w:val="333333"/>
          <w:sz w:val="24"/>
          <w:szCs w:val="24"/>
          <w:shd w:val="clear" w:color="auto" w:fill="FFFFFF"/>
        </w:rPr>
        <w:t> </w:t>
      </w:r>
      <w:r w:rsidRPr="00287196">
        <w:rPr>
          <w:rFonts w:ascii="Brill" w:hAnsi="Brill" w:cstheme="majorBidi"/>
          <w:i/>
          <w:iCs/>
          <w:color w:val="333333"/>
          <w:sz w:val="24"/>
          <w:szCs w:val="24"/>
          <w:shd w:val="clear" w:color="auto" w:fill="FFFFFF"/>
        </w:rPr>
        <w:t>133</w:t>
      </w:r>
      <w:r w:rsidRPr="00287196">
        <w:rPr>
          <w:rFonts w:ascii="Brill" w:hAnsi="Brill" w:cstheme="majorBidi"/>
          <w:color w:val="333333"/>
          <w:sz w:val="24"/>
          <w:szCs w:val="24"/>
          <w:shd w:val="clear" w:color="auto" w:fill="FFFFFF"/>
        </w:rPr>
        <w:t>(4), 597-605,</w:t>
      </w:r>
      <w:r w:rsidRPr="00287196">
        <w:rPr>
          <w:rFonts w:ascii="Brill" w:hAnsi="Brill" w:cstheme="majorBidi"/>
          <w:sz w:val="24"/>
          <w:szCs w:val="24"/>
        </w:rPr>
        <w:t xml:space="preserve"> Accessed 7 January, 2020,</w:t>
      </w:r>
      <w:r w:rsidRPr="00287196">
        <w:rPr>
          <w:rFonts w:ascii="Brill" w:hAnsi="Brill" w:cstheme="majorBidi"/>
          <w:color w:val="333333"/>
          <w:sz w:val="24"/>
          <w:szCs w:val="24"/>
          <w:shd w:val="clear" w:color="auto" w:fill="FFFFFF"/>
        </w:rPr>
        <w:t xml:space="preserve"> </w:t>
      </w:r>
      <w:r w:rsidRPr="00287196">
        <w:rPr>
          <w:rFonts w:ascii="Brill" w:hAnsi="Brill" w:cstheme="majorBidi"/>
          <w:i/>
          <w:iCs/>
          <w:color w:val="333333"/>
          <w:sz w:val="24"/>
          <w:szCs w:val="24"/>
          <w:shd w:val="clear" w:color="auto" w:fill="FFFFFF"/>
        </w:rPr>
        <w:t>JSTOR</w:t>
      </w:r>
      <w:r w:rsidRPr="00287196">
        <w:rPr>
          <w:rFonts w:ascii="Brill" w:hAnsi="Brill" w:cstheme="majorBidi"/>
          <w:color w:val="333333"/>
          <w:sz w:val="24"/>
          <w:szCs w:val="24"/>
          <w:shd w:val="clear" w:color="auto" w:fill="FFFFFF"/>
        </w:rPr>
        <w:t xml:space="preserve">, </w:t>
      </w:r>
      <w:hyperlink r:id="rId11" w:history="1">
        <w:r w:rsidRPr="00287196">
          <w:rPr>
            <w:rStyle w:val="Hyperlink"/>
            <w:rFonts w:ascii="Brill" w:hAnsi="Brill" w:cstheme="majorBidi"/>
            <w:sz w:val="24"/>
            <w:szCs w:val="24"/>
            <w:shd w:val="clear" w:color="auto" w:fill="FFFFFF"/>
          </w:rPr>
          <w:t>www.jstor.org/stable/10.7817/jameroriesoci.133.4.0597</w:t>
        </w:r>
      </w:hyperlink>
    </w:p>
    <w:p w14:paraId="2B3C8503" w14:textId="77777777" w:rsidR="00C6002C" w:rsidRPr="00287196" w:rsidRDefault="00C6002C" w:rsidP="00C6002C">
      <w:pPr>
        <w:pStyle w:val="ListParagraph"/>
        <w:numPr>
          <w:ilvl w:val="0"/>
          <w:numId w:val="1"/>
        </w:numPr>
        <w:spacing w:line="360" w:lineRule="auto"/>
        <w:rPr>
          <w:rFonts w:ascii="Brill" w:hAnsi="Brill" w:cstheme="majorBidi"/>
          <w:sz w:val="24"/>
          <w:szCs w:val="24"/>
        </w:rPr>
      </w:pPr>
      <w:r w:rsidRPr="00287196">
        <w:rPr>
          <w:rFonts w:ascii="Brill" w:hAnsi="Brill" w:cstheme="majorBidi"/>
          <w:sz w:val="24"/>
          <w:szCs w:val="24"/>
        </w:rPr>
        <w:t xml:space="preserve">Martin Richard, C. (2010), Islamic Studies in the American Academy: A Personal Reflection, </w:t>
      </w:r>
      <w:r w:rsidRPr="00287196">
        <w:rPr>
          <w:rFonts w:ascii="Brill" w:hAnsi="Brill" w:cstheme="majorBidi"/>
          <w:i/>
          <w:iCs/>
          <w:sz w:val="24"/>
          <w:szCs w:val="24"/>
        </w:rPr>
        <w:t>Journal of the American Academy of Religion</w:t>
      </w:r>
      <w:r w:rsidRPr="00287196">
        <w:rPr>
          <w:rFonts w:ascii="Brill" w:hAnsi="Brill" w:cstheme="majorBidi"/>
          <w:sz w:val="24"/>
          <w:szCs w:val="24"/>
        </w:rPr>
        <w:t>. December, Vol. 78, No. 4. 903,</w:t>
      </w:r>
      <w:r w:rsidRPr="00287196">
        <w:rPr>
          <w:rFonts w:ascii="Brill" w:hAnsi="Brill" w:cs="Arial"/>
          <w:color w:val="333333"/>
          <w:sz w:val="24"/>
          <w:szCs w:val="24"/>
          <w:shd w:val="clear" w:color="auto" w:fill="FFFFFF"/>
        </w:rPr>
        <w:t xml:space="preserve"> Accessed 14 Jan. 2020, </w:t>
      </w:r>
      <w:r w:rsidRPr="00287196">
        <w:rPr>
          <w:rFonts w:ascii="Brill" w:hAnsi="Brill" w:cstheme="majorBidi"/>
          <w:i/>
          <w:iCs/>
          <w:sz w:val="24"/>
          <w:szCs w:val="24"/>
        </w:rPr>
        <w:t>JSTOR</w:t>
      </w:r>
      <w:r w:rsidRPr="00287196">
        <w:rPr>
          <w:rFonts w:ascii="Brill" w:hAnsi="Brill" w:cs="Arial"/>
          <w:color w:val="333333"/>
          <w:sz w:val="24"/>
          <w:szCs w:val="24"/>
          <w:shd w:val="clear" w:color="auto" w:fill="FFFFFF"/>
        </w:rPr>
        <w:t xml:space="preserve">, </w:t>
      </w:r>
      <w:hyperlink r:id="rId12" w:history="1">
        <w:r w:rsidRPr="00287196">
          <w:rPr>
            <w:rStyle w:val="Hyperlink"/>
            <w:rFonts w:ascii="Brill" w:hAnsi="Brill" w:cs="Arial"/>
            <w:sz w:val="24"/>
            <w:szCs w:val="24"/>
            <w:shd w:val="clear" w:color="auto" w:fill="FFFFFF"/>
          </w:rPr>
          <w:t>www.jstor.org/stable/1291209</w:t>
        </w:r>
      </w:hyperlink>
      <w:r w:rsidRPr="00287196">
        <w:rPr>
          <w:rFonts w:ascii="Brill" w:hAnsi="Brill" w:cs="Arial"/>
          <w:color w:val="333333"/>
          <w:sz w:val="24"/>
          <w:szCs w:val="24"/>
          <w:shd w:val="clear" w:color="auto" w:fill="FFFFFF"/>
        </w:rPr>
        <w:tab/>
      </w:r>
    </w:p>
    <w:p w14:paraId="4BC77BFC" w14:textId="77777777" w:rsidR="00C6002C" w:rsidRPr="00287196" w:rsidRDefault="00C6002C" w:rsidP="00C6002C">
      <w:pPr>
        <w:pStyle w:val="ListParagraph"/>
        <w:numPr>
          <w:ilvl w:val="0"/>
          <w:numId w:val="1"/>
        </w:numPr>
        <w:spacing w:line="360" w:lineRule="auto"/>
        <w:rPr>
          <w:rFonts w:ascii="Brill" w:hAnsi="Brill" w:cstheme="majorBidi"/>
          <w:sz w:val="24"/>
          <w:szCs w:val="24"/>
        </w:rPr>
      </w:pPr>
      <w:r w:rsidRPr="00287196">
        <w:rPr>
          <w:rFonts w:ascii="Brill" w:hAnsi="Brill" w:cs="Arial"/>
          <w:color w:val="333333"/>
          <w:sz w:val="24"/>
          <w:szCs w:val="24"/>
          <w:shd w:val="clear" w:color="auto" w:fill="FFFFFF"/>
        </w:rPr>
        <w:t>Meyendorff, J. (1964). Byzantine Views of Islam. </w:t>
      </w:r>
      <w:r w:rsidRPr="00287196">
        <w:rPr>
          <w:rFonts w:ascii="Brill" w:hAnsi="Brill" w:cs="Arial"/>
          <w:i/>
          <w:iCs/>
          <w:color w:val="333333"/>
          <w:sz w:val="24"/>
          <w:szCs w:val="24"/>
          <w:shd w:val="clear" w:color="auto" w:fill="FFFFFF"/>
        </w:rPr>
        <w:t>Dumbarton Oaks Papers,</w:t>
      </w:r>
      <w:r w:rsidRPr="00287196">
        <w:rPr>
          <w:rFonts w:ascii="Brill" w:hAnsi="Brill" w:cs="Arial"/>
          <w:color w:val="333333"/>
          <w:sz w:val="24"/>
          <w:szCs w:val="24"/>
          <w:shd w:val="clear" w:color="auto" w:fill="FFFFFF"/>
        </w:rPr>
        <w:t> </w:t>
      </w:r>
      <w:r w:rsidRPr="00287196">
        <w:rPr>
          <w:rFonts w:ascii="Brill" w:hAnsi="Brill" w:cs="Arial"/>
          <w:i/>
          <w:iCs/>
          <w:color w:val="333333"/>
          <w:sz w:val="24"/>
          <w:szCs w:val="24"/>
          <w:shd w:val="clear" w:color="auto" w:fill="FFFFFF"/>
        </w:rPr>
        <w:t>18</w:t>
      </w:r>
      <w:r w:rsidRPr="00287196">
        <w:rPr>
          <w:rFonts w:ascii="Brill" w:hAnsi="Brill" w:cs="Arial"/>
          <w:color w:val="333333"/>
          <w:sz w:val="24"/>
          <w:szCs w:val="24"/>
          <w:shd w:val="clear" w:color="auto" w:fill="FFFFFF"/>
        </w:rPr>
        <w:t>, 113-132</w:t>
      </w:r>
    </w:p>
    <w:p w14:paraId="3EEC5FB8" w14:textId="77777777" w:rsidR="00C6002C" w:rsidRPr="00287196" w:rsidRDefault="00C6002C" w:rsidP="00C6002C">
      <w:pPr>
        <w:pStyle w:val="ListParagraph"/>
        <w:numPr>
          <w:ilvl w:val="0"/>
          <w:numId w:val="1"/>
        </w:numPr>
        <w:spacing w:line="360" w:lineRule="auto"/>
        <w:rPr>
          <w:rFonts w:ascii="Brill" w:hAnsi="Brill" w:cstheme="majorBidi"/>
          <w:sz w:val="24"/>
          <w:szCs w:val="24"/>
        </w:rPr>
      </w:pPr>
      <w:r w:rsidRPr="00287196">
        <w:rPr>
          <w:rFonts w:ascii="Brill" w:hAnsi="Brill"/>
          <w:sz w:val="24"/>
          <w:szCs w:val="24"/>
        </w:rPr>
        <w:lastRenderedPageBreak/>
        <w:t xml:space="preserve">Motadel, D. (2012). Islam and the European Empires, </w:t>
      </w:r>
      <w:r w:rsidRPr="00287196">
        <w:rPr>
          <w:rFonts w:ascii="Brill" w:hAnsi="Brill"/>
          <w:i/>
          <w:iCs/>
          <w:sz w:val="24"/>
          <w:szCs w:val="24"/>
        </w:rPr>
        <w:t>The Historical Journal</w:t>
      </w:r>
      <w:r w:rsidRPr="00287196">
        <w:rPr>
          <w:rFonts w:ascii="Brill" w:hAnsi="Brill"/>
          <w:sz w:val="24"/>
          <w:szCs w:val="24"/>
        </w:rPr>
        <w:t xml:space="preserve">, 55(3), 831-856, </w:t>
      </w:r>
      <w:r w:rsidRPr="00287196">
        <w:rPr>
          <w:rFonts w:ascii="Brill" w:hAnsi="Brill" w:cs="Arial"/>
          <w:color w:val="333333"/>
          <w:sz w:val="24"/>
          <w:szCs w:val="24"/>
          <w:shd w:val="clear" w:color="auto" w:fill="FFFFFF"/>
        </w:rPr>
        <w:t xml:space="preserve">Accessed 14 January, 2020., </w:t>
      </w:r>
      <w:r w:rsidRPr="00287196">
        <w:rPr>
          <w:rFonts w:ascii="Brill" w:hAnsi="Brill" w:cs="Arial"/>
          <w:i/>
          <w:iCs/>
          <w:color w:val="333333"/>
          <w:sz w:val="24"/>
          <w:szCs w:val="24"/>
          <w:shd w:val="clear" w:color="auto" w:fill="FFFFFF"/>
        </w:rPr>
        <w:t>JSTOR</w:t>
      </w:r>
      <w:r w:rsidRPr="00287196">
        <w:rPr>
          <w:rFonts w:ascii="Brill" w:hAnsi="Brill" w:cs="Arial"/>
          <w:color w:val="333333"/>
          <w:sz w:val="24"/>
          <w:szCs w:val="24"/>
          <w:shd w:val="clear" w:color="auto" w:fill="FFFFFF"/>
        </w:rPr>
        <w:t xml:space="preserve">,  </w:t>
      </w:r>
      <w:hyperlink r:id="rId13" w:history="1">
        <w:r w:rsidRPr="00287196">
          <w:rPr>
            <w:rStyle w:val="Hyperlink"/>
            <w:rFonts w:ascii="Brill" w:hAnsi="Brill" w:cs="Arial"/>
            <w:sz w:val="24"/>
            <w:szCs w:val="24"/>
            <w:shd w:val="clear" w:color="auto" w:fill="FFFFFF"/>
          </w:rPr>
          <w:t>www.jstor.org/stable/23263276</w:t>
        </w:r>
      </w:hyperlink>
      <w:r w:rsidRPr="00287196">
        <w:rPr>
          <w:rFonts w:ascii="Brill" w:hAnsi="Brill" w:cs="Arial"/>
          <w:color w:val="333333"/>
          <w:sz w:val="24"/>
          <w:szCs w:val="24"/>
          <w:shd w:val="clear" w:color="auto" w:fill="FFFFFF"/>
        </w:rPr>
        <w:tab/>
      </w:r>
    </w:p>
    <w:p w14:paraId="0D20E246" w14:textId="77777777" w:rsidR="00C6002C" w:rsidRPr="00287196" w:rsidRDefault="00C6002C" w:rsidP="00C6002C">
      <w:pPr>
        <w:pStyle w:val="ListParagraph"/>
        <w:numPr>
          <w:ilvl w:val="0"/>
          <w:numId w:val="1"/>
        </w:numPr>
        <w:spacing w:line="360" w:lineRule="auto"/>
        <w:rPr>
          <w:rFonts w:ascii="Brill" w:hAnsi="Brill" w:cstheme="majorBidi"/>
          <w:color w:val="333333"/>
          <w:sz w:val="24"/>
          <w:szCs w:val="24"/>
          <w:shd w:val="clear" w:color="auto" w:fill="FFFFFF"/>
        </w:rPr>
      </w:pPr>
      <w:bookmarkStart w:id="5" w:name="_Hlk29580172"/>
      <w:r w:rsidRPr="00287196">
        <w:rPr>
          <w:rFonts w:ascii="Brill" w:hAnsi="Brill" w:cstheme="majorBidi"/>
          <w:color w:val="333333"/>
          <w:sz w:val="24"/>
          <w:szCs w:val="24"/>
          <w:shd w:val="clear" w:color="auto" w:fill="FFFFFF"/>
        </w:rPr>
        <w:t>Said, E. (1977). Orientalism. </w:t>
      </w:r>
      <w:r w:rsidRPr="00287196">
        <w:rPr>
          <w:rFonts w:ascii="Brill" w:hAnsi="Brill" w:cstheme="majorBidi"/>
          <w:i/>
          <w:iCs/>
          <w:color w:val="333333"/>
          <w:sz w:val="24"/>
          <w:szCs w:val="24"/>
          <w:shd w:val="clear" w:color="auto" w:fill="FFFFFF"/>
        </w:rPr>
        <w:t>The Georgia Review,</w:t>
      </w:r>
      <w:r w:rsidRPr="00287196">
        <w:rPr>
          <w:rFonts w:ascii="Brill" w:hAnsi="Brill" w:cstheme="majorBidi"/>
          <w:color w:val="333333"/>
          <w:sz w:val="24"/>
          <w:szCs w:val="24"/>
          <w:shd w:val="clear" w:color="auto" w:fill="FFFFFF"/>
        </w:rPr>
        <w:t> </w:t>
      </w:r>
      <w:r w:rsidRPr="00287196">
        <w:rPr>
          <w:rFonts w:ascii="Brill" w:hAnsi="Brill" w:cstheme="majorBidi"/>
          <w:i/>
          <w:iCs/>
          <w:color w:val="333333"/>
          <w:sz w:val="24"/>
          <w:szCs w:val="24"/>
          <w:shd w:val="clear" w:color="auto" w:fill="FFFFFF"/>
        </w:rPr>
        <w:t>31</w:t>
      </w:r>
      <w:r w:rsidRPr="00287196">
        <w:rPr>
          <w:rFonts w:ascii="Brill" w:hAnsi="Brill" w:cstheme="majorBidi"/>
          <w:color w:val="333333"/>
          <w:sz w:val="24"/>
          <w:szCs w:val="24"/>
          <w:shd w:val="clear" w:color="auto" w:fill="FFFFFF"/>
        </w:rPr>
        <w:t xml:space="preserve">(1), 162-206. Retrieved January 10, 2020, </w:t>
      </w:r>
      <w:r w:rsidRPr="00287196">
        <w:rPr>
          <w:rFonts w:ascii="Brill" w:hAnsi="Brill" w:cstheme="majorBidi"/>
          <w:i/>
          <w:iCs/>
          <w:color w:val="333333"/>
          <w:sz w:val="24"/>
          <w:szCs w:val="24"/>
          <w:shd w:val="clear" w:color="auto" w:fill="FFFFFF"/>
        </w:rPr>
        <w:t xml:space="preserve">JSTOR, </w:t>
      </w:r>
      <w:r w:rsidRPr="00287196">
        <w:rPr>
          <w:rFonts w:ascii="Brill" w:hAnsi="Brill" w:cstheme="majorBidi"/>
          <w:color w:val="333333"/>
          <w:sz w:val="24"/>
          <w:szCs w:val="24"/>
          <w:shd w:val="clear" w:color="auto" w:fill="FFFFFF"/>
        </w:rPr>
        <w:t xml:space="preserve"> </w:t>
      </w:r>
      <w:hyperlink r:id="rId14" w:history="1">
        <w:r w:rsidRPr="00287196">
          <w:rPr>
            <w:rStyle w:val="Hyperlink"/>
            <w:rFonts w:ascii="Brill" w:hAnsi="Brill" w:cstheme="majorBidi"/>
            <w:sz w:val="24"/>
            <w:szCs w:val="24"/>
            <w:shd w:val="clear" w:color="auto" w:fill="FFFFFF"/>
          </w:rPr>
          <w:t>www.jstor.org/stable/41397448</w:t>
        </w:r>
      </w:hyperlink>
    </w:p>
    <w:p w14:paraId="41955565" w14:textId="77777777" w:rsidR="00C6002C" w:rsidRPr="00287196" w:rsidRDefault="00C6002C" w:rsidP="00C6002C">
      <w:pPr>
        <w:pStyle w:val="ListParagraph"/>
        <w:numPr>
          <w:ilvl w:val="0"/>
          <w:numId w:val="1"/>
        </w:numPr>
        <w:spacing w:line="360" w:lineRule="auto"/>
        <w:rPr>
          <w:rFonts w:ascii="Brill" w:hAnsi="Brill" w:cstheme="majorBidi"/>
          <w:color w:val="333333"/>
          <w:sz w:val="24"/>
          <w:szCs w:val="24"/>
          <w:shd w:val="clear" w:color="auto" w:fill="FFFFFF"/>
        </w:rPr>
      </w:pPr>
      <w:r w:rsidRPr="00287196">
        <w:rPr>
          <w:rFonts w:ascii="Brill" w:hAnsi="Brill" w:cs="Arial"/>
          <w:color w:val="333333"/>
          <w:sz w:val="24"/>
          <w:szCs w:val="24"/>
          <w:shd w:val="clear" w:color="auto" w:fill="FFFFFF"/>
        </w:rPr>
        <w:t>Saunders, J. (1954). Mohammed in Europe: A Note on Western Interpretations of the Life of the Prophet. </w:t>
      </w:r>
      <w:r w:rsidRPr="00287196">
        <w:rPr>
          <w:rFonts w:ascii="Brill" w:hAnsi="Brill" w:cs="Arial"/>
          <w:i/>
          <w:iCs/>
          <w:color w:val="333333"/>
          <w:sz w:val="24"/>
          <w:szCs w:val="24"/>
          <w:shd w:val="clear" w:color="auto" w:fill="FFFFFF"/>
        </w:rPr>
        <w:t>History,</w:t>
      </w:r>
      <w:r w:rsidRPr="00287196">
        <w:rPr>
          <w:rFonts w:ascii="Brill" w:hAnsi="Brill" w:cs="Arial"/>
          <w:color w:val="333333"/>
          <w:sz w:val="24"/>
          <w:szCs w:val="24"/>
          <w:shd w:val="clear" w:color="auto" w:fill="FFFFFF"/>
        </w:rPr>
        <w:t> </w:t>
      </w:r>
      <w:r w:rsidRPr="00287196">
        <w:rPr>
          <w:rFonts w:ascii="Brill" w:hAnsi="Brill" w:cs="Arial"/>
          <w:i/>
          <w:iCs/>
          <w:color w:val="333333"/>
          <w:sz w:val="24"/>
          <w:szCs w:val="24"/>
          <w:shd w:val="clear" w:color="auto" w:fill="FFFFFF"/>
        </w:rPr>
        <w:t>39</w:t>
      </w:r>
      <w:r w:rsidRPr="00287196">
        <w:rPr>
          <w:rFonts w:ascii="Brill" w:hAnsi="Brill" w:cs="Arial"/>
          <w:color w:val="333333"/>
          <w:sz w:val="24"/>
          <w:szCs w:val="24"/>
          <w:shd w:val="clear" w:color="auto" w:fill="FFFFFF"/>
        </w:rPr>
        <w:t xml:space="preserve">(135/136), new series, 14-25. Accessed 14 </w:t>
      </w:r>
      <w:proofErr w:type="gramStart"/>
      <w:r w:rsidRPr="00287196">
        <w:rPr>
          <w:rFonts w:ascii="Brill" w:hAnsi="Brill" w:cs="Arial"/>
          <w:color w:val="333333"/>
          <w:sz w:val="24"/>
          <w:szCs w:val="24"/>
          <w:shd w:val="clear" w:color="auto" w:fill="FFFFFF"/>
        </w:rPr>
        <w:t>January,</w:t>
      </w:r>
      <w:proofErr w:type="gramEnd"/>
      <w:r w:rsidRPr="00287196">
        <w:rPr>
          <w:rFonts w:ascii="Brill" w:hAnsi="Brill" w:cs="Arial"/>
          <w:color w:val="333333"/>
          <w:sz w:val="24"/>
          <w:szCs w:val="24"/>
          <w:shd w:val="clear" w:color="auto" w:fill="FFFFFF"/>
        </w:rPr>
        <w:t xml:space="preserve"> 2020, </w:t>
      </w:r>
      <w:r w:rsidRPr="00287196">
        <w:rPr>
          <w:rFonts w:ascii="Brill" w:hAnsi="Brill" w:cs="Arial"/>
          <w:i/>
          <w:iCs/>
          <w:color w:val="333333"/>
          <w:sz w:val="24"/>
          <w:szCs w:val="24"/>
          <w:shd w:val="clear" w:color="auto" w:fill="FFFFFF"/>
        </w:rPr>
        <w:t>JSTOR</w:t>
      </w:r>
      <w:r w:rsidRPr="00287196">
        <w:rPr>
          <w:rFonts w:ascii="Brill" w:hAnsi="Brill" w:cs="Arial"/>
          <w:color w:val="333333"/>
          <w:sz w:val="24"/>
          <w:szCs w:val="24"/>
          <w:shd w:val="clear" w:color="auto" w:fill="FFFFFF"/>
        </w:rPr>
        <w:t>, www.jstor.org/stable/24402794</w:t>
      </w:r>
    </w:p>
    <w:p w14:paraId="18F9E5DA" w14:textId="77777777" w:rsidR="00C6002C" w:rsidRPr="00287196" w:rsidRDefault="00C6002C" w:rsidP="00C6002C">
      <w:pPr>
        <w:pStyle w:val="ListParagraph"/>
        <w:numPr>
          <w:ilvl w:val="0"/>
          <w:numId w:val="1"/>
        </w:numPr>
        <w:spacing w:line="360" w:lineRule="auto"/>
        <w:rPr>
          <w:rFonts w:ascii="Brill" w:hAnsi="Brill" w:cstheme="majorBidi"/>
          <w:color w:val="333333"/>
          <w:sz w:val="24"/>
          <w:szCs w:val="24"/>
          <w:shd w:val="clear" w:color="auto" w:fill="FFFFFF"/>
        </w:rPr>
      </w:pPr>
      <w:r w:rsidRPr="00287196">
        <w:rPr>
          <w:rFonts w:ascii="Brill" w:hAnsi="Brill" w:cstheme="majorBidi"/>
          <w:color w:val="333333"/>
          <w:sz w:val="24"/>
          <w:szCs w:val="24"/>
          <w:shd w:val="clear" w:color="auto" w:fill="FFFFFF"/>
        </w:rPr>
        <w:t>Skinner, Q. (1969). Meaning and Understanding in the History of Ideas. </w:t>
      </w:r>
      <w:r w:rsidRPr="00287196">
        <w:rPr>
          <w:rFonts w:ascii="Brill" w:hAnsi="Brill" w:cstheme="majorBidi"/>
          <w:i/>
          <w:iCs/>
          <w:color w:val="333333"/>
          <w:sz w:val="24"/>
          <w:szCs w:val="24"/>
          <w:shd w:val="clear" w:color="auto" w:fill="FFFFFF"/>
        </w:rPr>
        <w:t>History and Theory,</w:t>
      </w:r>
      <w:r w:rsidRPr="00287196">
        <w:rPr>
          <w:rFonts w:ascii="Brill" w:hAnsi="Brill" w:cstheme="majorBidi"/>
          <w:color w:val="333333"/>
          <w:sz w:val="24"/>
          <w:szCs w:val="24"/>
          <w:shd w:val="clear" w:color="auto" w:fill="FFFFFF"/>
        </w:rPr>
        <w:t> </w:t>
      </w:r>
      <w:r w:rsidRPr="00287196">
        <w:rPr>
          <w:rFonts w:ascii="Brill" w:hAnsi="Brill" w:cstheme="majorBidi"/>
          <w:i/>
          <w:iCs/>
          <w:color w:val="333333"/>
          <w:sz w:val="24"/>
          <w:szCs w:val="24"/>
          <w:shd w:val="clear" w:color="auto" w:fill="FFFFFF"/>
        </w:rPr>
        <w:t>8</w:t>
      </w:r>
      <w:r w:rsidRPr="00287196">
        <w:rPr>
          <w:rFonts w:ascii="Brill" w:hAnsi="Brill" w:cstheme="majorBidi"/>
          <w:color w:val="333333"/>
          <w:sz w:val="24"/>
          <w:szCs w:val="24"/>
          <w:shd w:val="clear" w:color="auto" w:fill="FFFFFF"/>
        </w:rPr>
        <w:t>(1), 3-53, Accessed 10 January 2020,</w:t>
      </w:r>
      <w:r w:rsidRPr="00287196">
        <w:rPr>
          <w:rStyle w:val="doilink"/>
          <w:rFonts w:ascii="Brill" w:hAnsi="Brill" w:cstheme="majorBidi"/>
          <w:color w:val="333333"/>
          <w:sz w:val="24"/>
          <w:szCs w:val="24"/>
          <w:shd w:val="clear" w:color="auto" w:fill="FFFFFF"/>
        </w:rPr>
        <w:tab/>
      </w:r>
      <w:r w:rsidRPr="00287196">
        <w:rPr>
          <w:rStyle w:val="doilink"/>
          <w:rFonts w:ascii="Brill" w:hAnsi="Brill" w:cstheme="majorBidi"/>
          <w:color w:val="333333"/>
          <w:sz w:val="24"/>
          <w:szCs w:val="24"/>
          <w:shd w:val="clear" w:color="auto" w:fill="FFFFFF"/>
        </w:rPr>
        <w:tab/>
      </w:r>
      <w:r w:rsidRPr="00287196">
        <w:rPr>
          <w:rStyle w:val="doilink"/>
          <w:rFonts w:ascii="Brill" w:hAnsi="Brill" w:cstheme="majorBidi"/>
          <w:color w:val="333333"/>
          <w:sz w:val="24"/>
          <w:szCs w:val="24"/>
          <w:shd w:val="clear" w:color="auto" w:fill="FFFFFF"/>
        </w:rPr>
        <w:tab/>
      </w:r>
      <w:r w:rsidRPr="00287196">
        <w:rPr>
          <w:rFonts w:ascii="Brill" w:hAnsi="Brill" w:cstheme="majorBidi"/>
          <w:i/>
          <w:iCs/>
          <w:color w:val="333333"/>
          <w:sz w:val="24"/>
          <w:szCs w:val="24"/>
          <w:shd w:val="clear" w:color="auto" w:fill="FFFFFF"/>
        </w:rPr>
        <w:t>JSTOR</w:t>
      </w:r>
      <w:r w:rsidRPr="00287196">
        <w:rPr>
          <w:rFonts w:ascii="Brill" w:hAnsi="Brill" w:cstheme="majorBidi"/>
          <w:color w:val="333333"/>
          <w:sz w:val="24"/>
          <w:szCs w:val="24"/>
          <w:shd w:val="clear" w:color="auto" w:fill="FFFFFF"/>
        </w:rPr>
        <w:t xml:space="preserve">, www.jstor.org/stable/2504188. </w:t>
      </w:r>
    </w:p>
    <w:p w14:paraId="45F38DB9" w14:textId="77777777" w:rsidR="00C6002C" w:rsidRPr="00287196" w:rsidRDefault="00C6002C" w:rsidP="00C6002C">
      <w:pPr>
        <w:pStyle w:val="ListParagraph"/>
        <w:numPr>
          <w:ilvl w:val="0"/>
          <w:numId w:val="1"/>
        </w:numPr>
        <w:spacing w:line="360" w:lineRule="auto"/>
        <w:rPr>
          <w:rFonts w:ascii="Brill" w:hAnsi="Brill" w:cstheme="majorBidi"/>
          <w:color w:val="333333"/>
          <w:sz w:val="24"/>
          <w:szCs w:val="24"/>
          <w:shd w:val="clear" w:color="auto" w:fill="FFFFFF"/>
        </w:rPr>
      </w:pPr>
      <w:bookmarkStart w:id="6" w:name="_Hlk29751247"/>
      <w:r w:rsidRPr="00287196">
        <w:rPr>
          <w:rFonts w:ascii="Brill" w:hAnsi="Brill" w:cstheme="majorBidi"/>
          <w:sz w:val="24"/>
          <w:szCs w:val="24"/>
        </w:rPr>
        <w:t xml:space="preserve">Siddiqui, Ataullah. (2007) Islam at Universities in England. Meeting the Needs and Investing in the Future. </w:t>
      </w:r>
      <w:r w:rsidRPr="00287196">
        <w:rPr>
          <w:rFonts w:ascii="Brill" w:hAnsi="Brill" w:cstheme="majorBidi"/>
          <w:i/>
          <w:iCs/>
          <w:sz w:val="24"/>
          <w:szCs w:val="24"/>
        </w:rPr>
        <w:t>Report Submitted to Bill Rammell MP, Minister of State for Lifelong Learning, Further and Higher Education</w:t>
      </w:r>
      <w:r w:rsidRPr="00287196">
        <w:rPr>
          <w:rFonts w:ascii="Brill" w:hAnsi="Brill" w:cstheme="majorBidi"/>
          <w:sz w:val="24"/>
          <w:szCs w:val="24"/>
        </w:rPr>
        <w:t xml:space="preserve">, On 10th April 2007, ioe.ac.uk, 2007, Institute of Education, </w:t>
      </w:r>
      <w:bookmarkEnd w:id="6"/>
      <w:r w:rsidRPr="00287196">
        <w:rPr>
          <w:rFonts w:ascii="Brill" w:hAnsi="Brill"/>
          <w:sz w:val="24"/>
          <w:szCs w:val="24"/>
        </w:rPr>
        <w:fldChar w:fldCharType="begin"/>
      </w:r>
      <w:r w:rsidRPr="00287196">
        <w:rPr>
          <w:rFonts w:ascii="Brill" w:hAnsi="Brill"/>
          <w:sz w:val="24"/>
          <w:szCs w:val="24"/>
        </w:rPr>
        <w:instrText xml:space="preserve"> HYPERLINK "http://dera.ioe.ac.uk/6500/1/Updated%20Dr%20Siddiqui%20Report.pdf" </w:instrText>
      </w:r>
      <w:r w:rsidRPr="00287196">
        <w:rPr>
          <w:rFonts w:ascii="Brill" w:hAnsi="Brill"/>
          <w:sz w:val="24"/>
          <w:szCs w:val="24"/>
        </w:rPr>
        <w:fldChar w:fldCharType="separate"/>
      </w:r>
      <w:r w:rsidRPr="00287196">
        <w:rPr>
          <w:rStyle w:val="Hyperlink"/>
          <w:rFonts w:ascii="Brill" w:hAnsi="Brill" w:cstheme="majorBidi"/>
          <w:sz w:val="24"/>
          <w:szCs w:val="24"/>
        </w:rPr>
        <w:t>http://dera.ioe.ac.uk/6500/1/Updated%20Dr%20Siddiqui%20Report.pdf</w:t>
      </w:r>
      <w:r w:rsidRPr="00287196">
        <w:rPr>
          <w:rFonts w:ascii="Brill" w:hAnsi="Brill"/>
          <w:sz w:val="24"/>
          <w:szCs w:val="24"/>
        </w:rPr>
        <w:fldChar w:fldCharType="end"/>
      </w:r>
      <w:r w:rsidRPr="00287196">
        <w:rPr>
          <w:rFonts w:ascii="Brill" w:hAnsi="Brill" w:cstheme="majorBidi"/>
          <w:sz w:val="24"/>
          <w:szCs w:val="24"/>
        </w:rPr>
        <w:tab/>
      </w:r>
      <w:r w:rsidRPr="00287196">
        <w:rPr>
          <w:rFonts w:ascii="Brill" w:hAnsi="Brill" w:cstheme="majorBidi"/>
          <w:sz w:val="24"/>
          <w:szCs w:val="24"/>
        </w:rPr>
        <w:tab/>
      </w:r>
    </w:p>
    <w:p w14:paraId="2B90CE85" w14:textId="77777777" w:rsidR="00C6002C" w:rsidRPr="00287196" w:rsidRDefault="00C6002C" w:rsidP="00C6002C">
      <w:pPr>
        <w:spacing w:line="360" w:lineRule="auto"/>
        <w:rPr>
          <w:rFonts w:ascii="Brill" w:hAnsi="Brill" w:cstheme="majorBidi"/>
          <w:color w:val="333333"/>
          <w:sz w:val="24"/>
          <w:szCs w:val="24"/>
          <w:shd w:val="clear" w:color="auto" w:fill="FFFFFF"/>
        </w:rPr>
      </w:pPr>
    </w:p>
    <w:p w14:paraId="6D4F95C3" w14:textId="77777777" w:rsidR="00C6002C" w:rsidRPr="00287196" w:rsidRDefault="00C6002C" w:rsidP="00C6002C">
      <w:pPr>
        <w:spacing w:line="360" w:lineRule="auto"/>
        <w:rPr>
          <w:rFonts w:ascii="Brill" w:hAnsi="Brill" w:cstheme="majorBidi"/>
          <w:color w:val="333333"/>
          <w:sz w:val="24"/>
          <w:szCs w:val="24"/>
          <w:shd w:val="clear" w:color="auto" w:fill="FFFFFF"/>
        </w:rPr>
      </w:pPr>
    </w:p>
    <w:p w14:paraId="213144B1" w14:textId="77777777" w:rsidR="00C6002C" w:rsidRPr="00287196" w:rsidRDefault="00C6002C" w:rsidP="00C6002C">
      <w:pPr>
        <w:spacing w:line="360" w:lineRule="auto"/>
        <w:rPr>
          <w:rFonts w:ascii="Brill" w:hAnsi="Brill" w:cstheme="majorBidi"/>
          <w:b/>
          <w:bCs/>
          <w:color w:val="333333"/>
          <w:sz w:val="24"/>
          <w:szCs w:val="24"/>
          <w:shd w:val="clear" w:color="auto" w:fill="FFFFFF"/>
        </w:rPr>
      </w:pPr>
      <w:r w:rsidRPr="00287196">
        <w:rPr>
          <w:rFonts w:ascii="Brill" w:hAnsi="Brill" w:cstheme="majorBidi"/>
          <w:b/>
          <w:bCs/>
          <w:color w:val="333333"/>
          <w:sz w:val="24"/>
          <w:szCs w:val="24"/>
          <w:shd w:val="clear" w:color="auto" w:fill="FFFFFF"/>
        </w:rPr>
        <w:t>Encyclopaedic Articles</w:t>
      </w:r>
    </w:p>
    <w:p w14:paraId="7A24EEAC" w14:textId="77777777" w:rsidR="00C6002C" w:rsidRPr="00287196" w:rsidRDefault="00C6002C" w:rsidP="00C6002C">
      <w:pPr>
        <w:pStyle w:val="NormalWeb"/>
        <w:numPr>
          <w:ilvl w:val="0"/>
          <w:numId w:val="2"/>
        </w:numPr>
        <w:shd w:val="clear" w:color="auto" w:fill="FFFFFF"/>
        <w:spacing w:before="0" w:beforeAutospacing="0" w:after="240" w:afterAutospacing="0" w:line="360" w:lineRule="auto"/>
        <w:rPr>
          <w:rFonts w:ascii="Brill" w:hAnsi="Brill" w:cstheme="majorBidi"/>
          <w:color w:val="222222"/>
        </w:rPr>
      </w:pPr>
      <w:bookmarkStart w:id="7" w:name="_Hlk29813883"/>
      <w:r w:rsidRPr="00287196">
        <w:rPr>
          <w:rFonts w:ascii="Brill" w:eastAsiaTheme="minorHAnsi" w:hAnsi="Brill" w:cstheme="majorBidi"/>
          <w:lang w:eastAsia="en-US"/>
        </w:rPr>
        <w:t>Davary, Bahar, “Islamic Studies”, in:</w:t>
      </w:r>
      <w:r w:rsidRPr="00287196">
        <w:rPr>
          <w:rFonts w:ascii="Brill" w:hAnsi="Brill" w:cstheme="majorBidi"/>
          <w:color w:val="222222"/>
          <w:shd w:val="clear" w:color="auto" w:fill="F2F2F2"/>
        </w:rPr>
        <w:t> </w:t>
      </w:r>
      <w:r w:rsidRPr="00287196">
        <w:rPr>
          <w:rStyle w:val="citationitalic"/>
          <w:rFonts w:ascii="Brill" w:hAnsi="Brill" w:cstheme="majorBidi"/>
          <w:i/>
          <w:iCs/>
          <w:color w:val="222222"/>
        </w:rPr>
        <w:t>Encyclopedia of Women &amp; Islamic Cultures</w:t>
      </w:r>
      <w:r w:rsidRPr="00287196">
        <w:rPr>
          <w:rFonts w:ascii="Brill" w:hAnsi="Brill" w:cstheme="majorBidi"/>
          <w:color w:val="222222"/>
          <w:shd w:val="clear" w:color="auto" w:fill="F2F2F2"/>
        </w:rPr>
        <w:t xml:space="preserve">, </w:t>
      </w:r>
      <w:r w:rsidRPr="00287196">
        <w:rPr>
          <w:rFonts w:ascii="Brill" w:eastAsiaTheme="minorHAnsi" w:hAnsi="Brill" w:cstheme="majorBidi"/>
          <w:lang w:eastAsia="en-US"/>
        </w:rPr>
        <w:t>General Editor Suad Joseph. Consulted online on 07 January 2020</w:t>
      </w:r>
      <w:r w:rsidRPr="00287196">
        <w:rPr>
          <w:rFonts w:ascii="Brill" w:hAnsi="Brill" w:cstheme="majorBidi"/>
          <w:color w:val="222222"/>
          <w:shd w:val="clear" w:color="auto" w:fill="F2F2F2"/>
        </w:rPr>
        <w:t xml:space="preserve"> </w:t>
      </w:r>
      <w:hyperlink r:id="rId15" w:history="1">
        <w:r w:rsidRPr="00287196">
          <w:rPr>
            <w:rStyle w:val="Hyperlink"/>
            <w:rFonts w:ascii="Brill" w:hAnsi="Brill" w:cstheme="majorBidi"/>
            <w:shd w:val="clear" w:color="auto" w:fill="F2F2F2"/>
          </w:rPr>
          <w:t>http://dx.doi.org/10.1163/1872-5309_ewic_COM_00012</w:t>
        </w:r>
      </w:hyperlink>
    </w:p>
    <w:p w14:paraId="75E53B69" w14:textId="77777777" w:rsidR="00C6002C" w:rsidRPr="00287196" w:rsidRDefault="00C6002C" w:rsidP="00C6002C">
      <w:pPr>
        <w:pStyle w:val="NormalWeb"/>
        <w:numPr>
          <w:ilvl w:val="0"/>
          <w:numId w:val="2"/>
        </w:numPr>
        <w:shd w:val="clear" w:color="auto" w:fill="FFFFFF"/>
        <w:spacing w:before="0" w:beforeAutospacing="0" w:after="240" w:afterAutospacing="0" w:line="360" w:lineRule="auto"/>
        <w:rPr>
          <w:rFonts w:ascii="Brill" w:hAnsi="Brill" w:cstheme="majorBidi"/>
          <w:color w:val="222222"/>
        </w:rPr>
      </w:pPr>
      <w:r w:rsidRPr="00287196">
        <w:rPr>
          <w:rFonts w:ascii="Brill" w:eastAsiaTheme="minorHAnsi" w:hAnsi="Brill" w:cstheme="majorBidi"/>
          <w:lang w:eastAsia="en-US"/>
        </w:rPr>
        <w:t>Füssel, Marian (Göttingen), (2017), “University”, in:</w:t>
      </w:r>
      <w:r w:rsidRPr="00287196">
        <w:rPr>
          <w:rFonts w:ascii="Brill" w:hAnsi="Brill" w:cstheme="majorBidi"/>
          <w:color w:val="222222"/>
          <w:shd w:val="clear" w:color="auto" w:fill="F2F2F2"/>
        </w:rPr>
        <w:t> </w:t>
      </w:r>
      <w:r w:rsidRPr="00287196">
        <w:rPr>
          <w:rStyle w:val="citationitalic"/>
          <w:rFonts w:ascii="Brill" w:hAnsi="Brill" w:cstheme="majorBidi"/>
          <w:i/>
          <w:iCs/>
          <w:color w:val="222222"/>
        </w:rPr>
        <w:t xml:space="preserve">Brill’s New Pauly Supplements II - Volume </w:t>
      </w:r>
      <w:proofErr w:type="gramStart"/>
      <w:r w:rsidRPr="00287196">
        <w:rPr>
          <w:rStyle w:val="citationitalic"/>
          <w:rFonts w:ascii="Brill" w:hAnsi="Brill" w:cstheme="majorBidi"/>
          <w:i/>
          <w:iCs/>
          <w:color w:val="222222"/>
        </w:rPr>
        <w:t>8 :</w:t>
      </w:r>
      <w:proofErr w:type="gramEnd"/>
      <w:r w:rsidRPr="00287196">
        <w:rPr>
          <w:rStyle w:val="citationitalic"/>
          <w:rFonts w:ascii="Brill" w:hAnsi="Brill" w:cstheme="majorBidi"/>
          <w:i/>
          <w:iCs/>
          <w:color w:val="222222"/>
        </w:rPr>
        <w:t xml:space="preserve"> The Reception of Antiquity in Renaissance Humanism</w:t>
      </w:r>
      <w:r w:rsidRPr="00287196">
        <w:rPr>
          <w:rFonts w:ascii="Brill" w:hAnsi="Brill" w:cstheme="majorBidi"/>
          <w:color w:val="222222"/>
          <w:shd w:val="clear" w:color="auto" w:fill="F2F2F2"/>
        </w:rPr>
        <w:t xml:space="preserve">, </w:t>
      </w:r>
      <w:r w:rsidRPr="00287196">
        <w:rPr>
          <w:rFonts w:ascii="Brill" w:eastAsiaTheme="minorHAnsi" w:hAnsi="Brill" w:cstheme="majorBidi"/>
          <w:lang w:eastAsia="en-US"/>
        </w:rPr>
        <w:t>English edition by Chad M. Schroeder. Original German-language edition: Renaissance-Humanismus. Herausgegeben von Manfred Landfester. Serie: Der Neue Pauly Supplemente 2. Staffel, herausgegeben von Manfred Landfester und Helmuth Schneider, vol. 9. Stuttgart, Germany</w:t>
      </w:r>
      <w:bookmarkEnd w:id="7"/>
      <w:r w:rsidRPr="00287196">
        <w:rPr>
          <w:rFonts w:ascii="Brill" w:eastAsiaTheme="minorHAnsi" w:hAnsi="Brill" w:cstheme="majorBidi"/>
          <w:lang w:eastAsia="en-US"/>
        </w:rPr>
        <w:t>. Consulted online on 07 January</w:t>
      </w:r>
      <w:r w:rsidRPr="00287196">
        <w:rPr>
          <w:rFonts w:ascii="Brill" w:hAnsi="Brill" w:cstheme="majorBidi"/>
          <w:color w:val="222222"/>
          <w:shd w:val="clear" w:color="auto" w:fill="F2F2F2"/>
        </w:rPr>
        <w:t xml:space="preserve"> 2020 </w:t>
      </w:r>
      <w:hyperlink r:id="rId16" w:history="1">
        <w:r w:rsidRPr="00287196">
          <w:rPr>
            <w:rStyle w:val="Hyperlink"/>
            <w:rFonts w:ascii="Brill" w:hAnsi="Brill" w:cstheme="majorBidi"/>
            <w:shd w:val="clear" w:color="auto" w:fill="F2F2F2"/>
          </w:rPr>
          <w:t>http://dx.doi.org/10.1163/2468-3418_bnps8_COM_004994</w:t>
        </w:r>
      </w:hyperlink>
      <w:r w:rsidRPr="00287196">
        <w:rPr>
          <w:rFonts w:ascii="Brill" w:hAnsi="Brill" w:cstheme="majorBidi"/>
          <w:color w:val="222222"/>
          <w:shd w:val="clear" w:color="auto" w:fill="F2F2F2"/>
        </w:rPr>
        <w:tab/>
      </w:r>
    </w:p>
    <w:p w14:paraId="76251FF4" w14:textId="77777777" w:rsidR="00C6002C" w:rsidRPr="00287196" w:rsidRDefault="00C6002C" w:rsidP="00C6002C">
      <w:pPr>
        <w:pStyle w:val="ListParagraph"/>
        <w:numPr>
          <w:ilvl w:val="0"/>
          <w:numId w:val="2"/>
        </w:numPr>
        <w:spacing w:after="0" w:line="360" w:lineRule="auto"/>
        <w:rPr>
          <w:rFonts w:ascii="Brill" w:eastAsia="Times New Roman" w:hAnsi="Brill" w:cstheme="majorBidi"/>
          <w:sz w:val="24"/>
          <w:szCs w:val="24"/>
          <w:lang w:val="en-US" w:eastAsia="en-IN"/>
        </w:rPr>
      </w:pPr>
      <w:bookmarkStart w:id="8" w:name="_Hlk29814938"/>
      <w:r w:rsidRPr="00287196">
        <w:rPr>
          <w:rFonts w:ascii="Brill" w:hAnsi="Brill" w:cstheme="majorBidi"/>
          <w:sz w:val="24"/>
          <w:szCs w:val="24"/>
        </w:rPr>
        <w:lastRenderedPageBreak/>
        <w:t>Goldschmidt, Dietrich, Vortkamp, Wolfgang and Editors, the, (2011) “University”, in: </w:t>
      </w:r>
      <w:r w:rsidRPr="00287196">
        <w:rPr>
          <w:rFonts w:ascii="Brill" w:eastAsia="Times New Roman" w:hAnsi="Brill" w:cstheme="majorBidi"/>
          <w:i/>
          <w:iCs/>
          <w:color w:val="222222"/>
          <w:sz w:val="24"/>
          <w:szCs w:val="24"/>
          <w:lang w:eastAsia="en-IN"/>
        </w:rPr>
        <w:t>Encyclopedia of Christianity Online</w:t>
      </w:r>
      <w:r w:rsidRPr="00287196">
        <w:rPr>
          <w:rFonts w:ascii="Brill" w:hAnsi="Brill" w:cstheme="majorBidi"/>
          <w:sz w:val="24"/>
          <w:szCs w:val="24"/>
        </w:rPr>
        <w:t xml:space="preserve">. Consulted online on 07 January 2020 </w:t>
      </w:r>
      <w:hyperlink r:id="rId17" w:history="1">
        <w:r w:rsidRPr="00287196">
          <w:rPr>
            <w:rStyle w:val="Hyperlink"/>
            <w:rFonts w:ascii="Brill" w:eastAsia="Times New Roman" w:hAnsi="Brill" w:cstheme="majorBidi"/>
            <w:sz w:val="24"/>
            <w:szCs w:val="24"/>
            <w:shd w:val="clear" w:color="auto" w:fill="F2F2F2"/>
            <w:lang w:eastAsia="en-IN"/>
          </w:rPr>
          <w:t>http://dx.doi.org/10.1163/2211-2685_eco_U.25</w:t>
        </w:r>
      </w:hyperlink>
      <w:r w:rsidRPr="00287196">
        <w:rPr>
          <w:rFonts w:ascii="Brill" w:eastAsia="Times New Roman" w:hAnsi="Brill" w:cstheme="majorBidi"/>
          <w:color w:val="222222"/>
          <w:sz w:val="24"/>
          <w:szCs w:val="24"/>
          <w:shd w:val="clear" w:color="auto" w:fill="F2F2F2"/>
          <w:lang w:eastAsia="en-IN"/>
        </w:rPr>
        <w:tab/>
      </w:r>
    </w:p>
    <w:p w14:paraId="0947DABD" w14:textId="77777777" w:rsidR="00C6002C" w:rsidRPr="00287196" w:rsidRDefault="00C6002C" w:rsidP="00C6002C">
      <w:pPr>
        <w:pStyle w:val="ListParagraph"/>
        <w:numPr>
          <w:ilvl w:val="0"/>
          <w:numId w:val="2"/>
        </w:numPr>
        <w:spacing w:line="360" w:lineRule="auto"/>
        <w:rPr>
          <w:rFonts w:ascii="Brill" w:hAnsi="Brill" w:cstheme="majorBidi"/>
          <w:color w:val="222222"/>
          <w:sz w:val="24"/>
          <w:szCs w:val="24"/>
          <w:shd w:val="clear" w:color="auto" w:fill="F2F2F2"/>
        </w:rPr>
      </w:pPr>
      <w:r w:rsidRPr="00287196">
        <w:rPr>
          <w:rFonts w:ascii="Brill" w:hAnsi="Brill" w:cstheme="majorBidi"/>
          <w:sz w:val="24"/>
          <w:szCs w:val="24"/>
        </w:rPr>
        <w:t>Günther, Sebastian, “Education, general (up to 1500)”, (2017) in:</w:t>
      </w:r>
      <w:r w:rsidRPr="00287196">
        <w:rPr>
          <w:rFonts w:ascii="Brill" w:eastAsia="Times New Roman" w:hAnsi="Brill" w:cstheme="majorBidi"/>
          <w:color w:val="222222"/>
          <w:sz w:val="24"/>
          <w:szCs w:val="24"/>
          <w:shd w:val="clear" w:color="auto" w:fill="F2F2F2"/>
          <w:lang w:eastAsia="en-IN"/>
        </w:rPr>
        <w:t> </w:t>
      </w:r>
      <w:r w:rsidRPr="00287196">
        <w:rPr>
          <w:rFonts w:ascii="Brill" w:eastAsia="Times New Roman" w:hAnsi="Brill" w:cstheme="majorBidi"/>
          <w:i/>
          <w:iCs/>
          <w:color w:val="222222"/>
          <w:sz w:val="24"/>
          <w:szCs w:val="24"/>
          <w:lang w:eastAsia="en-IN"/>
        </w:rPr>
        <w:t>Encyclopaedia of Islam, THREE</w:t>
      </w:r>
      <w:r w:rsidRPr="00287196">
        <w:rPr>
          <w:rFonts w:ascii="Brill" w:eastAsia="Times New Roman" w:hAnsi="Brill" w:cstheme="majorBidi"/>
          <w:color w:val="222222"/>
          <w:sz w:val="24"/>
          <w:szCs w:val="24"/>
          <w:shd w:val="clear" w:color="auto" w:fill="F2F2F2"/>
          <w:lang w:eastAsia="en-IN"/>
        </w:rPr>
        <w:t xml:space="preserve">, </w:t>
      </w:r>
      <w:r w:rsidRPr="00287196">
        <w:rPr>
          <w:rFonts w:ascii="Brill" w:hAnsi="Brill" w:cstheme="majorBidi"/>
          <w:sz w:val="24"/>
          <w:szCs w:val="24"/>
        </w:rPr>
        <w:t>Edited by: Kate Fleet, Gudrun Krämer, Denis Matringe, John Nawas, Everett Rowson. Consulted online on 06 January 2020</w:t>
      </w:r>
      <w:r w:rsidRPr="00287196">
        <w:rPr>
          <w:rFonts w:ascii="Brill" w:eastAsia="Times New Roman" w:hAnsi="Brill" w:cstheme="majorBidi"/>
          <w:color w:val="222222"/>
          <w:sz w:val="24"/>
          <w:szCs w:val="24"/>
          <w:shd w:val="clear" w:color="auto" w:fill="F2F2F2"/>
          <w:lang w:eastAsia="en-IN"/>
        </w:rPr>
        <w:t xml:space="preserve"> </w:t>
      </w:r>
      <w:hyperlink r:id="rId18" w:history="1">
        <w:r w:rsidRPr="00287196">
          <w:rPr>
            <w:rStyle w:val="Hyperlink"/>
            <w:rFonts w:ascii="Brill" w:eastAsia="Times New Roman" w:hAnsi="Brill" w:cstheme="majorBidi"/>
            <w:sz w:val="24"/>
            <w:szCs w:val="24"/>
            <w:shd w:val="clear" w:color="auto" w:fill="F2F2F2"/>
            <w:lang w:eastAsia="en-IN"/>
          </w:rPr>
          <w:t>http://dx.doi.org/10.1163/1573-3912_ei3_COM_26134</w:t>
        </w:r>
      </w:hyperlink>
    </w:p>
    <w:p w14:paraId="249F4B52" w14:textId="77777777" w:rsidR="00C6002C" w:rsidRPr="00287196" w:rsidRDefault="00C6002C" w:rsidP="00C6002C">
      <w:pPr>
        <w:pStyle w:val="ListParagraph"/>
        <w:numPr>
          <w:ilvl w:val="0"/>
          <w:numId w:val="2"/>
        </w:numPr>
        <w:spacing w:line="360" w:lineRule="auto"/>
        <w:rPr>
          <w:rFonts w:ascii="Brill" w:hAnsi="Brill" w:cstheme="majorBidi"/>
          <w:color w:val="222222"/>
          <w:sz w:val="24"/>
          <w:szCs w:val="24"/>
          <w:shd w:val="clear" w:color="auto" w:fill="F2F2F2"/>
        </w:rPr>
      </w:pPr>
      <w:r w:rsidRPr="00287196">
        <w:rPr>
          <w:rFonts w:ascii="Brill" w:hAnsi="Brill" w:cstheme="majorBidi"/>
          <w:color w:val="222222"/>
          <w:sz w:val="24"/>
          <w:szCs w:val="24"/>
          <w:shd w:val="clear" w:color="auto" w:fill="F2F2F2"/>
        </w:rPr>
        <w:t>K</w:t>
      </w:r>
      <w:r w:rsidRPr="00287196">
        <w:rPr>
          <w:rFonts w:ascii="Brill" w:hAnsi="Brill" w:cstheme="majorBidi"/>
          <w:sz w:val="24"/>
          <w:szCs w:val="24"/>
        </w:rPr>
        <w:t>napp, Fritz Peter, Kühlmann, Wilhelm and Rebenich, Stefan (Mannheim RWG), “University”, in</w:t>
      </w:r>
      <w:r w:rsidRPr="00287196">
        <w:rPr>
          <w:rFonts w:ascii="Brill" w:hAnsi="Brill" w:cstheme="majorBidi"/>
          <w:color w:val="222222"/>
          <w:sz w:val="24"/>
          <w:szCs w:val="24"/>
          <w:shd w:val="clear" w:color="auto" w:fill="F2F2F2"/>
        </w:rPr>
        <w:t>: </w:t>
      </w:r>
      <w:r w:rsidRPr="00287196">
        <w:rPr>
          <w:rStyle w:val="citationitalic"/>
          <w:rFonts w:ascii="Brill" w:hAnsi="Brill" w:cstheme="majorBidi"/>
          <w:i/>
          <w:iCs/>
          <w:color w:val="222222"/>
          <w:sz w:val="24"/>
          <w:szCs w:val="24"/>
        </w:rPr>
        <w:t>Brill’s New Pauly</w:t>
      </w:r>
      <w:r w:rsidRPr="00287196">
        <w:rPr>
          <w:rFonts w:ascii="Brill" w:hAnsi="Brill" w:cstheme="majorBidi"/>
          <w:color w:val="222222"/>
          <w:sz w:val="24"/>
          <w:szCs w:val="24"/>
          <w:shd w:val="clear" w:color="auto" w:fill="F2F2F2"/>
        </w:rPr>
        <w:t xml:space="preserve">, Antiquity volumes edited by: Hubert Cancik </w:t>
      </w:r>
      <w:r w:rsidRPr="00287196">
        <w:rPr>
          <w:rFonts w:ascii="Brill" w:hAnsi="Brill" w:cstheme="majorBidi"/>
          <w:sz w:val="24"/>
          <w:szCs w:val="24"/>
        </w:rPr>
        <w:t>and , Helmuth Schneider, English Edition by: Christine F. Salazar, Classical Tradition volumes edited by: Manfred Landfester, English Edition by: Francis G. Gentry</w:t>
      </w:r>
      <w:bookmarkEnd w:id="8"/>
      <w:r w:rsidRPr="00287196">
        <w:rPr>
          <w:rFonts w:ascii="Brill" w:hAnsi="Brill" w:cstheme="majorBidi"/>
          <w:sz w:val="24"/>
          <w:szCs w:val="24"/>
        </w:rPr>
        <w:t>. Consulted online on 07 January 2020</w:t>
      </w:r>
      <w:r w:rsidRPr="00287196">
        <w:rPr>
          <w:rFonts w:ascii="Brill" w:hAnsi="Brill" w:cstheme="majorBidi"/>
          <w:color w:val="222222"/>
          <w:sz w:val="24"/>
          <w:szCs w:val="24"/>
          <w:shd w:val="clear" w:color="auto" w:fill="F2F2F2"/>
        </w:rPr>
        <w:t xml:space="preserve"> </w:t>
      </w:r>
      <w:hyperlink r:id="rId19" w:history="1">
        <w:r w:rsidRPr="00287196">
          <w:rPr>
            <w:rStyle w:val="Hyperlink"/>
            <w:rFonts w:ascii="Brill" w:hAnsi="Brill" w:cstheme="majorBidi"/>
            <w:sz w:val="24"/>
            <w:szCs w:val="24"/>
            <w:shd w:val="clear" w:color="auto" w:fill="F2F2F2"/>
          </w:rPr>
          <w:t>http://dx.doi.org/10.1163/1574-9347_bnp_e15308120</w:t>
        </w:r>
      </w:hyperlink>
      <w:r w:rsidRPr="00287196">
        <w:rPr>
          <w:rFonts w:ascii="Brill" w:hAnsi="Brill" w:cstheme="majorBidi"/>
          <w:sz w:val="24"/>
          <w:szCs w:val="24"/>
        </w:rPr>
        <w:tab/>
      </w:r>
    </w:p>
    <w:p w14:paraId="0E194748" w14:textId="77777777" w:rsidR="00C6002C" w:rsidRPr="00287196" w:rsidRDefault="00C6002C" w:rsidP="00C6002C">
      <w:pPr>
        <w:spacing w:line="360" w:lineRule="auto"/>
        <w:rPr>
          <w:rFonts w:ascii="Brill" w:hAnsi="Brill" w:cstheme="majorBidi"/>
          <w:color w:val="333333"/>
          <w:sz w:val="24"/>
          <w:szCs w:val="24"/>
          <w:shd w:val="clear" w:color="auto" w:fill="FFFFFF"/>
        </w:rPr>
      </w:pPr>
    </w:p>
    <w:p w14:paraId="7AD05B5C" w14:textId="77777777" w:rsidR="00C6002C" w:rsidRPr="00287196" w:rsidRDefault="00C6002C" w:rsidP="00C6002C">
      <w:pPr>
        <w:spacing w:line="360" w:lineRule="auto"/>
        <w:rPr>
          <w:rFonts w:ascii="Brill" w:hAnsi="Brill" w:cstheme="majorBidi"/>
          <w:b/>
          <w:bCs/>
          <w:color w:val="333333"/>
          <w:sz w:val="24"/>
          <w:szCs w:val="24"/>
          <w:shd w:val="clear" w:color="auto" w:fill="FFFFFF"/>
        </w:rPr>
      </w:pPr>
      <w:r w:rsidRPr="00287196">
        <w:rPr>
          <w:rFonts w:ascii="Brill" w:hAnsi="Brill" w:cstheme="majorBidi"/>
          <w:b/>
          <w:bCs/>
          <w:color w:val="333333"/>
          <w:sz w:val="24"/>
          <w:szCs w:val="24"/>
          <w:shd w:val="clear" w:color="auto" w:fill="FFFFFF"/>
        </w:rPr>
        <w:t>Books</w:t>
      </w:r>
    </w:p>
    <w:p w14:paraId="264DE032" w14:textId="77777777" w:rsidR="00C6002C" w:rsidRPr="00287196" w:rsidRDefault="00C6002C" w:rsidP="00C6002C">
      <w:pPr>
        <w:pStyle w:val="FootnoteText"/>
        <w:numPr>
          <w:ilvl w:val="0"/>
          <w:numId w:val="3"/>
        </w:numPr>
        <w:spacing w:line="360" w:lineRule="auto"/>
        <w:rPr>
          <w:rFonts w:ascii="Brill" w:hAnsi="Brill"/>
          <w:sz w:val="24"/>
          <w:szCs w:val="24"/>
          <w:lang w:val="en-US"/>
        </w:rPr>
      </w:pPr>
      <w:r w:rsidRPr="00287196">
        <w:rPr>
          <w:rFonts w:ascii="Brill" w:hAnsi="Brill"/>
          <w:sz w:val="24"/>
          <w:szCs w:val="24"/>
        </w:rPr>
        <w:t xml:space="preserve">Anievas, Alexander, &amp; Nişancıoğlu, Kerem. (2015). </w:t>
      </w:r>
      <w:r w:rsidRPr="00287196">
        <w:rPr>
          <w:rFonts w:ascii="Brill" w:hAnsi="Brill"/>
          <w:i/>
          <w:iCs/>
          <w:sz w:val="24"/>
          <w:szCs w:val="24"/>
        </w:rPr>
        <w:t>How the West Came to Rule</w:t>
      </w:r>
      <w:r w:rsidRPr="00287196">
        <w:rPr>
          <w:rFonts w:ascii="Brill" w:hAnsi="Brill"/>
          <w:sz w:val="24"/>
          <w:szCs w:val="24"/>
        </w:rPr>
        <w:t>. Pluto Press</w:t>
      </w:r>
    </w:p>
    <w:p w14:paraId="149E96BD" w14:textId="77777777" w:rsidR="00C6002C" w:rsidRPr="00287196" w:rsidRDefault="00C6002C" w:rsidP="00C6002C">
      <w:pPr>
        <w:pStyle w:val="ListParagraph"/>
        <w:numPr>
          <w:ilvl w:val="0"/>
          <w:numId w:val="3"/>
        </w:numPr>
        <w:spacing w:line="360" w:lineRule="auto"/>
        <w:rPr>
          <w:rFonts w:ascii="Brill" w:hAnsi="Brill"/>
          <w:i/>
          <w:iCs/>
          <w:color w:val="000000"/>
          <w:sz w:val="24"/>
          <w:szCs w:val="24"/>
          <w:shd w:val="clear" w:color="auto" w:fill="FFFFFF"/>
        </w:rPr>
      </w:pPr>
      <w:r w:rsidRPr="00287196">
        <w:rPr>
          <w:rFonts w:ascii="Brill" w:hAnsi="Brill"/>
          <w:sz w:val="24"/>
          <w:szCs w:val="24"/>
        </w:rPr>
        <w:t xml:space="preserve">Daftary, F. &amp; </w:t>
      </w:r>
      <w:r w:rsidRPr="00287196">
        <w:rPr>
          <w:rFonts w:ascii="Brill" w:hAnsi="Brill"/>
          <w:color w:val="000000"/>
          <w:sz w:val="24"/>
          <w:szCs w:val="24"/>
          <w:shd w:val="clear" w:color="auto" w:fill="FFFFFF"/>
        </w:rPr>
        <w:t xml:space="preserve">Miskinzoda, G, (2014), </w:t>
      </w:r>
      <w:r w:rsidRPr="00287196">
        <w:rPr>
          <w:rFonts w:ascii="Brill" w:hAnsi="Brill"/>
          <w:i/>
          <w:iCs/>
          <w:color w:val="000000"/>
          <w:sz w:val="24"/>
          <w:szCs w:val="24"/>
          <w:shd w:val="clear" w:color="auto" w:fill="FFFFFF"/>
        </w:rPr>
        <w:t>The study of Shi'i Islam: History, theology and law,</w:t>
      </w:r>
      <w:r w:rsidRPr="00287196">
        <w:rPr>
          <w:rFonts w:ascii="Brill" w:hAnsi="Brill"/>
          <w:color w:val="000000"/>
          <w:sz w:val="24"/>
          <w:szCs w:val="24"/>
          <w:shd w:val="clear" w:color="auto" w:fill="FFFFFF"/>
        </w:rPr>
        <w:t xml:space="preserve"> London: I.B. Tauris Publishers</w:t>
      </w:r>
    </w:p>
    <w:p w14:paraId="23098975" w14:textId="77777777" w:rsidR="00C6002C" w:rsidRPr="00287196" w:rsidRDefault="00C6002C" w:rsidP="00C6002C">
      <w:pPr>
        <w:pStyle w:val="ListParagraph"/>
        <w:numPr>
          <w:ilvl w:val="0"/>
          <w:numId w:val="3"/>
        </w:numPr>
        <w:spacing w:line="360" w:lineRule="auto"/>
        <w:rPr>
          <w:rFonts w:ascii="Brill" w:hAnsi="Brill"/>
          <w:i/>
          <w:iCs/>
          <w:color w:val="000000"/>
          <w:sz w:val="24"/>
          <w:szCs w:val="24"/>
          <w:shd w:val="clear" w:color="auto" w:fill="FFFFFF"/>
        </w:rPr>
      </w:pPr>
      <w:r w:rsidRPr="00287196">
        <w:rPr>
          <w:rFonts w:ascii="Brill" w:hAnsi="Brill"/>
          <w:sz w:val="24"/>
          <w:szCs w:val="24"/>
        </w:rPr>
        <w:t>Al-Kirman</w:t>
      </w:r>
      <w:r w:rsidRPr="00287196">
        <w:rPr>
          <w:rFonts w:ascii="Brill" w:hAnsi="Brill"/>
          <w:sz w:val="24"/>
          <w:szCs w:val="24"/>
          <w:lang w:val="en-US"/>
        </w:rPr>
        <w:t>ī</w:t>
      </w:r>
      <w:r w:rsidRPr="00287196">
        <w:rPr>
          <w:rFonts w:ascii="Brill" w:hAnsi="Brill"/>
          <w:sz w:val="24"/>
          <w:szCs w:val="24"/>
        </w:rPr>
        <w:t>, Ham</w:t>
      </w:r>
      <w:r w:rsidRPr="00287196">
        <w:rPr>
          <w:rFonts w:ascii="Brill" w:hAnsi="Brill"/>
          <w:sz w:val="24"/>
          <w:szCs w:val="24"/>
          <w:lang w:val="en-US"/>
        </w:rPr>
        <w:t>ī</w:t>
      </w:r>
      <w:r w:rsidRPr="00287196">
        <w:rPr>
          <w:rFonts w:ascii="Brill" w:hAnsi="Brill"/>
          <w:sz w:val="24"/>
          <w:szCs w:val="24"/>
        </w:rPr>
        <w:t>d al-d</w:t>
      </w:r>
      <w:r w:rsidRPr="00287196">
        <w:rPr>
          <w:rFonts w:ascii="Brill" w:hAnsi="Brill"/>
          <w:sz w:val="24"/>
          <w:szCs w:val="24"/>
          <w:lang w:val="en-US"/>
        </w:rPr>
        <w:t>īn, (circa 11</w:t>
      </w:r>
      <w:r w:rsidRPr="00287196">
        <w:rPr>
          <w:rFonts w:ascii="Brill" w:hAnsi="Brill"/>
          <w:sz w:val="24"/>
          <w:szCs w:val="24"/>
          <w:vertAlign w:val="superscript"/>
          <w:lang w:val="en-US"/>
        </w:rPr>
        <w:t>th</w:t>
      </w:r>
      <w:r w:rsidRPr="00287196">
        <w:rPr>
          <w:rFonts w:ascii="Brill" w:hAnsi="Brill"/>
          <w:sz w:val="24"/>
          <w:szCs w:val="24"/>
          <w:lang w:val="en-US"/>
        </w:rPr>
        <w:t xml:space="preserve"> century; pub.2007), </w:t>
      </w:r>
      <w:r w:rsidRPr="00287196">
        <w:rPr>
          <w:rFonts w:ascii="Brill" w:hAnsi="Brill"/>
          <w:i/>
          <w:iCs/>
          <w:sz w:val="24"/>
          <w:szCs w:val="24"/>
          <w:lang w:val="en-US"/>
        </w:rPr>
        <w:t>al-Risala al-Wadiyya fī Ma’alim al-Dīn wa Usūlih,</w:t>
      </w:r>
      <w:r w:rsidRPr="00287196">
        <w:rPr>
          <w:rFonts w:ascii="Brill" w:hAnsi="Brill"/>
          <w:sz w:val="24"/>
          <w:szCs w:val="24"/>
          <w:lang w:val="en-US"/>
        </w:rPr>
        <w:t xml:space="preserve"> Mumbai: Al-Jamea-tus-Saifiyah</w:t>
      </w:r>
    </w:p>
    <w:p w14:paraId="3FEB1B34" w14:textId="77777777" w:rsidR="00C6002C" w:rsidRPr="00287196" w:rsidRDefault="00C6002C" w:rsidP="00C6002C">
      <w:pPr>
        <w:pStyle w:val="ListParagraph"/>
        <w:numPr>
          <w:ilvl w:val="0"/>
          <w:numId w:val="3"/>
        </w:numPr>
        <w:spacing w:line="360" w:lineRule="auto"/>
        <w:rPr>
          <w:rFonts w:ascii="Brill" w:hAnsi="Brill"/>
          <w:i/>
          <w:iCs/>
          <w:color w:val="000000"/>
          <w:sz w:val="24"/>
          <w:szCs w:val="24"/>
          <w:shd w:val="clear" w:color="auto" w:fill="FFFFFF"/>
        </w:rPr>
      </w:pPr>
      <w:r w:rsidRPr="00287196">
        <w:rPr>
          <w:rFonts w:ascii="Brill" w:hAnsi="Brill"/>
          <w:sz w:val="24"/>
          <w:szCs w:val="24"/>
        </w:rPr>
        <w:t>Al-Mastur, Imam Ahmad (circa 10</w:t>
      </w:r>
      <w:r w:rsidRPr="00287196">
        <w:rPr>
          <w:rFonts w:ascii="Brill" w:hAnsi="Brill"/>
          <w:sz w:val="24"/>
          <w:szCs w:val="24"/>
          <w:vertAlign w:val="superscript"/>
        </w:rPr>
        <w:t>th</w:t>
      </w:r>
      <w:r w:rsidRPr="00287196">
        <w:rPr>
          <w:rFonts w:ascii="Brill" w:hAnsi="Brill"/>
          <w:sz w:val="24"/>
          <w:szCs w:val="24"/>
        </w:rPr>
        <w:t xml:space="preserve"> century; pub. 2018), </w:t>
      </w:r>
      <w:r w:rsidRPr="00287196">
        <w:rPr>
          <w:rFonts w:ascii="Brill" w:hAnsi="Brill"/>
          <w:i/>
          <w:iCs/>
          <w:sz w:val="24"/>
          <w:szCs w:val="24"/>
        </w:rPr>
        <w:t>Ras</w:t>
      </w:r>
      <w:r w:rsidRPr="00287196">
        <w:rPr>
          <w:rFonts w:ascii="Brill" w:hAnsi="Brill"/>
          <w:i/>
          <w:iCs/>
          <w:sz w:val="24"/>
          <w:szCs w:val="24"/>
          <w:lang w:val="en-US"/>
        </w:rPr>
        <w:t>āil Ikhwān al-Safā</w:t>
      </w:r>
      <w:r w:rsidRPr="00287196">
        <w:rPr>
          <w:rFonts w:ascii="Brill" w:hAnsi="Brill"/>
          <w:sz w:val="24"/>
          <w:szCs w:val="24"/>
          <w:lang w:val="en-US"/>
        </w:rPr>
        <w:t xml:space="preserve">, Vol.1, Windsor: </w:t>
      </w:r>
      <w:r w:rsidRPr="00287196">
        <w:rPr>
          <w:rFonts w:ascii="Brill" w:hAnsi="Brill"/>
          <w:sz w:val="24"/>
          <w:szCs w:val="24"/>
        </w:rPr>
        <w:t>Hindawi Foundation C.I.C.</w:t>
      </w:r>
    </w:p>
    <w:p w14:paraId="397F8198" w14:textId="77777777" w:rsidR="00C6002C" w:rsidRPr="00287196" w:rsidRDefault="00C6002C" w:rsidP="00C6002C">
      <w:pPr>
        <w:pStyle w:val="FootnoteText"/>
        <w:numPr>
          <w:ilvl w:val="0"/>
          <w:numId w:val="3"/>
        </w:numPr>
        <w:spacing w:line="360" w:lineRule="auto"/>
        <w:rPr>
          <w:rFonts w:ascii="Brill" w:hAnsi="Brill"/>
          <w:sz w:val="24"/>
          <w:szCs w:val="24"/>
          <w:lang w:val="en-US"/>
        </w:rPr>
      </w:pPr>
      <w:r w:rsidRPr="00287196">
        <w:rPr>
          <w:rFonts w:ascii="Brill" w:hAnsi="Brill"/>
          <w:color w:val="000000"/>
          <w:sz w:val="24"/>
          <w:szCs w:val="24"/>
          <w:shd w:val="clear" w:color="auto" w:fill="FFFFFF"/>
        </w:rPr>
        <w:t>Nawbakhtī, al-Ḥasan ibn Mūsá, and Abbas K. Kadhim. (2007), </w:t>
      </w:r>
      <w:r w:rsidRPr="00287196">
        <w:rPr>
          <w:rFonts w:ascii="Brill" w:hAnsi="Brill"/>
          <w:i/>
          <w:iCs/>
          <w:color w:val="000000"/>
          <w:sz w:val="24"/>
          <w:szCs w:val="24"/>
          <w:shd w:val="clear" w:color="auto" w:fill="FFFFFF"/>
        </w:rPr>
        <w:t>Shi'a sects: (Kitab Firaq al-Shi'a)</w:t>
      </w:r>
      <w:r w:rsidRPr="00287196">
        <w:rPr>
          <w:rFonts w:ascii="Brill" w:hAnsi="Brill"/>
          <w:color w:val="000000"/>
          <w:sz w:val="24"/>
          <w:szCs w:val="24"/>
          <w:shd w:val="clear" w:color="auto" w:fill="FFFFFF"/>
        </w:rPr>
        <w:t>. London: ICAS Press</w:t>
      </w:r>
    </w:p>
    <w:p w14:paraId="6B9B66AE" w14:textId="77777777" w:rsidR="00C6002C" w:rsidRPr="00287196" w:rsidRDefault="00C6002C" w:rsidP="00C6002C">
      <w:pPr>
        <w:spacing w:line="360" w:lineRule="auto"/>
        <w:ind w:left="360"/>
        <w:rPr>
          <w:rFonts w:ascii="Brill" w:hAnsi="Brill"/>
          <w:i/>
          <w:iCs/>
          <w:color w:val="000000"/>
          <w:sz w:val="24"/>
          <w:szCs w:val="24"/>
          <w:shd w:val="clear" w:color="auto" w:fill="FFFFFF"/>
        </w:rPr>
      </w:pPr>
    </w:p>
    <w:p w14:paraId="43BEFF79" w14:textId="77777777" w:rsidR="00C6002C" w:rsidRPr="00287196" w:rsidRDefault="00C6002C" w:rsidP="00C6002C">
      <w:pPr>
        <w:pStyle w:val="ListParagraph"/>
        <w:numPr>
          <w:ilvl w:val="0"/>
          <w:numId w:val="3"/>
        </w:numPr>
        <w:spacing w:line="360" w:lineRule="auto"/>
        <w:rPr>
          <w:rFonts w:ascii="Brill" w:hAnsi="Brill"/>
          <w:i/>
          <w:iCs/>
          <w:color w:val="000000"/>
          <w:sz w:val="24"/>
          <w:szCs w:val="24"/>
          <w:shd w:val="clear" w:color="auto" w:fill="FFFFFF"/>
        </w:rPr>
      </w:pPr>
      <w:r w:rsidRPr="00287196">
        <w:rPr>
          <w:rFonts w:ascii="Brill" w:hAnsi="Brill" w:cstheme="majorBidi"/>
          <w:sz w:val="24"/>
          <w:szCs w:val="24"/>
        </w:rPr>
        <w:t>Nemo, P. (2006).</w:t>
      </w:r>
      <w:r w:rsidRPr="00287196">
        <w:rPr>
          <w:rFonts w:ascii="Brill" w:hAnsi="Brill"/>
          <w:color w:val="0A0A0A"/>
          <w:sz w:val="24"/>
          <w:szCs w:val="24"/>
          <w:shd w:val="clear" w:color="auto" w:fill="F0F0F0"/>
        </w:rPr>
        <w:t> </w:t>
      </w:r>
      <w:r w:rsidRPr="00287196">
        <w:rPr>
          <w:rFonts w:ascii="Brill" w:hAnsi="Brill"/>
          <w:i/>
          <w:iCs/>
          <w:color w:val="0A0A0A"/>
          <w:sz w:val="24"/>
          <w:szCs w:val="24"/>
          <w:shd w:val="clear" w:color="auto" w:fill="F0F0F0"/>
        </w:rPr>
        <w:t xml:space="preserve">What is the </w:t>
      </w:r>
      <w:proofErr w:type="gramStart"/>
      <w:r w:rsidRPr="00287196">
        <w:rPr>
          <w:rFonts w:ascii="Brill" w:hAnsi="Brill"/>
          <w:i/>
          <w:iCs/>
          <w:color w:val="0A0A0A"/>
          <w:sz w:val="24"/>
          <w:szCs w:val="24"/>
          <w:shd w:val="clear" w:color="auto" w:fill="F0F0F0"/>
        </w:rPr>
        <w:t>West?</w:t>
      </w:r>
      <w:r w:rsidRPr="00287196">
        <w:rPr>
          <w:rFonts w:ascii="Brill" w:hAnsi="Brill"/>
          <w:color w:val="0A0A0A"/>
          <w:sz w:val="24"/>
          <w:szCs w:val="24"/>
          <w:shd w:val="clear" w:color="auto" w:fill="F0F0F0"/>
        </w:rPr>
        <w:t>.</w:t>
      </w:r>
      <w:proofErr w:type="gramEnd"/>
      <w:r w:rsidRPr="00287196">
        <w:rPr>
          <w:rFonts w:ascii="Brill" w:hAnsi="Brill"/>
          <w:color w:val="0A0A0A"/>
          <w:sz w:val="24"/>
          <w:szCs w:val="24"/>
          <w:shd w:val="clear" w:color="auto" w:fill="F0F0F0"/>
        </w:rPr>
        <w:t xml:space="preserve"> Pittsburgh: Duquesne University Press</w:t>
      </w:r>
    </w:p>
    <w:p w14:paraId="115B8BEB" w14:textId="77777777" w:rsidR="00C6002C" w:rsidRPr="00287196" w:rsidRDefault="00C6002C" w:rsidP="00C6002C">
      <w:pPr>
        <w:pStyle w:val="ListParagraph"/>
        <w:numPr>
          <w:ilvl w:val="0"/>
          <w:numId w:val="3"/>
        </w:numPr>
        <w:spacing w:line="360" w:lineRule="auto"/>
        <w:rPr>
          <w:rFonts w:ascii="Brill" w:hAnsi="Brill"/>
          <w:i/>
          <w:iCs/>
          <w:color w:val="000000"/>
          <w:sz w:val="24"/>
          <w:szCs w:val="24"/>
          <w:shd w:val="clear" w:color="auto" w:fill="FFFFFF"/>
        </w:rPr>
      </w:pPr>
      <w:r w:rsidRPr="00287196">
        <w:rPr>
          <w:rFonts w:ascii="Brill" w:hAnsi="Brill"/>
          <w:color w:val="000000"/>
          <w:sz w:val="24"/>
          <w:szCs w:val="24"/>
          <w:shd w:val="clear" w:color="auto" w:fill="FFFFFF"/>
        </w:rPr>
        <w:t xml:space="preserve">al-Qād ī al-Nu’mān, </w:t>
      </w:r>
      <w:r w:rsidRPr="00287196">
        <w:rPr>
          <w:rFonts w:ascii="Brill" w:hAnsi="Brill"/>
          <w:sz w:val="24"/>
          <w:szCs w:val="24"/>
        </w:rPr>
        <w:t xml:space="preserve">(1992), </w:t>
      </w:r>
      <w:r w:rsidRPr="00287196">
        <w:rPr>
          <w:rFonts w:ascii="Brill" w:hAnsi="Brill"/>
          <w:i/>
          <w:iCs/>
          <w:sz w:val="24"/>
          <w:szCs w:val="24"/>
        </w:rPr>
        <w:t>Sharh al-akhbar fi fad</w:t>
      </w:r>
      <w:r w:rsidRPr="00287196">
        <w:rPr>
          <w:rFonts w:ascii="Brill" w:hAnsi="Brill"/>
          <w:i/>
          <w:iCs/>
          <w:color w:val="000000"/>
          <w:sz w:val="24"/>
          <w:szCs w:val="24"/>
          <w:shd w:val="clear" w:color="auto" w:fill="FFFFFF"/>
        </w:rPr>
        <w:t>ā</w:t>
      </w:r>
      <w:r w:rsidRPr="00287196">
        <w:rPr>
          <w:rFonts w:ascii="Brill" w:hAnsi="Brill"/>
          <w:i/>
          <w:iCs/>
          <w:sz w:val="24"/>
          <w:szCs w:val="24"/>
        </w:rPr>
        <w:t>'il al-a'immat al-</w:t>
      </w:r>
      <w:r w:rsidRPr="00287196">
        <w:rPr>
          <w:rFonts w:ascii="Brill" w:hAnsi="Brill"/>
          <w:i/>
          <w:iCs/>
          <w:color w:val="000000"/>
          <w:sz w:val="24"/>
          <w:szCs w:val="24"/>
          <w:shd w:val="clear" w:color="auto" w:fill="FFFFFF"/>
        </w:rPr>
        <w:t>ā</w:t>
      </w:r>
      <w:r w:rsidRPr="00287196">
        <w:rPr>
          <w:rFonts w:ascii="Brill" w:hAnsi="Brill"/>
          <w:i/>
          <w:iCs/>
          <w:sz w:val="24"/>
          <w:szCs w:val="24"/>
        </w:rPr>
        <w:t>th</w:t>
      </w:r>
      <w:r w:rsidRPr="00287196">
        <w:rPr>
          <w:rFonts w:ascii="Brill" w:hAnsi="Brill"/>
          <w:i/>
          <w:iCs/>
          <w:color w:val="000000"/>
          <w:sz w:val="24"/>
          <w:szCs w:val="24"/>
          <w:shd w:val="clear" w:color="auto" w:fill="FFFFFF"/>
        </w:rPr>
        <w:t>ā</w:t>
      </w:r>
      <w:r w:rsidRPr="00287196">
        <w:rPr>
          <w:rFonts w:ascii="Brill" w:hAnsi="Brill"/>
          <w:i/>
          <w:iCs/>
          <w:sz w:val="24"/>
          <w:szCs w:val="24"/>
        </w:rPr>
        <w:t xml:space="preserve">r, </w:t>
      </w:r>
      <w:r w:rsidRPr="00287196">
        <w:rPr>
          <w:rFonts w:ascii="Brill" w:hAnsi="Brill"/>
          <w:sz w:val="24"/>
          <w:szCs w:val="24"/>
        </w:rPr>
        <w:t>ed. by Muhammad al-Husayni al-Ja</w:t>
      </w:r>
      <w:r w:rsidRPr="00287196">
        <w:rPr>
          <w:rFonts w:ascii="Brill" w:hAnsi="Brill"/>
          <w:color w:val="000000"/>
          <w:sz w:val="24"/>
          <w:szCs w:val="24"/>
          <w:shd w:val="clear" w:color="auto" w:fill="FFFFFF"/>
        </w:rPr>
        <w:t>lāli</w:t>
      </w:r>
      <w:r w:rsidRPr="00287196">
        <w:rPr>
          <w:rFonts w:ascii="Brill" w:hAnsi="Brill"/>
          <w:sz w:val="24"/>
          <w:szCs w:val="24"/>
        </w:rPr>
        <w:t>. Qum: Mu’assasat al-Nashr al-Isl</w:t>
      </w:r>
      <w:r w:rsidRPr="00287196">
        <w:rPr>
          <w:rFonts w:ascii="Brill" w:hAnsi="Brill"/>
          <w:color w:val="000000"/>
          <w:sz w:val="24"/>
          <w:szCs w:val="24"/>
          <w:shd w:val="clear" w:color="auto" w:fill="FFFFFF"/>
        </w:rPr>
        <w:t>āmi</w:t>
      </w:r>
    </w:p>
    <w:p w14:paraId="00136A60" w14:textId="77777777" w:rsidR="00C6002C" w:rsidRPr="00287196" w:rsidRDefault="00C6002C" w:rsidP="00C6002C">
      <w:pPr>
        <w:pStyle w:val="FootnoteText"/>
        <w:numPr>
          <w:ilvl w:val="0"/>
          <w:numId w:val="3"/>
        </w:numPr>
        <w:spacing w:line="360" w:lineRule="auto"/>
        <w:rPr>
          <w:rFonts w:ascii="Brill" w:hAnsi="Brill"/>
          <w:color w:val="000000"/>
          <w:sz w:val="24"/>
          <w:szCs w:val="24"/>
          <w:shd w:val="clear" w:color="auto" w:fill="FFFFFF"/>
          <w:lang w:val="en-US"/>
        </w:rPr>
      </w:pPr>
      <w:bookmarkStart w:id="9" w:name="_Hlk29576769"/>
      <w:r w:rsidRPr="00287196">
        <w:rPr>
          <w:rFonts w:ascii="Brill" w:hAnsi="Brill"/>
          <w:color w:val="000000"/>
          <w:sz w:val="24"/>
          <w:szCs w:val="24"/>
          <w:shd w:val="clear" w:color="auto" w:fill="FFFFFF"/>
        </w:rPr>
        <w:lastRenderedPageBreak/>
        <w:t>Poonawala, I. K., &amp; Fyzee, A. A. A. (2006). </w:t>
      </w:r>
      <w:r w:rsidRPr="00287196">
        <w:rPr>
          <w:rFonts w:ascii="Brill" w:hAnsi="Brill"/>
          <w:i/>
          <w:iCs/>
          <w:sz w:val="24"/>
          <w:szCs w:val="24"/>
        </w:rPr>
        <w:t>The pillars of Islam: Da'</w:t>
      </w:r>
      <w:r w:rsidRPr="00287196">
        <w:rPr>
          <w:rFonts w:ascii="Brill" w:hAnsi="Brill"/>
          <w:sz w:val="24"/>
          <w:szCs w:val="24"/>
        </w:rPr>
        <w:t xml:space="preserve"> </w:t>
      </w:r>
      <w:r w:rsidRPr="00287196">
        <w:rPr>
          <w:rFonts w:ascii="Brill" w:hAnsi="Brill"/>
          <w:i/>
          <w:iCs/>
          <w:color w:val="000000"/>
          <w:sz w:val="24"/>
          <w:szCs w:val="24"/>
          <w:shd w:val="clear" w:color="auto" w:fill="FFFFFF"/>
        </w:rPr>
        <w:t>ā'im al-Isl</w:t>
      </w:r>
      <w:r w:rsidRPr="00287196">
        <w:rPr>
          <w:rFonts w:ascii="Brill" w:hAnsi="Brill"/>
          <w:sz w:val="24"/>
          <w:szCs w:val="24"/>
        </w:rPr>
        <w:t xml:space="preserve"> </w:t>
      </w:r>
      <w:r w:rsidRPr="00287196">
        <w:rPr>
          <w:rFonts w:ascii="Brill" w:hAnsi="Brill"/>
          <w:i/>
          <w:iCs/>
          <w:color w:val="000000"/>
          <w:sz w:val="24"/>
          <w:szCs w:val="24"/>
          <w:shd w:val="clear" w:color="auto" w:fill="FFFFFF"/>
        </w:rPr>
        <w:t>ām of al-Qād ī al-Nu’m ān: 'Ibādāt: acts of devotion and religious observances</w:t>
      </w:r>
      <w:r w:rsidRPr="00287196">
        <w:rPr>
          <w:rFonts w:ascii="Brill" w:hAnsi="Brill"/>
          <w:color w:val="000000"/>
          <w:sz w:val="24"/>
          <w:szCs w:val="24"/>
          <w:shd w:val="clear" w:color="auto" w:fill="FFFFFF"/>
        </w:rPr>
        <w:t xml:space="preserve">. New </w:t>
      </w:r>
      <w:proofErr w:type="gramStart"/>
      <w:r w:rsidRPr="00287196">
        <w:rPr>
          <w:rFonts w:ascii="Brill" w:hAnsi="Brill"/>
          <w:color w:val="000000"/>
          <w:sz w:val="24"/>
          <w:szCs w:val="24"/>
          <w:shd w:val="clear" w:color="auto" w:fill="FFFFFF"/>
        </w:rPr>
        <w:t>Delhi:Oxford</w:t>
      </w:r>
      <w:proofErr w:type="gramEnd"/>
      <w:r w:rsidRPr="00287196">
        <w:rPr>
          <w:rFonts w:ascii="Brill" w:hAnsi="Brill"/>
          <w:color w:val="000000"/>
          <w:sz w:val="24"/>
          <w:szCs w:val="24"/>
          <w:shd w:val="clear" w:color="auto" w:fill="FFFFFF"/>
        </w:rPr>
        <w:t xml:space="preserve"> University Press</w:t>
      </w:r>
    </w:p>
    <w:p w14:paraId="03E49A9A" w14:textId="77777777" w:rsidR="00C6002C" w:rsidRPr="00287196" w:rsidRDefault="00C6002C" w:rsidP="00C6002C">
      <w:pPr>
        <w:pStyle w:val="ListParagraph"/>
        <w:numPr>
          <w:ilvl w:val="0"/>
          <w:numId w:val="3"/>
        </w:numPr>
        <w:spacing w:line="360" w:lineRule="auto"/>
        <w:rPr>
          <w:rFonts w:ascii="Brill" w:hAnsi="Brill" w:cstheme="majorBidi"/>
          <w:color w:val="333333"/>
          <w:sz w:val="24"/>
          <w:szCs w:val="24"/>
          <w:shd w:val="clear" w:color="auto" w:fill="FFFFFF"/>
        </w:rPr>
      </w:pPr>
      <w:r w:rsidRPr="00287196">
        <w:rPr>
          <w:rFonts w:ascii="Brill" w:hAnsi="Brill" w:cstheme="majorBidi"/>
          <w:color w:val="333333"/>
          <w:sz w:val="24"/>
          <w:szCs w:val="24"/>
          <w:shd w:val="clear" w:color="auto" w:fill="FFFFFF"/>
        </w:rPr>
        <w:t xml:space="preserve">Reetz, Dietrich. (2010). </w:t>
      </w:r>
      <w:r w:rsidRPr="00287196">
        <w:rPr>
          <w:rFonts w:ascii="Brill" w:hAnsi="Brill" w:cstheme="majorBidi"/>
          <w:i/>
          <w:iCs/>
          <w:color w:val="333333"/>
          <w:sz w:val="24"/>
          <w:szCs w:val="24"/>
          <w:shd w:val="clear" w:color="auto" w:fill="FFFFFF"/>
        </w:rPr>
        <w:t>From Madrasa to University—the challenges and formats of Islamic Education</w:t>
      </w:r>
      <w:r w:rsidRPr="00287196">
        <w:rPr>
          <w:rFonts w:ascii="Brill" w:hAnsi="Brill" w:cstheme="majorBidi"/>
          <w:color w:val="333333"/>
          <w:sz w:val="24"/>
          <w:szCs w:val="24"/>
          <w:shd w:val="clear" w:color="auto" w:fill="FFFFFF"/>
        </w:rPr>
        <w:t>, Chapter from the book ed. by Ahmed, Akbar S. &amp; Sonn Tamara, The Sage Handbook of Islamic Studies</w:t>
      </w:r>
      <w:bookmarkEnd w:id="9"/>
    </w:p>
    <w:p w14:paraId="740BC27C" w14:textId="77777777" w:rsidR="00C6002C" w:rsidRPr="00287196" w:rsidRDefault="00C6002C" w:rsidP="00C6002C">
      <w:pPr>
        <w:pStyle w:val="ListParagraph"/>
        <w:numPr>
          <w:ilvl w:val="0"/>
          <w:numId w:val="3"/>
        </w:numPr>
        <w:spacing w:line="360" w:lineRule="auto"/>
        <w:rPr>
          <w:rFonts w:ascii="Brill" w:hAnsi="Brill" w:cstheme="majorBidi"/>
          <w:color w:val="333333"/>
          <w:sz w:val="24"/>
          <w:szCs w:val="24"/>
          <w:shd w:val="clear" w:color="auto" w:fill="FFFFFF"/>
        </w:rPr>
      </w:pPr>
      <w:r w:rsidRPr="00287196">
        <w:rPr>
          <w:rFonts w:ascii="Brill" w:hAnsi="Brill" w:cstheme="majorBidi"/>
          <w:color w:val="333333"/>
          <w:sz w:val="24"/>
          <w:szCs w:val="24"/>
          <w:shd w:val="clear" w:color="auto" w:fill="FFFFFF"/>
        </w:rPr>
        <w:t xml:space="preserve">Said, Edward W., (1995), </w:t>
      </w:r>
      <w:r w:rsidRPr="00287196">
        <w:rPr>
          <w:rFonts w:ascii="Brill" w:hAnsi="Brill" w:cstheme="majorBidi"/>
          <w:i/>
          <w:iCs/>
          <w:color w:val="333333"/>
          <w:sz w:val="24"/>
          <w:szCs w:val="24"/>
          <w:shd w:val="clear" w:color="auto" w:fill="FFFFFF"/>
        </w:rPr>
        <w:t>Orientalism: Western Concepts of the Orient</w:t>
      </w:r>
      <w:r w:rsidRPr="00287196">
        <w:rPr>
          <w:rFonts w:ascii="Brill" w:hAnsi="Brill" w:cstheme="majorBidi"/>
          <w:color w:val="333333"/>
          <w:sz w:val="24"/>
          <w:szCs w:val="24"/>
          <w:shd w:val="clear" w:color="auto" w:fill="FFFFFF"/>
        </w:rPr>
        <w:t>, New Delhi: Penguin Books India</w:t>
      </w:r>
    </w:p>
    <w:p w14:paraId="023113EB" w14:textId="77777777" w:rsidR="00C6002C" w:rsidRPr="00287196" w:rsidRDefault="00C6002C" w:rsidP="00C6002C">
      <w:pPr>
        <w:pStyle w:val="ListParagraph"/>
        <w:numPr>
          <w:ilvl w:val="0"/>
          <w:numId w:val="3"/>
        </w:numPr>
        <w:spacing w:line="360" w:lineRule="auto"/>
        <w:rPr>
          <w:rFonts w:ascii="Brill" w:hAnsi="Brill" w:cstheme="majorBidi"/>
          <w:sz w:val="24"/>
          <w:szCs w:val="24"/>
        </w:rPr>
      </w:pPr>
      <w:r w:rsidRPr="00287196">
        <w:rPr>
          <w:rFonts w:ascii="Brill" w:hAnsi="Brill" w:cstheme="majorBidi"/>
          <w:sz w:val="24"/>
          <w:szCs w:val="24"/>
        </w:rPr>
        <w:t xml:space="preserve">Watt. W. M. (1961) </w:t>
      </w:r>
      <w:r w:rsidRPr="00287196">
        <w:rPr>
          <w:rFonts w:ascii="Brill" w:hAnsi="Brill" w:cstheme="majorBidi"/>
          <w:i/>
          <w:iCs/>
          <w:sz w:val="24"/>
          <w:szCs w:val="24"/>
        </w:rPr>
        <w:t>Muhammad, Prophet and Statesman</w:t>
      </w:r>
      <w:r w:rsidRPr="00287196">
        <w:rPr>
          <w:rFonts w:ascii="Brill" w:hAnsi="Brill" w:cstheme="majorBidi"/>
          <w:sz w:val="24"/>
          <w:szCs w:val="24"/>
        </w:rPr>
        <w:t>, London: University Press</w:t>
      </w:r>
      <w:bookmarkEnd w:id="5"/>
    </w:p>
    <w:p w14:paraId="2FD5CC01" w14:textId="77777777" w:rsidR="00C6002C" w:rsidRPr="00287196" w:rsidRDefault="00C6002C" w:rsidP="00C6002C">
      <w:pPr>
        <w:spacing w:line="360" w:lineRule="auto"/>
        <w:rPr>
          <w:rFonts w:ascii="Brill" w:hAnsi="Brill" w:cstheme="majorBidi"/>
          <w:sz w:val="24"/>
          <w:szCs w:val="24"/>
        </w:rPr>
      </w:pPr>
      <w:r w:rsidRPr="00287196">
        <w:rPr>
          <w:rFonts w:ascii="Brill" w:hAnsi="Brill" w:cstheme="majorBidi"/>
          <w:sz w:val="24"/>
          <w:szCs w:val="24"/>
        </w:rPr>
        <w:t>Other Websites</w:t>
      </w:r>
    </w:p>
    <w:p w14:paraId="38000D98" w14:textId="77777777" w:rsidR="00C6002C" w:rsidRPr="00287196" w:rsidRDefault="00C6002C" w:rsidP="00C6002C">
      <w:pPr>
        <w:pStyle w:val="ListParagraph"/>
        <w:numPr>
          <w:ilvl w:val="0"/>
          <w:numId w:val="7"/>
        </w:numPr>
        <w:spacing w:line="360" w:lineRule="auto"/>
        <w:rPr>
          <w:rStyle w:val="Hyperlink"/>
          <w:rFonts w:ascii="Brill" w:hAnsi="Brill"/>
          <w:sz w:val="24"/>
          <w:szCs w:val="24"/>
        </w:rPr>
      </w:pPr>
      <w:hyperlink r:id="rId20" w:history="1">
        <w:r w:rsidRPr="00287196">
          <w:rPr>
            <w:rStyle w:val="Hyperlink"/>
            <w:rFonts w:ascii="Brill" w:hAnsi="Brill"/>
            <w:sz w:val="24"/>
            <w:szCs w:val="24"/>
          </w:rPr>
          <w:t>https://www.soas.ac.uk/nme/programmes/baarabislstud/</w:t>
        </w:r>
      </w:hyperlink>
    </w:p>
    <w:p w14:paraId="751658C8" w14:textId="77777777" w:rsidR="00C6002C" w:rsidRPr="00287196" w:rsidRDefault="00C6002C" w:rsidP="00C6002C">
      <w:pPr>
        <w:pStyle w:val="FootnoteText"/>
        <w:numPr>
          <w:ilvl w:val="0"/>
          <w:numId w:val="7"/>
        </w:numPr>
        <w:spacing w:line="360" w:lineRule="auto"/>
        <w:rPr>
          <w:rStyle w:val="Hyperlink"/>
          <w:rFonts w:ascii="Brill" w:hAnsi="Brill"/>
          <w:sz w:val="24"/>
          <w:szCs w:val="24"/>
        </w:rPr>
      </w:pPr>
      <w:hyperlink r:id="rId21" w:history="1">
        <w:r w:rsidRPr="00287196">
          <w:rPr>
            <w:rStyle w:val="Hyperlink"/>
            <w:rFonts w:ascii="Brill" w:hAnsi="Brill"/>
            <w:sz w:val="24"/>
            <w:szCs w:val="24"/>
          </w:rPr>
          <w:t>https://www.soas.ac.uk/nme/programmes/maislstud/</w:t>
        </w:r>
      </w:hyperlink>
    </w:p>
    <w:p w14:paraId="7558E551" w14:textId="77777777" w:rsidR="00C6002C" w:rsidRPr="00287196" w:rsidRDefault="00C6002C" w:rsidP="00C6002C">
      <w:pPr>
        <w:pStyle w:val="FootnoteText"/>
        <w:numPr>
          <w:ilvl w:val="0"/>
          <w:numId w:val="7"/>
        </w:numPr>
        <w:spacing w:line="360" w:lineRule="auto"/>
        <w:rPr>
          <w:rStyle w:val="Hyperlink"/>
          <w:rFonts w:ascii="Brill" w:hAnsi="Brill"/>
          <w:sz w:val="24"/>
          <w:szCs w:val="24"/>
        </w:rPr>
      </w:pPr>
      <w:hyperlink r:id="rId22" w:anchor="tab-1" w:history="1">
        <w:r w:rsidRPr="00287196">
          <w:rPr>
            <w:rStyle w:val="Hyperlink"/>
            <w:rFonts w:ascii="Brill" w:hAnsi="Brill"/>
            <w:sz w:val="24"/>
            <w:szCs w:val="24"/>
          </w:rPr>
          <w:t>https://studiegids.universiteitleiden.nl/en/studies/6773/middle-eastern-studies-islamic-studies#tab-1</w:t>
        </w:r>
      </w:hyperlink>
    </w:p>
    <w:p w14:paraId="6E624D95" w14:textId="77777777" w:rsidR="00C6002C" w:rsidRPr="00287196" w:rsidRDefault="00C6002C" w:rsidP="00C6002C">
      <w:pPr>
        <w:pStyle w:val="FootnoteText"/>
        <w:numPr>
          <w:ilvl w:val="0"/>
          <w:numId w:val="7"/>
        </w:numPr>
        <w:spacing w:line="360" w:lineRule="auto"/>
        <w:rPr>
          <w:rStyle w:val="Hyperlink"/>
          <w:rFonts w:ascii="Brill" w:hAnsi="Brill"/>
          <w:sz w:val="24"/>
          <w:szCs w:val="24"/>
        </w:rPr>
      </w:pPr>
      <w:hyperlink r:id="rId23" w:history="1">
        <w:r w:rsidRPr="00287196">
          <w:rPr>
            <w:rStyle w:val="Hyperlink"/>
            <w:rFonts w:ascii="Brill" w:hAnsi="Brill"/>
            <w:sz w:val="24"/>
            <w:szCs w:val="24"/>
          </w:rPr>
          <w:t>http://socialsciences.exeter.ac.uk/iais/about/</w:t>
        </w:r>
      </w:hyperlink>
    </w:p>
    <w:p w14:paraId="4C474264" w14:textId="77777777" w:rsidR="00C6002C" w:rsidRPr="00287196" w:rsidRDefault="00C6002C" w:rsidP="00C6002C">
      <w:pPr>
        <w:pStyle w:val="FootnoteText"/>
        <w:numPr>
          <w:ilvl w:val="0"/>
          <w:numId w:val="7"/>
        </w:numPr>
        <w:spacing w:line="360" w:lineRule="auto"/>
        <w:rPr>
          <w:rStyle w:val="Hyperlink"/>
          <w:rFonts w:ascii="Brill" w:hAnsi="Brill"/>
          <w:sz w:val="24"/>
          <w:szCs w:val="24"/>
        </w:rPr>
      </w:pPr>
      <w:hyperlink r:id="rId24" w:history="1">
        <w:r w:rsidRPr="00287196">
          <w:rPr>
            <w:rStyle w:val="Hyperlink"/>
            <w:rFonts w:ascii="Brill" w:hAnsi="Brill"/>
            <w:sz w:val="24"/>
            <w:szCs w:val="24"/>
          </w:rPr>
          <w:t>https://imamu.edu.sa/en/about/Pages/default.aspx</w:t>
        </w:r>
      </w:hyperlink>
      <w:r w:rsidRPr="00287196">
        <w:rPr>
          <w:rStyle w:val="Hyperlink"/>
          <w:rFonts w:ascii="Brill" w:hAnsi="Brill"/>
          <w:sz w:val="24"/>
          <w:szCs w:val="24"/>
        </w:rPr>
        <w:tab/>
      </w:r>
    </w:p>
    <w:p w14:paraId="64CADA81" w14:textId="77777777" w:rsidR="00C6002C" w:rsidRPr="00287196" w:rsidRDefault="00C6002C" w:rsidP="00C6002C">
      <w:pPr>
        <w:pStyle w:val="FootnoteText"/>
        <w:numPr>
          <w:ilvl w:val="0"/>
          <w:numId w:val="7"/>
        </w:numPr>
        <w:spacing w:line="360" w:lineRule="auto"/>
        <w:rPr>
          <w:rStyle w:val="Hyperlink"/>
          <w:rFonts w:ascii="Brill" w:hAnsi="Brill"/>
          <w:sz w:val="24"/>
          <w:szCs w:val="24"/>
        </w:rPr>
      </w:pPr>
      <w:r w:rsidRPr="00287196">
        <w:rPr>
          <w:rStyle w:val="Hyperlink"/>
          <w:rFonts w:ascii="Brill" w:hAnsi="Brill"/>
          <w:sz w:val="24"/>
          <w:szCs w:val="24"/>
        </w:rPr>
        <w:t xml:space="preserve">  </w:t>
      </w:r>
      <w:hyperlink r:id="rId25" w:history="1">
        <w:r w:rsidRPr="00287196">
          <w:rPr>
            <w:rStyle w:val="Hyperlink"/>
            <w:rFonts w:ascii="Brill" w:hAnsi="Brill"/>
            <w:sz w:val="24"/>
            <w:szCs w:val="24"/>
          </w:rPr>
          <w:t>https://enweb.iu.edu.sa/site_page/20975</w:t>
        </w:r>
      </w:hyperlink>
      <w:r w:rsidRPr="00287196">
        <w:rPr>
          <w:rStyle w:val="Hyperlink"/>
          <w:rFonts w:ascii="Brill" w:hAnsi="Brill"/>
          <w:sz w:val="24"/>
          <w:szCs w:val="24"/>
        </w:rPr>
        <w:tab/>
      </w:r>
    </w:p>
    <w:p w14:paraId="552D8172" w14:textId="77777777" w:rsidR="00C6002C" w:rsidRPr="00287196" w:rsidRDefault="00C6002C" w:rsidP="00C6002C">
      <w:pPr>
        <w:pStyle w:val="FootnoteText"/>
        <w:numPr>
          <w:ilvl w:val="0"/>
          <w:numId w:val="7"/>
        </w:numPr>
        <w:spacing w:line="360" w:lineRule="auto"/>
        <w:rPr>
          <w:rStyle w:val="Hyperlink"/>
          <w:rFonts w:ascii="Brill" w:hAnsi="Brill"/>
          <w:color w:val="auto"/>
          <w:sz w:val="24"/>
          <w:szCs w:val="24"/>
          <w:u w:val="none"/>
          <w:lang w:val="en-US"/>
        </w:rPr>
      </w:pPr>
      <w:r w:rsidRPr="00287196">
        <w:rPr>
          <w:rStyle w:val="Hyperlink"/>
          <w:rFonts w:ascii="Brill" w:hAnsi="Brill"/>
          <w:sz w:val="24"/>
          <w:szCs w:val="24"/>
        </w:rPr>
        <w:t xml:space="preserve"> </w:t>
      </w:r>
      <w:hyperlink r:id="rId26" w:history="1">
        <w:r w:rsidRPr="00287196">
          <w:rPr>
            <w:rStyle w:val="Hyperlink"/>
            <w:rFonts w:ascii="Brill" w:hAnsi="Brill"/>
            <w:sz w:val="24"/>
            <w:szCs w:val="24"/>
          </w:rPr>
          <w:t>https://www.uii.ac.id/international/about-oia__trashed/office-of-international-affairs-at-a-glance/</w:t>
        </w:r>
      </w:hyperlink>
    </w:p>
    <w:p w14:paraId="4DCBD28C" w14:textId="77777777" w:rsidR="00C6002C" w:rsidRPr="00287196" w:rsidRDefault="00C6002C" w:rsidP="00C6002C">
      <w:pPr>
        <w:pStyle w:val="FootnoteText"/>
        <w:numPr>
          <w:ilvl w:val="0"/>
          <w:numId w:val="7"/>
        </w:numPr>
        <w:spacing w:line="360" w:lineRule="auto"/>
        <w:rPr>
          <w:rFonts w:ascii="Brill" w:hAnsi="Brill"/>
          <w:sz w:val="24"/>
          <w:szCs w:val="24"/>
          <w:lang w:val="en-US"/>
        </w:rPr>
      </w:pPr>
      <w:hyperlink r:id="rId27" w:history="1">
        <w:r w:rsidRPr="00287196">
          <w:rPr>
            <w:rStyle w:val="Hyperlink"/>
            <w:rFonts w:ascii="Brill" w:hAnsi="Brill"/>
            <w:sz w:val="24"/>
            <w:szCs w:val="24"/>
            <w:lang w:val="en-US"/>
          </w:rPr>
          <w:t>https://azhar.live/</w:t>
        </w:r>
      </w:hyperlink>
      <w:r w:rsidRPr="00287196">
        <w:rPr>
          <w:rFonts w:ascii="Brill" w:hAnsi="Brill"/>
          <w:sz w:val="24"/>
          <w:szCs w:val="24"/>
          <w:lang w:val="en-US"/>
        </w:rPr>
        <w:tab/>
      </w:r>
    </w:p>
    <w:p w14:paraId="1F59206D" w14:textId="77777777" w:rsidR="00C6002C" w:rsidRPr="00287196" w:rsidRDefault="00C6002C" w:rsidP="00C6002C">
      <w:pPr>
        <w:pStyle w:val="ListParagraph"/>
        <w:numPr>
          <w:ilvl w:val="0"/>
          <w:numId w:val="7"/>
        </w:numPr>
        <w:spacing w:line="360" w:lineRule="auto"/>
        <w:rPr>
          <w:rFonts w:ascii="Brill" w:hAnsi="Brill" w:cstheme="majorBidi"/>
          <w:sz w:val="24"/>
          <w:szCs w:val="24"/>
        </w:rPr>
      </w:pPr>
      <w:r w:rsidRPr="00287196">
        <w:rPr>
          <w:rFonts w:ascii="Brill" w:hAnsi="Brill"/>
          <w:sz w:val="24"/>
          <w:szCs w:val="24"/>
          <w:lang w:val="en-US"/>
        </w:rPr>
        <w:t xml:space="preserve">  </w:t>
      </w:r>
      <w:hyperlink r:id="rId28" w:history="1">
        <w:r w:rsidRPr="00287196">
          <w:rPr>
            <w:rStyle w:val="Hyperlink"/>
            <w:rFonts w:ascii="Brill" w:hAnsi="Brill"/>
            <w:sz w:val="24"/>
            <w:szCs w:val="24"/>
            <w:lang w:val="en-US"/>
          </w:rPr>
          <w:t>http://uaq.ma/</w:t>
        </w:r>
      </w:hyperlink>
    </w:p>
    <w:p w14:paraId="6318CA21" w14:textId="77777777" w:rsidR="000E6B4D" w:rsidRDefault="000E6B4D"/>
    <w:sectPr w:rsidR="000E6B4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FD2F2D" w14:textId="77777777" w:rsidR="00274627" w:rsidRDefault="00274627" w:rsidP="00C6002C">
      <w:pPr>
        <w:spacing w:after="0" w:line="240" w:lineRule="auto"/>
      </w:pPr>
      <w:r>
        <w:separator/>
      </w:r>
    </w:p>
  </w:endnote>
  <w:endnote w:type="continuationSeparator" w:id="0">
    <w:p w14:paraId="5D670947" w14:textId="77777777" w:rsidR="00274627" w:rsidRDefault="00274627" w:rsidP="00C60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rill">
    <w:altName w:val="Cambria"/>
    <w:panose1 w:val="00000000000000000000"/>
    <w:charset w:val="00"/>
    <w:family w:val="roman"/>
    <w:notTrueType/>
    <w:pitch w:val="default"/>
  </w:font>
  <w:font w:name="MinionPro-Regular">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A3DDD9" w14:textId="77777777" w:rsidR="00274627" w:rsidRDefault="00274627" w:rsidP="00C6002C">
      <w:pPr>
        <w:spacing w:after="0" w:line="240" w:lineRule="auto"/>
      </w:pPr>
      <w:r>
        <w:separator/>
      </w:r>
    </w:p>
  </w:footnote>
  <w:footnote w:type="continuationSeparator" w:id="0">
    <w:p w14:paraId="1F9671A9" w14:textId="77777777" w:rsidR="00274627" w:rsidRDefault="00274627" w:rsidP="00C6002C">
      <w:pPr>
        <w:spacing w:after="0" w:line="240" w:lineRule="auto"/>
      </w:pPr>
      <w:r>
        <w:continuationSeparator/>
      </w:r>
    </w:p>
  </w:footnote>
  <w:footnote w:id="1">
    <w:p w14:paraId="393DA7BA" w14:textId="77777777" w:rsidR="00C6002C" w:rsidRPr="00F00C04" w:rsidRDefault="00C6002C" w:rsidP="00C6002C">
      <w:pPr>
        <w:pStyle w:val="FootnoteText"/>
        <w:rPr>
          <w:rFonts w:ascii="Brill" w:hAnsi="Brill"/>
          <w:lang w:val="en-US"/>
        </w:rPr>
      </w:pPr>
      <w:r>
        <w:rPr>
          <w:rStyle w:val="FootnoteReference"/>
        </w:rPr>
        <w:footnoteRef/>
      </w:r>
      <w:r>
        <w:t xml:space="preserve"> </w:t>
      </w:r>
      <w:r w:rsidRPr="00F00C04">
        <w:rPr>
          <w:rFonts w:ascii="Brill" w:hAnsi="Brill"/>
        </w:rPr>
        <w:t>Enache, B. (2010). What Is the West? The Independent Review, 14(3), 450-453.</w:t>
      </w:r>
      <w:r w:rsidRPr="00F00C04">
        <w:rPr>
          <w:rFonts w:ascii="Brill" w:hAnsi="Brill" w:cs="Arial"/>
          <w:color w:val="333333"/>
          <w:shd w:val="clear" w:color="auto" w:fill="FFFFFF"/>
        </w:rPr>
        <w:tab/>
      </w:r>
    </w:p>
  </w:footnote>
  <w:footnote w:id="2">
    <w:p w14:paraId="0D5851E8" w14:textId="77777777" w:rsidR="00C6002C" w:rsidRPr="00F00C04" w:rsidRDefault="00C6002C" w:rsidP="00C6002C">
      <w:pPr>
        <w:pStyle w:val="FootnoteText"/>
        <w:rPr>
          <w:rFonts w:ascii="Brill" w:hAnsi="Brill"/>
        </w:rPr>
      </w:pPr>
      <w:r w:rsidRPr="00F00C04">
        <w:rPr>
          <w:rStyle w:val="FootnoteReference"/>
          <w:rFonts w:ascii="Brill" w:hAnsi="Brill"/>
        </w:rPr>
        <w:footnoteRef/>
      </w:r>
      <w:r w:rsidRPr="00F00C04">
        <w:rPr>
          <w:rFonts w:ascii="Brill" w:hAnsi="Brill"/>
        </w:rPr>
        <w:t xml:space="preserve"> </w:t>
      </w:r>
      <w:r w:rsidRPr="00F00C04">
        <w:rPr>
          <w:rFonts w:ascii="Brill" w:hAnsi="Brill"/>
          <w:lang w:val="en-US"/>
        </w:rPr>
        <w:t>Said, Edward W., (1995), Orientalism: Western Concepts of the Orient, New Delhi: Penguin Books India</w:t>
      </w:r>
    </w:p>
  </w:footnote>
  <w:footnote w:id="3">
    <w:p w14:paraId="104AE1C3" w14:textId="77777777" w:rsidR="00C6002C" w:rsidRPr="00F00C04" w:rsidRDefault="00C6002C" w:rsidP="00C6002C">
      <w:pPr>
        <w:pStyle w:val="FootnoteText"/>
        <w:rPr>
          <w:rFonts w:ascii="Brill" w:hAnsi="Brill"/>
          <w:lang w:val="en-US"/>
        </w:rPr>
      </w:pPr>
      <w:r w:rsidRPr="00F00C04">
        <w:rPr>
          <w:rStyle w:val="FootnoteReference"/>
          <w:rFonts w:ascii="Brill" w:hAnsi="Brill"/>
        </w:rPr>
        <w:footnoteRef/>
      </w:r>
      <w:r w:rsidRPr="00F00C04">
        <w:rPr>
          <w:rFonts w:ascii="Brill" w:hAnsi="Brill"/>
        </w:rPr>
        <w:t xml:space="preserve"> </w:t>
      </w:r>
      <w:r w:rsidRPr="00F00C04">
        <w:rPr>
          <w:rFonts w:ascii="Brill" w:hAnsi="Brill"/>
          <w:lang w:val="en-US"/>
        </w:rPr>
        <w:t>See Philiipe Nemo’s views</w:t>
      </w:r>
      <w:r>
        <w:rPr>
          <w:rFonts w:ascii="Brill" w:hAnsi="Brill"/>
          <w:lang w:val="en-US"/>
        </w:rPr>
        <w:t>,</w:t>
      </w:r>
      <w:r w:rsidRPr="00F00C04">
        <w:rPr>
          <w:rFonts w:ascii="Brill" w:hAnsi="Brill"/>
          <w:lang w:val="en-US"/>
        </w:rPr>
        <w:t xml:space="preserve"> for example</w:t>
      </w:r>
      <w:r>
        <w:rPr>
          <w:rFonts w:ascii="Brill" w:hAnsi="Brill"/>
          <w:lang w:val="en-US"/>
        </w:rPr>
        <w:t>,</w:t>
      </w:r>
      <w:r w:rsidRPr="00F00C04">
        <w:rPr>
          <w:rFonts w:ascii="Brill" w:hAnsi="Brill"/>
          <w:lang w:val="en-US"/>
        </w:rPr>
        <w:t xml:space="preserve"> in his book “</w:t>
      </w:r>
      <w:r w:rsidRPr="00F00C04">
        <w:rPr>
          <w:rFonts w:ascii="Brill" w:hAnsi="Brill"/>
          <w:i/>
          <w:iCs/>
        </w:rPr>
        <w:t>What is the West</w:t>
      </w:r>
      <w:r w:rsidRPr="00F00C04">
        <w:rPr>
          <w:rFonts w:ascii="Brill" w:hAnsi="Brill"/>
        </w:rPr>
        <w:t xml:space="preserve">?”, translated by Kenneth Casler. For a different perspective see Anievas, Alexander, &amp; Nişancıoğlu, Kerem. (2015). </w:t>
      </w:r>
      <w:r w:rsidRPr="00F00C04">
        <w:rPr>
          <w:rFonts w:ascii="Brill" w:hAnsi="Brill"/>
          <w:i/>
          <w:iCs/>
        </w:rPr>
        <w:t>How the West Came to Rule</w:t>
      </w:r>
      <w:r w:rsidRPr="00F00C04">
        <w:rPr>
          <w:rFonts w:ascii="Brill" w:hAnsi="Brill"/>
        </w:rPr>
        <w:t>. Pluto Press</w:t>
      </w:r>
    </w:p>
  </w:footnote>
  <w:footnote w:id="4">
    <w:p w14:paraId="23C3BD53" w14:textId="77777777" w:rsidR="00C6002C" w:rsidRPr="00F00C04" w:rsidRDefault="00C6002C" w:rsidP="00C6002C">
      <w:pPr>
        <w:pStyle w:val="FootnoteText"/>
        <w:rPr>
          <w:rFonts w:ascii="Brill" w:hAnsi="Brill"/>
          <w:lang w:val="en-US"/>
        </w:rPr>
      </w:pPr>
      <w:r w:rsidRPr="00F00C04">
        <w:rPr>
          <w:rStyle w:val="FootnoteReference"/>
          <w:rFonts w:ascii="Brill" w:hAnsi="Brill"/>
        </w:rPr>
        <w:footnoteRef/>
      </w:r>
      <w:r w:rsidRPr="00F00C04">
        <w:rPr>
          <w:rFonts w:ascii="Brill" w:hAnsi="Brill"/>
        </w:rPr>
        <w:t xml:space="preserve"> Said attributed this to the psyche of the Europeans and their ambitions.</w:t>
      </w:r>
      <w:r w:rsidRPr="00F00C04">
        <w:rPr>
          <w:rFonts w:ascii="Brill" w:hAnsi="Brill"/>
          <w:lang w:val="en-US"/>
        </w:rPr>
        <w:t xml:space="preserve"> Said (1995:2)</w:t>
      </w:r>
    </w:p>
  </w:footnote>
  <w:footnote w:id="5">
    <w:p w14:paraId="2742D792" w14:textId="77777777" w:rsidR="00C6002C" w:rsidRPr="00F00C04" w:rsidRDefault="00C6002C" w:rsidP="00C6002C">
      <w:pPr>
        <w:pStyle w:val="FootnoteText"/>
        <w:rPr>
          <w:rFonts w:ascii="Brill" w:hAnsi="Brill"/>
        </w:rPr>
      </w:pPr>
      <w:r w:rsidRPr="00F00C04">
        <w:rPr>
          <w:rStyle w:val="FootnoteReference"/>
          <w:rFonts w:ascii="Brill" w:hAnsi="Brill"/>
        </w:rPr>
        <w:footnoteRef/>
      </w:r>
      <w:r w:rsidRPr="00F00C04">
        <w:rPr>
          <w:rFonts w:ascii="Brill" w:hAnsi="Brill"/>
        </w:rPr>
        <w:t xml:space="preserve"> Said (1995:32-34)</w:t>
      </w:r>
    </w:p>
  </w:footnote>
  <w:footnote w:id="6">
    <w:p w14:paraId="4A54BB47" w14:textId="77777777" w:rsidR="00C6002C" w:rsidRPr="00F00C04" w:rsidRDefault="00C6002C" w:rsidP="00C6002C">
      <w:pPr>
        <w:pStyle w:val="FootnoteText"/>
        <w:rPr>
          <w:rFonts w:ascii="Brill" w:hAnsi="Brill"/>
          <w:lang w:val="en-US"/>
        </w:rPr>
      </w:pPr>
      <w:r w:rsidRPr="00F00C04">
        <w:rPr>
          <w:rStyle w:val="FootnoteReference"/>
          <w:rFonts w:ascii="Brill" w:hAnsi="Brill"/>
        </w:rPr>
        <w:footnoteRef/>
      </w:r>
      <w:r w:rsidRPr="00F00C04">
        <w:rPr>
          <w:rFonts w:ascii="Brill" w:hAnsi="Brill"/>
        </w:rPr>
        <w:t xml:space="preserve"> Anievas and Nişancıoğlu (2015: 121-168)</w:t>
      </w:r>
    </w:p>
  </w:footnote>
  <w:footnote w:id="7">
    <w:p w14:paraId="2FA17852" w14:textId="77777777" w:rsidR="00C6002C" w:rsidRPr="00F00C04" w:rsidRDefault="00C6002C" w:rsidP="00C6002C">
      <w:pPr>
        <w:pStyle w:val="FootnoteText"/>
        <w:rPr>
          <w:rFonts w:ascii="Brill" w:hAnsi="Brill"/>
        </w:rPr>
      </w:pPr>
      <w:r w:rsidRPr="00F00C04">
        <w:rPr>
          <w:rStyle w:val="FootnoteReference"/>
          <w:rFonts w:ascii="Brill" w:hAnsi="Brill"/>
        </w:rPr>
        <w:footnoteRef/>
      </w:r>
      <w:r w:rsidRPr="00F00C04">
        <w:rPr>
          <w:rFonts w:ascii="Brill" w:hAnsi="Brill"/>
        </w:rPr>
        <w:t xml:space="preserve"> Motadel, D., (2012). Islam and the European Empires, </w:t>
      </w:r>
      <w:r w:rsidRPr="00F00C04">
        <w:rPr>
          <w:rFonts w:ascii="Brill" w:hAnsi="Brill"/>
          <w:i/>
          <w:iCs/>
        </w:rPr>
        <w:t>The Historical Journal</w:t>
      </w:r>
      <w:r w:rsidRPr="00F00C04">
        <w:rPr>
          <w:rFonts w:ascii="Brill" w:hAnsi="Brill"/>
        </w:rPr>
        <w:t>, 55(3), 831-856</w:t>
      </w:r>
    </w:p>
  </w:footnote>
  <w:footnote w:id="8">
    <w:p w14:paraId="6091C059" w14:textId="77777777" w:rsidR="00C6002C" w:rsidRPr="00F00C04" w:rsidRDefault="00C6002C" w:rsidP="00C6002C">
      <w:pPr>
        <w:pStyle w:val="FootnoteText"/>
        <w:rPr>
          <w:rFonts w:ascii="Brill" w:hAnsi="Brill"/>
          <w:lang w:val="en-US"/>
        </w:rPr>
      </w:pPr>
      <w:r w:rsidRPr="00F00C04">
        <w:rPr>
          <w:rStyle w:val="FootnoteReference"/>
          <w:rFonts w:ascii="Brill" w:hAnsi="Brill"/>
        </w:rPr>
        <w:footnoteRef/>
      </w:r>
      <w:r w:rsidRPr="00F00C04">
        <w:rPr>
          <w:rFonts w:ascii="Brill" w:hAnsi="Brill"/>
        </w:rPr>
        <w:t xml:space="preserve"> Said (1995: 59-60)</w:t>
      </w:r>
    </w:p>
  </w:footnote>
  <w:footnote w:id="9">
    <w:p w14:paraId="528CF903" w14:textId="77777777" w:rsidR="00C6002C" w:rsidRPr="00F00C04" w:rsidRDefault="00C6002C" w:rsidP="00C6002C">
      <w:pPr>
        <w:pStyle w:val="FootnoteText"/>
        <w:rPr>
          <w:rFonts w:ascii="Brill" w:hAnsi="Brill"/>
        </w:rPr>
      </w:pPr>
      <w:r w:rsidRPr="00F00C04">
        <w:rPr>
          <w:rStyle w:val="FootnoteReference"/>
          <w:rFonts w:ascii="Brill" w:hAnsi="Brill"/>
        </w:rPr>
        <w:footnoteRef/>
      </w:r>
      <w:r w:rsidRPr="00F00C04">
        <w:rPr>
          <w:rFonts w:ascii="Brill" w:hAnsi="Brill"/>
        </w:rPr>
        <w:t xml:space="preserve"> Ernst, Carl W. &amp; Martin, Richard C., (2010) pg. 18, Introduction Toward a Post-Orientalist Approach to Islamic Religious Studies, sc.edu,</w:t>
      </w:r>
    </w:p>
  </w:footnote>
  <w:footnote w:id="10">
    <w:p w14:paraId="0539CA66" w14:textId="77777777" w:rsidR="00C6002C" w:rsidRPr="00F00C04" w:rsidRDefault="00C6002C" w:rsidP="00C6002C">
      <w:pPr>
        <w:pStyle w:val="FootnoteText"/>
        <w:rPr>
          <w:rFonts w:ascii="Brill" w:hAnsi="Brill"/>
        </w:rPr>
      </w:pPr>
      <w:r w:rsidRPr="00F00C04">
        <w:rPr>
          <w:rStyle w:val="FootnoteReference"/>
          <w:rFonts w:ascii="Brill" w:hAnsi="Brill"/>
        </w:rPr>
        <w:footnoteRef/>
      </w:r>
      <w:r w:rsidRPr="00F00C04">
        <w:rPr>
          <w:rFonts w:ascii="Brill" w:hAnsi="Brill"/>
        </w:rPr>
        <w:t xml:space="preserve"> </w:t>
      </w:r>
      <w:r w:rsidRPr="00F00C04">
        <w:rPr>
          <w:rFonts w:ascii="Brill" w:hAnsi="Brill" w:cs="Arial"/>
          <w:color w:val="333333"/>
          <w:shd w:val="clear" w:color="auto" w:fill="FFFFFF"/>
        </w:rPr>
        <w:t xml:space="preserve">Reetz, Dietrich., (2010), pg. 108 From Madrasa to University—the challenges and formats of Islamic Education, Chapter from the book ed. by Ahmed, Akbar S. &amp; Sonn Tamara, </w:t>
      </w:r>
      <w:r w:rsidRPr="00F00C04">
        <w:rPr>
          <w:rFonts w:ascii="Brill" w:hAnsi="Brill" w:cs="Arial"/>
          <w:i/>
          <w:iCs/>
          <w:color w:val="333333"/>
          <w:shd w:val="clear" w:color="auto" w:fill="FFFFFF"/>
        </w:rPr>
        <w:t>The Sage Handbook of Islamic Studies</w:t>
      </w:r>
    </w:p>
  </w:footnote>
  <w:footnote w:id="11">
    <w:p w14:paraId="15166A86" w14:textId="77777777" w:rsidR="00C6002C" w:rsidRPr="00F00C04" w:rsidRDefault="00C6002C" w:rsidP="00C6002C">
      <w:pPr>
        <w:pStyle w:val="FootnoteText"/>
        <w:rPr>
          <w:rFonts w:ascii="Brill" w:hAnsi="Brill"/>
          <w:lang w:val="en-US"/>
        </w:rPr>
      </w:pPr>
      <w:r w:rsidRPr="00F00C04">
        <w:rPr>
          <w:rStyle w:val="FootnoteReference"/>
          <w:rFonts w:ascii="Brill" w:hAnsi="Brill"/>
        </w:rPr>
        <w:footnoteRef/>
      </w:r>
      <w:r w:rsidRPr="00F00C04">
        <w:rPr>
          <w:rFonts w:ascii="Brill" w:hAnsi="Brill"/>
        </w:rPr>
        <w:t xml:space="preserve"> </w:t>
      </w:r>
      <w:r w:rsidRPr="00F00C04">
        <w:rPr>
          <w:rFonts w:ascii="Brill" w:hAnsi="Brill" w:cs="Arial"/>
          <w:color w:val="333333"/>
          <w:shd w:val="clear" w:color="auto" w:fill="FFFFFF"/>
        </w:rPr>
        <w:t>Meyendorff, J. (1964). Byzantine Views of Islam. </w:t>
      </w:r>
      <w:r w:rsidRPr="00F00C04">
        <w:rPr>
          <w:rFonts w:ascii="Brill" w:hAnsi="Brill" w:cs="Arial"/>
          <w:i/>
          <w:iCs/>
          <w:color w:val="333333"/>
          <w:shd w:val="clear" w:color="auto" w:fill="FFFFFF"/>
        </w:rPr>
        <w:t>Dumbarton Oaks Papers,</w:t>
      </w:r>
      <w:r w:rsidRPr="00F00C04">
        <w:rPr>
          <w:rFonts w:ascii="Brill" w:hAnsi="Brill" w:cs="Arial"/>
          <w:color w:val="333333"/>
          <w:shd w:val="clear" w:color="auto" w:fill="FFFFFF"/>
        </w:rPr>
        <w:t> </w:t>
      </w:r>
      <w:r w:rsidRPr="00F00C04">
        <w:rPr>
          <w:rFonts w:ascii="Brill" w:hAnsi="Brill" w:cs="Arial"/>
          <w:i/>
          <w:iCs/>
          <w:color w:val="333333"/>
          <w:shd w:val="clear" w:color="auto" w:fill="FFFFFF"/>
        </w:rPr>
        <w:t>18</w:t>
      </w:r>
      <w:r w:rsidRPr="00F00C04">
        <w:rPr>
          <w:rFonts w:ascii="Brill" w:hAnsi="Brill" w:cs="Arial"/>
          <w:color w:val="333333"/>
          <w:shd w:val="clear" w:color="auto" w:fill="FFFFFF"/>
        </w:rPr>
        <w:t>, 113-132</w:t>
      </w:r>
    </w:p>
  </w:footnote>
  <w:footnote w:id="12">
    <w:p w14:paraId="18014464" w14:textId="77777777" w:rsidR="00C6002C" w:rsidRPr="00F00C04" w:rsidRDefault="00C6002C" w:rsidP="00C6002C">
      <w:pPr>
        <w:pStyle w:val="FootnoteText"/>
        <w:rPr>
          <w:rFonts w:ascii="Brill" w:hAnsi="Brill"/>
          <w:lang w:val="en-US"/>
        </w:rPr>
      </w:pPr>
      <w:r w:rsidRPr="00F00C04">
        <w:rPr>
          <w:rStyle w:val="FootnoteReference"/>
          <w:rFonts w:ascii="Brill" w:hAnsi="Brill"/>
        </w:rPr>
        <w:footnoteRef/>
      </w:r>
      <w:r w:rsidRPr="00F00C04">
        <w:rPr>
          <w:rFonts w:ascii="Brill" w:hAnsi="Brill"/>
        </w:rPr>
        <w:t xml:space="preserve"> Orientalism (1995: 60-61)</w:t>
      </w:r>
    </w:p>
  </w:footnote>
  <w:footnote w:id="13">
    <w:p w14:paraId="03A95C2A" w14:textId="77777777" w:rsidR="00C6002C" w:rsidRPr="00F00C04" w:rsidRDefault="00C6002C" w:rsidP="00C6002C">
      <w:pPr>
        <w:pStyle w:val="FootnoteText"/>
        <w:rPr>
          <w:rFonts w:ascii="Brill" w:hAnsi="Brill"/>
        </w:rPr>
      </w:pPr>
      <w:r w:rsidRPr="00F00C04">
        <w:rPr>
          <w:rStyle w:val="FootnoteReference"/>
          <w:rFonts w:ascii="Brill" w:hAnsi="Brill"/>
        </w:rPr>
        <w:footnoteRef/>
      </w:r>
      <w:r w:rsidRPr="00F00C04">
        <w:rPr>
          <w:rFonts w:ascii="Brill" w:hAnsi="Brill"/>
        </w:rPr>
        <w:t xml:space="preserve"> </w:t>
      </w:r>
      <w:r w:rsidRPr="00F00C04">
        <w:rPr>
          <w:rFonts w:ascii="Brill" w:hAnsi="Brill" w:cs="Arial"/>
          <w:color w:val="333333"/>
          <w:shd w:val="clear" w:color="auto" w:fill="FFFFFF"/>
        </w:rPr>
        <w:t>Saunders, J. (1954). Mohammed in Europe: A Note on Western Interpretations of the Life of the Prophet, </w:t>
      </w:r>
      <w:r w:rsidRPr="00F00C04">
        <w:rPr>
          <w:rFonts w:ascii="Brill" w:hAnsi="Brill" w:cs="Arial"/>
          <w:i/>
          <w:iCs/>
          <w:color w:val="333333"/>
          <w:shd w:val="clear" w:color="auto" w:fill="FFFFFF"/>
        </w:rPr>
        <w:t>History,</w:t>
      </w:r>
      <w:r w:rsidRPr="00F00C04">
        <w:rPr>
          <w:rFonts w:ascii="Brill" w:hAnsi="Brill" w:cs="Arial"/>
          <w:color w:val="333333"/>
          <w:shd w:val="clear" w:color="auto" w:fill="FFFFFF"/>
        </w:rPr>
        <w:t> </w:t>
      </w:r>
      <w:r w:rsidRPr="00F00C04">
        <w:rPr>
          <w:rFonts w:ascii="Brill" w:hAnsi="Brill" w:cs="Arial"/>
          <w:i/>
          <w:iCs/>
          <w:color w:val="333333"/>
          <w:shd w:val="clear" w:color="auto" w:fill="FFFFFF"/>
        </w:rPr>
        <w:t>39</w:t>
      </w:r>
      <w:r>
        <w:rPr>
          <w:rFonts w:ascii="Brill" w:hAnsi="Brill" w:cs="Arial"/>
          <w:i/>
          <w:iCs/>
          <w:color w:val="333333"/>
          <w:shd w:val="clear" w:color="auto" w:fill="FFFFFF"/>
        </w:rPr>
        <w:t xml:space="preserve"> </w:t>
      </w:r>
      <w:r w:rsidRPr="00F00C04">
        <w:rPr>
          <w:rFonts w:ascii="Brill" w:hAnsi="Brill" w:cs="Arial"/>
          <w:color w:val="333333"/>
          <w:shd w:val="clear" w:color="auto" w:fill="FFFFFF"/>
        </w:rPr>
        <w:t>(135/136), new series, 14-25</w:t>
      </w:r>
    </w:p>
  </w:footnote>
  <w:footnote w:id="14">
    <w:p w14:paraId="134174B4" w14:textId="77777777" w:rsidR="00C6002C" w:rsidRPr="00287196" w:rsidRDefault="00C6002C" w:rsidP="00C6002C">
      <w:pPr>
        <w:pStyle w:val="FootnoteText"/>
        <w:rPr>
          <w:rFonts w:ascii="Brill" w:hAnsi="Brill" w:cs="Arial"/>
          <w:color w:val="333333"/>
          <w:shd w:val="clear" w:color="auto" w:fill="FFFFFF"/>
        </w:rPr>
      </w:pPr>
      <w:r w:rsidRPr="00F00C04">
        <w:rPr>
          <w:rStyle w:val="FootnoteReference"/>
          <w:rFonts w:ascii="Brill" w:hAnsi="Brill"/>
        </w:rPr>
        <w:footnoteRef/>
      </w:r>
      <w:r w:rsidRPr="00F00C04">
        <w:rPr>
          <w:rFonts w:ascii="Brill" w:hAnsi="Brill" w:cstheme="majorBidi"/>
          <w:color w:val="222222"/>
          <w:shd w:val="clear" w:color="auto" w:fill="F2F2F2"/>
        </w:rPr>
        <w:t xml:space="preserve"> </w:t>
      </w:r>
      <w:r w:rsidRPr="00287196">
        <w:rPr>
          <w:rFonts w:ascii="Brill" w:hAnsi="Brill" w:cs="Arial"/>
          <w:color w:val="333333"/>
          <w:shd w:val="clear" w:color="auto" w:fill="FFFFFF"/>
        </w:rPr>
        <w:t>Füssel, Marian (Göttingen), (2017), “University”, in</w:t>
      </w:r>
      <w:r w:rsidRPr="00F00C04">
        <w:rPr>
          <w:rFonts w:ascii="Brill" w:hAnsi="Brill" w:cstheme="majorBidi"/>
          <w:color w:val="222222"/>
          <w:shd w:val="clear" w:color="auto" w:fill="F2F2F2"/>
        </w:rPr>
        <w:t>: </w:t>
      </w:r>
      <w:r w:rsidRPr="00F00C04">
        <w:rPr>
          <w:rStyle w:val="citationitalic"/>
          <w:rFonts w:ascii="Brill" w:hAnsi="Brill" w:cstheme="majorBidi"/>
          <w:i/>
          <w:iCs/>
          <w:color w:val="222222"/>
        </w:rPr>
        <w:t xml:space="preserve">Brill’s New Pauly Supplements II - Volume </w:t>
      </w:r>
      <w:proofErr w:type="gramStart"/>
      <w:r w:rsidRPr="00F00C04">
        <w:rPr>
          <w:rStyle w:val="citationitalic"/>
          <w:rFonts w:ascii="Brill" w:hAnsi="Brill" w:cstheme="majorBidi"/>
          <w:i/>
          <w:iCs/>
          <w:color w:val="222222"/>
        </w:rPr>
        <w:t>8 :</w:t>
      </w:r>
      <w:proofErr w:type="gramEnd"/>
      <w:r w:rsidRPr="00F00C04">
        <w:rPr>
          <w:rStyle w:val="citationitalic"/>
          <w:rFonts w:ascii="Brill" w:hAnsi="Brill" w:cstheme="majorBidi"/>
          <w:i/>
          <w:iCs/>
          <w:color w:val="222222"/>
        </w:rPr>
        <w:t xml:space="preserve"> The Reception of Antiquity in Renaissance Humanism</w:t>
      </w:r>
      <w:r w:rsidRPr="00287196">
        <w:rPr>
          <w:rFonts w:ascii="Brill" w:hAnsi="Brill" w:cs="Arial"/>
          <w:color w:val="333333"/>
          <w:shd w:val="clear" w:color="auto" w:fill="FFFFFF"/>
        </w:rPr>
        <w:t>, English edition by Chad M. Schroeder. Original German-language edition: Renaissance-Humanismus. Herausgegeben von Manfred Landfester. Serie: Der Neue Pauly Supplemente 2. Staffel, herausgegeben von Manfred Landfester und Helmuth Schneider, vol. 9. Stuttgart, Germany</w:t>
      </w:r>
    </w:p>
  </w:footnote>
  <w:footnote w:id="15">
    <w:p w14:paraId="5126CEC5" w14:textId="77777777" w:rsidR="00C6002C" w:rsidRPr="00F00C04" w:rsidRDefault="00C6002C" w:rsidP="00C6002C">
      <w:pPr>
        <w:pStyle w:val="FootnoteText"/>
        <w:rPr>
          <w:rFonts w:ascii="Brill" w:hAnsi="Brill"/>
        </w:rPr>
      </w:pPr>
      <w:r w:rsidRPr="00F00C04">
        <w:rPr>
          <w:rStyle w:val="FootnoteReference"/>
          <w:rFonts w:ascii="Brill" w:hAnsi="Brill"/>
        </w:rPr>
        <w:footnoteRef/>
      </w:r>
      <w:r w:rsidRPr="00F00C04">
        <w:rPr>
          <w:rFonts w:ascii="Brill" w:hAnsi="Brill"/>
        </w:rPr>
        <w:t xml:space="preserve"> Montgomery W. Watt states that from the 12</w:t>
      </w:r>
      <w:r w:rsidRPr="00F00C04">
        <w:rPr>
          <w:rFonts w:ascii="Brill" w:hAnsi="Brill"/>
          <w:vertAlign w:val="superscript"/>
        </w:rPr>
        <w:t>th</w:t>
      </w:r>
      <w:r w:rsidRPr="00F00C04">
        <w:rPr>
          <w:rFonts w:ascii="Brill" w:hAnsi="Brill"/>
        </w:rPr>
        <w:t xml:space="preserve"> century onwards, scholars did try to correct the “crudest errors”. See </w:t>
      </w:r>
      <w:r w:rsidRPr="00F00C04">
        <w:rPr>
          <w:rFonts w:ascii="Brill" w:hAnsi="Brill" w:cs="MinionPro-Regular"/>
        </w:rPr>
        <w:t xml:space="preserve">Watt. W. M. (1961), pg. 3, </w:t>
      </w:r>
      <w:r w:rsidRPr="00F00C04">
        <w:rPr>
          <w:rFonts w:ascii="Brill" w:hAnsi="Brill" w:cs="MinionPro-Regular"/>
          <w:i/>
          <w:iCs/>
        </w:rPr>
        <w:t>Muhammad, Prophet and Statesman</w:t>
      </w:r>
      <w:r w:rsidRPr="00F00C04">
        <w:rPr>
          <w:rFonts w:ascii="Brill" w:hAnsi="Brill" w:cs="MinionPro-Regular"/>
        </w:rPr>
        <w:t>, London: University Press</w:t>
      </w:r>
    </w:p>
  </w:footnote>
  <w:footnote w:id="16">
    <w:p w14:paraId="58D729F1" w14:textId="77777777" w:rsidR="00C6002C" w:rsidRPr="00F00C04" w:rsidRDefault="00C6002C" w:rsidP="00C6002C">
      <w:pPr>
        <w:pStyle w:val="FootnoteText"/>
        <w:rPr>
          <w:rFonts w:ascii="Brill" w:hAnsi="Brill"/>
          <w:lang w:val="en-US"/>
        </w:rPr>
      </w:pPr>
      <w:r w:rsidRPr="00F00C04">
        <w:rPr>
          <w:rStyle w:val="FootnoteReference"/>
          <w:rFonts w:ascii="Brill" w:hAnsi="Brill"/>
        </w:rPr>
        <w:footnoteRef/>
      </w:r>
      <w:r w:rsidRPr="00F00C04">
        <w:rPr>
          <w:rFonts w:ascii="Brill" w:hAnsi="Brill"/>
        </w:rPr>
        <w:t xml:space="preserve"> See how the French portrayed Islam for example, in Said (1995: 65 &amp; 66)</w:t>
      </w:r>
    </w:p>
  </w:footnote>
  <w:footnote w:id="17">
    <w:p w14:paraId="5170DC3D" w14:textId="77777777" w:rsidR="00C6002C" w:rsidRPr="00F00C04" w:rsidRDefault="00C6002C" w:rsidP="00C6002C">
      <w:pPr>
        <w:pStyle w:val="FootnoteText"/>
        <w:rPr>
          <w:rFonts w:ascii="Brill" w:hAnsi="Brill"/>
        </w:rPr>
      </w:pPr>
      <w:r w:rsidRPr="00F00C04">
        <w:rPr>
          <w:rStyle w:val="FootnoteReference"/>
          <w:rFonts w:ascii="Brill" w:hAnsi="Brill"/>
        </w:rPr>
        <w:footnoteRef/>
      </w:r>
      <w:r w:rsidRPr="00F00C04">
        <w:rPr>
          <w:rFonts w:ascii="Brill" w:hAnsi="Brill"/>
        </w:rPr>
        <w:t xml:space="preserve"> Said 1978 and (1995: 45)</w:t>
      </w:r>
    </w:p>
  </w:footnote>
  <w:footnote w:id="18">
    <w:p w14:paraId="71BDFA42" w14:textId="77777777" w:rsidR="00C6002C" w:rsidRPr="00F00C04" w:rsidRDefault="00C6002C" w:rsidP="00C6002C">
      <w:pPr>
        <w:pStyle w:val="FootnoteText"/>
        <w:rPr>
          <w:rFonts w:ascii="Brill" w:hAnsi="Brill"/>
        </w:rPr>
      </w:pPr>
      <w:r w:rsidRPr="00F00C04">
        <w:rPr>
          <w:rStyle w:val="FootnoteReference"/>
          <w:rFonts w:ascii="Brill" w:hAnsi="Brill"/>
        </w:rPr>
        <w:footnoteRef/>
      </w:r>
      <w:r w:rsidRPr="00F00C04">
        <w:rPr>
          <w:rFonts w:ascii="Brill" w:hAnsi="Brill"/>
        </w:rPr>
        <w:t xml:space="preserve"> Said (1995:67-70)</w:t>
      </w:r>
    </w:p>
  </w:footnote>
  <w:footnote w:id="19">
    <w:p w14:paraId="2036979C" w14:textId="77777777" w:rsidR="00C6002C" w:rsidRPr="00F00C04" w:rsidRDefault="00C6002C" w:rsidP="00C6002C">
      <w:pPr>
        <w:pStyle w:val="FootnoteText"/>
        <w:rPr>
          <w:rFonts w:ascii="Brill" w:hAnsi="Brill"/>
        </w:rPr>
      </w:pPr>
      <w:r w:rsidRPr="00F00C04">
        <w:rPr>
          <w:rStyle w:val="FootnoteReference"/>
          <w:rFonts w:ascii="Brill" w:hAnsi="Brill"/>
        </w:rPr>
        <w:footnoteRef/>
      </w:r>
      <w:r w:rsidRPr="00F00C04">
        <w:rPr>
          <w:rFonts w:ascii="Brill" w:hAnsi="Brill"/>
        </w:rPr>
        <w:t xml:space="preserve"> Daftary, Farhad &amp; </w:t>
      </w:r>
      <w:r w:rsidRPr="00F00C04">
        <w:rPr>
          <w:rFonts w:ascii="Brill" w:hAnsi="Brill"/>
          <w:color w:val="000000"/>
          <w:shd w:val="clear" w:color="auto" w:fill="FFFFFF"/>
        </w:rPr>
        <w:t>Miskinzoda, G, (2014), pg. xv&amp;xvi</w:t>
      </w:r>
      <w:r>
        <w:rPr>
          <w:rFonts w:ascii="Brill" w:hAnsi="Brill"/>
          <w:color w:val="000000"/>
          <w:shd w:val="clear" w:color="auto" w:fill="FFFFFF"/>
        </w:rPr>
        <w:t>,</w:t>
      </w:r>
      <w:r w:rsidRPr="00F00C04">
        <w:rPr>
          <w:rFonts w:ascii="Brill" w:hAnsi="Brill"/>
          <w:color w:val="000000"/>
          <w:shd w:val="clear" w:color="auto" w:fill="FFFFFF"/>
        </w:rPr>
        <w:t xml:space="preserve"> </w:t>
      </w:r>
      <w:r w:rsidRPr="00F00C04">
        <w:rPr>
          <w:rFonts w:ascii="Brill" w:hAnsi="Brill"/>
          <w:i/>
          <w:iCs/>
          <w:color w:val="000000"/>
          <w:shd w:val="clear" w:color="auto" w:fill="FFFFFF"/>
        </w:rPr>
        <w:t>The study of Shi'i Islam: History, theology and law,</w:t>
      </w:r>
      <w:r w:rsidRPr="00F00C04">
        <w:rPr>
          <w:rFonts w:ascii="Brill" w:hAnsi="Brill"/>
          <w:color w:val="000000"/>
          <w:shd w:val="clear" w:color="auto" w:fill="FFFFFF"/>
        </w:rPr>
        <w:t xml:space="preserve"> London: I.B. Tauris Publishers</w:t>
      </w:r>
    </w:p>
  </w:footnote>
  <w:footnote w:id="20">
    <w:p w14:paraId="69630938" w14:textId="77777777" w:rsidR="00C6002C" w:rsidRPr="00F00C04" w:rsidRDefault="00C6002C" w:rsidP="00C6002C">
      <w:pPr>
        <w:pStyle w:val="FootnoteText"/>
        <w:rPr>
          <w:rFonts w:ascii="Brill" w:hAnsi="Brill"/>
          <w:lang w:val="en-US"/>
        </w:rPr>
      </w:pPr>
      <w:r w:rsidRPr="00F00C04">
        <w:rPr>
          <w:rStyle w:val="FootnoteReference"/>
          <w:rFonts w:ascii="Brill" w:hAnsi="Brill"/>
        </w:rPr>
        <w:footnoteRef/>
      </w:r>
      <w:r w:rsidRPr="00F00C04">
        <w:rPr>
          <w:rFonts w:ascii="Brill" w:hAnsi="Brill"/>
        </w:rPr>
        <w:t xml:space="preserve"> The Prophet is reported as saying: “I am the city of knowledge and Alī is its gateway”. See </w:t>
      </w:r>
      <w:r w:rsidRPr="00F00C04">
        <w:rPr>
          <w:rFonts w:ascii="Brill" w:hAnsi="Brill"/>
          <w:i/>
          <w:iCs/>
        </w:rPr>
        <w:t>Sharh al-akhbar fi fad</w:t>
      </w:r>
      <w:r w:rsidRPr="00F00C04">
        <w:rPr>
          <w:rFonts w:ascii="Brill" w:hAnsi="Brill"/>
          <w:i/>
          <w:iCs/>
          <w:color w:val="000000"/>
          <w:shd w:val="clear" w:color="auto" w:fill="FFFFFF"/>
        </w:rPr>
        <w:t>ā</w:t>
      </w:r>
      <w:r w:rsidRPr="00F00C04">
        <w:rPr>
          <w:rFonts w:ascii="Brill" w:hAnsi="Brill"/>
          <w:i/>
          <w:iCs/>
        </w:rPr>
        <w:t>'il al-a'immat al-</w:t>
      </w:r>
      <w:r w:rsidRPr="00F00C04">
        <w:rPr>
          <w:rFonts w:ascii="Brill" w:hAnsi="Brill"/>
          <w:i/>
          <w:iCs/>
          <w:color w:val="000000"/>
          <w:shd w:val="clear" w:color="auto" w:fill="FFFFFF"/>
        </w:rPr>
        <w:t>ā</w:t>
      </w:r>
      <w:r w:rsidRPr="00F00C04">
        <w:rPr>
          <w:rFonts w:ascii="Brill" w:hAnsi="Brill"/>
          <w:i/>
          <w:iCs/>
        </w:rPr>
        <w:t>th</w:t>
      </w:r>
      <w:r w:rsidRPr="00F00C04">
        <w:rPr>
          <w:rFonts w:ascii="Brill" w:hAnsi="Brill"/>
          <w:i/>
          <w:iCs/>
          <w:color w:val="000000"/>
          <w:shd w:val="clear" w:color="auto" w:fill="FFFFFF"/>
        </w:rPr>
        <w:t>ā</w:t>
      </w:r>
      <w:r w:rsidRPr="00F00C04">
        <w:rPr>
          <w:rFonts w:ascii="Brill" w:hAnsi="Brill"/>
          <w:i/>
          <w:iCs/>
        </w:rPr>
        <w:t>r</w:t>
      </w:r>
      <w:r w:rsidRPr="00F00C04">
        <w:rPr>
          <w:rFonts w:ascii="Brill" w:hAnsi="Brill"/>
        </w:rPr>
        <w:t>, by</w:t>
      </w:r>
      <w:r w:rsidRPr="00F00C04">
        <w:rPr>
          <w:rFonts w:ascii="Brill" w:hAnsi="Brill"/>
          <w:color w:val="000000"/>
          <w:shd w:val="clear" w:color="auto" w:fill="FFFFFF"/>
        </w:rPr>
        <w:t xml:space="preserve"> al-Qād ī al-Nu’mān, </w:t>
      </w:r>
      <w:r w:rsidRPr="00F00C04">
        <w:rPr>
          <w:rFonts w:ascii="Brill" w:hAnsi="Brill"/>
        </w:rPr>
        <w:t>(1992)</w:t>
      </w:r>
      <w:r w:rsidRPr="00F00C04">
        <w:rPr>
          <w:rFonts w:ascii="Brill" w:hAnsi="Brill"/>
          <w:lang w:val="en-US"/>
        </w:rPr>
        <w:t xml:space="preserve">, pg.89, </w:t>
      </w:r>
      <w:r w:rsidRPr="00F00C04">
        <w:rPr>
          <w:rFonts w:ascii="Brill" w:hAnsi="Brill"/>
        </w:rPr>
        <w:t>ed. by Muhammad al-Husayni al-Ja</w:t>
      </w:r>
      <w:r w:rsidRPr="00F00C04">
        <w:rPr>
          <w:rFonts w:ascii="Brill" w:hAnsi="Brill"/>
          <w:color w:val="000000"/>
          <w:shd w:val="clear" w:color="auto" w:fill="FFFFFF"/>
        </w:rPr>
        <w:t>l</w:t>
      </w:r>
      <w:r w:rsidRPr="00DB1430">
        <w:rPr>
          <w:rFonts w:ascii="Brill" w:hAnsi="Brill"/>
          <w:color w:val="000000"/>
          <w:shd w:val="clear" w:color="auto" w:fill="FFFFFF"/>
        </w:rPr>
        <w:t>ā</w:t>
      </w:r>
      <w:r w:rsidRPr="00F00C04">
        <w:rPr>
          <w:rFonts w:ascii="Brill" w:hAnsi="Brill"/>
          <w:color w:val="000000"/>
          <w:shd w:val="clear" w:color="auto" w:fill="FFFFFF"/>
        </w:rPr>
        <w:t>li</w:t>
      </w:r>
      <w:r w:rsidRPr="00F00C04">
        <w:rPr>
          <w:rFonts w:ascii="Brill" w:hAnsi="Brill"/>
        </w:rPr>
        <w:t>. Qum: Mu’assasat al-Nashr al-Isl</w:t>
      </w:r>
      <w:r w:rsidRPr="00F00C04">
        <w:rPr>
          <w:rFonts w:ascii="Brill" w:hAnsi="Brill"/>
          <w:color w:val="000000"/>
          <w:shd w:val="clear" w:color="auto" w:fill="FFFFFF"/>
        </w:rPr>
        <w:t>āmi</w:t>
      </w:r>
      <w:r w:rsidRPr="00F00C04">
        <w:rPr>
          <w:rFonts w:ascii="Brill" w:hAnsi="Brill"/>
        </w:rPr>
        <w:t xml:space="preserve">, </w:t>
      </w:r>
    </w:p>
    <w:p w14:paraId="1765A979" w14:textId="77777777" w:rsidR="00C6002C" w:rsidRPr="00F00C04" w:rsidRDefault="00C6002C" w:rsidP="00C6002C">
      <w:pPr>
        <w:pStyle w:val="FootnoteText"/>
        <w:rPr>
          <w:rFonts w:ascii="Brill" w:hAnsi="Brill"/>
        </w:rPr>
      </w:pPr>
    </w:p>
  </w:footnote>
  <w:footnote w:id="21">
    <w:p w14:paraId="322351A9" w14:textId="77777777" w:rsidR="00C6002C" w:rsidRPr="00F00C04" w:rsidRDefault="00C6002C" w:rsidP="00C6002C">
      <w:pPr>
        <w:pStyle w:val="FootnoteText"/>
        <w:rPr>
          <w:rFonts w:ascii="Brill" w:hAnsi="Brill"/>
          <w:lang w:val="en-US"/>
        </w:rPr>
      </w:pPr>
      <w:r w:rsidRPr="00F00C04">
        <w:rPr>
          <w:rStyle w:val="FootnoteReference"/>
          <w:rFonts w:ascii="Brill" w:hAnsi="Brill"/>
        </w:rPr>
        <w:footnoteRef/>
      </w:r>
      <w:r w:rsidRPr="00F00C04">
        <w:rPr>
          <w:rFonts w:ascii="Brill" w:hAnsi="Brill"/>
        </w:rPr>
        <w:t xml:space="preserve">  The belief in the imām as a living representative of God, his caliph on Earth, is the most fundamental difference between the Sunnis and the Shi’a. See Daftary, Farhad &amp; </w:t>
      </w:r>
      <w:r w:rsidRPr="00F00C04">
        <w:rPr>
          <w:rFonts w:ascii="Brill" w:hAnsi="Brill"/>
          <w:color w:val="000000"/>
          <w:shd w:val="clear" w:color="auto" w:fill="FFFFFF"/>
        </w:rPr>
        <w:t>Miskinzoda, G (2014: xvi)</w:t>
      </w:r>
    </w:p>
  </w:footnote>
  <w:footnote w:id="22">
    <w:p w14:paraId="10009DE9" w14:textId="77777777" w:rsidR="00C6002C" w:rsidRPr="00F00C04" w:rsidRDefault="00C6002C" w:rsidP="00C6002C">
      <w:pPr>
        <w:pStyle w:val="FootnoteText"/>
        <w:rPr>
          <w:rFonts w:ascii="Brill" w:hAnsi="Brill"/>
          <w:rtl/>
        </w:rPr>
      </w:pPr>
      <w:r w:rsidRPr="00F00C04">
        <w:rPr>
          <w:rStyle w:val="FootnoteReference"/>
          <w:rFonts w:ascii="Brill" w:hAnsi="Brill"/>
        </w:rPr>
        <w:footnoteRef/>
      </w:r>
      <w:r w:rsidRPr="00F00C04">
        <w:rPr>
          <w:rFonts w:ascii="Brill" w:hAnsi="Brill"/>
        </w:rPr>
        <w:t xml:space="preserve"> </w:t>
      </w:r>
      <w:r w:rsidRPr="00F00C04">
        <w:rPr>
          <w:rFonts w:ascii="Brill" w:hAnsi="Brill"/>
          <w:color w:val="000000"/>
          <w:shd w:val="clear" w:color="auto" w:fill="FFFFFF"/>
        </w:rPr>
        <w:t>Poonawala, I. K., &amp; Fyzee, A. A. A. (2006:</w:t>
      </w:r>
      <w:r w:rsidRPr="00F00C04">
        <w:rPr>
          <w:rFonts w:ascii="Brill" w:hAnsi="Brill"/>
          <w:color w:val="000000"/>
          <w:shd w:val="clear" w:color="auto" w:fill="FFFFFF"/>
          <w:lang w:val="en-US"/>
        </w:rPr>
        <w:t xml:space="preserve">100, </w:t>
      </w:r>
      <w:r w:rsidRPr="00F00C04">
        <w:rPr>
          <w:rFonts w:ascii="Brill" w:hAnsi="Brill"/>
          <w:color w:val="000000"/>
          <w:shd w:val="clear" w:color="auto" w:fill="FFFFFF"/>
        </w:rPr>
        <w:t>104), </w:t>
      </w:r>
      <w:r w:rsidRPr="00F00C04">
        <w:rPr>
          <w:rFonts w:ascii="Brill" w:hAnsi="Brill"/>
          <w:i/>
          <w:iCs/>
          <w:color w:val="000000"/>
          <w:shd w:val="clear" w:color="auto" w:fill="FFFFFF"/>
        </w:rPr>
        <w:t>The pillars of Islam: Da'</w:t>
      </w:r>
      <w:r w:rsidRPr="00F00C04">
        <w:rPr>
          <w:rFonts w:ascii="Brill" w:hAnsi="Brill"/>
        </w:rPr>
        <w:t xml:space="preserve"> </w:t>
      </w:r>
      <w:r w:rsidRPr="00F00C04">
        <w:rPr>
          <w:rFonts w:ascii="Brill" w:hAnsi="Brill"/>
          <w:i/>
          <w:iCs/>
          <w:color w:val="000000"/>
          <w:shd w:val="clear" w:color="auto" w:fill="FFFFFF"/>
        </w:rPr>
        <w:t>ā'im al-Isl</w:t>
      </w:r>
      <w:r w:rsidRPr="00F00C04">
        <w:rPr>
          <w:rFonts w:ascii="Brill" w:hAnsi="Brill"/>
        </w:rPr>
        <w:t xml:space="preserve"> </w:t>
      </w:r>
      <w:r w:rsidRPr="00F00C04">
        <w:rPr>
          <w:rFonts w:ascii="Brill" w:hAnsi="Brill"/>
          <w:i/>
          <w:iCs/>
          <w:color w:val="000000"/>
          <w:shd w:val="clear" w:color="auto" w:fill="FFFFFF"/>
        </w:rPr>
        <w:t>ām of al-Qād ī al-Nu’mān: 'Ibādāt: acts of devotion and religious observances</w:t>
      </w:r>
      <w:r w:rsidRPr="00F00C04">
        <w:rPr>
          <w:rFonts w:ascii="Brill" w:hAnsi="Brill"/>
          <w:color w:val="000000"/>
          <w:shd w:val="clear" w:color="auto" w:fill="FFFFFF"/>
        </w:rPr>
        <w:t xml:space="preserve">. New </w:t>
      </w:r>
      <w:proofErr w:type="gramStart"/>
      <w:r w:rsidRPr="00F00C04">
        <w:rPr>
          <w:rFonts w:ascii="Brill" w:hAnsi="Brill"/>
          <w:color w:val="000000"/>
          <w:shd w:val="clear" w:color="auto" w:fill="FFFFFF"/>
        </w:rPr>
        <w:t>Delhi:Oxford</w:t>
      </w:r>
      <w:proofErr w:type="gramEnd"/>
      <w:r w:rsidRPr="00F00C04">
        <w:rPr>
          <w:rFonts w:ascii="Brill" w:hAnsi="Brill"/>
          <w:color w:val="000000"/>
          <w:shd w:val="clear" w:color="auto" w:fill="FFFFFF"/>
        </w:rPr>
        <w:t xml:space="preserve"> University Press Poonawala </w:t>
      </w:r>
    </w:p>
  </w:footnote>
  <w:footnote w:id="23">
    <w:p w14:paraId="02B69B23" w14:textId="77777777" w:rsidR="00C6002C" w:rsidRPr="00F00C04" w:rsidRDefault="00C6002C" w:rsidP="00C6002C">
      <w:pPr>
        <w:pStyle w:val="FootnoteText"/>
        <w:rPr>
          <w:rFonts w:ascii="Brill" w:hAnsi="Brill"/>
          <w:lang w:val="en-US"/>
        </w:rPr>
      </w:pPr>
      <w:r w:rsidRPr="00F00C04">
        <w:rPr>
          <w:rStyle w:val="FootnoteReference"/>
          <w:rFonts w:ascii="Brill" w:hAnsi="Brill"/>
        </w:rPr>
        <w:footnoteRef/>
      </w:r>
      <w:r w:rsidRPr="00F00C04">
        <w:rPr>
          <w:rFonts w:ascii="Brill" w:hAnsi="Brill"/>
        </w:rPr>
        <w:t xml:space="preserve"> </w:t>
      </w:r>
      <w:r w:rsidRPr="00F00C04">
        <w:rPr>
          <w:rFonts w:ascii="Brill" w:hAnsi="Brill" w:cs="Arial"/>
          <w:color w:val="333333"/>
          <w:shd w:val="clear" w:color="auto" w:fill="FFFFFF"/>
        </w:rPr>
        <w:t>Reetz (2010:108)</w:t>
      </w:r>
    </w:p>
  </w:footnote>
  <w:footnote w:id="24">
    <w:p w14:paraId="326A36A0" w14:textId="77777777" w:rsidR="00C6002C" w:rsidRPr="00F00C04" w:rsidRDefault="00C6002C" w:rsidP="00C6002C">
      <w:pPr>
        <w:pStyle w:val="FootnoteText"/>
        <w:rPr>
          <w:rFonts w:ascii="Brill" w:hAnsi="Brill"/>
          <w:lang w:val="en-US"/>
        </w:rPr>
      </w:pPr>
      <w:r w:rsidRPr="00F00C04">
        <w:rPr>
          <w:rStyle w:val="FootnoteReference"/>
          <w:rFonts w:ascii="Brill" w:hAnsi="Brill"/>
        </w:rPr>
        <w:footnoteRef/>
      </w:r>
      <w:r w:rsidRPr="00F00C04">
        <w:rPr>
          <w:rFonts w:ascii="Brill" w:hAnsi="Brill"/>
        </w:rPr>
        <w:t xml:space="preserve"> Even amongst the Sunnis, diversity in their educational traditions was reflective of the diversity </w:t>
      </w:r>
      <w:r>
        <w:rPr>
          <w:rFonts w:ascii="Brill" w:hAnsi="Brill"/>
        </w:rPr>
        <w:t>in</w:t>
      </w:r>
      <w:r w:rsidRPr="00F00C04">
        <w:rPr>
          <w:rFonts w:ascii="Brill" w:hAnsi="Brill"/>
        </w:rPr>
        <w:t xml:space="preserve"> their geographical locations. Add to that the tens of jurisprudential schools and theological sects. The Shi’a too were divided into the Zaydīs and the Imāmīs, wth the Imāmīs being further divided into the Ismā’ilīs and the Twelvers. With both being divided into further subsects.  For the Shi’a divisions</w:t>
      </w:r>
      <w:r w:rsidRPr="00F00C04">
        <w:rPr>
          <w:rFonts w:ascii="Brill" w:hAnsi="Brill"/>
          <w:color w:val="000000"/>
          <w:shd w:val="clear" w:color="auto" w:fill="FFFFFF"/>
        </w:rPr>
        <w:t xml:space="preserve"> </w:t>
      </w:r>
      <w:r>
        <w:rPr>
          <w:rFonts w:ascii="Brill" w:hAnsi="Brill"/>
          <w:color w:val="000000"/>
          <w:shd w:val="clear" w:color="auto" w:fill="FFFFFF"/>
        </w:rPr>
        <w:t xml:space="preserve">see </w:t>
      </w:r>
      <w:r w:rsidRPr="00F00C04">
        <w:rPr>
          <w:rFonts w:ascii="Brill" w:hAnsi="Brill"/>
          <w:color w:val="000000"/>
          <w:shd w:val="clear" w:color="auto" w:fill="FFFFFF"/>
        </w:rPr>
        <w:t>Nawbakhtī, al-Ḥasan ibn Mūsá, and Abbas K. Kadhim. (2007), </w:t>
      </w:r>
      <w:r w:rsidRPr="00F00C04">
        <w:rPr>
          <w:rFonts w:ascii="Brill" w:hAnsi="Brill"/>
          <w:i/>
          <w:iCs/>
          <w:color w:val="000000"/>
          <w:shd w:val="clear" w:color="auto" w:fill="FFFFFF"/>
        </w:rPr>
        <w:t>Shi'a sects: (Kitab Firaq al-Shi'a)</w:t>
      </w:r>
      <w:r w:rsidRPr="00F00C04">
        <w:rPr>
          <w:rFonts w:ascii="Brill" w:hAnsi="Brill"/>
          <w:color w:val="000000"/>
          <w:shd w:val="clear" w:color="auto" w:fill="FFFFFF"/>
        </w:rPr>
        <w:t>. London: ICAS Press</w:t>
      </w:r>
    </w:p>
  </w:footnote>
  <w:footnote w:id="25">
    <w:p w14:paraId="2FBE78B6" w14:textId="77777777" w:rsidR="00C6002C" w:rsidRPr="00F00C04" w:rsidRDefault="00C6002C" w:rsidP="00C6002C">
      <w:pPr>
        <w:pStyle w:val="FootnoteText"/>
        <w:rPr>
          <w:rFonts w:ascii="Brill" w:hAnsi="Brill"/>
          <w:lang w:val="en-US"/>
        </w:rPr>
      </w:pPr>
      <w:r w:rsidRPr="00F00C04">
        <w:rPr>
          <w:rStyle w:val="FootnoteReference"/>
          <w:rFonts w:ascii="Brill" w:hAnsi="Brill"/>
        </w:rPr>
        <w:footnoteRef/>
      </w:r>
      <w:r w:rsidRPr="00F00C04">
        <w:rPr>
          <w:rFonts w:ascii="Brill" w:hAnsi="Brill"/>
        </w:rPr>
        <w:t xml:space="preserve"> Ernst, Carl W. &amp; Martin, Richard C. (2010), "Introduction Toward a Post-Orientalist Approach to Islamic Religious Studies", sc.edu</w:t>
      </w:r>
    </w:p>
  </w:footnote>
  <w:footnote w:id="26">
    <w:p w14:paraId="3929ADC4" w14:textId="77777777" w:rsidR="00C6002C" w:rsidRPr="00F00C04" w:rsidRDefault="00C6002C" w:rsidP="00C6002C">
      <w:pPr>
        <w:pStyle w:val="FootnoteText"/>
        <w:rPr>
          <w:rFonts w:ascii="Brill" w:hAnsi="Brill"/>
          <w:lang w:val="en-US"/>
        </w:rPr>
      </w:pPr>
      <w:r w:rsidRPr="00F00C04">
        <w:rPr>
          <w:rStyle w:val="FootnoteReference"/>
          <w:rFonts w:ascii="Brill" w:hAnsi="Brill"/>
        </w:rPr>
        <w:footnoteRef/>
      </w:r>
      <w:r w:rsidRPr="00F00C04">
        <w:rPr>
          <w:rFonts w:ascii="Brill" w:hAnsi="Brill"/>
        </w:rPr>
        <w:t xml:space="preserve"> </w:t>
      </w:r>
      <w:r w:rsidRPr="00F00C04">
        <w:rPr>
          <w:rFonts w:ascii="Brill" w:hAnsi="Brill" w:cs="Arial"/>
          <w:color w:val="333333"/>
          <w:shd w:val="clear" w:color="auto" w:fill="FFFFFF"/>
        </w:rPr>
        <w:t>Reetz (2010:109)</w:t>
      </w:r>
    </w:p>
  </w:footnote>
  <w:footnote w:id="27">
    <w:p w14:paraId="0EFC1544" w14:textId="77777777" w:rsidR="00C6002C" w:rsidRPr="00F00C04" w:rsidRDefault="00C6002C" w:rsidP="00C6002C">
      <w:pPr>
        <w:pStyle w:val="FootnoteText"/>
        <w:rPr>
          <w:rFonts w:ascii="Brill" w:hAnsi="Brill"/>
        </w:rPr>
      </w:pPr>
      <w:r w:rsidRPr="00F00C04">
        <w:rPr>
          <w:rStyle w:val="FootnoteReference"/>
          <w:rFonts w:ascii="Brill" w:hAnsi="Brill"/>
        </w:rPr>
        <w:footnoteRef/>
      </w:r>
      <w:r w:rsidRPr="00F00C04">
        <w:rPr>
          <w:rFonts w:ascii="Brill" w:hAnsi="Brill"/>
        </w:rPr>
        <w:t xml:space="preserve"> </w:t>
      </w:r>
      <w:r w:rsidRPr="00F00C04">
        <w:rPr>
          <w:rFonts w:ascii="Brill" w:hAnsi="Brill" w:cs="Arial"/>
          <w:color w:val="333333"/>
          <w:shd w:val="clear" w:color="auto" w:fill="FFFFFF"/>
        </w:rPr>
        <w:t>Halstead, J. (2004). An Islamic Concept of Education. </w:t>
      </w:r>
      <w:r w:rsidRPr="00F00C04">
        <w:rPr>
          <w:rFonts w:ascii="Brill" w:hAnsi="Brill"/>
          <w:i/>
          <w:iCs/>
        </w:rPr>
        <w:t>Comparative Education,</w:t>
      </w:r>
      <w:r w:rsidRPr="00F00C04">
        <w:rPr>
          <w:rFonts w:ascii="Brill" w:hAnsi="Brill"/>
        </w:rPr>
        <w:t> </w:t>
      </w:r>
      <w:r w:rsidRPr="00F00C04">
        <w:rPr>
          <w:rFonts w:ascii="Brill" w:hAnsi="Brill"/>
          <w:i/>
          <w:iCs/>
        </w:rPr>
        <w:t>40</w:t>
      </w:r>
      <w:r w:rsidRPr="00F00C04">
        <w:rPr>
          <w:rFonts w:ascii="Brill" w:hAnsi="Brill"/>
        </w:rPr>
        <w:t xml:space="preserve">(4), 517-529. </w:t>
      </w:r>
    </w:p>
  </w:footnote>
  <w:footnote w:id="28">
    <w:p w14:paraId="77C89C1B" w14:textId="77777777" w:rsidR="00C6002C" w:rsidRPr="00F00C04" w:rsidRDefault="00C6002C" w:rsidP="00C6002C">
      <w:pPr>
        <w:autoSpaceDE w:val="0"/>
        <w:autoSpaceDN w:val="0"/>
        <w:adjustRightInd w:val="0"/>
        <w:spacing w:after="0" w:line="240" w:lineRule="auto"/>
        <w:rPr>
          <w:rFonts w:ascii="Brill" w:hAnsi="Brill" w:cs="MinionPro-Regular"/>
          <w:color w:val="185FA2"/>
          <w:sz w:val="20"/>
          <w:szCs w:val="20"/>
        </w:rPr>
      </w:pPr>
      <w:r w:rsidRPr="00F00C04">
        <w:rPr>
          <w:rStyle w:val="FootnoteReference"/>
          <w:rFonts w:ascii="Brill" w:hAnsi="Brill"/>
          <w:sz w:val="20"/>
          <w:szCs w:val="20"/>
        </w:rPr>
        <w:footnoteRef/>
      </w:r>
      <w:r w:rsidRPr="00F00C04">
        <w:rPr>
          <w:rFonts w:ascii="Brill" w:hAnsi="Brill"/>
          <w:sz w:val="20"/>
          <w:szCs w:val="20"/>
        </w:rPr>
        <w:t xml:space="preserve"> </w:t>
      </w:r>
      <w:r w:rsidRPr="00F00C04">
        <w:rPr>
          <w:rFonts w:ascii="Brill" w:hAnsi="Brill" w:cs="Arial"/>
          <w:color w:val="333333"/>
          <w:sz w:val="20"/>
          <w:szCs w:val="20"/>
          <w:shd w:val="clear" w:color="auto" w:fill="FFFFFF"/>
        </w:rPr>
        <w:t xml:space="preserve">Ibrahim, Haruna Hassan, (2015). Orientalism and Islamism: A Comparative Study of Approaches to Islamic Studies, </w:t>
      </w:r>
      <w:r w:rsidRPr="00F00C04">
        <w:rPr>
          <w:rFonts w:ascii="Brill" w:hAnsi="Brill" w:cs="Arial"/>
          <w:i/>
          <w:iCs/>
          <w:color w:val="333333"/>
          <w:sz w:val="20"/>
          <w:szCs w:val="20"/>
          <w:shd w:val="clear" w:color="auto" w:fill="FFFFFF"/>
        </w:rPr>
        <w:t>Arts Social Science Journal</w:t>
      </w:r>
    </w:p>
    <w:p w14:paraId="66199FCF" w14:textId="77777777" w:rsidR="00C6002C" w:rsidRPr="00F00C04" w:rsidRDefault="00C6002C" w:rsidP="00C6002C">
      <w:pPr>
        <w:pStyle w:val="FootnoteText"/>
        <w:rPr>
          <w:rFonts w:ascii="Brill" w:hAnsi="Brill"/>
          <w:lang w:val="en-US"/>
        </w:rPr>
      </w:pPr>
    </w:p>
  </w:footnote>
  <w:footnote w:id="29">
    <w:p w14:paraId="0014A68A" w14:textId="77777777" w:rsidR="00C6002C" w:rsidRPr="00F00C04" w:rsidRDefault="00C6002C" w:rsidP="00C6002C">
      <w:pPr>
        <w:pStyle w:val="FootnoteText"/>
        <w:rPr>
          <w:rFonts w:ascii="Brill" w:hAnsi="Brill"/>
        </w:rPr>
      </w:pPr>
      <w:r w:rsidRPr="00F00C04">
        <w:rPr>
          <w:rStyle w:val="FootnoteReference"/>
          <w:rFonts w:ascii="Brill" w:hAnsi="Brill"/>
        </w:rPr>
        <w:footnoteRef/>
      </w:r>
      <w:r w:rsidRPr="00F00C04">
        <w:rPr>
          <w:rFonts w:ascii="Brill" w:hAnsi="Brill"/>
        </w:rPr>
        <w:t xml:space="preserve"> </w:t>
      </w:r>
      <w:r w:rsidRPr="00AA27C1">
        <w:rPr>
          <w:rFonts w:ascii="Brill" w:hAnsi="Brill"/>
        </w:rPr>
        <w:t>Davary, Bahar, (2014), “Islamic Studies”,</w:t>
      </w:r>
      <w:r w:rsidRPr="00F00C04">
        <w:rPr>
          <w:rFonts w:ascii="Brill" w:hAnsi="Brill" w:cstheme="majorBidi"/>
          <w:color w:val="222222"/>
          <w:shd w:val="clear" w:color="auto" w:fill="F2F2F2"/>
        </w:rPr>
        <w:t xml:space="preserve"> in: </w:t>
      </w:r>
      <w:r w:rsidRPr="00F00C04">
        <w:rPr>
          <w:rStyle w:val="citationitalic"/>
          <w:rFonts w:ascii="Brill" w:hAnsi="Brill" w:cstheme="majorBidi"/>
          <w:i/>
          <w:iCs/>
          <w:color w:val="222222"/>
        </w:rPr>
        <w:t>Encyclopedia of Women &amp; Islamic Cultures</w:t>
      </w:r>
      <w:r w:rsidRPr="00F00C04">
        <w:rPr>
          <w:rFonts w:ascii="Brill" w:hAnsi="Brill" w:cstheme="majorBidi"/>
          <w:color w:val="222222"/>
          <w:shd w:val="clear" w:color="auto" w:fill="F2F2F2"/>
        </w:rPr>
        <w:t xml:space="preserve">, </w:t>
      </w:r>
      <w:r w:rsidRPr="00AA27C1">
        <w:rPr>
          <w:rFonts w:ascii="Brill" w:hAnsi="Brill"/>
        </w:rPr>
        <w:t>General Editor Suad Joseph</w:t>
      </w:r>
    </w:p>
  </w:footnote>
  <w:footnote w:id="30">
    <w:p w14:paraId="3345A38C" w14:textId="77777777" w:rsidR="00C6002C" w:rsidRPr="00F00C04" w:rsidRDefault="00C6002C" w:rsidP="00C6002C">
      <w:pPr>
        <w:pStyle w:val="FootnoteText"/>
        <w:rPr>
          <w:rFonts w:ascii="Brill" w:hAnsi="Brill"/>
        </w:rPr>
      </w:pPr>
      <w:r w:rsidRPr="00F00C04">
        <w:rPr>
          <w:rStyle w:val="FootnoteReference"/>
          <w:rFonts w:ascii="Brill" w:hAnsi="Brill"/>
        </w:rPr>
        <w:footnoteRef/>
      </w:r>
      <w:r w:rsidRPr="00F00C04">
        <w:rPr>
          <w:rFonts w:ascii="Brill" w:hAnsi="Brill"/>
        </w:rPr>
        <w:t xml:space="preserve"> Davary (2014)</w:t>
      </w:r>
    </w:p>
  </w:footnote>
  <w:footnote w:id="31">
    <w:p w14:paraId="119FFA2B" w14:textId="77777777" w:rsidR="00C6002C" w:rsidRPr="00F00C04" w:rsidRDefault="00C6002C" w:rsidP="00C6002C">
      <w:pPr>
        <w:pStyle w:val="FootnoteText"/>
        <w:rPr>
          <w:rFonts w:ascii="Brill" w:hAnsi="Brill"/>
          <w:lang w:val="en-US"/>
        </w:rPr>
      </w:pPr>
      <w:r w:rsidRPr="00F00C04">
        <w:rPr>
          <w:rStyle w:val="FootnoteReference"/>
          <w:rFonts w:ascii="Brill" w:hAnsi="Brill"/>
        </w:rPr>
        <w:footnoteRef/>
      </w:r>
      <w:r w:rsidRPr="00F00C04">
        <w:rPr>
          <w:rFonts w:ascii="Brill" w:hAnsi="Brill"/>
        </w:rPr>
        <w:t xml:space="preserve"> </w:t>
      </w:r>
      <w:r w:rsidRPr="00F00C04">
        <w:rPr>
          <w:rFonts w:ascii="Brill" w:hAnsi="Brill" w:cs="MinionPro-Regular"/>
        </w:rPr>
        <w:t xml:space="preserve">Martin Richard, C. (2010), “Islamic Studies in the American Academy: A Personal Reflection”. </w:t>
      </w:r>
      <w:r w:rsidRPr="00F00C04">
        <w:rPr>
          <w:rFonts w:ascii="Brill" w:hAnsi="Brill" w:cs="MinionPro-Regular"/>
          <w:i/>
          <w:iCs/>
        </w:rPr>
        <w:t>Journal of the American Academy of Religion</w:t>
      </w:r>
      <w:r w:rsidRPr="00F00C04">
        <w:rPr>
          <w:rFonts w:ascii="Brill" w:hAnsi="Brill" w:cs="MinionPro-Regular"/>
        </w:rPr>
        <w:t>. December, Vol. 78, No. 4. 903.</w:t>
      </w:r>
    </w:p>
  </w:footnote>
  <w:footnote w:id="32">
    <w:p w14:paraId="414D0F99" w14:textId="77777777" w:rsidR="00C6002C" w:rsidRPr="00F00C04" w:rsidRDefault="00C6002C" w:rsidP="00C6002C">
      <w:pPr>
        <w:pStyle w:val="FootnoteText"/>
        <w:rPr>
          <w:rFonts w:ascii="Brill" w:hAnsi="Brill"/>
          <w:lang w:val="en-US"/>
        </w:rPr>
      </w:pPr>
      <w:r w:rsidRPr="00F00C04">
        <w:rPr>
          <w:rStyle w:val="FootnoteReference"/>
          <w:rFonts w:ascii="Brill" w:hAnsi="Brill"/>
        </w:rPr>
        <w:footnoteRef/>
      </w:r>
      <w:r w:rsidRPr="00F00C04">
        <w:rPr>
          <w:rFonts w:ascii="Brill" w:hAnsi="Brill"/>
        </w:rPr>
        <w:t xml:space="preserve"> See also </w:t>
      </w:r>
      <w:r w:rsidRPr="00F00C04">
        <w:rPr>
          <w:rFonts w:ascii="Brill" w:hAnsi="Brill" w:cstheme="majorBidi"/>
          <w:color w:val="333333"/>
          <w:shd w:val="clear" w:color="auto" w:fill="FFFFFF"/>
        </w:rPr>
        <w:t>Ibrahim (2015)</w:t>
      </w:r>
    </w:p>
  </w:footnote>
  <w:footnote w:id="33">
    <w:p w14:paraId="445C4177" w14:textId="77777777" w:rsidR="00C6002C" w:rsidRPr="00F00C04" w:rsidRDefault="00C6002C" w:rsidP="00C6002C">
      <w:pPr>
        <w:autoSpaceDE w:val="0"/>
        <w:autoSpaceDN w:val="0"/>
        <w:adjustRightInd w:val="0"/>
        <w:spacing w:after="0" w:line="240" w:lineRule="auto"/>
        <w:rPr>
          <w:rFonts w:ascii="Brill" w:hAnsi="Brill"/>
          <w:sz w:val="20"/>
          <w:szCs w:val="20"/>
          <w:lang w:val="en-US"/>
        </w:rPr>
      </w:pPr>
      <w:r w:rsidRPr="00F00C04">
        <w:rPr>
          <w:rStyle w:val="FootnoteReference"/>
          <w:rFonts w:ascii="Brill" w:hAnsi="Brill"/>
          <w:sz w:val="20"/>
          <w:szCs w:val="20"/>
        </w:rPr>
        <w:footnoteRef/>
      </w:r>
      <w:r w:rsidRPr="00F00C04">
        <w:rPr>
          <w:rFonts w:ascii="Brill" w:hAnsi="Brill"/>
          <w:sz w:val="20"/>
          <w:szCs w:val="20"/>
        </w:rPr>
        <w:t xml:space="preserve"> </w:t>
      </w:r>
      <w:r w:rsidRPr="00F00C04">
        <w:rPr>
          <w:rFonts w:ascii="Brill" w:hAnsi="Brill"/>
          <w:sz w:val="20"/>
          <w:szCs w:val="20"/>
          <w:lang w:val="en-US"/>
        </w:rPr>
        <w:t>Martin (2010)</w:t>
      </w:r>
    </w:p>
  </w:footnote>
  <w:footnote w:id="34">
    <w:p w14:paraId="224846C0" w14:textId="77777777" w:rsidR="00C6002C" w:rsidRPr="00F00C04" w:rsidRDefault="00C6002C" w:rsidP="00C6002C">
      <w:pPr>
        <w:pStyle w:val="FootnoteText"/>
        <w:rPr>
          <w:rFonts w:ascii="Brill" w:hAnsi="Brill"/>
          <w:lang w:val="en-US"/>
        </w:rPr>
      </w:pPr>
      <w:r w:rsidRPr="00F00C04">
        <w:rPr>
          <w:rStyle w:val="FootnoteReference"/>
          <w:rFonts w:ascii="Brill" w:hAnsi="Brill"/>
        </w:rPr>
        <w:footnoteRef/>
      </w:r>
      <w:r w:rsidRPr="00F00C04">
        <w:rPr>
          <w:rFonts w:ascii="Brill" w:hAnsi="Brill"/>
        </w:rPr>
        <w:t xml:space="preserve"> </w:t>
      </w:r>
      <w:r w:rsidRPr="00F00C04">
        <w:rPr>
          <w:rFonts w:ascii="Brill" w:hAnsi="Brill" w:cs="MinionPro-Regular"/>
        </w:rPr>
        <w:t>Martin (2010)</w:t>
      </w:r>
    </w:p>
  </w:footnote>
  <w:footnote w:id="35">
    <w:p w14:paraId="49CF0965" w14:textId="77777777" w:rsidR="00C6002C" w:rsidRPr="00F00C04" w:rsidRDefault="00C6002C" w:rsidP="00C6002C">
      <w:pPr>
        <w:pStyle w:val="FootnoteText"/>
        <w:rPr>
          <w:rFonts w:ascii="Brill" w:hAnsi="Brill"/>
        </w:rPr>
      </w:pPr>
      <w:r w:rsidRPr="00F00C04">
        <w:rPr>
          <w:rStyle w:val="FootnoteReference"/>
          <w:rFonts w:ascii="Brill" w:hAnsi="Brill"/>
        </w:rPr>
        <w:footnoteRef/>
      </w:r>
      <w:r w:rsidRPr="00F00C04">
        <w:rPr>
          <w:rFonts w:ascii="Brill" w:hAnsi="Brill"/>
        </w:rPr>
        <w:t xml:space="preserve"> Ernst &amp; Martin (2010:9</w:t>
      </w:r>
    </w:p>
  </w:footnote>
  <w:footnote w:id="36">
    <w:p w14:paraId="26A832C5" w14:textId="77777777" w:rsidR="00C6002C" w:rsidRPr="00F00C04" w:rsidRDefault="00C6002C" w:rsidP="00C6002C">
      <w:pPr>
        <w:pStyle w:val="FootnoteText"/>
        <w:rPr>
          <w:rFonts w:ascii="Brill" w:hAnsi="Brill"/>
        </w:rPr>
      </w:pPr>
      <w:r w:rsidRPr="00F00C04">
        <w:rPr>
          <w:rStyle w:val="FootnoteReference"/>
          <w:rFonts w:ascii="Brill" w:hAnsi="Brill"/>
        </w:rPr>
        <w:footnoteRef/>
      </w:r>
      <w:r w:rsidRPr="00F00C04">
        <w:rPr>
          <w:rFonts w:ascii="Brill" w:hAnsi="Brill"/>
        </w:rPr>
        <w:t xml:space="preserve"> Reetz (2010:124-125)</w:t>
      </w:r>
    </w:p>
  </w:footnote>
  <w:footnote w:id="37">
    <w:p w14:paraId="1DB0898F" w14:textId="77777777" w:rsidR="00C6002C" w:rsidRPr="00F00C04" w:rsidRDefault="00C6002C" w:rsidP="00C6002C">
      <w:pPr>
        <w:pStyle w:val="FootnoteText"/>
        <w:rPr>
          <w:rFonts w:ascii="Brill" w:hAnsi="Brill"/>
          <w:lang w:val="en-US"/>
        </w:rPr>
      </w:pPr>
      <w:r w:rsidRPr="00F00C04">
        <w:rPr>
          <w:rStyle w:val="FootnoteReference"/>
          <w:rFonts w:ascii="Brill" w:hAnsi="Brill"/>
        </w:rPr>
        <w:footnoteRef/>
      </w:r>
      <w:r w:rsidRPr="00F00C04">
        <w:rPr>
          <w:rFonts w:ascii="Brill" w:hAnsi="Brill"/>
        </w:rPr>
        <w:t xml:space="preserve"> </w:t>
      </w:r>
      <w:r w:rsidRPr="00F00C04">
        <w:rPr>
          <w:rStyle w:val="authors"/>
          <w:rFonts w:ascii="Brill" w:hAnsi="Brill" w:cs="Arial"/>
          <w:color w:val="333333"/>
          <w:shd w:val="clear" w:color="auto" w:fill="FFFFFF"/>
        </w:rPr>
        <w:t>Katherine E. Brown &amp; Tania Saeed</w:t>
      </w:r>
      <w:r w:rsidRPr="00F00C04">
        <w:rPr>
          <w:rFonts w:ascii="Brill" w:hAnsi="Brill" w:cs="Arial"/>
          <w:color w:val="333333"/>
          <w:shd w:val="clear" w:color="auto" w:fill="FFFFFF"/>
        </w:rPr>
        <w:t> </w:t>
      </w:r>
      <w:r w:rsidRPr="00F00C04">
        <w:rPr>
          <w:rStyle w:val="Date1"/>
          <w:rFonts w:ascii="Brill" w:hAnsi="Brill" w:cs="Arial"/>
          <w:color w:val="333333"/>
          <w:shd w:val="clear" w:color="auto" w:fill="FFFFFF"/>
        </w:rPr>
        <w:t>(2015)</w:t>
      </w:r>
      <w:r w:rsidRPr="00F00C04">
        <w:rPr>
          <w:rFonts w:ascii="Brill" w:hAnsi="Brill" w:cs="Arial"/>
          <w:color w:val="333333"/>
          <w:shd w:val="clear" w:color="auto" w:fill="FFFFFF"/>
        </w:rPr>
        <w:t> </w:t>
      </w:r>
      <w:r w:rsidRPr="00F00C04">
        <w:rPr>
          <w:rStyle w:val="arttitle"/>
          <w:rFonts w:ascii="Brill" w:hAnsi="Brill" w:cs="Arial"/>
          <w:color w:val="333333"/>
          <w:shd w:val="clear" w:color="auto" w:fill="FFFFFF"/>
        </w:rPr>
        <w:t>Radicalization and counter-radicalization at British universities: Muslim encounters and alternatives,</w:t>
      </w:r>
      <w:r w:rsidRPr="00F00C04">
        <w:rPr>
          <w:rFonts w:ascii="Brill" w:hAnsi="Brill" w:cs="Arial"/>
          <w:color w:val="333333"/>
          <w:shd w:val="clear" w:color="auto" w:fill="FFFFFF"/>
        </w:rPr>
        <w:t> </w:t>
      </w:r>
      <w:r w:rsidRPr="00F00C04">
        <w:rPr>
          <w:rStyle w:val="serialtitle"/>
          <w:rFonts w:ascii="Brill" w:hAnsi="Brill" w:cs="Arial"/>
          <w:i/>
          <w:iCs/>
          <w:color w:val="333333"/>
          <w:shd w:val="clear" w:color="auto" w:fill="FFFFFF"/>
        </w:rPr>
        <w:t>Ethnic and Racial Studies</w:t>
      </w:r>
      <w:r w:rsidRPr="00F00C04">
        <w:rPr>
          <w:rStyle w:val="serialtitle"/>
          <w:rFonts w:ascii="Brill" w:hAnsi="Brill" w:cs="Arial"/>
          <w:color w:val="333333"/>
          <w:shd w:val="clear" w:color="auto" w:fill="FFFFFF"/>
        </w:rPr>
        <w:t>,</w:t>
      </w:r>
      <w:r w:rsidRPr="00F00C04">
        <w:rPr>
          <w:rFonts w:ascii="Brill" w:hAnsi="Brill" w:cs="Arial"/>
          <w:color w:val="333333"/>
          <w:shd w:val="clear" w:color="auto" w:fill="FFFFFF"/>
        </w:rPr>
        <w:t> </w:t>
      </w:r>
      <w:r w:rsidRPr="00F00C04">
        <w:rPr>
          <w:rStyle w:val="volumeissue"/>
          <w:rFonts w:ascii="Brill" w:hAnsi="Brill" w:cs="Arial"/>
          <w:color w:val="333333"/>
          <w:shd w:val="clear" w:color="auto" w:fill="FFFFFF"/>
        </w:rPr>
        <w:t>38:11,</w:t>
      </w:r>
      <w:r w:rsidRPr="00F00C04">
        <w:rPr>
          <w:rFonts w:ascii="Brill" w:hAnsi="Brill" w:cs="Arial"/>
          <w:color w:val="333333"/>
          <w:shd w:val="clear" w:color="auto" w:fill="FFFFFF"/>
        </w:rPr>
        <w:t> </w:t>
      </w:r>
      <w:r w:rsidRPr="00F00C04">
        <w:rPr>
          <w:rStyle w:val="pagerange"/>
          <w:rFonts w:ascii="Brill" w:hAnsi="Brill" w:cs="Arial"/>
          <w:color w:val="333333"/>
          <w:shd w:val="clear" w:color="auto" w:fill="FFFFFF"/>
        </w:rPr>
        <w:t>1952-1968</w:t>
      </w:r>
      <w:r w:rsidRPr="00F00C04">
        <w:rPr>
          <w:rStyle w:val="doilink"/>
          <w:rFonts w:ascii="Brill" w:hAnsi="Brill" w:cs="Arial"/>
          <w:color w:val="333333"/>
          <w:shd w:val="clear" w:color="auto" w:fill="FFFFFF"/>
        </w:rPr>
        <w:tab/>
      </w:r>
    </w:p>
  </w:footnote>
  <w:footnote w:id="38">
    <w:p w14:paraId="1899EC32" w14:textId="77777777" w:rsidR="00C6002C" w:rsidRPr="00F00C04" w:rsidRDefault="00C6002C" w:rsidP="00C6002C">
      <w:pPr>
        <w:pStyle w:val="FootnoteText"/>
        <w:rPr>
          <w:rFonts w:ascii="Brill" w:hAnsi="Brill"/>
        </w:rPr>
      </w:pPr>
      <w:r w:rsidRPr="00F00C04">
        <w:rPr>
          <w:rStyle w:val="FootnoteReference"/>
          <w:rFonts w:ascii="Brill" w:hAnsi="Brill"/>
        </w:rPr>
        <w:footnoteRef/>
      </w:r>
      <w:r w:rsidRPr="00F00C04">
        <w:rPr>
          <w:rFonts w:ascii="Brill" w:hAnsi="Brill"/>
        </w:rPr>
        <w:t xml:space="preserve"> Ibrahim (2015)</w:t>
      </w:r>
    </w:p>
  </w:footnote>
  <w:footnote w:id="39">
    <w:p w14:paraId="64070B4F" w14:textId="77777777" w:rsidR="00C6002C" w:rsidRPr="00F00C04" w:rsidRDefault="00C6002C" w:rsidP="00C6002C">
      <w:pPr>
        <w:pStyle w:val="FootnoteText"/>
        <w:rPr>
          <w:rFonts w:ascii="Brill" w:hAnsi="Brill"/>
        </w:rPr>
      </w:pPr>
      <w:r w:rsidRPr="00F00C04">
        <w:rPr>
          <w:rStyle w:val="FootnoteReference"/>
          <w:rFonts w:ascii="Brill" w:hAnsi="Brill"/>
        </w:rPr>
        <w:footnoteRef/>
      </w:r>
      <w:r w:rsidRPr="00F00C04">
        <w:rPr>
          <w:rFonts w:ascii="Brill" w:hAnsi="Brill"/>
        </w:rPr>
        <w:t xml:space="preserve"> Said</w:t>
      </w:r>
      <w:r>
        <w:rPr>
          <w:rFonts w:ascii="Brill" w:hAnsi="Brill"/>
        </w:rPr>
        <w:t xml:space="preserve"> </w:t>
      </w:r>
      <w:r w:rsidRPr="00F00C04">
        <w:rPr>
          <w:rFonts w:ascii="Brill" w:hAnsi="Brill"/>
        </w:rPr>
        <w:t>(1995:2-5)</w:t>
      </w:r>
    </w:p>
  </w:footnote>
  <w:footnote w:id="40">
    <w:p w14:paraId="7D49CB09" w14:textId="77777777" w:rsidR="00C6002C" w:rsidRPr="00F00C04" w:rsidRDefault="00C6002C" w:rsidP="00C6002C">
      <w:pPr>
        <w:rPr>
          <w:rFonts w:ascii="Brill" w:hAnsi="Brill" w:cs="Arial"/>
          <w:color w:val="333333"/>
          <w:sz w:val="20"/>
          <w:szCs w:val="20"/>
          <w:shd w:val="clear" w:color="auto" w:fill="FFFFFF"/>
        </w:rPr>
      </w:pPr>
      <w:r w:rsidRPr="00F00C04">
        <w:rPr>
          <w:rStyle w:val="FootnoteReference"/>
          <w:rFonts w:ascii="Brill" w:hAnsi="Brill"/>
          <w:sz w:val="20"/>
          <w:szCs w:val="20"/>
        </w:rPr>
        <w:footnoteRef/>
      </w:r>
      <w:r w:rsidRPr="00F00C04">
        <w:rPr>
          <w:rFonts w:ascii="Brill" w:hAnsi="Brill"/>
          <w:sz w:val="20"/>
          <w:szCs w:val="20"/>
        </w:rPr>
        <w:t xml:space="preserve"> </w:t>
      </w:r>
      <w:r w:rsidRPr="00F00C04">
        <w:rPr>
          <w:rFonts w:ascii="Brill" w:hAnsi="Brill" w:cs="Arial"/>
          <w:color w:val="333333"/>
          <w:sz w:val="20"/>
          <w:szCs w:val="20"/>
          <w:shd w:val="clear" w:color="auto" w:fill="FFFFFF"/>
        </w:rPr>
        <w:t xml:space="preserve">Koch, Thorsten. (2017). </w:t>
      </w:r>
      <w:r w:rsidRPr="00F00C04">
        <w:rPr>
          <w:rFonts w:ascii="Brill" w:hAnsi="Brill" w:cs="Arial"/>
          <w:i/>
          <w:iCs/>
          <w:color w:val="333333"/>
          <w:sz w:val="20"/>
          <w:szCs w:val="20"/>
          <w:shd w:val="clear" w:color="auto" w:fill="FFFFFF"/>
        </w:rPr>
        <w:t>Islamic Studies: The Differences in Curricula Around the World</w:t>
      </w:r>
      <w:r w:rsidRPr="00F00C04">
        <w:rPr>
          <w:rFonts w:ascii="Brill" w:hAnsi="Brill" w:cs="Arial"/>
          <w:color w:val="333333"/>
          <w:sz w:val="20"/>
          <w:szCs w:val="20"/>
          <w:shd w:val="clear" w:color="auto" w:fill="FFFFFF"/>
        </w:rPr>
        <w:t>, UWTSD</w:t>
      </w:r>
    </w:p>
  </w:footnote>
  <w:footnote w:id="41">
    <w:p w14:paraId="12FF0358" w14:textId="77777777" w:rsidR="00C6002C" w:rsidRPr="00F00C04" w:rsidRDefault="00C6002C" w:rsidP="00C6002C">
      <w:pPr>
        <w:pStyle w:val="FootnoteText"/>
        <w:rPr>
          <w:rFonts w:ascii="Brill" w:hAnsi="Brill"/>
        </w:rPr>
      </w:pPr>
      <w:r w:rsidRPr="00F00C04">
        <w:rPr>
          <w:rStyle w:val="FootnoteReference"/>
          <w:rFonts w:ascii="Brill" w:hAnsi="Brill"/>
        </w:rPr>
        <w:footnoteRef/>
      </w:r>
      <w:r w:rsidRPr="00F00C04">
        <w:rPr>
          <w:rFonts w:ascii="Brill" w:hAnsi="Brill"/>
        </w:rPr>
        <w:t xml:space="preserve"> Davary (2014)</w:t>
      </w:r>
    </w:p>
  </w:footnote>
  <w:footnote w:id="42">
    <w:p w14:paraId="5C30102C" w14:textId="77777777" w:rsidR="00C6002C" w:rsidRPr="00F00C04" w:rsidRDefault="00C6002C" w:rsidP="00C6002C">
      <w:pPr>
        <w:pStyle w:val="FootnoteText"/>
        <w:rPr>
          <w:rFonts w:ascii="Brill" w:hAnsi="Brill"/>
        </w:rPr>
      </w:pPr>
      <w:r w:rsidRPr="00F00C04">
        <w:rPr>
          <w:rStyle w:val="FootnoteReference"/>
          <w:rFonts w:ascii="Brill" w:hAnsi="Brill"/>
        </w:rPr>
        <w:footnoteRef/>
      </w:r>
      <w:r w:rsidRPr="00F00C04">
        <w:rPr>
          <w:rFonts w:ascii="Brill" w:hAnsi="Brill"/>
        </w:rPr>
        <w:t xml:space="preserve"> </w:t>
      </w:r>
      <w:hyperlink r:id="rId1" w:history="1">
        <w:r w:rsidRPr="00F00C04">
          <w:rPr>
            <w:rStyle w:val="Hyperlink"/>
            <w:rFonts w:ascii="Brill" w:hAnsi="Brill"/>
          </w:rPr>
          <w:t>https://www.soas.ac.uk/nme/programmes/baarabislstud/</w:t>
        </w:r>
      </w:hyperlink>
      <w:r w:rsidRPr="00F00C04">
        <w:rPr>
          <w:rFonts w:ascii="Brill" w:hAnsi="Brill"/>
        </w:rPr>
        <w:t>. The programme itself is called ‘BA Arabic and Islamic Studies’</w:t>
      </w:r>
    </w:p>
  </w:footnote>
  <w:footnote w:id="43">
    <w:p w14:paraId="3AE95395" w14:textId="77777777" w:rsidR="00C6002C" w:rsidRPr="00F00C04" w:rsidRDefault="00C6002C" w:rsidP="00C6002C">
      <w:pPr>
        <w:pStyle w:val="FootnoteText"/>
        <w:rPr>
          <w:rFonts w:ascii="Brill" w:hAnsi="Brill"/>
        </w:rPr>
      </w:pPr>
      <w:r w:rsidRPr="00F00C04">
        <w:rPr>
          <w:rStyle w:val="FootnoteReference"/>
          <w:rFonts w:ascii="Brill" w:hAnsi="Brill"/>
        </w:rPr>
        <w:footnoteRef/>
      </w:r>
      <w:r w:rsidRPr="00F00C04">
        <w:rPr>
          <w:rFonts w:ascii="Brill" w:hAnsi="Brill"/>
        </w:rPr>
        <w:t xml:space="preserve"> </w:t>
      </w:r>
      <w:hyperlink r:id="rId2" w:history="1">
        <w:r w:rsidRPr="00F00C04">
          <w:rPr>
            <w:rStyle w:val="Hyperlink"/>
            <w:rFonts w:ascii="Brill" w:hAnsi="Brill"/>
          </w:rPr>
          <w:t>https://www.soas.ac.uk/nme/programmes/maislstud/</w:t>
        </w:r>
      </w:hyperlink>
      <w:r w:rsidRPr="00F00C04">
        <w:rPr>
          <w:rFonts w:ascii="Brill" w:hAnsi="Brill"/>
        </w:rPr>
        <w:t xml:space="preserve">. Islamic studies </w:t>
      </w:r>
      <w:proofErr w:type="gramStart"/>
      <w:r w:rsidRPr="00F00C04">
        <w:rPr>
          <w:rFonts w:ascii="Brill" w:hAnsi="Brill"/>
        </w:rPr>
        <w:t>is</w:t>
      </w:r>
      <w:proofErr w:type="gramEnd"/>
      <w:r w:rsidRPr="00F00C04">
        <w:rPr>
          <w:rFonts w:ascii="Brill" w:hAnsi="Brill"/>
        </w:rPr>
        <w:t xml:space="preserve"> offered separately from ‘MA Arabic Literature’</w:t>
      </w:r>
    </w:p>
  </w:footnote>
  <w:footnote w:id="44">
    <w:p w14:paraId="24384EAD" w14:textId="77777777" w:rsidR="00C6002C" w:rsidRPr="00F00C04" w:rsidRDefault="00C6002C" w:rsidP="00C6002C">
      <w:pPr>
        <w:pStyle w:val="FootnoteText"/>
        <w:rPr>
          <w:rFonts w:ascii="Brill" w:hAnsi="Brill"/>
        </w:rPr>
      </w:pPr>
      <w:r w:rsidRPr="00F00C04">
        <w:rPr>
          <w:rStyle w:val="FootnoteReference"/>
          <w:rFonts w:ascii="Brill" w:hAnsi="Brill"/>
        </w:rPr>
        <w:footnoteRef/>
      </w:r>
      <w:r w:rsidRPr="00F00C04">
        <w:rPr>
          <w:rFonts w:ascii="Brill" w:hAnsi="Brill"/>
        </w:rPr>
        <w:t xml:space="preserve"> </w:t>
      </w:r>
      <w:hyperlink r:id="rId3" w:anchor="tab-1" w:history="1">
        <w:r w:rsidRPr="00F00C04">
          <w:rPr>
            <w:rStyle w:val="Hyperlink"/>
            <w:rFonts w:ascii="Brill" w:hAnsi="Brill"/>
          </w:rPr>
          <w:t>https://studiegids.universiteitleiden.nl/en/studies/6773/middle-eastern-studies-islamic-studies#tab-1</w:t>
        </w:r>
      </w:hyperlink>
    </w:p>
  </w:footnote>
  <w:footnote w:id="45">
    <w:p w14:paraId="1F2F0AA2" w14:textId="77777777" w:rsidR="00C6002C" w:rsidRPr="00F00C04" w:rsidRDefault="00C6002C" w:rsidP="00C6002C">
      <w:pPr>
        <w:pStyle w:val="FootnoteText"/>
        <w:rPr>
          <w:rFonts w:ascii="Brill" w:hAnsi="Brill"/>
        </w:rPr>
      </w:pPr>
      <w:r w:rsidRPr="00F00C04">
        <w:rPr>
          <w:rStyle w:val="FootnoteReference"/>
          <w:rFonts w:ascii="Brill" w:hAnsi="Brill"/>
        </w:rPr>
        <w:footnoteRef/>
      </w:r>
      <w:r w:rsidRPr="00F00C04">
        <w:rPr>
          <w:rFonts w:ascii="Brill" w:hAnsi="Brill"/>
        </w:rPr>
        <w:t xml:space="preserve"> </w:t>
      </w:r>
      <w:hyperlink r:id="rId4" w:history="1">
        <w:r w:rsidRPr="00F00C04">
          <w:rPr>
            <w:rStyle w:val="Hyperlink"/>
            <w:rFonts w:ascii="Brill" w:hAnsi="Brill"/>
          </w:rPr>
          <w:t>http://socialsciences.exeter.ac.uk/iais/about/</w:t>
        </w:r>
      </w:hyperlink>
    </w:p>
  </w:footnote>
  <w:footnote w:id="46">
    <w:p w14:paraId="6AB79CC6" w14:textId="77777777" w:rsidR="00C6002C" w:rsidRPr="00F00C04" w:rsidRDefault="00C6002C" w:rsidP="00C6002C">
      <w:pPr>
        <w:pStyle w:val="FootnoteText"/>
        <w:rPr>
          <w:rFonts w:ascii="Brill" w:hAnsi="Brill"/>
        </w:rPr>
      </w:pPr>
      <w:r w:rsidRPr="00F00C04">
        <w:rPr>
          <w:rStyle w:val="FootnoteReference"/>
          <w:rFonts w:ascii="Brill" w:hAnsi="Brill"/>
        </w:rPr>
        <w:footnoteRef/>
      </w:r>
      <w:r w:rsidRPr="00F00C04">
        <w:rPr>
          <w:rFonts w:ascii="Brill" w:hAnsi="Brill"/>
        </w:rPr>
        <w:t xml:space="preserve"> Koch (2017). Also see Davary (2014)</w:t>
      </w:r>
    </w:p>
  </w:footnote>
  <w:footnote w:id="47">
    <w:p w14:paraId="2106536A" w14:textId="77777777" w:rsidR="00C6002C" w:rsidRPr="00F00C04" w:rsidRDefault="00C6002C" w:rsidP="00C6002C">
      <w:pPr>
        <w:pStyle w:val="FootnoteText"/>
        <w:rPr>
          <w:rFonts w:ascii="Brill" w:hAnsi="Brill"/>
          <w:lang w:val="en-US"/>
        </w:rPr>
      </w:pPr>
      <w:r w:rsidRPr="00F00C04">
        <w:rPr>
          <w:rStyle w:val="FootnoteReference"/>
          <w:rFonts w:ascii="Brill" w:hAnsi="Brill"/>
        </w:rPr>
        <w:footnoteRef/>
      </w:r>
      <w:r w:rsidRPr="00F00C04">
        <w:rPr>
          <w:rFonts w:ascii="Brill" w:hAnsi="Brill"/>
        </w:rPr>
        <w:t xml:space="preserve"> </w:t>
      </w:r>
      <w:r w:rsidRPr="00F00C04">
        <w:rPr>
          <w:rFonts w:ascii="Brill" w:hAnsi="Brill"/>
          <w:lang w:val="en-US"/>
        </w:rPr>
        <w:t xml:space="preserve">See also </w:t>
      </w:r>
      <w:r w:rsidRPr="00F00C04">
        <w:rPr>
          <w:rFonts w:ascii="Brill" w:hAnsi="Brill"/>
        </w:rPr>
        <w:t>Ernst &amp; Martin (2010:10)</w:t>
      </w:r>
    </w:p>
  </w:footnote>
  <w:footnote w:id="48">
    <w:p w14:paraId="0ABACA2D" w14:textId="77777777" w:rsidR="00C6002C" w:rsidRPr="00F00C04" w:rsidRDefault="00C6002C" w:rsidP="00C6002C">
      <w:pPr>
        <w:pStyle w:val="FootnoteText"/>
        <w:rPr>
          <w:rFonts w:ascii="Brill" w:hAnsi="Brill"/>
          <w:lang w:val="en-US"/>
        </w:rPr>
      </w:pPr>
      <w:r w:rsidRPr="00F00C04">
        <w:rPr>
          <w:rStyle w:val="FootnoteReference"/>
          <w:rFonts w:ascii="Brill" w:hAnsi="Brill"/>
        </w:rPr>
        <w:footnoteRef/>
      </w:r>
      <w:r w:rsidRPr="00F00C04">
        <w:rPr>
          <w:rFonts w:ascii="Brill" w:hAnsi="Brill"/>
        </w:rPr>
        <w:t xml:space="preserve"> </w:t>
      </w:r>
      <w:r w:rsidRPr="00F00C04">
        <w:rPr>
          <w:rFonts w:ascii="Brill" w:hAnsi="Brill"/>
          <w:lang w:val="en-US"/>
        </w:rPr>
        <w:t xml:space="preserve">Halstead (2004). The Prophet has made the seeking of knowledge upon all Muslims, male and female. See for example the Hadīth collections of Bukhārī regarding the pursuit of knowledge. Also see the book Da’ āim al-Islam by al-Qād ī al-Nu’m ān. A translation is available at </w:t>
      </w:r>
      <w:r w:rsidRPr="00F00C04">
        <w:rPr>
          <w:rFonts w:ascii="Brill" w:hAnsi="Brill"/>
          <w:color w:val="000000"/>
          <w:shd w:val="clear" w:color="auto" w:fill="FFFFFF"/>
        </w:rPr>
        <w:t>Poonawala, I. K., &amp; Fyzee, A. A. A. (2006). </w:t>
      </w:r>
      <w:r w:rsidRPr="00F00C04">
        <w:rPr>
          <w:rFonts w:ascii="Brill" w:hAnsi="Brill"/>
          <w:i/>
          <w:iCs/>
          <w:color w:val="000000"/>
          <w:shd w:val="clear" w:color="auto" w:fill="FFFFFF"/>
        </w:rPr>
        <w:t>The pillars of Islam: Da'</w:t>
      </w:r>
      <w:r w:rsidRPr="00F00C04">
        <w:rPr>
          <w:rFonts w:ascii="Brill" w:hAnsi="Brill"/>
        </w:rPr>
        <w:t xml:space="preserve"> </w:t>
      </w:r>
      <w:r w:rsidRPr="00F00C04">
        <w:rPr>
          <w:rFonts w:ascii="Brill" w:hAnsi="Brill"/>
          <w:i/>
          <w:iCs/>
          <w:color w:val="000000"/>
          <w:shd w:val="clear" w:color="auto" w:fill="FFFFFF"/>
        </w:rPr>
        <w:t>ā'im al-Isl</w:t>
      </w:r>
      <w:r w:rsidRPr="00F00C04">
        <w:rPr>
          <w:rFonts w:ascii="Brill" w:hAnsi="Brill"/>
        </w:rPr>
        <w:t xml:space="preserve"> </w:t>
      </w:r>
      <w:r w:rsidRPr="00F00C04">
        <w:rPr>
          <w:rFonts w:ascii="Brill" w:hAnsi="Brill"/>
          <w:i/>
          <w:iCs/>
          <w:color w:val="000000"/>
          <w:shd w:val="clear" w:color="auto" w:fill="FFFFFF"/>
        </w:rPr>
        <w:t>ām of al-Qād ī al-Nu’m ān: 'Ibādāt: acts of devotion and religious observances</w:t>
      </w:r>
      <w:r w:rsidRPr="00F00C04">
        <w:rPr>
          <w:rFonts w:ascii="Brill" w:hAnsi="Brill"/>
          <w:color w:val="000000"/>
          <w:shd w:val="clear" w:color="auto" w:fill="FFFFFF"/>
        </w:rPr>
        <w:t xml:space="preserve">. New </w:t>
      </w:r>
      <w:proofErr w:type="gramStart"/>
      <w:r w:rsidRPr="00F00C04">
        <w:rPr>
          <w:rFonts w:ascii="Brill" w:hAnsi="Brill"/>
          <w:color w:val="000000"/>
          <w:shd w:val="clear" w:color="auto" w:fill="FFFFFF"/>
        </w:rPr>
        <w:t>Delhi:Oxford</w:t>
      </w:r>
      <w:proofErr w:type="gramEnd"/>
      <w:r w:rsidRPr="00F00C04">
        <w:rPr>
          <w:rFonts w:ascii="Brill" w:hAnsi="Brill"/>
          <w:color w:val="000000"/>
          <w:shd w:val="clear" w:color="auto" w:fill="FFFFFF"/>
        </w:rPr>
        <w:t xml:space="preserve"> University Press</w:t>
      </w:r>
    </w:p>
  </w:footnote>
  <w:footnote w:id="49">
    <w:p w14:paraId="3AEACA75" w14:textId="77777777" w:rsidR="00C6002C" w:rsidRPr="00F00C04" w:rsidRDefault="00C6002C" w:rsidP="00C6002C">
      <w:pPr>
        <w:pStyle w:val="FootnoteText"/>
        <w:rPr>
          <w:rFonts w:ascii="Brill" w:hAnsi="Brill"/>
          <w:lang w:val="en-US"/>
        </w:rPr>
      </w:pPr>
      <w:r w:rsidRPr="00F00C04">
        <w:rPr>
          <w:rStyle w:val="FootnoteReference"/>
          <w:rFonts w:ascii="Brill" w:hAnsi="Brill"/>
        </w:rPr>
        <w:footnoteRef/>
      </w:r>
      <w:r w:rsidRPr="00F00C04">
        <w:rPr>
          <w:rFonts w:ascii="Brill" w:hAnsi="Brill"/>
        </w:rPr>
        <w:t xml:space="preserve"> Al-Kirman</w:t>
      </w:r>
      <w:r w:rsidRPr="00F00C04">
        <w:rPr>
          <w:rFonts w:ascii="Brill" w:hAnsi="Brill"/>
          <w:lang w:val="en-US"/>
        </w:rPr>
        <w:t>ī</w:t>
      </w:r>
      <w:r w:rsidRPr="00F00C04">
        <w:rPr>
          <w:rFonts w:ascii="Brill" w:hAnsi="Brill"/>
        </w:rPr>
        <w:t>, Ham</w:t>
      </w:r>
      <w:r w:rsidRPr="00F00C04">
        <w:rPr>
          <w:rFonts w:ascii="Brill" w:hAnsi="Brill"/>
          <w:lang w:val="en-US"/>
        </w:rPr>
        <w:t>ī</w:t>
      </w:r>
      <w:r w:rsidRPr="00F00C04">
        <w:rPr>
          <w:rFonts w:ascii="Brill" w:hAnsi="Brill"/>
        </w:rPr>
        <w:t>d al-d</w:t>
      </w:r>
      <w:r w:rsidRPr="00F00C04">
        <w:rPr>
          <w:rFonts w:ascii="Brill" w:hAnsi="Brill"/>
          <w:lang w:val="en-US"/>
        </w:rPr>
        <w:t>īn, (circa 11</w:t>
      </w:r>
      <w:r w:rsidRPr="00F00C04">
        <w:rPr>
          <w:rFonts w:ascii="Brill" w:hAnsi="Brill"/>
          <w:vertAlign w:val="superscript"/>
          <w:lang w:val="en-US"/>
        </w:rPr>
        <w:t>th</w:t>
      </w:r>
      <w:r w:rsidRPr="00F00C04">
        <w:rPr>
          <w:rFonts w:ascii="Brill" w:hAnsi="Brill"/>
          <w:lang w:val="en-US"/>
        </w:rPr>
        <w:t xml:space="preserve"> century; pub.2007), p.23, </w:t>
      </w:r>
      <w:r w:rsidRPr="00F00C04">
        <w:rPr>
          <w:rFonts w:ascii="Brill" w:hAnsi="Brill"/>
          <w:i/>
          <w:iCs/>
          <w:lang w:val="en-US"/>
        </w:rPr>
        <w:t>al-Risala al-Wadiyya fī Ma’alim al-Dīn wa Usūlih,</w:t>
      </w:r>
      <w:r w:rsidRPr="00F00C04">
        <w:rPr>
          <w:rFonts w:ascii="Brill" w:hAnsi="Brill"/>
          <w:lang w:val="en-US"/>
        </w:rPr>
        <w:t xml:space="preserve"> Mumbai: Al-Jamea-tus-Saifiyah</w:t>
      </w:r>
    </w:p>
  </w:footnote>
  <w:footnote w:id="50">
    <w:p w14:paraId="5C65C77D" w14:textId="77777777" w:rsidR="00C6002C" w:rsidRPr="00F00C04" w:rsidRDefault="00C6002C" w:rsidP="00C6002C">
      <w:pPr>
        <w:pStyle w:val="FootnoteText"/>
        <w:rPr>
          <w:rFonts w:ascii="Brill" w:hAnsi="Brill"/>
          <w:lang w:val="en-US"/>
        </w:rPr>
      </w:pPr>
      <w:r w:rsidRPr="00F00C04">
        <w:rPr>
          <w:rStyle w:val="FootnoteReference"/>
          <w:rFonts w:ascii="Brill" w:hAnsi="Brill"/>
        </w:rPr>
        <w:footnoteRef/>
      </w:r>
      <w:r w:rsidRPr="00F00C04">
        <w:rPr>
          <w:rFonts w:ascii="Brill" w:hAnsi="Brill"/>
        </w:rPr>
        <w:t xml:space="preserve"> Al-Mastur, Imam Ahmad (circa 10</w:t>
      </w:r>
      <w:r w:rsidRPr="00F00C04">
        <w:rPr>
          <w:rFonts w:ascii="Brill" w:hAnsi="Brill"/>
          <w:vertAlign w:val="superscript"/>
        </w:rPr>
        <w:t>th</w:t>
      </w:r>
      <w:r w:rsidRPr="00F00C04">
        <w:rPr>
          <w:rFonts w:ascii="Brill" w:hAnsi="Brill"/>
        </w:rPr>
        <w:t xml:space="preserve"> century; pub. 2018), pg. 282, </w:t>
      </w:r>
      <w:r w:rsidRPr="00F00C04">
        <w:rPr>
          <w:rFonts w:ascii="Brill" w:hAnsi="Brill"/>
          <w:i/>
          <w:iCs/>
        </w:rPr>
        <w:t>Ras</w:t>
      </w:r>
      <w:r w:rsidRPr="00F00C04">
        <w:rPr>
          <w:rFonts w:ascii="Brill" w:hAnsi="Brill"/>
          <w:i/>
          <w:iCs/>
          <w:lang w:val="en-US"/>
        </w:rPr>
        <w:t>āil Ikhwān al-Safā</w:t>
      </w:r>
      <w:r w:rsidRPr="00F00C04">
        <w:rPr>
          <w:rFonts w:ascii="Brill" w:hAnsi="Brill"/>
          <w:lang w:val="en-US"/>
        </w:rPr>
        <w:t>, Vol.1, Windsor:</w:t>
      </w:r>
      <w:r w:rsidRPr="00F00C04">
        <w:rPr>
          <w:rFonts w:ascii="Brill" w:hAnsi="Brill"/>
        </w:rPr>
        <w:t xml:space="preserve"> Hindawi Foundation C.I.C.</w:t>
      </w:r>
    </w:p>
  </w:footnote>
  <w:footnote w:id="51">
    <w:p w14:paraId="47A2F035" w14:textId="77777777" w:rsidR="00C6002C" w:rsidRPr="00F00C04" w:rsidRDefault="00C6002C" w:rsidP="00C6002C">
      <w:pPr>
        <w:pStyle w:val="FootnoteText"/>
        <w:rPr>
          <w:rFonts w:ascii="Brill" w:hAnsi="Brill"/>
          <w:rtl/>
          <w:lang w:bidi="ar-YE"/>
        </w:rPr>
      </w:pPr>
      <w:r w:rsidRPr="00F00C04">
        <w:rPr>
          <w:rStyle w:val="FootnoteReference"/>
          <w:rFonts w:ascii="Brill" w:hAnsi="Brill"/>
        </w:rPr>
        <w:footnoteRef/>
      </w:r>
      <w:r w:rsidRPr="00F00C04">
        <w:rPr>
          <w:rFonts w:ascii="Brill" w:hAnsi="Brill"/>
        </w:rPr>
        <w:t xml:space="preserve"> Reetz (2010:120-121)</w:t>
      </w:r>
    </w:p>
  </w:footnote>
  <w:footnote w:id="52">
    <w:p w14:paraId="50E60D60" w14:textId="77777777" w:rsidR="00C6002C" w:rsidRPr="00F00C04" w:rsidRDefault="00C6002C" w:rsidP="00C6002C">
      <w:pPr>
        <w:pStyle w:val="FootnoteText"/>
        <w:rPr>
          <w:rFonts w:ascii="Brill" w:hAnsi="Brill"/>
          <w:lang w:val="en-US"/>
        </w:rPr>
      </w:pPr>
      <w:r w:rsidRPr="00F00C04">
        <w:rPr>
          <w:rStyle w:val="FootnoteReference"/>
          <w:rFonts w:ascii="Brill" w:hAnsi="Brill"/>
        </w:rPr>
        <w:footnoteRef/>
      </w:r>
      <w:r w:rsidRPr="00F00C04">
        <w:rPr>
          <w:rFonts w:ascii="Brill" w:hAnsi="Brill"/>
        </w:rPr>
        <w:t xml:space="preserve"> </w:t>
      </w:r>
      <w:hyperlink r:id="rId5" w:history="1">
        <w:r w:rsidRPr="00F00C04">
          <w:rPr>
            <w:rStyle w:val="Hyperlink"/>
            <w:rFonts w:ascii="Brill" w:hAnsi="Brill"/>
          </w:rPr>
          <w:t>https://imamu.edu.sa/en/about/Pages/default.aspx</w:t>
        </w:r>
      </w:hyperlink>
    </w:p>
  </w:footnote>
  <w:footnote w:id="53">
    <w:p w14:paraId="249BF9D6" w14:textId="77777777" w:rsidR="00C6002C" w:rsidRPr="00F00C04" w:rsidRDefault="00C6002C" w:rsidP="00C6002C">
      <w:pPr>
        <w:pStyle w:val="FootnoteText"/>
        <w:rPr>
          <w:rFonts w:ascii="Brill" w:hAnsi="Brill"/>
          <w:lang w:val="en-US"/>
        </w:rPr>
      </w:pPr>
      <w:r w:rsidRPr="00F00C04">
        <w:rPr>
          <w:rStyle w:val="FootnoteReference"/>
          <w:rFonts w:ascii="Brill" w:hAnsi="Brill"/>
        </w:rPr>
        <w:footnoteRef/>
      </w:r>
      <w:r w:rsidRPr="00F00C04">
        <w:rPr>
          <w:rFonts w:ascii="Brill" w:hAnsi="Brill"/>
        </w:rPr>
        <w:t xml:space="preserve"> </w:t>
      </w:r>
      <w:hyperlink r:id="rId6" w:history="1">
        <w:r w:rsidRPr="00F00C04">
          <w:rPr>
            <w:rStyle w:val="Hyperlink"/>
            <w:rFonts w:ascii="Brill" w:hAnsi="Brill"/>
          </w:rPr>
          <w:t>https://enweb.iu.edu.sa/site_page/20975</w:t>
        </w:r>
      </w:hyperlink>
    </w:p>
  </w:footnote>
  <w:footnote w:id="54">
    <w:p w14:paraId="0ECC580B" w14:textId="77777777" w:rsidR="00C6002C" w:rsidRPr="00F00C04" w:rsidRDefault="00C6002C" w:rsidP="00C6002C">
      <w:pPr>
        <w:pStyle w:val="FootnoteText"/>
        <w:rPr>
          <w:rFonts w:ascii="Brill" w:hAnsi="Brill"/>
          <w:lang w:val="en-US"/>
        </w:rPr>
      </w:pPr>
      <w:r w:rsidRPr="00F00C04">
        <w:rPr>
          <w:rStyle w:val="FootnoteReference"/>
          <w:rFonts w:ascii="Brill" w:hAnsi="Brill"/>
        </w:rPr>
        <w:footnoteRef/>
      </w:r>
      <w:r w:rsidRPr="00F00C04">
        <w:rPr>
          <w:rFonts w:ascii="Brill" w:hAnsi="Brill"/>
        </w:rPr>
        <w:t xml:space="preserve"> </w:t>
      </w:r>
      <w:hyperlink r:id="rId7" w:history="1">
        <w:r w:rsidRPr="00F00C04">
          <w:rPr>
            <w:rStyle w:val="Hyperlink"/>
            <w:rFonts w:ascii="Brill" w:hAnsi="Brill"/>
          </w:rPr>
          <w:t>https://www.uii.ac.id/international/about-oia__trashed/office-of-international-affairs-at-a-glance/</w:t>
        </w:r>
      </w:hyperlink>
    </w:p>
  </w:footnote>
  <w:footnote w:id="55">
    <w:p w14:paraId="505A548B" w14:textId="77777777" w:rsidR="00C6002C" w:rsidRPr="00F00C04" w:rsidRDefault="00C6002C" w:rsidP="00C6002C">
      <w:pPr>
        <w:pStyle w:val="FootnoteText"/>
        <w:rPr>
          <w:rFonts w:ascii="Brill" w:hAnsi="Brill"/>
          <w:lang w:val="en-US"/>
        </w:rPr>
      </w:pPr>
      <w:r w:rsidRPr="00F00C04">
        <w:rPr>
          <w:rStyle w:val="FootnoteReference"/>
          <w:rFonts w:ascii="Brill" w:hAnsi="Brill"/>
        </w:rPr>
        <w:footnoteRef/>
      </w:r>
      <w:r w:rsidRPr="00F00C04">
        <w:rPr>
          <w:rFonts w:ascii="Brill" w:hAnsi="Brill"/>
        </w:rPr>
        <w:t xml:space="preserve"> Reetz (2010:117) states that not only modern universities, such as those in Indonesia and Malaysia</w:t>
      </w:r>
      <w:r w:rsidRPr="00F00C04">
        <w:rPr>
          <w:rStyle w:val="FootnoteReference"/>
          <w:rFonts w:ascii="Brill" w:hAnsi="Brill"/>
        </w:rPr>
        <w:footnoteRef/>
      </w:r>
      <w:r w:rsidRPr="00F00C04">
        <w:rPr>
          <w:rFonts w:ascii="Brill" w:hAnsi="Brill"/>
        </w:rPr>
        <w:t xml:space="preserve">, but also seminaries, like Deoband (in India), have modelled their systems on the al-Azhar University pedagogical model. Although the Deobandī </w:t>
      </w:r>
      <w:r w:rsidRPr="00F00C04">
        <w:rPr>
          <w:rFonts w:ascii="Brill" w:hAnsi="Brill"/>
          <w:i/>
          <w:iCs/>
        </w:rPr>
        <w:t>madrasas</w:t>
      </w:r>
      <w:r w:rsidRPr="00F00C04">
        <w:rPr>
          <w:rFonts w:ascii="Brill" w:hAnsi="Brill"/>
        </w:rPr>
        <w:t xml:space="preserve"> (including the main seminary in Deoband) have resisted getting modernised unlike the al-Azhar University, which modernised its curricula and methodologies in the 1960’s.</w:t>
      </w:r>
    </w:p>
  </w:footnote>
  <w:footnote w:id="56">
    <w:p w14:paraId="346A3B54" w14:textId="77777777" w:rsidR="00C6002C" w:rsidRPr="00F00C04" w:rsidRDefault="00C6002C" w:rsidP="00C6002C">
      <w:pPr>
        <w:pStyle w:val="FootnoteText"/>
        <w:rPr>
          <w:rFonts w:ascii="Brill" w:hAnsi="Brill"/>
          <w:lang w:val="en-US"/>
        </w:rPr>
      </w:pPr>
      <w:r w:rsidRPr="00F00C04">
        <w:rPr>
          <w:rStyle w:val="FootnoteReference"/>
          <w:rFonts w:ascii="Brill" w:hAnsi="Brill"/>
        </w:rPr>
        <w:footnoteRef/>
      </w:r>
      <w:r w:rsidRPr="00F00C04">
        <w:rPr>
          <w:rFonts w:ascii="Brill" w:hAnsi="Brill"/>
        </w:rPr>
        <w:t xml:space="preserve"> </w:t>
      </w:r>
      <w:hyperlink r:id="rId8" w:history="1">
        <w:r w:rsidRPr="00F00C04">
          <w:rPr>
            <w:rStyle w:val="Hyperlink"/>
            <w:rFonts w:ascii="Brill" w:hAnsi="Brill"/>
          </w:rPr>
          <w:t>https://azhar.live/</w:t>
        </w:r>
      </w:hyperlink>
    </w:p>
  </w:footnote>
  <w:footnote w:id="57">
    <w:p w14:paraId="6A72CF65" w14:textId="77777777" w:rsidR="00C6002C" w:rsidRPr="00F00C04" w:rsidRDefault="00C6002C" w:rsidP="00C6002C">
      <w:pPr>
        <w:pStyle w:val="FootnoteText"/>
        <w:rPr>
          <w:rFonts w:ascii="Brill" w:hAnsi="Brill"/>
          <w:lang w:val="en-US"/>
        </w:rPr>
      </w:pPr>
      <w:r w:rsidRPr="00F00C04">
        <w:rPr>
          <w:rStyle w:val="FootnoteReference"/>
          <w:rFonts w:ascii="Brill" w:hAnsi="Brill"/>
        </w:rPr>
        <w:footnoteRef/>
      </w:r>
      <w:r w:rsidRPr="00F00C04">
        <w:rPr>
          <w:rFonts w:ascii="Brill" w:hAnsi="Brill"/>
        </w:rPr>
        <w:t xml:space="preserve"> </w:t>
      </w:r>
      <w:hyperlink r:id="rId9" w:history="1">
        <w:r w:rsidRPr="00F00C04">
          <w:rPr>
            <w:rStyle w:val="Hyperlink"/>
            <w:rFonts w:ascii="Brill" w:hAnsi="Brill"/>
          </w:rPr>
          <w:t>http://uaq.ma/</w:t>
        </w:r>
      </w:hyperlink>
    </w:p>
  </w:footnote>
  <w:footnote w:id="58">
    <w:p w14:paraId="518B3347" w14:textId="77777777" w:rsidR="00C6002C" w:rsidRPr="00F00C04" w:rsidRDefault="00C6002C" w:rsidP="00C6002C">
      <w:pPr>
        <w:pStyle w:val="FootnoteText"/>
        <w:rPr>
          <w:rFonts w:ascii="Brill" w:hAnsi="Brill"/>
          <w:lang w:val="en-US"/>
        </w:rPr>
      </w:pPr>
      <w:r w:rsidRPr="00F00C04">
        <w:rPr>
          <w:rStyle w:val="FootnoteReference"/>
          <w:rFonts w:ascii="Brill" w:hAnsi="Brill"/>
        </w:rPr>
        <w:footnoteRef/>
      </w:r>
      <w:r w:rsidRPr="00F00C04">
        <w:rPr>
          <w:rFonts w:ascii="Brill" w:hAnsi="Brill"/>
        </w:rPr>
        <w:t xml:space="preserve"> </w:t>
      </w:r>
      <w:r w:rsidRPr="00D352CB">
        <w:rPr>
          <w:rFonts w:ascii="Brill" w:hAnsi="Brill"/>
          <w:lang w:val="en-US"/>
        </w:rPr>
        <w:t>For a detailed report on</w:t>
      </w:r>
      <w:r w:rsidRPr="0064316F">
        <w:rPr>
          <w:rFonts w:ascii="Brill" w:hAnsi="Brill"/>
          <w:lang w:val="en-US"/>
        </w:rPr>
        <w:t xml:space="preserve"> the development of university administrations in the Western con</w:t>
      </w:r>
      <w:r w:rsidRPr="005710E5">
        <w:rPr>
          <w:rFonts w:ascii="Brill" w:hAnsi="Brill"/>
          <w:lang w:val="en-US"/>
        </w:rPr>
        <w:t>text</w:t>
      </w:r>
      <w:r w:rsidRPr="00DF6ADC">
        <w:rPr>
          <w:rFonts w:ascii="Brill" w:hAnsi="Brill"/>
          <w:lang w:val="en-US"/>
        </w:rPr>
        <w:t xml:space="preserve"> see </w:t>
      </w:r>
      <w:r w:rsidRPr="00AA27C1">
        <w:rPr>
          <w:rFonts w:ascii="Brill" w:hAnsi="Brill"/>
          <w:lang w:val="en-US"/>
        </w:rPr>
        <w:t>Knapp, Fritz Peter, Kühlmann, Wilhelm and Rebenich, Stefan (Mannheim RWG), “University”, in:</w:t>
      </w:r>
      <w:r w:rsidRPr="0064316F">
        <w:rPr>
          <w:rFonts w:ascii="Brill" w:hAnsi="Brill" w:cstheme="majorBidi"/>
          <w:color w:val="222222"/>
          <w:shd w:val="clear" w:color="auto" w:fill="F2F2F2"/>
        </w:rPr>
        <w:t> </w:t>
      </w:r>
      <w:r w:rsidRPr="005710E5">
        <w:rPr>
          <w:rStyle w:val="citationitalic"/>
          <w:rFonts w:ascii="Brill" w:hAnsi="Brill" w:cstheme="majorBidi"/>
          <w:i/>
          <w:iCs/>
          <w:color w:val="222222"/>
        </w:rPr>
        <w:t>Brill’s New Pauly</w:t>
      </w:r>
      <w:r w:rsidRPr="00DF6ADC">
        <w:rPr>
          <w:rFonts w:ascii="Brill" w:hAnsi="Brill" w:cstheme="majorBidi"/>
          <w:color w:val="222222"/>
          <w:shd w:val="clear" w:color="auto" w:fill="F2F2F2"/>
        </w:rPr>
        <w:t xml:space="preserve">, </w:t>
      </w:r>
      <w:r w:rsidRPr="00AA27C1">
        <w:rPr>
          <w:rFonts w:ascii="Brill" w:hAnsi="Brill"/>
          <w:lang w:val="en-US"/>
        </w:rPr>
        <w:t>Antiquity volumes edited by: Hubert Cancik and , Helmuth Schneider, English Edition by: Christine F. Salazar, Classical Tradition volumes edited by: Manfred Landfester, English Edition by: Francis G. Gentry</w:t>
      </w:r>
    </w:p>
  </w:footnote>
  <w:footnote w:id="59">
    <w:p w14:paraId="643AFF9C" w14:textId="77777777" w:rsidR="00C6002C" w:rsidRPr="00F00C04" w:rsidRDefault="00C6002C" w:rsidP="00C6002C">
      <w:pPr>
        <w:pStyle w:val="FootnoteText"/>
        <w:rPr>
          <w:rFonts w:ascii="Brill" w:hAnsi="Brill"/>
        </w:rPr>
      </w:pPr>
      <w:r w:rsidRPr="00F00C04">
        <w:rPr>
          <w:rStyle w:val="FootnoteReference"/>
          <w:rFonts w:ascii="Brill" w:hAnsi="Brill"/>
        </w:rPr>
        <w:footnoteRef/>
      </w:r>
      <w:r w:rsidRPr="00F00C04">
        <w:rPr>
          <w:rFonts w:ascii="Brill" w:hAnsi="Brill"/>
        </w:rPr>
        <w:t xml:space="preserve"> Reetz (2010:125)</w:t>
      </w:r>
    </w:p>
  </w:footnote>
  <w:footnote w:id="60">
    <w:p w14:paraId="466CF530" w14:textId="77777777" w:rsidR="00C6002C" w:rsidRPr="00F00C04" w:rsidRDefault="00C6002C" w:rsidP="00C6002C">
      <w:pPr>
        <w:pStyle w:val="FootnoteText"/>
        <w:rPr>
          <w:rFonts w:ascii="Brill" w:hAnsi="Brill"/>
          <w:lang w:val="en-US"/>
        </w:rPr>
      </w:pPr>
      <w:r w:rsidRPr="00F00C04">
        <w:rPr>
          <w:rStyle w:val="FootnoteReference"/>
          <w:rFonts w:ascii="Brill" w:hAnsi="Brill"/>
        </w:rPr>
        <w:footnoteRef/>
      </w:r>
      <w:r w:rsidRPr="00F00C04">
        <w:rPr>
          <w:rFonts w:ascii="Brill" w:hAnsi="Brill"/>
        </w:rPr>
        <w:t xml:space="preserve"> </w:t>
      </w:r>
      <w:r w:rsidRPr="00F00C04">
        <w:rPr>
          <w:rFonts w:ascii="Brill" w:hAnsi="Brill"/>
          <w:lang w:val="en-US"/>
        </w:rPr>
        <w:t xml:space="preserve">Almost all religions believe that some elements of faith are to be accepted and cannot be known by reason. For a Christian viewpoint on the importance of belief and conviction in faith see </w:t>
      </w:r>
      <w:r w:rsidRPr="00F00C04">
        <w:rPr>
          <w:rFonts w:ascii="Brill" w:hAnsi="Brill" w:cstheme="majorBidi"/>
          <w:color w:val="222222"/>
          <w:shd w:val="clear" w:color="auto" w:fill="F2F2F2"/>
        </w:rPr>
        <w:t xml:space="preserve">Knapp, Fritz </w:t>
      </w:r>
      <w:r w:rsidRPr="00AA27C1">
        <w:rPr>
          <w:rFonts w:ascii="Brill" w:hAnsi="Brill"/>
          <w:lang w:val="en-US"/>
        </w:rPr>
        <w:t>Peter, Kühlmann, Wilhelm and Rebenich, Stefan (Mannheim RWG), “University”, in:</w:t>
      </w:r>
      <w:r w:rsidRPr="00F00C04">
        <w:rPr>
          <w:rFonts w:ascii="Brill" w:hAnsi="Brill" w:cstheme="majorBidi"/>
          <w:color w:val="222222"/>
          <w:shd w:val="clear" w:color="auto" w:fill="F2F2F2"/>
        </w:rPr>
        <w:t> </w:t>
      </w:r>
      <w:r w:rsidRPr="00F00C04">
        <w:rPr>
          <w:rStyle w:val="citationitalic"/>
          <w:rFonts w:ascii="Brill" w:hAnsi="Brill" w:cstheme="majorBidi"/>
          <w:i/>
          <w:iCs/>
          <w:color w:val="222222"/>
        </w:rPr>
        <w:t>Brill’s New Pauly</w:t>
      </w:r>
      <w:r w:rsidRPr="00F00C04">
        <w:rPr>
          <w:rFonts w:ascii="Brill" w:hAnsi="Brill" w:cstheme="majorBidi"/>
          <w:color w:val="222222"/>
          <w:shd w:val="clear" w:color="auto" w:fill="F2F2F2"/>
        </w:rPr>
        <w:t xml:space="preserve">, </w:t>
      </w:r>
      <w:r w:rsidRPr="00AA27C1">
        <w:rPr>
          <w:rFonts w:ascii="Brill" w:hAnsi="Brill"/>
          <w:lang w:val="en-US"/>
        </w:rPr>
        <w:t>Antiquity volumes edited by: Hubert Cancik and , Helmuth Schneider, English Edition by: Christine F. Salazar, Classical Tradition volumes edited by: Manfred Landfester, English Edition by: Francis G. Gentry</w:t>
      </w:r>
    </w:p>
  </w:footnote>
  <w:footnote w:id="61">
    <w:p w14:paraId="5D071365" w14:textId="77777777" w:rsidR="00C6002C" w:rsidRPr="00F00C04" w:rsidRDefault="00C6002C" w:rsidP="00C6002C">
      <w:pPr>
        <w:pStyle w:val="FootnoteText"/>
        <w:rPr>
          <w:rFonts w:ascii="Brill" w:hAnsi="Brill"/>
          <w:lang w:val="en-US"/>
        </w:rPr>
      </w:pPr>
      <w:r w:rsidRPr="00F00C04">
        <w:rPr>
          <w:rStyle w:val="FootnoteReference"/>
          <w:rFonts w:ascii="Brill" w:hAnsi="Brill"/>
        </w:rPr>
        <w:footnoteRef/>
      </w:r>
      <w:r w:rsidRPr="00F00C04">
        <w:rPr>
          <w:rFonts w:ascii="Brill" w:hAnsi="Brill"/>
        </w:rPr>
        <w:t xml:space="preserve"> Halstead 2004</w:t>
      </w:r>
    </w:p>
  </w:footnote>
  <w:footnote w:id="62">
    <w:p w14:paraId="737FE52D" w14:textId="77777777" w:rsidR="00C6002C" w:rsidRPr="00F00C04" w:rsidRDefault="00C6002C" w:rsidP="00C6002C">
      <w:pPr>
        <w:pStyle w:val="FootnoteText"/>
        <w:rPr>
          <w:rFonts w:ascii="Brill" w:hAnsi="Brill"/>
          <w:lang w:val="en-US"/>
        </w:rPr>
      </w:pPr>
      <w:r w:rsidRPr="00F00C04">
        <w:rPr>
          <w:rStyle w:val="FootnoteReference"/>
          <w:rFonts w:ascii="Brill" w:hAnsi="Brill"/>
        </w:rPr>
        <w:footnoteRef/>
      </w:r>
      <w:r w:rsidRPr="00F00C04">
        <w:rPr>
          <w:rFonts w:ascii="Brill" w:hAnsi="Brill"/>
        </w:rPr>
        <w:t xml:space="preserve"> </w:t>
      </w:r>
      <w:r w:rsidRPr="00F00C04">
        <w:rPr>
          <w:rFonts w:ascii="Brill" w:hAnsi="Brill"/>
          <w:lang w:val="en-US"/>
        </w:rPr>
        <w:t>Halstead (2004)</w:t>
      </w:r>
    </w:p>
  </w:footnote>
  <w:footnote w:id="63">
    <w:p w14:paraId="0C87E73D" w14:textId="77777777" w:rsidR="00C6002C" w:rsidRPr="00F00C04" w:rsidRDefault="00C6002C" w:rsidP="00C6002C">
      <w:pPr>
        <w:pStyle w:val="FootnoteText"/>
        <w:rPr>
          <w:rFonts w:ascii="Brill" w:hAnsi="Brill"/>
        </w:rPr>
      </w:pPr>
      <w:r w:rsidRPr="00F00C04">
        <w:rPr>
          <w:rStyle w:val="FootnoteReference"/>
          <w:rFonts w:ascii="Brill" w:hAnsi="Brill"/>
        </w:rPr>
        <w:footnoteRef/>
      </w:r>
      <w:r w:rsidRPr="00F00C04">
        <w:rPr>
          <w:rFonts w:ascii="Brill" w:hAnsi="Brill"/>
        </w:rPr>
        <w:t xml:space="preserve"> Davary (2014)</w:t>
      </w:r>
    </w:p>
  </w:footnote>
  <w:footnote w:id="64">
    <w:p w14:paraId="54BEB440" w14:textId="77777777" w:rsidR="00C6002C" w:rsidRPr="00F00C04" w:rsidRDefault="00C6002C" w:rsidP="00C6002C">
      <w:pPr>
        <w:pStyle w:val="FootnoteText"/>
        <w:rPr>
          <w:rFonts w:ascii="Brill" w:hAnsi="Brill"/>
        </w:rPr>
      </w:pPr>
      <w:r w:rsidRPr="00F00C04">
        <w:rPr>
          <w:rStyle w:val="FootnoteReference"/>
          <w:rFonts w:ascii="Brill" w:hAnsi="Brill"/>
        </w:rPr>
        <w:footnoteRef/>
      </w:r>
      <w:r w:rsidRPr="00F00C04">
        <w:rPr>
          <w:rFonts w:ascii="Brill" w:hAnsi="Brill"/>
        </w:rPr>
        <w:t xml:space="preserve"> Davary (2014)</w:t>
      </w:r>
    </w:p>
  </w:footnote>
  <w:footnote w:id="65">
    <w:p w14:paraId="3315D1B8" w14:textId="77777777" w:rsidR="00C6002C" w:rsidRPr="00F00C04" w:rsidRDefault="00C6002C" w:rsidP="00C6002C">
      <w:pPr>
        <w:pStyle w:val="FootnoteText"/>
        <w:rPr>
          <w:rFonts w:ascii="Brill" w:hAnsi="Brill"/>
        </w:rPr>
      </w:pPr>
      <w:r w:rsidRPr="00F00C04">
        <w:rPr>
          <w:rStyle w:val="FootnoteReference"/>
          <w:rFonts w:ascii="Brill" w:hAnsi="Brill"/>
        </w:rPr>
        <w:footnoteRef/>
      </w:r>
      <w:r w:rsidRPr="00F00C04">
        <w:rPr>
          <w:rFonts w:ascii="Brill" w:hAnsi="Brill"/>
        </w:rPr>
        <w:t xml:space="preserve"> Davary (2014)</w:t>
      </w:r>
    </w:p>
  </w:footnote>
  <w:footnote w:id="66">
    <w:p w14:paraId="671B4AD8" w14:textId="77777777" w:rsidR="00C6002C" w:rsidRPr="00F00C04" w:rsidRDefault="00C6002C" w:rsidP="00C6002C">
      <w:pPr>
        <w:pStyle w:val="FootnoteText"/>
        <w:rPr>
          <w:rFonts w:ascii="Brill" w:hAnsi="Brill"/>
          <w:lang w:val="en-US"/>
        </w:rPr>
      </w:pPr>
      <w:r w:rsidRPr="00F00C04">
        <w:rPr>
          <w:rStyle w:val="FootnoteReference"/>
          <w:rFonts w:ascii="Brill" w:hAnsi="Brill"/>
        </w:rPr>
        <w:footnoteRef/>
      </w:r>
      <w:r w:rsidRPr="00F00C04">
        <w:rPr>
          <w:rFonts w:ascii="Brill" w:hAnsi="Brill"/>
        </w:rPr>
        <w:t xml:space="preserve"> Ahmed, S. (2016). </w:t>
      </w:r>
      <w:r w:rsidRPr="00F00C04">
        <w:rPr>
          <w:rFonts w:ascii="Brill" w:hAnsi="Brill"/>
          <w:i/>
          <w:iCs/>
        </w:rPr>
        <w:t xml:space="preserve">What is </w:t>
      </w:r>
      <w:proofErr w:type="gramStart"/>
      <w:r w:rsidRPr="00F00C04">
        <w:rPr>
          <w:rFonts w:ascii="Brill" w:hAnsi="Brill"/>
          <w:i/>
          <w:iCs/>
        </w:rPr>
        <w:t>Islam</w:t>
      </w:r>
      <w:r w:rsidRPr="00F00C04">
        <w:rPr>
          <w:rFonts w:ascii="Brill" w:hAnsi="Brill"/>
        </w:rPr>
        <w:t>?:</w:t>
      </w:r>
      <w:proofErr w:type="gramEnd"/>
      <w:r w:rsidRPr="00F00C04">
        <w:rPr>
          <w:rFonts w:ascii="Brill" w:hAnsi="Brill"/>
        </w:rPr>
        <w:t xml:space="preserve"> </w:t>
      </w:r>
      <w:r w:rsidRPr="00F00C04">
        <w:rPr>
          <w:rFonts w:ascii="Brill" w:hAnsi="Brill"/>
          <w:i/>
          <w:iCs/>
        </w:rPr>
        <w:t>The Importance of Being Islamic.</w:t>
      </w:r>
      <w:r w:rsidRPr="00F00C04">
        <w:rPr>
          <w:rFonts w:ascii="Brill" w:hAnsi="Brill"/>
        </w:rPr>
        <w:t xml:space="preserve"> Princeton: Princeton University Press. The author says: “posed by the sheer diversity of-that is, range of differences between-those societies, persons, ideas and practices that identify themselves with “Islam””</w:t>
      </w:r>
    </w:p>
  </w:footnote>
  <w:footnote w:id="67">
    <w:p w14:paraId="1D1339DB" w14:textId="77777777" w:rsidR="00C6002C" w:rsidRPr="00F00C04" w:rsidRDefault="00C6002C" w:rsidP="00C6002C">
      <w:pPr>
        <w:pStyle w:val="FootnoteText"/>
        <w:rPr>
          <w:rFonts w:ascii="Brill" w:hAnsi="Brill"/>
          <w:lang w:val="en-US"/>
        </w:rPr>
      </w:pPr>
      <w:r w:rsidRPr="00F00C04">
        <w:rPr>
          <w:rStyle w:val="FootnoteReference"/>
          <w:rFonts w:ascii="Brill" w:hAnsi="Brill"/>
        </w:rPr>
        <w:footnoteRef/>
      </w:r>
      <w:r w:rsidRPr="00F00C04">
        <w:rPr>
          <w:rFonts w:ascii="Brill" w:hAnsi="Brill"/>
        </w:rPr>
        <w:t xml:space="preserve"> </w:t>
      </w:r>
      <w:r w:rsidRPr="00F00C04">
        <w:rPr>
          <w:rFonts w:ascii="Brill" w:hAnsi="Brill"/>
          <w:lang w:val="en-US"/>
        </w:rPr>
        <w:t>Ahmed (2016:73)</w:t>
      </w:r>
    </w:p>
  </w:footnote>
  <w:footnote w:id="68">
    <w:p w14:paraId="059F43EE" w14:textId="77777777" w:rsidR="00C6002C" w:rsidRPr="00F00C04" w:rsidRDefault="00C6002C" w:rsidP="00C6002C">
      <w:pPr>
        <w:pStyle w:val="FootnoteText"/>
        <w:rPr>
          <w:rFonts w:ascii="Brill" w:hAnsi="Brill"/>
        </w:rPr>
      </w:pPr>
      <w:r w:rsidRPr="00F00C04">
        <w:rPr>
          <w:rStyle w:val="FootnoteReference"/>
          <w:rFonts w:ascii="Brill" w:hAnsi="Brill"/>
        </w:rPr>
        <w:footnoteRef/>
      </w:r>
      <w:r w:rsidRPr="00F00C04">
        <w:rPr>
          <w:rFonts w:ascii="Brill" w:hAnsi="Brill"/>
        </w:rPr>
        <w:t xml:space="preserve"> Koch (2017)</w:t>
      </w:r>
    </w:p>
  </w:footnote>
  <w:footnote w:id="69">
    <w:p w14:paraId="49FDABDF" w14:textId="77777777" w:rsidR="00C6002C" w:rsidRPr="00F00C04" w:rsidRDefault="00C6002C" w:rsidP="00C6002C">
      <w:pPr>
        <w:rPr>
          <w:rFonts w:ascii="Brill" w:hAnsi="Brill" w:cstheme="majorBidi"/>
          <w:color w:val="333333"/>
          <w:sz w:val="20"/>
          <w:szCs w:val="20"/>
          <w:shd w:val="clear" w:color="auto" w:fill="FFFFFF"/>
        </w:rPr>
      </w:pPr>
      <w:r w:rsidRPr="00F00C04">
        <w:rPr>
          <w:rStyle w:val="FootnoteReference"/>
          <w:rFonts w:ascii="Brill" w:hAnsi="Brill"/>
          <w:sz w:val="20"/>
          <w:szCs w:val="20"/>
        </w:rPr>
        <w:footnoteRef/>
      </w:r>
      <w:r w:rsidRPr="00F00C04">
        <w:rPr>
          <w:rFonts w:ascii="Brill" w:hAnsi="Brill"/>
          <w:sz w:val="20"/>
          <w:szCs w:val="20"/>
        </w:rPr>
        <w:t xml:space="preserve"> </w:t>
      </w:r>
      <w:r w:rsidRPr="00F00C04">
        <w:rPr>
          <w:rFonts w:ascii="Brill" w:hAnsi="Brill" w:cstheme="majorBidi"/>
          <w:color w:val="333333"/>
          <w:sz w:val="20"/>
          <w:szCs w:val="20"/>
          <w:shd w:val="clear" w:color="auto" w:fill="FFFFFF"/>
        </w:rPr>
        <w:t xml:space="preserve">Mat, Hamidah &amp; Abas, Wan Mohammed, (2016). </w:t>
      </w:r>
      <w:r w:rsidRPr="00F00C04">
        <w:rPr>
          <w:rFonts w:ascii="Brill" w:hAnsi="Brill" w:cstheme="majorBidi"/>
          <w:i/>
          <w:iCs/>
          <w:color w:val="333333"/>
          <w:sz w:val="20"/>
          <w:szCs w:val="20"/>
          <w:shd w:val="clear" w:color="auto" w:fill="FFFFFF"/>
        </w:rPr>
        <w:t>The Relevance of Arabic Language in Islamic Studies Program: A Case Study of Open \university Malaysia (OUM)</w:t>
      </w:r>
      <w:r w:rsidRPr="00F00C04">
        <w:rPr>
          <w:rFonts w:ascii="Brill" w:hAnsi="Brill" w:cstheme="majorBidi"/>
          <w:color w:val="333333"/>
          <w:sz w:val="20"/>
          <w:szCs w:val="20"/>
          <w:shd w:val="clear" w:color="auto" w:fill="FFFFFF"/>
        </w:rPr>
        <w:t xml:space="preserve">, </w:t>
      </w:r>
      <w:r w:rsidRPr="00F00C04">
        <w:rPr>
          <w:rFonts w:ascii="Brill" w:hAnsi="Brill" w:cstheme="majorBidi"/>
          <w:color w:val="555555"/>
          <w:sz w:val="20"/>
          <w:szCs w:val="20"/>
        </w:rPr>
        <w:t>Journal of Education and Social Sciences, Vol. 5, issue 2, (October)</w:t>
      </w:r>
    </w:p>
  </w:footnote>
  <w:footnote w:id="70">
    <w:p w14:paraId="23B75C83" w14:textId="77777777" w:rsidR="00C6002C" w:rsidRPr="00F00C04" w:rsidRDefault="00C6002C" w:rsidP="00C6002C">
      <w:pPr>
        <w:pStyle w:val="FootnoteText"/>
        <w:rPr>
          <w:rFonts w:ascii="Brill" w:hAnsi="Brill"/>
        </w:rPr>
      </w:pPr>
      <w:r w:rsidRPr="00F00C04">
        <w:rPr>
          <w:rStyle w:val="FootnoteReference"/>
          <w:rFonts w:ascii="Brill" w:hAnsi="Brill"/>
        </w:rPr>
        <w:footnoteRef/>
      </w:r>
      <w:r w:rsidRPr="00F00C04">
        <w:rPr>
          <w:rFonts w:ascii="Brill" w:hAnsi="Brill"/>
        </w:rPr>
        <w:t xml:space="preserve"> Siddiqui, Ataullah. (200: pg.7), "</w:t>
      </w:r>
      <w:r w:rsidRPr="00F00C04">
        <w:rPr>
          <w:rFonts w:ascii="Brill" w:hAnsi="Brill"/>
          <w:i/>
          <w:iCs/>
        </w:rPr>
        <w:t>Islam at Universities in England. Meeting the Needs and Investing in the Future</w:t>
      </w:r>
      <w:r w:rsidRPr="00F00C04">
        <w:rPr>
          <w:rFonts w:ascii="Brill" w:hAnsi="Brill"/>
        </w:rPr>
        <w:t xml:space="preserve">”. </w:t>
      </w:r>
      <w:r w:rsidRPr="00F00C04">
        <w:rPr>
          <w:rFonts w:ascii="Brill" w:hAnsi="Brill"/>
          <w:u w:val="single"/>
        </w:rPr>
        <w:t>Report Submitted to Bill Rammell MP, Minister of State for Lifelong Learning, Further and Higher Education</w:t>
      </w:r>
      <w:r w:rsidRPr="00F00C04">
        <w:rPr>
          <w:rFonts w:ascii="Brill" w:hAnsi="Brill"/>
        </w:rPr>
        <w:t>, On 10th April 2007, ioe.ac.uk, 2007, Institute of Education,</w:t>
      </w:r>
    </w:p>
  </w:footnote>
  <w:footnote w:id="71">
    <w:p w14:paraId="4C64C08A" w14:textId="77777777" w:rsidR="00C6002C" w:rsidRPr="00F00C04" w:rsidRDefault="00C6002C" w:rsidP="00C6002C">
      <w:pPr>
        <w:pStyle w:val="FootnoteText"/>
        <w:rPr>
          <w:rFonts w:ascii="Brill" w:hAnsi="Brill"/>
        </w:rPr>
      </w:pPr>
      <w:r w:rsidRPr="00F00C04">
        <w:rPr>
          <w:rStyle w:val="FootnoteReference"/>
          <w:rFonts w:ascii="Brill" w:hAnsi="Brill"/>
        </w:rPr>
        <w:footnoteRef/>
      </w:r>
      <w:r w:rsidRPr="00F00C04">
        <w:rPr>
          <w:rFonts w:ascii="Brill" w:hAnsi="Brill"/>
        </w:rPr>
        <w:t xml:space="preserve"> Most Sunni seminaries ignore the Shi’ī viewpoint and vice versa, even if not openly being critical to them.</w:t>
      </w:r>
    </w:p>
  </w:footnote>
  <w:footnote w:id="72">
    <w:p w14:paraId="503B5BC1" w14:textId="77777777" w:rsidR="00C6002C" w:rsidRPr="00F00C04" w:rsidRDefault="00C6002C" w:rsidP="00C6002C">
      <w:pPr>
        <w:pStyle w:val="FootnoteText"/>
        <w:rPr>
          <w:rFonts w:ascii="Brill" w:hAnsi="Brill"/>
        </w:rPr>
      </w:pPr>
      <w:r w:rsidRPr="00F00C04">
        <w:rPr>
          <w:rStyle w:val="FootnoteReference"/>
          <w:rFonts w:ascii="Brill" w:hAnsi="Brill"/>
        </w:rPr>
        <w:footnoteRef/>
      </w:r>
      <w:r w:rsidRPr="00F00C04">
        <w:rPr>
          <w:rFonts w:ascii="Brill" w:hAnsi="Brill"/>
        </w:rPr>
        <w:t xml:space="preserve"> Koch (2017)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F2408B"/>
    <w:multiLevelType w:val="hybridMultilevel"/>
    <w:tmpl w:val="7FC4FC26"/>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 w15:restartNumberingAfterBreak="0">
    <w:nsid w:val="1DE8005D"/>
    <w:multiLevelType w:val="hybridMultilevel"/>
    <w:tmpl w:val="2386579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F9422BE"/>
    <w:multiLevelType w:val="hybridMultilevel"/>
    <w:tmpl w:val="26D40896"/>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3" w15:restartNumberingAfterBreak="0">
    <w:nsid w:val="2DDD336F"/>
    <w:multiLevelType w:val="hybridMultilevel"/>
    <w:tmpl w:val="CA50F75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47181FAD"/>
    <w:multiLevelType w:val="hybridMultilevel"/>
    <w:tmpl w:val="D4F2CD3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48DC6F37"/>
    <w:multiLevelType w:val="hybridMultilevel"/>
    <w:tmpl w:val="A518230E"/>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50522452"/>
    <w:multiLevelType w:val="hybridMultilevel"/>
    <w:tmpl w:val="1114A06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0"/>
  </w:num>
  <w:num w:numId="4">
    <w:abstractNumId w:val="5"/>
  </w:num>
  <w:num w:numId="5">
    <w:abstractNumId w:val="1"/>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3"/>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B4D"/>
    <w:rsid w:val="000E6B4D"/>
    <w:rsid w:val="00274627"/>
    <w:rsid w:val="00C6002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B8E1EC-B1B2-4991-B9D9-A188B1DCA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02C"/>
    <w:rPr>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6002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6002C"/>
    <w:rPr>
      <w:sz w:val="20"/>
      <w:szCs w:val="20"/>
      <w:lang w:val="en-IN"/>
    </w:rPr>
  </w:style>
  <w:style w:type="character" w:styleId="FootnoteReference">
    <w:name w:val="footnote reference"/>
    <w:basedOn w:val="DefaultParagraphFont"/>
    <w:uiPriority w:val="99"/>
    <w:semiHidden/>
    <w:unhideWhenUsed/>
    <w:rsid w:val="00C6002C"/>
    <w:rPr>
      <w:vertAlign w:val="superscript"/>
    </w:rPr>
  </w:style>
  <w:style w:type="paragraph" w:styleId="BalloonText">
    <w:name w:val="Balloon Text"/>
    <w:basedOn w:val="Normal"/>
    <w:link w:val="BalloonTextChar"/>
    <w:uiPriority w:val="99"/>
    <w:semiHidden/>
    <w:unhideWhenUsed/>
    <w:rsid w:val="00C6002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002C"/>
    <w:rPr>
      <w:rFonts w:ascii="Segoe UI" w:hAnsi="Segoe UI" w:cs="Segoe UI"/>
      <w:sz w:val="18"/>
      <w:szCs w:val="18"/>
      <w:lang w:val="en-IN"/>
    </w:rPr>
  </w:style>
  <w:style w:type="paragraph" w:styleId="ListParagraph">
    <w:name w:val="List Paragraph"/>
    <w:basedOn w:val="Normal"/>
    <w:uiPriority w:val="34"/>
    <w:qFormat/>
    <w:rsid w:val="00C6002C"/>
    <w:pPr>
      <w:ind w:left="720"/>
      <w:contextualSpacing/>
    </w:pPr>
  </w:style>
  <w:style w:type="character" w:customStyle="1" w:styleId="ref-lnk">
    <w:name w:val="ref-lnk"/>
    <w:basedOn w:val="DefaultParagraphFont"/>
    <w:rsid w:val="00C6002C"/>
  </w:style>
  <w:style w:type="character" w:styleId="Hyperlink">
    <w:name w:val="Hyperlink"/>
    <w:basedOn w:val="DefaultParagraphFont"/>
    <w:uiPriority w:val="99"/>
    <w:unhideWhenUsed/>
    <w:rsid w:val="00C6002C"/>
    <w:rPr>
      <w:color w:val="0000FF"/>
      <w:u w:val="single"/>
    </w:rPr>
  </w:style>
  <w:style w:type="character" w:customStyle="1" w:styleId="authors">
    <w:name w:val="authors"/>
    <w:basedOn w:val="DefaultParagraphFont"/>
    <w:rsid w:val="00C6002C"/>
  </w:style>
  <w:style w:type="character" w:customStyle="1" w:styleId="Date1">
    <w:name w:val="Date1"/>
    <w:basedOn w:val="DefaultParagraphFont"/>
    <w:rsid w:val="00C6002C"/>
  </w:style>
  <w:style w:type="character" w:customStyle="1" w:styleId="arttitle">
    <w:name w:val="art_title"/>
    <w:basedOn w:val="DefaultParagraphFont"/>
    <w:rsid w:val="00C6002C"/>
  </w:style>
  <w:style w:type="character" w:customStyle="1" w:styleId="serialtitle">
    <w:name w:val="serial_title"/>
    <w:basedOn w:val="DefaultParagraphFont"/>
    <w:rsid w:val="00C6002C"/>
  </w:style>
  <w:style w:type="character" w:customStyle="1" w:styleId="volumeissue">
    <w:name w:val="volume_issue"/>
    <w:basedOn w:val="DefaultParagraphFont"/>
    <w:rsid w:val="00C6002C"/>
  </w:style>
  <w:style w:type="character" w:customStyle="1" w:styleId="pagerange">
    <w:name w:val="page_range"/>
    <w:basedOn w:val="DefaultParagraphFont"/>
    <w:rsid w:val="00C6002C"/>
  </w:style>
  <w:style w:type="character" w:customStyle="1" w:styleId="doilink">
    <w:name w:val="doi_link"/>
    <w:basedOn w:val="DefaultParagraphFont"/>
    <w:rsid w:val="00C6002C"/>
  </w:style>
  <w:style w:type="character" w:styleId="UnresolvedMention">
    <w:name w:val="Unresolved Mention"/>
    <w:basedOn w:val="DefaultParagraphFont"/>
    <w:uiPriority w:val="99"/>
    <w:semiHidden/>
    <w:unhideWhenUsed/>
    <w:rsid w:val="00C6002C"/>
    <w:rPr>
      <w:color w:val="605E5C"/>
      <w:shd w:val="clear" w:color="auto" w:fill="E1DFDD"/>
    </w:rPr>
  </w:style>
  <w:style w:type="character" w:styleId="Emphasis">
    <w:name w:val="Emphasis"/>
    <w:basedOn w:val="DefaultParagraphFont"/>
    <w:uiPriority w:val="20"/>
    <w:qFormat/>
    <w:rsid w:val="00C6002C"/>
    <w:rPr>
      <w:i/>
      <w:iCs/>
    </w:rPr>
  </w:style>
  <w:style w:type="paragraph" w:styleId="NormalWeb">
    <w:name w:val="Normal (Web)"/>
    <w:basedOn w:val="Normal"/>
    <w:uiPriority w:val="99"/>
    <w:unhideWhenUsed/>
    <w:rsid w:val="00C6002C"/>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citationitalic">
    <w:name w:val="citationitalic"/>
    <w:basedOn w:val="DefaultParagraphFont"/>
    <w:rsid w:val="00C6002C"/>
  </w:style>
  <w:style w:type="character" w:customStyle="1" w:styleId="Date2">
    <w:name w:val="Date2"/>
    <w:basedOn w:val="DefaultParagraphFont"/>
    <w:rsid w:val="00C600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edu/uscpress/books/2010/3892x.pdf" TargetMode="External"/><Relationship Id="rId13" Type="http://schemas.openxmlformats.org/officeDocument/2006/relationships/hyperlink" Target="http://www.jstor.org/stable/23263276" TargetMode="External"/><Relationship Id="rId18" Type="http://schemas.openxmlformats.org/officeDocument/2006/relationships/hyperlink" Target="http://dx.doi.org/10.1163/1573-3912_ei3_COM_26134" TargetMode="External"/><Relationship Id="rId26" Type="http://schemas.openxmlformats.org/officeDocument/2006/relationships/hyperlink" Target="https://www.uii.ac.id/international/about-oia__trashed/office-of-international-affairs-at-a-glance/" TargetMode="External"/><Relationship Id="rId3" Type="http://schemas.openxmlformats.org/officeDocument/2006/relationships/settings" Target="settings.xml"/><Relationship Id="rId21" Type="http://schemas.openxmlformats.org/officeDocument/2006/relationships/hyperlink" Target="https://www.soas.ac.uk/nme/programmes/maislstud/" TargetMode="External"/><Relationship Id="rId7" Type="http://schemas.openxmlformats.org/officeDocument/2006/relationships/hyperlink" Target="http://www.jstor.org/stable/24562884" TargetMode="External"/><Relationship Id="rId12" Type="http://schemas.openxmlformats.org/officeDocument/2006/relationships/hyperlink" Target="http://www.jstor.org/stable/1291209" TargetMode="External"/><Relationship Id="rId17" Type="http://schemas.openxmlformats.org/officeDocument/2006/relationships/hyperlink" Target="http://dx.doi.org/10.1163/2211-2685_eco_U.25" TargetMode="External"/><Relationship Id="rId25" Type="http://schemas.openxmlformats.org/officeDocument/2006/relationships/hyperlink" Target="https://enweb.iu.edu.sa/site_page/20975" TargetMode="External"/><Relationship Id="rId2" Type="http://schemas.openxmlformats.org/officeDocument/2006/relationships/styles" Target="styles.xml"/><Relationship Id="rId16" Type="http://schemas.openxmlformats.org/officeDocument/2006/relationships/hyperlink" Target="http://dx.doi.org/10.1163/2468-3418_bnps8_COM_004994" TargetMode="External"/><Relationship Id="rId20" Type="http://schemas.openxmlformats.org/officeDocument/2006/relationships/hyperlink" Target="https://www.soas.ac.uk/nme/programmes/baarabislstud/"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jstor.org/stable/10.7817/jameroriesoci.133.4.0597" TargetMode="External"/><Relationship Id="rId24" Type="http://schemas.openxmlformats.org/officeDocument/2006/relationships/hyperlink" Target="https://imamu.edu.sa/en/about/Pages/default.aspx" TargetMode="External"/><Relationship Id="rId5" Type="http://schemas.openxmlformats.org/officeDocument/2006/relationships/footnotes" Target="footnotes.xml"/><Relationship Id="rId15" Type="http://schemas.openxmlformats.org/officeDocument/2006/relationships/hyperlink" Target="http://dx.doi.org/10.1163/1872-5309_ewic_COM_00012" TargetMode="External"/><Relationship Id="rId23" Type="http://schemas.openxmlformats.org/officeDocument/2006/relationships/hyperlink" Target="http://socialsciences.exeter.ac.uk/iais/about/" TargetMode="External"/><Relationship Id="rId28" Type="http://schemas.openxmlformats.org/officeDocument/2006/relationships/hyperlink" Target="http://uaq.ma/" TargetMode="External"/><Relationship Id="rId10" Type="http://schemas.openxmlformats.org/officeDocument/2006/relationships/hyperlink" Target="https://doi.org/10.1080/01419870.2014.911343" TargetMode="External"/><Relationship Id="rId19" Type="http://schemas.openxmlformats.org/officeDocument/2006/relationships/hyperlink" Target="http://dx.doi.org/10.1163/1574-9347_bnp_e15308120" TargetMode="External"/><Relationship Id="rId4" Type="http://schemas.openxmlformats.org/officeDocument/2006/relationships/webSettings" Target="webSettings.xml"/><Relationship Id="rId9" Type="http://schemas.openxmlformats.org/officeDocument/2006/relationships/hyperlink" Target="http://www.jstor.org/stable/413462" TargetMode="External"/><Relationship Id="rId14" Type="http://schemas.openxmlformats.org/officeDocument/2006/relationships/hyperlink" Target="http://www.jstor.org/stable/41397448" TargetMode="External"/><Relationship Id="rId22" Type="http://schemas.openxmlformats.org/officeDocument/2006/relationships/hyperlink" Target="https://studiegids.universiteitleiden.nl/en/studies/6773/middle-eastern-studies-islamic-studies" TargetMode="External"/><Relationship Id="rId27" Type="http://schemas.openxmlformats.org/officeDocument/2006/relationships/hyperlink" Target="https://azhar.live/" TargetMode="Externa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azhar.live/" TargetMode="External"/><Relationship Id="rId3" Type="http://schemas.openxmlformats.org/officeDocument/2006/relationships/hyperlink" Target="https://studiegids.universiteitleiden.nl/en/studies/6773/middle-eastern-studies-islamic-studies" TargetMode="External"/><Relationship Id="rId7" Type="http://schemas.openxmlformats.org/officeDocument/2006/relationships/hyperlink" Target="https://www.uii.ac.id/international/about-oia__trashed/office-of-international-affairs-at-a-glance/" TargetMode="External"/><Relationship Id="rId2" Type="http://schemas.openxmlformats.org/officeDocument/2006/relationships/hyperlink" Target="https://www.soas.ac.uk/nme/programmes/maislstud/" TargetMode="External"/><Relationship Id="rId1" Type="http://schemas.openxmlformats.org/officeDocument/2006/relationships/hyperlink" Target="https://www.soas.ac.uk/nme/programmes/baarabislstud/" TargetMode="External"/><Relationship Id="rId6" Type="http://schemas.openxmlformats.org/officeDocument/2006/relationships/hyperlink" Target="https://enweb.iu.edu.sa/site_page/20975" TargetMode="External"/><Relationship Id="rId5" Type="http://schemas.openxmlformats.org/officeDocument/2006/relationships/hyperlink" Target="https://imamu.edu.sa/en/about/Pages/default.aspx" TargetMode="External"/><Relationship Id="rId4" Type="http://schemas.openxmlformats.org/officeDocument/2006/relationships/hyperlink" Target="http://socialsciences.exeter.ac.uk/iais/about/" TargetMode="External"/><Relationship Id="rId9" Type="http://schemas.openxmlformats.org/officeDocument/2006/relationships/hyperlink" Target="http://uaq.m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3657</Words>
  <Characters>20848</Characters>
  <Application>Microsoft Office Word</Application>
  <DocSecurity>0</DocSecurity>
  <Lines>173</Lines>
  <Paragraphs>48</Paragraphs>
  <ScaleCrop>false</ScaleCrop>
  <Company/>
  <LinksUpToDate>false</LinksUpToDate>
  <CharactersWithSpaces>24457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Adnan Husain</dc:creator>
  <cp:keywords/>
  <dc:description/>
  <cp:lastModifiedBy>Adnan Husain</cp:lastModifiedBy>
  <cp:revision>2</cp:revision>
  <dcterms:created xsi:type="dcterms:W3CDTF">2020-01-17T18:42:00Z</dcterms:created>
  <dcterms:modified xsi:type="dcterms:W3CDTF">2020-01-17T18:42:00Z</dcterms:modified>
</cp:coreProperties>
</file>