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46B28319" w14:textId="02906AB8" w:rsidR="007D77F4" w:rsidRDefault="007D77F4" w:rsidP="007D77F4">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Learner’s name: </w:t>
            </w:r>
            <w:r w:rsidR="00E07719">
              <w:rPr>
                <w:rFonts w:ascii="Times New Roman" w:hAnsi="Times New Roman" w:cs="Times New Roman"/>
                <w:b/>
                <w:color w:val="auto"/>
                <w:sz w:val="48"/>
              </w:rPr>
              <w:t>Stephanie Martin</w:t>
            </w:r>
            <w:r>
              <w:rPr>
                <w:rFonts w:ascii="Times New Roman" w:hAnsi="Times New Roman" w:cs="Times New Roman"/>
                <w:b/>
                <w:color w:val="auto"/>
                <w:sz w:val="48"/>
              </w:rPr>
              <w:t xml:space="preserve"> </w:t>
            </w:r>
          </w:p>
          <w:p w14:paraId="719017EE" w14:textId="4F015E6D" w:rsidR="007D77F4" w:rsidRDefault="007D77F4" w:rsidP="007D77F4">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address: </w:t>
            </w:r>
            <w:r w:rsidR="00E07719">
              <w:rPr>
                <w:rFonts w:ascii="Times New Roman" w:hAnsi="Times New Roman" w:cs="Times New Roman"/>
                <w:b/>
                <w:color w:val="auto"/>
                <w:sz w:val="48"/>
              </w:rPr>
              <w:t>steph_verney@hotmail.com</w:t>
            </w:r>
          </w:p>
          <w:p w14:paraId="3FF2EA51" w14:textId="77777777" w:rsidR="007D77F4" w:rsidRDefault="007D77F4" w:rsidP="007D77F4">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p>
          <w:p w14:paraId="6513EBC8" w14:textId="74B1406C" w:rsidR="007D77F4" w:rsidRPr="005D3F07" w:rsidRDefault="00E07719" w:rsidP="007D77F4">
            <w:pPr>
              <w:overflowPunct/>
              <w:autoSpaceDE/>
              <w:autoSpaceDN/>
              <w:adjustRightInd/>
              <w:ind w:right="-957"/>
              <w:textAlignment w:val="auto"/>
              <w:rPr>
                <w:rFonts w:ascii="Times New Roman" w:hAnsi="Times New Roman" w:cs="Times New Roman"/>
                <w:b/>
                <w:color w:val="auto"/>
                <w:sz w:val="48"/>
              </w:rPr>
            </w:pPr>
            <w:r w:rsidRPr="00E07719">
              <w:rPr>
                <w:rFonts w:ascii="Times New Roman" w:hAnsi="Times New Roman" w:cs="Times New Roman"/>
                <w:b/>
                <w:color w:val="auto"/>
                <w:sz w:val="48"/>
              </w:rPr>
              <w:t>2222113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17C1D082"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61B9D">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79B77760" w14:textId="17AB6A25" w:rsidR="00E07719" w:rsidRPr="00E07719" w:rsidRDefault="00E07719" w:rsidP="00C86596">
            <w:pPr>
              <w:spacing w:line="360" w:lineRule="auto"/>
              <w:jc w:val="both"/>
              <w:rPr>
                <w:iCs/>
                <w:sz w:val="24"/>
                <w:szCs w:val="24"/>
              </w:rPr>
            </w:pPr>
            <w:r w:rsidRPr="00E07719">
              <w:rPr>
                <w:iCs/>
                <w:sz w:val="24"/>
                <w:szCs w:val="24"/>
              </w:rPr>
              <w:t xml:space="preserve">Within this assignment I will explore my professional involvement within the children’s safeguarding process. </w:t>
            </w:r>
            <w:r w:rsidR="007D77F4" w:rsidRPr="00E07719">
              <w:rPr>
                <w:color w:val="auto"/>
                <w:sz w:val="24"/>
                <w:szCs w:val="24"/>
              </w:rPr>
              <w:t xml:space="preserve">I will demonstrate how as a practitioner in Wales </w:t>
            </w:r>
            <w:r w:rsidR="007D77F4" w:rsidRPr="00E07719">
              <w:rPr>
                <w:color w:val="auto"/>
                <w:sz w:val="24"/>
                <w:szCs w:val="24"/>
                <w:lang w:val="cy-GB"/>
              </w:rPr>
              <w:t>I have a full understanding of my safeguarding duties and responsibilites</w:t>
            </w:r>
            <w:r w:rsidR="007D77F4" w:rsidRPr="00E07719">
              <w:rPr>
                <w:color w:val="auto"/>
                <w:sz w:val="24"/>
                <w:szCs w:val="24"/>
              </w:rPr>
              <w:t xml:space="preserve"> and how the case study relates/could relate to safeguarding legislation procedures.</w:t>
            </w:r>
            <w:r w:rsidRPr="00E07719">
              <w:rPr>
                <w:color w:val="auto"/>
                <w:sz w:val="24"/>
                <w:szCs w:val="24"/>
              </w:rPr>
              <w:t xml:space="preserve"> In order to maintain confidentiality throughout I will ensure any identifying information is anonymised by referring to individuals as Adult 1, Child 1 etc.</w:t>
            </w:r>
          </w:p>
          <w:p w14:paraId="1116BB17" w14:textId="41A5F58F" w:rsidR="007D77F4" w:rsidRPr="00E07719" w:rsidRDefault="007D77F4" w:rsidP="00C86596">
            <w:pPr>
              <w:shd w:val="clear" w:color="auto" w:fill="FFFFFF"/>
              <w:spacing w:line="360" w:lineRule="auto"/>
              <w:ind w:right="150"/>
              <w:jc w:val="both"/>
              <w:rPr>
                <w:color w:val="auto"/>
                <w:sz w:val="24"/>
                <w:szCs w:val="24"/>
              </w:rPr>
            </w:pPr>
          </w:p>
          <w:p w14:paraId="30141E33" w14:textId="7B095430" w:rsidR="007D77F4" w:rsidRPr="00E07719" w:rsidRDefault="007D77F4" w:rsidP="007D77F4">
            <w:pPr>
              <w:shd w:val="clear" w:color="auto" w:fill="FFFFFF"/>
              <w:overflowPunct/>
              <w:autoSpaceDE/>
              <w:autoSpaceDN/>
              <w:adjustRightInd/>
              <w:spacing w:before="100" w:beforeAutospacing="1" w:after="150" w:line="360" w:lineRule="auto"/>
              <w:jc w:val="both"/>
              <w:textAlignment w:val="auto"/>
              <w:rPr>
                <w:color w:val="auto"/>
                <w:spacing w:val="-1"/>
                <w:sz w:val="24"/>
                <w:szCs w:val="24"/>
              </w:rPr>
            </w:pPr>
            <w:r w:rsidRPr="00E07719">
              <w:rPr>
                <w:color w:val="auto"/>
                <w:sz w:val="24"/>
                <w:szCs w:val="24"/>
                <w:shd w:val="clear" w:color="auto" w:fill="FFFFFF"/>
              </w:rPr>
              <w:t>Safeguarding is protecting children and adults from abuse or neglect and educating those around them to recognise the signs of abuse (Social Care Wales, 202</w:t>
            </w:r>
            <w:r w:rsidR="00BE5DE2">
              <w:rPr>
                <w:color w:val="auto"/>
                <w:sz w:val="24"/>
                <w:szCs w:val="24"/>
                <w:shd w:val="clear" w:color="auto" w:fill="FFFFFF"/>
              </w:rPr>
              <w:t>3</w:t>
            </w:r>
            <w:r w:rsidRPr="00E07719">
              <w:rPr>
                <w:color w:val="auto"/>
                <w:sz w:val="24"/>
                <w:szCs w:val="24"/>
                <w:shd w:val="clear" w:color="auto" w:fill="FFFFFF"/>
              </w:rPr>
              <w:t xml:space="preserve">). The four main categories of abuse </w:t>
            </w:r>
            <w:r w:rsidRPr="00E07719">
              <w:rPr>
                <w:rFonts w:eastAsia="Calibri"/>
                <w:color w:val="auto"/>
                <w:sz w:val="24"/>
                <w:szCs w:val="24"/>
                <w:lang w:eastAsia="en-US"/>
              </w:rPr>
              <w:t>include</w:t>
            </w:r>
            <w:r w:rsidR="00C86596">
              <w:rPr>
                <w:rFonts w:eastAsia="Calibri"/>
                <w:color w:val="auto"/>
                <w:sz w:val="24"/>
                <w:szCs w:val="24"/>
                <w:lang w:eastAsia="en-US"/>
              </w:rPr>
              <w:t>:</w:t>
            </w:r>
            <w:r w:rsidRPr="00E07719">
              <w:rPr>
                <w:rFonts w:eastAsia="Calibri"/>
                <w:color w:val="auto"/>
                <w:sz w:val="24"/>
                <w:szCs w:val="24"/>
                <w:lang w:eastAsia="en-US"/>
              </w:rPr>
              <w:t xml:space="preserve"> </w:t>
            </w:r>
          </w:p>
          <w:p w14:paraId="7546DD71" w14:textId="15AA31C8" w:rsidR="007D77F4" w:rsidRPr="00C86596" w:rsidRDefault="007D77F4" w:rsidP="00C55C1B">
            <w:pPr>
              <w:pStyle w:val="ListParagraph"/>
              <w:numPr>
                <w:ilvl w:val="0"/>
                <w:numId w:val="55"/>
              </w:numPr>
              <w:spacing w:line="360" w:lineRule="auto"/>
              <w:jc w:val="both"/>
              <w:rPr>
                <w:color w:val="auto"/>
                <w:sz w:val="24"/>
                <w:szCs w:val="24"/>
              </w:rPr>
            </w:pPr>
            <w:r w:rsidRPr="00C86596">
              <w:rPr>
                <w:color w:val="auto"/>
                <w:sz w:val="24"/>
                <w:szCs w:val="24"/>
              </w:rPr>
              <w:t>Physical</w:t>
            </w:r>
            <w:r w:rsidR="00C86596">
              <w:rPr>
                <w:color w:val="auto"/>
                <w:sz w:val="24"/>
                <w:szCs w:val="24"/>
              </w:rPr>
              <w:t>-</w:t>
            </w:r>
            <w:r w:rsidRPr="00C86596">
              <w:rPr>
                <w:color w:val="auto"/>
                <w:sz w:val="24"/>
                <w:szCs w:val="24"/>
              </w:rPr>
              <w:t xml:space="preserve">any method of causing non-accidental harm to a </w:t>
            </w:r>
            <w:r w:rsidR="00C86596" w:rsidRPr="00C86596">
              <w:rPr>
                <w:color w:val="auto"/>
                <w:sz w:val="24"/>
                <w:szCs w:val="24"/>
              </w:rPr>
              <w:t>child.</w:t>
            </w:r>
          </w:p>
          <w:p w14:paraId="15D84129" w14:textId="77777777" w:rsidR="00BD0D61" w:rsidRDefault="007D77F4" w:rsidP="00BD0D61">
            <w:pPr>
              <w:pStyle w:val="ListParagraph"/>
              <w:numPr>
                <w:ilvl w:val="0"/>
                <w:numId w:val="55"/>
              </w:numPr>
              <w:spacing w:line="360" w:lineRule="auto"/>
              <w:jc w:val="both"/>
              <w:rPr>
                <w:color w:val="auto"/>
                <w:sz w:val="24"/>
                <w:szCs w:val="24"/>
              </w:rPr>
            </w:pPr>
            <w:r w:rsidRPr="00C86596">
              <w:rPr>
                <w:color w:val="auto"/>
                <w:sz w:val="24"/>
                <w:szCs w:val="24"/>
              </w:rPr>
              <w:t>Sexual</w:t>
            </w:r>
            <w:r w:rsidR="00C86596" w:rsidRPr="00C86596">
              <w:rPr>
                <w:color w:val="auto"/>
                <w:sz w:val="24"/>
                <w:szCs w:val="24"/>
              </w:rPr>
              <w:t xml:space="preserve">- </w:t>
            </w:r>
            <w:r w:rsidRPr="00C86596">
              <w:rPr>
                <w:color w:val="auto"/>
                <w:sz w:val="24"/>
                <w:szCs w:val="24"/>
              </w:rPr>
              <w:t xml:space="preserve">contact and non-contact </w:t>
            </w:r>
          </w:p>
          <w:p w14:paraId="44C75E3F" w14:textId="3EDBEB22" w:rsidR="007D77F4" w:rsidRPr="00BD0D61" w:rsidRDefault="007D77F4" w:rsidP="00BD0D61">
            <w:pPr>
              <w:pStyle w:val="ListParagraph"/>
              <w:numPr>
                <w:ilvl w:val="0"/>
                <w:numId w:val="55"/>
              </w:numPr>
              <w:spacing w:line="360" w:lineRule="auto"/>
              <w:jc w:val="both"/>
              <w:rPr>
                <w:color w:val="auto"/>
                <w:sz w:val="24"/>
                <w:szCs w:val="24"/>
              </w:rPr>
            </w:pPr>
            <w:r w:rsidRPr="00BD0D61">
              <w:rPr>
                <w:color w:val="auto"/>
                <w:sz w:val="24"/>
                <w:szCs w:val="24"/>
              </w:rPr>
              <w:lastRenderedPageBreak/>
              <w:t>Emotional</w:t>
            </w:r>
            <w:r w:rsidR="00C86596" w:rsidRPr="00BD0D61">
              <w:rPr>
                <w:color w:val="auto"/>
                <w:sz w:val="24"/>
                <w:szCs w:val="24"/>
              </w:rPr>
              <w:t xml:space="preserve">- </w:t>
            </w:r>
            <w:r w:rsidRPr="00BD0D61">
              <w:rPr>
                <w:color w:val="auto"/>
                <w:sz w:val="24"/>
                <w:szCs w:val="24"/>
              </w:rPr>
              <w:t xml:space="preserve">involves the continual emotional mistreatment of a </w:t>
            </w:r>
            <w:r w:rsidR="004560D4" w:rsidRPr="00BD0D61">
              <w:rPr>
                <w:color w:val="auto"/>
                <w:sz w:val="24"/>
                <w:szCs w:val="24"/>
              </w:rPr>
              <w:t>child</w:t>
            </w:r>
            <w:r w:rsidRPr="00BD0D61">
              <w:rPr>
                <w:color w:val="auto"/>
                <w:sz w:val="24"/>
                <w:szCs w:val="24"/>
              </w:rPr>
              <w:t xml:space="preserve"> </w:t>
            </w:r>
            <w:r w:rsidR="004560D4" w:rsidRPr="00BD0D61">
              <w:rPr>
                <w:color w:val="auto"/>
                <w:sz w:val="24"/>
                <w:szCs w:val="24"/>
              </w:rPr>
              <w:t xml:space="preserve">i.e., </w:t>
            </w:r>
            <w:r w:rsidRPr="00BD0D61">
              <w:rPr>
                <w:color w:val="auto"/>
                <w:sz w:val="24"/>
                <w:szCs w:val="24"/>
              </w:rPr>
              <w:t xml:space="preserve">manipulating, humiliating, threatening, </w:t>
            </w:r>
            <w:r w:rsidR="00C86596" w:rsidRPr="00BD0D61">
              <w:rPr>
                <w:color w:val="auto"/>
                <w:sz w:val="24"/>
                <w:szCs w:val="24"/>
              </w:rPr>
              <w:t>blaming.</w:t>
            </w:r>
            <w:r w:rsidRPr="00BD0D61">
              <w:rPr>
                <w:color w:val="auto"/>
                <w:sz w:val="24"/>
                <w:szCs w:val="24"/>
                <w:shd w:val="clear" w:color="auto" w:fill="FAFAFA"/>
              </w:rPr>
              <w:t xml:space="preserve"> </w:t>
            </w:r>
          </w:p>
          <w:p w14:paraId="2F775D78" w14:textId="0FF44C4B" w:rsidR="007D77F4" w:rsidRPr="00E07719" w:rsidRDefault="007D77F4" w:rsidP="007D77F4">
            <w:pPr>
              <w:pStyle w:val="ListParagraph"/>
              <w:numPr>
                <w:ilvl w:val="0"/>
                <w:numId w:val="55"/>
              </w:numPr>
              <w:spacing w:line="360" w:lineRule="auto"/>
              <w:jc w:val="both"/>
              <w:rPr>
                <w:color w:val="auto"/>
                <w:sz w:val="24"/>
                <w:szCs w:val="24"/>
              </w:rPr>
            </w:pPr>
            <w:r w:rsidRPr="00E07719">
              <w:rPr>
                <w:color w:val="auto"/>
                <w:sz w:val="24"/>
                <w:szCs w:val="24"/>
              </w:rPr>
              <w:t>Neglect</w:t>
            </w:r>
            <w:r w:rsidR="00C86596">
              <w:rPr>
                <w:color w:val="auto"/>
                <w:sz w:val="24"/>
                <w:szCs w:val="24"/>
              </w:rPr>
              <w:t xml:space="preserve">- </w:t>
            </w:r>
            <w:r w:rsidRPr="00E07719">
              <w:rPr>
                <w:color w:val="auto"/>
                <w:sz w:val="24"/>
                <w:szCs w:val="24"/>
              </w:rPr>
              <w:t>Physical neglect;</w:t>
            </w:r>
            <w:r w:rsidRPr="00E07719">
              <w:rPr>
                <w:b/>
                <w:bCs/>
                <w:color w:val="auto"/>
                <w:sz w:val="24"/>
                <w:szCs w:val="24"/>
              </w:rPr>
              <w:t xml:space="preserve"> </w:t>
            </w:r>
            <w:r w:rsidRPr="00E07719">
              <w:rPr>
                <w:color w:val="auto"/>
                <w:sz w:val="24"/>
                <w:szCs w:val="24"/>
              </w:rPr>
              <w:t xml:space="preserve">failure to provide a child's basic needs, such as food, clothing or shelter, Children aren't properly supervised or kept safe, not meeting educational, </w:t>
            </w:r>
            <w:r w:rsidR="00C86596" w:rsidRPr="00E07719">
              <w:rPr>
                <w:color w:val="auto"/>
                <w:sz w:val="24"/>
                <w:szCs w:val="24"/>
              </w:rPr>
              <w:t>emotional,</w:t>
            </w:r>
            <w:r w:rsidRPr="00E07719">
              <w:rPr>
                <w:color w:val="auto"/>
                <w:sz w:val="24"/>
                <w:szCs w:val="24"/>
              </w:rPr>
              <w:t xml:space="preserve"> and medical needs</w:t>
            </w:r>
            <w:r w:rsidR="00C86596">
              <w:rPr>
                <w:color w:val="auto"/>
                <w:sz w:val="24"/>
                <w:szCs w:val="24"/>
              </w:rPr>
              <w:t>.</w:t>
            </w:r>
          </w:p>
          <w:p w14:paraId="1149A27B" w14:textId="3A1A0CB2" w:rsidR="007D77F4" w:rsidRDefault="00C86596" w:rsidP="007D77F4">
            <w:pPr>
              <w:pStyle w:val="ListParagraph"/>
              <w:rPr>
                <w:color w:val="auto"/>
                <w:sz w:val="24"/>
                <w:szCs w:val="24"/>
              </w:rPr>
            </w:pPr>
            <w:r w:rsidRPr="00C86596">
              <w:rPr>
                <w:color w:val="auto"/>
                <w:sz w:val="24"/>
                <w:szCs w:val="24"/>
              </w:rPr>
              <w:t>(NSPCC, 2023).</w:t>
            </w:r>
          </w:p>
          <w:p w14:paraId="0923E54B" w14:textId="77777777" w:rsidR="00C86596" w:rsidRDefault="00C86596" w:rsidP="007D77F4">
            <w:pPr>
              <w:pStyle w:val="ListParagraph"/>
              <w:rPr>
                <w:color w:val="auto"/>
                <w:sz w:val="24"/>
                <w:szCs w:val="24"/>
              </w:rPr>
            </w:pPr>
          </w:p>
          <w:p w14:paraId="60ED4C45" w14:textId="77777777" w:rsidR="00C86596" w:rsidRDefault="00C86596" w:rsidP="00C86596">
            <w:pPr>
              <w:pStyle w:val="ListParagraph"/>
              <w:jc w:val="both"/>
              <w:rPr>
                <w:color w:val="auto"/>
                <w:sz w:val="24"/>
                <w:szCs w:val="24"/>
              </w:rPr>
            </w:pPr>
          </w:p>
          <w:p w14:paraId="46F10599" w14:textId="50559D55" w:rsidR="00540243" w:rsidRDefault="00C86596" w:rsidP="00C86596">
            <w:pPr>
              <w:pStyle w:val="ListParagraph"/>
              <w:spacing w:line="360" w:lineRule="auto"/>
              <w:ind w:left="0"/>
              <w:jc w:val="both"/>
              <w:rPr>
                <w:color w:val="auto"/>
                <w:sz w:val="24"/>
                <w:szCs w:val="24"/>
              </w:rPr>
            </w:pPr>
            <w:r>
              <w:rPr>
                <w:color w:val="auto"/>
                <w:sz w:val="24"/>
                <w:szCs w:val="24"/>
              </w:rPr>
              <w:t xml:space="preserve">Each of these types of abuse have a number of possible indictors which may be physical manifestations or more subtle in nature such as changes in presentation, behaviour, or personality. </w:t>
            </w:r>
            <w:r w:rsidR="00540243">
              <w:rPr>
                <w:color w:val="auto"/>
                <w:sz w:val="24"/>
                <w:szCs w:val="24"/>
              </w:rPr>
              <w:t xml:space="preserve">Individuals </w:t>
            </w:r>
            <w:r>
              <w:rPr>
                <w:color w:val="auto"/>
                <w:sz w:val="24"/>
                <w:szCs w:val="24"/>
              </w:rPr>
              <w:t>must use their skills and judgement in order to identify where abuse may be present</w:t>
            </w:r>
            <w:r w:rsidR="00BE5DE2">
              <w:rPr>
                <w:color w:val="auto"/>
                <w:sz w:val="24"/>
                <w:szCs w:val="24"/>
              </w:rPr>
              <w:t xml:space="preserve"> which can include ‘thinking the unthinkable’ (Keeley and Goosey, 2021).</w:t>
            </w:r>
            <w:r w:rsidR="00260213">
              <w:rPr>
                <w:color w:val="auto"/>
                <w:sz w:val="24"/>
                <w:szCs w:val="24"/>
              </w:rPr>
              <w:t xml:space="preserve"> All Wales Safeguarding Procedures give professionals clear guidance on roles and responsibilities in relation to safeguarding. The implementation of the App has made information more accessible with lots of detail on indications of harm, process and timescales for interventions. </w:t>
            </w:r>
          </w:p>
          <w:p w14:paraId="24244976" w14:textId="77777777" w:rsidR="00540243" w:rsidRDefault="00540243" w:rsidP="00C86596">
            <w:pPr>
              <w:pStyle w:val="ListParagraph"/>
              <w:spacing w:line="360" w:lineRule="auto"/>
              <w:ind w:left="0"/>
              <w:jc w:val="both"/>
              <w:rPr>
                <w:color w:val="auto"/>
                <w:sz w:val="24"/>
                <w:szCs w:val="24"/>
                <w:shd w:val="clear" w:color="auto" w:fill="FFFFFF"/>
              </w:rPr>
            </w:pPr>
          </w:p>
          <w:p w14:paraId="73A87F39" w14:textId="0E7336B4" w:rsidR="00BE5DE2" w:rsidRDefault="007D77F4" w:rsidP="00C86596">
            <w:pPr>
              <w:pStyle w:val="ListParagraph"/>
              <w:spacing w:line="360" w:lineRule="auto"/>
              <w:ind w:left="0"/>
              <w:jc w:val="both"/>
              <w:rPr>
                <w:color w:val="auto"/>
                <w:sz w:val="24"/>
                <w:szCs w:val="24"/>
              </w:rPr>
            </w:pPr>
            <w:r w:rsidRPr="00C86596">
              <w:rPr>
                <w:color w:val="auto"/>
                <w:sz w:val="24"/>
                <w:szCs w:val="24"/>
                <w:shd w:val="clear" w:color="auto" w:fill="FFFFFF"/>
              </w:rPr>
              <w:t xml:space="preserve">Safeguarding is everyone’s </w:t>
            </w:r>
            <w:r w:rsidR="00C86596" w:rsidRPr="00C86596">
              <w:rPr>
                <w:color w:val="auto"/>
                <w:sz w:val="24"/>
                <w:szCs w:val="24"/>
                <w:shd w:val="clear" w:color="auto" w:fill="FFFFFF"/>
              </w:rPr>
              <w:t>responsibility,</w:t>
            </w:r>
            <w:r w:rsidRPr="00C86596">
              <w:rPr>
                <w:color w:val="auto"/>
                <w:sz w:val="24"/>
                <w:szCs w:val="24"/>
                <w:shd w:val="clear" w:color="auto" w:fill="FFFFFF"/>
              </w:rPr>
              <w:t xml:space="preserve"> and the protection and well-being of children is a matter devolved to </w:t>
            </w:r>
            <w:r w:rsidR="00BE5DE2">
              <w:rPr>
                <w:color w:val="auto"/>
                <w:sz w:val="24"/>
                <w:szCs w:val="24"/>
                <w:shd w:val="clear" w:color="auto" w:fill="FFFFFF"/>
              </w:rPr>
              <w:t>Welsh Government</w:t>
            </w:r>
            <w:r w:rsidRPr="00C86596">
              <w:rPr>
                <w:color w:val="auto"/>
                <w:sz w:val="24"/>
                <w:szCs w:val="24"/>
                <w:shd w:val="clear" w:color="auto" w:fill="FFFFFF"/>
              </w:rPr>
              <w:t xml:space="preserve"> who ha</w:t>
            </w:r>
            <w:r w:rsidR="00C86596">
              <w:rPr>
                <w:color w:val="auto"/>
                <w:sz w:val="24"/>
                <w:szCs w:val="24"/>
                <w:shd w:val="clear" w:color="auto" w:fill="FFFFFF"/>
              </w:rPr>
              <w:t>ve</w:t>
            </w:r>
            <w:r w:rsidRPr="00C86596">
              <w:rPr>
                <w:color w:val="auto"/>
                <w:sz w:val="24"/>
                <w:szCs w:val="24"/>
                <w:shd w:val="clear" w:color="auto" w:fill="FFFFFF"/>
              </w:rPr>
              <w:t xml:space="preserve"> the power to pass primary legislation in Wales. </w:t>
            </w:r>
            <w:r w:rsidR="00BE5DE2">
              <w:rPr>
                <w:color w:val="auto"/>
                <w:sz w:val="24"/>
                <w:szCs w:val="24"/>
                <w:shd w:val="clear" w:color="auto" w:fill="FFFFFF"/>
              </w:rPr>
              <w:t xml:space="preserve">Child Protection legislation has an important role in ensuring the safety and wellbeing of children. Within Wales there is a comprehensive legal framework in place to support safeguarding particularly through the implementation of The Social Services and Wellbeing (Wales) Act 2014 [SSWBA] which builds the framework for prevention, </w:t>
            </w:r>
            <w:r w:rsidR="00DB50D8">
              <w:rPr>
                <w:color w:val="auto"/>
                <w:sz w:val="24"/>
                <w:szCs w:val="24"/>
                <w:shd w:val="clear" w:color="auto" w:fill="FFFFFF"/>
              </w:rPr>
              <w:t>detection,</w:t>
            </w:r>
            <w:r w:rsidR="00BE5DE2">
              <w:rPr>
                <w:color w:val="auto"/>
                <w:sz w:val="24"/>
                <w:szCs w:val="24"/>
                <w:shd w:val="clear" w:color="auto" w:fill="FFFFFF"/>
              </w:rPr>
              <w:t xml:space="preserve"> and response to issues around children’s safeguarding.  </w:t>
            </w:r>
            <w:r w:rsidRPr="00C86596">
              <w:rPr>
                <w:color w:val="auto"/>
                <w:sz w:val="24"/>
                <w:szCs w:val="24"/>
                <w:shd w:val="clear" w:color="auto" w:fill="FFFFFF"/>
              </w:rPr>
              <w:t>The statut</w:t>
            </w:r>
            <w:r w:rsidR="00BE5DE2">
              <w:rPr>
                <w:color w:val="auto"/>
                <w:sz w:val="24"/>
                <w:szCs w:val="24"/>
                <w:shd w:val="clear" w:color="auto" w:fill="FFFFFF"/>
              </w:rPr>
              <w:t>o</w:t>
            </w:r>
            <w:r w:rsidRPr="00C86596">
              <w:rPr>
                <w:color w:val="auto"/>
                <w:sz w:val="24"/>
                <w:szCs w:val="24"/>
                <w:shd w:val="clear" w:color="auto" w:fill="FFFFFF"/>
              </w:rPr>
              <w:t xml:space="preserve">ry role of safeguarding the welfare of children in Wales lies with local authorities, </w:t>
            </w:r>
            <w:r w:rsidR="00156A54">
              <w:rPr>
                <w:color w:val="auto"/>
                <w:sz w:val="24"/>
                <w:szCs w:val="24"/>
                <w:shd w:val="clear" w:color="auto" w:fill="FFFFFF"/>
              </w:rPr>
              <w:t xml:space="preserve">where </w:t>
            </w:r>
            <w:r w:rsidRPr="00C86596">
              <w:rPr>
                <w:color w:val="auto"/>
                <w:sz w:val="24"/>
                <w:szCs w:val="24"/>
                <w:shd w:val="clear" w:color="auto" w:fill="FFFFFF"/>
              </w:rPr>
              <w:t xml:space="preserve">I am employed as a </w:t>
            </w:r>
            <w:r w:rsidR="00C86596">
              <w:rPr>
                <w:color w:val="auto"/>
                <w:sz w:val="24"/>
                <w:szCs w:val="24"/>
                <w:shd w:val="clear" w:color="auto" w:fill="FFFFFF"/>
              </w:rPr>
              <w:t>Social Worker within a Fostering Team</w:t>
            </w:r>
            <w:r w:rsidRPr="00C86596">
              <w:rPr>
                <w:color w:val="auto"/>
                <w:sz w:val="24"/>
                <w:szCs w:val="24"/>
                <w:shd w:val="clear" w:color="auto" w:fill="FFFFFF"/>
              </w:rPr>
              <w:t xml:space="preserve">. </w:t>
            </w:r>
            <w:r w:rsidR="00540243">
              <w:rPr>
                <w:color w:val="auto"/>
                <w:sz w:val="24"/>
                <w:szCs w:val="24"/>
                <w:shd w:val="clear" w:color="auto" w:fill="FFFFFF"/>
              </w:rPr>
              <w:t xml:space="preserve">My role is to </w:t>
            </w:r>
            <w:r w:rsidR="00540243" w:rsidRPr="00540243">
              <w:rPr>
                <w:color w:val="auto"/>
                <w:sz w:val="24"/>
                <w:szCs w:val="24"/>
              </w:rPr>
              <w:t>ensure all children and foster carers are safeguarded, and to ensure foster carers meet the requirements laid out in fostering legislation</w:t>
            </w:r>
            <w:r w:rsidR="006057B3">
              <w:rPr>
                <w:color w:val="auto"/>
                <w:sz w:val="24"/>
                <w:szCs w:val="24"/>
              </w:rPr>
              <w:t xml:space="preserve"> such as </w:t>
            </w:r>
            <w:r w:rsidR="006057B3" w:rsidRPr="006057B3">
              <w:rPr>
                <w:color w:val="auto"/>
                <w:sz w:val="24"/>
                <w:szCs w:val="24"/>
              </w:rPr>
              <w:t>The Local Authority Fostering Services (Wales) Regulations 2018</w:t>
            </w:r>
            <w:r w:rsidR="006057B3">
              <w:rPr>
                <w:color w:val="auto"/>
                <w:sz w:val="24"/>
                <w:szCs w:val="24"/>
              </w:rPr>
              <w:t xml:space="preserve">. </w:t>
            </w:r>
          </w:p>
          <w:p w14:paraId="181531D9" w14:textId="77777777" w:rsidR="00BE5DE2" w:rsidRDefault="00BE5DE2" w:rsidP="00C86596">
            <w:pPr>
              <w:pStyle w:val="ListParagraph"/>
              <w:spacing w:line="360" w:lineRule="auto"/>
              <w:ind w:left="0"/>
              <w:jc w:val="both"/>
              <w:rPr>
                <w:color w:val="auto"/>
                <w:sz w:val="24"/>
                <w:szCs w:val="24"/>
              </w:rPr>
            </w:pPr>
          </w:p>
          <w:p w14:paraId="698B8486" w14:textId="22259D6D" w:rsidR="00505268" w:rsidRPr="00BE5DE2" w:rsidRDefault="00540243" w:rsidP="00C86596">
            <w:pPr>
              <w:pStyle w:val="ListParagraph"/>
              <w:spacing w:line="360" w:lineRule="auto"/>
              <w:ind w:left="0"/>
              <w:jc w:val="both"/>
              <w:rPr>
                <w:color w:val="auto"/>
                <w:sz w:val="24"/>
                <w:szCs w:val="24"/>
                <w:shd w:val="clear" w:color="auto" w:fill="FFFFFF"/>
              </w:rPr>
            </w:pPr>
            <w:r>
              <w:rPr>
                <w:color w:val="auto"/>
                <w:sz w:val="24"/>
                <w:szCs w:val="24"/>
              </w:rPr>
              <w:t>One aspect is also to assess suitability of individuals to foster, including connected person’s applicants</w:t>
            </w:r>
            <w:r w:rsidRPr="009A5C32">
              <w:rPr>
                <w:color w:val="auto"/>
                <w:sz w:val="24"/>
                <w:szCs w:val="24"/>
              </w:rPr>
              <w:t xml:space="preserve">. </w:t>
            </w:r>
            <w:r w:rsidR="00CE732F">
              <w:rPr>
                <w:sz w:val="24"/>
                <w:szCs w:val="24"/>
              </w:rPr>
              <w:t xml:space="preserve">[SSWBA] </w:t>
            </w:r>
            <w:r w:rsidR="009A5C32" w:rsidRPr="009A5C32">
              <w:rPr>
                <w:sz w:val="24"/>
                <w:szCs w:val="24"/>
              </w:rPr>
              <w:t>Part 6 Code of Practice (Looked After and Accommodated Children)</w:t>
            </w:r>
            <w:r w:rsidR="009A5C32">
              <w:rPr>
                <w:sz w:val="24"/>
                <w:szCs w:val="24"/>
              </w:rPr>
              <w:t xml:space="preserve"> outlines the importance of children having the opportunity to reside within their extended family </w:t>
            </w:r>
            <w:r w:rsidR="009A5C32">
              <w:rPr>
                <w:sz w:val="24"/>
                <w:szCs w:val="24"/>
              </w:rPr>
              <w:lastRenderedPageBreak/>
              <w:t>where it is safe for them to do so and that prioritising the viability and assessment of connected persons carers is essential.</w:t>
            </w:r>
            <w:r w:rsidR="00511DF4">
              <w:rPr>
                <w:sz w:val="24"/>
                <w:szCs w:val="24"/>
              </w:rPr>
              <w:t xml:space="preserve"> The </w:t>
            </w:r>
            <w:r w:rsidR="00511DF4" w:rsidRPr="00511DF4">
              <w:rPr>
                <w:sz w:val="24"/>
                <w:szCs w:val="24"/>
              </w:rPr>
              <w:t>United Nations on the Rights of the Child (1989)</w:t>
            </w:r>
            <w:r w:rsidR="00511DF4">
              <w:rPr>
                <w:sz w:val="24"/>
                <w:szCs w:val="24"/>
              </w:rPr>
              <w:t xml:space="preserve"> emphasis the requirement that children should be given every opportunity to reside with their family if it is safe to do so, and where it is not, </w:t>
            </w:r>
            <w:r w:rsidR="00156A54">
              <w:rPr>
                <w:sz w:val="24"/>
                <w:szCs w:val="24"/>
              </w:rPr>
              <w:t xml:space="preserve">local authorities </w:t>
            </w:r>
            <w:r w:rsidR="00511DF4">
              <w:rPr>
                <w:sz w:val="24"/>
                <w:szCs w:val="24"/>
              </w:rPr>
              <w:t xml:space="preserve">have the responsibility to provide safe alternative care. </w:t>
            </w:r>
          </w:p>
          <w:p w14:paraId="3212E322" w14:textId="7FAC9736" w:rsidR="00540243" w:rsidRDefault="00540243" w:rsidP="00C86596">
            <w:pPr>
              <w:pStyle w:val="ListParagraph"/>
              <w:spacing w:line="360" w:lineRule="auto"/>
              <w:ind w:left="0"/>
              <w:jc w:val="both"/>
              <w:rPr>
                <w:color w:val="auto"/>
                <w:sz w:val="24"/>
                <w:szCs w:val="24"/>
              </w:rPr>
            </w:pPr>
          </w:p>
          <w:p w14:paraId="7BCABF1E" w14:textId="3B5B2C6F" w:rsidR="00244030" w:rsidRDefault="00540243" w:rsidP="00C86596">
            <w:pPr>
              <w:pStyle w:val="ListParagraph"/>
              <w:spacing w:line="360" w:lineRule="auto"/>
              <w:ind w:left="0"/>
              <w:jc w:val="both"/>
              <w:rPr>
                <w:color w:val="auto"/>
                <w:sz w:val="24"/>
                <w:szCs w:val="24"/>
              </w:rPr>
            </w:pPr>
            <w:r>
              <w:rPr>
                <w:color w:val="auto"/>
                <w:sz w:val="24"/>
                <w:szCs w:val="24"/>
              </w:rPr>
              <w:t>This case study involves the completion of a viability assessment on Adult 1 and 2 in respect of their grandchildren; child 1,2,3 and 4.</w:t>
            </w:r>
            <w:r w:rsidR="00880354">
              <w:rPr>
                <w:color w:val="auto"/>
                <w:sz w:val="24"/>
                <w:szCs w:val="24"/>
              </w:rPr>
              <w:t xml:space="preserve"> </w:t>
            </w:r>
            <w:r w:rsidRPr="00540243">
              <w:rPr>
                <w:color w:val="auto"/>
                <w:sz w:val="24"/>
                <w:szCs w:val="24"/>
              </w:rPr>
              <w:t>A viability assessment is used to determine which members of a child's family are a potentially realistic option and 'viable' placement to care for a specific child</w:t>
            </w:r>
            <w:r>
              <w:rPr>
                <w:color w:val="auto"/>
                <w:sz w:val="24"/>
                <w:szCs w:val="24"/>
              </w:rPr>
              <w:t>ren</w:t>
            </w:r>
            <w:r w:rsidR="00880354">
              <w:rPr>
                <w:color w:val="auto"/>
                <w:sz w:val="24"/>
                <w:szCs w:val="24"/>
              </w:rPr>
              <w:t xml:space="preserve"> and is concerned with the ability of the applicants to safeguard and provide for the children. </w:t>
            </w:r>
            <w:r w:rsidR="00F04390">
              <w:rPr>
                <w:color w:val="auto"/>
                <w:sz w:val="24"/>
                <w:szCs w:val="24"/>
              </w:rPr>
              <w:t xml:space="preserve">(AFKA Cymru, 2023). </w:t>
            </w:r>
            <w:r w:rsidR="00156A54" w:rsidRPr="00156A54">
              <w:rPr>
                <w:color w:val="auto"/>
                <w:sz w:val="24"/>
                <w:szCs w:val="24"/>
              </w:rPr>
              <w:t>Many families find the process and need for viability assessments intrusive and invasive into what they perceive as their own private family life. The European Convention for Human Rights (1950) [ECHR] is concerned with providing guidance for countries on how to comply with basic human rights and article 8 outlines the right to respect and privacy for family life with the exemption of matters of safeguarding. Therefore, local authorities have a duty to undertake assessments to ensure the safety and wellbeing of children, not only in the immediate but as part of planning for the child to reach into adulthood.</w:t>
            </w:r>
            <w:r w:rsidR="00156A54">
              <w:rPr>
                <w:color w:val="auto"/>
                <w:sz w:val="24"/>
                <w:szCs w:val="24"/>
              </w:rPr>
              <w:t xml:space="preserve"> </w:t>
            </w:r>
            <w:r w:rsidR="00913C22" w:rsidRPr="00913C22">
              <w:rPr>
                <w:color w:val="auto"/>
                <w:sz w:val="24"/>
                <w:szCs w:val="24"/>
              </w:rPr>
              <w:t>A good viability assessment will identify the strengths, the vulnerabilities, and which areas require further assessment</w:t>
            </w:r>
            <w:r w:rsidR="00913C22">
              <w:rPr>
                <w:color w:val="auto"/>
                <w:sz w:val="24"/>
                <w:szCs w:val="24"/>
              </w:rPr>
              <w:t>.</w:t>
            </w:r>
            <w:r w:rsidR="00880354">
              <w:rPr>
                <w:color w:val="auto"/>
                <w:sz w:val="24"/>
                <w:szCs w:val="24"/>
              </w:rPr>
              <w:t xml:space="preserve"> </w:t>
            </w:r>
            <w:r w:rsidR="00662FBF">
              <w:rPr>
                <w:color w:val="auto"/>
                <w:sz w:val="24"/>
                <w:szCs w:val="24"/>
              </w:rPr>
              <w:t>In this instance the children’s mother was deceased and their father had been arrested following a serious police incident</w:t>
            </w:r>
            <w:r w:rsidR="00913C22">
              <w:rPr>
                <w:color w:val="auto"/>
                <w:sz w:val="24"/>
                <w:szCs w:val="24"/>
              </w:rPr>
              <w:t xml:space="preserve">. </w:t>
            </w:r>
            <w:r w:rsidR="00156A54">
              <w:rPr>
                <w:color w:val="auto"/>
                <w:sz w:val="24"/>
                <w:szCs w:val="24"/>
              </w:rPr>
              <w:t xml:space="preserve">The children were already known to child services and were open </w:t>
            </w:r>
            <w:r w:rsidR="00260213">
              <w:rPr>
                <w:color w:val="auto"/>
                <w:sz w:val="24"/>
                <w:szCs w:val="24"/>
              </w:rPr>
              <w:t>for care and support</w:t>
            </w:r>
            <w:r w:rsidR="00156A54">
              <w:rPr>
                <w:color w:val="auto"/>
                <w:sz w:val="24"/>
                <w:szCs w:val="24"/>
              </w:rPr>
              <w:t>. Father of the children had exercised his parental responsibility and placed the children in the care of his parents, Adult 1 and Adult 2</w:t>
            </w:r>
            <w:r w:rsidR="00DB50D8">
              <w:rPr>
                <w:color w:val="auto"/>
                <w:sz w:val="24"/>
                <w:szCs w:val="24"/>
              </w:rPr>
              <w:t>,</w:t>
            </w:r>
            <w:r w:rsidR="00156A54">
              <w:rPr>
                <w:color w:val="auto"/>
                <w:sz w:val="24"/>
                <w:szCs w:val="24"/>
              </w:rPr>
              <w:t xml:space="preserve"> prior to presenting at the police station. Ordinarily this would therefore be seen as a private family arrangement however due to the nature of his offence and the circumstances around it</w:t>
            </w:r>
            <w:r w:rsidR="00ED165B">
              <w:rPr>
                <w:color w:val="auto"/>
                <w:sz w:val="24"/>
                <w:szCs w:val="24"/>
              </w:rPr>
              <w:t xml:space="preserve"> a joint Section 47 child protection investigation</w:t>
            </w:r>
            <w:r w:rsidR="00BD0D61">
              <w:rPr>
                <w:color w:val="auto"/>
                <w:sz w:val="24"/>
                <w:szCs w:val="24"/>
              </w:rPr>
              <w:t xml:space="preserve"> (Childrens Act, 1989)</w:t>
            </w:r>
            <w:r w:rsidR="00ED165B">
              <w:rPr>
                <w:color w:val="auto"/>
                <w:sz w:val="24"/>
                <w:szCs w:val="24"/>
              </w:rPr>
              <w:t xml:space="preserve"> was to be undertaken by the childcare team and police and the decision </w:t>
            </w:r>
            <w:r w:rsidR="00DB50D8">
              <w:rPr>
                <w:color w:val="auto"/>
                <w:sz w:val="24"/>
                <w:szCs w:val="24"/>
              </w:rPr>
              <w:t xml:space="preserve">subsequently </w:t>
            </w:r>
            <w:r w:rsidR="00ED165B">
              <w:rPr>
                <w:color w:val="auto"/>
                <w:sz w:val="24"/>
                <w:szCs w:val="24"/>
              </w:rPr>
              <w:t xml:space="preserve">made to seek emergency Interim Care Orders </w:t>
            </w:r>
            <w:r w:rsidR="00260213">
              <w:rPr>
                <w:color w:val="auto"/>
                <w:sz w:val="24"/>
                <w:szCs w:val="24"/>
              </w:rPr>
              <w:t xml:space="preserve">(Section 31, Children’s Act 1989) </w:t>
            </w:r>
            <w:r w:rsidR="00ED165B">
              <w:rPr>
                <w:color w:val="auto"/>
                <w:sz w:val="24"/>
                <w:szCs w:val="24"/>
              </w:rPr>
              <w:t xml:space="preserve">in respect of the children.  </w:t>
            </w:r>
            <w:r w:rsidR="00662FBF">
              <w:rPr>
                <w:color w:val="auto"/>
                <w:sz w:val="24"/>
                <w:szCs w:val="24"/>
              </w:rPr>
              <w:t xml:space="preserve">Adult 1 and 2 had </w:t>
            </w:r>
            <w:r w:rsidR="00ED165B">
              <w:rPr>
                <w:color w:val="auto"/>
                <w:sz w:val="24"/>
                <w:szCs w:val="24"/>
              </w:rPr>
              <w:t>notified</w:t>
            </w:r>
            <w:r w:rsidR="00662FBF">
              <w:rPr>
                <w:color w:val="auto"/>
                <w:sz w:val="24"/>
                <w:szCs w:val="24"/>
              </w:rPr>
              <w:t xml:space="preserve"> the local authority of their desire to </w:t>
            </w:r>
            <w:r w:rsidR="00ED165B">
              <w:rPr>
                <w:color w:val="auto"/>
                <w:sz w:val="24"/>
                <w:szCs w:val="24"/>
              </w:rPr>
              <w:t xml:space="preserve">continue to </w:t>
            </w:r>
            <w:r w:rsidR="00662FBF">
              <w:rPr>
                <w:color w:val="auto"/>
                <w:sz w:val="24"/>
                <w:szCs w:val="24"/>
              </w:rPr>
              <w:t>care for the children</w:t>
            </w:r>
            <w:r w:rsidR="00ED165B">
              <w:rPr>
                <w:color w:val="auto"/>
                <w:sz w:val="24"/>
                <w:szCs w:val="24"/>
              </w:rPr>
              <w:t xml:space="preserve"> and agreed to undertake a viability assessment</w:t>
            </w:r>
            <w:r w:rsidR="00662FBF">
              <w:rPr>
                <w:color w:val="auto"/>
                <w:sz w:val="24"/>
                <w:szCs w:val="24"/>
              </w:rPr>
              <w:t>.</w:t>
            </w:r>
            <w:r w:rsidR="00291D65">
              <w:rPr>
                <w:color w:val="auto"/>
                <w:sz w:val="24"/>
                <w:szCs w:val="24"/>
              </w:rPr>
              <w:t xml:space="preserve"> A social worker from the childcare team and I were allocated to</w:t>
            </w:r>
            <w:r w:rsidR="00ED165B">
              <w:rPr>
                <w:color w:val="auto"/>
                <w:sz w:val="24"/>
                <w:szCs w:val="24"/>
              </w:rPr>
              <w:t xml:space="preserve"> jointly</w:t>
            </w:r>
            <w:r w:rsidR="00291D65">
              <w:rPr>
                <w:color w:val="auto"/>
                <w:sz w:val="24"/>
                <w:szCs w:val="24"/>
              </w:rPr>
              <w:t xml:space="preserve"> undertake the viability.</w:t>
            </w:r>
            <w:r w:rsidR="00FF4DEB">
              <w:rPr>
                <w:color w:val="auto"/>
                <w:sz w:val="24"/>
                <w:szCs w:val="24"/>
              </w:rPr>
              <w:t xml:space="preserve"> </w:t>
            </w:r>
            <w:r w:rsidR="00DB50D8" w:rsidRPr="00DB50D8">
              <w:rPr>
                <w:color w:val="auto"/>
                <w:sz w:val="24"/>
                <w:szCs w:val="24"/>
              </w:rPr>
              <w:t>Ther National Fostering Framework suggests</w:t>
            </w:r>
            <w:r w:rsidR="00DB50D8">
              <w:rPr>
                <w:color w:val="auto"/>
                <w:sz w:val="24"/>
                <w:szCs w:val="24"/>
              </w:rPr>
              <w:t xml:space="preserve"> a viability be undertaken as joint piece of work between childcare and Fostering as </w:t>
            </w:r>
            <w:r w:rsidR="00DB50D8">
              <w:rPr>
                <w:color w:val="auto"/>
                <w:sz w:val="24"/>
                <w:szCs w:val="24"/>
              </w:rPr>
              <w:lastRenderedPageBreak/>
              <w:t xml:space="preserve">part of good practice to ensure that any assessment considers the ability of the applicants to undertake a fostering role but also remain focus on the specific needs of the child they are being considered for </w:t>
            </w:r>
            <w:r w:rsidR="00913C22">
              <w:rPr>
                <w:color w:val="auto"/>
                <w:sz w:val="24"/>
                <w:szCs w:val="24"/>
              </w:rPr>
              <w:t xml:space="preserve"> (AFKA Cymru, 2023)</w:t>
            </w:r>
            <w:r w:rsidR="00DB50D8">
              <w:rPr>
                <w:color w:val="auto"/>
                <w:sz w:val="24"/>
                <w:szCs w:val="24"/>
              </w:rPr>
              <w:t>.</w:t>
            </w:r>
          </w:p>
          <w:p w14:paraId="3A0ACC56" w14:textId="77777777" w:rsidR="000642A5" w:rsidRDefault="000642A5" w:rsidP="00C86596">
            <w:pPr>
              <w:pStyle w:val="ListParagraph"/>
              <w:spacing w:line="360" w:lineRule="auto"/>
              <w:ind w:left="0"/>
              <w:jc w:val="both"/>
              <w:rPr>
                <w:color w:val="auto"/>
                <w:sz w:val="24"/>
                <w:szCs w:val="24"/>
              </w:rPr>
            </w:pPr>
          </w:p>
          <w:p w14:paraId="210FA6F6" w14:textId="7B0AD7B2" w:rsidR="00CE732F" w:rsidRDefault="00913C22" w:rsidP="00C86596">
            <w:pPr>
              <w:pStyle w:val="ListParagraph"/>
              <w:spacing w:line="360" w:lineRule="auto"/>
              <w:ind w:left="0"/>
              <w:jc w:val="both"/>
              <w:rPr>
                <w:color w:val="auto"/>
                <w:sz w:val="24"/>
                <w:szCs w:val="24"/>
              </w:rPr>
            </w:pPr>
            <w:r>
              <w:rPr>
                <w:color w:val="auto"/>
                <w:sz w:val="24"/>
                <w:szCs w:val="24"/>
              </w:rPr>
              <w:t xml:space="preserve">Within my local authority our guidance involves undertaking urgent PNC police checks on applicants and known household members over 18 (which in this case included </w:t>
            </w:r>
            <w:r w:rsidR="00DB50D8">
              <w:rPr>
                <w:color w:val="auto"/>
                <w:sz w:val="24"/>
                <w:szCs w:val="24"/>
              </w:rPr>
              <w:t xml:space="preserve">the </w:t>
            </w:r>
            <w:r>
              <w:rPr>
                <w:color w:val="auto"/>
                <w:sz w:val="24"/>
                <w:szCs w:val="24"/>
              </w:rPr>
              <w:t>applicants son</w:t>
            </w:r>
            <w:r w:rsidR="00DB50D8">
              <w:rPr>
                <w:color w:val="auto"/>
                <w:sz w:val="24"/>
                <w:szCs w:val="24"/>
              </w:rPr>
              <w:t>,</w:t>
            </w:r>
            <w:r>
              <w:rPr>
                <w:color w:val="auto"/>
                <w:sz w:val="24"/>
                <w:szCs w:val="24"/>
              </w:rPr>
              <w:t xml:space="preserve"> Adult 3) the purpose of such is to identify any offences or concerns which may immediately preclude the applicants as well as safeguarding professionals to ensure we are aware of any potential risk factors. We also undertake checks of our own recording systems to see if the applicants are known. As these applicants reside in another local authority, we also contacted their safeguarding team to ascertain whether they held any information on the couple. </w:t>
            </w:r>
            <w:r w:rsidR="009C3AF0">
              <w:rPr>
                <w:color w:val="auto"/>
                <w:sz w:val="24"/>
                <w:szCs w:val="24"/>
              </w:rPr>
              <w:t>Milner and O’Bryne (2020) discuss the importance of preparation and information gathering as steps in the assessment process and the role this has to play in safeguarding</w:t>
            </w:r>
            <w:r w:rsidR="00701998">
              <w:rPr>
                <w:color w:val="auto"/>
                <w:sz w:val="24"/>
                <w:szCs w:val="24"/>
              </w:rPr>
              <w:t xml:space="preserve">. </w:t>
            </w:r>
            <w:r w:rsidR="00CE732F">
              <w:rPr>
                <w:color w:val="auto"/>
                <w:sz w:val="24"/>
                <w:szCs w:val="24"/>
              </w:rPr>
              <w:t>The need for multi-agency working, communication and information sharing is part of good practice but</w:t>
            </w:r>
            <w:r w:rsidR="00B93909">
              <w:rPr>
                <w:color w:val="auto"/>
                <w:sz w:val="24"/>
                <w:szCs w:val="24"/>
              </w:rPr>
              <w:t>, where it is found lacking</w:t>
            </w:r>
            <w:r w:rsidR="00CE732F">
              <w:rPr>
                <w:color w:val="auto"/>
                <w:sz w:val="24"/>
                <w:szCs w:val="24"/>
              </w:rPr>
              <w:t xml:space="preserve"> is a frequently highlighted </w:t>
            </w:r>
            <w:r w:rsidR="00B93909">
              <w:rPr>
                <w:color w:val="auto"/>
                <w:sz w:val="24"/>
                <w:szCs w:val="24"/>
              </w:rPr>
              <w:t>issue</w:t>
            </w:r>
            <w:r w:rsidR="00CE732F">
              <w:rPr>
                <w:color w:val="auto"/>
                <w:sz w:val="24"/>
                <w:szCs w:val="24"/>
              </w:rPr>
              <w:t xml:space="preserve"> in serious case reviews. Exchanging of information from agencies is a vital </w:t>
            </w:r>
            <w:r w:rsidR="00B93909">
              <w:rPr>
                <w:color w:val="auto"/>
                <w:sz w:val="24"/>
                <w:szCs w:val="24"/>
              </w:rPr>
              <w:t>component</w:t>
            </w:r>
            <w:r w:rsidR="00CE732F">
              <w:rPr>
                <w:color w:val="auto"/>
                <w:sz w:val="24"/>
                <w:szCs w:val="24"/>
              </w:rPr>
              <w:t xml:space="preserve"> in supporting the local </w:t>
            </w:r>
            <w:r w:rsidR="00B93909">
              <w:rPr>
                <w:color w:val="auto"/>
                <w:sz w:val="24"/>
                <w:szCs w:val="24"/>
              </w:rPr>
              <w:t>authority</w:t>
            </w:r>
            <w:r w:rsidR="00CE732F">
              <w:rPr>
                <w:color w:val="auto"/>
                <w:sz w:val="24"/>
                <w:szCs w:val="24"/>
              </w:rPr>
              <w:t xml:space="preserve"> </w:t>
            </w:r>
            <w:r w:rsidR="00B93909">
              <w:rPr>
                <w:color w:val="auto"/>
                <w:sz w:val="24"/>
                <w:szCs w:val="24"/>
              </w:rPr>
              <w:t>to</w:t>
            </w:r>
            <w:r w:rsidR="00CE732F">
              <w:rPr>
                <w:color w:val="auto"/>
                <w:sz w:val="24"/>
                <w:szCs w:val="24"/>
              </w:rPr>
              <w:t xml:space="preserve"> </w:t>
            </w:r>
            <w:r w:rsidR="00B93909">
              <w:rPr>
                <w:color w:val="auto"/>
                <w:sz w:val="24"/>
                <w:szCs w:val="24"/>
              </w:rPr>
              <w:t>carry</w:t>
            </w:r>
            <w:r w:rsidR="00CE732F">
              <w:rPr>
                <w:color w:val="auto"/>
                <w:sz w:val="24"/>
                <w:szCs w:val="24"/>
              </w:rPr>
              <w:t xml:space="preserve"> out its safeguarding duties in respect of children (Thompson, 2016)</w:t>
            </w:r>
            <w:r w:rsidR="00B93909">
              <w:rPr>
                <w:color w:val="auto"/>
                <w:sz w:val="24"/>
                <w:szCs w:val="24"/>
              </w:rPr>
              <w:t>.</w:t>
            </w:r>
            <w:r w:rsidR="00701998">
              <w:rPr>
                <w:color w:val="auto"/>
                <w:sz w:val="24"/>
                <w:szCs w:val="24"/>
              </w:rPr>
              <w:t xml:space="preserve"> (Owen and Hughes, </w:t>
            </w:r>
            <w:r w:rsidR="00DB50D8">
              <w:rPr>
                <w:color w:val="auto"/>
                <w:sz w:val="24"/>
                <w:szCs w:val="24"/>
              </w:rPr>
              <w:t>2009</w:t>
            </w:r>
            <w:r w:rsidR="00701998">
              <w:rPr>
                <w:color w:val="auto"/>
                <w:sz w:val="24"/>
                <w:szCs w:val="24"/>
              </w:rPr>
              <w:t xml:space="preserve">) discuss the importance of commencing safeguarding assessments with building on the information you already have, gathering more from the sources you have available to you and combining that information with your professional knowledge. </w:t>
            </w:r>
            <w:r w:rsidR="00701998" w:rsidRPr="00701998">
              <w:rPr>
                <w:color w:val="auto"/>
                <w:sz w:val="24"/>
                <w:szCs w:val="24"/>
              </w:rPr>
              <w:t xml:space="preserve">In this instance both PNC checks and local authority checks highlighted significant risk in relation to Adult 3 who resided in the home in relation to his mental health, substance misuse and historic violent interactions with professionals. It also highlighted previous concerns in relation to domestic violence between Adult 3 as a perpetrator towards his mother Adult 1. As such we contacted Adult 1 and asked that Adult 3 not be present at the home during the assessment visit which they agreed to.  </w:t>
            </w:r>
          </w:p>
          <w:p w14:paraId="482E791A" w14:textId="77777777" w:rsidR="006A4881" w:rsidRDefault="006A4881" w:rsidP="00C86596">
            <w:pPr>
              <w:pStyle w:val="ListParagraph"/>
              <w:spacing w:line="360" w:lineRule="auto"/>
              <w:ind w:left="0"/>
              <w:jc w:val="both"/>
              <w:rPr>
                <w:color w:val="auto"/>
                <w:sz w:val="24"/>
                <w:szCs w:val="24"/>
              </w:rPr>
            </w:pPr>
          </w:p>
          <w:p w14:paraId="78DDB277" w14:textId="5FB0EA71" w:rsidR="000642A5" w:rsidRDefault="006A4881" w:rsidP="00C86596">
            <w:pPr>
              <w:pStyle w:val="ListParagraph"/>
              <w:spacing w:line="360" w:lineRule="auto"/>
              <w:ind w:left="0"/>
              <w:jc w:val="both"/>
              <w:rPr>
                <w:color w:val="auto"/>
                <w:sz w:val="24"/>
                <w:szCs w:val="24"/>
              </w:rPr>
            </w:pPr>
            <w:r w:rsidRPr="006A4881">
              <w:rPr>
                <w:color w:val="auto"/>
                <w:sz w:val="24"/>
                <w:szCs w:val="24"/>
              </w:rPr>
              <w:t xml:space="preserve">Social workers practising in Wales must also be responsive to the needs of individuals wishing to access services in Welsh. Working knowledge of the Welsh Language Measures [WLM] (2011) and how it should be implemented is essential.  S4(1c) [WLM] outlines that the Welsh language should be treated no less favourably than the English language and, under S4 (2a) </w:t>
            </w:r>
            <w:r w:rsidRPr="006A4881">
              <w:rPr>
                <w:color w:val="auto"/>
                <w:sz w:val="24"/>
                <w:szCs w:val="24"/>
              </w:rPr>
              <w:lastRenderedPageBreak/>
              <w:t>[WLM] emphasises the need for practitioners to promote availability of provisions and services in Welsh. This is often referred to as the ‘Active Offer’ (S1.6, More than Just Words) and seek to promote understanding that language is an intrinsic part of care and that people who need services in Welsh get offered them. S1.2 (More than Just Words) discusses that a failure to allow individuals to access a Welsh service is a failure to meet their basic needs. Good practice dictates that every effort should be made to allow individuals to access services in a timely manner with no delay due to their language choice (Thompson, 2001). Offering individuals, the opportunity to have services delivered in the language of their choice can increase understanding and promote engagemen</w:t>
            </w:r>
            <w:r>
              <w:rPr>
                <w:color w:val="auto"/>
                <w:sz w:val="24"/>
                <w:szCs w:val="24"/>
              </w:rPr>
              <w:t xml:space="preserve">t. </w:t>
            </w:r>
            <w:r w:rsidR="000642A5">
              <w:rPr>
                <w:color w:val="auto"/>
                <w:sz w:val="24"/>
                <w:szCs w:val="24"/>
              </w:rPr>
              <w:t xml:space="preserve">When </w:t>
            </w:r>
            <w:r>
              <w:rPr>
                <w:color w:val="auto"/>
                <w:sz w:val="24"/>
                <w:szCs w:val="24"/>
              </w:rPr>
              <w:t>planning</w:t>
            </w:r>
            <w:r w:rsidR="000642A5">
              <w:rPr>
                <w:color w:val="auto"/>
                <w:sz w:val="24"/>
                <w:szCs w:val="24"/>
              </w:rPr>
              <w:t xml:space="preserve"> to undertake the viability assessment the couple were asked whether they wished to receive a service in Welsh however declined this.</w:t>
            </w:r>
            <w:r>
              <w:rPr>
                <w:color w:val="auto"/>
                <w:sz w:val="24"/>
                <w:szCs w:val="24"/>
              </w:rPr>
              <w:t xml:space="preserve"> </w:t>
            </w:r>
            <w:r w:rsidR="00C324C8">
              <w:rPr>
                <w:color w:val="auto"/>
                <w:sz w:val="24"/>
                <w:szCs w:val="24"/>
              </w:rPr>
              <w:t xml:space="preserve"> It is also important to be aware that the circumstances leading to an assessment are distressing as is the concern for the applicants, </w:t>
            </w:r>
            <w:r w:rsidR="00C324C8" w:rsidRPr="00C324C8">
              <w:rPr>
                <w:color w:val="auto"/>
                <w:sz w:val="24"/>
                <w:szCs w:val="24"/>
              </w:rPr>
              <w:t>particularly when thinking their grandchildren may not be allowed to remain with them,</w:t>
            </w:r>
            <w:r w:rsidR="00C324C8">
              <w:rPr>
                <w:color w:val="auto"/>
                <w:sz w:val="24"/>
                <w:szCs w:val="24"/>
              </w:rPr>
              <w:t xml:space="preserve"> and therefore</w:t>
            </w:r>
            <w:r w:rsidR="00C324C8" w:rsidRPr="00C324C8">
              <w:rPr>
                <w:color w:val="auto"/>
                <w:sz w:val="24"/>
                <w:szCs w:val="24"/>
              </w:rPr>
              <w:t xml:space="preserve"> the ability to express themselves in the language that they are most comfortable in is vital</w:t>
            </w:r>
            <w:r w:rsidR="00C324C8">
              <w:rPr>
                <w:color w:val="auto"/>
                <w:sz w:val="24"/>
                <w:szCs w:val="24"/>
              </w:rPr>
              <w:t>.</w:t>
            </w:r>
          </w:p>
          <w:p w14:paraId="04544EE4" w14:textId="77777777" w:rsidR="000642A5" w:rsidRDefault="000642A5" w:rsidP="00C86596">
            <w:pPr>
              <w:pStyle w:val="ListParagraph"/>
              <w:spacing w:line="360" w:lineRule="auto"/>
              <w:ind w:left="0"/>
              <w:jc w:val="both"/>
              <w:rPr>
                <w:color w:val="auto"/>
                <w:sz w:val="24"/>
                <w:szCs w:val="24"/>
              </w:rPr>
            </w:pPr>
          </w:p>
          <w:p w14:paraId="7F494125" w14:textId="1A0292C7" w:rsidR="000D63BB" w:rsidRDefault="000642A5" w:rsidP="00C86596">
            <w:pPr>
              <w:pStyle w:val="ListParagraph"/>
              <w:spacing w:line="360" w:lineRule="auto"/>
              <w:ind w:left="0"/>
              <w:jc w:val="both"/>
              <w:rPr>
                <w:color w:val="auto"/>
                <w:sz w:val="24"/>
                <w:szCs w:val="24"/>
              </w:rPr>
            </w:pPr>
            <w:r>
              <w:rPr>
                <w:color w:val="auto"/>
                <w:sz w:val="24"/>
                <w:szCs w:val="24"/>
              </w:rPr>
              <w:t xml:space="preserve">Upon arriving at the </w:t>
            </w:r>
            <w:r w:rsidR="00A754F4">
              <w:rPr>
                <w:color w:val="auto"/>
                <w:sz w:val="24"/>
                <w:szCs w:val="24"/>
              </w:rPr>
              <w:t>home,</w:t>
            </w:r>
            <w:r w:rsidR="004A22B6">
              <w:rPr>
                <w:color w:val="auto"/>
                <w:sz w:val="24"/>
                <w:szCs w:val="24"/>
              </w:rPr>
              <w:t xml:space="preserve"> the childcare social worker and I introduced ourselves and explained again the purpose for our visit. I am always mindful when undertaking viability assessments that we are often asking individuals to consider kinship care and to undertake assessment at a period of intense pressure and extreme emotional crisis and that any response from individuals needs to be read through the lens of their current circumstances. Families often feel like social services are to blame in interfering in their family life and we are asking them to trust us during a period where they often feel like this is the last thing they want to do.  Engaging and working with families in such situations requires skills in empathy, listening and </w:t>
            </w:r>
            <w:r w:rsidR="00A754F4">
              <w:rPr>
                <w:color w:val="auto"/>
                <w:sz w:val="24"/>
                <w:szCs w:val="24"/>
              </w:rPr>
              <w:t>a non-judgemental approach. Denby (2015) discusses how building a professional rapport built on mutual respect, openness and honesty can create a firm foundation for assessment.</w:t>
            </w:r>
          </w:p>
          <w:p w14:paraId="4A770180" w14:textId="77777777" w:rsidR="005F3CFD" w:rsidRDefault="005F3CFD" w:rsidP="00C86596">
            <w:pPr>
              <w:pStyle w:val="ListParagraph"/>
              <w:spacing w:line="360" w:lineRule="auto"/>
              <w:ind w:left="0"/>
              <w:jc w:val="both"/>
              <w:rPr>
                <w:color w:val="auto"/>
                <w:sz w:val="24"/>
                <w:szCs w:val="24"/>
              </w:rPr>
            </w:pPr>
          </w:p>
          <w:p w14:paraId="4A24E040" w14:textId="703004A2" w:rsidR="005F3CFD" w:rsidRDefault="005F3CFD" w:rsidP="00C86596">
            <w:pPr>
              <w:pStyle w:val="ListParagraph"/>
              <w:spacing w:line="360" w:lineRule="auto"/>
              <w:ind w:left="0"/>
              <w:jc w:val="both"/>
              <w:rPr>
                <w:color w:val="auto"/>
                <w:sz w:val="24"/>
                <w:szCs w:val="24"/>
              </w:rPr>
            </w:pPr>
            <w:r>
              <w:rPr>
                <w:color w:val="auto"/>
                <w:sz w:val="24"/>
                <w:szCs w:val="24"/>
              </w:rPr>
              <w:t xml:space="preserve">A Viability assessment is intrusive with professionals often asking questions about a family’s whole way of functioning. Initial resistance is an understandable reaction to this intrusion. Cleaver and Freeman (1995) highlight the need for professionals to consider the reasons behind the resistance in order to determine if it poses an additional risk to the safeguarding </w:t>
            </w:r>
            <w:r>
              <w:rPr>
                <w:color w:val="auto"/>
                <w:sz w:val="24"/>
                <w:szCs w:val="24"/>
              </w:rPr>
              <w:lastRenderedPageBreak/>
              <w:t>process or whether it can be overcome. In this instance I initially identified that Adult 1 and 2 felt resistance due to feeling they had no choice but to participate in the assessment process if they wished to have the</w:t>
            </w:r>
            <w:r w:rsidR="00A754F4">
              <w:rPr>
                <w:color w:val="auto"/>
                <w:sz w:val="24"/>
                <w:szCs w:val="24"/>
              </w:rPr>
              <w:t>ir</w:t>
            </w:r>
            <w:r>
              <w:rPr>
                <w:color w:val="auto"/>
                <w:sz w:val="24"/>
                <w:szCs w:val="24"/>
              </w:rPr>
              <w:t xml:space="preserve"> </w:t>
            </w:r>
            <w:r w:rsidR="00A754F4">
              <w:rPr>
                <w:color w:val="auto"/>
                <w:sz w:val="24"/>
                <w:szCs w:val="24"/>
              </w:rPr>
              <w:t>grand</w:t>
            </w:r>
            <w:r>
              <w:rPr>
                <w:color w:val="auto"/>
                <w:sz w:val="24"/>
                <w:szCs w:val="24"/>
              </w:rPr>
              <w:t xml:space="preserve">children reside with them. Upon identifying this I ensured they were aware that the viability assessment for them as connected persons foster carers was voluntary and that they were welcome to seek legal advice first to explore the alternative options available to </w:t>
            </w:r>
            <w:r w:rsidR="00A754F4">
              <w:rPr>
                <w:color w:val="auto"/>
                <w:sz w:val="24"/>
                <w:szCs w:val="24"/>
              </w:rPr>
              <w:t>them,</w:t>
            </w:r>
            <w:r>
              <w:rPr>
                <w:color w:val="auto"/>
                <w:sz w:val="24"/>
                <w:szCs w:val="24"/>
              </w:rPr>
              <w:t xml:space="preserve"> such as child arrangement order. I ensured they understood that if they wished to do so there would be no detriment to their assessment and it could be resumed after they had done this. I was also mindful that they could be resistance due to </w:t>
            </w:r>
            <w:r w:rsidR="00193A8A">
              <w:rPr>
                <w:color w:val="auto"/>
                <w:sz w:val="24"/>
                <w:szCs w:val="24"/>
              </w:rPr>
              <w:t>them feeling like their rights to privacy were not being respected, especially in light of discussions around Adult 3, and that they may feel a level of critique or judgement</w:t>
            </w:r>
            <w:r w:rsidR="00A754F4">
              <w:rPr>
                <w:color w:val="auto"/>
                <w:sz w:val="24"/>
                <w:szCs w:val="24"/>
              </w:rPr>
              <w:t xml:space="preserve"> regarding their own parenting,</w:t>
            </w:r>
            <w:r w:rsidR="00193A8A">
              <w:rPr>
                <w:color w:val="auto"/>
                <w:sz w:val="24"/>
                <w:szCs w:val="24"/>
              </w:rPr>
              <w:t xml:space="preserve"> from professionals due to his presenting issues. </w:t>
            </w:r>
          </w:p>
          <w:p w14:paraId="3EE566A2" w14:textId="77777777" w:rsidR="00955C21" w:rsidRDefault="00955C21" w:rsidP="00C86596">
            <w:pPr>
              <w:pStyle w:val="ListParagraph"/>
              <w:spacing w:line="360" w:lineRule="auto"/>
              <w:ind w:left="0"/>
              <w:jc w:val="both"/>
              <w:rPr>
                <w:color w:val="auto"/>
                <w:sz w:val="24"/>
                <w:szCs w:val="24"/>
              </w:rPr>
            </w:pPr>
          </w:p>
          <w:p w14:paraId="5392852D" w14:textId="0EBDB532" w:rsidR="00955C21" w:rsidRDefault="0000262E" w:rsidP="00C86596">
            <w:pPr>
              <w:pStyle w:val="ListParagraph"/>
              <w:spacing w:line="360" w:lineRule="auto"/>
              <w:ind w:left="0"/>
              <w:jc w:val="both"/>
              <w:rPr>
                <w:color w:val="auto"/>
                <w:sz w:val="24"/>
                <w:szCs w:val="24"/>
              </w:rPr>
            </w:pPr>
            <w:r>
              <w:rPr>
                <w:color w:val="auto"/>
                <w:sz w:val="24"/>
                <w:szCs w:val="24"/>
              </w:rPr>
              <w:t xml:space="preserve">When undertaking a viability assessment, it is important to note it is not just an assessment of the applicants themselves but the whole household- as discussed previously this includes Adult 3. The information we had received regarding Adult 3 posed significant concerns for professionals and this had to be raised and shared with Adult 1 and 2. </w:t>
            </w:r>
            <w:r w:rsidR="00DE24D7">
              <w:rPr>
                <w:color w:val="auto"/>
                <w:sz w:val="24"/>
                <w:szCs w:val="24"/>
              </w:rPr>
              <w:t xml:space="preserve">Although it is important to be mindful of individuals rights to privacy and confidentiality sharing information with specific people for the purposes of safeguarding is vital. In this circumstance Adult 1 and 2 were well aware of their son’s difficulties with substance misuse, mental health and violent behaviour so we did not have to share information with them that they were not already aware of. Despite knowledge of this though there immediate response was to minimise the risk this would pose to the children 1,2,3 and 4 who were in their care. They stated he was a ‘fantastic uncle’ to the children and had a very positive relationship with them. </w:t>
            </w:r>
            <w:r w:rsidR="00252B7A">
              <w:rPr>
                <w:color w:val="auto"/>
                <w:sz w:val="24"/>
                <w:szCs w:val="24"/>
              </w:rPr>
              <w:t xml:space="preserve">Whilst they showed some ability to recognise the risk his behaviour may have to himself and others in the community, they showed an inability to reflect on the risk he may pose within the household.  Owen and Hughes (2009) discuss ways to work with avoidant or ambivalence through direct and explicit explanations of concerns so that there is no scope for misunderstanding and focus on clarity. Adult 1 and 2 raised concerns that, if they asked Adult 3 to leave the </w:t>
            </w:r>
            <w:r w:rsidR="003A3EEF">
              <w:rPr>
                <w:color w:val="auto"/>
                <w:sz w:val="24"/>
                <w:szCs w:val="24"/>
              </w:rPr>
              <w:t>property,</w:t>
            </w:r>
            <w:r w:rsidR="00252B7A">
              <w:rPr>
                <w:color w:val="auto"/>
                <w:sz w:val="24"/>
                <w:szCs w:val="24"/>
              </w:rPr>
              <w:t xml:space="preserve"> they would be placing him at significant risk himself in terms of his mental health</w:t>
            </w:r>
            <w:r w:rsidR="003A3EEF">
              <w:rPr>
                <w:color w:val="auto"/>
                <w:sz w:val="24"/>
                <w:szCs w:val="24"/>
              </w:rPr>
              <w:t>, they suggested that they could supervise all contact between Adult 3 and Child 1,2 3 and 4 however the practicalities and feasibility of this if all resided in the same property was deemed impossible.</w:t>
            </w:r>
            <w:r w:rsidR="00615A97">
              <w:rPr>
                <w:color w:val="auto"/>
                <w:sz w:val="24"/>
                <w:szCs w:val="24"/>
              </w:rPr>
              <w:t xml:space="preserve"> Adult 1 and </w:t>
            </w:r>
            <w:r w:rsidR="00615A97">
              <w:rPr>
                <w:color w:val="auto"/>
                <w:sz w:val="24"/>
                <w:szCs w:val="24"/>
              </w:rPr>
              <w:lastRenderedPageBreak/>
              <w:t xml:space="preserve">2’s responses raised concerns for </w:t>
            </w:r>
            <w:r w:rsidR="00B64725">
              <w:rPr>
                <w:color w:val="auto"/>
                <w:sz w:val="24"/>
                <w:szCs w:val="24"/>
              </w:rPr>
              <w:t>me</w:t>
            </w:r>
            <w:r w:rsidR="00615A97">
              <w:rPr>
                <w:color w:val="auto"/>
                <w:sz w:val="24"/>
                <w:szCs w:val="24"/>
              </w:rPr>
              <w:t xml:space="preserve"> regarding disguised compliance</w:t>
            </w:r>
            <w:r w:rsidR="00B64725">
              <w:rPr>
                <w:color w:val="auto"/>
                <w:sz w:val="24"/>
                <w:szCs w:val="24"/>
              </w:rPr>
              <w:t xml:space="preserve"> and an intention by them to placate professionals concerns with no meaningful intention of following safeguarding advice. Nicholas (2015) discusses how we must not always see disguised compliance as terrible act done with malicious intentions however seek to understand that families will often seek to make any reassurance they can to professionals in order to prevent children being removed.</w:t>
            </w:r>
            <w:r w:rsidR="00615A97">
              <w:rPr>
                <w:color w:val="auto"/>
                <w:sz w:val="24"/>
                <w:szCs w:val="24"/>
              </w:rPr>
              <w:t xml:space="preserve"> </w:t>
            </w:r>
            <w:r w:rsidR="003A3EEF">
              <w:rPr>
                <w:color w:val="auto"/>
                <w:sz w:val="24"/>
                <w:szCs w:val="24"/>
              </w:rPr>
              <w:t xml:space="preserve"> </w:t>
            </w:r>
            <w:r>
              <w:rPr>
                <w:color w:val="auto"/>
                <w:sz w:val="24"/>
                <w:szCs w:val="24"/>
              </w:rPr>
              <w:t>A discussion with service managers identified that there was no possibility of the viability outcome being positive if he remained residing in the property</w:t>
            </w:r>
            <w:r w:rsidR="003A3EEF">
              <w:rPr>
                <w:color w:val="auto"/>
                <w:sz w:val="24"/>
                <w:szCs w:val="24"/>
              </w:rPr>
              <w:t xml:space="preserve"> and this was explained to Adult 1 and 2</w:t>
            </w:r>
            <w:r w:rsidR="00C81021">
              <w:rPr>
                <w:color w:val="auto"/>
                <w:sz w:val="24"/>
                <w:szCs w:val="24"/>
              </w:rPr>
              <w:t>.</w:t>
            </w:r>
          </w:p>
          <w:p w14:paraId="2C7C83A0" w14:textId="77777777" w:rsidR="000C49D6" w:rsidRDefault="000C49D6" w:rsidP="00C86596">
            <w:pPr>
              <w:pStyle w:val="ListParagraph"/>
              <w:spacing w:line="360" w:lineRule="auto"/>
              <w:ind w:left="0"/>
              <w:jc w:val="both"/>
              <w:rPr>
                <w:color w:val="auto"/>
                <w:sz w:val="24"/>
                <w:szCs w:val="24"/>
              </w:rPr>
            </w:pPr>
          </w:p>
          <w:p w14:paraId="0EAA596D" w14:textId="2809766D" w:rsidR="000921B9" w:rsidRDefault="000C49D6" w:rsidP="000921B9">
            <w:pPr>
              <w:pStyle w:val="ListParagraph"/>
              <w:spacing w:before="240" w:line="360" w:lineRule="auto"/>
              <w:ind w:left="0"/>
              <w:jc w:val="both"/>
              <w:rPr>
                <w:color w:val="auto"/>
                <w:sz w:val="24"/>
                <w:szCs w:val="24"/>
              </w:rPr>
            </w:pPr>
            <w:r>
              <w:rPr>
                <w:color w:val="auto"/>
                <w:sz w:val="24"/>
                <w:szCs w:val="24"/>
              </w:rPr>
              <w:t>Matters relating to risk and safeguarding in respect of continued contact for the children with a birth parent can be especially difficult to manage in connected persons cases. The applicants ability to ensure the child is not exposed to treatment or behaviours which may traumatise them is critical to future safeguarding (Golding et al, 2016)</w:t>
            </w:r>
            <w:r w:rsidR="00C81021">
              <w:rPr>
                <w:color w:val="auto"/>
                <w:sz w:val="24"/>
                <w:szCs w:val="24"/>
              </w:rPr>
              <w:t xml:space="preserve">. </w:t>
            </w:r>
            <w:r w:rsidR="00591710">
              <w:rPr>
                <w:color w:val="auto"/>
                <w:sz w:val="24"/>
                <w:szCs w:val="24"/>
              </w:rPr>
              <w:t xml:space="preserve">In this case the children’s father had been arrested for a serious crime and, during the viability it remained unknown whether he would be bailed or remanded into custody. Adult 1 and 2 were aware of the charges made against him however refuted these and stated he was innocent. </w:t>
            </w:r>
            <w:r w:rsidR="002F6BC4">
              <w:rPr>
                <w:color w:val="auto"/>
                <w:sz w:val="24"/>
                <w:szCs w:val="24"/>
              </w:rPr>
              <w:t xml:space="preserve">Throughout the viability assessment the childcare social worker and I were explicit that, at present there could be no contact between the children and their father due to the children needing to be interviewed by the police, and that any future contact between the children and their father would have to be supervised. Adult 1 and 2 openly disagreed with us regarding this and stated that he was no risk to his children regardless of the charges levied against him. </w:t>
            </w:r>
            <w:r w:rsidR="00667793">
              <w:rPr>
                <w:color w:val="auto"/>
                <w:sz w:val="24"/>
                <w:szCs w:val="24"/>
              </w:rPr>
              <w:t xml:space="preserve">Adult 1 and 2’s stance on this raised concerns regarding their ability to work with professionals and adhere to the children’s proposed care plans.  </w:t>
            </w:r>
            <w:r w:rsidR="00702B14">
              <w:rPr>
                <w:color w:val="auto"/>
                <w:sz w:val="24"/>
                <w:szCs w:val="24"/>
              </w:rPr>
              <w:t>We explored this further with Adult 1 and 2 and they shared concerns that all contact needing to be supervised would impact on their own interactions with their son and extended family and would have a detrimental impact on the relationships for them as a family unit. Often within kinship placements it is an inevitable consequence that, as a result of taking the placement, other relationships within the family have to adapt and change to work under new boundaries and restrictions (Pitcher, 2013). Whilst the applicants reticent to this is understood their adherence to these boundaries would be a necessary aspect of the safeguarding plan for the children and there responses raised significant concerns about their ability to do this.</w:t>
            </w:r>
          </w:p>
          <w:p w14:paraId="4320F4DF" w14:textId="77777777" w:rsidR="00BA5260" w:rsidRDefault="00BA5260" w:rsidP="000921B9">
            <w:pPr>
              <w:pStyle w:val="ListParagraph"/>
              <w:spacing w:before="240" w:line="360" w:lineRule="auto"/>
              <w:ind w:left="0"/>
              <w:jc w:val="both"/>
              <w:rPr>
                <w:color w:val="auto"/>
                <w:sz w:val="24"/>
                <w:szCs w:val="24"/>
              </w:rPr>
            </w:pPr>
          </w:p>
          <w:p w14:paraId="704B2B84" w14:textId="6A8EE97F" w:rsidR="00BA5260" w:rsidRDefault="00BA5260" w:rsidP="000921B9">
            <w:pPr>
              <w:pStyle w:val="ListParagraph"/>
              <w:spacing w:before="240" w:line="360" w:lineRule="auto"/>
              <w:ind w:left="0"/>
              <w:jc w:val="both"/>
              <w:rPr>
                <w:color w:val="auto"/>
                <w:sz w:val="24"/>
                <w:szCs w:val="24"/>
              </w:rPr>
            </w:pPr>
            <w:r>
              <w:rPr>
                <w:color w:val="auto"/>
                <w:sz w:val="24"/>
                <w:szCs w:val="24"/>
              </w:rPr>
              <w:t>In this assessment I also considered family functioning and the families ‘life script’ (Bying-Hall 1995). This is concerned with looking at how the family structure; shared history and beliefs influence the behaviour and interactions. In this case what concerned me was the parental value orientation of Adult 1 and 2 and how this differed from my own which required some reflection. Specifically Adult 1 and 2 had two sons, both of whom had behaviours or were involved in incidents w</w:t>
            </w:r>
            <w:r w:rsidR="004D732D">
              <w:rPr>
                <w:color w:val="auto"/>
                <w:sz w:val="24"/>
                <w:szCs w:val="24"/>
              </w:rPr>
              <w:t>hich</w:t>
            </w:r>
            <w:r>
              <w:rPr>
                <w:color w:val="auto"/>
                <w:sz w:val="24"/>
                <w:szCs w:val="24"/>
              </w:rPr>
              <w:t xml:space="preserve"> </w:t>
            </w:r>
            <w:r w:rsidR="00D20E69">
              <w:rPr>
                <w:color w:val="auto"/>
                <w:sz w:val="24"/>
                <w:szCs w:val="24"/>
              </w:rPr>
              <w:t>caused</w:t>
            </w:r>
            <w:r>
              <w:rPr>
                <w:color w:val="auto"/>
                <w:sz w:val="24"/>
                <w:szCs w:val="24"/>
              </w:rPr>
              <w:t xml:space="preserve"> significant concern to professionals but was wholly minimised (or disputed despite proof) by their parents. The response of Adult 1 and 2 led me to consider how they had parented their own children and whether their parenting had any implications for </w:t>
            </w:r>
            <w:r w:rsidR="00F7062F">
              <w:rPr>
                <w:color w:val="auto"/>
                <w:sz w:val="24"/>
                <w:szCs w:val="24"/>
              </w:rPr>
              <w:t>these behaviours in terms of lack of boundaries, accountability etc. Ryan (</w:t>
            </w:r>
            <w:r w:rsidR="002E5005">
              <w:rPr>
                <w:color w:val="auto"/>
                <w:sz w:val="24"/>
                <w:szCs w:val="24"/>
              </w:rPr>
              <w:t>2012</w:t>
            </w:r>
            <w:r w:rsidR="00F7062F">
              <w:rPr>
                <w:color w:val="auto"/>
                <w:sz w:val="24"/>
                <w:szCs w:val="24"/>
              </w:rPr>
              <w:t>) discusses the importance of affective responsiveness (w</w:t>
            </w:r>
            <w:r w:rsidR="00F7062F" w:rsidRPr="00F7062F">
              <w:rPr>
                <w:color w:val="auto"/>
                <w:sz w:val="24"/>
                <w:szCs w:val="24"/>
              </w:rPr>
              <w:t>hich involves responding to family members with a whole spectrum of emotions</w:t>
            </w:r>
            <w:r w:rsidR="00F7062F">
              <w:rPr>
                <w:color w:val="auto"/>
                <w:sz w:val="24"/>
                <w:szCs w:val="24"/>
              </w:rPr>
              <w:t xml:space="preserve"> appropriate to the interaction)</w:t>
            </w:r>
            <w:r w:rsidR="00F7062F" w:rsidRPr="00F7062F">
              <w:rPr>
                <w:color w:val="auto"/>
                <w:sz w:val="24"/>
                <w:szCs w:val="24"/>
              </w:rPr>
              <w:t xml:space="preserve"> </w:t>
            </w:r>
            <w:r w:rsidR="00F7062F">
              <w:rPr>
                <w:color w:val="auto"/>
                <w:sz w:val="24"/>
                <w:szCs w:val="24"/>
              </w:rPr>
              <w:t>and affective involvement (showing a healthy interest in family members that comes from a selfless desire to support rather than transactional) as important elements of family functioning both of which I had concerns about.  Adult 2 sh</w:t>
            </w:r>
            <w:r w:rsidR="00233AD4">
              <w:rPr>
                <w:color w:val="auto"/>
                <w:sz w:val="24"/>
                <w:szCs w:val="24"/>
              </w:rPr>
              <w:t xml:space="preserve">owed over-protective behaviours towards Adult 3 and the children’s father which also evidenced an inability to ‘think the unthinkable’ in terms of their behaviours and risks towards the children. What concerned me was his inability to translate this overprotectiveness to his grandchildren and raised queries over his ability to recognise risk and appropriately safeguard. </w:t>
            </w:r>
            <w:r w:rsidR="00726EC1">
              <w:rPr>
                <w:color w:val="auto"/>
                <w:sz w:val="24"/>
                <w:szCs w:val="24"/>
              </w:rPr>
              <w:t xml:space="preserve"> Adult 1’s affective responsiveness evidenced an ability to portray emergency emotions (such as anger, sadness, depression) which was understandable in the current circumstances however exploration throughout the assessment led to concerns about her capacity to exhibit welfare emotions even in less difficult circumstances.</w:t>
            </w:r>
          </w:p>
          <w:p w14:paraId="71F6B59D" w14:textId="77777777" w:rsidR="000921B9" w:rsidRDefault="000921B9" w:rsidP="000921B9">
            <w:pPr>
              <w:pStyle w:val="ListParagraph"/>
              <w:spacing w:before="240" w:line="360" w:lineRule="auto"/>
              <w:ind w:left="0"/>
              <w:jc w:val="both"/>
              <w:rPr>
                <w:color w:val="auto"/>
                <w:sz w:val="24"/>
                <w:szCs w:val="24"/>
              </w:rPr>
            </w:pPr>
          </w:p>
          <w:p w14:paraId="228BABB8" w14:textId="63477281" w:rsidR="00EC728E" w:rsidRDefault="000921B9" w:rsidP="000921B9">
            <w:pPr>
              <w:pStyle w:val="ListParagraph"/>
              <w:spacing w:before="240" w:line="360" w:lineRule="auto"/>
              <w:ind w:left="0"/>
              <w:jc w:val="both"/>
              <w:rPr>
                <w:color w:val="auto"/>
                <w:sz w:val="24"/>
                <w:szCs w:val="24"/>
              </w:rPr>
            </w:pPr>
            <w:r>
              <w:rPr>
                <w:color w:val="auto"/>
                <w:sz w:val="24"/>
                <w:szCs w:val="24"/>
              </w:rPr>
              <w:t>K</w:t>
            </w:r>
            <w:r w:rsidRPr="000921B9">
              <w:rPr>
                <w:color w:val="auto"/>
                <w:sz w:val="24"/>
                <w:szCs w:val="24"/>
              </w:rPr>
              <w:t>im Goulding (2008) discusses how “regulation and reflection under stress” as well as ability to accept support are important factors for consideration.</w:t>
            </w:r>
            <w:r w:rsidR="003B0479">
              <w:rPr>
                <w:color w:val="auto"/>
                <w:sz w:val="24"/>
                <w:szCs w:val="24"/>
              </w:rPr>
              <w:t xml:space="preserve"> </w:t>
            </w:r>
            <w:r w:rsidR="000D54A6">
              <w:rPr>
                <w:color w:val="auto"/>
                <w:sz w:val="24"/>
                <w:szCs w:val="24"/>
              </w:rPr>
              <w:t xml:space="preserve">Continued acknowledgement of the applicants current circumstances throughout the assessment and consideration of where their baseline ‘norm’ would be was important however it was also important to consider how the applicants managed the stressful situation. Kinship Care is not without its difficulties and brings with it ongoing challenges. Adult 1 was already showing physical responses to the stress of the situation in terms of her inability to sleep, anxiety and mood regulation -stating she was sometimes short tempered and ‘snappy’ with the children and did not have a lot of energy to </w:t>
            </w:r>
            <w:r w:rsidR="000D54A6">
              <w:rPr>
                <w:color w:val="auto"/>
                <w:sz w:val="24"/>
                <w:szCs w:val="24"/>
              </w:rPr>
              <w:lastRenderedPageBreak/>
              <w:t xml:space="preserve">interact with them. As grandparents having four children under the age of 10 suddenly arrive in your home has a significant impact on your life. Adult 1 spoke of her feelings about ‘losing out’ as a grandparent in having to now take on a parenting role to the children and her feelings of resentment towards this. Whilst these feelings are understandable that she was </w:t>
            </w:r>
            <w:r w:rsidR="000A4EBF">
              <w:rPr>
                <w:color w:val="auto"/>
                <w:sz w:val="24"/>
                <w:szCs w:val="24"/>
              </w:rPr>
              <w:t>displaying this resentment towards the children was concerning- especially given that the children had currently only been in her care for a few days.</w:t>
            </w:r>
            <w:r w:rsidR="007F3870">
              <w:rPr>
                <w:color w:val="auto"/>
                <w:sz w:val="24"/>
                <w:szCs w:val="24"/>
              </w:rPr>
              <w:t xml:space="preserve"> I was able to consider Kathleen Ell (1996) work on Crisis Theory to reflect on how periods of stress can overwhelm an individual’s ability to cope in crisis and consider how Adult 1’s vulnerabilities increased and ability to manage crisis where potentially affected by more instances of unresolved earlier crisis or failure to acknowledge/minimise the impact of earlier crisis i.e., her son’s mental health concerns, the domestic abuse she had experienced at his hands. </w:t>
            </w:r>
            <w:r w:rsidR="00FA688A">
              <w:rPr>
                <w:color w:val="auto"/>
                <w:sz w:val="24"/>
                <w:szCs w:val="24"/>
              </w:rPr>
              <w:t xml:space="preserve">AFKA Cymru’s good practice guide outlines the needs for viability assessments to consider </w:t>
            </w:r>
            <w:r w:rsidR="004A0E06">
              <w:rPr>
                <w:color w:val="auto"/>
                <w:sz w:val="24"/>
                <w:szCs w:val="24"/>
              </w:rPr>
              <w:t>identifying</w:t>
            </w:r>
            <w:r w:rsidR="00FA688A">
              <w:rPr>
                <w:color w:val="auto"/>
                <w:sz w:val="24"/>
                <w:szCs w:val="24"/>
              </w:rPr>
              <w:t xml:space="preserve"> any support needs for the placement and therefore both practical support (childcare) and emotional therapeutic support for the whole family was discussed but Adult 1 refused to accept therapeutic support stating it was not necessary. </w:t>
            </w:r>
          </w:p>
          <w:p w14:paraId="51AC064A" w14:textId="4BEAD805" w:rsidR="00E5509F" w:rsidRPr="00753849" w:rsidRDefault="00EC728E" w:rsidP="00A762D7">
            <w:pPr>
              <w:spacing w:before="240" w:line="360" w:lineRule="auto"/>
              <w:jc w:val="both"/>
              <w:rPr>
                <w:sz w:val="24"/>
                <w:szCs w:val="24"/>
              </w:rPr>
            </w:pPr>
            <w:r>
              <w:rPr>
                <w:color w:val="auto"/>
                <w:sz w:val="24"/>
                <w:szCs w:val="24"/>
              </w:rPr>
              <w:t>Utilising Bowlby’s Attachment Theory I sought to examine the quality of the relationship between the children and their grandparents as well as consider the</w:t>
            </w:r>
            <w:r w:rsidR="00753849">
              <w:rPr>
                <w:color w:val="auto"/>
                <w:sz w:val="24"/>
                <w:szCs w:val="24"/>
              </w:rPr>
              <w:t xml:space="preserve"> sibling</w:t>
            </w:r>
            <w:r>
              <w:rPr>
                <w:color w:val="auto"/>
                <w:sz w:val="24"/>
                <w:szCs w:val="24"/>
              </w:rPr>
              <w:t xml:space="preserve"> relationships between the children themselves.</w:t>
            </w:r>
            <w:r>
              <w:t xml:space="preserve"> </w:t>
            </w:r>
            <w:r w:rsidRPr="00EC728E">
              <w:rPr>
                <w:sz w:val="24"/>
                <w:szCs w:val="24"/>
              </w:rPr>
              <w:t xml:space="preserve">From observing the grandparents interactions with the children, there appeared to be very little emotional warmth present; very little physical intimacy through hugs or sitting together, and the tone of voice utilised was often harsh and abrupt. </w:t>
            </w:r>
            <w:r w:rsidR="0059208F">
              <w:rPr>
                <w:sz w:val="24"/>
                <w:szCs w:val="24"/>
              </w:rPr>
              <w:t xml:space="preserve">I was aware some of Adult 1 and 2’s responses to questions had been defensive at times and therefore made the decision to adopt a narrative approach focused on allowing them to explain the existing relationship from their point of view. </w:t>
            </w:r>
            <w:r w:rsidR="00753849">
              <w:rPr>
                <w:sz w:val="24"/>
                <w:szCs w:val="24"/>
              </w:rPr>
              <w:t xml:space="preserve">Baldwin (2013) discusses the benefits of a narrative approach in exploring perspective and the opportunity it allows for practitioners to gain insight onto what individuals value as important in the exchange of information.  </w:t>
            </w:r>
            <w:r w:rsidR="00DC00D3">
              <w:rPr>
                <w:sz w:val="24"/>
                <w:szCs w:val="24"/>
              </w:rPr>
              <w:t xml:space="preserve">From </w:t>
            </w:r>
            <w:r w:rsidR="0059208F">
              <w:rPr>
                <w:sz w:val="24"/>
                <w:szCs w:val="24"/>
              </w:rPr>
              <w:t>doing so and</w:t>
            </w:r>
            <w:r w:rsidR="00DC00D3">
              <w:rPr>
                <w:sz w:val="24"/>
                <w:szCs w:val="24"/>
              </w:rPr>
              <w:t xml:space="preserve"> exploring the relationship between the grandparents and grandchildren prior to this incident I was able to ascertain that the grandchildren were not used to staying overnight and hadn’t done so for a number of years and the frequency of the contact was sporadic. </w:t>
            </w:r>
            <w:r w:rsidR="0059208F">
              <w:rPr>
                <w:sz w:val="24"/>
                <w:szCs w:val="24"/>
              </w:rPr>
              <w:t xml:space="preserve">The children’s father had occasionally brought with him when seeing his parents, but this was not for any length of time. </w:t>
            </w:r>
            <w:r w:rsidR="00753849">
              <w:rPr>
                <w:sz w:val="24"/>
                <w:szCs w:val="24"/>
              </w:rPr>
              <w:t xml:space="preserve">This gave me further understanding into why Adult 1 and 2 were </w:t>
            </w:r>
            <w:r w:rsidR="00753849">
              <w:rPr>
                <w:sz w:val="24"/>
                <w:szCs w:val="24"/>
              </w:rPr>
              <w:lastRenderedPageBreak/>
              <w:t xml:space="preserve">struggling to prioritise the needs of the children over the concerns professionals had regarding Adult 3. </w:t>
            </w:r>
            <w:r w:rsidR="0059208F">
              <w:rPr>
                <w:sz w:val="24"/>
                <w:szCs w:val="24"/>
              </w:rPr>
              <w:t xml:space="preserve">The children also later told the childcare social worker that they didn’t really know their paternal grandparents and saw maternal side more frequently. </w:t>
            </w:r>
            <w:r w:rsidRPr="00EC728E">
              <w:rPr>
                <w:sz w:val="24"/>
                <w:szCs w:val="24"/>
              </w:rPr>
              <w:t xml:space="preserve">The children </w:t>
            </w:r>
            <w:r w:rsidR="00753849">
              <w:rPr>
                <w:sz w:val="24"/>
                <w:szCs w:val="24"/>
              </w:rPr>
              <w:t xml:space="preserve">however </w:t>
            </w:r>
            <w:r w:rsidRPr="00EC728E">
              <w:rPr>
                <w:sz w:val="24"/>
                <w:szCs w:val="24"/>
              </w:rPr>
              <w:t>were seen playing together positively, sharing toys, offering hugs and support to each other with the oldest speaking up and asking for snacks/drinks for younger siblings where required</w:t>
            </w:r>
            <w:r w:rsidR="00753849">
              <w:rPr>
                <w:sz w:val="24"/>
                <w:szCs w:val="24"/>
              </w:rPr>
              <w:t xml:space="preserve"> all of which indicated positive relationships and attachments. </w:t>
            </w:r>
            <w:r w:rsidRPr="00EC728E">
              <w:rPr>
                <w:color w:val="auto"/>
                <w:sz w:val="24"/>
                <w:szCs w:val="24"/>
              </w:rPr>
              <w:t xml:space="preserve">Children and Young Persons Act (2008) outlines the duty of the local authority to support siblings to live together unless there is a child-focused reason not to. Hegar (2005) suggested that siblings placed or adopted together had fewer emotional and behavioural problems over time which positively impacted on placement stability. Within this case I was mindful that child 1,2,3 and 4 had experienced the death of their mother and now the arrest of their father and that they had a very positive sibling relationship. Adult 1 and 2 </w:t>
            </w:r>
            <w:r w:rsidR="00753849">
              <w:rPr>
                <w:color w:val="auto"/>
                <w:sz w:val="24"/>
                <w:szCs w:val="24"/>
              </w:rPr>
              <w:t xml:space="preserve">did </w:t>
            </w:r>
            <w:r w:rsidRPr="00EC728E">
              <w:rPr>
                <w:color w:val="auto"/>
                <w:sz w:val="24"/>
                <w:szCs w:val="24"/>
              </w:rPr>
              <w:t>ha</w:t>
            </w:r>
            <w:r w:rsidR="00753849">
              <w:rPr>
                <w:color w:val="auto"/>
                <w:sz w:val="24"/>
                <w:szCs w:val="24"/>
              </w:rPr>
              <w:t>ve</w:t>
            </w:r>
            <w:r w:rsidRPr="00EC728E">
              <w:rPr>
                <w:color w:val="auto"/>
                <w:sz w:val="24"/>
                <w:szCs w:val="24"/>
              </w:rPr>
              <w:t xml:space="preserve"> the </w:t>
            </w:r>
            <w:r w:rsidR="00753849">
              <w:rPr>
                <w:color w:val="auto"/>
                <w:sz w:val="24"/>
                <w:szCs w:val="24"/>
              </w:rPr>
              <w:t xml:space="preserve">practical </w:t>
            </w:r>
            <w:r w:rsidRPr="00EC728E">
              <w:rPr>
                <w:color w:val="auto"/>
                <w:sz w:val="24"/>
                <w:szCs w:val="24"/>
              </w:rPr>
              <w:t>capacity in their home to have adequate space for the children now and into adulthood</w:t>
            </w:r>
            <w:r w:rsidR="00753849">
              <w:rPr>
                <w:color w:val="auto"/>
                <w:sz w:val="24"/>
                <w:szCs w:val="24"/>
              </w:rPr>
              <w:t xml:space="preserve"> and were stating a desire to do so</w:t>
            </w:r>
            <w:r w:rsidRPr="00EC728E">
              <w:rPr>
                <w:color w:val="auto"/>
                <w:sz w:val="24"/>
                <w:szCs w:val="24"/>
              </w:rPr>
              <w:t xml:space="preserve">. The United Nations Convention on the Rights of the Child includes siblings in respect of the children’s right to family life. It is also important however to consider the ability of any placement to not only meet the children’s needs as a collective sibling group but also the individual needs of each of the four children. The [SSWBA] guidance outlines the particular need in consideration of kinship placements for the balance between keeping siblings together but protecting children from continued familial harm.  </w:t>
            </w:r>
          </w:p>
          <w:p w14:paraId="14E3DD46" w14:textId="77777777" w:rsidR="00662FBF" w:rsidRDefault="00662FBF" w:rsidP="00C86596">
            <w:pPr>
              <w:pStyle w:val="ListParagraph"/>
              <w:spacing w:line="360" w:lineRule="auto"/>
              <w:ind w:left="0"/>
              <w:jc w:val="both"/>
              <w:rPr>
                <w:color w:val="auto"/>
                <w:sz w:val="24"/>
                <w:szCs w:val="24"/>
              </w:rPr>
            </w:pPr>
          </w:p>
          <w:p w14:paraId="43A7A67D" w14:textId="17EF898F" w:rsidR="00662FBF" w:rsidRPr="00880354" w:rsidRDefault="006057B3" w:rsidP="00C86596">
            <w:pPr>
              <w:pStyle w:val="ListParagraph"/>
              <w:spacing w:line="360" w:lineRule="auto"/>
              <w:ind w:left="0"/>
              <w:jc w:val="both"/>
              <w:rPr>
                <w:color w:val="auto"/>
                <w:sz w:val="24"/>
                <w:szCs w:val="24"/>
              </w:rPr>
            </w:pPr>
            <w:r w:rsidRPr="006057B3">
              <w:rPr>
                <w:color w:val="auto"/>
                <w:sz w:val="24"/>
                <w:szCs w:val="24"/>
              </w:rPr>
              <w:t>The Local Authority Fostering Services (Wales) Regulations 2018</w:t>
            </w:r>
            <w:r>
              <w:rPr>
                <w:color w:val="auto"/>
                <w:sz w:val="24"/>
                <w:szCs w:val="24"/>
              </w:rPr>
              <w:t xml:space="preserve"> outlines the responsibility of the local authority to ensure that any foster carer (or prospective) has the ability to give care and support to the child placed with them i</w:t>
            </w:r>
            <w:r w:rsidRPr="006057B3">
              <w:rPr>
                <w:color w:val="auto"/>
                <w:sz w:val="24"/>
                <w:szCs w:val="24"/>
              </w:rPr>
              <w:t xml:space="preserve">n a way which maintains, </w:t>
            </w:r>
            <w:r w:rsidR="002C7F9D" w:rsidRPr="006057B3">
              <w:rPr>
                <w:color w:val="auto"/>
                <w:sz w:val="24"/>
                <w:szCs w:val="24"/>
              </w:rPr>
              <w:t>protects,</w:t>
            </w:r>
            <w:r w:rsidRPr="006057B3">
              <w:rPr>
                <w:color w:val="auto"/>
                <w:sz w:val="24"/>
                <w:szCs w:val="24"/>
              </w:rPr>
              <w:t xml:space="preserve"> and promotes the safety and well-being of the chi</w:t>
            </w:r>
            <w:r>
              <w:rPr>
                <w:color w:val="auto"/>
                <w:sz w:val="24"/>
                <w:szCs w:val="24"/>
              </w:rPr>
              <w:t>ld.</w:t>
            </w:r>
            <w:r w:rsidR="000E78B0">
              <w:rPr>
                <w:color w:val="auto"/>
                <w:sz w:val="24"/>
                <w:szCs w:val="24"/>
              </w:rPr>
              <w:t xml:space="preserve"> Throughout the viability assessment, both the childcare social worker and I had significant concerns about the applicants ability to provide a placement for the children which would promote their safety and wellbeing. As a result of this our assessment was negative and a decision made to explore and assess alternative family members on the children’s maternal side.</w:t>
            </w:r>
          </w:p>
          <w:p w14:paraId="44C7CCBC" w14:textId="77777777" w:rsidR="007D77F4" w:rsidRPr="00090E74" w:rsidRDefault="007D77F4" w:rsidP="00C86596">
            <w:pPr>
              <w:spacing w:line="360" w:lineRule="auto"/>
              <w:rPr>
                <w:rFonts w:ascii="Times New Roman" w:hAnsi="Times New Roman" w:cs="Times New Roman"/>
                <w:b/>
                <w:bCs/>
                <w:color w:val="auto"/>
                <w:sz w:val="24"/>
                <w:szCs w:val="24"/>
                <w:u w:val="single"/>
              </w:rPr>
            </w:pPr>
          </w:p>
          <w:p w14:paraId="4006134D" w14:textId="77777777" w:rsidR="007D77F4" w:rsidRPr="00090E74" w:rsidRDefault="007D77F4" w:rsidP="007D77F4">
            <w:pPr>
              <w:rPr>
                <w:rFonts w:ascii="Times New Roman" w:hAnsi="Times New Roman" w:cs="Times New Roman"/>
                <w:b/>
                <w:bCs/>
                <w:color w:val="auto"/>
                <w:sz w:val="24"/>
                <w:szCs w:val="24"/>
                <w:u w:val="single"/>
              </w:rPr>
            </w:pPr>
          </w:p>
          <w:p w14:paraId="441F43FE" w14:textId="3D49F1D1" w:rsidR="007D77F4" w:rsidRDefault="007D77F4" w:rsidP="007D77F4">
            <w:pPr>
              <w:jc w:val="center"/>
              <w:rPr>
                <w:rFonts w:ascii="Times New Roman" w:hAnsi="Times New Roman" w:cs="Times New Roman"/>
                <w:b/>
                <w:bCs/>
                <w:color w:val="auto"/>
                <w:sz w:val="24"/>
                <w:szCs w:val="24"/>
              </w:rPr>
            </w:pPr>
            <w:r w:rsidRPr="00687F1B">
              <w:rPr>
                <w:rFonts w:ascii="Times New Roman" w:hAnsi="Times New Roman" w:cs="Times New Roman"/>
                <w:b/>
                <w:bCs/>
                <w:color w:val="auto"/>
                <w:sz w:val="24"/>
                <w:szCs w:val="24"/>
              </w:rPr>
              <w:t>Words</w:t>
            </w:r>
            <w:r w:rsidR="00E07719">
              <w:rPr>
                <w:rFonts w:ascii="Times New Roman" w:hAnsi="Times New Roman" w:cs="Times New Roman"/>
                <w:b/>
                <w:bCs/>
                <w:color w:val="auto"/>
                <w:sz w:val="24"/>
                <w:szCs w:val="24"/>
              </w:rPr>
              <w:t>:</w:t>
            </w:r>
            <w:r w:rsidR="00085155">
              <w:rPr>
                <w:rFonts w:ascii="Times New Roman" w:hAnsi="Times New Roman" w:cs="Times New Roman"/>
                <w:b/>
                <w:bCs/>
                <w:color w:val="auto"/>
                <w:sz w:val="24"/>
                <w:szCs w:val="24"/>
              </w:rPr>
              <w:t xml:space="preserve"> 3814</w:t>
            </w:r>
          </w:p>
          <w:p w14:paraId="6D07F436" w14:textId="77777777" w:rsidR="00DB50D8" w:rsidRDefault="00DB50D8" w:rsidP="007D77F4">
            <w:pPr>
              <w:jc w:val="center"/>
              <w:rPr>
                <w:rFonts w:ascii="Times New Roman" w:hAnsi="Times New Roman" w:cs="Times New Roman"/>
                <w:b/>
                <w:bCs/>
                <w:color w:val="auto"/>
                <w:sz w:val="24"/>
                <w:szCs w:val="24"/>
              </w:rPr>
            </w:pPr>
          </w:p>
          <w:p w14:paraId="191DFEFD" w14:textId="77777777" w:rsidR="00DB50D8" w:rsidRDefault="00DB50D8" w:rsidP="007D77F4">
            <w:pPr>
              <w:jc w:val="center"/>
              <w:rPr>
                <w:rFonts w:ascii="Times New Roman" w:hAnsi="Times New Roman" w:cs="Times New Roman"/>
                <w:b/>
                <w:bCs/>
                <w:color w:val="auto"/>
                <w:sz w:val="24"/>
                <w:szCs w:val="24"/>
              </w:rPr>
            </w:pPr>
          </w:p>
          <w:p w14:paraId="7621CFF8" w14:textId="374F26D4" w:rsidR="00F04390" w:rsidRDefault="00F04390" w:rsidP="00526888">
            <w:pPr>
              <w:rPr>
                <w:color w:val="auto"/>
                <w:sz w:val="24"/>
                <w:szCs w:val="24"/>
              </w:rPr>
            </w:pPr>
            <w:r w:rsidRPr="00526888">
              <w:rPr>
                <w:color w:val="auto"/>
                <w:sz w:val="24"/>
                <w:szCs w:val="24"/>
              </w:rPr>
              <w:t>AFKA Cymru (2023)</w:t>
            </w:r>
            <w:r w:rsidR="00526888">
              <w:rPr>
                <w:color w:val="auto"/>
                <w:sz w:val="24"/>
                <w:szCs w:val="24"/>
              </w:rPr>
              <w:t xml:space="preserve"> </w:t>
            </w:r>
            <w:r w:rsidR="00526888" w:rsidRPr="00085155">
              <w:rPr>
                <w:i/>
                <w:iCs/>
                <w:color w:val="auto"/>
                <w:sz w:val="24"/>
                <w:szCs w:val="24"/>
              </w:rPr>
              <w:t>Good practice guide for the Assessment and support of Kinship Foster Carers</w:t>
            </w:r>
            <w:r w:rsidR="00526888">
              <w:rPr>
                <w:color w:val="auto"/>
                <w:sz w:val="24"/>
                <w:szCs w:val="24"/>
              </w:rPr>
              <w:t xml:space="preserve">. National Fostering Framework. </w:t>
            </w:r>
          </w:p>
          <w:p w14:paraId="396A4B97" w14:textId="5EA8503D" w:rsidR="00753849" w:rsidRDefault="00753849" w:rsidP="00526888">
            <w:pPr>
              <w:rPr>
                <w:color w:val="auto"/>
                <w:sz w:val="24"/>
                <w:szCs w:val="24"/>
              </w:rPr>
            </w:pPr>
            <w:r w:rsidRPr="00753849">
              <w:rPr>
                <w:color w:val="auto"/>
                <w:sz w:val="24"/>
                <w:szCs w:val="24"/>
              </w:rPr>
              <w:t>Baldwin, C. (2013). </w:t>
            </w:r>
            <w:r w:rsidRPr="00085155">
              <w:rPr>
                <w:i/>
                <w:iCs/>
                <w:color w:val="auto"/>
                <w:sz w:val="24"/>
                <w:szCs w:val="24"/>
              </w:rPr>
              <w:t>Narrative Social Work: Theory and Application.</w:t>
            </w:r>
            <w:r w:rsidRPr="00753849">
              <w:rPr>
                <w:color w:val="auto"/>
                <w:sz w:val="24"/>
                <w:szCs w:val="24"/>
              </w:rPr>
              <w:t> United Kingdom: Policy Press.</w:t>
            </w:r>
          </w:p>
          <w:p w14:paraId="35C8D9FF" w14:textId="77777777" w:rsidR="00BD0D61" w:rsidRDefault="00BA5260" w:rsidP="00526888">
            <w:pPr>
              <w:rPr>
                <w:color w:val="auto"/>
                <w:sz w:val="24"/>
                <w:szCs w:val="24"/>
              </w:rPr>
            </w:pPr>
            <w:r w:rsidRPr="00BA5260">
              <w:rPr>
                <w:color w:val="auto"/>
                <w:sz w:val="24"/>
                <w:szCs w:val="24"/>
              </w:rPr>
              <w:t>Byng</w:t>
            </w:r>
            <w:r w:rsidRPr="00BA5260">
              <w:rPr>
                <w:rFonts w:ascii="Cambria Math" w:hAnsi="Cambria Math" w:cs="Cambria Math"/>
                <w:color w:val="auto"/>
                <w:sz w:val="24"/>
                <w:szCs w:val="24"/>
              </w:rPr>
              <w:t>‐</w:t>
            </w:r>
            <w:r w:rsidRPr="00BA5260">
              <w:rPr>
                <w:color w:val="auto"/>
                <w:sz w:val="24"/>
                <w:szCs w:val="24"/>
              </w:rPr>
              <w:t xml:space="preserve">hall, J (1995). </w:t>
            </w:r>
            <w:r w:rsidRPr="00085155">
              <w:rPr>
                <w:i/>
                <w:iCs/>
                <w:color w:val="auto"/>
                <w:sz w:val="24"/>
                <w:szCs w:val="24"/>
              </w:rPr>
              <w:t>Creating a secure family base: Some implications of attachment theory for family therapy</w:t>
            </w:r>
            <w:r w:rsidRPr="00BA5260">
              <w:rPr>
                <w:color w:val="auto"/>
                <w:sz w:val="24"/>
                <w:szCs w:val="24"/>
              </w:rPr>
              <w:t>. Family process, 34(1), 45-58.</w:t>
            </w:r>
          </w:p>
          <w:p w14:paraId="4FD7F43D" w14:textId="68B5132C" w:rsidR="00BD0D61" w:rsidRDefault="00BD0D61" w:rsidP="00526888">
            <w:pPr>
              <w:rPr>
                <w:color w:val="auto"/>
                <w:sz w:val="24"/>
                <w:szCs w:val="24"/>
              </w:rPr>
            </w:pPr>
            <w:r>
              <w:rPr>
                <w:color w:val="auto"/>
                <w:sz w:val="24"/>
                <w:szCs w:val="24"/>
              </w:rPr>
              <w:t>Childrens Act 1989</w:t>
            </w:r>
          </w:p>
          <w:p w14:paraId="1E7488CA" w14:textId="09A64E47" w:rsidR="00E5509F" w:rsidRDefault="00E5509F" w:rsidP="00526888">
            <w:pPr>
              <w:rPr>
                <w:color w:val="auto"/>
                <w:sz w:val="24"/>
                <w:szCs w:val="24"/>
              </w:rPr>
            </w:pPr>
            <w:r w:rsidRPr="00E5509F">
              <w:rPr>
                <w:color w:val="auto"/>
                <w:sz w:val="24"/>
                <w:szCs w:val="24"/>
              </w:rPr>
              <w:t>Children and Young Persons Act 2008</w:t>
            </w:r>
          </w:p>
          <w:p w14:paraId="6678333B" w14:textId="1AB6E953" w:rsidR="000C49D6" w:rsidRDefault="00193A8A" w:rsidP="00193A8A">
            <w:pPr>
              <w:rPr>
                <w:color w:val="auto"/>
                <w:sz w:val="24"/>
                <w:szCs w:val="24"/>
              </w:rPr>
            </w:pPr>
            <w:r w:rsidRPr="00193A8A">
              <w:rPr>
                <w:color w:val="auto"/>
                <w:sz w:val="24"/>
                <w:szCs w:val="24"/>
              </w:rPr>
              <w:t>Cleaver, H and Freeman, P (1995</w:t>
            </w:r>
            <w:r w:rsidRPr="007D1BA3">
              <w:rPr>
                <w:i/>
                <w:iCs/>
                <w:color w:val="auto"/>
                <w:sz w:val="24"/>
                <w:szCs w:val="24"/>
              </w:rPr>
              <w:t>) Parental Perspectives in Cases of Suspected Child Abuse</w:t>
            </w:r>
            <w:r w:rsidRPr="00193A8A">
              <w:rPr>
                <w:color w:val="auto"/>
                <w:sz w:val="24"/>
                <w:szCs w:val="24"/>
              </w:rPr>
              <w:t>. London, HMSO.</w:t>
            </w:r>
          </w:p>
          <w:p w14:paraId="73584EAC" w14:textId="22DAA0D2" w:rsidR="00A754F4" w:rsidRDefault="00A754F4" w:rsidP="00193A8A">
            <w:pPr>
              <w:rPr>
                <w:color w:val="auto"/>
                <w:sz w:val="24"/>
                <w:szCs w:val="24"/>
              </w:rPr>
            </w:pPr>
            <w:r w:rsidRPr="00A754F4">
              <w:rPr>
                <w:color w:val="auto"/>
                <w:sz w:val="24"/>
                <w:szCs w:val="24"/>
              </w:rPr>
              <w:t>Denby, R. (2015</w:t>
            </w:r>
            <w:r w:rsidRPr="00085155">
              <w:rPr>
                <w:i/>
                <w:iCs/>
                <w:color w:val="auto"/>
                <w:sz w:val="24"/>
                <w:szCs w:val="24"/>
              </w:rPr>
              <w:t>). Kinship Care: Increasing Child Well-Being Through Practice, Policy, and Research.</w:t>
            </w:r>
            <w:r w:rsidRPr="00A754F4">
              <w:rPr>
                <w:color w:val="auto"/>
                <w:sz w:val="24"/>
                <w:szCs w:val="24"/>
              </w:rPr>
              <w:t> United States: Springer Publishing Company.</w:t>
            </w:r>
          </w:p>
          <w:p w14:paraId="6FB3EF17" w14:textId="160B46B1" w:rsidR="00FC6E6D" w:rsidRPr="00193A8A" w:rsidRDefault="00FC6E6D" w:rsidP="00193A8A">
            <w:pPr>
              <w:rPr>
                <w:color w:val="auto"/>
                <w:sz w:val="24"/>
                <w:szCs w:val="24"/>
              </w:rPr>
            </w:pPr>
            <w:r w:rsidRPr="00FC6E6D">
              <w:rPr>
                <w:color w:val="auto"/>
                <w:sz w:val="24"/>
                <w:szCs w:val="24"/>
              </w:rPr>
              <w:t xml:space="preserve">Ell, K. (1996). </w:t>
            </w:r>
            <w:r w:rsidR="00085155">
              <w:rPr>
                <w:color w:val="auto"/>
                <w:sz w:val="24"/>
                <w:szCs w:val="24"/>
              </w:rPr>
              <w:t>“</w:t>
            </w:r>
            <w:r w:rsidRPr="00FC6E6D">
              <w:rPr>
                <w:color w:val="auto"/>
                <w:sz w:val="24"/>
                <w:szCs w:val="24"/>
              </w:rPr>
              <w:t>Crisis theory and social work practice</w:t>
            </w:r>
            <w:r w:rsidR="00085155">
              <w:rPr>
                <w:color w:val="auto"/>
                <w:sz w:val="24"/>
                <w:szCs w:val="24"/>
              </w:rPr>
              <w:t>”</w:t>
            </w:r>
            <w:r w:rsidRPr="00FC6E6D">
              <w:rPr>
                <w:color w:val="auto"/>
                <w:sz w:val="24"/>
                <w:szCs w:val="24"/>
              </w:rPr>
              <w:t xml:space="preserve">. In F. J. Turner (Ed.), </w:t>
            </w:r>
            <w:r w:rsidRPr="00085155">
              <w:rPr>
                <w:i/>
                <w:iCs/>
                <w:color w:val="auto"/>
                <w:sz w:val="24"/>
                <w:szCs w:val="24"/>
              </w:rPr>
              <w:t>Social work treatment: Interlocking theoretical approache</w:t>
            </w:r>
            <w:r w:rsidRPr="00FC6E6D">
              <w:rPr>
                <w:color w:val="auto"/>
                <w:sz w:val="24"/>
                <w:szCs w:val="24"/>
              </w:rPr>
              <w:t>s (pp. 168–190). Free Press.</w:t>
            </w:r>
          </w:p>
          <w:p w14:paraId="6EA7F920" w14:textId="49130EC3" w:rsidR="000C49D6" w:rsidRPr="000C49D6" w:rsidRDefault="000C49D6" w:rsidP="000C49D6">
            <w:pPr>
              <w:rPr>
                <w:color w:val="auto"/>
                <w:sz w:val="24"/>
                <w:szCs w:val="24"/>
              </w:rPr>
            </w:pPr>
            <w:r w:rsidRPr="000C49D6">
              <w:rPr>
                <w:color w:val="auto"/>
                <w:sz w:val="24"/>
                <w:szCs w:val="24"/>
              </w:rPr>
              <w:t>Golding, K. S. (2008). </w:t>
            </w:r>
            <w:r w:rsidRPr="000C49D6">
              <w:rPr>
                <w:i/>
                <w:iCs/>
                <w:color w:val="auto"/>
                <w:sz w:val="24"/>
                <w:szCs w:val="24"/>
              </w:rPr>
              <w:t>Nurturing Attachments: Supporting Children who are Fostered Or Adopted</w:t>
            </w:r>
            <w:r w:rsidRPr="000C49D6">
              <w:rPr>
                <w:color w:val="auto"/>
                <w:sz w:val="24"/>
                <w:szCs w:val="24"/>
              </w:rPr>
              <w:t>. United Kingdom: Jessica Kingsley Publishers.</w:t>
            </w:r>
          </w:p>
          <w:p w14:paraId="1225D23D" w14:textId="4C3E5AD6" w:rsidR="00D3203C" w:rsidRDefault="000C49D6" w:rsidP="000C49D6">
            <w:pPr>
              <w:rPr>
                <w:i/>
                <w:sz w:val="24"/>
                <w:szCs w:val="24"/>
              </w:rPr>
            </w:pPr>
            <w:r w:rsidRPr="000C49D6">
              <w:rPr>
                <w:iCs/>
                <w:sz w:val="24"/>
                <w:szCs w:val="24"/>
              </w:rPr>
              <w:t>Golding, K., Selwyn, J., Gurney,Smith, B., Hughes, D., Baylin, J., Edwards, A. (2016</w:t>
            </w:r>
            <w:r w:rsidRPr="000C49D6">
              <w:rPr>
                <w:i/>
                <w:sz w:val="24"/>
                <w:szCs w:val="24"/>
              </w:rPr>
              <w:t>). Assessing Adoptive Parents, Foster Carers and Kinship Carers, Second Edition: Improving Analysis and Understanding of Parenting Capacity</w:t>
            </w:r>
            <w:r w:rsidRPr="000C49D6">
              <w:rPr>
                <w:iCs/>
                <w:sz w:val="24"/>
                <w:szCs w:val="24"/>
              </w:rPr>
              <w:t>. United Kingdom: Jessica Kingsley Publishers</w:t>
            </w:r>
            <w:r w:rsidRPr="000C49D6">
              <w:rPr>
                <w:i/>
                <w:sz w:val="24"/>
                <w:szCs w:val="24"/>
              </w:rPr>
              <w:t>.</w:t>
            </w:r>
          </w:p>
          <w:p w14:paraId="7FBC6A7A" w14:textId="50DACF93" w:rsidR="00A762D7" w:rsidRPr="00A762D7" w:rsidRDefault="00A762D7" w:rsidP="00A762D7">
            <w:pPr>
              <w:rPr>
                <w:iCs/>
                <w:sz w:val="24"/>
                <w:szCs w:val="24"/>
              </w:rPr>
            </w:pPr>
            <w:r w:rsidRPr="00A762D7">
              <w:rPr>
                <w:iCs/>
                <w:sz w:val="24"/>
                <w:szCs w:val="24"/>
              </w:rPr>
              <w:t xml:space="preserve">Hegar R L, &amp; Rosenthal J A (2011) </w:t>
            </w:r>
            <w:r w:rsidRPr="00085155">
              <w:rPr>
                <w:i/>
                <w:sz w:val="24"/>
                <w:szCs w:val="24"/>
              </w:rPr>
              <w:t>Foster children placed with or separated from siblings: Outcomes based on a national sample</w:t>
            </w:r>
            <w:r w:rsidRPr="00A762D7">
              <w:rPr>
                <w:iCs/>
                <w:sz w:val="24"/>
                <w:szCs w:val="24"/>
              </w:rPr>
              <w:t>. Children and Youth</w:t>
            </w:r>
            <w:r>
              <w:rPr>
                <w:iCs/>
                <w:sz w:val="24"/>
                <w:szCs w:val="24"/>
              </w:rPr>
              <w:t xml:space="preserve"> </w:t>
            </w:r>
            <w:r w:rsidRPr="00A762D7">
              <w:rPr>
                <w:iCs/>
                <w:sz w:val="24"/>
                <w:szCs w:val="24"/>
              </w:rPr>
              <w:t>Services Review, 33(7), 1245–1253.</w:t>
            </w:r>
            <w:r>
              <w:rPr>
                <w:iCs/>
                <w:sz w:val="24"/>
                <w:szCs w:val="24"/>
              </w:rPr>
              <w:t xml:space="preserve"> </w:t>
            </w:r>
            <w:hyperlink r:id="rId11" w:history="1">
              <w:r w:rsidRPr="00173060">
                <w:rPr>
                  <w:rStyle w:val="Hyperlink"/>
                  <w:iCs/>
                  <w:sz w:val="24"/>
                  <w:szCs w:val="24"/>
                </w:rPr>
                <w:t>https://doi.org/10.1016/j.childyouth.2011.02.020</w:t>
              </w:r>
            </w:hyperlink>
            <w:r>
              <w:rPr>
                <w:iCs/>
                <w:sz w:val="24"/>
                <w:szCs w:val="24"/>
              </w:rPr>
              <w:t xml:space="preserve"> </w:t>
            </w:r>
          </w:p>
          <w:p w14:paraId="49E68852" w14:textId="7D97F94B" w:rsidR="00BE5DE2" w:rsidRDefault="00BE5DE2" w:rsidP="000C49D6">
            <w:pPr>
              <w:rPr>
                <w:iCs/>
                <w:sz w:val="24"/>
                <w:szCs w:val="24"/>
              </w:rPr>
            </w:pPr>
            <w:r w:rsidRPr="00BE5DE2">
              <w:rPr>
                <w:iCs/>
                <w:sz w:val="24"/>
                <w:szCs w:val="24"/>
              </w:rPr>
              <w:t>Keeling, J., Goosey, D. (2020</w:t>
            </w:r>
            <w:r w:rsidRPr="00085155">
              <w:rPr>
                <w:i/>
                <w:sz w:val="24"/>
                <w:szCs w:val="24"/>
              </w:rPr>
              <w:t>). Safeguarding Across the Life Span.</w:t>
            </w:r>
            <w:r w:rsidRPr="00BE5DE2">
              <w:rPr>
                <w:iCs/>
                <w:sz w:val="24"/>
                <w:szCs w:val="24"/>
              </w:rPr>
              <w:t> United Kingdom: SAGE Publications.</w:t>
            </w:r>
          </w:p>
          <w:p w14:paraId="0B241ADC" w14:textId="6FB02256" w:rsidR="00DB50D8" w:rsidRPr="00BE5DE2" w:rsidRDefault="00DB50D8" w:rsidP="000C49D6">
            <w:pPr>
              <w:rPr>
                <w:iCs/>
                <w:sz w:val="24"/>
                <w:szCs w:val="24"/>
              </w:rPr>
            </w:pPr>
            <w:r w:rsidRPr="00DB50D8">
              <w:rPr>
                <w:iCs/>
                <w:sz w:val="24"/>
                <w:szCs w:val="24"/>
              </w:rPr>
              <w:t>The Local Authority Fostering Services (Wales) Regulations 2018</w:t>
            </w:r>
          </w:p>
          <w:p w14:paraId="06AD045E" w14:textId="61CE449B" w:rsidR="009C3AF0" w:rsidRDefault="009C3AF0" w:rsidP="000C49D6">
            <w:pPr>
              <w:rPr>
                <w:iCs/>
                <w:sz w:val="24"/>
                <w:szCs w:val="24"/>
              </w:rPr>
            </w:pPr>
            <w:r w:rsidRPr="009C3AF0">
              <w:rPr>
                <w:iCs/>
                <w:sz w:val="24"/>
                <w:szCs w:val="24"/>
              </w:rPr>
              <w:t>Milner, J., </w:t>
            </w:r>
            <w:r>
              <w:rPr>
                <w:iCs/>
                <w:sz w:val="24"/>
                <w:szCs w:val="24"/>
              </w:rPr>
              <w:t>and</w:t>
            </w:r>
            <w:r w:rsidRPr="009C3AF0">
              <w:rPr>
                <w:iCs/>
                <w:sz w:val="24"/>
                <w:szCs w:val="24"/>
              </w:rPr>
              <w:t xml:space="preserve"> O'Byrne, P. (2020). </w:t>
            </w:r>
            <w:r w:rsidRPr="009C3AF0">
              <w:rPr>
                <w:i/>
                <w:sz w:val="24"/>
                <w:szCs w:val="24"/>
              </w:rPr>
              <w:t>Assessment in Social Work.</w:t>
            </w:r>
            <w:r w:rsidRPr="009C3AF0">
              <w:rPr>
                <w:iCs/>
                <w:sz w:val="24"/>
                <w:szCs w:val="24"/>
              </w:rPr>
              <w:t> United Kingdom: Macmillan Education UK.</w:t>
            </w:r>
          </w:p>
          <w:p w14:paraId="5AA2E9EB" w14:textId="5858D34F" w:rsidR="000642A5" w:rsidRDefault="000642A5" w:rsidP="000C49D6">
            <w:pPr>
              <w:rPr>
                <w:iCs/>
                <w:sz w:val="24"/>
                <w:szCs w:val="24"/>
              </w:rPr>
            </w:pPr>
            <w:r w:rsidRPr="000642A5">
              <w:rPr>
                <w:iCs/>
                <w:sz w:val="24"/>
                <w:szCs w:val="24"/>
              </w:rPr>
              <w:t>More than Just Words, 2012</w:t>
            </w:r>
          </w:p>
          <w:p w14:paraId="1F189AF3" w14:textId="59ED7543" w:rsidR="00B64725" w:rsidRDefault="00B64725" w:rsidP="000C49D6">
            <w:pPr>
              <w:rPr>
                <w:iCs/>
                <w:sz w:val="24"/>
                <w:szCs w:val="24"/>
              </w:rPr>
            </w:pPr>
            <w:r w:rsidRPr="00B64725">
              <w:rPr>
                <w:iCs/>
                <w:sz w:val="24"/>
                <w:szCs w:val="24"/>
              </w:rPr>
              <w:t>Nicolas, J. (2015). </w:t>
            </w:r>
            <w:r w:rsidRPr="00FF1777">
              <w:rPr>
                <w:i/>
                <w:sz w:val="24"/>
                <w:szCs w:val="24"/>
              </w:rPr>
              <w:t>Practical Guide to Child Protection: The Challenges, Pitfalls and Practical Solutions</w:t>
            </w:r>
            <w:r w:rsidRPr="00B64725">
              <w:rPr>
                <w:iCs/>
                <w:sz w:val="24"/>
                <w:szCs w:val="24"/>
              </w:rPr>
              <w:t>. United Kingdom: Jessica Kingsley Publishers.</w:t>
            </w:r>
          </w:p>
          <w:p w14:paraId="24C65B37" w14:textId="741B54F4" w:rsidR="00DB50D8" w:rsidRDefault="00DB50D8" w:rsidP="000C49D6">
            <w:pPr>
              <w:rPr>
                <w:iCs/>
                <w:sz w:val="24"/>
                <w:szCs w:val="24"/>
              </w:rPr>
            </w:pPr>
            <w:r w:rsidRPr="00DB50D8">
              <w:rPr>
                <w:iCs/>
                <w:sz w:val="24"/>
                <w:szCs w:val="24"/>
              </w:rPr>
              <w:t>NSPCC</w:t>
            </w:r>
          </w:p>
          <w:p w14:paraId="621521BF" w14:textId="5CC94776" w:rsidR="00DB50D8" w:rsidRDefault="00DB50D8" w:rsidP="000C49D6">
            <w:pPr>
              <w:rPr>
                <w:iCs/>
                <w:sz w:val="24"/>
                <w:szCs w:val="24"/>
              </w:rPr>
            </w:pPr>
            <w:r>
              <w:rPr>
                <w:iCs/>
                <w:sz w:val="24"/>
                <w:szCs w:val="24"/>
              </w:rPr>
              <w:t xml:space="preserve">Owen, H and Hughes, L (2009) </w:t>
            </w:r>
            <w:r w:rsidRPr="00DB50D8">
              <w:rPr>
                <w:iCs/>
                <w:sz w:val="24"/>
                <w:szCs w:val="24"/>
              </w:rPr>
              <w:t>G</w:t>
            </w:r>
            <w:r w:rsidRPr="00085155">
              <w:rPr>
                <w:i/>
                <w:sz w:val="24"/>
                <w:szCs w:val="24"/>
              </w:rPr>
              <w:t>ood Practice in Safeguarding Children: Working Effectively in Child Protection</w:t>
            </w:r>
            <w:r>
              <w:rPr>
                <w:iCs/>
                <w:sz w:val="24"/>
                <w:szCs w:val="24"/>
              </w:rPr>
              <w:t>. Jessica Kingsley Publishers.</w:t>
            </w:r>
          </w:p>
          <w:p w14:paraId="18574D2B" w14:textId="11160DB2" w:rsidR="00114423" w:rsidRDefault="00114423" w:rsidP="000C49D6">
            <w:pPr>
              <w:rPr>
                <w:iCs/>
                <w:sz w:val="24"/>
                <w:szCs w:val="24"/>
              </w:rPr>
            </w:pPr>
            <w:r w:rsidRPr="00114423">
              <w:rPr>
                <w:iCs/>
                <w:sz w:val="24"/>
                <w:szCs w:val="24"/>
              </w:rPr>
              <w:t xml:space="preserve">Pitcher, D (2013) </w:t>
            </w:r>
            <w:r w:rsidRPr="00085155">
              <w:rPr>
                <w:i/>
                <w:sz w:val="24"/>
                <w:szCs w:val="24"/>
              </w:rPr>
              <w:t xml:space="preserve">Inside Kinship Care: Understanding Family Dynamics and Providing Effective Support. </w:t>
            </w:r>
            <w:r w:rsidRPr="00114423">
              <w:rPr>
                <w:iCs/>
                <w:sz w:val="24"/>
                <w:szCs w:val="24"/>
              </w:rPr>
              <w:t xml:space="preserve"> United Kingdom: Jessica Kingsley Publishers.</w:t>
            </w:r>
          </w:p>
          <w:p w14:paraId="0C1E4BDA" w14:textId="6A8649EA" w:rsidR="002E5005" w:rsidRDefault="002E5005" w:rsidP="000C49D6">
            <w:pPr>
              <w:rPr>
                <w:iCs/>
                <w:sz w:val="24"/>
                <w:szCs w:val="24"/>
              </w:rPr>
            </w:pPr>
            <w:r w:rsidRPr="002E5005">
              <w:rPr>
                <w:iCs/>
                <w:sz w:val="24"/>
                <w:szCs w:val="24"/>
              </w:rPr>
              <w:t>Ryan, C. E., Epstein, N. B., Keitner, G. I., Miller, I. W., Bishop, D. S. (2012). </w:t>
            </w:r>
            <w:r w:rsidRPr="00085155">
              <w:rPr>
                <w:i/>
                <w:sz w:val="24"/>
                <w:szCs w:val="24"/>
              </w:rPr>
              <w:t>Evaluating and Treating Families: The McMaster Approach</w:t>
            </w:r>
            <w:r w:rsidRPr="002E5005">
              <w:rPr>
                <w:iCs/>
                <w:sz w:val="24"/>
                <w:szCs w:val="24"/>
              </w:rPr>
              <w:t>. (n.p.): Taylor &amp; Francis.</w:t>
            </w:r>
          </w:p>
          <w:p w14:paraId="64B395B1" w14:textId="49A468C2" w:rsidR="006057B3" w:rsidRDefault="006057B3" w:rsidP="000C49D6">
            <w:pPr>
              <w:rPr>
                <w:iCs/>
                <w:sz w:val="24"/>
                <w:szCs w:val="24"/>
              </w:rPr>
            </w:pPr>
            <w:r w:rsidRPr="006057B3">
              <w:rPr>
                <w:iCs/>
                <w:sz w:val="24"/>
                <w:szCs w:val="24"/>
              </w:rPr>
              <w:t>The Local Authority Fostering Services (Wales) Regulations 2018</w:t>
            </w:r>
          </w:p>
          <w:p w14:paraId="2E075C95" w14:textId="777A3A22" w:rsidR="00CE732F" w:rsidRDefault="00CE732F" w:rsidP="000C49D6">
            <w:pPr>
              <w:rPr>
                <w:iCs/>
                <w:sz w:val="24"/>
                <w:szCs w:val="24"/>
              </w:rPr>
            </w:pPr>
            <w:r w:rsidRPr="00CE732F">
              <w:rPr>
                <w:iCs/>
                <w:sz w:val="24"/>
                <w:szCs w:val="24"/>
              </w:rPr>
              <w:t>Thompson, K. (2016). </w:t>
            </w:r>
            <w:r w:rsidRPr="00CE732F">
              <w:rPr>
                <w:i/>
                <w:sz w:val="24"/>
                <w:szCs w:val="24"/>
              </w:rPr>
              <w:t>Strengthening Child Protection: Sharing Information in Multi-Agency Settings</w:t>
            </w:r>
            <w:r w:rsidRPr="00CE732F">
              <w:rPr>
                <w:iCs/>
                <w:sz w:val="24"/>
                <w:szCs w:val="24"/>
              </w:rPr>
              <w:t>. Germany: Policy Press.</w:t>
            </w:r>
          </w:p>
          <w:p w14:paraId="38C7D1F6" w14:textId="3ABCA822" w:rsidR="006A4881" w:rsidRDefault="006A4881" w:rsidP="000C49D6">
            <w:pPr>
              <w:rPr>
                <w:iCs/>
                <w:sz w:val="24"/>
                <w:szCs w:val="24"/>
              </w:rPr>
            </w:pPr>
            <w:r w:rsidRPr="006A4881">
              <w:rPr>
                <w:iCs/>
                <w:sz w:val="24"/>
                <w:szCs w:val="24"/>
              </w:rPr>
              <w:t>Thompson, N (2001</w:t>
            </w:r>
            <w:r w:rsidRPr="00CE732F">
              <w:rPr>
                <w:i/>
                <w:sz w:val="24"/>
                <w:szCs w:val="24"/>
              </w:rPr>
              <w:t>) Anti-discriminatory Practice, Third Edition</w:t>
            </w:r>
            <w:r w:rsidRPr="006A4881">
              <w:rPr>
                <w:iCs/>
                <w:sz w:val="24"/>
                <w:szCs w:val="24"/>
              </w:rPr>
              <w:t>. Hampshire, Palgrave.</w:t>
            </w:r>
          </w:p>
          <w:p w14:paraId="51E75AEA" w14:textId="3556C85D" w:rsidR="009A5C32" w:rsidRDefault="009A5C32" w:rsidP="000C49D6">
            <w:pPr>
              <w:rPr>
                <w:iCs/>
                <w:sz w:val="24"/>
                <w:szCs w:val="24"/>
              </w:rPr>
            </w:pPr>
            <w:r w:rsidRPr="009A5C32">
              <w:rPr>
                <w:iCs/>
                <w:sz w:val="24"/>
                <w:szCs w:val="24"/>
              </w:rPr>
              <w:t>Social Services and Well-being (Wales) Act 2014</w:t>
            </w:r>
          </w:p>
          <w:p w14:paraId="083B9F28" w14:textId="085A3FE4" w:rsidR="00511DF4" w:rsidRDefault="00511DF4" w:rsidP="000C49D6">
            <w:pPr>
              <w:rPr>
                <w:iCs/>
                <w:sz w:val="24"/>
                <w:szCs w:val="24"/>
              </w:rPr>
            </w:pPr>
            <w:r w:rsidRPr="00511DF4">
              <w:rPr>
                <w:iCs/>
                <w:sz w:val="24"/>
                <w:szCs w:val="24"/>
              </w:rPr>
              <w:t xml:space="preserve">United Nations </w:t>
            </w:r>
            <w:r w:rsidR="00E515E4">
              <w:rPr>
                <w:iCs/>
                <w:sz w:val="24"/>
                <w:szCs w:val="24"/>
              </w:rPr>
              <w:t xml:space="preserve">Conventions </w:t>
            </w:r>
            <w:r w:rsidRPr="00511DF4">
              <w:rPr>
                <w:iCs/>
                <w:sz w:val="24"/>
                <w:szCs w:val="24"/>
              </w:rPr>
              <w:t>on the Rights of the Child (1989)</w:t>
            </w:r>
          </w:p>
          <w:p w14:paraId="47F21B6A" w14:textId="49A3AE85" w:rsidR="007A628F" w:rsidRPr="00085155" w:rsidRDefault="006A4881" w:rsidP="00085155">
            <w:pPr>
              <w:rPr>
                <w:iCs/>
                <w:sz w:val="24"/>
                <w:szCs w:val="24"/>
              </w:rPr>
            </w:pPr>
            <w:r w:rsidRPr="006A4881">
              <w:rPr>
                <w:iCs/>
                <w:sz w:val="24"/>
                <w:szCs w:val="24"/>
              </w:rPr>
              <w:t>Welsh Language Measures (2011)</w:t>
            </w: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1F862B" w14:textId="77777777" w:rsidR="00844B10" w:rsidRDefault="00844B10">
      <w:r>
        <w:separator/>
      </w:r>
    </w:p>
  </w:endnote>
  <w:endnote w:type="continuationSeparator" w:id="0">
    <w:p w14:paraId="539A36E3" w14:textId="77777777" w:rsidR="00844B10" w:rsidRDefault="00844B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B051E3" w14:textId="77777777" w:rsidR="00844B10" w:rsidRDefault="00844B10">
      <w:r>
        <w:separator/>
      </w:r>
    </w:p>
  </w:footnote>
  <w:footnote w:type="continuationSeparator" w:id="0">
    <w:p w14:paraId="1C4F9580" w14:textId="77777777" w:rsidR="00844B10" w:rsidRDefault="00844B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7F1D75"/>
    <w:multiLevelType w:val="hybridMultilevel"/>
    <w:tmpl w:val="CE1C97A4"/>
    <w:lvl w:ilvl="0" w:tplc="F5008ED4">
      <w:start w:val="3"/>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C0D1E0E"/>
    <w:multiLevelType w:val="multilevel"/>
    <w:tmpl w:val="90826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7"/>
  </w:num>
  <w:num w:numId="4" w16cid:durableId="1850633156">
    <w:abstractNumId w:val="49"/>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8"/>
  </w:num>
  <w:num w:numId="15" w16cid:durableId="1016493186">
    <w:abstractNumId w:val="27"/>
  </w:num>
  <w:num w:numId="16" w16cid:durableId="1273785188">
    <w:abstractNumId w:val="16"/>
  </w:num>
  <w:num w:numId="17" w16cid:durableId="431317323">
    <w:abstractNumId w:val="14"/>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1"/>
  </w:num>
  <w:num w:numId="23" w16cid:durableId="456266206">
    <w:abstractNumId w:val="29"/>
  </w:num>
  <w:num w:numId="24" w16cid:durableId="317615789">
    <w:abstractNumId w:val="20"/>
  </w:num>
  <w:num w:numId="25" w16cid:durableId="856430468">
    <w:abstractNumId w:val="43"/>
  </w:num>
  <w:num w:numId="26" w16cid:durableId="1104690971">
    <w:abstractNumId w:val="36"/>
  </w:num>
  <w:num w:numId="27" w16cid:durableId="1201670287">
    <w:abstractNumId w:val="42"/>
  </w:num>
  <w:num w:numId="28" w16cid:durableId="598562144">
    <w:abstractNumId w:val="21"/>
  </w:num>
  <w:num w:numId="29" w16cid:durableId="871068292">
    <w:abstractNumId w:val="45"/>
  </w:num>
  <w:num w:numId="30" w16cid:durableId="482159744">
    <w:abstractNumId w:val="32"/>
  </w:num>
  <w:num w:numId="31" w16cid:durableId="1565527110">
    <w:abstractNumId w:val="13"/>
  </w:num>
  <w:num w:numId="32" w16cid:durableId="1175995731">
    <w:abstractNumId w:val="46"/>
  </w:num>
  <w:num w:numId="33" w16cid:durableId="694232600">
    <w:abstractNumId w:val="41"/>
  </w:num>
  <w:num w:numId="34" w16cid:durableId="1062095063">
    <w:abstractNumId w:val="5"/>
  </w:num>
  <w:num w:numId="35" w16cid:durableId="2051881075">
    <w:abstractNumId w:val="48"/>
  </w:num>
  <w:num w:numId="36" w16cid:durableId="2107188112">
    <w:abstractNumId w:val="44"/>
  </w:num>
  <w:num w:numId="37" w16cid:durableId="1313413796">
    <w:abstractNumId w:val="38"/>
  </w:num>
  <w:num w:numId="38" w16cid:durableId="1682197957">
    <w:abstractNumId w:val="39"/>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40"/>
  </w:num>
  <w:num w:numId="45" w16cid:durableId="891695978">
    <w:abstractNumId w:val="0"/>
  </w:num>
  <w:num w:numId="46" w16cid:durableId="827289017">
    <w:abstractNumId w:val="15"/>
  </w:num>
  <w:num w:numId="47" w16cid:durableId="167212813">
    <w:abstractNumId w:val="50"/>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1047028631">
    <w:abstractNumId w:val="37"/>
  </w:num>
  <w:num w:numId="55" w16cid:durableId="1784574718">
    <w:abstractNumId w:val="1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62E"/>
    <w:rsid w:val="00002C7A"/>
    <w:rsid w:val="000045B8"/>
    <w:rsid w:val="000070FB"/>
    <w:rsid w:val="00012B16"/>
    <w:rsid w:val="0002049E"/>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42A5"/>
    <w:rsid w:val="0006581A"/>
    <w:rsid w:val="00074461"/>
    <w:rsid w:val="000766EC"/>
    <w:rsid w:val="00080E58"/>
    <w:rsid w:val="00083D99"/>
    <w:rsid w:val="00084DA6"/>
    <w:rsid w:val="00085155"/>
    <w:rsid w:val="00085699"/>
    <w:rsid w:val="00090160"/>
    <w:rsid w:val="00091F52"/>
    <w:rsid w:val="000921B9"/>
    <w:rsid w:val="00092970"/>
    <w:rsid w:val="00093720"/>
    <w:rsid w:val="000938E6"/>
    <w:rsid w:val="00093B3C"/>
    <w:rsid w:val="0009488C"/>
    <w:rsid w:val="00095C1B"/>
    <w:rsid w:val="00096DEA"/>
    <w:rsid w:val="000A4240"/>
    <w:rsid w:val="000A469A"/>
    <w:rsid w:val="000A4EBF"/>
    <w:rsid w:val="000A584A"/>
    <w:rsid w:val="000A6458"/>
    <w:rsid w:val="000C378F"/>
    <w:rsid w:val="000C49D6"/>
    <w:rsid w:val="000C6892"/>
    <w:rsid w:val="000C6FFE"/>
    <w:rsid w:val="000D0BB6"/>
    <w:rsid w:val="000D2ED2"/>
    <w:rsid w:val="000D54A6"/>
    <w:rsid w:val="000D63BB"/>
    <w:rsid w:val="000D6653"/>
    <w:rsid w:val="000E0D51"/>
    <w:rsid w:val="000E26B0"/>
    <w:rsid w:val="000E37C2"/>
    <w:rsid w:val="000E38C3"/>
    <w:rsid w:val="000E78B0"/>
    <w:rsid w:val="000F1599"/>
    <w:rsid w:val="000F1769"/>
    <w:rsid w:val="000F1A97"/>
    <w:rsid w:val="000F42AE"/>
    <w:rsid w:val="000F6196"/>
    <w:rsid w:val="000F6BC3"/>
    <w:rsid w:val="0010312C"/>
    <w:rsid w:val="00105026"/>
    <w:rsid w:val="0010662B"/>
    <w:rsid w:val="00106DC7"/>
    <w:rsid w:val="00112391"/>
    <w:rsid w:val="00114423"/>
    <w:rsid w:val="00114F52"/>
    <w:rsid w:val="00130119"/>
    <w:rsid w:val="00132812"/>
    <w:rsid w:val="001347F8"/>
    <w:rsid w:val="001359EE"/>
    <w:rsid w:val="00137BB5"/>
    <w:rsid w:val="00137E05"/>
    <w:rsid w:val="001447F6"/>
    <w:rsid w:val="00147DE3"/>
    <w:rsid w:val="00150794"/>
    <w:rsid w:val="00151DA6"/>
    <w:rsid w:val="00156A54"/>
    <w:rsid w:val="001608C4"/>
    <w:rsid w:val="00164832"/>
    <w:rsid w:val="00171418"/>
    <w:rsid w:val="001772BF"/>
    <w:rsid w:val="001772DE"/>
    <w:rsid w:val="00193A8A"/>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6BD4"/>
    <w:rsid w:val="0021792F"/>
    <w:rsid w:val="00220D06"/>
    <w:rsid w:val="002246A0"/>
    <w:rsid w:val="00230439"/>
    <w:rsid w:val="00232A09"/>
    <w:rsid w:val="00233AD4"/>
    <w:rsid w:val="00235176"/>
    <w:rsid w:val="00236061"/>
    <w:rsid w:val="0024100E"/>
    <w:rsid w:val="00241C1B"/>
    <w:rsid w:val="0024288B"/>
    <w:rsid w:val="00243DB0"/>
    <w:rsid w:val="00244030"/>
    <w:rsid w:val="00247265"/>
    <w:rsid w:val="002515BC"/>
    <w:rsid w:val="00252B7A"/>
    <w:rsid w:val="00260213"/>
    <w:rsid w:val="00260663"/>
    <w:rsid w:val="002657E9"/>
    <w:rsid w:val="0026665E"/>
    <w:rsid w:val="0027147E"/>
    <w:rsid w:val="002761F4"/>
    <w:rsid w:val="002775E1"/>
    <w:rsid w:val="00277979"/>
    <w:rsid w:val="00291ADD"/>
    <w:rsid w:val="00291D65"/>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7F9D"/>
    <w:rsid w:val="002D05EB"/>
    <w:rsid w:val="002D11A8"/>
    <w:rsid w:val="002D2F29"/>
    <w:rsid w:val="002D46C0"/>
    <w:rsid w:val="002D5A92"/>
    <w:rsid w:val="002D65D2"/>
    <w:rsid w:val="002D6B31"/>
    <w:rsid w:val="002E5005"/>
    <w:rsid w:val="002E6D17"/>
    <w:rsid w:val="002E7017"/>
    <w:rsid w:val="002E7F2C"/>
    <w:rsid w:val="002F1FC7"/>
    <w:rsid w:val="002F2185"/>
    <w:rsid w:val="002F4F6E"/>
    <w:rsid w:val="002F6BC4"/>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3424"/>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3EEF"/>
    <w:rsid w:val="003A46C0"/>
    <w:rsid w:val="003A50AE"/>
    <w:rsid w:val="003A600E"/>
    <w:rsid w:val="003A64F2"/>
    <w:rsid w:val="003A6513"/>
    <w:rsid w:val="003B0479"/>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3F773C"/>
    <w:rsid w:val="00400786"/>
    <w:rsid w:val="00401FDA"/>
    <w:rsid w:val="004046F0"/>
    <w:rsid w:val="0040668F"/>
    <w:rsid w:val="004076CF"/>
    <w:rsid w:val="00411EF7"/>
    <w:rsid w:val="00412677"/>
    <w:rsid w:val="00425160"/>
    <w:rsid w:val="00430DE3"/>
    <w:rsid w:val="004348AE"/>
    <w:rsid w:val="004376C0"/>
    <w:rsid w:val="0044223A"/>
    <w:rsid w:val="00450B67"/>
    <w:rsid w:val="00451851"/>
    <w:rsid w:val="0045189A"/>
    <w:rsid w:val="00453343"/>
    <w:rsid w:val="004538C3"/>
    <w:rsid w:val="004560D4"/>
    <w:rsid w:val="004566CC"/>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0E06"/>
    <w:rsid w:val="004A22B6"/>
    <w:rsid w:val="004A2A49"/>
    <w:rsid w:val="004A5A64"/>
    <w:rsid w:val="004B5553"/>
    <w:rsid w:val="004B600B"/>
    <w:rsid w:val="004B6822"/>
    <w:rsid w:val="004B69F6"/>
    <w:rsid w:val="004C2D3A"/>
    <w:rsid w:val="004C37C3"/>
    <w:rsid w:val="004D03C4"/>
    <w:rsid w:val="004D0BF1"/>
    <w:rsid w:val="004D0F4E"/>
    <w:rsid w:val="004D3278"/>
    <w:rsid w:val="004D35A4"/>
    <w:rsid w:val="004D445F"/>
    <w:rsid w:val="004D732D"/>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5268"/>
    <w:rsid w:val="005113D4"/>
    <w:rsid w:val="00511DF4"/>
    <w:rsid w:val="0051287D"/>
    <w:rsid w:val="00513C7D"/>
    <w:rsid w:val="00521123"/>
    <w:rsid w:val="00521221"/>
    <w:rsid w:val="0052250B"/>
    <w:rsid w:val="00526888"/>
    <w:rsid w:val="005305C6"/>
    <w:rsid w:val="00540243"/>
    <w:rsid w:val="00540EEC"/>
    <w:rsid w:val="005414F4"/>
    <w:rsid w:val="00546187"/>
    <w:rsid w:val="00547B11"/>
    <w:rsid w:val="00557D77"/>
    <w:rsid w:val="00561B9D"/>
    <w:rsid w:val="00562EAA"/>
    <w:rsid w:val="00563B58"/>
    <w:rsid w:val="005640C4"/>
    <w:rsid w:val="0056684C"/>
    <w:rsid w:val="00574A0C"/>
    <w:rsid w:val="0057780F"/>
    <w:rsid w:val="00581E0A"/>
    <w:rsid w:val="00586D89"/>
    <w:rsid w:val="005877C8"/>
    <w:rsid w:val="00587923"/>
    <w:rsid w:val="00591710"/>
    <w:rsid w:val="0059208F"/>
    <w:rsid w:val="00594F9F"/>
    <w:rsid w:val="005A1B4C"/>
    <w:rsid w:val="005A1FA3"/>
    <w:rsid w:val="005A545C"/>
    <w:rsid w:val="005B271A"/>
    <w:rsid w:val="005B3A2D"/>
    <w:rsid w:val="005C1567"/>
    <w:rsid w:val="005C28D3"/>
    <w:rsid w:val="005C6CE5"/>
    <w:rsid w:val="005D3F07"/>
    <w:rsid w:val="005D4A1E"/>
    <w:rsid w:val="005D4F72"/>
    <w:rsid w:val="005E13EA"/>
    <w:rsid w:val="005E17F1"/>
    <w:rsid w:val="005F3CFD"/>
    <w:rsid w:val="005F5E9D"/>
    <w:rsid w:val="005F64AA"/>
    <w:rsid w:val="005F7851"/>
    <w:rsid w:val="006057B3"/>
    <w:rsid w:val="00606E27"/>
    <w:rsid w:val="006108C9"/>
    <w:rsid w:val="00614DF7"/>
    <w:rsid w:val="00615A97"/>
    <w:rsid w:val="006179BB"/>
    <w:rsid w:val="0062158D"/>
    <w:rsid w:val="006223FD"/>
    <w:rsid w:val="006326D1"/>
    <w:rsid w:val="00632E0A"/>
    <w:rsid w:val="00633165"/>
    <w:rsid w:val="006447DE"/>
    <w:rsid w:val="00644889"/>
    <w:rsid w:val="0065276E"/>
    <w:rsid w:val="00654329"/>
    <w:rsid w:val="00654CEC"/>
    <w:rsid w:val="00655507"/>
    <w:rsid w:val="006579FD"/>
    <w:rsid w:val="00662FBF"/>
    <w:rsid w:val="006635E3"/>
    <w:rsid w:val="006669F3"/>
    <w:rsid w:val="0066779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4881"/>
    <w:rsid w:val="006B4496"/>
    <w:rsid w:val="006B5E67"/>
    <w:rsid w:val="006B6612"/>
    <w:rsid w:val="006C2EB5"/>
    <w:rsid w:val="006D18A3"/>
    <w:rsid w:val="006D5970"/>
    <w:rsid w:val="006E481E"/>
    <w:rsid w:val="006E795F"/>
    <w:rsid w:val="006F0862"/>
    <w:rsid w:val="006F1438"/>
    <w:rsid w:val="006F2A9E"/>
    <w:rsid w:val="006F5ED3"/>
    <w:rsid w:val="00700249"/>
    <w:rsid w:val="00701998"/>
    <w:rsid w:val="00702B14"/>
    <w:rsid w:val="007069CD"/>
    <w:rsid w:val="00706BB5"/>
    <w:rsid w:val="0071231A"/>
    <w:rsid w:val="00712E90"/>
    <w:rsid w:val="00713B7E"/>
    <w:rsid w:val="0072678F"/>
    <w:rsid w:val="00726EC1"/>
    <w:rsid w:val="007276E5"/>
    <w:rsid w:val="00727C4C"/>
    <w:rsid w:val="00734809"/>
    <w:rsid w:val="0073714E"/>
    <w:rsid w:val="007374EF"/>
    <w:rsid w:val="007406E1"/>
    <w:rsid w:val="00743E40"/>
    <w:rsid w:val="00745016"/>
    <w:rsid w:val="0075031F"/>
    <w:rsid w:val="00751263"/>
    <w:rsid w:val="00753849"/>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1BA3"/>
    <w:rsid w:val="007D3EB4"/>
    <w:rsid w:val="007D3F16"/>
    <w:rsid w:val="007D77F4"/>
    <w:rsid w:val="007F10BD"/>
    <w:rsid w:val="007F312E"/>
    <w:rsid w:val="007F3870"/>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75B"/>
    <w:rsid w:val="00836FEC"/>
    <w:rsid w:val="00841F9D"/>
    <w:rsid w:val="008420E1"/>
    <w:rsid w:val="00844B10"/>
    <w:rsid w:val="00844D98"/>
    <w:rsid w:val="00846D84"/>
    <w:rsid w:val="00850233"/>
    <w:rsid w:val="0085230E"/>
    <w:rsid w:val="008550A1"/>
    <w:rsid w:val="00861038"/>
    <w:rsid w:val="00865B58"/>
    <w:rsid w:val="00866B50"/>
    <w:rsid w:val="00867A63"/>
    <w:rsid w:val="008708F1"/>
    <w:rsid w:val="00871960"/>
    <w:rsid w:val="0087369F"/>
    <w:rsid w:val="00880354"/>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3C22"/>
    <w:rsid w:val="00916FB2"/>
    <w:rsid w:val="00920E5B"/>
    <w:rsid w:val="00926436"/>
    <w:rsid w:val="00926C53"/>
    <w:rsid w:val="0093018C"/>
    <w:rsid w:val="0094495F"/>
    <w:rsid w:val="009544C0"/>
    <w:rsid w:val="00954FA4"/>
    <w:rsid w:val="00955C21"/>
    <w:rsid w:val="0095648D"/>
    <w:rsid w:val="00956AE9"/>
    <w:rsid w:val="00964CC6"/>
    <w:rsid w:val="00967BFA"/>
    <w:rsid w:val="0098262C"/>
    <w:rsid w:val="0098427C"/>
    <w:rsid w:val="00986B43"/>
    <w:rsid w:val="00986C0B"/>
    <w:rsid w:val="00986D46"/>
    <w:rsid w:val="00991FDA"/>
    <w:rsid w:val="00992ACA"/>
    <w:rsid w:val="00993EEE"/>
    <w:rsid w:val="009A5C32"/>
    <w:rsid w:val="009A5F3B"/>
    <w:rsid w:val="009A5F79"/>
    <w:rsid w:val="009A6F87"/>
    <w:rsid w:val="009B0B61"/>
    <w:rsid w:val="009B28C0"/>
    <w:rsid w:val="009B3178"/>
    <w:rsid w:val="009B3E46"/>
    <w:rsid w:val="009B7136"/>
    <w:rsid w:val="009C337F"/>
    <w:rsid w:val="009C3AF0"/>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188F"/>
    <w:rsid w:val="00A732EA"/>
    <w:rsid w:val="00A7489E"/>
    <w:rsid w:val="00A754F4"/>
    <w:rsid w:val="00A762D7"/>
    <w:rsid w:val="00A8015F"/>
    <w:rsid w:val="00A85039"/>
    <w:rsid w:val="00A906AA"/>
    <w:rsid w:val="00A94C5E"/>
    <w:rsid w:val="00AA252C"/>
    <w:rsid w:val="00AA666E"/>
    <w:rsid w:val="00AA7281"/>
    <w:rsid w:val="00AA7960"/>
    <w:rsid w:val="00AB5518"/>
    <w:rsid w:val="00AC3A0E"/>
    <w:rsid w:val="00AC4A04"/>
    <w:rsid w:val="00AC5679"/>
    <w:rsid w:val="00AD0BC1"/>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4725"/>
    <w:rsid w:val="00B6548F"/>
    <w:rsid w:val="00B71A32"/>
    <w:rsid w:val="00B7502A"/>
    <w:rsid w:val="00B77305"/>
    <w:rsid w:val="00B774BD"/>
    <w:rsid w:val="00B82CC2"/>
    <w:rsid w:val="00B84A89"/>
    <w:rsid w:val="00B9256C"/>
    <w:rsid w:val="00B92BEF"/>
    <w:rsid w:val="00B93909"/>
    <w:rsid w:val="00B94443"/>
    <w:rsid w:val="00B9689A"/>
    <w:rsid w:val="00B97056"/>
    <w:rsid w:val="00BA5260"/>
    <w:rsid w:val="00BA531E"/>
    <w:rsid w:val="00BA728B"/>
    <w:rsid w:val="00BB06CB"/>
    <w:rsid w:val="00BB261F"/>
    <w:rsid w:val="00BB2887"/>
    <w:rsid w:val="00BB3B56"/>
    <w:rsid w:val="00BB5EAA"/>
    <w:rsid w:val="00BB5F11"/>
    <w:rsid w:val="00BB6638"/>
    <w:rsid w:val="00BB6768"/>
    <w:rsid w:val="00BB7FD2"/>
    <w:rsid w:val="00BC04FA"/>
    <w:rsid w:val="00BC1C22"/>
    <w:rsid w:val="00BC1CFD"/>
    <w:rsid w:val="00BC460B"/>
    <w:rsid w:val="00BC4ED3"/>
    <w:rsid w:val="00BC5725"/>
    <w:rsid w:val="00BD0D61"/>
    <w:rsid w:val="00BD30B1"/>
    <w:rsid w:val="00BE0F7B"/>
    <w:rsid w:val="00BE10C2"/>
    <w:rsid w:val="00BE5DE2"/>
    <w:rsid w:val="00BF0D6C"/>
    <w:rsid w:val="00C01D14"/>
    <w:rsid w:val="00C01D97"/>
    <w:rsid w:val="00C025B4"/>
    <w:rsid w:val="00C029EC"/>
    <w:rsid w:val="00C161FD"/>
    <w:rsid w:val="00C17C9F"/>
    <w:rsid w:val="00C23F17"/>
    <w:rsid w:val="00C246F2"/>
    <w:rsid w:val="00C26AC8"/>
    <w:rsid w:val="00C26D0D"/>
    <w:rsid w:val="00C27C95"/>
    <w:rsid w:val="00C300D2"/>
    <w:rsid w:val="00C324C8"/>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1021"/>
    <w:rsid w:val="00C835FE"/>
    <w:rsid w:val="00C836CC"/>
    <w:rsid w:val="00C84AD0"/>
    <w:rsid w:val="00C852D6"/>
    <w:rsid w:val="00C86596"/>
    <w:rsid w:val="00C87A74"/>
    <w:rsid w:val="00C92C71"/>
    <w:rsid w:val="00C93F8F"/>
    <w:rsid w:val="00CA0894"/>
    <w:rsid w:val="00CA3593"/>
    <w:rsid w:val="00CA5726"/>
    <w:rsid w:val="00CA58D4"/>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32F"/>
    <w:rsid w:val="00CE7DA2"/>
    <w:rsid w:val="00CF2A90"/>
    <w:rsid w:val="00CF2F8A"/>
    <w:rsid w:val="00CF3DB3"/>
    <w:rsid w:val="00D0274B"/>
    <w:rsid w:val="00D0503D"/>
    <w:rsid w:val="00D052BC"/>
    <w:rsid w:val="00D07026"/>
    <w:rsid w:val="00D146AE"/>
    <w:rsid w:val="00D20E69"/>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B439C"/>
    <w:rsid w:val="00DB50D8"/>
    <w:rsid w:val="00DC00D3"/>
    <w:rsid w:val="00DC1B10"/>
    <w:rsid w:val="00DC2924"/>
    <w:rsid w:val="00DC4729"/>
    <w:rsid w:val="00DD31C5"/>
    <w:rsid w:val="00DD5020"/>
    <w:rsid w:val="00DD63BE"/>
    <w:rsid w:val="00DE24D7"/>
    <w:rsid w:val="00DE4296"/>
    <w:rsid w:val="00DF2469"/>
    <w:rsid w:val="00DF40A6"/>
    <w:rsid w:val="00DF7899"/>
    <w:rsid w:val="00E0524C"/>
    <w:rsid w:val="00E07719"/>
    <w:rsid w:val="00E15751"/>
    <w:rsid w:val="00E17160"/>
    <w:rsid w:val="00E17D41"/>
    <w:rsid w:val="00E231D1"/>
    <w:rsid w:val="00E3288D"/>
    <w:rsid w:val="00E35112"/>
    <w:rsid w:val="00E35BEC"/>
    <w:rsid w:val="00E41A6A"/>
    <w:rsid w:val="00E50821"/>
    <w:rsid w:val="00E515E4"/>
    <w:rsid w:val="00E51F91"/>
    <w:rsid w:val="00E5498A"/>
    <w:rsid w:val="00E5509F"/>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28E"/>
    <w:rsid w:val="00ED165B"/>
    <w:rsid w:val="00ED1B30"/>
    <w:rsid w:val="00ED5D03"/>
    <w:rsid w:val="00EE01ED"/>
    <w:rsid w:val="00EE1AC1"/>
    <w:rsid w:val="00EE2238"/>
    <w:rsid w:val="00EE39D6"/>
    <w:rsid w:val="00EE52AD"/>
    <w:rsid w:val="00EE5BC3"/>
    <w:rsid w:val="00EE6FAB"/>
    <w:rsid w:val="00EF328C"/>
    <w:rsid w:val="00EF68BB"/>
    <w:rsid w:val="00F01F92"/>
    <w:rsid w:val="00F030D4"/>
    <w:rsid w:val="00F04053"/>
    <w:rsid w:val="00F04390"/>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62F"/>
    <w:rsid w:val="00F709C0"/>
    <w:rsid w:val="00F81FEC"/>
    <w:rsid w:val="00F927A1"/>
    <w:rsid w:val="00F92E4D"/>
    <w:rsid w:val="00F95D08"/>
    <w:rsid w:val="00FA23BD"/>
    <w:rsid w:val="00FA3764"/>
    <w:rsid w:val="00FA41C7"/>
    <w:rsid w:val="00FA4A79"/>
    <w:rsid w:val="00FA56ED"/>
    <w:rsid w:val="00FA688A"/>
    <w:rsid w:val="00FB05DD"/>
    <w:rsid w:val="00FB0F7C"/>
    <w:rsid w:val="00FB24EA"/>
    <w:rsid w:val="00FB5FA6"/>
    <w:rsid w:val="00FC0334"/>
    <w:rsid w:val="00FC1310"/>
    <w:rsid w:val="00FC2FF3"/>
    <w:rsid w:val="00FC3263"/>
    <w:rsid w:val="00FC51F9"/>
    <w:rsid w:val="00FC5B40"/>
    <w:rsid w:val="00FC5FF8"/>
    <w:rsid w:val="00FC6E6D"/>
    <w:rsid w:val="00FD271B"/>
    <w:rsid w:val="00FD3D7C"/>
    <w:rsid w:val="00FD4F8F"/>
    <w:rsid w:val="00FE0C16"/>
    <w:rsid w:val="00FE14B1"/>
    <w:rsid w:val="00FE4D97"/>
    <w:rsid w:val="00FE5F90"/>
    <w:rsid w:val="00FF0070"/>
    <w:rsid w:val="00FF07C3"/>
    <w:rsid w:val="00FF1777"/>
    <w:rsid w:val="00FF4DEB"/>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Strong">
    <w:name w:val="Strong"/>
    <w:basedOn w:val="DefaultParagraphFont"/>
    <w:uiPriority w:val="22"/>
    <w:qFormat/>
    <w:rsid w:val="007D77F4"/>
    <w:rPr>
      <w:b/>
      <w:bCs/>
    </w:rPr>
  </w:style>
  <w:style w:type="character" w:customStyle="1" w:styleId="legds">
    <w:name w:val="legds"/>
    <w:basedOn w:val="DefaultParagraphFont"/>
    <w:rsid w:val="007D77F4"/>
  </w:style>
  <w:style w:type="character" w:customStyle="1" w:styleId="legsubstitution">
    <w:name w:val="legsubstitution"/>
    <w:basedOn w:val="DefaultParagraphFont"/>
    <w:rsid w:val="007D77F4"/>
  </w:style>
  <w:style w:type="paragraph" w:customStyle="1" w:styleId="Default">
    <w:name w:val="Default"/>
    <w:rsid w:val="007D77F4"/>
    <w:pPr>
      <w:autoSpaceDE w:val="0"/>
      <w:autoSpaceDN w:val="0"/>
      <w:adjustRightInd w:val="0"/>
    </w:pPr>
    <w:rPr>
      <w:rFonts w:ascii="Arial" w:eastAsiaTheme="minorHAnsi" w:hAnsi="Arial" w:cs="Arial"/>
      <w:color w:val="000000"/>
      <w:sz w:val="24"/>
      <w:szCs w:val="24"/>
      <w:lang w:eastAsia="en-US"/>
    </w:rPr>
  </w:style>
  <w:style w:type="paragraph" w:styleId="ListParagraph">
    <w:name w:val="List Paragraph"/>
    <w:basedOn w:val="Normal"/>
    <w:uiPriority w:val="34"/>
    <w:qFormat/>
    <w:rsid w:val="007D77F4"/>
    <w:pPr>
      <w:ind w:left="720"/>
      <w:contextualSpacing/>
    </w:pPr>
  </w:style>
  <w:style w:type="paragraph" w:styleId="NormalWeb">
    <w:name w:val="Normal (Web)"/>
    <w:basedOn w:val="Normal"/>
    <w:uiPriority w:val="99"/>
    <w:unhideWhenUsed/>
    <w:rsid w:val="007D77F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selectable">
    <w:name w:val="selectable"/>
    <w:basedOn w:val="DefaultParagraphFont"/>
    <w:rsid w:val="007D77F4"/>
  </w:style>
  <w:style w:type="character" w:customStyle="1" w:styleId="cf01">
    <w:name w:val="cf01"/>
    <w:basedOn w:val="DefaultParagraphFont"/>
    <w:rsid w:val="007D77F4"/>
    <w:rPr>
      <w:rFonts w:ascii="Segoe UI" w:hAnsi="Segoe UI" w:cs="Segoe UI" w:hint="default"/>
      <w:sz w:val="18"/>
      <w:szCs w:val="18"/>
    </w:rPr>
  </w:style>
  <w:style w:type="character" w:styleId="UnresolvedMention">
    <w:name w:val="Unresolved Mention"/>
    <w:basedOn w:val="DefaultParagraphFont"/>
    <w:uiPriority w:val="99"/>
    <w:semiHidden/>
    <w:unhideWhenUsed/>
    <w:rsid w:val="00A762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394335">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16/j.childyouth.2011.02.02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470</TotalTime>
  <Pages>13</Pages>
  <Words>4232</Words>
  <Characters>24126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 martin</cp:lastModifiedBy>
  <cp:revision>86</cp:revision>
  <cp:lastPrinted>2020-02-11T19:20:00Z</cp:lastPrinted>
  <dcterms:created xsi:type="dcterms:W3CDTF">2023-09-06T08:35:00Z</dcterms:created>
  <dcterms:modified xsi:type="dcterms:W3CDTF">2023-10-19T18:08:00Z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