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nts/font1.odttf" ContentType="application/vnd.openxmlformats-officedocument.obfuscatedFont"/>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9CB9055">
      <w:pPr>
        <w:jc w:val="center"/>
        <w:rPr>
          <w:sz w:val="24"/>
          <w:szCs w:val="24"/>
        </w:rPr>
      </w:pPr>
      <w:r>
        <w:rPr>
          <w:b/>
          <w:bCs/>
          <w:color w:val="000000"/>
          <w:sz w:val="30"/>
          <w:szCs w:val="30"/>
        </w:rPr>
        <w:drawing>
          <wp:inline distT="0" distB="0" distL="0" distR="0">
            <wp:extent cx="2209800" cy="1066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6"/>
                    <a:srcRect/>
                    <a:stretch>
                      <a:fillRect/>
                    </a:stretch>
                  </pic:blipFill>
                  <pic:spPr>
                    <a:xfrm>
                      <a:off x="0" y="0"/>
                      <a:ext cx="2209800" cy="1066800"/>
                    </a:xfrm>
                    <a:prstGeom prst="rect">
                      <a:avLst/>
                    </a:prstGeom>
                  </pic:spPr>
                </pic:pic>
              </a:graphicData>
            </a:graphic>
          </wp:inline>
        </w:drawing>
      </w:r>
    </w:p>
    <w:p w14:paraId="416D0E94">
      <w:pPr>
        <w:spacing w:line="360" w:lineRule="auto"/>
        <w:rPr>
          <w:sz w:val="24"/>
          <w:szCs w:val="24"/>
        </w:rPr>
      </w:pPr>
    </w:p>
    <w:p w14:paraId="0FD52DB8">
      <w:pPr>
        <w:spacing w:line="360" w:lineRule="auto"/>
        <w:rPr>
          <w:sz w:val="24"/>
          <w:szCs w:val="24"/>
        </w:rPr>
      </w:pPr>
    </w:p>
    <w:p w14:paraId="0047992E">
      <w:pPr>
        <w:spacing w:line="360" w:lineRule="auto"/>
        <w:jc w:val="center"/>
        <w:rPr>
          <w:sz w:val="24"/>
          <w:szCs w:val="24"/>
        </w:rPr>
      </w:pPr>
      <w:r>
        <w:rPr>
          <w:b/>
          <w:bCs/>
          <w:color w:val="000000"/>
          <w:sz w:val="28"/>
          <w:szCs w:val="28"/>
        </w:rPr>
        <w:t>Programme: Master of Business Administration</w:t>
      </w:r>
    </w:p>
    <w:p w14:paraId="55CC2911">
      <w:pPr>
        <w:spacing w:line="360" w:lineRule="auto"/>
        <w:jc w:val="center"/>
        <w:rPr>
          <w:sz w:val="24"/>
          <w:szCs w:val="24"/>
        </w:rPr>
      </w:pPr>
      <w:r>
        <w:rPr>
          <w:b/>
          <w:bCs/>
          <w:color w:val="000000"/>
          <w:sz w:val="28"/>
          <w:szCs w:val="28"/>
        </w:rPr>
        <w:t>Module: International Marketing: Principles and Practices</w:t>
      </w:r>
    </w:p>
    <w:p w14:paraId="1450433A">
      <w:pPr>
        <w:spacing w:line="360" w:lineRule="auto"/>
        <w:jc w:val="center"/>
        <w:rPr>
          <w:b/>
          <w:bCs/>
          <w:color w:val="000000"/>
          <w:sz w:val="28"/>
          <w:szCs w:val="28"/>
        </w:rPr>
      </w:pPr>
      <w:r>
        <w:rPr>
          <w:b/>
          <w:bCs/>
          <w:color w:val="000000"/>
          <w:sz w:val="28"/>
          <w:szCs w:val="28"/>
        </w:rPr>
        <w:t>Module code: LCMB7026</w:t>
      </w:r>
    </w:p>
    <w:p w14:paraId="662FC5F6">
      <w:pPr>
        <w:spacing w:line="360" w:lineRule="auto"/>
        <w:jc w:val="center"/>
        <w:rPr>
          <w:b/>
          <w:bCs/>
          <w:color w:val="000000"/>
          <w:sz w:val="30"/>
          <w:szCs w:val="30"/>
        </w:rPr>
      </w:pPr>
    </w:p>
    <w:p w14:paraId="51CA498E">
      <w:pPr>
        <w:spacing w:line="360" w:lineRule="auto"/>
        <w:jc w:val="center"/>
        <w:rPr>
          <w:sz w:val="24"/>
          <w:szCs w:val="24"/>
        </w:rPr>
      </w:pPr>
    </w:p>
    <w:p w14:paraId="5874A899">
      <w:pPr>
        <w:spacing w:line="360" w:lineRule="auto"/>
        <w:jc w:val="center"/>
        <w:rPr>
          <w:sz w:val="24"/>
          <w:szCs w:val="24"/>
        </w:rPr>
      </w:pPr>
      <w:r>
        <w:rPr>
          <w:b/>
          <w:bCs/>
          <w:color w:val="000000"/>
          <w:sz w:val="30"/>
          <w:szCs w:val="30"/>
        </w:rPr>
        <w:t xml:space="preserve">Lecturer: Tushara </w:t>
      </w:r>
      <w:r>
        <w:rPr>
          <w:b/>
          <w:bCs/>
          <w:color w:val="000000"/>
          <w:sz w:val="30"/>
          <w:szCs w:val="30"/>
        </w:rPr>
        <w:t>Balendran</w:t>
      </w:r>
      <w:bookmarkStart w:id="17" w:name="_GoBack"/>
      <w:bookmarkEnd w:id="17"/>
    </w:p>
    <w:p w14:paraId="0E74D186">
      <w:pPr>
        <w:spacing w:after="240" w:line="360" w:lineRule="auto"/>
        <w:rPr>
          <w:sz w:val="24"/>
          <w:szCs w:val="24"/>
        </w:rPr>
      </w:pPr>
    </w:p>
    <w:p w14:paraId="3296B049">
      <w:pPr>
        <w:spacing w:after="240" w:line="360" w:lineRule="auto"/>
        <w:rPr>
          <w:sz w:val="24"/>
          <w:szCs w:val="24"/>
        </w:rPr>
      </w:pPr>
    </w:p>
    <w:p w14:paraId="59F5B99C">
      <w:pPr>
        <w:spacing w:line="360" w:lineRule="auto"/>
        <w:jc w:val="center"/>
        <w:rPr>
          <w:i/>
          <w:iCs/>
          <w:sz w:val="24"/>
          <w:szCs w:val="24"/>
        </w:rPr>
      </w:pPr>
      <w:r>
        <w:rPr>
          <w:b/>
          <w:bCs/>
          <w:i/>
          <w:iCs/>
          <w:color w:val="000000"/>
          <w:sz w:val="30"/>
          <w:szCs w:val="30"/>
        </w:rPr>
        <w:t>Assignment Title: Assessment component 1: Individual report</w:t>
      </w:r>
    </w:p>
    <w:p w14:paraId="42DE6E63">
      <w:pPr>
        <w:spacing w:line="360" w:lineRule="auto"/>
        <w:jc w:val="center"/>
        <w:rPr>
          <w:b/>
          <w:bCs/>
          <w:i/>
          <w:iCs/>
          <w:color w:val="000000"/>
          <w:sz w:val="30"/>
          <w:szCs w:val="30"/>
        </w:rPr>
      </w:pPr>
      <w:r>
        <w:rPr>
          <w:b/>
          <w:bCs/>
          <w:i/>
          <w:iCs/>
          <w:color w:val="000000"/>
          <w:sz w:val="30"/>
          <w:szCs w:val="30"/>
        </w:rPr>
        <w:t>Topic: International Market Entry Strategy and Marketing Mix of Toyota in Japan and US</w:t>
      </w:r>
    </w:p>
    <w:p w14:paraId="6A3DA833">
      <w:pPr>
        <w:spacing w:line="360" w:lineRule="auto"/>
        <w:jc w:val="center"/>
        <w:rPr>
          <w:sz w:val="24"/>
          <w:szCs w:val="24"/>
        </w:rPr>
      </w:pPr>
    </w:p>
    <w:p w14:paraId="5A6A9D5E">
      <w:pPr>
        <w:spacing w:line="360" w:lineRule="auto"/>
        <w:rPr>
          <w:sz w:val="24"/>
          <w:szCs w:val="24"/>
        </w:rPr>
      </w:pPr>
    </w:p>
    <w:p w14:paraId="1F0D783A">
      <w:pPr>
        <w:spacing w:line="360" w:lineRule="auto"/>
        <w:jc w:val="center"/>
        <w:rPr>
          <w:b/>
          <w:bCs/>
          <w:color w:val="000000"/>
          <w:sz w:val="24"/>
          <w:szCs w:val="24"/>
        </w:rPr>
      </w:pPr>
      <w:r>
        <w:rPr>
          <w:b/>
          <w:bCs/>
          <w:color w:val="000000"/>
          <w:sz w:val="24"/>
          <w:szCs w:val="24"/>
        </w:rPr>
        <w:t>Name: Maheshwari Mehta</w:t>
      </w:r>
    </w:p>
    <w:p w14:paraId="6F3979AF">
      <w:pPr>
        <w:spacing w:line="360" w:lineRule="auto"/>
        <w:jc w:val="center"/>
      </w:pPr>
      <w:r>
        <w:rPr>
          <w:b/>
          <w:bCs/>
          <w:color w:val="000000"/>
          <w:sz w:val="24"/>
          <w:szCs w:val="24"/>
        </w:rPr>
        <w:t>Student Id: 2531264</w:t>
      </w:r>
    </w:p>
    <w:p w14:paraId="0AFE19BA">
      <w:pPr>
        <w:spacing w:line="360" w:lineRule="auto"/>
        <w:rPr>
          <w:sz w:val="24"/>
          <w:szCs w:val="24"/>
        </w:rPr>
      </w:pPr>
    </w:p>
    <w:p w14:paraId="512D9E74">
      <w:pPr>
        <w:spacing w:line="360" w:lineRule="auto"/>
        <w:jc w:val="center"/>
        <w:rPr>
          <w:b/>
          <w:bCs/>
          <w:color w:val="000000"/>
          <w:sz w:val="28"/>
          <w:szCs w:val="28"/>
        </w:rPr>
      </w:pPr>
      <w:r>
        <w:rPr>
          <w:b/>
          <w:bCs/>
          <w:color w:val="000000"/>
          <w:sz w:val="28"/>
          <w:szCs w:val="28"/>
        </w:rPr>
        <w:t>Word Count:  5</w:t>
      </w:r>
      <w:r>
        <w:rPr>
          <w:b/>
          <w:bCs/>
          <w:color w:val="000000"/>
          <w:sz w:val="28"/>
          <w:szCs w:val="28"/>
        </w:rPr>
        <w:t>384</w:t>
      </w:r>
      <w:r>
        <w:br w:type="page"/>
      </w:r>
    </w:p>
    <w:p w14:paraId="5E24B695">
      <w:pPr>
        <w:spacing w:line="360" w:lineRule="auto"/>
        <w:jc w:val="center"/>
        <w:rPr>
          <w:b/>
          <w:bCs/>
          <w:sz w:val="24"/>
          <w:szCs w:val="24"/>
        </w:rPr>
      </w:pPr>
    </w:p>
    <w:p w14:paraId="417D684B">
      <w:pPr>
        <w:spacing w:line="360" w:lineRule="auto"/>
        <w:jc w:val="center"/>
        <w:rPr>
          <w:b/>
          <w:bCs/>
          <w:sz w:val="24"/>
          <w:szCs w:val="24"/>
          <w:highlight w:val="yellow"/>
        </w:rPr>
      </w:pPr>
      <w:r>
        <w:rPr>
          <w:b/>
          <w:bCs/>
          <w:sz w:val="24"/>
          <w:szCs w:val="24"/>
          <w:highlight w:val="yellow"/>
        </w:rPr>
        <w:t>AI Acknowledgement</w:t>
      </w:r>
    </w:p>
    <w:p w14:paraId="1C4BA544">
      <w:pPr>
        <w:spacing w:line="360" w:lineRule="auto"/>
        <w:jc w:val="both"/>
        <w:rPr>
          <w:b/>
          <w:bCs/>
          <w:sz w:val="24"/>
          <w:szCs w:val="24"/>
        </w:rPr>
      </w:pPr>
      <w:r>
        <w:rPr>
          <w:sz w:val="24"/>
          <w:szCs w:val="24"/>
          <w:highlight w:val="yellow"/>
        </w:rPr>
        <w:t>This assignment has been produced solely by me. No use of artificial intelligence software has been made to create, refine, or rewrite any aspect of this assignment. All information has been sourced, analysed and interpreted and all academic writing produced by me through my own interpretation. I take full responsibility for the content of this assignment</w:t>
      </w:r>
      <w:r>
        <w:rPr>
          <w:sz w:val="24"/>
          <w:szCs w:val="24"/>
        </w:rPr>
        <w:t>.</w:t>
      </w:r>
      <w:r>
        <w:br w:type="page"/>
      </w:r>
    </w:p>
    <w:p w14:paraId="1D0FE418">
      <w:pPr>
        <w:keepNext/>
        <w:keepLines/>
        <w:pBdr>
          <w:top w:val="none" w:color="auto" w:sz="0" w:space="0"/>
          <w:left w:val="none" w:color="auto" w:sz="0" w:space="0"/>
          <w:bottom w:val="none" w:color="auto" w:sz="0" w:space="0"/>
          <w:right w:val="none" w:color="auto" w:sz="0" w:space="0"/>
          <w:between w:val="none" w:color="auto" w:sz="0" w:space="0"/>
        </w:pBdr>
        <w:spacing w:before="240" w:line="259" w:lineRule="auto"/>
        <w:jc w:val="center"/>
        <w:rPr>
          <w:b/>
          <w:bCs/>
          <w:color w:val="000000"/>
          <w:sz w:val="24"/>
          <w:szCs w:val="24"/>
        </w:rPr>
      </w:pPr>
      <w:r>
        <w:rPr>
          <w:b/>
          <w:bCs/>
          <w:color w:val="000000"/>
          <w:sz w:val="24"/>
          <w:szCs w:val="24"/>
        </w:rPr>
        <w:t>Table of Contents</w:t>
      </w:r>
    </w:p>
    <w:sdt>
      <w:sdtPr>
        <w:id w:val="-605685175"/>
      </w:sdtPr>
      <w:sdtEndPr>
        <w:rPr>
          <w:sz w:val="24"/>
          <w:szCs w:val="24"/>
        </w:rPr>
      </w:sdtEndPr>
      <w:sdtContent>
        <w:p w14:paraId="47F66E27">
          <w:pPr>
            <w:pStyle w:val="10"/>
            <w:tabs>
              <w:tab w:val="right" w:leader="dot" w:pos="9350"/>
            </w:tabs>
            <w:jc w:val="both"/>
            <w:rPr>
              <w:sz w:val="24"/>
              <w:szCs w:val="24"/>
            </w:rPr>
          </w:pPr>
          <w:r>
            <w:rPr>
              <w:sz w:val="24"/>
              <w:szCs w:val="24"/>
            </w:rPr>
            <w:fldChar w:fldCharType="begin"/>
          </w:r>
          <w:r>
            <w:rPr>
              <w:sz w:val="24"/>
              <w:szCs w:val="24"/>
            </w:rPr>
            <w:instrText xml:space="preserve"> TOC \h \u \z \t "Heading 1,1,Heading 2,2,Heading 3,3,"</w:instrText>
          </w:r>
          <w:r>
            <w:rPr>
              <w:sz w:val="24"/>
              <w:szCs w:val="24"/>
            </w:rPr>
            <w:fldChar w:fldCharType="separate"/>
          </w:r>
          <w:r>
            <w:fldChar w:fldCharType="begin"/>
          </w:r>
          <w:r>
            <w:instrText xml:space="preserve"> HYPERLINK \l "_Toc237088360" </w:instrText>
          </w:r>
          <w:r>
            <w:fldChar w:fldCharType="separate"/>
          </w:r>
          <w:r>
            <w:rPr>
              <w:rStyle w:val="13"/>
              <w:sz w:val="24"/>
              <w:szCs w:val="24"/>
            </w:rPr>
            <w:t>Section 1: Report on the International Market Entry Strategy and Marketing Mix</w:t>
          </w:r>
          <w:r>
            <w:rPr>
              <w:sz w:val="24"/>
              <w:szCs w:val="24"/>
            </w:rPr>
            <w:tab/>
          </w:r>
          <w:r>
            <w:rPr>
              <w:sz w:val="24"/>
              <w:szCs w:val="24"/>
            </w:rPr>
            <w:fldChar w:fldCharType="begin"/>
          </w:r>
          <w:r>
            <w:rPr>
              <w:sz w:val="24"/>
              <w:szCs w:val="24"/>
            </w:rPr>
            <w:instrText xml:space="preserve"> PAGEREF _Toc237088360 \h </w:instrText>
          </w:r>
          <w:r>
            <w:rPr>
              <w:sz w:val="24"/>
              <w:szCs w:val="24"/>
            </w:rPr>
            <w:fldChar w:fldCharType="separate"/>
          </w:r>
          <w:r>
            <w:rPr>
              <w:sz w:val="24"/>
              <w:szCs w:val="24"/>
            </w:rPr>
            <w:t>3</w:t>
          </w:r>
          <w:r>
            <w:rPr>
              <w:sz w:val="24"/>
              <w:szCs w:val="24"/>
            </w:rPr>
            <w:fldChar w:fldCharType="end"/>
          </w:r>
          <w:r>
            <w:rPr>
              <w:sz w:val="24"/>
              <w:szCs w:val="24"/>
            </w:rPr>
            <w:fldChar w:fldCharType="end"/>
          </w:r>
        </w:p>
        <w:p w14:paraId="53ECA229">
          <w:pPr>
            <w:pStyle w:val="11"/>
            <w:tabs>
              <w:tab w:val="right" w:leader="dot" w:pos="9350"/>
            </w:tabs>
            <w:jc w:val="both"/>
            <w:rPr>
              <w:sz w:val="24"/>
              <w:szCs w:val="24"/>
            </w:rPr>
          </w:pPr>
          <w:r>
            <w:fldChar w:fldCharType="begin"/>
          </w:r>
          <w:r>
            <w:instrText xml:space="preserve"> HYPERLINK \l "_Toc237088361" </w:instrText>
          </w:r>
          <w:r>
            <w:fldChar w:fldCharType="separate"/>
          </w:r>
          <w:r>
            <w:rPr>
              <w:rStyle w:val="13"/>
              <w:sz w:val="24"/>
              <w:szCs w:val="24"/>
            </w:rPr>
            <w:t>1.1 Introduction</w:t>
          </w:r>
          <w:r>
            <w:rPr>
              <w:sz w:val="24"/>
              <w:szCs w:val="24"/>
            </w:rPr>
            <w:tab/>
          </w:r>
          <w:r>
            <w:rPr>
              <w:sz w:val="24"/>
              <w:szCs w:val="24"/>
            </w:rPr>
            <w:fldChar w:fldCharType="begin"/>
          </w:r>
          <w:r>
            <w:rPr>
              <w:sz w:val="24"/>
              <w:szCs w:val="24"/>
            </w:rPr>
            <w:instrText xml:space="preserve"> PAGEREF _Toc237088361 \h </w:instrText>
          </w:r>
          <w:r>
            <w:rPr>
              <w:sz w:val="24"/>
              <w:szCs w:val="24"/>
            </w:rPr>
            <w:fldChar w:fldCharType="separate"/>
          </w:r>
          <w:r>
            <w:rPr>
              <w:sz w:val="24"/>
              <w:szCs w:val="24"/>
            </w:rPr>
            <w:t>3</w:t>
          </w:r>
          <w:r>
            <w:rPr>
              <w:sz w:val="24"/>
              <w:szCs w:val="24"/>
            </w:rPr>
            <w:fldChar w:fldCharType="end"/>
          </w:r>
          <w:r>
            <w:rPr>
              <w:sz w:val="24"/>
              <w:szCs w:val="24"/>
            </w:rPr>
            <w:fldChar w:fldCharType="end"/>
          </w:r>
        </w:p>
        <w:p w14:paraId="3815F07D">
          <w:pPr>
            <w:pStyle w:val="11"/>
            <w:tabs>
              <w:tab w:val="right" w:leader="dot" w:pos="9350"/>
            </w:tabs>
            <w:jc w:val="both"/>
            <w:rPr>
              <w:sz w:val="24"/>
              <w:szCs w:val="24"/>
            </w:rPr>
          </w:pPr>
          <w:r>
            <w:fldChar w:fldCharType="begin"/>
          </w:r>
          <w:r>
            <w:instrText xml:space="preserve"> HYPERLINK \l "_Toc237088362" </w:instrText>
          </w:r>
          <w:r>
            <w:fldChar w:fldCharType="separate"/>
          </w:r>
          <w:r>
            <w:rPr>
              <w:rStyle w:val="13"/>
              <w:sz w:val="24"/>
              <w:szCs w:val="24"/>
            </w:rPr>
            <w:t>1.2 A comparative analysis of the market in Japan and the US: PESTLE Application</w:t>
          </w:r>
          <w:r>
            <w:rPr>
              <w:sz w:val="24"/>
              <w:szCs w:val="24"/>
            </w:rPr>
            <w:tab/>
          </w:r>
          <w:r>
            <w:rPr>
              <w:sz w:val="24"/>
              <w:szCs w:val="24"/>
            </w:rPr>
            <w:fldChar w:fldCharType="begin"/>
          </w:r>
          <w:r>
            <w:rPr>
              <w:sz w:val="24"/>
              <w:szCs w:val="24"/>
            </w:rPr>
            <w:instrText xml:space="preserve"> PAGEREF _Toc237088362 \h </w:instrText>
          </w:r>
          <w:r>
            <w:rPr>
              <w:sz w:val="24"/>
              <w:szCs w:val="24"/>
            </w:rPr>
            <w:fldChar w:fldCharType="separate"/>
          </w:r>
          <w:r>
            <w:rPr>
              <w:sz w:val="24"/>
              <w:szCs w:val="24"/>
            </w:rPr>
            <w:t>3</w:t>
          </w:r>
          <w:r>
            <w:rPr>
              <w:sz w:val="24"/>
              <w:szCs w:val="24"/>
            </w:rPr>
            <w:fldChar w:fldCharType="end"/>
          </w:r>
          <w:r>
            <w:rPr>
              <w:sz w:val="24"/>
              <w:szCs w:val="24"/>
            </w:rPr>
            <w:fldChar w:fldCharType="end"/>
          </w:r>
        </w:p>
        <w:p w14:paraId="3CB7ACF9">
          <w:pPr>
            <w:pStyle w:val="11"/>
            <w:tabs>
              <w:tab w:val="right" w:leader="dot" w:pos="9350"/>
            </w:tabs>
            <w:jc w:val="both"/>
            <w:rPr>
              <w:sz w:val="24"/>
              <w:szCs w:val="24"/>
            </w:rPr>
          </w:pPr>
          <w:r>
            <w:fldChar w:fldCharType="begin"/>
          </w:r>
          <w:r>
            <w:instrText xml:space="preserve"> HYPERLINK \l "_Toc237088363" </w:instrText>
          </w:r>
          <w:r>
            <w:fldChar w:fldCharType="separate"/>
          </w:r>
          <w:r>
            <w:rPr>
              <w:rStyle w:val="13"/>
              <w:sz w:val="24"/>
              <w:szCs w:val="24"/>
            </w:rPr>
            <w:t>1.3 A comparative analysis of STP and Marketing Mix</w:t>
          </w:r>
          <w:r>
            <w:rPr>
              <w:sz w:val="24"/>
              <w:szCs w:val="24"/>
            </w:rPr>
            <w:tab/>
          </w:r>
          <w:r>
            <w:rPr>
              <w:sz w:val="24"/>
              <w:szCs w:val="24"/>
            </w:rPr>
            <w:fldChar w:fldCharType="begin"/>
          </w:r>
          <w:r>
            <w:rPr>
              <w:sz w:val="24"/>
              <w:szCs w:val="24"/>
            </w:rPr>
            <w:instrText xml:space="preserve"> PAGEREF _Toc237088363 \h </w:instrText>
          </w:r>
          <w:r>
            <w:rPr>
              <w:sz w:val="24"/>
              <w:szCs w:val="24"/>
            </w:rPr>
            <w:fldChar w:fldCharType="separate"/>
          </w:r>
          <w:r>
            <w:rPr>
              <w:sz w:val="24"/>
              <w:szCs w:val="24"/>
            </w:rPr>
            <w:t>13</w:t>
          </w:r>
          <w:r>
            <w:rPr>
              <w:sz w:val="24"/>
              <w:szCs w:val="24"/>
            </w:rPr>
            <w:fldChar w:fldCharType="end"/>
          </w:r>
          <w:r>
            <w:rPr>
              <w:sz w:val="24"/>
              <w:szCs w:val="24"/>
            </w:rPr>
            <w:fldChar w:fldCharType="end"/>
          </w:r>
        </w:p>
        <w:p w14:paraId="6D73A3D2">
          <w:pPr>
            <w:pStyle w:val="11"/>
            <w:tabs>
              <w:tab w:val="right" w:leader="dot" w:pos="9350"/>
            </w:tabs>
            <w:jc w:val="both"/>
            <w:rPr>
              <w:sz w:val="24"/>
              <w:szCs w:val="24"/>
            </w:rPr>
          </w:pPr>
          <w:r>
            <w:fldChar w:fldCharType="begin"/>
          </w:r>
          <w:r>
            <w:instrText xml:space="preserve"> HYPERLINK \l "_Toc237088364" </w:instrText>
          </w:r>
          <w:r>
            <w:fldChar w:fldCharType="separate"/>
          </w:r>
          <w:r>
            <w:rPr>
              <w:rStyle w:val="13"/>
              <w:sz w:val="24"/>
              <w:szCs w:val="24"/>
            </w:rPr>
            <w:t>1.3.1 STP Analysis</w:t>
          </w:r>
          <w:r>
            <w:rPr>
              <w:sz w:val="24"/>
              <w:szCs w:val="24"/>
            </w:rPr>
            <w:tab/>
          </w:r>
          <w:r>
            <w:rPr>
              <w:sz w:val="24"/>
              <w:szCs w:val="24"/>
            </w:rPr>
            <w:fldChar w:fldCharType="begin"/>
          </w:r>
          <w:r>
            <w:rPr>
              <w:sz w:val="24"/>
              <w:szCs w:val="24"/>
            </w:rPr>
            <w:instrText xml:space="preserve"> PAGEREF _Toc237088364 \h </w:instrText>
          </w:r>
          <w:r>
            <w:rPr>
              <w:sz w:val="24"/>
              <w:szCs w:val="24"/>
            </w:rPr>
            <w:fldChar w:fldCharType="separate"/>
          </w:r>
          <w:r>
            <w:rPr>
              <w:sz w:val="24"/>
              <w:szCs w:val="24"/>
            </w:rPr>
            <w:t>13</w:t>
          </w:r>
          <w:r>
            <w:rPr>
              <w:sz w:val="24"/>
              <w:szCs w:val="24"/>
            </w:rPr>
            <w:fldChar w:fldCharType="end"/>
          </w:r>
          <w:r>
            <w:rPr>
              <w:sz w:val="24"/>
              <w:szCs w:val="24"/>
            </w:rPr>
            <w:fldChar w:fldCharType="end"/>
          </w:r>
        </w:p>
        <w:p w14:paraId="0860A78D">
          <w:pPr>
            <w:pStyle w:val="11"/>
            <w:tabs>
              <w:tab w:val="right" w:leader="dot" w:pos="9350"/>
            </w:tabs>
            <w:jc w:val="both"/>
            <w:rPr>
              <w:sz w:val="24"/>
              <w:szCs w:val="24"/>
            </w:rPr>
          </w:pPr>
          <w:r>
            <w:fldChar w:fldCharType="begin"/>
          </w:r>
          <w:r>
            <w:instrText xml:space="preserve"> HYPERLINK \l "_Toc237088365" </w:instrText>
          </w:r>
          <w:r>
            <w:fldChar w:fldCharType="separate"/>
          </w:r>
          <w:r>
            <w:rPr>
              <w:rStyle w:val="13"/>
              <w:sz w:val="24"/>
              <w:szCs w:val="24"/>
            </w:rPr>
            <w:t>1.3.2 Marketing Mix (7P)</w:t>
          </w:r>
          <w:r>
            <w:rPr>
              <w:sz w:val="24"/>
              <w:szCs w:val="24"/>
            </w:rPr>
            <w:tab/>
          </w:r>
          <w:r>
            <w:rPr>
              <w:sz w:val="24"/>
              <w:szCs w:val="24"/>
            </w:rPr>
            <w:fldChar w:fldCharType="begin"/>
          </w:r>
          <w:r>
            <w:rPr>
              <w:sz w:val="24"/>
              <w:szCs w:val="24"/>
            </w:rPr>
            <w:instrText xml:space="preserve"> PAGEREF _Toc237088365 \h </w:instrText>
          </w:r>
          <w:r>
            <w:rPr>
              <w:sz w:val="24"/>
              <w:szCs w:val="24"/>
            </w:rPr>
            <w:fldChar w:fldCharType="separate"/>
          </w:r>
          <w:r>
            <w:rPr>
              <w:sz w:val="24"/>
              <w:szCs w:val="24"/>
            </w:rPr>
            <w:t>19</w:t>
          </w:r>
          <w:r>
            <w:rPr>
              <w:sz w:val="24"/>
              <w:szCs w:val="24"/>
            </w:rPr>
            <w:fldChar w:fldCharType="end"/>
          </w:r>
          <w:r>
            <w:rPr>
              <w:sz w:val="24"/>
              <w:szCs w:val="24"/>
            </w:rPr>
            <w:fldChar w:fldCharType="end"/>
          </w:r>
        </w:p>
        <w:p w14:paraId="7F08943A">
          <w:pPr>
            <w:pStyle w:val="11"/>
            <w:tabs>
              <w:tab w:val="right" w:leader="dot" w:pos="9350"/>
            </w:tabs>
            <w:jc w:val="both"/>
            <w:rPr>
              <w:sz w:val="24"/>
              <w:szCs w:val="24"/>
            </w:rPr>
          </w:pPr>
          <w:r>
            <w:fldChar w:fldCharType="begin"/>
          </w:r>
          <w:r>
            <w:instrText xml:space="preserve"> HYPERLINK \l "_Toc237088366" </w:instrText>
          </w:r>
          <w:r>
            <w:fldChar w:fldCharType="separate"/>
          </w:r>
          <w:r>
            <w:rPr>
              <w:rStyle w:val="13"/>
              <w:sz w:val="24"/>
              <w:szCs w:val="24"/>
            </w:rPr>
            <w:t>1.4 An analysis of the brand’s market entry strategies in the US</w:t>
          </w:r>
          <w:r>
            <w:rPr>
              <w:sz w:val="24"/>
              <w:szCs w:val="24"/>
            </w:rPr>
            <w:tab/>
          </w:r>
          <w:r>
            <w:rPr>
              <w:sz w:val="24"/>
              <w:szCs w:val="24"/>
            </w:rPr>
            <w:fldChar w:fldCharType="begin"/>
          </w:r>
          <w:r>
            <w:rPr>
              <w:sz w:val="24"/>
              <w:szCs w:val="24"/>
            </w:rPr>
            <w:instrText xml:space="preserve"> PAGEREF _Toc237088366 \h </w:instrText>
          </w:r>
          <w:r>
            <w:rPr>
              <w:sz w:val="24"/>
              <w:szCs w:val="24"/>
            </w:rPr>
            <w:fldChar w:fldCharType="separate"/>
          </w:r>
          <w:r>
            <w:rPr>
              <w:sz w:val="24"/>
              <w:szCs w:val="24"/>
            </w:rPr>
            <w:t>25</w:t>
          </w:r>
          <w:r>
            <w:rPr>
              <w:sz w:val="24"/>
              <w:szCs w:val="24"/>
            </w:rPr>
            <w:fldChar w:fldCharType="end"/>
          </w:r>
          <w:r>
            <w:rPr>
              <w:sz w:val="24"/>
              <w:szCs w:val="24"/>
            </w:rPr>
            <w:fldChar w:fldCharType="end"/>
          </w:r>
        </w:p>
        <w:p w14:paraId="072B6445">
          <w:pPr>
            <w:pStyle w:val="11"/>
            <w:tabs>
              <w:tab w:val="right" w:leader="dot" w:pos="9350"/>
            </w:tabs>
            <w:jc w:val="both"/>
            <w:rPr>
              <w:sz w:val="24"/>
              <w:szCs w:val="24"/>
            </w:rPr>
          </w:pPr>
          <w:r>
            <w:fldChar w:fldCharType="begin"/>
          </w:r>
          <w:r>
            <w:instrText xml:space="preserve"> HYPERLINK \l "_Toc237088367" </w:instrText>
          </w:r>
          <w:r>
            <w:fldChar w:fldCharType="separate"/>
          </w:r>
          <w:r>
            <w:rPr>
              <w:rStyle w:val="13"/>
              <w:sz w:val="24"/>
              <w:szCs w:val="24"/>
            </w:rPr>
            <w:t>1.5 Ethical issues related to this brand’s marketing mix in Japan</w:t>
          </w:r>
          <w:r>
            <w:rPr>
              <w:sz w:val="24"/>
              <w:szCs w:val="24"/>
            </w:rPr>
            <w:tab/>
          </w:r>
          <w:r>
            <w:rPr>
              <w:sz w:val="24"/>
              <w:szCs w:val="24"/>
            </w:rPr>
            <w:fldChar w:fldCharType="begin"/>
          </w:r>
          <w:r>
            <w:rPr>
              <w:sz w:val="24"/>
              <w:szCs w:val="24"/>
            </w:rPr>
            <w:instrText xml:space="preserve"> PAGEREF _Toc237088367 \h </w:instrText>
          </w:r>
          <w:r>
            <w:rPr>
              <w:sz w:val="24"/>
              <w:szCs w:val="24"/>
            </w:rPr>
            <w:fldChar w:fldCharType="separate"/>
          </w:r>
          <w:r>
            <w:rPr>
              <w:sz w:val="24"/>
              <w:szCs w:val="24"/>
            </w:rPr>
            <w:t>26</w:t>
          </w:r>
          <w:r>
            <w:rPr>
              <w:sz w:val="24"/>
              <w:szCs w:val="24"/>
            </w:rPr>
            <w:fldChar w:fldCharType="end"/>
          </w:r>
          <w:r>
            <w:rPr>
              <w:sz w:val="24"/>
              <w:szCs w:val="24"/>
            </w:rPr>
            <w:fldChar w:fldCharType="end"/>
          </w:r>
        </w:p>
        <w:p w14:paraId="26B24D76">
          <w:pPr>
            <w:pStyle w:val="11"/>
            <w:tabs>
              <w:tab w:val="right" w:leader="dot" w:pos="9350"/>
            </w:tabs>
            <w:jc w:val="both"/>
            <w:rPr>
              <w:sz w:val="24"/>
              <w:szCs w:val="24"/>
            </w:rPr>
          </w:pPr>
          <w:r>
            <w:fldChar w:fldCharType="begin"/>
          </w:r>
          <w:r>
            <w:instrText xml:space="preserve"> HYPERLINK \l "_Toc237088368" </w:instrText>
          </w:r>
          <w:r>
            <w:fldChar w:fldCharType="separate"/>
          </w:r>
          <w:r>
            <w:rPr>
              <w:rStyle w:val="13"/>
              <w:sz w:val="24"/>
              <w:szCs w:val="24"/>
            </w:rPr>
            <w:t>1.6 Recommendations on International Marketing Strategies</w:t>
          </w:r>
          <w:r>
            <w:rPr>
              <w:sz w:val="24"/>
              <w:szCs w:val="24"/>
            </w:rPr>
            <w:tab/>
          </w:r>
          <w:r>
            <w:rPr>
              <w:sz w:val="24"/>
              <w:szCs w:val="24"/>
            </w:rPr>
            <w:fldChar w:fldCharType="begin"/>
          </w:r>
          <w:r>
            <w:rPr>
              <w:sz w:val="24"/>
              <w:szCs w:val="24"/>
            </w:rPr>
            <w:instrText xml:space="preserve"> PAGEREF _Toc237088368 \h </w:instrText>
          </w:r>
          <w:r>
            <w:rPr>
              <w:sz w:val="24"/>
              <w:szCs w:val="24"/>
            </w:rPr>
            <w:fldChar w:fldCharType="separate"/>
          </w:r>
          <w:r>
            <w:rPr>
              <w:sz w:val="24"/>
              <w:szCs w:val="24"/>
            </w:rPr>
            <w:t>27</w:t>
          </w:r>
          <w:r>
            <w:rPr>
              <w:sz w:val="24"/>
              <w:szCs w:val="24"/>
            </w:rPr>
            <w:fldChar w:fldCharType="end"/>
          </w:r>
          <w:r>
            <w:rPr>
              <w:sz w:val="24"/>
              <w:szCs w:val="24"/>
            </w:rPr>
            <w:fldChar w:fldCharType="end"/>
          </w:r>
        </w:p>
        <w:p w14:paraId="215269A8">
          <w:pPr>
            <w:pStyle w:val="10"/>
            <w:tabs>
              <w:tab w:val="right" w:leader="dot" w:pos="9350"/>
            </w:tabs>
            <w:jc w:val="both"/>
            <w:rPr>
              <w:sz w:val="24"/>
              <w:szCs w:val="24"/>
            </w:rPr>
          </w:pPr>
          <w:r>
            <w:fldChar w:fldCharType="begin"/>
          </w:r>
          <w:r>
            <w:instrText xml:space="preserve"> HYPERLINK \l "_Toc237088369" </w:instrText>
          </w:r>
          <w:r>
            <w:fldChar w:fldCharType="separate"/>
          </w:r>
          <w:r>
            <w:rPr>
              <w:rStyle w:val="13"/>
              <w:sz w:val="24"/>
              <w:szCs w:val="24"/>
            </w:rPr>
            <w:t>Section 2: Reflective Account</w:t>
          </w:r>
          <w:r>
            <w:rPr>
              <w:sz w:val="24"/>
              <w:szCs w:val="24"/>
            </w:rPr>
            <w:tab/>
          </w:r>
          <w:r>
            <w:rPr>
              <w:sz w:val="24"/>
              <w:szCs w:val="24"/>
            </w:rPr>
            <w:fldChar w:fldCharType="begin"/>
          </w:r>
          <w:r>
            <w:rPr>
              <w:sz w:val="24"/>
              <w:szCs w:val="24"/>
            </w:rPr>
            <w:instrText xml:space="preserve"> PAGEREF _Toc237088369 \h </w:instrText>
          </w:r>
          <w:r>
            <w:rPr>
              <w:sz w:val="24"/>
              <w:szCs w:val="24"/>
            </w:rPr>
            <w:fldChar w:fldCharType="separate"/>
          </w:r>
          <w:r>
            <w:rPr>
              <w:sz w:val="24"/>
              <w:szCs w:val="24"/>
            </w:rPr>
            <w:t>30</w:t>
          </w:r>
          <w:r>
            <w:rPr>
              <w:sz w:val="24"/>
              <w:szCs w:val="24"/>
            </w:rPr>
            <w:fldChar w:fldCharType="end"/>
          </w:r>
          <w:r>
            <w:rPr>
              <w:sz w:val="24"/>
              <w:szCs w:val="24"/>
            </w:rPr>
            <w:fldChar w:fldCharType="end"/>
          </w:r>
        </w:p>
        <w:p w14:paraId="71AC17F0">
          <w:pPr>
            <w:pStyle w:val="11"/>
            <w:tabs>
              <w:tab w:val="right" w:leader="dot" w:pos="9350"/>
            </w:tabs>
            <w:jc w:val="both"/>
            <w:rPr>
              <w:sz w:val="24"/>
              <w:szCs w:val="24"/>
            </w:rPr>
          </w:pPr>
          <w:r>
            <w:fldChar w:fldCharType="begin"/>
          </w:r>
          <w:r>
            <w:instrText xml:space="preserve"> HYPERLINK \l "_Toc237088370" </w:instrText>
          </w:r>
          <w:r>
            <w:fldChar w:fldCharType="separate"/>
          </w:r>
          <w:r>
            <w:rPr>
              <w:rStyle w:val="13"/>
              <w:sz w:val="24"/>
              <w:szCs w:val="24"/>
            </w:rPr>
            <w:t>2.1 Description</w:t>
          </w:r>
          <w:r>
            <w:rPr>
              <w:sz w:val="24"/>
              <w:szCs w:val="24"/>
            </w:rPr>
            <w:tab/>
          </w:r>
          <w:r>
            <w:rPr>
              <w:sz w:val="24"/>
              <w:szCs w:val="24"/>
            </w:rPr>
            <w:fldChar w:fldCharType="begin"/>
          </w:r>
          <w:r>
            <w:rPr>
              <w:sz w:val="24"/>
              <w:szCs w:val="24"/>
            </w:rPr>
            <w:instrText xml:space="preserve"> PAGEREF _Toc237088370 \h </w:instrText>
          </w:r>
          <w:r>
            <w:rPr>
              <w:sz w:val="24"/>
              <w:szCs w:val="24"/>
            </w:rPr>
            <w:fldChar w:fldCharType="separate"/>
          </w:r>
          <w:r>
            <w:rPr>
              <w:sz w:val="24"/>
              <w:szCs w:val="24"/>
            </w:rPr>
            <w:t>30</w:t>
          </w:r>
          <w:r>
            <w:rPr>
              <w:sz w:val="24"/>
              <w:szCs w:val="24"/>
            </w:rPr>
            <w:fldChar w:fldCharType="end"/>
          </w:r>
          <w:r>
            <w:rPr>
              <w:sz w:val="24"/>
              <w:szCs w:val="24"/>
            </w:rPr>
            <w:fldChar w:fldCharType="end"/>
          </w:r>
        </w:p>
        <w:p w14:paraId="721F3E15">
          <w:pPr>
            <w:pStyle w:val="11"/>
            <w:tabs>
              <w:tab w:val="right" w:leader="dot" w:pos="9350"/>
            </w:tabs>
            <w:jc w:val="both"/>
            <w:rPr>
              <w:sz w:val="24"/>
              <w:szCs w:val="24"/>
            </w:rPr>
          </w:pPr>
          <w:r>
            <w:fldChar w:fldCharType="begin"/>
          </w:r>
          <w:r>
            <w:instrText xml:space="preserve"> HYPERLINK \l "_Toc237088371" </w:instrText>
          </w:r>
          <w:r>
            <w:fldChar w:fldCharType="separate"/>
          </w:r>
          <w:r>
            <w:rPr>
              <w:rStyle w:val="13"/>
              <w:sz w:val="24"/>
              <w:szCs w:val="24"/>
            </w:rPr>
            <w:t>2.2 Feelings</w:t>
          </w:r>
          <w:r>
            <w:rPr>
              <w:sz w:val="24"/>
              <w:szCs w:val="24"/>
            </w:rPr>
            <w:tab/>
          </w:r>
          <w:r>
            <w:rPr>
              <w:sz w:val="24"/>
              <w:szCs w:val="24"/>
            </w:rPr>
            <w:fldChar w:fldCharType="begin"/>
          </w:r>
          <w:r>
            <w:rPr>
              <w:sz w:val="24"/>
              <w:szCs w:val="24"/>
            </w:rPr>
            <w:instrText xml:space="preserve"> PAGEREF _Toc237088371 \h </w:instrText>
          </w:r>
          <w:r>
            <w:rPr>
              <w:sz w:val="24"/>
              <w:szCs w:val="24"/>
            </w:rPr>
            <w:fldChar w:fldCharType="separate"/>
          </w:r>
          <w:r>
            <w:rPr>
              <w:sz w:val="24"/>
              <w:szCs w:val="24"/>
            </w:rPr>
            <w:t>31</w:t>
          </w:r>
          <w:r>
            <w:rPr>
              <w:sz w:val="24"/>
              <w:szCs w:val="24"/>
            </w:rPr>
            <w:fldChar w:fldCharType="end"/>
          </w:r>
          <w:r>
            <w:rPr>
              <w:sz w:val="24"/>
              <w:szCs w:val="24"/>
            </w:rPr>
            <w:fldChar w:fldCharType="end"/>
          </w:r>
        </w:p>
        <w:p w14:paraId="339D9B0C">
          <w:pPr>
            <w:pStyle w:val="11"/>
            <w:tabs>
              <w:tab w:val="right" w:leader="dot" w:pos="9350"/>
            </w:tabs>
            <w:jc w:val="both"/>
            <w:rPr>
              <w:sz w:val="24"/>
              <w:szCs w:val="24"/>
            </w:rPr>
          </w:pPr>
          <w:r>
            <w:fldChar w:fldCharType="begin"/>
          </w:r>
          <w:r>
            <w:instrText xml:space="preserve"> HYPERLINK \l "_Toc237088372" </w:instrText>
          </w:r>
          <w:r>
            <w:fldChar w:fldCharType="separate"/>
          </w:r>
          <w:r>
            <w:rPr>
              <w:rStyle w:val="13"/>
              <w:sz w:val="24"/>
              <w:szCs w:val="24"/>
            </w:rPr>
            <w:t>2.3 Evaluation</w:t>
          </w:r>
          <w:r>
            <w:rPr>
              <w:sz w:val="24"/>
              <w:szCs w:val="24"/>
            </w:rPr>
            <w:tab/>
          </w:r>
          <w:r>
            <w:rPr>
              <w:sz w:val="24"/>
              <w:szCs w:val="24"/>
            </w:rPr>
            <w:fldChar w:fldCharType="begin"/>
          </w:r>
          <w:r>
            <w:rPr>
              <w:sz w:val="24"/>
              <w:szCs w:val="24"/>
            </w:rPr>
            <w:instrText xml:space="preserve"> PAGEREF _Toc237088372 \h </w:instrText>
          </w:r>
          <w:r>
            <w:rPr>
              <w:sz w:val="24"/>
              <w:szCs w:val="24"/>
            </w:rPr>
            <w:fldChar w:fldCharType="separate"/>
          </w:r>
          <w:r>
            <w:rPr>
              <w:sz w:val="24"/>
              <w:szCs w:val="24"/>
            </w:rPr>
            <w:t>31</w:t>
          </w:r>
          <w:r>
            <w:rPr>
              <w:sz w:val="24"/>
              <w:szCs w:val="24"/>
            </w:rPr>
            <w:fldChar w:fldCharType="end"/>
          </w:r>
          <w:r>
            <w:rPr>
              <w:sz w:val="24"/>
              <w:szCs w:val="24"/>
            </w:rPr>
            <w:fldChar w:fldCharType="end"/>
          </w:r>
        </w:p>
        <w:p w14:paraId="4051F918">
          <w:pPr>
            <w:pStyle w:val="11"/>
            <w:tabs>
              <w:tab w:val="right" w:leader="dot" w:pos="9350"/>
            </w:tabs>
            <w:jc w:val="both"/>
            <w:rPr>
              <w:sz w:val="24"/>
              <w:szCs w:val="24"/>
            </w:rPr>
          </w:pPr>
          <w:r>
            <w:fldChar w:fldCharType="begin"/>
          </w:r>
          <w:r>
            <w:instrText xml:space="preserve"> HYPERLINK \l "_Toc237088373" </w:instrText>
          </w:r>
          <w:r>
            <w:fldChar w:fldCharType="separate"/>
          </w:r>
          <w:r>
            <w:rPr>
              <w:rStyle w:val="13"/>
              <w:sz w:val="24"/>
              <w:szCs w:val="24"/>
            </w:rPr>
            <w:t>2.4 Analysis</w:t>
          </w:r>
          <w:r>
            <w:rPr>
              <w:sz w:val="24"/>
              <w:szCs w:val="24"/>
            </w:rPr>
            <w:tab/>
          </w:r>
          <w:r>
            <w:rPr>
              <w:sz w:val="24"/>
              <w:szCs w:val="24"/>
            </w:rPr>
            <w:fldChar w:fldCharType="begin"/>
          </w:r>
          <w:r>
            <w:rPr>
              <w:sz w:val="24"/>
              <w:szCs w:val="24"/>
            </w:rPr>
            <w:instrText xml:space="preserve"> PAGEREF _Toc237088373 \h </w:instrText>
          </w:r>
          <w:r>
            <w:rPr>
              <w:sz w:val="24"/>
              <w:szCs w:val="24"/>
            </w:rPr>
            <w:fldChar w:fldCharType="separate"/>
          </w:r>
          <w:r>
            <w:rPr>
              <w:sz w:val="24"/>
              <w:szCs w:val="24"/>
            </w:rPr>
            <w:t>32</w:t>
          </w:r>
          <w:r>
            <w:rPr>
              <w:sz w:val="24"/>
              <w:szCs w:val="24"/>
            </w:rPr>
            <w:fldChar w:fldCharType="end"/>
          </w:r>
          <w:r>
            <w:rPr>
              <w:sz w:val="24"/>
              <w:szCs w:val="24"/>
            </w:rPr>
            <w:fldChar w:fldCharType="end"/>
          </w:r>
        </w:p>
        <w:p w14:paraId="23CDF07A">
          <w:pPr>
            <w:pStyle w:val="11"/>
            <w:tabs>
              <w:tab w:val="right" w:leader="dot" w:pos="9350"/>
            </w:tabs>
            <w:jc w:val="both"/>
            <w:rPr>
              <w:sz w:val="24"/>
              <w:szCs w:val="24"/>
            </w:rPr>
          </w:pPr>
          <w:r>
            <w:fldChar w:fldCharType="begin"/>
          </w:r>
          <w:r>
            <w:instrText xml:space="preserve"> HYPERLINK \l "_Toc237088374" </w:instrText>
          </w:r>
          <w:r>
            <w:fldChar w:fldCharType="separate"/>
          </w:r>
          <w:r>
            <w:rPr>
              <w:rStyle w:val="13"/>
              <w:sz w:val="24"/>
              <w:szCs w:val="24"/>
            </w:rPr>
            <w:t>2.5 Conclusion</w:t>
          </w:r>
          <w:r>
            <w:rPr>
              <w:sz w:val="24"/>
              <w:szCs w:val="24"/>
            </w:rPr>
            <w:tab/>
          </w:r>
          <w:r>
            <w:rPr>
              <w:sz w:val="24"/>
              <w:szCs w:val="24"/>
            </w:rPr>
            <w:fldChar w:fldCharType="begin"/>
          </w:r>
          <w:r>
            <w:rPr>
              <w:sz w:val="24"/>
              <w:szCs w:val="24"/>
            </w:rPr>
            <w:instrText xml:space="preserve"> PAGEREF _Toc237088374 \h </w:instrText>
          </w:r>
          <w:r>
            <w:rPr>
              <w:sz w:val="24"/>
              <w:szCs w:val="24"/>
            </w:rPr>
            <w:fldChar w:fldCharType="separate"/>
          </w:r>
          <w:r>
            <w:rPr>
              <w:sz w:val="24"/>
              <w:szCs w:val="24"/>
            </w:rPr>
            <w:t>32</w:t>
          </w:r>
          <w:r>
            <w:rPr>
              <w:sz w:val="24"/>
              <w:szCs w:val="24"/>
            </w:rPr>
            <w:fldChar w:fldCharType="end"/>
          </w:r>
          <w:r>
            <w:rPr>
              <w:sz w:val="24"/>
              <w:szCs w:val="24"/>
            </w:rPr>
            <w:fldChar w:fldCharType="end"/>
          </w:r>
        </w:p>
        <w:p w14:paraId="2E8F3B3C">
          <w:pPr>
            <w:pStyle w:val="11"/>
            <w:tabs>
              <w:tab w:val="right" w:leader="dot" w:pos="9350"/>
            </w:tabs>
            <w:jc w:val="both"/>
            <w:rPr>
              <w:sz w:val="24"/>
              <w:szCs w:val="24"/>
            </w:rPr>
          </w:pPr>
          <w:r>
            <w:fldChar w:fldCharType="begin"/>
          </w:r>
          <w:r>
            <w:instrText xml:space="preserve"> HYPERLINK \l "_Toc237088375" </w:instrText>
          </w:r>
          <w:r>
            <w:fldChar w:fldCharType="separate"/>
          </w:r>
          <w:r>
            <w:rPr>
              <w:rStyle w:val="13"/>
              <w:sz w:val="24"/>
              <w:szCs w:val="24"/>
            </w:rPr>
            <w:t>2.6 Action Plan</w:t>
          </w:r>
          <w:r>
            <w:rPr>
              <w:sz w:val="24"/>
              <w:szCs w:val="24"/>
            </w:rPr>
            <w:tab/>
          </w:r>
          <w:r>
            <w:rPr>
              <w:sz w:val="24"/>
              <w:szCs w:val="24"/>
            </w:rPr>
            <w:fldChar w:fldCharType="begin"/>
          </w:r>
          <w:r>
            <w:rPr>
              <w:sz w:val="24"/>
              <w:szCs w:val="24"/>
            </w:rPr>
            <w:instrText xml:space="preserve"> PAGEREF _Toc237088375 \h </w:instrText>
          </w:r>
          <w:r>
            <w:rPr>
              <w:sz w:val="24"/>
              <w:szCs w:val="24"/>
            </w:rPr>
            <w:fldChar w:fldCharType="separate"/>
          </w:r>
          <w:r>
            <w:rPr>
              <w:sz w:val="24"/>
              <w:szCs w:val="24"/>
            </w:rPr>
            <w:t>33</w:t>
          </w:r>
          <w:r>
            <w:rPr>
              <w:sz w:val="24"/>
              <w:szCs w:val="24"/>
            </w:rPr>
            <w:fldChar w:fldCharType="end"/>
          </w:r>
          <w:r>
            <w:rPr>
              <w:sz w:val="24"/>
              <w:szCs w:val="24"/>
            </w:rPr>
            <w:fldChar w:fldCharType="end"/>
          </w:r>
        </w:p>
        <w:p w14:paraId="47E02824">
          <w:pPr>
            <w:pStyle w:val="10"/>
            <w:tabs>
              <w:tab w:val="right" w:leader="dot" w:pos="9350"/>
            </w:tabs>
            <w:jc w:val="both"/>
            <w:rPr>
              <w:sz w:val="24"/>
              <w:szCs w:val="24"/>
            </w:rPr>
          </w:pPr>
          <w:r>
            <w:fldChar w:fldCharType="begin"/>
          </w:r>
          <w:r>
            <w:instrText xml:space="preserve"> HYPERLINK \l "_Toc237088376" </w:instrText>
          </w:r>
          <w:r>
            <w:fldChar w:fldCharType="separate"/>
          </w:r>
          <w:r>
            <w:rPr>
              <w:rStyle w:val="13"/>
              <w:sz w:val="24"/>
              <w:szCs w:val="24"/>
            </w:rPr>
            <w:t>Reference list</w:t>
          </w:r>
          <w:r>
            <w:rPr>
              <w:sz w:val="24"/>
              <w:szCs w:val="24"/>
            </w:rPr>
            <w:tab/>
          </w:r>
          <w:r>
            <w:rPr>
              <w:sz w:val="24"/>
              <w:szCs w:val="24"/>
            </w:rPr>
            <w:fldChar w:fldCharType="begin"/>
          </w:r>
          <w:r>
            <w:rPr>
              <w:sz w:val="24"/>
              <w:szCs w:val="24"/>
            </w:rPr>
            <w:instrText xml:space="preserve"> PAGEREF _Toc237088376 \h </w:instrText>
          </w:r>
          <w:r>
            <w:rPr>
              <w:sz w:val="24"/>
              <w:szCs w:val="24"/>
            </w:rPr>
            <w:fldChar w:fldCharType="separate"/>
          </w:r>
          <w:r>
            <w:rPr>
              <w:sz w:val="24"/>
              <w:szCs w:val="24"/>
            </w:rPr>
            <w:t>34</w:t>
          </w:r>
          <w:r>
            <w:rPr>
              <w:sz w:val="24"/>
              <w:szCs w:val="24"/>
            </w:rPr>
            <w:fldChar w:fldCharType="end"/>
          </w:r>
          <w:r>
            <w:rPr>
              <w:sz w:val="24"/>
              <w:szCs w:val="24"/>
            </w:rPr>
            <w:fldChar w:fldCharType="end"/>
          </w:r>
        </w:p>
        <w:p w14:paraId="6BB277F4">
          <w:pPr>
            <w:jc w:val="both"/>
            <w:rPr>
              <w:sz w:val="28"/>
              <w:szCs w:val="28"/>
            </w:rPr>
          </w:pPr>
          <w:r>
            <w:rPr>
              <w:sz w:val="24"/>
              <w:szCs w:val="24"/>
            </w:rPr>
            <w:fldChar w:fldCharType="end"/>
          </w:r>
        </w:p>
      </w:sdtContent>
    </w:sdt>
    <w:p w14:paraId="38B0C83F">
      <w:pPr>
        <w:spacing w:line="360" w:lineRule="auto"/>
        <w:jc w:val="both"/>
        <w:rPr>
          <w:b/>
          <w:bCs/>
          <w:sz w:val="32"/>
          <w:szCs w:val="32"/>
        </w:rPr>
      </w:pPr>
      <w:r>
        <w:br w:type="page"/>
      </w:r>
    </w:p>
    <w:p w14:paraId="70FEF56C">
      <w:pPr>
        <w:pStyle w:val="2"/>
        <w:rPr>
          <w:rFonts w:ascii="Arial" w:hAnsi="Arial" w:eastAsia="Arial" w:cs="Arial"/>
          <w:b w:val="0"/>
          <w:bCs w:val="0"/>
        </w:rPr>
      </w:pPr>
      <w:bookmarkStart w:id="0" w:name="_Toc237088360"/>
      <w:r>
        <w:rPr>
          <w:rFonts w:ascii="Arial" w:hAnsi="Arial" w:eastAsia="Arial" w:cs="Arial"/>
        </w:rPr>
        <w:t>Section 1: Report on the International Market Entry Strategy and Marketing</w:t>
      </w:r>
      <w:r>
        <w:rPr>
          <w:rFonts w:ascii="Arial" w:hAnsi="Arial" w:eastAsia="Arial" w:cs="Arial"/>
          <w:b w:val="0"/>
          <w:bCs w:val="0"/>
        </w:rPr>
        <w:t xml:space="preserve"> </w:t>
      </w:r>
      <w:r>
        <w:rPr>
          <w:rFonts w:ascii="Arial" w:hAnsi="Arial" w:eastAsia="Arial" w:cs="Arial"/>
        </w:rPr>
        <w:t>Mix</w:t>
      </w:r>
      <w:bookmarkEnd w:id="0"/>
    </w:p>
    <w:p w14:paraId="001A1697">
      <w:pPr>
        <w:pStyle w:val="3"/>
        <w:rPr>
          <w:rFonts w:ascii="Arial" w:hAnsi="Arial" w:eastAsia="Arial" w:cs="Arial"/>
          <w:b w:val="0"/>
          <w:bCs w:val="0"/>
        </w:rPr>
      </w:pPr>
      <w:bookmarkStart w:id="1" w:name="_Toc237088361"/>
      <w:r>
        <w:rPr>
          <w:rFonts w:ascii="Arial" w:hAnsi="Arial" w:eastAsia="Arial" w:cs="Arial"/>
        </w:rPr>
        <w:t>1.1 Introduction</w:t>
      </w:r>
      <w:bookmarkEnd w:id="1"/>
      <w:r>
        <w:rPr>
          <w:rFonts w:ascii="Arial" w:hAnsi="Arial" w:eastAsia="Arial" w:cs="Arial"/>
        </w:rPr>
        <w:t xml:space="preserve"> </w:t>
      </w:r>
    </w:p>
    <w:p w14:paraId="03E15721">
      <w:pPr>
        <w:spacing w:line="360" w:lineRule="auto"/>
        <w:jc w:val="both"/>
        <w:rPr>
          <w:sz w:val="24"/>
          <w:szCs w:val="24"/>
        </w:rPr>
      </w:pPr>
      <w:r>
        <w:rPr>
          <w:sz w:val="24"/>
          <w:szCs w:val="24"/>
        </w:rPr>
        <w:t xml:space="preserve">The current report is a comparison between the marketing mix of Toyota in Japan, its home country and the USA, the largest country. The analysis includes the macro environment (PESTEL) analysis, cultural differences (Hofstede's dimensions), STP strategy, marketing mix, market entry approach, ethical consideration and future recommendations. </w:t>
      </w:r>
    </w:p>
    <w:p w14:paraId="76D85046">
      <w:pPr>
        <w:spacing w:line="360" w:lineRule="auto"/>
        <w:jc w:val="both"/>
        <w:rPr>
          <w:sz w:val="24"/>
          <w:szCs w:val="24"/>
          <w:highlight w:val="yellow"/>
        </w:rPr>
      </w:pPr>
      <w:r>
        <w:rPr>
          <w:b/>
          <w:bCs/>
          <w:sz w:val="24"/>
          <w:szCs w:val="24"/>
          <w:highlight w:val="yellow"/>
        </w:rPr>
        <w:t xml:space="preserve">Company Background: </w:t>
      </w:r>
      <w:r>
        <w:rPr>
          <w:sz w:val="24"/>
          <w:szCs w:val="24"/>
          <w:highlight w:val="yellow"/>
        </w:rPr>
        <w:t>Toyota Motor Corporation was established on 28 August 1937 and is headquartered in Japan. The main activities of the company consist of motor vehicle production and sales. As per current reports, Toyota reported 635 billion yen in capital and approximately 380,000 consolidated employees which demonstrates its substantial global scale (</w:t>
      </w:r>
      <w:r>
        <w:rPr>
          <w:sz w:val="24"/>
          <w:szCs w:val="24"/>
          <w:highlight w:val="yellow"/>
        </w:rPr>
        <w:t>global.toyota</w:t>
      </w:r>
      <w:r>
        <w:rPr>
          <w:sz w:val="24"/>
          <w:szCs w:val="24"/>
          <w:highlight w:val="yellow"/>
        </w:rPr>
        <w:t xml:space="preserve">. 2026). </w:t>
      </w:r>
    </w:p>
    <w:p w14:paraId="638C79FC">
      <w:pPr>
        <w:spacing w:line="360" w:lineRule="auto"/>
        <w:jc w:val="both"/>
        <w:rPr>
          <w:sz w:val="24"/>
          <w:szCs w:val="24"/>
          <w:highlight w:val="yellow"/>
        </w:rPr>
      </w:pPr>
      <w:r>
        <w:rPr>
          <w:b/>
          <w:bCs/>
          <w:sz w:val="24"/>
          <w:szCs w:val="24"/>
          <w:highlight w:val="yellow"/>
        </w:rPr>
        <w:t>Mission:</w:t>
      </w:r>
      <w:r>
        <w:rPr>
          <w:sz w:val="24"/>
          <w:szCs w:val="24"/>
          <w:highlight w:val="yellow"/>
        </w:rPr>
        <w:t xml:space="preserve"> The mission  of Toyota is to deliver reliable, innovative as well as value oriented products and services and ensure customer satisfaction, supporting employees along with creating sustainable value for stakeholders. </w:t>
      </w:r>
    </w:p>
    <w:p w14:paraId="1F30A977">
      <w:pPr>
        <w:spacing w:line="360" w:lineRule="auto"/>
        <w:jc w:val="both"/>
        <w:rPr>
          <w:sz w:val="24"/>
          <w:szCs w:val="24"/>
          <w:highlight w:val="yellow"/>
        </w:rPr>
      </w:pPr>
      <w:r>
        <w:rPr>
          <w:b/>
          <w:bCs/>
          <w:sz w:val="24"/>
          <w:szCs w:val="24"/>
          <w:highlight w:val="yellow"/>
        </w:rPr>
        <w:t>Vision:</w:t>
      </w:r>
      <w:r>
        <w:rPr>
          <w:sz w:val="24"/>
          <w:szCs w:val="24"/>
          <w:highlight w:val="yellow"/>
        </w:rPr>
        <w:t xml:space="preserve"> The vision of the company is to become a leading as well as trusted organisation within its industry by continuously improving performance, fostering innovation, promoting sustainability as well as creating value for customers along with society. </w:t>
      </w:r>
    </w:p>
    <w:p w14:paraId="28E209CE">
      <w:pPr>
        <w:pStyle w:val="3"/>
        <w:rPr>
          <w:rFonts w:ascii="Arial" w:hAnsi="Arial" w:eastAsia="Arial" w:cs="Arial"/>
        </w:rPr>
      </w:pPr>
      <w:bookmarkStart w:id="2" w:name="_Toc237088362"/>
      <w:r>
        <w:rPr>
          <w:rFonts w:ascii="Arial" w:hAnsi="Arial" w:eastAsia="Arial" w:cs="Arial"/>
        </w:rPr>
        <w:t>1.2 A comparative analysis of the market in Japan and the US: PESTLE Application</w:t>
      </w:r>
      <w:bookmarkEnd w:id="2"/>
      <w:r>
        <w:rPr>
          <w:rFonts w:ascii="Arial" w:hAnsi="Arial" w:eastAsia="Arial" w:cs="Arial"/>
        </w:rPr>
        <w:t xml:space="preserve"> </w:t>
      </w:r>
    </w:p>
    <w:p w14:paraId="029EF9EF">
      <w:pPr>
        <w:spacing w:before="280" w:line="360" w:lineRule="auto"/>
        <w:jc w:val="both"/>
        <w:rPr>
          <w:b/>
          <w:bCs/>
          <w:i/>
          <w:iCs/>
          <w:sz w:val="24"/>
          <w:szCs w:val="24"/>
          <w:u w:val="single"/>
        </w:rPr>
      </w:pPr>
      <w:r>
        <w:rPr>
          <w:b/>
          <w:bCs/>
          <w:i/>
          <w:iCs/>
          <w:sz w:val="24"/>
          <w:szCs w:val="24"/>
          <w:u w:val="single"/>
        </w:rPr>
        <w:t>Political Factors</w:t>
      </w:r>
    </w:p>
    <w:p w14:paraId="27E6EDFD">
      <w:pPr>
        <w:spacing w:before="240" w:after="40" w:line="360" w:lineRule="auto"/>
        <w:jc w:val="both"/>
        <w:rPr>
          <w:b/>
          <w:bCs/>
          <w:sz w:val="24"/>
          <w:szCs w:val="24"/>
        </w:rPr>
      </w:pPr>
      <w:r>
        <w:rPr>
          <w:b/>
          <w:bCs/>
          <w:sz w:val="24"/>
          <w:szCs w:val="24"/>
        </w:rPr>
        <w:t>Japan</w:t>
      </w:r>
    </w:p>
    <w:p w14:paraId="6144C42C">
      <w:pPr>
        <w:spacing w:before="240" w:after="240" w:line="360" w:lineRule="auto"/>
        <w:jc w:val="center"/>
        <w:rPr>
          <w:sz w:val="24"/>
          <w:szCs w:val="24"/>
        </w:rPr>
      </w:pPr>
      <w:r>
        <w:rPr>
          <w:sz w:val="24"/>
          <w:szCs w:val="24"/>
        </w:rPr>
        <w:drawing>
          <wp:inline distT="114300" distB="114300" distL="114300" distR="114300">
            <wp:extent cx="5524500" cy="218122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referRelativeResize="0"/>
                  </pic:nvPicPr>
                  <pic:blipFill>
                    <a:blip r:embed="rId7"/>
                    <a:srcRect/>
                    <a:stretch>
                      <a:fillRect/>
                    </a:stretch>
                  </pic:blipFill>
                  <pic:spPr>
                    <a:xfrm>
                      <a:off x="0" y="0"/>
                      <a:ext cx="5524500" cy="2181225"/>
                    </a:xfrm>
                    <a:prstGeom prst="rect">
                      <a:avLst/>
                    </a:prstGeom>
                  </pic:spPr>
                </pic:pic>
              </a:graphicData>
            </a:graphic>
          </wp:inline>
        </w:drawing>
      </w:r>
    </w:p>
    <w:p w14:paraId="2626C4D8">
      <w:pPr>
        <w:spacing w:before="240" w:after="240" w:line="360" w:lineRule="auto"/>
        <w:jc w:val="center"/>
        <w:rPr>
          <w:b/>
          <w:bCs/>
          <w:sz w:val="24"/>
          <w:szCs w:val="24"/>
        </w:rPr>
      </w:pPr>
      <w:r>
        <w:rPr>
          <w:b/>
          <w:bCs/>
          <w:sz w:val="24"/>
          <w:szCs w:val="24"/>
        </w:rPr>
        <w:t>Figure 1: Japan Political stability</w:t>
      </w:r>
    </w:p>
    <w:p w14:paraId="385A6BC9">
      <w:pPr>
        <w:spacing w:before="240" w:after="240" w:line="360" w:lineRule="auto"/>
        <w:jc w:val="center"/>
        <w:rPr>
          <w:sz w:val="24"/>
          <w:szCs w:val="24"/>
        </w:rPr>
      </w:pPr>
      <w:r>
        <w:rPr>
          <w:sz w:val="24"/>
          <w:szCs w:val="24"/>
        </w:rPr>
        <w:t>(Source: theglobaleconomy.com. 2024)</w:t>
      </w:r>
    </w:p>
    <w:p w14:paraId="7FE5C546">
      <w:pPr>
        <w:spacing w:before="240" w:after="240" w:line="360" w:lineRule="auto"/>
        <w:jc w:val="both"/>
        <w:rPr>
          <w:sz w:val="24"/>
          <w:szCs w:val="24"/>
        </w:rPr>
      </w:pPr>
      <w:r>
        <w:rPr>
          <w:sz w:val="24"/>
          <w:szCs w:val="24"/>
        </w:rPr>
        <w:t xml:space="preserve">Japan has very stable political conditions (1.13 political index in 2024) with stable government policies, low corruption and strong institutional government (theglobaleconomy.com. 2024). Toyota and the other car companies will be rewarded as the world moves towards an economy based on no carbon, and to the cutting edge of manufacturing technology. </w:t>
      </w:r>
    </w:p>
    <w:p w14:paraId="2CCE04AB">
      <w:pPr>
        <w:spacing w:before="240" w:after="40" w:line="360" w:lineRule="auto"/>
        <w:jc w:val="both"/>
        <w:rPr>
          <w:b/>
          <w:bCs/>
          <w:sz w:val="24"/>
          <w:szCs w:val="24"/>
        </w:rPr>
      </w:pPr>
      <w:r>
        <w:rPr>
          <w:b/>
          <w:bCs/>
          <w:sz w:val="24"/>
          <w:szCs w:val="24"/>
        </w:rPr>
        <w:t>United States</w:t>
      </w:r>
    </w:p>
    <w:p w14:paraId="7695DFDF">
      <w:pPr>
        <w:spacing w:before="240" w:after="240" w:line="360" w:lineRule="auto"/>
        <w:jc w:val="both"/>
        <w:rPr>
          <w:sz w:val="24"/>
          <w:szCs w:val="24"/>
        </w:rPr>
      </w:pPr>
      <w:r>
        <w:rPr>
          <w:sz w:val="24"/>
          <w:szCs w:val="24"/>
        </w:rPr>
        <w:t xml:space="preserve">In addition, the American political system remains fairly stable (-0.10 political index in 2024) and has more policy variation than other political systems due to the change in presidential administrations (theglobaleconomy.com. 2024). Automotive standards and taxes and trade restrictions may result from government priorities and vary widely from country to country.  </w:t>
      </w:r>
    </w:p>
    <w:p w14:paraId="6EBA605A">
      <w:pPr>
        <w:spacing w:before="240" w:after="240" w:line="360" w:lineRule="auto"/>
        <w:jc w:val="center"/>
        <w:rPr>
          <w:b/>
          <w:bCs/>
          <w:sz w:val="24"/>
          <w:szCs w:val="24"/>
        </w:rPr>
      </w:pPr>
      <w:r>
        <w:rPr>
          <w:sz w:val="24"/>
          <w:szCs w:val="24"/>
        </w:rPr>
        <w:drawing>
          <wp:inline distT="114300" distB="114300" distL="114300" distR="114300">
            <wp:extent cx="5943600" cy="23622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referRelativeResize="0"/>
                  </pic:nvPicPr>
                  <pic:blipFill>
                    <a:blip r:embed="rId8"/>
                    <a:srcRect/>
                    <a:stretch>
                      <a:fillRect/>
                    </a:stretch>
                  </pic:blipFill>
                  <pic:spPr>
                    <a:xfrm>
                      <a:off x="0" y="0"/>
                      <a:ext cx="5943600" cy="2362200"/>
                    </a:xfrm>
                    <a:prstGeom prst="rect">
                      <a:avLst/>
                    </a:prstGeom>
                  </pic:spPr>
                </pic:pic>
              </a:graphicData>
            </a:graphic>
          </wp:inline>
        </w:drawing>
      </w:r>
      <w:r>
        <w:rPr>
          <w:sz w:val="24"/>
          <w:szCs w:val="24"/>
        </w:rPr>
        <w:t>.</w:t>
      </w:r>
      <w:r>
        <w:rPr>
          <w:b/>
          <w:bCs/>
          <w:sz w:val="24"/>
          <w:szCs w:val="24"/>
        </w:rPr>
        <w:t>Figure 2: US Political stability</w:t>
      </w:r>
    </w:p>
    <w:p w14:paraId="7F0F3DB9">
      <w:pPr>
        <w:spacing w:before="240" w:after="240" w:line="360" w:lineRule="auto"/>
        <w:jc w:val="center"/>
        <w:rPr>
          <w:sz w:val="24"/>
          <w:szCs w:val="24"/>
        </w:rPr>
      </w:pPr>
      <w:r>
        <w:rPr>
          <w:sz w:val="24"/>
          <w:szCs w:val="24"/>
        </w:rPr>
        <w:t>(Source: theglobaleconomy.com. 2024)</w:t>
      </w:r>
    </w:p>
    <w:p w14:paraId="06BFEB1B">
      <w:pPr>
        <w:spacing w:before="240" w:after="40" w:line="360" w:lineRule="auto"/>
        <w:jc w:val="both"/>
        <w:rPr>
          <w:b/>
          <w:bCs/>
          <w:sz w:val="24"/>
          <w:szCs w:val="24"/>
        </w:rPr>
      </w:pPr>
      <w:r>
        <w:rPr>
          <w:b/>
          <w:bCs/>
          <w:sz w:val="24"/>
          <w:szCs w:val="24"/>
        </w:rPr>
        <w:t>Similarities and Differences</w:t>
      </w:r>
    </w:p>
    <w:p w14:paraId="0BAB18E5">
      <w:pPr>
        <w:spacing w:before="240" w:after="240" w:line="360" w:lineRule="auto"/>
        <w:jc w:val="both"/>
        <w:rPr>
          <w:sz w:val="24"/>
          <w:szCs w:val="24"/>
        </w:rPr>
      </w:pPr>
      <w:r>
        <w:rPr>
          <w:sz w:val="24"/>
          <w:szCs w:val="24"/>
        </w:rPr>
        <w:t xml:space="preserve">Both have stable politics, but reliability on the plans of Toyota is less because it has more stable policies and long-term industrial plans in Japan. There is a growing political risk uncertainty in the U.S. regarding the potential changes in trade and environmental regulations, whereas there is more potential market size in the U.S (Kobrin, 2022). However, the U.S. market offers operating and investment options that are more flexible than in Japan, where the car maker is subject to strict rules and regulations. </w:t>
      </w:r>
    </w:p>
    <w:p w14:paraId="3DE6B181">
      <w:pPr>
        <w:spacing w:before="280" w:line="360" w:lineRule="auto"/>
        <w:jc w:val="both"/>
        <w:rPr>
          <w:b/>
          <w:bCs/>
          <w:sz w:val="24"/>
          <w:szCs w:val="24"/>
          <w:u w:val="single"/>
        </w:rPr>
      </w:pPr>
      <w:r>
        <w:rPr>
          <w:b/>
          <w:bCs/>
          <w:sz w:val="24"/>
          <w:szCs w:val="24"/>
          <w:u w:val="single"/>
        </w:rPr>
        <w:t>Economic Factors</w:t>
      </w:r>
    </w:p>
    <w:p w14:paraId="56347110">
      <w:pPr>
        <w:spacing w:before="240" w:after="40" w:line="360" w:lineRule="auto"/>
        <w:jc w:val="both"/>
        <w:rPr>
          <w:b/>
          <w:bCs/>
          <w:sz w:val="24"/>
          <w:szCs w:val="24"/>
        </w:rPr>
      </w:pPr>
      <w:r>
        <w:rPr>
          <w:b/>
          <w:bCs/>
          <w:sz w:val="24"/>
          <w:szCs w:val="24"/>
        </w:rPr>
        <w:t>Japan</w:t>
      </w:r>
    </w:p>
    <w:p w14:paraId="34E24C6E">
      <w:pPr>
        <w:spacing w:before="240" w:after="240" w:line="360" w:lineRule="auto"/>
        <w:jc w:val="both"/>
        <w:rPr>
          <w:sz w:val="24"/>
          <w:szCs w:val="24"/>
        </w:rPr>
      </w:pPr>
      <w:r>
        <w:rPr>
          <w:sz w:val="24"/>
          <w:szCs w:val="24"/>
        </w:rPr>
        <w:t xml:space="preserve">Japan is one of the world's most developed economies by maintaining 1.075% real GDP growth in July 2025, boasts high earnings and a well-developed manufacturing base and advanced supply chains (ceicdata.com. 2025). However, the population growth in the country is low, and ageing and consumer demand are moderate, while economic growth is relatively low. </w:t>
      </w:r>
    </w:p>
    <w:p w14:paraId="689AD4BA">
      <w:pPr>
        <w:spacing w:before="240" w:after="240" w:line="360" w:lineRule="auto"/>
        <w:jc w:val="center"/>
        <w:rPr>
          <w:sz w:val="24"/>
          <w:szCs w:val="24"/>
        </w:rPr>
      </w:pPr>
      <w:r>
        <w:rPr>
          <w:sz w:val="24"/>
          <w:szCs w:val="24"/>
        </w:rPr>
        <w:drawing>
          <wp:inline distT="114300" distB="114300" distL="114300" distR="114300">
            <wp:extent cx="5943600" cy="247650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5" name="image10.png"/>
                    <pic:cNvPicPr preferRelativeResize="0"/>
                  </pic:nvPicPr>
                  <pic:blipFill>
                    <a:blip r:embed="rId9"/>
                    <a:srcRect/>
                    <a:stretch>
                      <a:fillRect/>
                    </a:stretch>
                  </pic:blipFill>
                  <pic:spPr>
                    <a:xfrm>
                      <a:off x="0" y="0"/>
                      <a:ext cx="5943600" cy="2476500"/>
                    </a:xfrm>
                    <a:prstGeom prst="rect">
                      <a:avLst/>
                    </a:prstGeom>
                  </pic:spPr>
                </pic:pic>
              </a:graphicData>
            </a:graphic>
          </wp:inline>
        </w:drawing>
      </w:r>
    </w:p>
    <w:p w14:paraId="16DFC953">
      <w:pPr>
        <w:spacing w:before="240" w:after="240" w:line="360" w:lineRule="auto"/>
        <w:jc w:val="center"/>
        <w:rPr>
          <w:b/>
          <w:bCs/>
          <w:sz w:val="24"/>
          <w:szCs w:val="24"/>
        </w:rPr>
      </w:pPr>
      <w:r>
        <w:rPr>
          <w:sz w:val="24"/>
          <w:szCs w:val="24"/>
        </w:rPr>
        <w:t>.</w:t>
      </w:r>
      <w:r>
        <w:rPr>
          <w:b/>
          <w:bCs/>
          <w:sz w:val="24"/>
          <w:szCs w:val="24"/>
        </w:rPr>
        <w:t>Figure 3: Japan real GDP growth</w:t>
      </w:r>
    </w:p>
    <w:p w14:paraId="223B4241">
      <w:pPr>
        <w:spacing w:before="240" w:after="240" w:line="360" w:lineRule="auto"/>
        <w:jc w:val="center"/>
        <w:rPr>
          <w:sz w:val="24"/>
          <w:szCs w:val="24"/>
        </w:rPr>
      </w:pPr>
      <w:r>
        <w:rPr>
          <w:sz w:val="24"/>
          <w:szCs w:val="24"/>
        </w:rPr>
        <w:t>(Source: ceicdata.com. 2025)</w:t>
      </w:r>
    </w:p>
    <w:p w14:paraId="56698DEE">
      <w:pPr>
        <w:spacing w:before="240" w:after="40" w:line="360" w:lineRule="auto"/>
        <w:jc w:val="both"/>
        <w:rPr>
          <w:b/>
          <w:bCs/>
          <w:sz w:val="24"/>
          <w:szCs w:val="24"/>
        </w:rPr>
      </w:pPr>
      <w:r>
        <w:rPr>
          <w:b/>
          <w:bCs/>
          <w:sz w:val="24"/>
          <w:szCs w:val="24"/>
        </w:rPr>
        <w:t>United States</w:t>
      </w:r>
    </w:p>
    <w:p w14:paraId="2A76C6E4">
      <w:pPr>
        <w:spacing w:before="240" w:after="240" w:line="360" w:lineRule="auto"/>
        <w:jc w:val="both"/>
        <w:rPr>
          <w:sz w:val="24"/>
          <w:szCs w:val="24"/>
        </w:rPr>
      </w:pPr>
      <w:r>
        <w:rPr>
          <w:sz w:val="24"/>
          <w:szCs w:val="24"/>
        </w:rPr>
        <w:t>The United States is the biggest personal vehicle and high disposable income consumer market in the world and has a very high purchasing power. Manufacturers are offering a good profit opportunity with the larger pickup trucks, SUVs and upscale vehicles consumers are buying.</w:t>
      </w:r>
    </w:p>
    <w:p w14:paraId="29B8F418">
      <w:pPr>
        <w:spacing w:before="240" w:after="240" w:line="360" w:lineRule="auto"/>
        <w:jc w:val="center"/>
        <w:rPr>
          <w:sz w:val="24"/>
          <w:szCs w:val="24"/>
        </w:rPr>
      </w:pPr>
      <w:r>
        <w:rPr>
          <w:sz w:val="24"/>
          <w:szCs w:val="24"/>
        </w:rPr>
        <w:drawing>
          <wp:inline distT="114300" distB="114300" distL="114300" distR="114300">
            <wp:extent cx="4500245" cy="4500245"/>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4" name="image12.png"/>
                    <pic:cNvPicPr preferRelativeResize="0"/>
                  </pic:nvPicPr>
                  <pic:blipFill>
                    <a:blip r:embed="rId10"/>
                    <a:srcRect/>
                    <a:stretch>
                      <a:fillRect/>
                    </a:stretch>
                  </pic:blipFill>
                  <pic:spPr>
                    <a:xfrm>
                      <a:off x="0" y="0"/>
                      <a:ext cx="4500563" cy="4500563"/>
                    </a:xfrm>
                    <a:prstGeom prst="rect">
                      <a:avLst/>
                    </a:prstGeom>
                  </pic:spPr>
                </pic:pic>
              </a:graphicData>
            </a:graphic>
          </wp:inline>
        </w:drawing>
      </w:r>
    </w:p>
    <w:p w14:paraId="3778F956">
      <w:pPr>
        <w:spacing w:before="240" w:after="240" w:line="360" w:lineRule="auto"/>
        <w:jc w:val="center"/>
        <w:rPr>
          <w:b/>
          <w:bCs/>
          <w:sz w:val="24"/>
          <w:szCs w:val="24"/>
        </w:rPr>
      </w:pPr>
      <w:r>
        <w:rPr>
          <w:sz w:val="24"/>
          <w:szCs w:val="24"/>
        </w:rPr>
        <w:t>.</w:t>
      </w:r>
      <w:r>
        <w:rPr>
          <w:b/>
          <w:bCs/>
          <w:sz w:val="24"/>
          <w:szCs w:val="24"/>
        </w:rPr>
        <w:t>Figure 4: US real GDP growth</w:t>
      </w:r>
    </w:p>
    <w:p w14:paraId="3702300F">
      <w:pPr>
        <w:spacing w:before="240" w:after="240" w:line="360" w:lineRule="auto"/>
        <w:jc w:val="center"/>
        <w:rPr>
          <w:sz w:val="24"/>
          <w:szCs w:val="24"/>
        </w:rPr>
      </w:pPr>
      <w:r>
        <w:rPr>
          <w:sz w:val="24"/>
          <w:szCs w:val="24"/>
        </w:rPr>
        <w:t>(Source: Richter, 2024)</w:t>
      </w:r>
    </w:p>
    <w:p w14:paraId="69FA84CA">
      <w:pPr>
        <w:spacing w:before="240" w:after="40" w:line="360" w:lineRule="auto"/>
        <w:jc w:val="both"/>
        <w:rPr>
          <w:b/>
          <w:bCs/>
          <w:sz w:val="24"/>
          <w:szCs w:val="24"/>
        </w:rPr>
      </w:pPr>
      <w:r>
        <w:rPr>
          <w:b/>
          <w:bCs/>
          <w:sz w:val="24"/>
          <w:szCs w:val="24"/>
        </w:rPr>
        <w:t>Similarities and Differences</w:t>
      </w:r>
    </w:p>
    <w:p w14:paraId="4AC53550">
      <w:pPr>
        <w:spacing w:before="240" w:after="240" w:line="360" w:lineRule="auto"/>
        <w:jc w:val="both"/>
        <w:rPr>
          <w:sz w:val="24"/>
          <w:szCs w:val="24"/>
        </w:rPr>
      </w:pPr>
      <w:r>
        <w:rPr>
          <w:sz w:val="24"/>
          <w:szCs w:val="24"/>
        </w:rPr>
        <w:t>In terms of economy, the population size and the demand of the U.S. have the potential of more growth and vehicle sales than Japan. But, Japanese manufacturing is more efficient, there are more skilled workers in their industry, and the supply chain is more reliable (Kanike, 2023). Toyota sees Japan as their research and development headquarters and the world's manufacturing unit and a significant portion of the company's sales activity in the higher margin, larger U.S. auto market.</w:t>
      </w:r>
    </w:p>
    <w:p w14:paraId="0A9B288A">
      <w:pPr>
        <w:spacing w:before="280" w:line="360" w:lineRule="auto"/>
        <w:jc w:val="both"/>
        <w:rPr>
          <w:b/>
          <w:bCs/>
          <w:sz w:val="24"/>
          <w:szCs w:val="24"/>
        </w:rPr>
      </w:pPr>
    </w:p>
    <w:p w14:paraId="7D6EEDE0">
      <w:pPr>
        <w:spacing w:before="280" w:line="360" w:lineRule="auto"/>
        <w:jc w:val="both"/>
        <w:rPr>
          <w:b/>
          <w:bCs/>
          <w:sz w:val="24"/>
          <w:szCs w:val="24"/>
          <w:u w:val="single"/>
        </w:rPr>
      </w:pPr>
      <w:r>
        <w:rPr>
          <w:b/>
          <w:bCs/>
          <w:sz w:val="24"/>
          <w:szCs w:val="24"/>
          <w:u w:val="single"/>
        </w:rPr>
        <w:t>Social Factors</w:t>
      </w:r>
    </w:p>
    <w:p w14:paraId="23A8AFF9">
      <w:pPr>
        <w:spacing w:before="240" w:after="40" w:line="360" w:lineRule="auto"/>
        <w:jc w:val="both"/>
        <w:rPr>
          <w:b/>
          <w:bCs/>
          <w:sz w:val="24"/>
          <w:szCs w:val="24"/>
        </w:rPr>
      </w:pPr>
      <w:r>
        <w:rPr>
          <w:b/>
          <w:bCs/>
          <w:sz w:val="24"/>
          <w:szCs w:val="24"/>
        </w:rPr>
        <w:t>Japan</w:t>
      </w:r>
    </w:p>
    <w:p w14:paraId="1973B834">
      <w:pPr>
        <w:spacing w:before="240" w:after="240" w:line="360" w:lineRule="auto"/>
        <w:jc w:val="both"/>
        <w:rPr>
          <w:sz w:val="24"/>
          <w:szCs w:val="24"/>
        </w:rPr>
      </w:pPr>
      <w:r>
        <w:rPr>
          <w:sz w:val="24"/>
          <w:szCs w:val="24"/>
        </w:rPr>
        <w:t xml:space="preserve">Consumers consider the important points to be the quality, reliability, safety, fuel efficiency and product innovation in Japan (Bera </w:t>
      </w:r>
      <w:r>
        <w:rPr>
          <w:i/>
          <w:iCs/>
          <w:sz w:val="24"/>
          <w:szCs w:val="24"/>
        </w:rPr>
        <w:t>et al.,</w:t>
      </w:r>
      <w:r>
        <w:rPr>
          <w:sz w:val="24"/>
          <w:szCs w:val="24"/>
        </w:rPr>
        <w:t xml:space="preserve"> 2025). A demand for the environment, safety and compactness of vehicles due to the ageing population. </w:t>
      </w:r>
    </w:p>
    <w:p w14:paraId="076E6714">
      <w:pPr>
        <w:spacing w:before="240" w:after="240" w:line="360" w:lineRule="auto"/>
        <w:jc w:val="both"/>
        <w:rPr>
          <w:b/>
          <w:bCs/>
          <w:sz w:val="24"/>
          <w:szCs w:val="24"/>
        </w:rPr>
      </w:pPr>
      <w:r>
        <w:rPr>
          <w:b/>
          <w:bCs/>
          <w:sz w:val="24"/>
          <w:szCs w:val="24"/>
        </w:rPr>
        <w:t>United States</w:t>
      </w:r>
    </w:p>
    <w:p w14:paraId="317528FB">
      <w:pPr>
        <w:spacing w:before="240" w:after="240" w:line="360" w:lineRule="auto"/>
        <w:jc w:val="both"/>
        <w:rPr>
          <w:sz w:val="24"/>
          <w:szCs w:val="24"/>
        </w:rPr>
      </w:pPr>
      <w:r>
        <w:rPr>
          <w:sz w:val="24"/>
          <w:szCs w:val="24"/>
        </w:rPr>
        <w:t xml:space="preserve">American consumers consider the size, comfort, performance, cutting-edge technology and design of a car (Mateen </w:t>
      </w:r>
      <w:r>
        <w:rPr>
          <w:i/>
          <w:iCs/>
          <w:sz w:val="24"/>
          <w:szCs w:val="24"/>
        </w:rPr>
        <w:t>et al.,</w:t>
      </w:r>
      <w:r>
        <w:rPr>
          <w:sz w:val="24"/>
          <w:szCs w:val="24"/>
        </w:rPr>
        <w:t xml:space="preserve"> 2025). SUVs, pickup trucks and crossover vehicles are among the most popular cars sold due to the size of the roads, suburban living.</w:t>
      </w:r>
    </w:p>
    <w:p w14:paraId="76B2004B">
      <w:pPr>
        <w:spacing w:before="240" w:after="40" w:line="360" w:lineRule="auto"/>
        <w:jc w:val="both"/>
        <w:rPr>
          <w:b/>
          <w:bCs/>
          <w:sz w:val="24"/>
          <w:szCs w:val="24"/>
        </w:rPr>
      </w:pPr>
      <w:r>
        <w:rPr>
          <w:b/>
          <w:bCs/>
          <w:sz w:val="24"/>
          <w:szCs w:val="24"/>
        </w:rPr>
        <w:t>Similarities and Differences</w:t>
      </w:r>
    </w:p>
    <w:p w14:paraId="25C238A8">
      <w:pPr>
        <w:spacing w:before="240" w:after="240" w:line="360" w:lineRule="auto"/>
        <w:jc w:val="both"/>
        <w:rPr>
          <w:sz w:val="24"/>
          <w:szCs w:val="24"/>
        </w:rPr>
      </w:pPr>
      <w:r>
        <w:rPr>
          <w:sz w:val="24"/>
          <w:szCs w:val="24"/>
        </w:rPr>
        <w:t>The preferences of consumers are greatly different in the two markets. The main interests of Japanese buyers are efficiency, reliability, and utility, while US buyers' interests are performance, size of car and lifestyle. Toyota's development of its product mix has been an effective one, as has been the development of smaller hybrid cars which it has been selling in Japan, and Toyota's massive product diversification in the U.S. with its SUVs, trucks and larger hybrid cars.</w:t>
      </w:r>
    </w:p>
    <w:p w14:paraId="27043ECE">
      <w:pPr>
        <w:spacing w:before="280" w:line="360" w:lineRule="auto"/>
        <w:jc w:val="both"/>
        <w:rPr>
          <w:b/>
          <w:bCs/>
          <w:sz w:val="24"/>
          <w:szCs w:val="24"/>
          <w:u w:val="single"/>
        </w:rPr>
      </w:pPr>
      <w:r>
        <w:rPr>
          <w:b/>
          <w:bCs/>
          <w:sz w:val="24"/>
          <w:szCs w:val="24"/>
          <w:u w:val="single"/>
        </w:rPr>
        <w:t>Technological Factors</w:t>
      </w:r>
    </w:p>
    <w:p w14:paraId="68EA1A08">
      <w:pPr>
        <w:spacing w:before="240" w:after="40" w:line="360" w:lineRule="auto"/>
        <w:jc w:val="both"/>
        <w:rPr>
          <w:b/>
          <w:bCs/>
          <w:sz w:val="24"/>
          <w:szCs w:val="24"/>
        </w:rPr>
      </w:pPr>
      <w:r>
        <w:rPr>
          <w:b/>
          <w:bCs/>
          <w:sz w:val="24"/>
          <w:szCs w:val="24"/>
        </w:rPr>
        <w:t>Japan</w:t>
      </w:r>
    </w:p>
    <w:p w14:paraId="77F5A3C2">
      <w:pPr>
        <w:spacing w:before="240" w:after="240" w:line="360" w:lineRule="auto"/>
        <w:jc w:val="both"/>
        <w:rPr>
          <w:sz w:val="24"/>
          <w:szCs w:val="24"/>
        </w:rPr>
      </w:pPr>
      <w:r>
        <w:rPr>
          <w:sz w:val="24"/>
          <w:szCs w:val="24"/>
        </w:rPr>
        <w:t xml:space="preserve">Japan is known in the world for Technological innovations, Robotics, Precision engineering and Advanced automotive development. Toyota has a huge research and development budget dedicated to connected mobility, battery technology, hydrogen fuel-cell technology, AI and autonomous driving solutions (Abro </w:t>
      </w:r>
      <w:r>
        <w:rPr>
          <w:i/>
          <w:iCs/>
          <w:sz w:val="24"/>
          <w:szCs w:val="24"/>
        </w:rPr>
        <w:t>et al.,</w:t>
      </w:r>
      <w:r>
        <w:rPr>
          <w:sz w:val="24"/>
          <w:szCs w:val="24"/>
        </w:rPr>
        <w:t xml:space="preserve"> 2023). </w:t>
      </w:r>
    </w:p>
    <w:p w14:paraId="2598372C">
      <w:pPr>
        <w:spacing w:before="240" w:after="240" w:line="360" w:lineRule="auto"/>
        <w:jc w:val="both"/>
        <w:rPr>
          <w:b/>
          <w:bCs/>
          <w:sz w:val="24"/>
          <w:szCs w:val="24"/>
        </w:rPr>
      </w:pPr>
      <w:r>
        <w:rPr>
          <w:b/>
          <w:bCs/>
          <w:sz w:val="24"/>
          <w:szCs w:val="24"/>
        </w:rPr>
        <w:t>United States</w:t>
      </w:r>
    </w:p>
    <w:p w14:paraId="5B8969D3">
      <w:pPr>
        <w:spacing w:before="240" w:after="240" w:line="360" w:lineRule="auto"/>
        <w:jc w:val="both"/>
        <w:rPr>
          <w:sz w:val="24"/>
          <w:szCs w:val="24"/>
        </w:rPr>
      </w:pPr>
      <w:r>
        <w:rPr>
          <w:sz w:val="24"/>
          <w:szCs w:val="24"/>
        </w:rPr>
        <w:t>The U.S. software, AI, digital connectivity and autonomous vehicle technologies are leading the way in innovation. Tesla, Google, Nvidia, and countless software developers are towing the digital transformation bandwagon in the automobile industry (Yaacoub, 2024). The uptake by consumers is also very quick for connected vehicles, digital services and ‘over-the-air' software updates.</w:t>
      </w:r>
    </w:p>
    <w:p w14:paraId="41ADB17F">
      <w:pPr>
        <w:spacing w:before="240" w:after="40" w:line="360" w:lineRule="auto"/>
        <w:jc w:val="both"/>
        <w:rPr>
          <w:b/>
          <w:bCs/>
          <w:sz w:val="24"/>
          <w:szCs w:val="24"/>
        </w:rPr>
      </w:pPr>
      <w:r>
        <w:rPr>
          <w:b/>
          <w:bCs/>
          <w:sz w:val="24"/>
          <w:szCs w:val="24"/>
        </w:rPr>
        <w:t>Similarities and Differences</w:t>
      </w:r>
    </w:p>
    <w:p w14:paraId="3F7F39EA">
      <w:pPr>
        <w:spacing w:before="240" w:after="240" w:line="360" w:lineRule="auto"/>
        <w:jc w:val="both"/>
        <w:rPr>
          <w:sz w:val="24"/>
          <w:szCs w:val="24"/>
        </w:rPr>
      </w:pPr>
      <w:r>
        <w:rPr>
          <w:sz w:val="24"/>
          <w:szCs w:val="24"/>
        </w:rPr>
        <w:t>Manufacturing excellence, Engineering innovation is a UK strength while on the other hand, Digital technologies, software integration and disruptive automotive innovation is a USA strength. Toyota's manufacturing strength and collaborations and investments in the U.S. tech landscape will enable them to be a major force in the future mobility industry.</w:t>
      </w:r>
    </w:p>
    <w:p w14:paraId="0EDDAB9D">
      <w:pPr>
        <w:spacing w:before="280" w:line="360" w:lineRule="auto"/>
        <w:jc w:val="both"/>
        <w:rPr>
          <w:b/>
          <w:bCs/>
          <w:sz w:val="24"/>
          <w:szCs w:val="24"/>
          <w:u w:val="single"/>
        </w:rPr>
      </w:pPr>
      <w:r>
        <w:rPr>
          <w:b/>
          <w:bCs/>
          <w:sz w:val="24"/>
          <w:szCs w:val="24"/>
          <w:u w:val="single"/>
        </w:rPr>
        <w:t>Environmental Factors</w:t>
      </w:r>
    </w:p>
    <w:p w14:paraId="690D6533">
      <w:pPr>
        <w:spacing w:before="240" w:after="40" w:line="360" w:lineRule="auto"/>
        <w:jc w:val="both"/>
        <w:rPr>
          <w:b/>
          <w:bCs/>
          <w:sz w:val="24"/>
          <w:szCs w:val="24"/>
        </w:rPr>
      </w:pPr>
      <w:r>
        <w:rPr>
          <w:b/>
          <w:bCs/>
          <w:sz w:val="24"/>
          <w:szCs w:val="24"/>
        </w:rPr>
        <w:t>Japan</w:t>
      </w:r>
    </w:p>
    <w:p w14:paraId="41F03416">
      <w:pPr>
        <w:spacing w:before="240" w:after="240" w:line="360" w:lineRule="auto"/>
        <w:jc w:val="both"/>
        <w:rPr>
          <w:sz w:val="24"/>
          <w:szCs w:val="24"/>
        </w:rPr>
      </w:pPr>
      <w:r>
        <w:rPr>
          <w:sz w:val="24"/>
          <w:szCs w:val="24"/>
        </w:rPr>
        <w:t xml:space="preserve">Japan has set out with high ambitions on the environment and has become more and more ambitious about becoming carbon neutral, providing a significant amount of renewable energy, reducing emissions and also sustainable manufacturing (Zhang </w:t>
      </w:r>
      <w:r>
        <w:rPr>
          <w:i/>
          <w:iCs/>
          <w:sz w:val="24"/>
          <w:szCs w:val="24"/>
        </w:rPr>
        <w:t>et al.,</w:t>
      </w:r>
      <w:r>
        <w:rPr>
          <w:sz w:val="24"/>
          <w:szCs w:val="24"/>
        </w:rPr>
        <w:t xml:space="preserve"> 2024). The government's efforts to support hydrogen technologies and hybrid vehicles are well aligned with Toyota's sustainability approach, which has long been focused on reducing CO</w:t>
      </w:r>
      <w:r>
        <w:rPr>
          <w:rFonts w:ascii="Cambria Math" w:hAnsi="Cambria Math" w:eastAsia="Cambria Math" w:cs="Cambria Math"/>
          <w:sz w:val="24"/>
          <w:szCs w:val="24"/>
        </w:rPr>
        <w:t>₂</w:t>
      </w:r>
      <w:r>
        <w:rPr>
          <w:sz w:val="24"/>
          <w:szCs w:val="24"/>
        </w:rPr>
        <w:t xml:space="preserve"> emissions.</w:t>
      </w:r>
    </w:p>
    <w:p w14:paraId="370B12AC">
      <w:pPr>
        <w:spacing w:before="240" w:after="240" w:line="360" w:lineRule="auto"/>
        <w:jc w:val="both"/>
        <w:rPr>
          <w:b/>
          <w:bCs/>
          <w:sz w:val="24"/>
          <w:szCs w:val="24"/>
        </w:rPr>
      </w:pPr>
      <w:r>
        <w:rPr>
          <w:b/>
          <w:bCs/>
          <w:sz w:val="24"/>
          <w:szCs w:val="24"/>
        </w:rPr>
        <w:t>United States</w:t>
      </w:r>
    </w:p>
    <w:p w14:paraId="3ED832CA">
      <w:pPr>
        <w:spacing w:before="240" w:after="240" w:line="360" w:lineRule="auto"/>
        <w:jc w:val="both"/>
        <w:rPr>
          <w:sz w:val="24"/>
          <w:szCs w:val="24"/>
        </w:rPr>
      </w:pPr>
      <w:r>
        <w:rPr>
          <w:sz w:val="24"/>
          <w:szCs w:val="24"/>
        </w:rPr>
        <w:t xml:space="preserve">There are significant differences in the environmental laws of the federal and state jurisdictions. California has strict emissions regulations, and actively promotes EV use with funding incentives (Ajeigbe and Holt, 202). </w:t>
      </w:r>
    </w:p>
    <w:p w14:paraId="07215537">
      <w:pPr>
        <w:spacing w:before="240" w:after="40" w:line="360" w:lineRule="auto"/>
        <w:jc w:val="both"/>
        <w:rPr>
          <w:b/>
          <w:bCs/>
          <w:sz w:val="24"/>
          <w:szCs w:val="24"/>
        </w:rPr>
      </w:pPr>
      <w:r>
        <w:rPr>
          <w:b/>
          <w:bCs/>
          <w:sz w:val="24"/>
          <w:szCs w:val="24"/>
        </w:rPr>
        <w:t>Similarities and Differences</w:t>
      </w:r>
    </w:p>
    <w:p w14:paraId="24CECCB0">
      <w:pPr>
        <w:spacing w:before="240" w:after="240" w:line="360" w:lineRule="auto"/>
        <w:jc w:val="both"/>
        <w:rPr>
          <w:sz w:val="24"/>
          <w:szCs w:val="24"/>
        </w:rPr>
      </w:pPr>
      <w:r>
        <w:rPr>
          <w:sz w:val="24"/>
          <w:szCs w:val="24"/>
        </w:rPr>
        <w:t>Both nations are making efforts to improve the sustainability of their economies, but Japan's efforts are more consistent and have a longer-term focus on carbon neutrality. The opportunities for EVs are growing at a faster pace in the U.S., while there are regional variations in environmental regulations and consumer preferences.</w:t>
      </w:r>
    </w:p>
    <w:p w14:paraId="2C8F4E23">
      <w:pPr>
        <w:spacing w:before="280" w:line="360" w:lineRule="auto"/>
        <w:jc w:val="both"/>
        <w:rPr>
          <w:b/>
          <w:bCs/>
          <w:sz w:val="24"/>
          <w:szCs w:val="24"/>
          <w:u w:val="single"/>
        </w:rPr>
      </w:pPr>
      <w:r>
        <w:rPr>
          <w:b/>
          <w:bCs/>
          <w:sz w:val="24"/>
          <w:szCs w:val="24"/>
          <w:u w:val="single"/>
        </w:rPr>
        <w:t>Legal Factors</w:t>
      </w:r>
    </w:p>
    <w:p w14:paraId="10B55229">
      <w:pPr>
        <w:spacing w:before="240" w:after="40" w:line="360" w:lineRule="auto"/>
        <w:jc w:val="both"/>
        <w:rPr>
          <w:b/>
          <w:bCs/>
          <w:sz w:val="24"/>
          <w:szCs w:val="24"/>
        </w:rPr>
      </w:pPr>
      <w:r>
        <w:rPr>
          <w:b/>
          <w:bCs/>
          <w:sz w:val="24"/>
          <w:szCs w:val="24"/>
        </w:rPr>
        <w:t>Japan</w:t>
      </w:r>
    </w:p>
    <w:p w14:paraId="171DA046">
      <w:pPr>
        <w:spacing w:before="240" w:after="240" w:line="360" w:lineRule="auto"/>
        <w:jc w:val="both"/>
        <w:rPr>
          <w:sz w:val="24"/>
          <w:szCs w:val="24"/>
        </w:rPr>
      </w:pPr>
      <w:r>
        <w:rPr>
          <w:sz w:val="24"/>
          <w:szCs w:val="24"/>
        </w:rPr>
        <w:t>Japan has an open and transparent legal system, strong IP protection, well-established product safety laws and regulations, and also has a set of labour and environmental laws (Trade.gov. 2019). Toyota's legal compliance demands can be forecasted, allowing for good risk management to be undertaken as well as safeguarding technological innovations that have been a result of the company's years of research and development.</w:t>
      </w:r>
    </w:p>
    <w:p w14:paraId="669A6BCD">
      <w:pPr>
        <w:spacing w:before="240" w:after="40" w:line="360" w:lineRule="auto"/>
        <w:jc w:val="both"/>
        <w:rPr>
          <w:b/>
          <w:bCs/>
          <w:sz w:val="24"/>
          <w:szCs w:val="24"/>
        </w:rPr>
      </w:pPr>
      <w:r>
        <w:rPr>
          <w:b/>
          <w:bCs/>
          <w:sz w:val="24"/>
          <w:szCs w:val="24"/>
        </w:rPr>
        <w:t>United States</w:t>
      </w:r>
    </w:p>
    <w:p w14:paraId="4D269786">
      <w:pPr>
        <w:spacing w:before="240" w:after="240" w:line="360" w:lineRule="auto"/>
        <w:jc w:val="both"/>
        <w:rPr>
          <w:sz w:val="24"/>
          <w:szCs w:val="24"/>
        </w:rPr>
      </w:pPr>
      <w:r>
        <w:rPr>
          <w:sz w:val="24"/>
          <w:szCs w:val="24"/>
        </w:rPr>
        <w:t>The United States has a comprehensive yet very complex legal landscape, comprising Federal and State legislation, product liability laws, consumer protection laws, labour laws and environmental compliance laws (dol.gov. 2026). These increased risks of litigation, strict safety regulations and significant legal liability on the part of the car manufacturer over recalls and product quality make the process of automotive manufacturing more complex.</w:t>
      </w:r>
    </w:p>
    <w:p w14:paraId="5C8FD9C7">
      <w:pPr>
        <w:spacing w:before="240" w:after="40" w:line="360" w:lineRule="auto"/>
        <w:jc w:val="both"/>
        <w:rPr>
          <w:b/>
          <w:bCs/>
          <w:sz w:val="24"/>
          <w:szCs w:val="24"/>
        </w:rPr>
      </w:pPr>
      <w:r>
        <w:rPr>
          <w:b/>
          <w:bCs/>
          <w:sz w:val="24"/>
          <w:szCs w:val="24"/>
        </w:rPr>
        <w:t>Similarities and Differences</w:t>
      </w:r>
    </w:p>
    <w:p w14:paraId="15A288ED">
      <w:pPr>
        <w:spacing w:before="240" w:after="240" w:line="360" w:lineRule="auto"/>
        <w:jc w:val="both"/>
        <w:rPr>
          <w:sz w:val="24"/>
          <w:szCs w:val="24"/>
        </w:rPr>
      </w:pPr>
      <w:r>
        <w:rPr>
          <w:sz w:val="24"/>
          <w:szCs w:val="24"/>
        </w:rPr>
        <w:t>The Japanese legal climate is more certain and efficient, which helps to foster operational stability and protection of innovations. The United States in contrast is more complex and costly to compliance, with multiple regulations and regulatory bodies, and greater litigation exposure.</w:t>
      </w:r>
    </w:p>
    <w:p w14:paraId="176BB994">
      <w:pPr>
        <w:rPr>
          <w:b/>
          <w:bCs/>
          <w:i/>
          <w:iCs/>
          <w:sz w:val="24"/>
          <w:szCs w:val="24"/>
        </w:rPr>
      </w:pPr>
      <w:r>
        <w:br w:type="page"/>
      </w:r>
    </w:p>
    <w:p w14:paraId="1ABB0F33">
      <w:pPr>
        <w:spacing w:line="360" w:lineRule="auto"/>
        <w:jc w:val="both"/>
        <w:rPr>
          <w:b/>
          <w:bCs/>
          <w:i/>
          <w:iCs/>
          <w:sz w:val="24"/>
          <w:szCs w:val="24"/>
        </w:rPr>
      </w:pPr>
      <w:r>
        <w:rPr>
          <w:b/>
          <w:bCs/>
          <w:i/>
          <w:iCs/>
          <w:sz w:val="24"/>
          <w:szCs w:val="24"/>
        </w:rPr>
        <w:t>Hofstede Cultural Analysis between Japan and the US</w:t>
      </w:r>
    </w:p>
    <w:p w14:paraId="1542E65B">
      <w:pPr>
        <w:spacing w:line="360" w:lineRule="auto"/>
        <w:jc w:val="center"/>
        <w:rPr>
          <w:b/>
          <w:bCs/>
          <w:sz w:val="24"/>
          <w:szCs w:val="24"/>
        </w:rPr>
      </w:pPr>
      <w:r>
        <w:rPr>
          <w:b/>
          <w:bCs/>
          <w:sz w:val="24"/>
          <w:szCs w:val="24"/>
        </w:rPr>
        <w:drawing>
          <wp:inline distT="114300" distB="114300" distL="114300" distR="114300">
            <wp:extent cx="5943600" cy="28067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referRelativeResize="0"/>
                  </pic:nvPicPr>
                  <pic:blipFill>
                    <a:blip r:embed="rId11"/>
                    <a:srcRect/>
                    <a:stretch>
                      <a:fillRect/>
                    </a:stretch>
                  </pic:blipFill>
                  <pic:spPr>
                    <a:xfrm>
                      <a:off x="0" y="0"/>
                      <a:ext cx="5943600" cy="2806700"/>
                    </a:xfrm>
                    <a:prstGeom prst="rect">
                      <a:avLst/>
                    </a:prstGeom>
                  </pic:spPr>
                </pic:pic>
              </a:graphicData>
            </a:graphic>
          </wp:inline>
        </w:drawing>
      </w:r>
    </w:p>
    <w:p w14:paraId="428BE7D5">
      <w:pPr>
        <w:spacing w:line="360" w:lineRule="auto"/>
        <w:jc w:val="center"/>
        <w:rPr>
          <w:b/>
          <w:bCs/>
          <w:sz w:val="24"/>
          <w:szCs w:val="24"/>
        </w:rPr>
      </w:pPr>
      <w:r>
        <w:rPr>
          <w:b/>
          <w:bCs/>
          <w:sz w:val="24"/>
          <w:szCs w:val="24"/>
        </w:rPr>
        <w:t>Figure 5: Hofstede country comparison</w:t>
      </w:r>
    </w:p>
    <w:p w14:paraId="0C49A7C1">
      <w:pPr>
        <w:spacing w:line="360" w:lineRule="auto"/>
        <w:jc w:val="center"/>
        <w:rPr>
          <w:sz w:val="24"/>
          <w:szCs w:val="24"/>
        </w:rPr>
      </w:pPr>
      <w:r>
        <w:rPr>
          <w:sz w:val="24"/>
          <w:szCs w:val="24"/>
        </w:rPr>
        <w:t>(Source: theculturefactor.com. 2026)</w:t>
      </w:r>
    </w:p>
    <w:p w14:paraId="00B554A2">
      <w:pPr>
        <w:spacing w:before="280" w:line="360" w:lineRule="auto"/>
        <w:jc w:val="both"/>
        <w:rPr>
          <w:b/>
          <w:bCs/>
          <w:sz w:val="24"/>
          <w:szCs w:val="24"/>
        </w:rPr>
      </w:pPr>
      <w:r>
        <w:rPr>
          <w:b/>
          <w:bCs/>
          <w:sz w:val="24"/>
          <w:szCs w:val="24"/>
        </w:rPr>
        <w:t>Power Distance</w:t>
      </w:r>
    </w:p>
    <w:p w14:paraId="477C8333">
      <w:pPr>
        <w:spacing w:before="240" w:after="240" w:line="360" w:lineRule="auto"/>
        <w:jc w:val="both"/>
        <w:rPr>
          <w:sz w:val="24"/>
          <w:szCs w:val="24"/>
        </w:rPr>
      </w:pPr>
      <w:r>
        <w:rPr>
          <w:sz w:val="24"/>
          <w:szCs w:val="24"/>
        </w:rPr>
        <w:t xml:space="preserve">The scores of the USA and Japan are 40 and 54 respectively; this is moderate acceptance of hierarchical structures and authority in Japan (theculturefactor.com. 2026). The management authority tends to be clearly defined within the Japanese organisations, and there is high respect for senior management; work activities are decided based on a formal reporting system. American companies, by contrast, have short chains of command, and allow a good deal of interaction and communication between management and workers. </w:t>
      </w:r>
    </w:p>
    <w:p w14:paraId="0EC205C9">
      <w:pPr>
        <w:spacing w:before="280" w:line="360" w:lineRule="auto"/>
        <w:jc w:val="both"/>
        <w:rPr>
          <w:b/>
          <w:bCs/>
          <w:sz w:val="24"/>
          <w:szCs w:val="24"/>
        </w:rPr>
      </w:pPr>
      <w:r>
        <w:rPr>
          <w:b/>
          <w:bCs/>
          <w:sz w:val="24"/>
          <w:szCs w:val="24"/>
        </w:rPr>
        <w:t>Individualism</w:t>
      </w:r>
    </w:p>
    <w:p w14:paraId="4464AF2F">
      <w:pPr>
        <w:spacing w:before="240" w:after="240" w:line="360" w:lineRule="auto"/>
        <w:jc w:val="both"/>
        <w:rPr>
          <w:sz w:val="24"/>
          <w:szCs w:val="24"/>
        </w:rPr>
      </w:pPr>
      <w:r>
        <w:rPr>
          <w:sz w:val="24"/>
          <w:szCs w:val="24"/>
        </w:rPr>
        <w:t>Japan (62) and the United States (60) are an unmistakably different culture, but a more individualistic one (theculturefactor.com. 2026). Team spirit, co-operation and loyalty to the organization are more important in Japan, while personal freedom and independence and personal achievements are more important in America. In this regard, the marketing strategy in Japan is reflective of the concept of collective responsibility while the marketing strategy in America is personal and emphasizes lifestyle and the importance of owning a car, a long-term relationship with the customer and trust in the brand.</w:t>
      </w:r>
    </w:p>
    <w:p w14:paraId="65A17CA2">
      <w:pPr>
        <w:spacing w:before="280" w:line="360" w:lineRule="auto"/>
        <w:jc w:val="both"/>
        <w:rPr>
          <w:b/>
          <w:bCs/>
          <w:sz w:val="24"/>
          <w:szCs w:val="24"/>
        </w:rPr>
      </w:pPr>
      <w:r>
        <w:rPr>
          <w:b/>
          <w:bCs/>
          <w:sz w:val="24"/>
          <w:szCs w:val="24"/>
        </w:rPr>
        <w:t>Masculinity (Motivation Towards Achievement and Success)</w:t>
      </w:r>
    </w:p>
    <w:p w14:paraId="7F373587">
      <w:pPr>
        <w:spacing w:before="240" w:after="240" w:line="360" w:lineRule="auto"/>
        <w:jc w:val="both"/>
        <w:rPr>
          <w:sz w:val="24"/>
          <w:szCs w:val="24"/>
        </w:rPr>
      </w:pPr>
      <w:r>
        <w:rPr>
          <w:sz w:val="24"/>
          <w:szCs w:val="24"/>
        </w:rPr>
        <w:t>The scores of Japan and the U.S. are very high (95) and high (62), respectively. This represents high competitiveness, achievement, excellence and continuous improvement is highly valued in Japanese society (theculturefactor.com. 2026). Individuals are generally linked to good things with success and achievements. In American Culture, achievement and competitiveness are emphasized, and there is a greater emphasis on balancing work and life, and individual choice.</w:t>
      </w:r>
    </w:p>
    <w:p w14:paraId="040D84B7">
      <w:pPr>
        <w:spacing w:before="280" w:line="360" w:lineRule="auto"/>
        <w:jc w:val="both"/>
        <w:rPr>
          <w:b/>
          <w:bCs/>
          <w:sz w:val="24"/>
          <w:szCs w:val="24"/>
        </w:rPr>
      </w:pPr>
      <w:r>
        <w:rPr>
          <w:b/>
          <w:bCs/>
          <w:sz w:val="24"/>
          <w:szCs w:val="24"/>
        </w:rPr>
        <w:t>Uncertainty Avoidance</w:t>
      </w:r>
    </w:p>
    <w:p w14:paraId="15A91FF3">
      <w:pPr>
        <w:spacing w:before="240" w:after="240" w:line="360" w:lineRule="auto"/>
        <w:jc w:val="both"/>
        <w:rPr>
          <w:sz w:val="24"/>
          <w:szCs w:val="24"/>
        </w:rPr>
      </w:pPr>
      <w:r>
        <w:rPr>
          <w:sz w:val="24"/>
          <w:szCs w:val="24"/>
        </w:rPr>
        <w:t>Japanese consumers are more stable, plan their purchases carefully and are more risk averse than the people in the United States with scores of 92 versus 46. In the lead up to purchase, consumers demand dependable products, detailed information about the product and quality. American consumers, on the other hand, are willing to allow innovation, experimentation and uncertainty of the market.</w:t>
      </w:r>
    </w:p>
    <w:p w14:paraId="143B5AFD">
      <w:pPr>
        <w:spacing w:before="280" w:line="360" w:lineRule="auto"/>
        <w:jc w:val="both"/>
        <w:rPr>
          <w:b/>
          <w:bCs/>
          <w:sz w:val="24"/>
          <w:szCs w:val="24"/>
        </w:rPr>
      </w:pPr>
      <w:r>
        <w:rPr>
          <w:b/>
          <w:bCs/>
          <w:sz w:val="24"/>
          <w:szCs w:val="24"/>
        </w:rPr>
        <w:t>Long-Term Orientation</w:t>
      </w:r>
    </w:p>
    <w:p w14:paraId="441E47BE">
      <w:pPr>
        <w:spacing w:before="240" w:after="240" w:line="360" w:lineRule="auto"/>
        <w:jc w:val="both"/>
        <w:rPr>
          <w:sz w:val="24"/>
          <w:szCs w:val="24"/>
        </w:rPr>
      </w:pPr>
      <w:r>
        <w:rPr>
          <w:sz w:val="24"/>
          <w:szCs w:val="24"/>
        </w:rPr>
        <w:t xml:space="preserve">The USA's score is 50 and the Japanese's score is 100 - their total highest score ever. The difference in culture is significant between the two, with Japan at 100, and the USA at 50 (theculturefactor.com. 2026). Long-term planning, determination, an unrelenting drive for improvement, and sustainable development are all key features of Japanese culture. The values are in line with the Toyota philosophy “Kaizen” means </w:t>
      </w:r>
      <w:r>
        <w:rPr>
          <w:i/>
          <w:iCs/>
          <w:sz w:val="24"/>
          <w:szCs w:val="24"/>
        </w:rPr>
        <w:t>Continuous Improvement</w:t>
      </w:r>
      <w:r>
        <w:rPr>
          <w:sz w:val="24"/>
          <w:szCs w:val="24"/>
        </w:rPr>
        <w:t xml:space="preserve"> and long-term investment in Research and Development. </w:t>
      </w:r>
    </w:p>
    <w:p w14:paraId="58B327D4">
      <w:pPr>
        <w:spacing w:before="240" w:after="240" w:line="360" w:lineRule="auto"/>
        <w:jc w:val="both"/>
        <w:rPr>
          <w:b/>
          <w:bCs/>
          <w:sz w:val="24"/>
          <w:szCs w:val="24"/>
        </w:rPr>
      </w:pPr>
      <w:r>
        <w:rPr>
          <w:b/>
          <w:bCs/>
          <w:sz w:val="24"/>
          <w:szCs w:val="24"/>
        </w:rPr>
        <w:t>Indulgence</w:t>
      </w:r>
    </w:p>
    <w:p w14:paraId="6C0BC7C1">
      <w:pPr>
        <w:spacing w:before="240" w:after="240" w:line="360" w:lineRule="auto"/>
        <w:jc w:val="both"/>
        <w:rPr>
          <w:sz w:val="24"/>
          <w:szCs w:val="24"/>
        </w:rPr>
      </w:pPr>
      <w:r>
        <w:rPr>
          <w:sz w:val="24"/>
          <w:szCs w:val="24"/>
        </w:rPr>
        <w:t xml:space="preserve">Compared with a relatively freer culture (such as America with a rating of 68), the Japanese rating of 42 shows that there is less indulgence or leisure in the Japanese culture (theculturefactor.com. 2026). The Japanese consumer chooses products which are functional in the application, and useful in its use and return on investment. American consumers, however, are more apt to purchase cars that help them achieve their own personal enjoyment, comfort and lifestyle objectives. So, the marketing mix of Toyota in Japan is more oriented towards reliability and efficiency of the vehicle while the marketing mix of Toyota in the USA is more oriented towards adventure, driving enjoyment, family experience and emotional connection of the vehicle. </w:t>
      </w:r>
    </w:p>
    <w:p w14:paraId="1AFB2BDB">
      <w:pPr>
        <w:pStyle w:val="3"/>
        <w:rPr>
          <w:rFonts w:ascii="Arial" w:hAnsi="Arial" w:eastAsia="Arial" w:cs="Arial"/>
        </w:rPr>
      </w:pPr>
      <w:bookmarkStart w:id="3" w:name="_Toc237088363"/>
      <w:r>
        <w:rPr>
          <w:rFonts w:ascii="Arial" w:hAnsi="Arial" w:eastAsia="Arial" w:cs="Arial"/>
        </w:rPr>
        <w:t>1.3 A comparative analysis of STP and Marketing Mix</w:t>
      </w:r>
      <w:bookmarkEnd w:id="3"/>
      <w:r>
        <w:rPr>
          <w:rFonts w:ascii="Arial" w:hAnsi="Arial" w:eastAsia="Arial" w:cs="Arial"/>
        </w:rPr>
        <w:t xml:space="preserve"> </w:t>
      </w:r>
    </w:p>
    <w:p w14:paraId="30CE2409">
      <w:pPr>
        <w:pStyle w:val="3"/>
        <w:rPr>
          <w:rFonts w:ascii="Arial" w:hAnsi="Arial" w:eastAsia="Arial" w:cs="Arial"/>
        </w:rPr>
      </w:pPr>
      <w:bookmarkStart w:id="4" w:name="_Toc237088364"/>
      <w:r>
        <w:rPr>
          <w:rFonts w:ascii="Arial" w:hAnsi="Arial" w:eastAsia="Arial" w:cs="Arial"/>
        </w:rPr>
        <w:t>1.3.1 STP Analysis</w:t>
      </w:r>
      <w:bookmarkEnd w:id="4"/>
    </w:p>
    <w:p w14:paraId="6F493EF0">
      <w:pPr>
        <w:spacing w:before="280" w:line="360" w:lineRule="auto"/>
        <w:jc w:val="both"/>
        <w:rPr>
          <w:b/>
          <w:bCs/>
          <w:sz w:val="24"/>
          <w:szCs w:val="24"/>
          <w:u w:val="single"/>
        </w:rPr>
      </w:pPr>
      <w:r>
        <w:rPr>
          <w:b/>
          <w:bCs/>
          <w:sz w:val="24"/>
          <w:szCs w:val="24"/>
          <w:u w:val="single"/>
        </w:rPr>
        <w:t>Segmentation</w:t>
      </w:r>
    </w:p>
    <w:p w14:paraId="68007CF0">
      <w:pPr>
        <w:spacing w:before="240" w:after="40" w:line="360" w:lineRule="auto"/>
        <w:jc w:val="both"/>
        <w:rPr>
          <w:b/>
          <w:bCs/>
          <w:sz w:val="24"/>
          <w:szCs w:val="24"/>
        </w:rPr>
      </w:pPr>
      <w:r>
        <w:rPr>
          <w:b/>
          <w:bCs/>
          <w:sz w:val="24"/>
          <w:szCs w:val="24"/>
        </w:rPr>
        <w:t>Japan</w:t>
      </w:r>
    </w:p>
    <w:p w14:paraId="75C5F7D9">
      <w:pPr>
        <w:spacing w:before="240" w:after="240" w:line="360" w:lineRule="auto"/>
        <w:jc w:val="both"/>
        <w:rPr>
          <w:sz w:val="24"/>
          <w:szCs w:val="24"/>
        </w:rPr>
      </w:pPr>
      <w:r>
        <w:rPr>
          <w:sz w:val="24"/>
          <w:szCs w:val="24"/>
        </w:rPr>
        <w:t xml:space="preserve">Toyota segments their market in Japan on the basis of demographic, geographic, psychographic and behavioral characteristics (Hartoyo </w:t>
      </w:r>
      <w:r>
        <w:rPr>
          <w:i/>
          <w:iCs/>
          <w:sz w:val="24"/>
          <w:szCs w:val="24"/>
        </w:rPr>
        <w:t>et al.,</w:t>
      </w:r>
      <w:r>
        <w:rPr>
          <w:sz w:val="24"/>
          <w:szCs w:val="24"/>
        </w:rPr>
        <w:t xml:space="preserve"> 2023). Demographically, the company is directed towards the family household, young professionals and ageing consumers. Compact cars are not only popular in Japan but also have a particular appeal in cities like Tokyo and Osaka, where space is at a premium and traffic congestion is high. In terms of psychographic, the Japanese consumers appreciate reliability, quality, environmental consideration, and technological innovation. </w:t>
      </w:r>
    </w:p>
    <w:p w14:paraId="46C238EB">
      <w:pPr>
        <w:spacing w:before="240" w:after="240" w:line="360" w:lineRule="auto"/>
        <w:jc w:val="both"/>
        <w:rPr>
          <w:sz w:val="24"/>
          <w:szCs w:val="24"/>
        </w:rPr>
      </w:pPr>
      <w:r>
        <w:rPr>
          <w:sz w:val="24"/>
          <w:szCs w:val="24"/>
        </w:rPr>
        <w:drawing>
          <wp:inline distT="114300" distB="114300" distL="114300" distR="114300">
            <wp:extent cx="6010275" cy="3448050"/>
            <wp:effectExtent l="0" t="0" r="0" b="0"/>
            <wp:docPr id="6" name="image16.png"/>
            <wp:cNvGraphicFramePr/>
            <a:graphic xmlns:a="http://schemas.openxmlformats.org/drawingml/2006/main">
              <a:graphicData uri="http://schemas.openxmlformats.org/drawingml/2006/picture">
                <pic:pic xmlns:pic="http://schemas.openxmlformats.org/drawingml/2006/picture">
                  <pic:nvPicPr>
                    <pic:cNvPr id="6" name="image16.png"/>
                    <pic:cNvPicPr preferRelativeResize="0"/>
                  </pic:nvPicPr>
                  <pic:blipFill>
                    <a:blip r:embed="rId12"/>
                    <a:srcRect/>
                    <a:stretch>
                      <a:fillRect/>
                    </a:stretch>
                  </pic:blipFill>
                  <pic:spPr>
                    <a:xfrm>
                      <a:off x="0" y="0"/>
                      <a:ext cx="6010275" cy="3448050"/>
                    </a:xfrm>
                    <a:prstGeom prst="rect">
                      <a:avLst/>
                    </a:prstGeom>
                  </pic:spPr>
                </pic:pic>
              </a:graphicData>
            </a:graphic>
          </wp:inline>
        </w:drawing>
      </w:r>
    </w:p>
    <w:p w14:paraId="240E573B">
      <w:pPr>
        <w:spacing w:before="240" w:after="240" w:line="360" w:lineRule="auto"/>
        <w:jc w:val="center"/>
        <w:rPr>
          <w:b/>
          <w:bCs/>
          <w:sz w:val="24"/>
          <w:szCs w:val="24"/>
        </w:rPr>
      </w:pPr>
      <w:r>
        <w:rPr>
          <w:b/>
          <w:bCs/>
          <w:sz w:val="24"/>
          <w:szCs w:val="24"/>
        </w:rPr>
        <w:t xml:space="preserve">Figure 6: Japan Median age population </w:t>
      </w:r>
    </w:p>
    <w:p w14:paraId="55352D54">
      <w:pPr>
        <w:spacing w:before="240" w:after="240" w:line="360" w:lineRule="auto"/>
        <w:jc w:val="center"/>
        <w:rPr>
          <w:sz w:val="24"/>
          <w:szCs w:val="24"/>
        </w:rPr>
      </w:pPr>
      <w:r>
        <w:rPr>
          <w:sz w:val="24"/>
          <w:szCs w:val="24"/>
        </w:rPr>
        <w:t>(Source: statista.com. 2025)</w:t>
      </w:r>
    </w:p>
    <w:p w14:paraId="7418C083">
      <w:pPr>
        <w:spacing w:before="240" w:after="40" w:line="360" w:lineRule="auto"/>
        <w:jc w:val="both"/>
        <w:rPr>
          <w:b/>
          <w:bCs/>
          <w:sz w:val="24"/>
          <w:szCs w:val="24"/>
        </w:rPr>
      </w:pPr>
      <w:r>
        <w:rPr>
          <w:b/>
          <w:bCs/>
          <w:sz w:val="24"/>
          <w:szCs w:val="24"/>
        </w:rPr>
        <w:t>United States</w:t>
      </w:r>
    </w:p>
    <w:p w14:paraId="749E48FD">
      <w:pPr>
        <w:spacing w:before="240" w:after="240" w:line="360" w:lineRule="auto"/>
        <w:jc w:val="both"/>
        <w:rPr>
          <w:sz w:val="24"/>
          <w:szCs w:val="24"/>
        </w:rPr>
      </w:pPr>
      <w:r>
        <w:rPr>
          <w:sz w:val="24"/>
          <w:szCs w:val="24"/>
        </w:rPr>
        <w:t>Toyota has more and wider spread customers in the U.S. market, which is why they segment the market there more broadly. Families, young professionals, luxury consumers and commercial users are all segments of the population used in demographic segmentation. There is significant geographic variation, with preferences for cars different in each state according to climate, infrastructure and lifestyle. American consumers are sometimes performance, comfortable, innovative and brand prestige oriented. Behavioral segmentation defines those that want to purchase SUVs, pick-up trucks, luxury cars or hybrid/ electric cars for the environment (Graham, and Brungard, 2022).</w:t>
      </w:r>
    </w:p>
    <w:p w14:paraId="77630539">
      <w:pPr>
        <w:spacing w:before="240" w:after="240" w:line="360" w:lineRule="auto"/>
        <w:jc w:val="both"/>
        <w:rPr>
          <w:sz w:val="24"/>
          <w:szCs w:val="24"/>
        </w:rPr>
      </w:pPr>
      <w:r>
        <w:rPr>
          <w:sz w:val="24"/>
          <w:szCs w:val="24"/>
        </w:rPr>
        <w:drawing>
          <wp:inline distT="114300" distB="114300" distL="114300" distR="114300">
            <wp:extent cx="6019800" cy="35052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9" name="image7.png"/>
                    <pic:cNvPicPr preferRelativeResize="0"/>
                  </pic:nvPicPr>
                  <pic:blipFill>
                    <a:blip r:embed="rId13"/>
                    <a:srcRect/>
                    <a:stretch>
                      <a:fillRect/>
                    </a:stretch>
                  </pic:blipFill>
                  <pic:spPr>
                    <a:xfrm>
                      <a:off x="0" y="0"/>
                      <a:ext cx="6019800" cy="3505200"/>
                    </a:xfrm>
                    <a:prstGeom prst="rect">
                      <a:avLst/>
                    </a:prstGeom>
                  </pic:spPr>
                </pic:pic>
              </a:graphicData>
            </a:graphic>
          </wp:inline>
        </w:drawing>
      </w:r>
    </w:p>
    <w:p w14:paraId="2CCC4A87">
      <w:pPr>
        <w:spacing w:before="240" w:after="240" w:line="360" w:lineRule="auto"/>
        <w:jc w:val="center"/>
        <w:rPr>
          <w:b/>
          <w:bCs/>
          <w:sz w:val="24"/>
          <w:szCs w:val="24"/>
        </w:rPr>
      </w:pPr>
      <w:r>
        <w:rPr>
          <w:b/>
          <w:bCs/>
          <w:sz w:val="24"/>
          <w:szCs w:val="24"/>
        </w:rPr>
        <w:t xml:space="preserve">Figure 7: US Median age population </w:t>
      </w:r>
    </w:p>
    <w:p w14:paraId="3453E965">
      <w:pPr>
        <w:spacing w:before="240" w:after="240" w:line="360" w:lineRule="auto"/>
        <w:jc w:val="center"/>
        <w:rPr>
          <w:sz w:val="24"/>
          <w:szCs w:val="24"/>
        </w:rPr>
      </w:pPr>
      <w:r>
        <w:rPr>
          <w:sz w:val="24"/>
          <w:szCs w:val="24"/>
        </w:rPr>
        <w:t>(Source: statista.com. 2025)</w:t>
      </w:r>
    </w:p>
    <w:p w14:paraId="122DA50E">
      <w:pPr>
        <w:spacing w:before="240" w:after="40" w:line="360" w:lineRule="auto"/>
        <w:jc w:val="both"/>
        <w:rPr>
          <w:b/>
          <w:bCs/>
          <w:sz w:val="24"/>
          <w:szCs w:val="24"/>
        </w:rPr>
      </w:pPr>
      <w:r>
        <w:rPr>
          <w:b/>
          <w:bCs/>
          <w:sz w:val="24"/>
          <w:szCs w:val="24"/>
        </w:rPr>
        <w:t>Comparative Evaluation</w:t>
      </w:r>
    </w:p>
    <w:p w14:paraId="7C21C9FF">
      <w:pPr>
        <w:spacing w:before="240" w:after="240" w:line="360" w:lineRule="auto"/>
        <w:jc w:val="both"/>
        <w:rPr>
          <w:sz w:val="24"/>
          <w:szCs w:val="24"/>
        </w:rPr>
      </w:pPr>
      <w:r>
        <w:rPr>
          <w:sz w:val="24"/>
          <w:szCs w:val="24"/>
        </w:rPr>
        <w:t>Both the countries apply demographic, geographic, psychographic and behavioural segmentation, but Japan is more concerned with efficiency, urban mobility, ageing population while U.S. needs are more diversified owing to regional differences, high level of consumer diversity, and diversified lifestyle preferences. Toyota thus tries to expand its product line in the United States' market while keeping its offerings more focused at home in Japan.</w:t>
      </w:r>
    </w:p>
    <w:p w14:paraId="374F3984">
      <w:pPr>
        <w:spacing w:before="280" w:line="360" w:lineRule="auto"/>
        <w:jc w:val="both"/>
        <w:rPr>
          <w:b/>
          <w:bCs/>
          <w:sz w:val="24"/>
          <w:szCs w:val="24"/>
          <w:u w:val="single"/>
        </w:rPr>
      </w:pPr>
      <w:r>
        <w:rPr>
          <w:b/>
          <w:bCs/>
          <w:sz w:val="24"/>
          <w:szCs w:val="24"/>
          <w:u w:val="single"/>
        </w:rPr>
        <w:t>Targeting</w:t>
      </w:r>
    </w:p>
    <w:p w14:paraId="755E5CC9">
      <w:pPr>
        <w:spacing w:before="240" w:after="40" w:line="360" w:lineRule="auto"/>
        <w:jc w:val="both"/>
        <w:rPr>
          <w:b/>
          <w:bCs/>
          <w:sz w:val="24"/>
          <w:szCs w:val="24"/>
        </w:rPr>
      </w:pPr>
      <w:r>
        <w:rPr>
          <w:b/>
          <w:bCs/>
          <w:sz w:val="24"/>
          <w:szCs w:val="24"/>
        </w:rPr>
        <w:t>Japan</w:t>
      </w:r>
    </w:p>
    <w:p w14:paraId="401A7112">
      <w:pPr>
        <w:spacing w:before="240" w:after="240" w:line="360" w:lineRule="auto"/>
        <w:jc w:val="both"/>
        <w:rPr>
          <w:sz w:val="24"/>
          <w:szCs w:val="24"/>
        </w:rPr>
      </w:pPr>
      <w:r>
        <w:rPr>
          <w:sz w:val="24"/>
          <w:szCs w:val="24"/>
        </w:rPr>
        <w:t xml:space="preserve">Toyota predominantly targets multiple customers using a targeting strategy of differentiation with each segment having a specific product line (Takeuchi, Ohmae and Ichijo, 2023). Clusters of people to target are environmentalists, urban commuters, families, and senior drivers looking for security, reliability and fuel economy. </w:t>
      </w:r>
    </w:p>
    <w:p w14:paraId="5170A8AA">
      <w:pPr>
        <w:spacing w:before="240" w:after="40" w:line="360" w:lineRule="auto"/>
        <w:jc w:val="both"/>
        <w:rPr>
          <w:b/>
          <w:bCs/>
          <w:sz w:val="24"/>
          <w:szCs w:val="24"/>
        </w:rPr>
      </w:pPr>
      <w:r>
        <w:rPr>
          <w:b/>
          <w:bCs/>
          <w:sz w:val="24"/>
          <w:szCs w:val="24"/>
        </w:rPr>
        <w:t>United States</w:t>
      </w:r>
    </w:p>
    <w:p w14:paraId="6A035587">
      <w:pPr>
        <w:spacing w:before="240" w:after="240" w:line="360" w:lineRule="auto"/>
        <w:jc w:val="both"/>
        <w:rPr>
          <w:sz w:val="24"/>
          <w:szCs w:val="24"/>
        </w:rPr>
      </w:pPr>
      <w:r>
        <w:rPr>
          <w:sz w:val="24"/>
          <w:szCs w:val="24"/>
        </w:rPr>
        <w:t>Toyota also uses a differentiated targeting strategy in the United States, but targets more diverse groups of consumers (Williams, 2024). Reliable SUVs, technologically advanced vehicles for young professionals, environmentally conscious buyers of hybrid vehicles and commercial customers buying pickup trucks are all important segments. Toyota also targets high-end customers with its luxury options, while keeping down its price with value for money customers.</w:t>
      </w:r>
    </w:p>
    <w:p w14:paraId="1CF4F8BB">
      <w:pPr>
        <w:spacing w:before="240" w:after="40" w:line="360" w:lineRule="auto"/>
        <w:jc w:val="both"/>
        <w:rPr>
          <w:b/>
          <w:bCs/>
          <w:sz w:val="24"/>
          <w:szCs w:val="24"/>
        </w:rPr>
      </w:pPr>
      <w:r>
        <w:rPr>
          <w:b/>
          <w:bCs/>
          <w:sz w:val="24"/>
          <w:szCs w:val="24"/>
        </w:rPr>
        <w:t>Comparative Evaluation</w:t>
      </w:r>
    </w:p>
    <w:p w14:paraId="7CF6EBDB">
      <w:pPr>
        <w:spacing w:before="240" w:after="240" w:line="360" w:lineRule="auto"/>
        <w:jc w:val="both"/>
        <w:rPr>
          <w:sz w:val="24"/>
          <w:szCs w:val="24"/>
        </w:rPr>
      </w:pPr>
      <w:r>
        <w:rPr>
          <w:sz w:val="24"/>
          <w:szCs w:val="24"/>
        </w:rPr>
        <w:t>Toyota's targeting is differentiated in both markets, but much more extensive in the U.S. due to the diversity and buying power of its markets. Targeting in Japan focuses on the practical and long-term aspects of mobility, while targeting in the US is more about practical, lifestyle, performance and premium.</w:t>
      </w:r>
    </w:p>
    <w:p w14:paraId="27C32D2B">
      <w:pPr>
        <w:spacing w:before="280" w:line="360" w:lineRule="auto"/>
        <w:jc w:val="both"/>
        <w:rPr>
          <w:b/>
          <w:bCs/>
          <w:sz w:val="24"/>
          <w:szCs w:val="24"/>
          <w:u w:val="single"/>
        </w:rPr>
      </w:pPr>
      <w:r>
        <w:rPr>
          <w:b/>
          <w:bCs/>
          <w:sz w:val="24"/>
          <w:szCs w:val="24"/>
          <w:u w:val="single"/>
        </w:rPr>
        <w:t>Positioning</w:t>
      </w:r>
    </w:p>
    <w:p w14:paraId="05A880CC">
      <w:pPr>
        <w:spacing w:before="240" w:after="40" w:line="360" w:lineRule="auto"/>
        <w:jc w:val="both"/>
        <w:rPr>
          <w:b/>
          <w:bCs/>
          <w:sz w:val="24"/>
          <w:szCs w:val="24"/>
        </w:rPr>
      </w:pPr>
      <w:r>
        <w:rPr>
          <w:b/>
          <w:bCs/>
          <w:sz w:val="24"/>
          <w:szCs w:val="24"/>
        </w:rPr>
        <w:t>Japan</w:t>
      </w:r>
    </w:p>
    <w:p w14:paraId="2C61D21A">
      <w:pPr>
        <w:spacing w:before="240" w:after="240" w:line="360" w:lineRule="auto"/>
        <w:jc w:val="both"/>
        <w:rPr>
          <w:sz w:val="24"/>
          <w:szCs w:val="24"/>
        </w:rPr>
      </w:pPr>
      <w:r>
        <w:rPr>
          <w:sz w:val="24"/>
          <w:szCs w:val="24"/>
        </w:rPr>
        <w:t>Toyota is the most trusted brand of car in Japan because it has ensured that their cars have the best quality, reliability, technological innovation, safety and ecological protection (NASER, 2021). The positive image of the brand domestically, plus ongoing investments in hybrid and hydrogen cars, help customers trust the brand, which further positions the company as a leader in innovations for sustainable mobility.</w:t>
      </w:r>
    </w:p>
    <w:p w14:paraId="3FC5E791">
      <w:pPr>
        <w:spacing w:before="240" w:after="240" w:line="360" w:lineRule="auto"/>
        <w:jc w:val="center"/>
        <w:rPr>
          <w:sz w:val="24"/>
          <w:szCs w:val="24"/>
        </w:rPr>
      </w:pPr>
      <w:r>
        <w:rPr>
          <w:sz w:val="24"/>
          <w:szCs w:val="24"/>
        </w:rPr>
        <w:drawing>
          <wp:inline distT="114300" distB="114300" distL="114300" distR="114300">
            <wp:extent cx="4105275" cy="46863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8" name="image11.png"/>
                    <pic:cNvPicPr preferRelativeResize="0"/>
                  </pic:nvPicPr>
                  <pic:blipFill>
                    <a:blip r:embed="rId14"/>
                    <a:srcRect/>
                    <a:stretch>
                      <a:fillRect/>
                    </a:stretch>
                  </pic:blipFill>
                  <pic:spPr>
                    <a:xfrm>
                      <a:off x="0" y="0"/>
                      <a:ext cx="4105275" cy="4686300"/>
                    </a:xfrm>
                    <a:prstGeom prst="rect">
                      <a:avLst/>
                    </a:prstGeom>
                  </pic:spPr>
                </pic:pic>
              </a:graphicData>
            </a:graphic>
          </wp:inline>
        </w:drawing>
      </w:r>
    </w:p>
    <w:p w14:paraId="26518164">
      <w:pPr>
        <w:spacing w:before="240" w:after="240" w:line="360" w:lineRule="auto"/>
        <w:jc w:val="center"/>
        <w:rPr>
          <w:b/>
          <w:bCs/>
          <w:sz w:val="24"/>
          <w:szCs w:val="24"/>
        </w:rPr>
      </w:pPr>
      <w:r>
        <w:rPr>
          <w:b/>
          <w:bCs/>
          <w:sz w:val="24"/>
          <w:szCs w:val="24"/>
        </w:rPr>
        <w:t>Figure 8: Positioning map of Toyota in Japan</w:t>
      </w:r>
    </w:p>
    <w:p w14:paraId="1FDD9965">
      <w:pPr>
        <w:spacing w:before="240" w:after="240" w:line="360" w:lineRule="auto"/>
        <w:jc w:val="center"/>
        <w:rPr>
          <w:sz w:val="24"/>
          <w:szCs w:val="24"/>
        </w:rPr>
      </w:pPr>
      <w:r>
        <w:rPr>
          <w:sz w:val="24"/>
          <w:szCs w:val="24"/>
        </w:rPr>
        <w:t>(Source: self-developed)</w:t>
      </w:r>
    </w:p>
    <w:p w14:paraId="135276C9">
      <w:pPr>
        <w:spacing w:before="240" w:after="40" w:line="360" w:lineRule="auto"/>
        <w:jc w:val="both"/>
        <w:rPr>
          <w:b/>
          <w:bCs/>
          <w:sz w:val="24"/>
          <w:szCs w:val="24"/>
        </w:rPr>
      </w:pPr>
      <w:r>
        <w:rPr>
          <w:b/>
          <w:bCs/>
          <w:sz w:val="24"/>
          <w:szCs w:val="24"/>
        </w:rPr>
        <w:t>United States</w:t>
      </w:r>
    </w:p>
    <w:p w14:paraId="5DA3AE3F">
      <w:pPr>
        <w:spacing w:before="240" w:after="240" w:line="360" w:lineRule="auto"/>
        <w:jc w:val="both"/>
        <w:rPr>
          <w:sz w:val="24"/>
          <w:szCs w:val="24"/>
        </w:rPr>
      </w:pPr>
      <w:r>
        <w:rPr>
          <w:sz w:val="24"/>
          <w:szCs w:val="24"/>
        </w:rPr>
        <w:t>Toyota has become a solid yet innovative world-class auto company offering quality, reliability, state-of-the-art technology and great resale values in the United States (Morgan and Liker, 2020). Marketing communications focus more on the reliability of the vehicle, and are becoming more about hybrid and electric mobility, connected technology and modern design to compete with domestic and international peers.</w:t>
      </w:r>
    </w:p>
    <w:p w14:paraId="6B608DB0">
      <w:pPr>
        <w:spacing w:before="240" w:after="240" w:line="360" w:lineRule="auto"/>
        <w:jc w:val="center"/>
        <w:rPr>
          <w:sz w:val="24"/>
          <w:szCs w:val="24"/>
        </w:rPr>
      </w:pPr>
      <w:r>
        <w:rPr>
          <w:sz w:val="24"/>
          <w:szCs w:val="24"/>
        </w:rPr>
        <w:drawing>
          <wp:inline distT="114300" distB="114300" distL="114300" distR="114300">
            <wp:extent cx="4210050" cy="4981575"/>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12" name="image9.png"/>
                    <pic:cNvPicPr preferRelativeResize="0"/>
                  </pic:nvPicPr>
                  <pic:blipFill>
                    <a:blip r:embed="rId15"/>
                    <a:srcRect/>
                    <a:stretch>
                      <a:fillRect/>
                    </a:stretch>
                  </pic:blipFill>
                  <pic:spPr>
                    <a:xfrm>
                      <a:off x="0" y="0"/>
                      <a:ext cx="4210050" cy="4981575"/>
                    </a:xfrm>
                    <a:prstGeom prst="rect">
                      <a:avLst/>
                    </a:prstGeom>
                  </pic:spPr>
                </pic:pic>
              </a:graphicData>
            </a:graphic>
          </wp:inline>
        </w:drawing>
      </w:r>
    </w:p>
    <w:p w14:paraId="72287ADE">
      <w:pPr>
        <w:spacing w:before="240" w:after="240" w:line="360" w:lineRule="auto"/>
        <w:jc w:val="center"/>
        <w:rPr>
          <w:b/>
          <w:bCs/>
          <w:sz w:val="24"/>
          <w:szCs w:val="24"/>
        </w:rPr>
      </w:pPr>
      <w:r>
        <w:rPr>
          <w:b/>
          <w:bCs/>
          <w:sz w:val="24"/>
          <w:szCs w:val="24"/>
        </w:rPr>
        <w:t>Figure 9: Positioning map of Toyota in the US</w:t>
      </w:r>
    </w:p>
    <w:p w14:paraId="15FE8013">
      <w:pPr>
        <w:spacing w:before="240" w:after="240" w:line="360" w:lineRule="auto"/>
        <w:jc w:val="center"/>
        <w:rPr>
          <w:sz w:val="24"/>
          <w:szCs w:val="24"/>
        </w:rPr>
      </w:pPr>
      <w:r>
        <w:rPr>
          <w:sz w:val="24"/>
          <w:szCs w:val="24"/>
        </w:rPr>
        <w:t>(Source: self-developed)</w:t>
      </w:r>
    </w:p>
    <w:p w14:paraId="5F842241">
      <w:pPr>
        <w:spacing w:before="240" w:after="40" w:line="360" w:lineRule="auto"/>
        <w:jc w:val="both"/>
        <w:rPr>
          <w:b/>
          <w:bCs/>
          <w:sz w:val="24"/>
          <w:szCs w:val="24"/>
        </w:rPr>
      </w:pPr>
      <w:r>
        <w:rPr>
          <w:b/>
          <w:bCs/>
          <w:sz w:val="24"/>
          <w:szCs w:val="24"/>
        </w:rPr>
        <w:t>Comparative Evaluation</w:t>
      </w:r>
    </w:p>
    <w:p w14:paraId="6B231125">
      <w:pPr>
        <w:spacing w:before="240" w:after="240" w:line="360" w:lineRule="auto"/>
        <w:jc w:val="both"/>
        <w:rPr>
          <w:sz w:val="24"/>
          <w:szCs w:val="24"/>
        </w:rPr>
      </w:pPr>
      <w:r>
        <w:rPr>
          <w:sz w:val="24"/>
          <w:szCs w:val="24"/>
        </w:rPr>
        <w:t xml:space="preserve">Toyota's position is clear in both the markets and it's quality, reliable and innovative positioning. Positioning in Japan, however, is more about national heritage/environmental leadership, whereas positioning in the United States is more toward reliability/performance, versatility, technological advancement and lifestyle appeal. </w:t>
      </w:r>
    </w:p>
    <w:p w14:paraId="3B55AA1C">
      <w:pPr>
        <w:pStyle w:val="3"/>
        <w:rPr>
          <w:rFonts w:ascii="Arial" w:hAnsi="Arial" w:eastAsia="Arial" w:cs="Arial"/>
        </w:rPr>
      </w:pPr>
      <w:bookmarkStart w:id="5" w:name="_Toc237088365"/>
      <w:r>
        <w:rPr>
          <w:rFonts w:ascii="Arial" w:hAnsi="Arial" w:eastAsia="Arial" w:cs="Arial"/>
        </w:rPr>
        <w:t>1.3.2 Marketing Mix (7P)</w:t>
      </w:r>
      <w:bookmarkEnd w:id="5"/>
    </w:p>
    <w:p w14:paraId="606BBCC7">
      <w:pPr>
        <w:spacing w:before="280" w:line="360" w:lineRule="auto"/>
        <w:jc w:val="both"/>
        <w:rPr>
          <w:b/>
          <w:bCs/>
          <w:sz w:val="24"/>
          <w:szCs w:val="24"/>
          <w:u w:val="single"/>
        </w:rPr>
      </w:pPr>
      <w:r>
        <w:rPr>
          <w:b/>
          <w:bCs/>
          <w:sz w:val="24"/>
          <w:szCs w:val="24"/>
          <w:u w:val="single"/>
        </w:rPr>
        <w:t>Product</w:t>
      </w:r>
    </w:p>
    <w:p w14:paraId="2035F882">
      <w:pPr>
        <w:spacing w:before="240" w:after="40" w:line="360" w:lineRule="auto"/>
        <w:jc w:val="both"/>
        <w:rPr>
          <w:b/>
          <w:bCs/>
          <w:sz w:val="24"/>
          <w:szCs w:val="24"/>
        </w:rPr>
      </w:pPr>
      <w:r>
        <w:rPr>
          <w:b/>
          <w:bCs/>
          <w:sz w:val="24"/>
          <w:szCs w:val="24"/>
        </w:rPr>
        <w:t>Japan</w:t>
      </w:r>
    </w:p>
    <w:p w14:paraId="518B6160">
      <w:pPr>
        <w:spacing w:before="240" w:after="240" w:line="360" w:lineRule="auto"/>
        <w:jc w:val="both"/>
        <w:rPr>
          <w:sz w:val="24"/>
          <w:szCs w:val="24"/>
        </w:rPr>
      </w:pPr>
      <w:r>
        <w:rPr>
          <w:sz w:val="24"/>
          <w:szCs w:val="24"/>
        </w:rPr>
        <w:t xml:space="preserve">The product strategy is more inclined towards compact cars and hybrid cars, kei cars and technologically advanced cars which are best suited to the dense urban population in Japan. </w:t>
      </w:r>
      <w:r>
        <w:rPr>
          <w:sz w:val="24"/>
          <w:szCs w:val="24"/>
          <w:highlight w:val="yellow"/>
        </w:rPr>
        <w:t xml:space="preserve">Toyota’s product portfolio has </w:t>
      </w:r>
      <w:r>
        <w:rPr>
          <w:b/>
          <w:bCs/>
          <w:sz w:val="24"/>
          <w:szCs w:val="24"/>
          <w:highlight w:val="yellow"/>
        </w:rPr>
        <w:t>3 main dimensions—passenger cars, SUVs/MPVs, and commercial vehicles</w:t>
      </w:r>
      <w:r>
        <w:rPr>
          <w:sz w:val="24"/>
          <w:szCs w:val="24"/>
          <w:highlight w:val="yellow"/>
        </w:rPr>
        <w:t xml:space="preserve">, while its Japanese lineup alone lists </w:t>
      </w:r>
      <w:r>
        <w:rPr>
          <w:b/>
          <w:bCs/>
          <w:sz w:val="24"/>
          <w:szCs w:val="24"/>
          <w:highlight w:val="yellow"/>
        </w:rPr>
        <w:t>30 current models</w:t>
      </w:r>
      <w:r>
        <w:rPr>
          <w:sz w:val="24"/>
          <w:szCs w:val="24"/>
          <w:highlight w:val="yellow"/>
        </w:rPr>
        <w:t>, demonstrating substantial product width as well as depth across different customer segments and mobility needs (</w:t>
      </w:r>
      <w:r>
        <w:rPr>
          <w:color w:val="222222"/>
          <w:sz w:val="24"/>
          <w:szCs w:val="24"/>
          <w:highlight w:val="yellow"/>
        </w:rPr>
        <w:t>Zhang, 2025)</w:t>
      </w:r>
      <w:r>
        <w:rPr>
          <w:sz w:val="24"/>
          <w:szCs w:val="24"/>
          <w:highlight w:val="yellow"/>
        </w:rPr>
        <w:t xml:space="preserve">. </w:t>
      </w:r>
      <w:r>
        <w:rPr>
          <w:sz w:val="24"/>
          <w:szCs w:val="24"/>
        </w:rPr>
        <w:t>Product designs are optimized for fuel economy, reliability, safety and environmental protection to meet the consumer expectation and government policy on environmental protection (</w:t>
      </w:r>
      <w:r>
        <w:rPr>
          <w:color w:val="222222"/>
          <w:sz w:val="24"/>
          <w:szCs w:val="24"/>
          <w:highlight w:val="white"/>
        </w:rPr>
        <w:t>Georgakoudis</w:t>
      </w:r>
      <w:r>
        <w:rPr>
          <w:color w:val="222222"/>
          <w:sz w:val="24"/>
          <w:szCs w:val="24"/>
          <w:highlight w:val="white"/>
        </w:rPr>
        <w:t xml:space="preserve">, </w:t>
      </w:r>
      <w:r>
        <w:rPr>
          <w:color w:val="222222"/>
          <w:sz w:val="24"/>
          <w:szCs w:val="24"/>
          <w:highlight w:val="white"/>
        </w:rPr>
        <w:t>Pechlivanidou</w:t>
      </w:r>
      <w:r>
        <w:rPr>
          <w:color w:val="222222"/>
          <w:sz w:val="24"/>
          <w:szCs w:val="24"/>
          <w:highlight w:val="white"/>
        </w:rPr>
        <w:t xml:space="preserve"> and Tipi, 2025)</w:t>
      </w:r>
      <w:r>
        <w:rPr>
          <w:sz w:val="24"/>
          <w:szCs w:val="24"/>
        </w:rPr>
        <w:t xml:space="preserve">. </w:t>
      </w:r>
    </w:p>
    <w:p w14:paraId="6B238B05">
      <w:pPr>
        <w:spacing w:before="240" w:after="240" w:line="360" w:lineRule="auto"/>
        <w:jc w:val="center"/>
        <w:rPr>
          <w:sz w:val="24"/>
          <w:szCs w:val="24"/>
        </w:rPr>
      </w:pPr>
      <w:r>
        <w:rPr>
          <w:sz w:val="24"/>
          <w:szCs w:val="24"/>
        </w:rPr>
        <w:drawing>
          <wp:inline distT="114300" distB="114300" distL="114300" distR="114300">
            <wp:extent cx="5943600" cy="1778000"/>
            <wp:effectExtent l="0" t="0" r="0" b="0"/>
            <wp:docPr id="10" name="image14.png"/>
            <wp:cNvGraphicFramePr/>
            <a:graphic xmlns:a="http://schemas.openxmlformats.org/drawingml/2006/main">
              <a:graphicData uri="http://schemas.openxmlformats.org/drawingml/2006/picture">
                <pic:pic xmlns:pic="http://schemas.openxmlformats.org/drawingml/2006/picture">
                  <pic:nvPicPr>
                    <pic:cNvPr id="10" name="image14.png"/>
                    <pic:cNvPicPr preferRelativeResize="0"/>
                  </pic:nvPicPr>
                  <pic:blipFill>
                    <a:blip r:embed="rId16"/>
                    <a:srcRect/>
                    <a:stretch>
                      <a:fillRect/>
                    </a:stretch>
                  </pic:blipFill>
                  <pic:spPr>
                    <a:xfrm>
                      <a:off x="0" y="0"/>
                      <a:ext cx="5943600" cy="1778000"/>
                    </a:xfrm>
                    <a:prstGeom prst="rect">
                      <a:avLst/>
                    </a:prstGeom>
                  </pic:spPr>
                </pic:pic>
              </a:graphicData>
            </a:graphic>
          </wp:inline>
        </w:drawing>
      </w:r>
    </w:p>
    <w:p w14:paraId="4D993547">
      <w:pPr>
        <w:spacing w:before="240" w:after="240" w:line="360" w:lineRule="auto"/>
        <w:jc w:val="center"/>
        <w:rPr>
          <w:b/>
          <w:bCs/>
          <w:sz w:val="24"/>
          <w:szCs w:val="24"/>
        </w:rPr>
      </w:pPr>
      <w:r>
        <w:rPr>
          <w:b/>
          <w:bCs/>
          <w:sz w:val="24"/>
          <w:szCs w:val="24"/>
        </w:rPr>
        <w:t>Figure 10: Toyota cars in Japan</w:t>
      </w:r>
    </w:p>
    <w:p w14:paraId="099DC561">
      <w:pPr>
        <w:spacing w:before="240" w:after="240" w:line="360" w:lineRule="auto"/>
        <w:jc w:val="center"/>
        <w:rPr>
          <w:sz w:val="24"/>
          <w:szCs w:val="24"/>
        </w:rPr>
      </w:pPr>
      <w:r>
        <w:rPr>
          <w:sz w:val="24"/>
          <w:szCs w:val="24"/>
        </w:rPr>
        <w:t>(Source: toyota.jp. 2026)</w:t>
      </w:r>
    </w:p>
    <w:p w14:paraId="04A9D2E3">
      <w:pPr>
        <w:spacing w:before="240" w:after="240" w:line="360" w:lineRule="auto"/>
        <w:jc w:val="both"/>
        <w:rPr>
          <w:b/>
          <w:bCs/>
          <w:sz w:val="24"/>
          <w:szCs w:val="24"/>
        </w:rPr>
      </w:pPr>
      <w:r>
        <w:rPr>
          <w:b/>
          <w:bCs/>
          <w:sz w:val="24"/>
          <w:szCs w:val="24"/>
        </w:rPr>
        <w:t>United States</w:t>
      </w:r>
    </w:p>
    <w:p w14:paraId="020C0E3C">
      <w:pPr>
        <w:spacing w:before="240" w:after="240" w:line="360" w:lineRule="auto"/>
        <w:jc w:val="both"/>
        <w:rPr>
          <w:sz w:val="24"/>
          <w:szCs w:val="24"/>
        </w:rPr>
      </w:pPr>
      <w:r>
        <w:rPr>
          <w:sz w:val="24"/>
          <w:szCs w:val="24"/>
          <w:highlight w:val="yellow"/>
        </w:rPr>
        <w:t>Toyota has a wider offering of models such as sedans, SUVs, pickup trucks, crossovers, hybrid and luxury models in the United States by maintaining the same dimensions (</w:t>
      </w:r>
      <w:r>
        <w:rPr>
          <w:color w:val="222222"/>
          <w:sz w:val="24"/>
          <w:szCs w:val="24"/>
          <w:highlight w:val="yellow"/>
        </w:rPr>
        <w:t>Zhang, 2025)</w:t>
      </w:r>
      <w:r>
        <w:rPr>
          <w:sz w:val="24"/>
          <w:szCs w:val="24"/>
          <w:highlight w:val="yellow"/>
        </w:rPr>
        <w:t>.</w:t>
      </w:r>
      <w:r>
        <w:rPr>
          <w:sz w:val="24"/>
          <w:szCs w:val="24"/>
        </w:rPr>
        <w:t xml:space="preserve"> Bigger, more powerful vehicles with more room and advanced information systems are most Americans' desired traits in a vehicle. </w:t>
      </w:r>
    </w:p>
    <w:p w14:paraId="238AB704">
      <w:pPr>
        <w:spacing w:before="240" w:after="240" w:line="360" w:lineRule="auto"/>
        <w:jc w:val="center"/>
        <w:rPr>
          <w:sz w:val="24"/>
          <w:szCs w:val="24"/>
        </w:rPr>
      </w:pPr>
      <w:r>
        <w:rPr>
          <w:sz w:val="24"/>
          <w:szCs w:val="24"/>
        </w:rPr>
        <w:drawing>
          <wp:inline distT="114300" distB="114300" distL="114300" distR="114300">
            <wp:extent cx="5943600" cy="2006600"/>
            <wp:effectExtent l="0" t="0" r="0" b="0"/>
            <wp:docPr id="11" name="image15.png"/>
            <wp:cNvGraphicFramePr/>
            <a:graphic xmlns:a="http://schemas.openxmlformats.org/drawingml/2006/main">
              <a:graphicData uri="http://schemas.openxmlformats.org/drawingml/2006/picture">
                <pic:pic xmlns:pic="http://schemas.openxmlformats.org/drawingml/2006/picture">
                  <pic:nvPicPr>
                    <pic:cNvPr id="11" name="image15.png"/>
                    <pic:cNvPicPr preferRelativeResize="0"/>
                  </pic:nvPicPr>
                  <pic:blipFill>
                    <a:blip r:embed="rId17"/>
                    <a:srcRect/>
                    <a:stretch>
                      <a:fillRect/>
                    </a:stretch>
                  </pic:blipFill>
                  <pic:spPr>
                    <a:xfrm>
                      <a:off x="0" y="0"/>
                      <a:ext cx="5943600" cy="2006600"/>
                    </a:xfrm>
                    <a:prstGeom prst="rect">
                      <a:avLst/>
                    </a:prstGeom>
                  </pic:spPr>
                </pic:pic>
              </a:graphicData>
            </a:graphic>
          </wp:inline>
        </w:drawing>
      </w:r>
    </w:p>
    <w:p w14:paraId="1B9BD62C">
      <w:pPr>
        <w:spacing w:before="240" w:after="240" w:line="360" w:lineRule="auto"/>
        <w:jc w:val="center"/>
        <w:rPr>
          <w:b/>
          <w:bCs/>
          <w:sz w:val="24"/>
          <w:szCs w:val="24"/>
        </w:rPr>
      </w:pPr>
      <w:r>
        <w:rPr>
          <w:b/>
          <w:bCs/>
          <w:sz w:val="24"/>
          <w:szCs w:val="24"/>
        </w:rPr>
        <w:t>Figure 11: Toyota cars in US</w:t>
      </w:r>
    </w:p>
    <w:p w14:paraId="44740590">
      <w:pPr>
        <w:spacing w:before="240" w:after="240" w:line="360" w:lineRule="auto"/>
        <w:jc w:val="center"/>
        <w:rPr>
          <w:sz w:val="24"/>
          <w:szCs w:val="24"/>
        </w:rPr>
      </w:pPr>
      <w:r>
        <w:rPr>
          <w:sz w:val="24"/>
          <w:szCs w:val="24"/>
        </w:rPr>
        <w:t>(Source: toyota.com. 2026)</w:t>
      </w:r>
    </w:p>
    <w:p w14:paraId="32064C44">
      <w:pPr>
        <w:spacing w:before="240" w:after="240" w:line="360" w:lineRule="auto"/>
        <w:jc w:val="both"/>
        <w:rPr>
          <w:b/>
          <w:bCs/>
          <w:sz w:val="24"/>
          <w:szCs w:val="24"/>
        </w:rPr>
      </w:pPr>
      <w:r>
        <w:rPr>
          <w:b/>
          <w:bCs/>
          <w:sz w:val="24"/>
          <w:szCs w:val="24"/>
        </w:rPr>
        <w:t>Comparative Evaluation</w:t>
      </w:r>
    </w:p>
    <w:p w14:paraId="36A89635">
      <w:pPr>
        <w:spacing w:before="240" w:after="240" w:line="360" w:lineRule="auto"/>
        <w:jc w:val="both"/>
        <w:rPr>
          <w:sz w:val="24"/>
          <w:szCs w:val="24"/>
        </w:rPr>
      </w:pPr>
      <w:r>
        <w:rPr>
          <w:sz w:val="24"/>
          <w:szCs w:val="24"/>
        </w:rPr>
        <w:t>Toyota applies the quality and reliability standards customers typically demand everywhere in the world; and adapts the size, design and number of models to suit the lifestyles and infrastructure of the U.S. and Japan (</w:t>
      </w:r>
      <w:r>
        <w:rPr>
          <w:color w:val="222222"/>
          <w:sz w:val="24"/>
          <w:szCs w:val="24"/>
          <w:highlight w:val="white"/>
        </w:rPr>
        <w:t>Georgakoudis</w:t>
      </w:r>
      <w:r>
        <w:rPr>
          <w:color w:val="222222"/>
          <w:sz w:val="24"/>
          <w:szCs w:val="24"/>
          <w:highlight w:val="white"/>
        </w:rPr>
        <w:t xml:space="preserve">, </w:t>
      </w:r>
      <w:r>
        <w:rPr>
          <w:color w:val="222222"/>
          <w:sz w:val="24"/>
          <w:szCs w:val="24"/>
          <w:highlight w:val="white"/>
        </w:rPr>
        <w:t>Pechlivanidou</w:t>
      </w:r>
      <w:r>
        <w:rPr>
          <w:color w:val="222222"/>
          <w:sz w:val="24"/>
          <w:szCs w:val="24"/>
          <w:highlight w:val="white"/>
        </w:rPr>
        <w:t xml:space="preserve"> and Tipi, 2025)</w:t>
      </w:r>
      <w:r>
        <w:rPr>
          <w:sz w:val="24"/>
          <w:szCs w:val="24"/>
        </w:rPr>
        <w:t>.</w:t>
      </w:r>
    </w:p>
    <w:p w14:paraId="7C97505C">
      <w:pPr>
        <w:spacing w:before="280" w:line="360" w:lineRule="auto"/>
        <w:jc w:val="both"/>
        <w:rPr>
          <w:b/>
          <w:bCs/>
          <w:sz w:val="24"/>
          <w:szCs w:val="24"/>
          <w:u w:val="single"/>
        </w:rPr>
      </w:pPr>
      <w:r>
        <w:rPr>
          <w:b/>
          <w:bCs/>
          <w:sz w:val="24"/>
          <w:szCs w:val="24"/>
          <w:u w:val="single"/>
        </w:rPr>
        <w:t>Price</w:t>
      </w:r>
    </w:p>
    <w:p w14:paraId="53F2C2D8">
      <w:pPr>
        <w:spacing w:before="240" w:after="40" w:line="360" w:lineRule="auto"/>
        <w:jc w:val="both"/>
        <w:rPr>
          <w:b/>
          <w:bCs/>
          <w:sz w:val="24"/>
          <w:szCs w:val="24"/>
        </w:rPr>
      </w:pPr>
      <w:r>
        <w:rPr>
          <w:b/>
          <w:bCs/>
          <w:sz w:val="24"/>
          <w:szCs w:val="24"/>
        </w:rPr>
        <w:t>Japan</w:t>
      </w:r>
    </w:p>
    <w:p w14:paraId="2329C830">
      <w:pPr>
        <w:spacing w:before="240" w:after="240" w:line="360" w:lineRule="auto"/>
        <w:jc w:val="both"/>
        <w:rPr>
          <w:sz w:val="24"/>
          <w:szCs w:val="24"/>
        </w:rPr>
      </w:pPr>
      <w:r>
        <w:rPr>
          <w:sz w:val="24"/>
          <w:szCs w:val="24"/>
        </w:rPr>
        <w:t xml:space="preserve">Toyota's value pricing policy is a thin margin between the cost of product and quality of product, and innovation of technologies in Japan. As a result of the good economic climate and stiff local competition, a number of the categories of cars are available competitively priced. </w:t>
      </w:r>
    </w:p>
    <w:p w14:paraId="14F1AC9C">
      <w:pPr>
        <w:spacing w:before="240" w:after="240" w:line="360" w:lineRule="auto"/>
        <w:jc w:val="both"/>
        <w:rPr>
          <w:b/>
          <w:bCs/>
          <w:sz w:val="24"/>
          <w:szCs w:val="24"/>
        </w:rPr>
      </w:pPr>
      <w:r>
        <w:rPr>
          <w:b/>
          <w:bCs/>
          <w:sz w:val="24"/>
          <w:szCs w:val="24"/>
        </w:rPr>
        <w:t>United States</w:t>
      </w:r>
    </w:p>
    <w:p w14:paraId="1677A7FA">
      <w:pPr>
        <w:spacing w:before="240" w:after="240" w:line="360" w:lineRule="auto"/>
        <w:jc w:val="both"/>
        <w:rPr>
          <w:sz w:val="24"/>
          <w:szCs w:val="24"/>
        </w:rPr>
      </w:pPr>
      <w:r>
        <w:rPr>
          <w:sz w:val="24"/>
          <w:szCs w:val="24"/>
        </w:rPr>
        <w:t>Toyota is selling competitively (2,332,623 unit) and trying to match the market price in the U.S. market (roadgenius.com, 2025). The price is quite different for various different technologies, vehicles and consumer demand. Competition is present in the American market and various sales promotion methods are used, including seasonal discount, trade-in sales and even promotional financing (</w:t>
      </w:r>
      <w:r>
        <w:rPr>
          <w:color w:val="222222"/>
          <w:sz w:val="24"/>
          <w:szCs w:val="24"/>
          <w:highlight w:val="white"/>
        </w:rPr>
        <w:t>Zhang, 2025)</w:t>
      </w:r>
      <w:r>
        <w:rPr>
          <w:sz w:val="24"/>
          <w:szCs w:val="24"/>
        </w:rPr>
        <w:t>.</w:t>
      </w:r>
    </w:p>
    <w:p w14:paraId="0773EA5B">
      <w:pPr>
        <w:spacing w:before="240" w:after="240" w:line="360" w:lineRule="auto"/>
        <w:jc w:val="center"/>
        <w:rPr>
          <w:sz w:val="24"/>
          <w:szCs w:val="24"/>
        </w:rPr>
      </w:pPr>
      <w:r>
        <w:rPr>
          <w:sz w:val="24"/>
          <w:szCs w:val="24"/>
        </w:rPr>
        <w:drawing>
          <wp:inline distT="114300" distB="114300" distL="114300" distR="114300">
            <wp:extent cx="5943600" cy="3378200"/>
            <wp:effectExtent l="0" t="0" r="0" b="0"/>
            <wp:docPr id="13" name="image17.png"/>
            <wp:cNvGraphicFramePr/>
            <a:graphic xmlns:a="http://schemas.openxmlformats.org/drawingml/2006/main">
              <a:graphicData uri="http://schemas.openxmlformats.org/drawingml/2006/picture">
                <pic:pic xmlns:pic="http://schemas.openxmlformats.org/drawingml/2006/picture">
                  <pic:nvPicPr>
                    <pic:cNvPr id="13" name="image17.png"/>
                    <pic:cNvPicPr preferRelativeResize="0"/>
                  </pic:nvPicPr>
                  <pic:blipFill>
                    <a:blip r:embed="rId18"/>
                    <a:srcRect/>
                    <a:stretch>
                      <a:fillRect/>
                    </a:stretch>
                  </pic:blipFill>
                  <pic:spPr>
                    <a:xfrm>
                      <a:off x="0" y="0"/>
                      <a:ext cx="5943600" cy="3378200"/>
                    </a:xfrm>
                    <a:prstGeom prst="rect">
                      <a:avLst/>
                    </a:prstGeom>
                  </pic:spPr>
                </pic:pic>
              </a:graphicData>
            </a:graphic>
          </wp:inline>
        </w:drawing>
      </w:r>
    </w:p>
    <w:p w14:paraId="04F251F2">
      <w:pPr>
        <w:spacing w:before="240" w:after="240" w:line="360" w:lineRule="auto"/>
        <w:jc w:val="center"/>
        <w:rPr>
          <w:b/>
          <w:bCs/>
          <w:sz w:val="24"/>
          <w:szCs w:val="24"/>
        </w:rPr>
      </w:pPr>
      <w:r>
        <w:rPr>
          <w:b/>
          <w:bCs/>
          <w:sz w:val="24"/>
          <w:szCs w:val="24"/>
        </w:rPr>
        <w:t>Figure 12: Total sales segment of Toyota</w:t>
      </w:r>
    </w:p>
    <w:p w14:paraId="5F3E5CD2">
      <w:pPr>
        <w:spacing w:before="240" w:after="240" w:line="360" w:lineRule="auto"/>
        <w:jc w:val="center"/>
        <w:rPr>
          <w:sz w:val="24"/>
          <w:szCs w:val="24"/>
        </w:rPr>
      </w:pPr>
      <w:r>
        <w:rPr>
          <w:sz w:val="24"/>
          <w:szCs w:val="24"/>
        </w:rPr>
        <w:t>(Source: roadgenius.com, 2025)</w:t>
      </w:r>
    </w:p>
    <w:p w14:paraId="767BCF0F">
      <w:pPr>
        <w:spacing w:before="240" w:after="40" w:line="360" w:lineRule="auto"/>
        <w:jc w:val="both"/>
        <w:rPr>
          <w:b/>
          <w:bCs/>
          <w:sz w:val="24"/>
          <w:szCs w:val="24"/>
        </w:rPr>
      </w:pPr>
      <w:r>
        <w:rPr>
          <w:b/>
          <w:bCs/>
          <w:sz w:val="24"/>
          <w:szCs w:val="24"/>
        </w:rPr>
        <w:t>Comparative Evaluation</w:t>
      </w:r>
    </w:p>
    <w:p w14:paraId="06C36C70">
      <w:pPr>
        <w:spacing w:before="240" w:after="240" w:line="360" w:lineRule="auto"/>
        <w:jc w:val="both"/>
        <w:rPr>
          <w:sz w:val="24"/>
          <w:szCs w:val="24"/>
        </w:rPr>
      </w:pPr>
      <w:r>
        <w:rPr>
          <w:sz w:val="24"/>
          <w:szCs w:val="24"/>
        </w:rPr>
        <w:t>More aggressive promotion/pricing and financing tactics will be needed in the U.S. than in Japan, since competition and price sensitivity is higher in the U.S. than in Japan - however, Toyota has value-oriented pricing in both countries.</w:t>
      </w:r>
    </w:p>
    <w:p w14:paraId="1223AD14">
      <w:pPr>
        <w:spacing w:before="280" w:line="360" w:lineRule="auto"/>
        <w:jc w:val="both"/>
        <w:rPr>
          <w:b/>
          <w:bCs/>
          <w:sz w:val="24"/>
          <w:szCs w:val="24"/>
          <w:u w:val="single"/>
        </w:rPr>
      </w:pPr>
      <w:r>
        <w:rPr>
          <w:b/>
          <w:bCs/>
          <w:sz w:val="24"/>
          <w:szCs w:val="24"/>
          <w:u w:val="single"/>
        </w:rPr>
        <w:t>Place</w:t>
      </w:r>
    </w:p>
    <w:p w14:paraId="7DB38811">
      <w:pPr>
        <w:spacing w:before="240" w:after="40" w:line="360" w:lineRule="auto"/>
        <w:jc w:val="both"/>
        <w:rPr>
          <w:b/>
          <w:bCs/>
          <w:sz w:val="24"/>
          <w:szCs w:val="24"/>
        </w:rPr>
      </w:pPr>
      <w:r>
        <w:rPr>
          <w:b/>
          <w:bCs/>
          <w:sz w:val="24"/>
          <w:szCs w:val="24"/>
        </w:rPr>
        <w:t>Japan</w:t>
      </w:r>
    </w:p>
    <w:p w14:paraId="6B77F008">
      <w:pPr>
        <w:spacing w:before="240" w:after="240" w:line="360" w:lineRule="auto"/>
        <w:jc w:val="both"/>
        <w:rPr>
          <w:sz w:val="24"/>
          <w:szCs w:val="24"/>
        </w:rPr>
      </w:pPr>
      <w:r>
        <w:rPr>
          <w:sz w:val="24"/>
          <w:szCs w:val="24"/>
        </w:rPr>
        <w:t>The network of Toyota authorized dealers, Toyota showrooms, digital distribution channel and after-sales service centres are distributed throughout the country, giving Toyota dealers a broad distribution network (</w:t>
      </w:r>
      <w:r>
        <w:rPr>
          <w:color w:val="222222"/>
          <w:sz w:val="24"/>
          <w:szCs w:val="24"/>
          <w:highlight w:val="white"/>
        </w:rPr>
        <w:t>Jelti</w:t>
      </w:r>
      <w:r>
        <w:rPr>
          <w:color w:val="222222"/>
          <w:sz w:val="24"/>
          <w:szCs w:val="24"/>
          <w:highlight w:val="white"/>
        </w:rPr>
        <w:t xml:space="preserve">, </w:t>
      </w:r>
      <w:r>
        <w:rPr>
          <w:color w:val="222222"/>
          <w:sz w:val="24"/>
          <w:szCs w:val="24"/>
          <w:highlight w:val="white"/>
        </w:rPr>
        <w:t>Allouhi</w:t>
      </w:r>
      <w:r>
        <w:rPr>
          <w:color w:val="222222"/>
          <w:sz w:val="24"/>
          <w:szCs w:val="24"/>
          <w:highlight w:val="white"/>
        </w:rPr>
        <w:t xml:space="preserve"> and </w:t>
      </w:r>
      <w:r>
        <w:rPr>
          <w:color w:val="222222"/>
          <w:sz w:val="24"/>
          <w:szCs w:val="24"/>
          <w:highlight w:val="white"/>
        </w:rPr>
        <w:t>Tabet</w:t>
      </w:r>
      <w:r>
        <w:rPr>
          <w:color w:val="222222"/>
          <w:sz w:val="24"/>
          <w:szCs w:val="24"/>
          <w:highlight w:val="white"/>
        </w:rPr>
        <w:t xml:space="preserve"> </w:t>
      </w:r>
      <w:r>
        <w:rPr>
          <w:color w:val="222222"/>
          <w:sz w:val="24"/>
          <w:szCs w:val="24"/>
          <w:highlight w:val="white"/>
        </w:rPr>
        <w:t>Aoul</w:t>
      </w:r>
      <w:r>
        <w:rPr>
          <w:color w:val="222222"/>
          <w:sz w:val="24"/>
          <w:szCs w:val="24"/>
          <w:highlight w:val="white"/>
        </w:rPr>
        <w:t>, 2023)</w:t>
      </w:r>
      <w:r>
        <w:rPr>
          <w:sz w:val="24"/>
          <w:szCs w:val="24"/>
        </w:rPr>
        <w:t>. The country has an in-depth transportation system which is able to move the products and services from one place to another in the country in an efficient manner, which facilitates the supply chain and its capability to offer the products and services to the customers.</w:t>
      </w:r>
    </w:p>
    <w:p w14:paraId="7340467C">
      <w:pPr>
        <w:spacing w:before="240" w:after="40" w:line="360" w:lineRule="auto"/>
        <w:jc w:val="both"/>
        <w:rPr>
          <w:b/>
          <w:bCs/>
          <w:sz w:val="24"/>
          <w:szCs w:val="24"/>
        </w:rPr>
      </w:pPr>
      <w:r>
        <w:rPr>
          <w:b/>
          <w:bCs/>
          <w:sz w:val="24"/>
          <w:szCs w:val="24"/>
        </w:rPr>
        <w:t>United States</w:t>
      </w:r>
    </w:p>
    <w:p w14:paraId="03DCEC53">
      <w:pPr>
        <w:spacing w:before="240" w:after="240" w:line="360" w:lineRule="auto"/>
        <w:jc w:val="both"/>
        <w:rPr>
          <w:sz w:val="24"/>
          <w:szCs w:val="24"/>
        </w:rPr>
      </w:pPr>
      <w:r>
        <w:rPr>
          <w:sz w:val="24"/>
          <w:szCs w:val="24"/>
        </w:rPr>
        <w:t>Toyota has a wide dealer network and regional manufacturing plants, logistics centres, vehicle buying websites and nationwide maintenance &amp; repair bays. Locally made components result in greater efficiency in the supply chain, reducing transportation expenses and shortening delivery times.</w:t>
      </w:r>
    </w:p>
    <w:p w14:paraId="4D62E792">
      <w:pPr>
        <w:spacing w:before="240" w:after="40" w:line="360" w:lineRule="auto"/>
        <w:jc w:val="both"/>
        <w:rPr>
          <w:b/>
          <w:bCs/>
          <w:sz w:val="24"/>
          <w:szCs w:val="24"/>
        </w:rPr>
      </w:pPr>
      <w:r>
        <w:rPr>
          <w:b/>
          <w:bCs/>
          <w:sz w:val="24"/>
          <w:szCs w:val="24"/>
        </w:rPr>
        <w:t>Comparative Evaluation</w:t>
      </w:r>
    </w:p>
    <w:p w14:paraId="665AA773">
      <w:pPr>
        <w:spacing w:before="240" w:after="240" w:line="360" w:lineRule="auto"/>
        <w:jc w:val="both"/>
        <w:rPr>
          <w:sz w:val="24"/>
          <w:szCs w:val="24"/>
        </w:rPr>
      </w:pPr>
      <w:r>
        <w:rPr>
          <w:sz w:val="24"/>
          <w:szCs w:val="24"/>
        </w:rPr>
        <w:t>Both countries have very well-developed distribution systems, but the distribution system in Japan is more integrated with domestic operation while in the United States, the need for larger and more decentralised distribution systems is due to the geographical size and regional diversity (</w:t>
      </w:r>
      <w:r>
        <w:rPr>
          <w:color w:val="222222"/>
          <w:sz w:val="24"/>
          <w:szCs w:val="24"/>
          <w:highlight w:val="white"/>
        </w:rPr>
        <w:t>Jelti</w:t>
      </w:r>
      <w:r>
        <w:rPr>
          <w:color w:val="222222"/>
          <w:sz w:val="24"/>
          <w:szCs w:val="24"/>
          <w:highlight w:val="white"/>
        </w:rPr>
        <w:t xml:space="preserve">, </w:t>
      </w:r>
      <w:r>
        <w:rPr>
          <w:color w:val="222222"/>
          <w:sz w:val="24"/>
          <w:szCs w:val="24"/>
          <w:highlight w:val="white"/>
        </w:rPr>
        <w:t>Allouhi</w:t>
      </w:r>
      <w:r>
        <w:rPr>
          <w:color w:val="222222"/>
          <w:sz w:val="24"/>
          <w:szCs w:val="24"/>
          <w:highlight w:val="white"/>
        </w:rPr>
        <w:t xml:space="preserve"> and </w:t>
      </w:r>
      <w:r>
        <w:rPr>
          <w:color w:val="222222"/>
          <w:sz w:val="24"/>
          <w:szCs w:val="24"/>
          <w:highlight w:val="white"/>
        </w:rPr>
        <w:t>Tabet</w:t>
      </w:r>
      <w:r>
        <w:rPr>
          <w:color w:val="222222"/>
          <w:sz w:val="24"/>
          <w:szCs w:val="24"/>
          <w:highlight w:val="white"/>
        </w:rPr>
        <w:t xml:space="preserve"> </w:t>
      </w:r>
      <w:r>
        <w:rPr>
          <w:color w:val="222222"/>
          <w:sz w:val="24"/>
          <w:szCs w:val="24"/>
          <w:highlight w:val="white"/>
        </w:rPr>
        <w:t>Aoul</w:t>
      </w:r>
      <w:r>
        <w:rPr>
          <w:color w:val="222222"/>
          <w:sz w:val="24"/>
          <w:szCs w:val="24"/>
          <w:highlight w:val="white"/>
        </w:rPr>
        <w:t>, 2023)</w:t>
      </w:r>
      <w:r>
        <w:rPr>
          <w:sz w:val="24"/>
          <w:szCs w:val="24"/>
        </w:rPr>
        <w:t>.</w:t>
      </w:r>
    </w:p>
    <w:p w14:paraId="3ED6D7B2">
      <w:pPr>
        <w:spacing w:before="280" w:line="360" w:lineRule="auto"/>
        <w:jc w:val="both"/>
        <w:rPr>
          <w:b/>
          <w:bCs/>
          <w:sz w:val="24"/>
          <w:szCs w:val="24"/>
          <w:u w:val="single"/>
        </w:rPr>
      </w:pPr>
      <w:r>
        <w:rPr>
          <w:b/>
          <w:bCs/>
          <w:sz w:val="24"/>
          <w:szCs w:val="24"/>
          <w:u w:val="single"/>
        </w:rPr>
        <w:t>Promotion</w:t>
      </w:r>
    </w:p>
    <w:p w14:paraId="531D973D">
      <w:pPr>
        <w:spacing w:before="240" w:after="40" w:line="360" w:lineRule="auto"/>
        <w:jc w:val="both"/>
        <w:rPr>
          <w:b/>
          <w:bCs/>
          <w:sz w:val="24"/>
          <w:szCs w:val="24"/>
        </w:rPr>
      </w:pPr>
      <w:r>
        <w:rPr>
          <w:b/>
          <w:bCs/>
          <w:sz w:val="24"/>
          <w:szCs w:val="24"/>
        </w:rPr>
        <w:t>Japan</w:t>
      </w:r>
    </w:p>
    <w:p w14:paraId="313FD541">
      <w:pPr>
        <w:spacing w:before="240" w:after="240" w:line="360" w:lineRule="auto"/>
        <w:jc w:val="both"/>
        <w:rPr>
          <w:sz w:val="24"/>
          <w:szCs w:val="24"/>
        </w:rPr>
      </w:pPr>
      <w:r>
        <w:rPr>
          <w:sz w:val="24"/>
          <w:szCs w:val="24"/>
        </w:rPr>
        <w:t>Quality, technological innovation, environmental protection and corporate reputation are the focus of Toyota's marketing in Japan. Hybrid technology, safety features, customer confidence and reliability are often promoted in the television, digital media, corporate events/sponsorships space.</w:t>
      </w:r>
    </w:p>
    <w:p w14:paraId="78E4ED23">
      <w:pPr>
        <w:spacing w:before="240" w:after="40" w:line="360" w:lineRule="auto"/>
        <w:jc w:val="both"/>
        <w:rPr>
          <w:b/>
          <w:bCs/>
          <w:sz w:val="24"/>
          <w:szCs w:val="24"/>
        </w:rPr>
      </w:pPr>
      <w:r>
        <w:rPr>
          <w:b/>
          <w:bCs/>
          <w:sz w:val="24"/>
          <w:szCs w:val="24"/>
        </w:rPr>
        <w:t>United States</w:t>
      </w:r>
    </w:p>
    <w:p w14:paraId="016A3F58">
      <w:pPr>
        <w:spacing w:before="240" w:after="240" w:line="360" w:lineRule="auto"/>
        <w:jc w:val="both"/>
        <w:rPr>
          <w:sz w:val="24"/>
          <w:szCs w:val="24"/>
        </w:rPr>
      </w:pPr>
      <w:r>
        <w:rPr>
          <w:sz w:val="24"/>
          <w:szCs w:val="24"/>
        </w:rPr>
        <w:t>In the United States, Toyota makes very integrated campaigns, bolstered by television advertising, social networks, sports sponsorship, influencing marketing, digital media and experiential marketing (</w:t>
      </w:r>
      <w:r>
        <w:rPr>
          <w:color w:val="222222"/>
          <w:sz w:val="24"/>
          <w:szCs w:val="24"/>
          <w:highlight w:val="white"/>
        </w:rPr>
        <w:t>Beauvisage</w:t>
      </w:r>
      <w:r>
        <w:rPr>
          <w:color w:val="222222"/>
          <w:sz w:val="24"/>
          <w:szCs w:val="24"/>
          <w:highlight w:val="white"/>
        </w:rPr>
        <w:t xml:space="preserve"> et al., 2024)</w:t>
      </w:r>
      <w:r>
        <w:rPr>
          <w:sz w:val="24"/>
          <w:szCs w:val="24"/>
        </w:rPr>
        <w:t>. When targeting various groups of consumers, advertising is often targeted at performance, family life, adventure, durability and technological innovation and for this 1.55 billion USD was allocated (statista.com, 2025).</w:t>
      </w:r>
    </w:p>
    <w:p w14:paraId="640CCE89">
      <w:pPr>
        <w:spacing w:before="240" w:after="240" w:line="360" w:lineRule="auto"/>
        <w:jc w:val="center"/>
        <w:rPr>
          <w:sz w:val="24"/>
          <w:szCs w:val="24"/>
        </w:rPr>
      </w:pPr>
      <w:r>
        <w:rPr>
          <w:sz w:val="24"/>
          <w:szCs w:val="24"/>
        </w:rPr>
        <w:drawing>
          <wp:inline distT="0" distB="0" distL="0" distR="0">
            <wp:extent cx="5477510" cy="36195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14" name="image8.png"/>
                    <pic:cNvPicPr preferRelativeResize="0"/>
                  </pic:nvPicPr>
                  <pic:blipFill>
                    <a:blip r:embed="rId19"/>
                    <a:srcRect/>
                    <a:stretch>
                      <a:fillRect/>
                    </a:stretch>
                  </pic:blipFill>
                  <pic:spPr>
                    <a:xfrm>
                      <a:off x="0" y="0"/>
                      <a:ext cx="5477639" cy="3620005"/>
                    </a:xfrm>
                    <a:prstGeom prst="rect">
                      <a:avLst/>
                    </a:prstGeom>
                  </pic:spPr>
                </pic:pic>
              </a:graphicData>
            </a:graphic>
          </wp:inline>
        </w:drawing>
      </w:r>
    </w:p>
    <w:p w14:paraId="5A5C471E">
      <w:pPr>
        <w:spacing w:before="240" w:after="240" w:line="360" w:lineRule="auto"/>
        <w:jc w:val="center"/>
        <w:rPr>
          <w:b/>
          <w:bCs/>
          <w:sz w:val="24"/>
          <w:szCs w:val="24"/>
        </w:rPr>
      </w:pPr>
      <w:r>
        <w:rPr>
          <w:b/>
          <w:bCs/>
          <w:sz w:val="24"/>
          <w:szCs w:val="24"/>
        </w:rPr>
        <w:t>Figure 13: Advertising budget of Toyota in the US</w:t>
      </w:r>
    </w:p>
    <w:p w14:paraId="21213E0A">
      <w:pPr>
        <w:spacing w:before="240" w:after="240" w:line="360" w:lineRule="auto"/>
        <w:jc w:val="center"/>
        <w:rPr>
          <w:sz w:val="24"/>
          <w:szCs w:val="24"/>
        </w:rPr>
      </w:pPr>
      <w:r>
        <w:rPr>
          <w:sz w:val="24"/>
          <w:szCs w:val="24"/>
        </w:rPr>
        <w:t>(Source: statista.com, 2025)</w:t>
      </w:r>
    </w:p>
    <w:p w14:paraId="1355CDF1">
      <w:pPr>
        <w:spacing w:before="240" w:after="40" w:line="360" w:lineRule="auto"/>
        <w:jc w:val="both"/>
        <w:rPr>
          <w:b/>
          <w:bCs/>
          <w:sz w:val="24"/>
          <w:szCs w:val="24"/>
        </w:rPr>
      </w:pPr>
      <w:r>
        <w:rPr>
          <w:b/>
          <w:bCs/>
          <w:sz w:val="24"/>
          <w:szCs w:val="24"/>
        </w:rPr>
        <w:t>Comparative Evaluation</w:t>
      </w:r>
    </w:p>
    <w:p w14:paraId="5DCA54E4">
      <w:pPr>
        <w:spacing w:before="240" w:after="240" w:line="360" w:lineRule="auto"/>
        <w:jc w:val="both"/>
        <w:rPr>
          <w:sz w:val="24"/>
          <w:szCs w:val="24"/>
        </w:rPr>
      </w:pPr>
      <w:r>
        <w:rPr>
          <w:sz w:val="24"/>
          <w:szCs w:val="24"/>
        </w:rPr>
        <w:t>Toyota is the same car company, with the same marketing philosophy, the same marketing strategy, and same marketing tactics, all over the world and in accordance with the needs of the culture (</w:t>
      </w:r>
      <w:r>
        <w:rPr>
          <w:color w:val="222222"/>
          <w:sz w:val="24"/>
          <w:szCs w:val="24"/>
          <w:highlight w:val="white"/>
        </w:rPr>
        <w:t>Beauvisage</w:t>
      </w:r>
      <w:r>
        <w:rPr>
          <w:color w:val="222222"/>
          <w:sz w:val="24"/>
          <w:szCs w:val="24"/>
          <w:highlight w:val="white"/>
        </w:rPr>
        <w:t xml:space="preserve"> et al., 2024)</w:t>
      </w:r>
      <w:r>
        <w:rPr>
          <w:sz w:val="24"/>
          <w:szCs w:val="24"/>
        </w:rPr>
        <w:t xml:space="preserve">. </w:t>
      </w:r>
    </w:p>
    <w:p w14:paraId="36278D77">
      <w:pPr>
        <w:spacing w:before="280" w:line="360" w:lineRule="auto"/>
        <w:jc w:val="both"/>
        <w:rPr>
          <w:b/>
          <w:bCs/>
          <w:sz w:val="24"/>
          <w:szCs w:val="24"/>
          <w:u w:val="single"/>
        </w:rPr>
      </w:pPr>
      <w:r>
        <w:rPr>
          <w:b/>
          <w:bCs/>
          <w:sz w:val="24"/>
          <w:szCs w:val="24"/>
          <w:u w:val="single"/>
        </w:rPr>
        <w:t>People</w:t>
      </w:r>
    </w:p>
    <w:p w14:paraId="266AD185">
      <w:pPr>
        <w:spacing w:before="240" w:after="40" w:line="360" w:lineRule="auto"/>
        <w:jc w:val="both"/>
        <w:rPr>
          <w:b/>
          <w:bCs/>
          <w:sz w:val="24"/>
          <w:szCs w:val="24"/>
        </w:rPr>
      </w:pPr>
      <w:r>
        <w:rPr>
          <w:b/>
          <w:bCs/>
          <w:sz w:val="24"/>
          <w:szCs w:val="24"/>
        </w:rPr>
        <w:t>Japan</w:t>
      </w:r>
    </w:p>
    <w:p w14:paraId="6AF49323">
      <w:pPr>
        <w:spacing w:before="240" w:after="240" w:line="360" w:lineRule="auto"/>
        <w:jc w:val="both"/>
        <w:rPr>
          <w:sz w:val="24"/>
          <w:szCs w:val="24"/>
        </w:rPr>
      </w:pPr>
      <w:r>
        <w:rPr>
          <w:sz w:val="24"/>
          <w:szCs w:val="24"/>
        </w:rPr>
        <w:t>Toyota has placed a heavy focus on their employees' ongoing efforts for improvement (Kaizen), service orientation, and commitment to the company for the long term. Dealership personnel use courteous language with the customer, knowledge and build a relationship with the customer throughout the customer's experience (NASER, 2021).</w:t>
      </w:r>
    </w:p>
    <w:p w14:paraId="43BD8BEB">
      <w:pPr>
        <w:spacing w:before="240" w:after="40" w:line="360" w:lineRule="auto"/>
        <w:jc w:val="both"/>
        <w:rPr>
          <w:b/>
          <w:bCs/>
          <w:sz w:val="24"/>
          <w:szCs w:val="24"/>
        </w:rPr>
      </w:pPr>
      <w:r>
        <w:rPr>
          <w:b/>
          <w:bCs/>
          <w:sz w:val="24"/>
          <w:szCs w:val="24"/>
        </w:rPr>
        <w:t>United States</w:t>
      </w:r>
    </w:p>
    <w:p w14:paraId="59AD86EB">
      <w:pPr>
        <w:spacing w:before="240" w:after="240" w:line="360" w:lineRule="auto"/>
        <w:jc w:val="both"/>
        <w:rPr>
          <w:sz w:val="24"/>
          <w:szCs w:val="24"/>
        </w:rPr>
      </w:pPr>
      <w:r>
        <w:rPr>
          <w:sz w:val="24"/>
          <w:szCs w:val="24"/>
        </w:rPr>
        <w:t>The dealership personnel have been well-trained in the products, customer service, consultative selling, customer needs and after sales service. Emphasis is placed on sales and customer satisfaction measures.</w:t>
      </w:r>
    </w:p>
    <w:p w14:paraId="711DC953">
      <w:pPr>
        <w:spacing w:before="240" w:after="40" w:line="360" w:lineRule="auto"/>
        <w:jc w:val="both"/>
        <w:rPr>
          <w:b/>
          <w:bCs/>
          <w:sz w:val="24"/>
          <w:szCs w:val="24"/>
        </w:rPr>
      </w:pPr>
      <w:r>
        <w:rPr>
          <w:b/>
          <w:bCs/>
          <w:sz w:val="24"/>
          <w:szCs w:val="24"/>
        </w:rPr>
        <w:t>Comparative Evaluation</w:t>
      </w:r>
    </w:p>
    <w:p w14:paraId="1EC15AD5">
      <w:pPr>
        <w:spacing w:before="240" w:after="240" w:line="360" w:lineRule="auto"/>
        <w:jc w:val="both"/>
        <w:rPr>
          <w:sz w:val="24"/>
          <w:szCs w:val="24"/>
        </w:rPr>
      </w:pPr>
      <w:r>
        <w:rPr>
          <w:sz w:val="24"/>
          <w:szCs w:val="24"/>
        </w:rPr>
        <w:t>In both markets, technical staff and customer service are of utmost importance. The Japanese method is more about continuity of service &amp; long-term relations, whereas the US method is more about customising relations with customers &amp; being effective at selling.</w:t>
      </w:r>
    </w:p>
    <w:p w14:paraId="7AC66395">
      <w:pPr>
        <w:spacing w:before="280" w:line="360" w:lineRule="auto"/>
        <w:jc w:val="both"/>
        <w:rPr>
          <w:b/>
          <w:bCs/>
          <w:sz w:val="24"/>
          <w:szCs w:val="24"/>
          <w:u w:val="single"/>
        </w:rPr>
      </w:pPr>
      <w:r>
        <w:rPr>
          <w:b/>
          <w:bCs/>
          <w:sz w:val="24"/>
          <w:szCs w:val="24"/>
          <w:u w:val="single"/>
        </w:rPr>
        <w:t>Process</w:t>
      </w:r>
    </w:p>
    <w:p w14:paraId="27E752E7">
      <w:pPr>
        <w:spacing w:before="240" w:after="40" w:line="360" w:lineRule="auto"/>
        <w:jc w:val="both"/>
        <w:rPr>
          <w:b/>
          <w:bCs/>
          <w:sz w:val="24"/>
          <w:szCs w:val="24"/>
        </w:rPr>
      </w:pPr>
      <w:r>
        <w:rPr>
          <w:b/>
          <w:bCs/>
          <w:sz w:val="24"/>
          <w:szCs w:val="24"/>
        </w:rPr>
        <w:t>Japan</w:t>
      </w:r>
    </w:p>
    <w:p w14:paraId="7064207C">
      <w:pPr>
        <w:spacing w:before="240" w:after="240" w:line="360" w:lineRule="auto"/>
        <w:jc w:val="both"/>
        <w:rPr>
          <w:sz w:val="24"/>
          <w:szCs w:val="24"/>
        </w:rPr>
      </w:pPr>
      <w:r>
        <w:rPr>
          <w:sz w:val="24"/>
          <w:szCs w:val="24"/>
        </w:rPr>
        <w:t>Toyota production system is a system known worldwide and adopted every day and every aspect of Toyota's business in Japan, such as lean manufacturing, and Just in Time (JIT) production, Kaizen and strict quality management (</w:t>
      </w:r>
      <w:r>
        <w:rPr>
          <w:color w:val="222222"/>
          <w:sz w:val="24"/>
          <w:szCs w:val="24"/>
          <w:highlight w:val="white"/>
        </w:rPr>
        <w:t>Long, Morgan and Yoshino, 2023)</w:t>
      </w:r>
      <w:r>
        <w:rPr>
          <w:sz w:val="24"/>
          <w:szCs w:val="24"/>
        </w:rPr>
        <w:t xml:space="preserve">. </w:t>
      </w:r>
    </w:p>
    <w:p w14:paraId="4C3F3A92">
      <w:pPr>
        <w:spacing w:before="240" w:after="40" w:line="360" w:lineRule="auto"/>
        <w:jc w:val="both"/>
        <w:rPr>
          <w:b/>
          <w:bCs/>
          <w:sz w:val="24"/>
          <w:szCs w:val="24"/>
        </w:rPr>
      </w:pPr>
      <w:r>
        <w:rPr>
          <w:b/>
          <w:bCs/>
          <w:sz w:val="24"/>
          <w:szCs w:val="24"/>
        </w:rPr>
        <w:t>United States</w:t>
      </w:r>
    </w:p>
    <w:p w14:paraId="30B6C0E4">
      <w:pPr>
        <w:spacing w:before="240" w:after="240" w:line="360" w:lineRule="auto"/>
        <w:jc w:val="both"/>
        <w:rPr>
          <w:sz w:val="24"/>
          <w:szCs w:val="24"/>
        </w:rPr>
      </w:pPr>
      <w:r>
        <w:rPr>
          <w:sz w:val="24"/>
          <w:szCs w:val="24"/>
        </w:rPr>
        <w:t>Toyota's operating systems in the US are similar, but customized to the local environment, the dealing process and customer tastes and internet channels. Vehicle configuration, finance and vehicle service scheduling and CRM systems are enhanced more convenient and efficient online.</w:t>
      </w:r>
    </w:p>
    <w:p w14:paraId="6E12BA1A">
      <w:pPr>
        <w:spacing w:before="240" w:after="40" w:line="360" w:lineRule="auto"/>
        <w:jc w:val="both"/>
        <w:rPr>
          <w:b/>
          <w:bCs/>
          <w:sz w:val="24"/>
          <w:szCs w:val="24"/>
        </w:rPr>
      </w:pPr>
      <w:r>
        <w:rPr>
          <w:b/>
          <w:bCs/>
          <w:sz w:val="24"/>
          <w:szCs w:val="24"/>
        </w:rPr>
        <w:t>Comparative Evaluation</w:t>
      </w:r>
    </w:p>
    <w:p w14:paraId="5F7A5807">
      <w:pPr>
        <w:spacing w:before="240" w:after="240" w:line="360" w:lineRule="auto"/>
        <w:jc w:val="both"/>
        <w:rPr>
          <w:sz w:val="24"/>
          <w:szCs w:val="24"/>
        </w:rPr>
      </w:pPr>
      <w:r>
        <w:rPr>
          <w:sz w:val="24"/>
          <w:szCs w:val="24"/>
        </w:rPr>
        <w:t>Toyota uses the same underlying processes as their key processes throughout the world but uses customer processes that are appropriate at the local level. Digitalisation and service flexibility is more noticeable in the U.S. market, whereas operational precision and manufacturing excellence is a big priority in Japan (</w:t>
      </w:r>
      <w:r>
        <w:rPr>
          <w:color w:val="222222"/>
          <w:sz w:val="24"/>
          <w:szCs w:val="24"/>
          <w:highlight w:val="white"/>
        </w:rPr>
        <w:t>Long, Morgan and Yoshino, 2023)</w:t>
      </w:r>
      <w:r>
        <w:rPr>
          <w:sz w:val="24"/>
          <w:szCs w:val="24"/>
        </w:rPr>
        <w:t>.</w:t>
      </w:r>
    </w:p>
    <w:p w14:paraId="738FE3A0">
      <w:pPr>
        <w:rPr>
          <w:b/>
          <w:bCs/>
          <w:sz w:val="24"/>
          <w:szCs w:val="24"/>
        </w:rPr>
      </w:pPr>
      <w:r>
        <w:rPr>
          <w:b/>
          <w:bCs/>
          <w:sz w:val="24"/>
          <w:szCs w:val="24"/>
          <w:u w:val="single"/>
        </w:rPr>
        <w:t>Physical Evidence</w:t>
      </w:r>
    </w:p>
    <w:p w14:paraId="721C5E38">
      <w:pPr>
        <w:spacing w:before="240" w:after="40" w:line="360" w:lineRule="auto"/>
        <w:jc w:val="both"/>
        <w:rPr>
          <w:b/>
          <w:bCs/>
          <w:sz w:val="24"/>
          <w:szCs w:val="24"/>
        </w:rPr>
      </w:pPr>
      <w:r>
        <w:rPr>
          <w:b/>
          <w:bCs/>
          <w:sz w:val="24"/>
          <w:szCs w:val="24"/>
        </w:rPr>
        <w:t>Japan</w:t>
      </w:r>
    </w:p>
    <w:p w14:paraId="4557762A">
      <w:pPr>
        <w:spacing w:before="240" w:after="240" w:line="360" w:lineRule="auto"/>
        <w:jc w:val="both"/>
        <w:rPr>
          <w:sz w:val="24"/>
          <w:szCs w:val="24"/>
        </w:rPr>
      </w:pPr>
      <w:r>
        <w:rPr>
          <w:sz w:val="24"/>
          <w:szCs w:val="24"/>
        </w:rPr>
        <w:t>Toyota dealers in Japan offer clean, modern and progressive surroundings, which are in line with the Japanese standards of quality and professionalism. These are supported by the brand-new showrooms, state-of-the-art service centres and eco-friendly facilities.</w:t>
      </w:r>
    </w:p>
    <w:p w14:paraId="475D11C8">
      <w:pPr>
        <w:spacing w:before="240" w:after="40" w:line="360" w:lineRule="auto"/>
        <w:jc w:val="both"/>
        <w:rPr>
          <w:b/>
          <w:bCs/>
          <w:sz w:val="24"/>
          <w:szCs w:val="24"/>
        </w:rPr>
      </w:pPr>
      <w:r>
        <w:rPr>
          <w:b/>
          <w:bCs/>
          <w:sz w:val="24"/>
          <w:szCs w:val="24"/>
        </w:rPr>
        <w:t>United States</w:t>
      </w:r>
    </w:p>
    <w:p w14:paraId="58800E68">
      <w:pPr>
        <w:spacing w:before="240" w:after="240" w:line="360" w:lineRule="auto"/>
        <w:jc w:val="both"/>
        <w:rPr>
          <w:sz w:val="24"/>
          <w:szCs w:val="24"/>
        </w:rPr>
      </w:pPr>
      <w:r>
        <w:rPr>
          <w:sz w:val="24"/>
          <w:szCs w:val="24"/>
        </w:rPr>
        <w:t>Toyota dealerships in America have expansive showrooms, modern displays, a customer lounge, a service centre and test drive areas that ensure that the dealership puts the customer first. It is innovative, reliable, and has value to the customer via consistent branding messages (</w:t>
      </w:r>
      <w:r>
        <w:rPr>
          <w:color w:val="222222"/>
          <w:sz w:val="24"/>
          <w:szCs w:val="24"/>
          <w:highlight w:val="white"/>
        </w:rPr>
        <w:t>Beauvisage</w:t>
      </w:r>
      <w:r>
        <w:rPr>
          <w:color w:val="222222"/>
          <w:sz w:val="24"/>
          <w:szCs w:val="24"/>
          <w:highlight w:val="white"/>
        </w:rPr>
        <w:t xml:space="preserve"> et al., 2024)</w:t>
      </w:r>
      <w:r>
        <w:rPr>
          <w:sz w:val="24"/>
          <w:szCs w:val="24"/>
        </w:rPr>
        <w:t>.</w:t>
      </w:r>
    </w:p>
    <w:p w14:paraId="43B58313">
      <w:pPr>
        <w:spacing w:before="240" w:after="40" w:line="360" w:lineRule="auto"/>
        <w:jc w:val="both"/>
        <w:rPr>
          <w:b/>
          <w:bCs/>
          <w:sz w:val="24"/>
          <w:szCs w:val="24"/>
        </w:rPr>
      </w:pPr>
      <w:r>
        <w:rPr>
          <w:b/>
          <w:bCs/>
          <w:sz w:val="24"/>
          <w:szCs w:val="24"/>
        </w:rPr>
        <w:t>Comparative Evaluation</w:t>
      </w:r>
    </w:p>
    <w:p w14:paraId="25723AD5">
      <w:pPr>
        <w:spacing w:before="240" w:after="240" w:line="360" w:lineRule="auto"/>
        <w:jc w:val="both"/>
        <w:rPr>
          <w:sz w:val="24"/>
          <w:szCs w:val="24"/>
        </w:rPr>
      </w:pPr>
      <w:r>
        <w:rPr>
          <w:sz w:val="24"/>
          <w:szCs w:val="24"/>
        </w:rPr>
        <w:t>Both countries are enhancing Toyota's reputation for quality through the use of physical evidence (</w:t>
      </w:r>
      <w:r>
        <w:rPr>
          <w:color w:val="222222"/>
          <w:sz w:val="24"/>
          <w:szCs w:val="24"/>
          <w:highlight w:val="white"/>
        </w:rPr>
        <w:t xml:space="preserve">Abebe, McMillan and </w:t>
      </w:r>
      <w:r>
        <w:rPr>
          <w:color w:val="222222"/>
          <w:sz w:val="24"/>
          <w:szCs w:val="24"/>
          <w:highlight w:val="white"/>
        </w:rPr>
        <w:t>Serafinelli</w:t>
      </w:r>
      <w:r>
        <w:rPr>
          <w:color w:val="222222"/>
          <w:sz w:val="24"/>
          <w:szCs w:val="24"/>
          <w:highlight w:val="white"/>
        </w:rPr>
        <w:t>, 2022)</w:t>
      </w:r>
      <w:r>
        <w:rPr>
          <w:sz w:val="24"/>
          <w:szCs w:val="24"/>
        </w:rPr>
        <w:t>. While Japanese dealerships focus on operational efficiencies and a focus on the customer experience, US dealerships put more emphasis on customer comfort, accessibility, interactive experiences and convenience.</w:t>
      </w:r>
    </w:p>
    <w:p w14:paraId="2A47C96F">
      <w:pPr>
        <w:pStyle w:val="3"/>
        <w:rPr>
          <w:rFonts w:ascii="Arial" w:hAnsi="Arial" w:eastAsia="Arial" w:cs="Arial"/>
        </w:rPr>
      </w:pPr>
      <w:bookmarkStart w:id="6" w:name="_Toc237088366"/>
      <w:r>
        <w:rPr>
          <w:rFonts w:ascii="Arial" w:hAnsi="Arial" w:eastAsia="Arial" w:cs="Arial"/>
        </w:rPr>
        <w:t>1.4 An analysis of the brand’s market entry strategies in the US</w:t>
      </w:r>
      <w:bookmarkEnd w:id="6"/>
      <w:r>
        <w:rPr>
          <w:rFonts w:ascii="Arial" w:hAnsi="Arial" w:eastAsia="Arial" w:cs="Arial"/>
        </w:rPr>
        <w:t xml:space="preserve"> </w:t>
      </w:r>
    </w:p>
    <w:p w14:paraId="1F0768D0">
      <w:pPr>
        <w:spacing w:before="240" w:after="240" w:line="360" w:lineRule="auto"/>
        <w:jc w:val="both"/>
        <w:rPr>
          <w:sz w:val="24"/>
          <w:szCs w:val="24"/>
        </w:rPr>
      </w:pPr>
      <w:r>
        <w:rPr>
          <w:sz w:val="24"/>
          <w:szCs w:val="24"/>
        </w:rPr>
        <w:t>The introduction of Toyota to the U.S. market was slow, systematic and included direct exporting as well as manufacturing and strategic alliances. This was due to an increased demand for not only affordable but also reliable cars for which the company began to export compact, fuel efficient cars from Japan. However, fuel prices, particularly gasoline prices, soared in the 1970s and fuel efficiency became an important determinant of fuel-efficient car demand, bringing Toyota to market (</w:t>
      </w:r>
      <w:r>
        <w:rPr>
          <w:color w:val="222222"/>
          <w:sz w:val="24"/>
          <w:szCs w:val="24"/>
          <w:highlight w:val="white"/>
        </w:rPr>
        <w:t xml:space="preserve">Abebe, McMillan and </w:t>
      </w:r>
      <w:r>
        <w:rPr>
          <w:color w:val="222222"/>
          <w:sz w:val="24"/>
          <w:szCs w:val="24"/>
          <w:highlight w:val="white"/>
        </w:rPr>
        <w:t>Serafinelli</w:t>
      </w:r>
      <w:r>
        <w:rPr>
          <w:color w:val="222222"/>
          <w:sz w:val="24"/>
          <w:szCs w:val="24"/>
          <w:highlight w:val="white"/>
        </w:rPr>
        <w:t>, 2022)</w:t>
      </w:r>
      <w:r>
        <w:rPr>
          <w:sz w:val="24"/>
          <w:szCs w:val="24"/>
        </w:rPr>
        <w:t>. As sales grew, Toyota began to diversify from exporting and invested in foreign direct investment (FDI) by opening manufacturing plants in the U.S. Through this localisation approach, transportation expenses were kept low, risk of import tariffs and exchange rate change was minimised, supply chain efficiency was enhanced, and a long-term commitment to the American market was signalled (</w:t>
      </w:r>
      <w:r>
        <w:rPr>
          <w:color w:val="222222"/>
          <w:sz w:val="24"/>
          <w:szCs w:val="24"/>
          <w:highlight w:val="white"/>
        </w:rPr>
        <w:t>Nassief</w:t>
      </w:r>
      <w:r>
        <w:rPr>
          <w:color w:val="222222"/>
          <w:sz w:val="24"/>
          <w:szCs w:val="24"/>
          <w:highlight w:val="white"/>
        </w:rPr>
        <w:t>, 2024)</w:t>
      </w:r>
      <w:r>
        <w:rPr>
          <w:sz w:val="24"/>
          <w:szCs w:val="24"/>
        </w:rPr>
        <w:t>. The combination of Foreign Direct Investment, localisation and strategic partnerships and being responsive to the local market is a healthy mix of globalisation and responsiveness, as a result of 505,633 units of vehicle sales by Toyota in US (statista.com, 2026).</w:t>
      </w:r>
    </w:p>
    <w:p w14:paraId="7A4CC3F5">
      <w:pPr>
        <w:spacing w:before="240" w:after="240" w:line="360" w:lineRule="auto"/>
        <w:jc w:val="center"/>
        <w:rPr>
          <w:sz w:val="24"/>
          <w:szCs w:val="24"/>
        </w:rPr>
      </w:pPr>
      <w:r>
        <w:rPr>
          <w:sz w:val="24"/>
          <w:szCs w:val="24"/>
        </w:rPr>
        <w:drawing>
          <wp:inline distT="0" distB="0" distL="0" distR="0">
            <wp:extent cx="5439410" cy="3352800"/>
            <wp:effectExtent l="0" t="0" r="0" b="0"/>
            <wp:docPr id="15" name="image13.png"/>
            <wp:cNvGraphicFramePr/>
            <a:graphic xmlns:a="http://schemas.openxmlformats.org/drawingml/2006/main">
              <a:graphicData uri="http://schemas.openxmlformats.org/drawingml/2006/picture">
                <pic:pic xmlns:pic="http://schemas.openxmlformats.org/drawingml/2006/picture">
                  <pic:nvPicPr>
                    <pic:cNvPr id="15" name="image13.png"/>
                    <pic:cNvPicPr preferRelativeResize="0"/>
                  </pic:nvPicPr>
                  <pic:blipFill>
                    <a:blip r:embed="rId20"/>
                    <a:srcRect/>
                    <a:stretch>
                      <a:fillRect/>
                    </a:stretch>
                  </pic:blipFill>
                  <pic:spPr>
                    <a:xfrm>
                      <a:off x="0" y="0"/>
                      <a:ext cx="5439534" cy="3353268"/>
                    </a:xfrm>
                    <a:prstGeom prst="rect">
                      <a:avLst/>
                    </a:prstGeom>
                  </pic:spPr>
                </pic:pic>
              </a:graphicData>
            </a:graphic>
          </wp:inline>
        </w:drawing>
      </w:r>
    </w:p>
    <w:p w14:paraId="6E068A62">
      <w:pPr>
        <w:spacing w:before="240" w:after="240" w:line="360" w:lineRule="auto"/>
        <w:jc w:val="center"/>
        <w:rPr>
          <w:b/>
          <w:bCs/>
          <w:sz w:val="24"/>
          <w:szCs w:val="24"/>
        </w:rPr>
      </w:pPr>
      <w:r>
        <w:rPr>
          <w:b/>
          <w:bCs/>
          <w:sz w:val="24"/>
          <w:szCs w:val="24"/>
        </w:rPr>
        <w:t>Figure 14: Toyota sales data in the US</w:t>
      </w:r>
    </w:p>
    <w:p w14:paraId="0BF7BF86">
      <w:pPr>
        <w:spacing w:before="240" w:after="240" w:line="360" w:lineRule="auto"/>
        <w:jc w:val="center"/>
        <w:rPr>
          <w:sz w:val="24"/>
          <w:szCs w:val="24"/>
        </w:rPr>
      </w:pPr>
      <w:r>
        <w:rPr>
          <w:sz w:val="24"/>
          <w:szCs w:val="24"/>
        </w:rPr>
        <w:t>(Source: statista.com, 2026)</w:t>
      </w:r>
    </w:p>
    <w:p w14:paraId="3A7B3D24">
      <w:pPr>
        <w:pStyle w:val="3"/>
        <w:rPr>
          <w:rFonts w:ascii="Arial" w:hAnsi="Arial" w:eastAsia="Arial" w:cs="Arial"/>
        </w:rPr>
      </w:pPr>
      <w:bookmarkStart w:id="7" w:name="_Toc237088367"/>
      <w:r>
        <w:rPr>
          <w:rFonts w:ascii="Arial" w:hAnsi="Arial" w:eastAsia="Arial" w:cs="Arial"/>
        </w:rPr>
        <w:t>1.5 Ethical issues related to this brand’s marketing mix in Japan</w:t>
      </w:r>
      <w:bookmarkEnd w:id="7"/>
      <w:r>
        <w:rPr>
          <w:rFonts w:ascii="Arial" w:hAnsi="Arial" w:eastAsia="Arial" w:cs="Arial"/>
        </w:rPr>
        <w:t xml:space="preserve"> </w:t>
      </w:r>
    </w:p>
    <w:p w14:paraId="24E5502B">
      <w:pPr>
        <w:spacing w:line="360" w:lineRule="auto"/>
        <w:jc w:val="both"/>
        <w:rPr>
          <w:sz w:val="24"/>
          <w:szCs w:val="24"/>
        </w:rPr>
      </w:pPr>
      <w:r>
        <w:rPr>
          <w:sz w:val="24"/>
          <w:szCs w:val="24"/>
        </w:rPr>
        <w:t>The overall picture of Toyota's corporate ethics was favourable in Japan, focusing on quality, safety of the vehicles, environment and corporate responsibility. But there are a few ethical concerns that have arisen with its marketing mix, especially the quality of its product, promotional communication and transparency of the company. The greatest concerns related to safety and inconsistency of quality certification; In some Toyota Group companies, the amount of testing and quality certification were not up to the regulatory level (</w:t>
      </w:r>
      <w:r>
        <w:rPr>
          <w:color w:val="222222"/>
          <w:sz w:val="24"/>
          <w:szCs w:val="24"/>
          <w:highlight w:val="white"/>
        </w:rPr>
        <w:t>Lim and Tan, 2024)</w:t>
      </w:r>
      <w:r>
        <w:rPr>
          <w:sz w:val="24"/>
          <w:szCs w:val="24"/>
        </w:rPr>
        <w:t xml:space="preserve">. </w:t>
      </w:r>
    </w:p>
    <w:p w14:paraId="0C413D0B">
      <w:pPr>
        <w:spacing w:line="360" w:lineRule="auto"/>
        <w:jc w:val="center"/>
        <w:rPr>
          <w:sz w:val="24"/>
          <w:szCs w:val="24"/>
        </w:rPr>
      </w:pPr>
      <w:r>
        <w:rPr>
          <w:sz w:val="24"/>
          <w:szCs w:val="24"/>
        </w:rPr>
        <w:drawing>
          <wp:inline distT="114300" distB="114300" distL="114300" distR="114300">
            <wp:extent cx="5524500" cy="3895725"/>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16" name="image1.png"/>
                    <pic:cNvPicPr preferRelativeResize="0"/>
                  </pic:nvPicPr>
                  <pic:blipFill>
                    <a:blip r:embed="rId21"/>
                    <a:srcRect b="7853"/>
                    <a:stretch>
                      <a:fillRect/>
                    </a:stretch>
                  </pic:blipFill>
                  <pic:spPr>
                    <a:xfrm>
                      <a:off x="0" y="0"/>
                      <a:ext cx="5524500" cy="3895725"/>
                    </a:xfrm>
                    <a:prstGeom prst="rect">
                      <a:avLst/>
                    </a:prstGeom>
                  </pic:spPr>
                </pic:pic>
              </a:graphicData>
            </a:graphic>
          </wp:inline>
        </w:drawing>
      </w:r>
    </w:p>
    <w:p w14:paraId="3DCF840C">
      <w:pPr>
        <w:spacing w:line="360" w:lineRule="auto"/>
        <w:jc w:val="center"/>
        <w:rPr>
          <w:b/>
          <w:bCs/>
          <w:sz w:val="24"/>
          <w:szCs w:val="24"/>
        </w:rPr>
      </w:pPr>
      <w:r>
        <w:rPr>
          <w:b/>
          <w:bCs/>
          <w:sz w:val="24"/>
          <w:szCs w:val="24"/>
        </w:rPr>
        <w:t>Figure 15: Automobile sector net income in Japan</w:t>
      </w:r>
    </w:p>
    <w:p w14:paraId="5D098AE9">
      <w:pPr>
        <w:spacing w:line="360" w:lineRule="auto"/>
        <w:jc w:val="center"/>
        <w:rPr>
          <w:sz w:val="24"/>
          <w:szCs w:val="24"/>
        </w:rPr>
      </w:pPr>
      <w:r>
        <w:rPr>
          <w:sz w:val="24"/>
          <w:szCs w:val="24"/>
        </w:rPr>
        <w:t xml:space="preserve">(Source: nippon.com, 2026)  </w:t>
      </w:r>
    </w:p>
    <w:p w14:paraId="52230295">
      <w:pPr>
        <w:spacing w:line="360" w:lineRule="auto"/>
        <w:jc w:val="both"/>
        <w:rPr>
          <w:sz w:val="24"/>
          <w:szCs w:val="24"/>
        </w:rPr>
      </w:pPr>
      <w:r>
        <w:rPr>
          <w:sz w:val="24"/>
          <w:szCs w:val="24"/>
        </w:rPr>
        <w:t>Thus, when the quality assurance is not equal to the marketing assurance, there is an ethical problem since consumers have expectations that the information which has been presented by the marketing communication is true. Toyota has until now, been a pretty fair player in pricing, good dealership network and the comprehensive after-sales service which in turn has fostered a good, long-term relationship with their customers (</w:t>
      </w:r>
      <w:r>
        <w:rPr>
          <w:color w:val="222222"/>
          <w:sz w:val="24"/>
          <w:szCs w:val="24"/>
          <w:highlight w:val="white"/>
        </w:rPr>
        <w:t>Soleimani et al., 2024)</w:t>
      </w:r>
      <w:r>
        <w:rPr>
          <w:sz w:val="24"/>
          <w:szCs w:val="24"/>
        </w:rPr>
        <w:t xml:space="preserve">. In addition to that, Toyota has proved that they are responsible and ethical, not just promoting the technology but investing in it, developing hydrogen fuel-cell, cutting carbon, sustainable manufacturing programs etc. </w:t>
      </w:r>
    </w:p>
    <w:p w14:paraId="2426E439">
      <w:pPr>
        <w:pStyle w:val="3"/>
        <w:rPr>
          <w:rFonts w:ascii="Arial" w:hAnsi="Arial" w:eastAsia="Arial" w:cs="Arial"/>
        </w:rPr>
      </w:pPr>
      <w:bookmarkStart w:id="8" w:name="_Toc237088368"/>
      <w:r>
        <w:rPr>
          <w:rFonts w:ascii="Arial" w:hAnsi="Arial" w:eastAsia="Arial" w:cs="Arial"/>
        </w:rPr>
        <w:t>1.6 Recommendations on International Marketing Strategies</w:t>
      </w:r>
      <w:bookmarkEnd w:id="8"/>
      <w:r>
        <w:rPr>
          <w:rFonts w:ascii="Arial" w:hAnsi="Arial" w:eastAsia="Arial" w:cs="Arial"/>
        </w:rPr>
        <w:t xml:space="preserve"> </w:t>
      </w:r>
    </w:p>
    <w:p w14:paraId="030E2D3C">
      <w:pPr>
        <w:spacing w:before="280" w:line="360" w:lineRule="auto"/>
        <w:jc w:val="both"/>
        <w:rPr>
          <w:b/>
          <w:bCs/>
          <w:sz w:val="24"/>
          <w:szCs w:val="24"/>
        </w:rPr>
      </w:pPr>
      <w:r>
        <w:rPr>
          <w:b/>
          <w:bCs/>
          <w:sz w:val="24"/>
          <w:szCs w:val="24"/>
        </w:rPr>
        <w:t>Strengthening Sustainable and Digital Innovation</w:t>
      </w:r>
    </w:p>
    <w:p w14:paraId="51EA180F">
      <w:pPr>
        <w:spacing w:before="240" w:after="240" w:line="360" w:lineRule="auto"/>
        <w:jc w:val="both"/>
        <w:rPr>
          <w:sz w:val="24"/>
          <w:szCs w:val="24"/>
        </w:rPr>
      </w:pPr>
      <w:r>
        <w:rPr>
          <w:sz w:val="24"/>
          <w:szCs w:val="24"/>
        </w:rPr>
        <w:t>Over the coming years Toyota will further advance sustainable mobility, with a focus on hybrid, battery electric and hydrogen fuel-cell technologies, and continue to develop new digital services for the vehicles (</w:t>
      </w:r>
      <w:r>
        <w:rPr>
          <w:color w:val="222222"/>
          <w:sz w:val="24"/>
          <w:szCs w:val="24"/>
          <w:highlight w:val="white"/>
        </w:rPr>
        <w:t>Hassan et al., 2023)</w:t>
      </w:r>
      <w:r>
        <w:rPr>
          <w:sz w:val="24"/>
          <w:szCs w:val="24"/>
        </w:rPr>
        <w:t xml:space="preserve">. In the midst of more and more stringent environmental regulations being implemented by governments, and the growing desire of environmentally conscious consumers to buy “Smart” cars to minimize their environmental footprint, Toyota is pushing forward in the development of connected vehicles, AI, autonomous driving and other smart mobility solutions. </w:t>
      </w:r>
    </w:p>
    <w:p w14:paraId="1CA9D94F">
      <w:pPr>
        <w:spacing w:before="240" w:after="240" w:line="360" w:lineRule="auto"/>
        <w:jc w:val="both"/>
        <w:rPr>
          <w:b/>
          <w:bCs/>
          <w:sz w:val="24"/>
          <w:szCs w:val="24"/>
        </w:rPr>
      </w:pPr>
      <w:r>
        <w:rPr>
          <w:b/>
          <w:bCs/>
          <w:sz w:val="24"/>
          <w:szCs w:val="24"/>
        </w:rPr>
        <w:t>Enhance Localisation While Maintaining Global Brand Consistency</w:t>
      </w:r>
    </w:p>
    <w:p w14:paraId="3B027EB8">
      <w:pPr>
        <w:spacing w:before="240" w:after="240" w:line="360" w:lineRule="auto"/>
        <w:jc w:val="both"/>
        <w:rPr>
          <w:sz w:val="24"/>
          <w:szCs w:val="24"/>
        </w:rPr>
      </w:pPr>
      <w:r>
        <w:rPr>
          <w:sz w:val="24"/>
          <w:szCs w:val="24"/>
        </w:rPr>
        <w:t>Though Toyota has created a strong brand image in the world market by providing good quality, reliable and innovative products, it needs to increase the efforts of localising the product to cater to the preferences of the market in various countries of the world (</w:t>
      </w:r>
      <w:r>
        <w:rPr>
          <w:color w:val="222222"/>
          <w:sz w:val="24"/>
          <w:szCs w:val="24"/>
          <w:highlight w:val="white"/>
        </w:rPr>
        <w:t>Susetyo</w:t>
      </w:r>
      <w:r>
        <w:rPr>
          <w:color w:val="222222"/>
          <w:sz w:val="24"/>
          <w:szCs w:val="24"/>
          <w:highlight w:val="white"/>
        </w:rPr>
        <w:t xml:space="preserve">, </w:t>
      </w:r>
      <w:r>
        <w:rPr>
          <w:color w:val="222222"/>
          <w:sz w:val="24"/>
          <w:szCs w:val="24"/>
          <w:highlight w:val="white"/>
        </w:rPr>
        <w:t>Suendro</w:t>
      </w:r>
      <w:r>
        <w:rPr>
          <w:color w:val="222222"/>
          <w:sz w:val="24"/>
          <w:szCs w:val="24"/>
          <w:highlight w:val="white"/>
        </w:rPr>
        <w:t xml:space="preserve"> and Tielman, 2026)</w:t>
      </w:r>
      <w:r>
        <w:rPr>
          <w:sz w:val="24"/>
          <w:szCs w:val="24"/>
        </w:rPr>
        <w:t>. The features, cost, marketing and distribution should be adjusted to suit the country's culture and economy, and local regulations and laws without compromising the values of the product. Providing Toyota with more market research, customer insight and digital analytics will help them better adapt to customers' trends, achieve better customer satisfaction and build longer customer relationships in developed and emerging markets.</w:t>
      </w:r>
    </w:p>
    <w:p w14:paraId="69C43C92">
      <w:pPr>
        <w:spacing w:before="280" w:line="360" w:lineRule="auto"/>
        <w:jc w:val="both"/>
        <w:rPr>
          <w:b/>
          <w:bCs/>
          <w:sz w:val="24"/>
          <w:szCs w:val="24"/>
        </w:rPr>
      </w:pPr>
      <w:r>
        <w:rPr>
          <w:b/>
          <w:bCs/>
          <w:sz w:val="24"/>
          <w:szCs w:val="24"/>
        </w:rPr>
        <w:t>Strengthening Ethical Marketing and Customer Engagement</w:t>
      </w:r>
    </w:p>
    <w:p w14:paraId="2854A42D">
      <w:pPr>
        <w:spacing w:before="240" w:after="240" w:line="360" w:lineRule="auto"/>
        <w:jc w:val="both"/>
        <w:rPr>
          <w:sz w:val="24"/>
          <w:szCs w:val="24"/>
        </w:rPr>
      </w:pPr>
      <w:r>
        <w:rPr>
          <w:sz w:val="24"/>
          <w:szCs w:val="24"/>
        </w:rPr>
        <w:t>However, to enhance consumer trust in the company's business globally, Toyota needs to improve transparency, ethical governance and customers' participation in its business. The company should still have rigid quality assurance processes and be open about their product safety and sustainability program as well as their company responsibility program, after the recent issues they have faced in quality certification (</w:t>
      </w:r>
      <w:r>
        <w:rPr>
          <w:color w:val="222222"/>
          <w:sz w:val="24"/>
          <w:szCs w:val="24"/>
          <w:highlight w:val="white"/>
        </w:rPr>
        <w:t>Kabir, Rana and Debnath, 2024)</w:t>
      </w:r>
      <w:r>
        <w:rPr>
          <w:sz w:val="24"/>
          <w:szCs w:val="24"/>
        </w:rPr>
        <w:t>. In addition, Toyota is assigned to apply digital marketing, social media, and personalized customer engagement and customer relationship management (CRM) systems as additional tools to improve customer engagement in its global markets.</w:t>
      </w:r>
    </w:p>
    <w:p w14:paraId="522B24D8">
      <w:pPr>
        <w:spacing w:line="360" w:lineRule="auto"/>
        <w:jc w:val="both"/>
        <w:rPr>
          <w:b/>
          <w:bCs/>
          <w:sz w:val="24"/>
          <w:szCs w:val="24"/>
        </w:rPr>
      </w:pPr>
      <w:r>
        <w:rPr>
          <w:b/>
          <w:bCs/>
          <w:sz w:val="24"/>
          <w:szCs w:val="24"/>
        </w:rPr>
        <w:t xml:space="preserve">1.7 Conclusion </w:t>
      </w:r>
    </w:p>
    <w:p w14:paraId="5C314BC8">
      <w:pPr>
        <w:spacing w:line="360" w:lineRule="auto"/>
        <w:jc w:val="both"/>
        <w:rPr>
          <w:sz w:val="24"/>
          <w:szCs w:val="24"/>
        </w:rPr>
      </w:pPr>
      <w:r>
        <w:rPr>
          <w:sz w:val="24"/>
          <w:szCs w:val="24"/>
        </w:rPr>
        <w:t>Overall, this assignment has been beneficial in helping me to grasp the process of research and writing with much more detail, and how this can be implemented into an international business setting. It emphasized the significance of employing the structured marketing approach so as to solve a complex business situation and make decisions based on cases. There was a lot of information to sift through and what to consider was a problem, which has helped me with my organisational and analytical skills. I also feel the following are integral parts of good academic practice good planning, good reflection and good time management. This assignment has helped to develop my confidence in the theory of marketing and to apply it to real organisations and also given me a chance to critically analyse the international business environment.</w:t>
      </w:r>
    </w:p>
    <w:p w14:paraId="6A352546">
      <w:pPr>
        <w:spacing w:line="360" w:lineRule="auto"/>
        <w:jc w:val="both"/>
        <w:rPr>
          <w:b/>
          <w:bCs/>
          <w:sz w:val="24"/>
          <w:szCs w:val="24"/>
        </w:rPr>
      </w:pPr>
      <w:r>
        <w:br w:type="page"/>
      </w:r>
    </w:p>
    <w:p w14:paraId="13E3E4AB">
      <w:pPr>
        <w:pStyle w:val="2"/>
        <w:rPr>
          <w:rFonts w:ascii="Arial" w:hAnsi="Arial" w:eastAsia="Arial" w:cs="Arial"/>
        </w:rPr>
      </w:pPr>
      <w:bookmarkStart w:id="9" w:name="_Toc237088369"/>
      <w:r>
        <w:rPr>
          <w:rFonts w:ascii="Arial" w:hAnsi="Arial" w:eastAsia="Arial" w:cs="Arial"/>
        </w:rPr>
        <w:t>Section 2: Reflective Account</w:t>
      </w:r>
      <w:bookmarkEnd w:id="9"/>
      <w:r>
        <w:rPr>
          <w:rFonts w:ascii="Arial" w:hAnsi="Arial" w:eastAsia="Arial" w:cs="Arial"/>
        </w:rPr>
        <w:t xml:space="preserve"> </w:t>
      </w:r>
    </w:p>
    <w:p w14:paraId="28C83FBA">
      <w:pPr>
        <w:pStyle w:val="3"/>
        <w:rPr>
          <w:rFonts w:ascii="Arial" w:hAnsi="Arial" w:eastAsia="Arial" w:cs="Arial"/>
        </w:rPr>
      </w:pPr>
      <w:bookmarkStart w:id="10" w:name="_Toc237088370"/>
      <w:r>
        <w:rPr>
          <w:rFonts w:ascii="Arial" w:hAnsi="Arial" w:eastAsia="Arial" w:cs="Arial"/>
        </w:rPr>
        <w:t>2.1 Description</w:t>
      </w:r>
      <w:bookmarkEnd w:id="10"/>
    </w:p>
    <w:p w14:paraId="2541809D">
      <w:pPr>
        <w:spacing w:line="360" w:lineRule="auto"/>
        <w:jc w:val="both"/>
        <w:rPr>
          <w:sz w:val="24"/>
          <w:szCs w:val="24"/>
        </w:rPr>
      </w:pPr>
      <w:r>
        <w:rPr>
          <w:sz w:val="24"/>
          <w:szCs w:val="24"/>
        </w:rPr>
        <w:t>The project that I was assigned to do as part of this assignment was a specific research and analysis project, which was a comparison and contrast of the international marketing strategies of Toyota in Japan and the USA. I first read the assessment needs and found out the most important frameworks which are required for the assessment: PESTEL, Hofstede's Cultural Dimensions, STP, 7Ps of marketing mix, market entry strategy and ethical marketing considerations. The information was collected from academic journals, textbooks, company reports and reliable/valid online sources to ensure that it is relevant and evidence-based for the analysis (</w:t>
      </w:r>
      <w:r>
        <w:rPr>
          <w:color w:val="222222"/>
          <w:sz w:val="24"/>
          <w:szCs w:val="24"/>
          <w:highlight w:val="white"/>
        </w:rPr>
        <w:t>Garsia et al., 2023)</w:t>
      </w:r>
      <w:r>
        <w:rPr>
          <w:sz w:val="24"/>
          <w:szCs w:val="24"/>
        </w:rPr>
        <w:t xml:space="preserve">. The information was then carefully sorted under appropriate headings, and the information was used to compare the two countries on the selected marketing frameworks. My approach to writing was to maintain a logical flow, critical analysis and continued throughout with the best academic writing practice to ensure that I would cover all Learning Outcomes. I also read myself in excess beyond once to gain clarity, coherence and consistency. </w:t>
      </w:r>
    </w:p>
    <w:p w14:paraId="5CEFC9CB">
      <w:pPr>
        <w:spacing w:line="360" w:lineRule="auto"/>
        <w:jc w:val="center"/>
        <w:rPr>
          <w:sz w:val="24"/>
          <w:szCs w:val="24"/>
          <w:highlight w:val="yellow"/>
        </w:rPr>
      </w:pPr>
      <w:r>
        <w:rPr>
          <w:sz w:val="24"/>
          <w:szCs w:val="24"/>
          <w:highlight w:val="yellow"/>
        </w:rPr>
        <w:drawing>
          <wp:inline distT="114300" distB="114300" distL="114300" distR="114300">
            <wp:extent cx="3524250" cy="3505200"/>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17" name="image2.png"/>
                    <pic:cNvPicPr preferRelativeResize="0"/>
                  </pic:nvPicPr>
                  <pic:blipFill>
                    <a:blip r:embed="rId22"/>
                    <a:srcRect/>
                    <a:stretch>
                      <a:fillRect/>
                    </a:stretch>
                  </pic:blipFill>
                  <pic:spPr>
                    <a:xfrm>
                      <a:off x="0" y="0"/>
                      <a:ext cx="3524250" cy="3505200"/>
                    </a:xfrm>
                    <a:prstGeom prst="rect">
                      <a:avLst/>
                    </a:prstGeom>
                  </pic:spPr>
                </pic:pic>
              </a:graphicData>
            </a:graphic>
          </wp:inline>
        </w:drawing>
      </w:r>
    </w:p>
    <w:p w14:paraId="761D6AE0">
      <w:pPr>
        <w:spacing w:line="360" w:lineRule="auto"/>
        <w:jc w:val="center"/>
        <w:rPr>
          <w:b/>
          <w:bCs/>
          <w:sz w:val="24"/>
          <w:szCs w:val="24"/>
          <w:highlight w:val="yellow"/>
        </w:rPr>
      </w:pPr>
      <w:r>
        <w:rPr>
          <w:b/>
          <w:bCs/>
          <w:sz w:val="24"/>
          <w:szCs w:val="24"/>
          <w:highlight w:val="yellow"/>
        </w:rPr>
        <w:t xml:space="preserve">Figure 16: Gibbs Reflective model </w:t>
      </w:r>
    </w:p>
    <w:p w14:paraId="619A166C">
      <w:pPr>
        <w:spacing w:line="360" w:lineRule="auto"/>
        <w:jc w:val="center"/>
        <w:rPr>
          <w:sz w:val="24"/>
          <w:szCs w:val="24"/>
          <w:highlight w:val="yellow"/>
        </w:rPr>
      </w:pPr>
      <w:r>
        <w:rPr>
          <w:sz w:val="24"/>
          <w:szCs w:val="24"/>
          <w:highlight w:val="yellow"/>
        </w:rPr>
        <w:t>(Source: crowe-associates.co.uk. 2019)</w:t>
      </w:r>
    </w:p>
    <w:p w14:paraId="6F5B2198">
      <w:pPr>
        <w:pStyle w:val="3"/>
        <w:rPr>
          <w:rFonts w:ascii="Arial" w:hAnsi="Arial" w:eastAsia="Arial" w:cs="Arial"/>
        </w:rPr>
      </w:pPr>
      <w:bookmarkStart w:id="11" w:name="_Toc237088371"/>
      <w:r>
        <w:rPr>
          <w:rFonts w:ascii="Arial" w:hAnsi="Arial" w:eastAsia="Arial" w:cs="Arial"/>
        </w:rPr>
        <w:t>2.2 Feelings</w:t>
      </w:r>
      <w:bookmarkEnd w:id="11"/>
    </w:p>
    <w:p w14:paraId="1624C7CC">
      <w:pPr>
        <w:spacing w:line="360" w:lineRule="auto"/>
        <w:jc w:val="both"/>
        <w:rPr>
          <w:sz w:val="24"/>
          <w:szCs w:val="24"/>
        </w:rPr>
      </w:pPr>
      <w:r>
        <w:rPr>
          <w:sz w:val="24"/>
          <w:szCs w:val="24"/>
        </w:rPr>
        <w:t>Initially I was confused and a little over-informed by the task, as I was required to employ various models of international marketing and compare/contrast the marketing strategies of Japan versus the United States. Initially, the information I was using and then how to make sure that the analysis wasn't merely a description. As I worked on my research, and as I started to see that there were a number of academic papers and industry reports out there which supported my arguments, I got more confident (</w:t>
      </w:r>
      <w:r>
        <w:rPr>
          <w:color w:val="222222"/>
          <w:sz w:val="24"/>
          <w:szCs w:val="24"/>
          <w:highlight w:val="white"/>
        </w:rPr>
        <w:t xml:space="preserve">O’Dwyer, </w:t>
      </w:r>
      <w:r>
        <w:rPr>
          <w:color w:val="222222"/>
          <w:sz w:val="24"/>
          <w:szCs w:val="24"/>
          <w:highlight w:val="white"/>
        </w:rPr>
        <w:t>Filieri</w:t>
      </w:r>
      <w:r>
        <w:rPr>
          <w:color w:val="222222"/>
          <w:sz w:val="24"/>
          <w:szCs w:val="24"/>
          <w:highlight w:val="white"/>
        </w:rPr>
        <w:t xml:space="preserve"> and O’Malley, 2023)</w:t>
      </w:r>
      <w:r>
        <w:rPr>
          <w:sz w:val="24"/>
          <w:szCs w:val="24"/>
        </w:rPr>
        <w:t>. I gained an understanding of the differences between the culture, economics and marketing of the two countries and the ability of multinational companies to adjust to the two markets. I also enjoyed applying the theories, such as PESTEL and Hofstede's Cultural Dimensions, STP and 7Ps in a company that I know well for Toyota. When it came to the end of the assignment, I felt happy with the knowledge I had acquired and was more confident to do some kind of structured research and then critique it in an international and then logically and academically appropriate manner.</w:t>
      </w:r>
    </w:p>
    <w:p w14:paraId="1C118F17">
      <w:pPr>
        <w:pStyle w:val="3"/>
        <w:rPr>
          <w:rFonts w:ascii="Arial" w:hAnsi="Arial" w:eastAsia="Arial" w:cs="Arial"/>
        </w:rPr>
      </w:pPr>
      <w:bookmarkStart w:id="12" w:name="_Toc237088372"/>
      <w:r>
        <w:rPr>
          <w:rFonts w:ascii="Arial" w:hAnsi="Arial" w:eastAsia="Arial" w:cs="Arial"/>
        </w:rPr>
        <w:t>2.3 Evaluation</w:t>
      </w:r>
      <w:bookmarkEnd w:id="12"/>
    </w:p>
    <w:p w14:paraId="68AB1EC0">
      <w:pPr>
        <w:spacing w:line="360" w:lineRule="auto"/>
        <w:jc w:val="both"/>
        <w:rPr>
          <w:sz w:val="24"/>
          <w:szCs w:val="24"/>
        </w:rPr>
      </w:pPr>
      <w:r>
        <w:rPr>
          <w:sz w:val="24"/>
          <w:szCs w:val="24"/>
        </w:rPr>
        <w:t>Overall, I believe that I completed the assignment successfully since it helped me to understand the overall concept of international marketing strategies and their application and implementation. One benefit that I found was that there were common marketing frameworks that I used, such as the PESTEL framework, Hofstede's Cultural Dimensions, STP and the 7Ps marketing mix that gave a clear structure of analysis of the operation of Toyota in both Japan and the U.S (</w:t>
      </w:r>
      <w:r>
        <w:rPr>
          <w:color w:val="222222"/>
          <w:sz w:val="24"/>
          <w:szCs w:val="24"/>
          <w:highlight w:val="white"/>
        </w:rPr>
        <w:t>ALShanti</w:t>
      </w:r>
      <w:r>
        <w:rPr>
          <w:color w:val="222222"/>
          <w:sz w:val="24"/>
          <w:szCs w:val="24"/>
          <w:highlight w:val="white"/>
        </w:rPr>
        <w:t xml:space="preserve"> et al., 2024)</w:t>
      </w:r>
      <w:r>
        <w:rPr>
          <w:sz w:val="24"/>
          <w:szCs w:val="24"/>
        </w:rPr>
        <w:t>. The other main area of using a variety of academic journals, company reports and credible secondary sources to support my analysis also contributed to the credibility of my analysis. Then, I was trying to assess and compare two very large and complex markets, which posed some difficulties for me: There was a lot of information and not always was it easy to ensure that I'm looking at the most relevant evidence. Time constraints were another challenge as several sources of information were to be read, a good amount of work. Although faced with all these difficulties I managed to present all the information in a logical and coherent discussion and I learned a lot from this assignment, in my analysis as well as with academic writing.</w:t>
      </w:r>
    </w:p>
    <w:p w14:paraId="07C78AD6">
      <w:pPr>
        <w:pStyle w:val="3"/>
        <w:rPr>
          <w:rFonts w:ascii="Arial" w:hAnsi="Arial" w:eastAsia="Arial" w:cs="Arial"/>
        </w:rPr>
      </w:pPr>
      <w:bookmarkStart w:id="13" w:name="_Toc237088373"/>
      <w:r>
        <w:rPr>
          <w:rFonts w:ascii="Arial" w:hAnsi="Arial" w:eastAsia="Arial" w:cs="Arial"/>
        </w:rPr>
        <w:t>2.4 Analysis</w:t>
      </w:r>
      <w:bookmarkEnd w:id="13"/>
    </w:p>
    <w:p w14:paraId="0D25FA7A">
      <w:pPr>
        <w:spacing w:line="360" w:lineRule="auto"/>
        <w:jc w:val="both"/>
        <w:rPr>
          <w:sz w:val="24"/>
          <w:szCs w:val="24"/>
        </w:rPr>
      </w:pPr>
      <w:r>
        <w:rPr>
          <w:sz w:val="24"/>
          <w:szCs w:val="24"/>
        </w:rPr>
        <w:t>This experience led me to believe that the key to success in international marketing was not just in knowledge application of theories of marketing but the understanding that the implications of culture, economy, politics and consumer behaviour have an impact on business decisions. I knew that there were so many models that could explain anything, even in Marketing strategies such as PESTEL, Hofstede's Cultural Dimensions, STP and the 7Ps and there were various observations which each model provided about the strategies of Toyota (</w:t>
      </w:r>
      <w:r>
        <w:rPr>
          <w:color w:val="222222"/>
          <w:sz w:val="24"/>
          <w:szCs w:val="24"/>
          <w:highlight w:val="white"/>
        </w:rPr>
        <w:t>Gomes, 2023)</w:t>
      </w:r>
      <w:r>
        <w:rPr>
          <w:sz w:val="24"/>
          <w:szCs w:val="24"/>
        </w:rPr>
        <w:t>. I was able to look at these models in a more critical and complete way as opposed to just one model. It was also agreed that a need exists to critically analyse information from reliable academic and industry sources to draw evidence-based conclusions. When I had a lot of information to consider, I found that the way I did my research, I'm not that confused and when I plan and organise my research very well, then the quality of my research improves. It has deepened my critical thinking, analytical thinking and research skills and made me aware of the importance of having the marketing mix suited to different cultural and market contexts for business success in the long term.</w:t>
      </w:r>
    </w:p>
    <w:p w14:paraId="0506DFC8">
      <w:pPr>
        <w:pStyle w:val="3"/>
        <w:rPr>
          <w:rFonts w:ascii="Arial" w:hAnsi="Arial" w:eastAsia="Arial" w:cs="Arial"/>
        </w:rPr>
      </w:pPr>
      <w:bookmarkStart w:id="14" w:name="_Toc237088374"/>
      <w:r>
        <w:rPr>
          <w:rFonts w:ascii="Arial" w:hAnsi="Arial" w:eastAsia="Arial" w:cs="Arial"/>
        </w:rPr>
        <w:t>2.5 Conclusion</w:t>
      </w:r>
      <w:bookmarkEnd w:id="14"/>
    </w:p>
    <w:p w14:paraId="73C3BDBD">
      <w:pPr>
        <w:spacing w:line="360" w:lineRule="auto"/>
        <w:jc w:val="both"/>
        <w:rPr>
          <w:sz w:val="24"/>
          <w:szCs w:val="24"/>
        </w:rPr>
      </w:pPr>
      <w:r>
        <w:rPr>
          <w:sz w:val="24"/>
          <w:szCs w:val="24"/>
        </w:rPr>
        <w:t>Reflecting on this assignment, I conclude that the overall research and writing process has significantly enhanced my understanding of international marketing and its practical application within a global business environment. The experience demonstrated the importance of using structured marketing frameworks to evaluate complex business situations and develop well-supported arguments (</w:t>
      </w:r>
      <w:r>
        <w:rPr>
          <w:color w:val="222222"/>
          <w:sz w:val="24"/>
          <w:szCs w:val="24"/>
          <w:highlight w:val="white"/>
        </w:rPr>
        <w:t>Kyambade et al., 2025)</w:t>
      </w:r>
      <w:r>
        <w:rPr>
          <w:sz w:val="24"/>
          <w:szCs w:val="24"/>
        </w:rPr>
        <w:t xml:space="preserve">. It also highlighted the value of conducting thorough research, critically assessing different sources, and presenting findings in a logical and coherent manner. Although I experienced challenges related to managing a large volume of information and selecting the most relevant evidence, these difficulties encouraged me to improve my organisational and analytical skills. I also recognised that effective planning, time management, and continuous review are essential for producing high-quality academic work. </w:t>
      </w:r>
    </w:p>
    <w:p w14:paraId="375303CE">
      <w:pPr>
        <w:pStyle w:val="3"/>
        <w:rPr>
          <w:rFonts w:ascii="Arial" w:hAnsi="Arial" w:eastAsia="Arial" w:cs="Arial"/>
        </w:rPr>
      </w:pPr>
      <w:bookmarkStart w:id="15" w:name="_Toc237088375"/>
      <w:r>
        <w:rPr>
          <w:rFonts w:ascii="Arial" w:hAnsi="Arial" w:eastAsia="Arial" w:cs="Arial"/>
        </w:rPr>
        <w:t>2.6 Action Plan</w:t>
      </w:r>
      <w:bookmarkEnd w:id="15"/>
    </w:p>
    <w:tbl>
      <w:tblPr>
        <w:tblStyle w:val="16"/>
        <w:tblW w:w="8895" w:type="dxa"/>
        <w:jc w:val="center"/>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890"/>
        <w:gridCol w:w="5205"/>
        <w:gridCol w:w="1800"/>
      </w:tblGrid>
      <w:tr w14:paraId="126F5685">
        <w:tblPrEx>
          <w:tblLayout w:type="fixed"/>
        </w:tblPrEx>
        <w:trPr>
          <w:trHeight w:val="870" w:hRule="atLeast"/>
          <w:jc w:val="center"/>
        </w:trPr>
        <w:tc>
          <w:tcPr>
            <w:tcW w:w="1890" w:type="dxa"/>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06C5D154">
            <w:pPr>
              <w:jc w:val="center"/>
              <w:rPr>
                <w:b/>
                <w:bCs/>
                <w:sz w:val="24"/>
                <w:szCs w:val="24"/>
              </w:rPr>
            </w:pPr>
            <w:r>
              <w:rPr>
                <w:b/>
                <w:bCs/>
                <w:sz w:val="24"/>
                <w:szCs w:val="24"/>
              </w:rPr>
              <w:t>Development Area</w:t>
            </w:r>
          </w:p>
        </w:tc>
        <w:tc>
          <w:tcPr>
            <w:tcW w:w="5205" w:type="dxa"/>
            <w:tcBorders>
              <w:top w:val="single" w:color="000000" w:sz="4" w:space="0"/>
              <w:left w:val="nil"/>
              <w:bottom w:val="single" w:color="000000" w:sz="4" w:space="0"/>
              <w:right w:val="single" w:color="000000" w:sz="4" w:space="0"/>
            </w:tcBorders>
            <w:tcMar>
              <w:top w:w="0" w:type="dxa"/>
              <w:left w:w="100" w:type="dxa"/>
              <w:bottom w:w="0" w:type="dxa"/>
              <w:right w:w="100" w:type="dxa"/>
            </w:tcMar>
          </w:tcPr>
          <w:p w14:paraId="6DFC2EAC">
            <w:pPr>
              <w:jc w:val="center"/>
              <w:rPr>
                <w:b/>
                <w:bCs/>
                <w:sz w:val="24"/>
                <w:szCs w:val="24"/>
              </w:rPr>
            </w:pPr>
            <w:r>
              <w:rPr>
                <w:b/>
                <w:bCs/>
                <w:sz w:val="24"/>
                <w:szCs w:val="24"/>
              </w:rPr>
              <w:t>Action Plan</w:t>
            </w:r>
          </w:p>
        </w:tc>
        <w:tc>
          <w:tcPr>
            <w:tcW w:w="1800" w:type="dxa"/>
            <w:tcBorders>
              <w:top w:val="single" w:color="000000" w:sz="4" w:space="0"/>
              <w:left w:val="nil"/>
              <w:bottom w:val="single" w:color="000000" w:sz="4" w:space="0"/>
              <w:right w:val="single" w:color="000000" w:sz="4" w:space="0"/>
            </w:tcBorders>
            <w:tcMar>
              <w:top w:w="0" w:type="dxa"/>
              <w:left w:w="100" w:type="dxa"/>
              <w:bottom w:w="0" w:type="dxa"/>
              <w:right w:w="100" w:type="dxa"/>
            </w:tcMar>
          </w:tcPr>
          <w:p w14:paraId="7E976E4C">
            <w:pPr>
              <w:jc w:val="center"/>
              <w:rPr>
                <w:b/>
                <w:bCs/>
                <w:sz w:val="24"/>
                <w:szCs w:val="24"/>
              </w:rPr>
            </w:pPr>
            <w:r>
              <w:rPr>
                <w:b/>
                <w:bCs/>
                <w:sz w:val="24"/>
                <w:szCs w:val="24"/>
              </w:rPr>
              <w:t>Timeframe</w:t>
            </w:r>
          </w:p>
        </w:tc>
      </w:tr>
      <w:tr w14:paraId="7C069D79">
        <w:tblPrEx>
          <w:tblLayout w:type="fixed"/>
        </w:tblPrEx>
        <w:trPr>
          <w:trHeight w:val="1395" w:hRule="atLeast"/>
          <w:jc w:val="center"/>
        </w:trPr>
        <w:tc>
          <w:tcPr>
            <w:tcW w:w="18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456D800">
            <w:pPr>
              <w:jc w:val="both"/>
              <w:rPr>
                <w:sz w:val="24"/>
                <w:szCs w:val="24"/>
              </w:rPr>
            </w:pPr>
            <w:r>
              <w:rPr>
                <w:sz w:val="24"/>
                <w:szCs w:val="24"/>
              </w:rPr>
              <w:t>Enhance research skills</w:t>
            </w:r>
          </w:p>
        </w:tc>
        <w:tc>
          <w:tcPr>
            <w:tcW w:w="5205" w:type="dxa"/>
            <w:tcBorders>
              <w:top w:val="nil"/>
              <w:left w:val="nil"/>
              <w:bottom w:val="single" w:color="000000" w:sz="4" w:space="0"/>
              <w:right w:val="single" w:color="000000" w:sz="4" w:space="0"/>
            </w:tcBorders>
            <w:tcMar>
              <w:top w:w="0" w:type="dxa"/>
              <w:left w:w="100" w:type="dxa"/>
              <w:bottom w:w="0" w:type="dxa"/>
              <w:right w:w="100" w:type="dxa"/>
            </w:tcMar>
          </w:tcPr>
          <w:p w14:paraId="22A94DDF">
            <w:pPr>
              <w:jc w:val="both"/>
              <w:rPr>
                <w:sz w:val="24"/>
                <w:szCs w:val="24"/>
              </w:rPr>
            </w:pPr>
            <w:r>
              <w:rPr>
                <w:sz w:val="24"/>
                <w:szCs w:val="24"/>
              </w:rPr>
              <w:t>Through more effective and systematic searches of academic literature and the use of academic databases I will be able to recognise, assess and combine high quality academic journals, company reports and industry publications.</w:t>
            </w:r>
          </w:p>
        </w:tc>
        <w:tc>
          <w:tcPr>
            <w:tcW w:w="1800" w:type="dxa"/>
            <w:tcBorders>
              <w:top w:val="nil"/>
              <w:left w:val="nil"/>
              <w:bottom w:val="single" w:color="000000" w:sz="4" w:space="0"/>
              <w:right w:val="single" w:color="000000" w:sz="4" w:space="0"/>
            </w:tcBorders>
            <w:tcMar>
              <w:top w:w="0" w:type="dxa"/>
              <w:left w:w="100" w:type="dxa"/>
              <w:bottom w:w="0" w:type="dxa"/>
              <w:right w:w="100" w:type="dxa"/>
            </w:tcMar>
          </w:tcPr>
          <w:p w14:paraId="541D1DA1">
            <w:pPr>
              <w:jc w:val="both"/>
              <w:rPr>
                <w:sz w:val="24"/>
                <w:szCs w:val="24"/>
              </w:rPr>
            </w:pPr>
            <w:r>
              <w:rPr>
                <w:sz w:val="24"/>
                <w:szCs w:val="24"/>
              </w:rPr>
              <w:t>Within 1 month</w:t>
            </w:r>
          </w:p>
        </w:tc>
      </w:tr>
      <w:tr w14:paraId="6C885818">
        <w:tblPrEx>
          <w:tblLayout w:type="fixed"/>
        </w:tblPrEx>
        <w:trPr>
          <w:trHeight w:val="1695" w:hRule="atLeast"/>
          <w:jc w:val="center"/>
        </w:trPr>
        <w:tc>
          <w:tcPr>
            <w:tcW w:w="18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4D4320E">
            <w:pPr>
              <w:jc w:val="both"/>
              <w:rPr>
                <w:sz w:val="24"/>
                <w:szCs w:val="24"/>
              </w:rPr>
            </w:pPr>
            <w:r>
              <w:rPr>
                <w:sz w:val="24"/>
                <w:szCs w:val="24"/>
              </w:rPr>
              <w:t>Strengthen critical analysis</w:t>
            </w:r>
          </w:p>
        </w:tc>
        <w:tc>
          <w:tcPr>
            <w:tcW w:w="5205" w:type="dxa"/>
            <w:tcBorders>
              <w:top w:val="nil"/>
              <w:left w:val="nil"/>
              <w:bottom w:val="single" w:color="000000" w:sz="4" w:space="0"/>
              <w:right w:val="single" w:color="000000" w:sz="4" w:space="0"/>
            </w:tcBorders>
            <w:tcMar>
              <w:top w:w="0" w:type="dxa"/>
              <w:left w:w="100" w:type="dxa"/>
              <w:bottom w:w="0" w:type="dxa"/>
              <w:right w:w="100" w:type="dxa"/>
            </w:tcMar>
          </w:tcPr>
          <w:p w14:paraId="7B9109BD">
            <w:pPr>
              <w:jc w:val="both"/>
              <w:rPr>
                <w:sz w:val="24"/>
                <w:szCs w:val="24"/>
              </w:rPr>
            </w:pPr>
            <w:r>
              <w:rPr>
                <w:sz w:val="24"/>
                <w:szCs w:val="24"/>
              </w:rPr>
              <w:t>I will use different marketing frameworks (PESTEL, Hofstede, STP and 7Ps) with case studies to enable me to undertake a critical evaluation of marketing rather than descriptive.</w:t>
            </w:r>
          </w:p>
        </w:tc>
        <w:tc>
          <w:tcPr>
            <w:tcW w:w="1800" w:type="dxa"/>
            <w:tcBorders>
              <w:top w:val="nil"/>
              <w:left w:val="nil"/>
              <w:bottom w:val="single" w:color="000000" w:sz="4" w:space="0"/>
              <w:right w:val="single" w:color="000000" w:sz="4" w:space="0"/>
            </w:tcBorders>
            <w:tcMar>
              <w:top w:w="0" w:type="dxa"/>
              <w:left w:w="100" w:type="dxa"/>
              <w:bottom w:w="0" w:type="dxa"/>
              <w:right w:w="100" w:type="dxa"/>
            </w:tcMar>
          </w:tcPr>
          <w:p w14:paraId="062FA2E1">
            <w:pPr>
              <w:jc w:val="both"/>
              <w:rPr>
                <w:sz w:val="24"/>
                <w:szCs w:val="24"/>
              </w:rPr>
            </w:pPr>
            <w:r>
              <w:rPr>
                <w:sz w:val="24"/>
                <w:szCs w:val="24"/>
              </w:rPr>
              <w:t>Within 2 months</w:t>
            </w:r>
          </w:p>
        </w:tc>
      </w:tr>
      <w:tr w14:paraId="5CAEC684">
        <w:tblPrEx>
          <w:tblLayout w:type="fixed"/>
        </w:tblPrEx>
        <w:trPr>
          <w:trHeight w:val="1110" w:hRule="atLeast"/>
          <w:jc w:val="center"/>
        </w:trPr>
        <w:tc>
          <w:tcPr>
            <w:tcW w:w="18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5A88010">
            <w:pPr>
              <w:jc w:val="both"/>
              <w:rPr>
                <w:sz w:val="24"/>
                <w:szCs w:val="24"/>
              </w:rPr>
            </w:pPr>
            <w:r>
              <w:rPr>
                <w:sz w:val="24"/>
                <w:szCs w:val="24"/>
              </w:rPr>
              <w:t>Improve time management</w:t>
            </w:r>
          </w:p>
        </w:tc>
        <w:tc>
          <w:tcPr>
            <w:tcW w:w="5205" w:type="dxa"/>
            <w:tcBorders>
              <w:top w:val="nil"/>
              <w:left w:val="nil"/>
              <w:bottom w:val="single" w:color="000000" w:sz="4" w:space="0"/>
              <w:right w:val="single" w:color="000000" w:sz="4" w:space="0"/>
            </w:tcBorders>
            <w:tcMar>
              <w:top w:w="0" w:type="dxa"/>
              <w:left w:w="100" w:type="dxa"/>
              <w:bottom w:w="0" w:type="dxa"/>
              <w:right w:w="100" w:type="dxa"/>
            </w:tcMar>
          </w:tcPr>
          <w:p w14:paraId="6C45BCA7">
            <w:pPr>
              <w:jc w:val="both"/>
              <w:rPr>
                <w:sz w:val="24"/>
                <w:szCs w:val="24"/>
              </w:rPr>
            </w:pPr>
            <w:r>
              <w:rPr>
                <w:sz w:val="24"/>
                <w:szCs w:val="24"/>
              </w:rPr>
              <w:t>I will make a detailed assignment schedule with the milestones for research, drafting, proofreading and referencing, to make sure that work is done efficiently, and in a timely manner.</w:t>
            </w:r>
          </w:p>
        </w:tc>
        <w:tc>
          <w:tcPr>
            <w:tcW w:w="1800" w:type="dxa"/>
            <w:tcBorders>
              <w:top w:val="nil"/>
              <w:left w:val="nil"/>
              <w:bottom w:val="single" w:color="000000" w:sz="4" w:space="0"/>
              <w:right w:val="single" w:color="000000" w:sz="4" w:space="0"/>
            </w:tcBorders>
            <w:tcMar>
              <w:top w:w="0" w:type="dxa"/>
              <w:left w:w="100" w:type="dxa"/>
              <w:bottom w:w="0" w:type="dxa"/>
              <w:right w:w="100" w:type="dxa"/>
            </w:tcMar>
          </w:tcPr>
          <w:p w14:paraId="4A634083">
            <w:pPr>
              <w:jc w:val="both"/>
              <w:rPr>
                <w:sz w:val="24"/>
                <w:szCs w:val="24"/>
              </w:rPr>
            </w:pPr>
            <w:r>
              <w:rPr>
                <w:sz w:val="24"/>
                <w:szCs w:val="24"/>
              </w:rPr>
              <w:t>From the next assignment onwards</w:t>
            </w:r>
          </w:p>
        </w:tc>
      </w:tr>
      <w:tr w14:paraId="2AA6EFFF">
        <w:tblPrEx>
          <w:tblLayout w:type="fixed"/>
        </w:tblPrEx>
        <w:trPr>
          <w:trHeight w:val="1110" w:hRule="atLeast"/>
          <w:jc w:val="center"/>
        </w:trPr>
        <w:tc>
          <w:tcPr>
            <w:tcW w:w="18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802A97E">
            <w:pPr>
              <w:jc w:val="both"/>
              <w:rPr>
                <w:sz w:val="24"/>
                <w:szCs w:val="24"/>
              </w:rPr>
            </w:pPr>
            <w:r>
              <w:rPr>
                <w:sz w:val="24"/>
                <w:szCs w:val="24"/>
              </w:rPr>
              <w:t>Developing academic writing skills</w:t>
            </w:r>
          </w:p>
        </w:tc>
        <w:tc>
          <w:tcPr>
            <w:tcW w:w="5205" w:type="dxa"/>
            <w:tcBorders>
              <w:top w:val="nil"/>
              <w:left w:val="nil"/>
              <w:bottom w:val="single" w:color="000000" w:sz="4" w:space="0"/>
              <w:right w:val="single" w:color="000000" w:sz="4" w:space="0"/>
            </w:tcBorders>
            <w:tcMar>
              <w:top w:w="0" w:type="dxa"/>
              <w:left w:w="100" w:type="dxa"/>
              <w:bottom w:w="0" w:type="dxa"/>
              <w:right w:w="100" w:type="dxa"/>
            </w:tcMar>
          </w:tcPr>
          <w:p w14:paraId="592D240F">
            <w:pPr>
              <w:jc w:val="both"/>
              <w:rPr>
                <w:sz w:val="24"/>
                <w:szCs w:val="24"/>
              </w:rPr>
            </w:pPr>
          </w:p>
          <w:p w14:paraId="33CD32C2">
            <w:pPr>
              <w:jc w:val="both"/>
              <w:rPr>
                <w:sz w:val="24"/>
                <w:szCs w:val="24"/>
              </w:rPr>
            </w:pPr>
            <w:r>
              <w:rPr>
                <w:sz w:val="24"/>
                <w:szCs w:val="24"/>
              </w:rPr>
              <w:t>I will seek advice from my tutor regarding feedback, reference styles guide and to proofread myself to improve my academic writing in relation to clarity, coherence, critical discussion and accurate referencing.</w:t>
            </w:r>
          </w:p>
        </w:tc>
        <w:tc>
          <w:tcPr>
            <w:tcW w:w="1800" w:type="dxa"/>
            <w:tcBorders>
              <w:top w:val="nil"/>
              <w:left w:val="nil"/>
              <w:bottom w:val="single" w:color="000000" w:sz="4" w:space="0"/>
              <w:right w:val="single" w:color="000000" w:sz="4" w:space="0"/>
            </w:tcBorders>
            <w:tcMar>
              <w:top w:w="0" w:type="dxa"/>
              <w:left w:w="100" w:type="dxa"/>
              <w:bottom w:w="0" w:type="dxa"/>
              <w:right w:w="100" w:type="dxa"/>
            </w:tcMar>
          </w:tcPr>
          <w:p w14:paraId="6221181D">
            <w:pPr>
              <w:jc w:val="both"/>
              <w:rPr>
                <w:sz w:val="24"/>
                <w:szCs w:val="24"/>
              </w:rPr>
            </w:pPr>
            <w:r>
              <w:rPr>
                <w:sz w:val="24"/>
                <w:szCs w:val="24"/>
              </w:rPr>
              <w:t>Ongoing over the next semester</w:t>
            </w:r>
          </w:p>
        </w:tc>
      </w:tr>
    </w:tbl>
    <w:p w14:paraId="6151CCD8">
      <w:pPr>
        <w:spacing w:line="360" w:lineRule="auto"/>
        <w:jc w:val="both"/>
        <w:rPr>
          <w:sz w:val="24"/>
          <w:szCs w:val="24"/>
        </w:rPr>
      </w:pPr>
      <w:r>
        <w:br w:type="page"/>
      </w:r>
    </w:p>
    <w:p w14:paraId="1A2C780D">
      <w:pPr>
        <w:pStyle w:val="2"/>
        <w:rPr>
          <w:rFonts w:ascii="Arial" w:hAnsi="Arial" w:eastAsia="Arial" w:cs="Arial"/>
        </w:rPr>
      </w:pPr>
      <w:bookmarkStart w:id="16" w:name="_Toc237088376"/>
      <w:r>
        <w:rPr>
          <w:rFonts w:ascii="Arial" w:hAnsi="Arial" w:eastAsia="Arial" w:cs="Arial"/>
        </w:rPr>
        <w:t>Reference list</w:t>
      </w:r>
      <w:bookmarkEnd w:id="16"/>
    </w:p>
    <w:p w14:paraId="5B53E8E1">
      <w:pPr>
        <w:spacing w:line="360" w:lineRule="auto"/>
        <w:jc w:val="both"/>
        <w:rPr>
          <w:sz w:val="24"/>
          <w:szCs w:val="24"/>
        </w:rPr>
      </w:pPr>
      <w:r>
        <w:rPr>
          <w:color w:val="222222"/>
          <w:sz w:val="24"/>
          <w:szCs w:val="24"/>
          <w:highlight w:val="white"/>
        </w:rPr>
        <w:t xml:space="preserve">Abebe, G., McMillan, M. and </w:t>
      </w:r>
      <w:r>
        <w:rPr>
          <w:color w:val="222222"/>
          <w:sz w:val="24"/>
          <w:szCs w:val="24"/>
          <w:highlight w:val="white"/>
        </w:rPr>
        <w:t>Serafinelli</w:t>
      </w:r>
      <w:r>
        <w:rPr>
          <w:color w:val="222222"/>
          <w:sz w:val="24"/>
          <w:szCs w:val="24"/>
          <w:highlight w:val="white"/>
        </w:rPr>
        <w:t xml:space="preserve">, M., (2022). Foreign direct investment and knowledge diffusion in poor locations. </w:t>
      </w:r>
      <w:r>
        <w:rPr>
          <w:i/>
          <w:iCs/>
          <w:color w:val="222222"/>
          <w:sz w:val="24"/>
          <w:szCs w:val="24"/>
          <w:highlight w:val="white"/>
        </w:rPr>
        <w:t>Journal of Development Economics</w:t>
      </w:r>
      <w:r>
        <w:rPr>
          <w:color w:val="222222"/>
          <w:sz w:val="24"/>
          <w:szCs w:val="24"/>
          <w:highlight w:val="white"/>
        </w:rPr>
        <w:t xml:space="preserve">, </w:t>
      </w:r>
      <w:r>
        <w:rPr>
          <w:i/>
          <w:iCs/>
          <w:color w:val="222222"/>
          <w:sz w:val="24"/>
          <w:szCs w:val="24"/>
          <w:highlight w:val="white"/>
        </w:rPr>
        <w:t>158</w:t>
      </w:r>
      <w:r>
        <w:rPr>
          <w:color w:val="222222"/>
          <w:sz w:val="24"/>
          <w:szCs w:val="24"/>
          <w:highlight w:val="white"/>
        </w:rPr>
        <w:t>, p.102926.</w:t>
      </w:r>
      <w:r>
        <w:rPr>
          <w:sz w:val="24"/>
          <w:szCs w:val="24"/>
        </w:rPr>
        <w:t xml:space="preserve"> </w:t>
      </w:r>
      <w:r>
        <w:fldChar w:fldCharType="begin"/>
      </w:r>
      <w:r>
        <w:instrText xml:space="preserve"> HYPERLINK "https://www.sciencedirect.com/science/article/pii/S0304387822000827" \h </w:instrText>
      </w:r>
      <w:r>
        <w:fldChar w:fldCharType="separate"/>
      </w:r>
      <w:r>
        <w:rPr>
          <w:color w:val="1155CC"/>
          <w:sz w:val="24"/>
          <w:szCs w:val="24"/>
          <w:u w:val="single"/>
        </w:rPr>
        <w:t>https://www.sciencedirect.com/science/article/pii/S0304387822000827</w:t>
      </w:r>
      <w:r>
        <w:rPr>
          <w:color w:val="1155CC"/>
          <w:sz w:val="24"/>
          <w:szCs w:val="24"/>
          <w:u w:val="single"/>
        </w:rPr>
        <w:fldChar w:fldCharType="end"/>
      </w:r>
    </w:p>
    <w:p w14:paraId="3D19EC4F">
      <w:pPr>
        <w:spacing w:line="360" w:lineRule="auto"/>
        <w:jc w:val="both"/>
        <w:rPr>
          <w:sz w:val="24"/>
          <w:szCs w:val="24"/>
        </w:rPr>
      </w:pPr>
      <w:r>
        <w:rPr>
          <w:sz w:val="24"/>
          <w:szCs w:val="24"/>
        </w:rPr>
        <w:t>Abro, G.E.M., Zulkifli, S.A.B., Kumar, K., El Ouanjli, N., Asirvadam, V.S. and Mossa, M.A., (2023). Comprehensive review of recent advancements in battery technology, propulsion, power interfaces, and vehicle network systems for intelligent autonomous and connected electric vehicles.</w:t>
      </w:r>
      <w:r>
        <w:rPr>
          <w:i/>
          <w:iCs/>
          <w:sz w:val="24"/>
          <w:szCs w:val="24"/>
        </w:rPr>
        <w:t xml:space="preserve"> Energies, 16</w:t>
      </w:r>
      <w:r>
        <w:rPr>
          <w:sz w:val="24"/>
          <w:szCs w:val="24"/>
        </w:rPr>
        <w:t>(6), p.2925.</w:t>
      </w:r>
      <w:r>
        <w:fldChar w:fldCharType="begin"/>
      </w:r>
      <w:r>
        <w:instrText xml:space="preserve"> HYPERLINK "https://www.mdpi.com/1996-1073/16/6/2925" \h </w:instrText>
      </w:r>
      <w:r>
        <w:fldChar w:fldCharType="separate"/>
      </w:r>
      <w:r>
        <w:rPr>
          <w:color w:val="1155CC"/>
          <w:sz w:val="24"/>
          <w:szCs w:val="24"/>
          <w:u w:val="single"/>
        </w:rPr>
        <w:t>https://www.mdpi.com/1996-1073/16/6/2925</w:t>
      </w:r>
      <w:r>
        <w:rPr>
          <w:color w:val="1155CC"/>
          <w:sz w:val="24"/>
          <w:szCs w:val="24"/>
          <w:u w:val="single"/>
        </w:rPr>
        <w:fldChar w:fldCharType="end"/>
      </w:r>
    </w:p>
    <w:p w14:paraId="268B741C">
      <w:pPr>
        <w:spacing w:line="360" w:lineRule="auto"/>
        <w:jc w:val="both"/>
        <w:rPr>
          <w:sz w:val="24"/>
          <w:szCs w:val="24"/>
        </w:rPr>
      </w:pPr>
      <w:r>
        <w:rPr>
          <w:sz w:val="24"/>
          <w:szCs w:val="24"/>
        </w:rPr>
        <w:t>Ajeigbe, K. and Holt, W., (2025). Government Policies and Incentives for EV Manufacturing.</w:t>
      </w:r>
      <w:r>
        <w:fldChar w:fldCharType="begin"/>
      </w:r>
      <w:r>
        <w:instrText xml:space="preserve"> HYPERLINK "https://www.researchgate.net/profile/Kolade-Ajeigbe-2/publication/390329268_Government_Policies_and_Incentives_for_EV_Manufacturing/links/67ea6d919b1c6c487768ab10/Government-Policies-and-Incentives-for-EV-Manufacturing.pdf" \h </w:instrText>
      </w:r>
      <w:r>
        <w:fldChar w:fldCharType="separate"/>
      </w:r>
      <w:r>
        <w:rPr>
          <w:color w:val="1155CC"/>
          <w:sz w:val="24"/>
          <w:szCs w:val="24"/>
          <w:u w:val="single"/>
        </w:rPr>
        <w:t>https://www.researchgate.net/profile/Kolade-Ajeigbe-2/publication/390329268_Government_Policies_and_Incentives_for_EV_Manufacturing/links/67ea6d919b1c6c487768ab10/Government-Policies-and-Incentives-for-EV-Manufacturing.pdf</w:t>
      </w:r>
      <w:r>
        <w:rPr>
          <w:color w:val="1155CC"/>
          <w:sz w:val="24"/>
          <w:szCs w:val="24"/>
          <w:u w:val="single"/>
        </w:rPr>
        <w:fldChar w:fldCharType="end"/>
      </w:r>
    </w:p>
    <w:p w14:paraId="4EF20EBE">
      <w:pPr>
        <w:spacing w:line="360" w:lineRule="auto"/>
        <w:jc w:val="both"/>
        <w:rPr>
          <w:sz w:val="24"/>
          <w:szCs w:val="24"/>
        </w:rPr>
      </w:pPr>
      <w:r>
        <w:rPr>
          <w:color w:val="222222"/>
          <w:sz w:val="24"/>
          <w:szCs w:val="24"/>
          <w:highlight w:val="white"/>
        </w:rPr>
        <w:t>ALShanti</w:t>
      </w:r>
      <w:r>
        <w:rPr>
          <w:color w:val="222222"/>
          <w:sz w:val="24"/>
          <w:szCs w:val="24"/>
          <w:highlight w:val="white"/>
        </w:rPr>
        <w:t xml:space="preserve">, A.M., Al-Azab, H.A.H., </w:t>
      </w:r>
      <w:r>
        <w:rPr>
          <w:color w:val="222222"/>
          <w:sz w:val="24"/>
          <w:szCs w:val="24"/>
          <w:highlight w:val="white"/>
        </w:rPr>
        <w:t>Humeedat</w:t>
      </w:r>
      <w:r>
        <w:rPr>
          <w:color w:val="222222"/>
          <w:sz w:val="24"/>
          <w:szCs w:val="24"/>
          <w:highlight w:val="white"/>
        </w:rPr>
        <w:t xml:space="preserve">, M.M. and AlQudah, M.Z., (2024). Exploring the evolution of creative accounting and external auditors: Bibliometric analysis. </w:t>
      </w:r>
      <w:r>
        <w:rPr>
          <w:i/>
          <w:iCs/>
          <w:color w:val="222222"/>
          <w:sz w:val="24"/>
          <w:szCs w:val="24"/>
          <w:highlight w:val="white"/>
        </w:rPr>
        <w:t>Cogent Business &amp; Management</w:t>
      </w:r>
      <w:r>
        <w:rPr>
          <w:color w:val="222222"/>
          <w:sz w:val="24"/>
          <w:szCs w:val="24"/>
          <w:highlight w:val="white"/>
        </w:rPr>
        <w:t xml:space="preserve">, </w:t>
      </w:r>
      <w:r>
        <w:rPr>
          <w:i/>
          <w:iCs/>
          <w:color w:val="222222"/>
          <w:sz w:val="24"/>
          <w:szCs w:val="24"/>
          <w:highlight w:val="white"/>
        </w:rPr>
        <w:t>11</w:t>
      </w:r>
      <w:r>
        <w:rPr>
          <w:color w:val="222222"/>
          <w:sz w:val="24"/>
          <w:szCs w:val="24"/>
          <w:highlight w:val="white"/>
        </w:rPr>
        <w:t>(1), p.2300500.</w:t>
      </w:r>
      <w:r>
        <w:rPr>
          <w:sz w:val="24"/>
          <w:szCs w:val="24"/>
        </w:rPr>
        <w:t xml:space="preserve"> </w:t>
      </w:r>
      <w:r>
        <w:fldChar w:fldCharType="begin"/>
      </w:r>
      <w:r>
        <w:instrText xml:space="preserve"> HYPERLINK "https://www.tandfonline.com/doi/pdf/10.1080/23311975.2023.2300500" \h </w:instrText>
      </w:r>
      <w:r>
        <w:fldChar w:fldCharType="separate"/>
      </w:r>
      <w:r>
        <w:rPr>
          <w:color w:val="1155CC"/>
          <w:sz w:val="24"/>
          <w:szCs w:val="24"/>
          <w:u w:val="single"/>
        </w:rPr>
        <w:t>https://www.tandfonline.com/doi/pdf/10.1080/23311975.2023.2300500</w:t>
      </w:r>
      <w:r>
        <w:rPr>
          <w:color w:val="1155CC"/>
          <w:sz w:val="24"/>
          <w:szCs w:val="24"/>
          <w:u w:val="single"/>
        </w:rPr>
        <w:fldChar w:fldCharType="end"/>
      </w:r>
    </w:p>
    <w:p w14:paraId="372C6E2F">
      <w:pPr>
        <w:spacing w:line="360" w:lineRule="auto"/>
        <w:jc w:val="both"/>
        <w:rPr>
          <w:sz w:val="24"/>
          <w:szCs w:val="24"/>
        </w:rPr>
      </w:pPr>
      <w:r>
        <w:rPr>
          <w:color w:val="222222"/>
          <w:sz w:val="24"/>
          <w:szCs w:val="24"/>
          <w:highlight w:val="white"/>
        </w:rPr>
        <w:t>Beauvisage</w:t>
      </w:r>
      <w:r>
        <w:rPr>
          <w:color w:val="222222"/>
          <w:sz w:val="24"/>
          <w:szCs w:val="24"/>
          <w:highlight w:val="white"/>
        </w:rPr>
        <w:t xml:space="preserve">, T., </w:t>
      </w:r>
      <w:r>
        <w:rPr>
          <w:color w:val="222222"/>
          <w:sz w:val="24"/>
          <w:szCs w:val="24"/>
          <w:highlight w:val="white"/>
        </w:rPr>
        <w:t>Beuscart</w:t>
      </w:r>
      <w:r>
        <w:rPr>
          <w:color w:val="222222"/>
          <w:sz w:val="24"/>
          <w:szCs w:val="24"/>
          <w:highlight w:val="white"/>
        </w:rPr>
        <w:t xml:space="preserve">, J.S., </w:t>
      </w:r>
      <w:r>
        <w:rPr>
          <w:color w:val="222222"/>
          <w:sz w:val="24"/>
          <w:szCs w:val="24"/>
          <w:highlight w:val="white"/>
        </w:rPr>
        <w:t>Coavoux</w:t>
      </w:r>
      <w:r>
        <w:rPr>
          <w:color w:val="222222"/>
          <w:sz w:val="24"/>
          <w:szCs w:val="24"/>
          <w:highlight w:val="white"/>
        </w:rPr>
        <w:t xml:space="preserve">, S. and Mellet, K., (2024). How online advertising targets consumers: The uses of categories and algorithmic tools by audience planners. </w:t>
      </w:r>
      <w:r>
        <w:rPr>
          <w:i/>
          <w:iCs/>
          <w:color w:val="222222"/>
          <w:sz w:val="24"/>
          <w:szCs w:val="24"/>
          <w:highlight w:val="white"/>
        </w:rPr>
        <w:t>New Media &amp; Society</w:t>
      </w:r>
      <w:r>
        <w:rPr>
          <w:color w:val="222222"/>
          <w:sz w:val="24"/>
          <w:szCs w:val="24"/>
          <w:highlight w:val="white"/>
        </w:rPr>
        <w:t xml:space="preserve">, </w:t>
      </w:r>
      <w:r>
        <w:rPr>
          <w:i/>
          <w:iCs/>
          <w:color w:val="222222"/>
          <w:sz w:val="24"/>
          <w:szCs w:val="24"/>
          <w:highlight w:val="white"/>
        </w:rPr>
        <w:t>26</w:t>
      </w:r>
      <w:r>
        <w:rPr>
          <w:color w:val="222222"/>
          <w:sz w:val="24"/>
          <w:szCs w:val="24"/>
          <w:highlight w:val="white"/>
        </w:rPr>
        <w:t>(10), pp.6098-6119.</w:t>
      </w:r>
      <w:r>
        <w:rPr>
          <w:sz w:val="24"/>
          <w:szCs w:val="24"/>
        </w:rPr>
        <w:t xml:space="preserve"> </w:t>
      </w:r>
      <w:r>
        <w:fldChar w:fldCharType="begin"/>
      </w:r>
      <w:r>
        <w:instrText xml:space="preserve"> HYPERLINK "https://hal.science/hal-03937807/document" \h </w:instrText>
      </w:r>
      <w:r>
        <w:fldChar w:fldCharType="separate"/>
      </w:r>
      <w:r>
        <w:rPr>
          <w:color w:val="1155CC"/>
          <w:sz w:val="24"/>
          <w:szCs w:val="24"/>
          <w:u w:val="single"/>
        </w:rPr>
        <w:t>https://hal.science/hal-03937807/document</w:t>
      </w:r>
      <w:r>
        <w:rPr>
          <w:color w:val="1155CC"/>
          <w:sz w:val="24"/>
          <w:szCs w:val="24"/>
          <w:u w:val="single"/>
        </w:rPr>
        <w:fldChar w:fldCharType="end"/>
      </w:r>
    </w:p>
    <w:p w14:paraId="3E8BCEC6">
      <w:pPr>
        <w:spacing w:line="360" w:lineRule="auto"/>
        <w:jc w:val="both"/>
        <w:rPr>
          <w:sz w:val="24"/>
          <w:szCs w:val="24"/>
        </w:rPr>
      </w:pPr>
      <w:r>
        <w:rPr>
          <w:sz w:val="24"/>
          <w:szCs w:val="24"/>
        </w:rPr>
        <w:t>Bera, M., Das, S., Garai, S., Dutta, S., Choudhury, M.R., Tripathi, S. and Chatterjee, G., (2025). Advancing energy efficiency: innovative technologies and strategic measures for achieving net zero emissions.</w:t>
      </w:r>
      <w:r>
        <w:rPr>
          <w:i/>
          <w:iCs/>
          <w:sz w:val="24"/>
          <w:szCs w:val="24"/>
        </w:rPr>
        <w:t xml:space="preserve"> Carbon Footprints, 4</w:t>
      </w:r>
      <w:r>
        <w:rPr>
          <w:sz w:val="24"/>
          <w:szCs w:val="24"/>
        </w:rPr>
        <w:t>(1), pp.N-A.</w:t>
      </w:r>
      <w:r>
        <w:fldChar w:fldCharType="begin"/>
      </w:r>
      <w:r>
        <w:instrText xml:space="preserve"> HYPERLINK "https://www.oaepublish.com/articles/cf.2024.48" \h </w:instrText>
      </w:r>
      <w:r>
        <w:fldChar w:fldCharType="separate"/>
      </w:r>
      <w:r>
        <w:rPr>
          <w:color w:val="1155CC"/>
          <w:sz w:val="24"/>
          <w:szCs w:val="24"/>
          <w:u w:val="single"/>
        </w:rPr>
        <w:t>https</w:t>
      </w:r>
      <w:r>
        <w:rPr>
          <w:color w:val="1155CC"/>
          <w:sz w:val="24"/>
          <w:szCs w:val="24"/>
          <w:u w:val="single"/>
        </w:rPr>
        <w:t>://www.oaepublish.com/articles/cf.2024.48</w:t>
      </w:r>
      <w:r>
        <w:rPr>
          <w:color w:val="1155CC"/>
          <w:sz w:val="24"/>
          <w:szCs w:val="24"/>
          <w:u w:val="single"/>
        </w:rPr>
        <w:fldChar w:fldCharType="end"/>
      </w:r>
    </w:p>
    <w:p w14:paraId="148869A2">
      <w:pPr>
        <w:spacing w:line="360" w:lineRule="auto"/>
        <w:jc w:val="both"/>
        <w:rPr>
          <w:sz w:val="24"/>
          <w:szCs w:val="24"/>
        </w:rPr>
      </w:pPr>
      <w:r>
        <w:rPr>
          <w:sz w:val="24"/>
          <w:szCs w:val="24"/>
        </w:rPr>
        <w:t xml:space="preserve">ceicdata.com. (2025). Japan Real GDP Growth (no date) CEIC. Available at: </w:t>
      </w:r>
      <w:r>
        <w:fldChar w:fldCharType="begin"/>
      </w:r>
      <w:r>
        <w:instrText xml:space="preserve"> HYPERLINK "https://www.ceicdata.com/en/indicator/japan/real-gdp-growth" \h </w:instrText>
      </w:r>
      <w:r>
        <w:fldChar w:fldCharType="separate"/>
      </w:r>
      <w:r>
        <w:rPr>
          <w:color w:val="1155CC"/>
          <w:sz w:val="24"/>
          <w:szCs w:val="24"/>
          <w:u w:val="single"/>
        </w:rPr>
        <w:t>https://www.ceicdata.com/en/indicator/japan/real-gdp-growth</w:t>
      </w:r>
      <w:r>
        <w:rPr>
          <w:color w:val="1155CC"/>
          <w:sz w:val="24"/>
          <w:szCs w:val="24"/>
          <w:u w:val="single"/>
        </w:rPr>
        <w:fldChar w:fldCharType="end"/>
      </w:r>
      <w:r>
        <w:rPr>
          <w:sz w:val="24"/>
          <w:szCs w:val="24"/>
        </w:rPr>
        <w:t xml:space="preserve">  (Accessed: 4 July 2026).</w:t>
      </w:r>
    </w:p>
    <w:p w14:paraId="50492E50">
      <w:pPr>
        <w:spacing w:line="360" w:lineRule="auto"/>
        <w:jc w:val="both"/>
        <w:rPr>
          <w:sz w:val="24"/>
          <w:szCs w:val="24"/>
        </w:rPr>
      </w:pPr>
      <w:r>
        <w:rPr>
          <w:sz w:val="24"/>
          <w:szCs w:val="24"/>
        </w:rPr>
        <w:t xml:space="preserve">crowe-associates.co.uk. (2019). Crowe Associates (2019) Crowe Associates | Committed to people development. Available at: </w:t>
      </w:r>
      <w:r>
        <w:fldChar w:fldCharType="begin"/>
      </w:r>
      <w:r>
        <w:instrText xml:space="preserve"> HYPERLINK "https://www.crowe-associates.co.uk/coaching-tools/gibbs-reflective-cycle/" \h </w:instrText>
      </w:r>
      <w:r>
        <w:fldChar w:fldCharType="separate"/>
      </w:r>
      <w:r>
        <w:rPr>
          <w:color w:val="1155CC"/>
          <w:sz w:val="24"/>
          <w:szCs w:val="24"/>
          <w:u w:val="single"/>
        </w:rPr>
        <w:t>https://www.crowe-associates.co.uk/coaching-tools/gibbs-reflective-cycle/</w:t>
      </w:r>
      <w:r>
        <w:rPr>
          <w:color w:val="1155CC"/>
          <w:sz w:val="24"/>
          <w:szCs w:val="24"/>
          <w:u w:val="single"/>
        </w:rPr>
        <w:fldChar w:fldCharType="end"/>
      </w:r>
      <w:r>
        <w:rPr>
          <w:sz w:val="24"/>
          <w:szCs w:val="24"/>
        </w:rPr>
        <w:t xml:space="preserve">  (Accessed: 8 August 2026).</w:t>
      </w:r>
    </w:p>
    <w:p w14:paraId="22829153">
      <w:pPr>
        <w:spacing w:line="360" w:lineRule="auto"/>
        <w:jc w:val="both"/>
        <w:rPr>
          <w:sz w:val="24"/>
          <w:szCs w:val="24"/>
        </w:rPr>
      </w:pPr>
      <w:r>
        <w:rPr>
          <w:sz w:val="24"/>
          <w:szCs w:val="24"/>
        </w:rPr>
        <w:t xml:space="preserve">dol.gov. (2026). Summary of the Major Laws of the Department of Labor. DOL. Available at: </w:t>
      </w:r>
      <w:r>
        <w:fldChar w:fldCharType="begin"/>
      </w:r>
      <w:r>
        <w:instrText xml:space="preserve"> HYPERLINK "https://www.dol.gov/general/aboutdol/majorlaws" \h </w:instrText>
      </w:r>
      <w:r>
        <w:fldChar w:fldCharType="separate"/>
      </w:r>
      <w:r>
        <w:rPr>
          <w:color w:val="1155CC"/>
          <w:sz w:val="24"/>
          <w:szCs w:val="24"/>
          <w:u w:val="single"/>
        </w:rPr>
        <w:t>https://www.dol.gov/general/aboutdol/majorlaws</w:t>
      </w:r>
      <w:r>
        <w:rPr>
          <w:color w:val="1155CC"/>
          <w:sz w:val="24"/>
          <w:szCs w:val="24"/>
          <w:u w:val="single"/>
        </w:rPr>
        <w:fldChar w:fldCharType="end"/>
      </w:r>
      <w:r>
        <w:rPr>
          <w:sz w:val="24"/>
          <w:szCs w:val="24"/>
        </w:rPr>
        <w:t xml:space="preserve">  (Accessed: 6 July 2026).</w:t>
      </w:r>
    </w:p>
    <w:p w14:paraId="060DE3F7">
      <w:pPr>
        <w:spacing w:line="360" w:lineRule="auto"/>
        <w:jc w:val="both"/>
        <w:rPr>
          <w:sz w:val="24"/>
          <w:szCs w:val="24"/>
        </w:rPr>
      </w:pPr>
      <w:r>
        <w:rPr>
          <w:color w:val="222222"/>
          <w:sz w:val="24"/>
          <w:szCs w:val="24"/>
          <w:highlight w:val="white"/>
        </w:rPr>
        <w:t xml:space="preserve">Garsia, A., </w:t>
      </w:r>
      <w:r>
        <w:rPr>
          <w:color w:val="222222"/>
          <w:sz w:val="24"/>
          <w:szCs w:val="24"/>
          <w:highlight w:val="white"/>
        </w:rPr>
        <w:t>Moinet</w:t>
      </w:r>
      <w:r>
        <w:rPr>
          <w:color w:val="222222"/>
          <w:sz w:val="24"/>
          <w:szCs w:val="24"/>
          <w:highlight w:val="white"/>
        </w:rPr>
        <w:t xml:space="preserve">, A., Vazquez, C., Creamer, R.E. and </w:t>
      </w:r>
      <w:r>
        <w:rPr>
          <w:color w:val="222222"/>
          <w:sz w:val="24"/>
          <w:szCs w:val="24"/>
          <w:highlight w:val="white"/>
        </w:rPr>
        <w:t>Moinet</w:t>
      </w:r>
      <w:r>
        <w:rPr>
          <w:color w:val="222222"/>
          <w:sz w:val="24"/>
          <w:szCs w:val="24"/>
          <w:highlight w:val="white"/>
        </w:rPr>
        <w:t xml:space="preserve">, G.Y., (2023). The challenge of selecting an appropriate soil organic carbon simulation model: A comprehensive global review and validation assessment. </w:t>
      </w:r>
      <w:r>
        <w:rPr>
          <w:i/>
          <w:iCs/>
          <w:color w:val="222222"/>
          <w:sz w:val="24"/>
          <w:szCs w:val="24"/>
          <w:highlight w:val="white"/>
        </w:rPr>
        <w:t>Global Change Biology</w:t>
      </w:r>
      <w:r>
        <w:rPr>
          <w:color w:val="222222"/>
          <w:sz w:val="24"/>
          <w:szCs w:val="24"/>
          <w:highlight w:val="white"/>
        </w:rPr>
        <w:t xml:space="preserve">, </w:t>
      </w:r>
      <w:r>
        <w:rPr>
          <w:i/>
          <w:iCs/>
          <w:color w:val="222222"/>
          <w:sz w:val="24"/>
          <w:szCs w:val="24"/>
          <w:highlight w:val="white"/>
        </w:rPr>
        <w:t>29</w:t>
      </w:r>
      <w:r>
        <w:rPr>
          <w:color w:val="222222"/>
          <w:sz w:val="24"/>
          <w:szCs w:val="24"/>
          <w:highlight w:val="white"/>
        </w:rPr>
        <w:t>(20), pp.5760-5774.</w:t>
      </w:r>
      <w:r>
        <w:rPr>
          <w:sz w:val="24"/>
          <w:szCs w:val="24"/>
        </w:rPr>
        <w:t xml:space="preserve"> </w:t>
      </w:r>
      <w:r>
        <w:fldChar w:fldCharType="begin"/>
      </w:r>
      <w:r>
        <w:instrText xml:space="preserve"> HYPERLINK "https://onlinelibrary.wiley.com/doi/pdf/10.1111/gcb.16896" \h </w:instrText>
      </w:r>
      <w:r>
        <w:fldChar w:fldCharType="separate"/>
      </w:r>
      <w:r>
        <w:rPr>
          <w:color w:val="1155CC"/>
          <w:sz w:val="24"/>
          <w:szCs w:val="24"/>
          <w:u w:val="single"/>
        </w:rPr>
        <w:t>https://onlinelibrary.wiley.com/doi/pdf/10.1111/gcb.16896</w:t>
      </w:r>
      <w:r>
        <w:rPr>
          <w:color w:val="1155CC"/>
          <w:sz w:val="24"/>
          <w:szCs w:val="24"/>
          <w:u w:val="single"/>
        </w:rPr>
        <w:fldChar w:fldCharType="end"/>
      </w:r>
    </w:p>
    <w:p w14:paraId="5DEF20CB">
      <w:pPr>
        <w:spacing w:line="360" w:lineRule="auto"/>
        <w:jc w:val="both"/>
        <w:rPr>
          <w:sz w:val="24"/>
          <w:szCs w:val="24"/>
        </w:rPr>
      </w:pPr>
      <w:r>
        <w:rPr>
          <w:color w:val="222222"/>
          <w:sz w:val="24"/>
          <w:szCs w:val="24"/>
          <w:highlight w:val="white"/>
        </w:rPr>
        <w:t>Georgakoudis</w:t>
      </w:r>
      <w:r>
        <w:rPr>
          <w:color w:val="222222"/>
          <w:sz w:val="24"/>
          <w:szCs w:val="24"/>
          <w:highlight w:val="white"/>
        </w:rPr>
        <w:t xml:space="preserve">, E.D., </w:t>
      </w:r>
      <w:r>
        <w:rPr>
          <w:color w:val="222222"/>
          <w:sz w:val="24"/>
          <w:szCs w:val="24"/>
          <w:highlight w:val="white"/>
        </w:rPr>
        <w:t>Pechlivanidou</w:t>
      </w:r>
      <w:r>
        <w:rPr>
          <w:color w:val="222222"/>
          <w:sz w:val="24"/>
          <w:szCs w:val="24"/>
          <w:highlight w:val="white"/>
        </w:rPr>
        <w:t xml:space="preserve">, G.G. and Tipi, N.S., (2025). Sustainable packaging design: Packaging optimization and material reduction for environmental protection and economic benefits to industry and society. </w:t>
      </w:r>
      <w:r>
        <w:rPr>
          <w:i/>
          <w:iCs/>
          <w:color w:val="222222"/>
          <w:sz w:val="24"/>
          <w:szCs w:val="24"/>
          <w:highlight w:val="white"/>
        </w:rPr>
        <w:t>Applied Sciences</w:t>
      </w:r>
      <w:r>
        <w:rPr>
          <w:color w:val="222222"/>
          <w:sz w:val="24"/>
          <w:szCs w:val="24"/>
          <w:highlight w:val="white"/>
        </w:rPr>
        <w:t xml:space="preserve">, </w:t>
      </w:r>
      <w:r>
        <w:rPr>
          <w:i/>
          <w:iCs/>
          <w:color w:val="222222"/>
          <w:sz w:val="24"/>
          <w:szCs w:val="24"/>
          <w:highlight w:val="white"/>
        </w:rPr>
        <w:t>15</w:t>
      </w:r>
      <w:r>
        <w:rPr>
          <w:color w:val="222222"/>
          <w:sz w:val="24"/>
          <w:szCs w:val="24"/>
          <w:highlight w:val="white"/>
        </w:rPr>
        <w:t>(15), p.8289.</w:t>
      </w:r>
      <w:r>
        <w:rPr>
          <w:sz w:val="24"/>
          <w:szCs w:val="24"/>
        </w:rPr>
        <w:t xml:space="preserve"> </w:t>
      </w:r>
      <w:r>
        <w:fldChar w:fldCharType="begin"/>
      </w:r>
      <w:r>
        <w:instrText xml:space="preserve"> HYPERLINK "https://www.mdpi.com/2076-3417/15/15/8289" \h </w:instrText>
      </w:r>
      <w:r>
        <w:fldChar w:fldCharType="separate"/>
      </w:r>
      <w:r>
        <w:rPr>
          <w:color w:val="1155CC"/>
          <w:sz w:val="24"/>
          <w:szCs w:val="24"/>
          <w:u w:val="single"/>
        </w:rPr>
        <w:t>https://www.mdpi.com/2076-3417/15/15/8289</w:t>
      </w:r>
      <w:r>
        <w:rPr>
          <w:color w:val="1155CC"/>
          <w:sz w:val="24"/>
          <w:szCs w:val="24"/>
          <w:u w:val="single"/>
        </w:rPr>
        <w:fldChar w:fldCharType="end"/>
      </w:r>
    </w:p>
    <w:p w14:paraId="39C9F013">
      <w:pPr>
        <w:spacing w:line="360" w:lineRule="auto"/>
        <w:jc w:val="both"/>
        <w:rPr>
          <w:sz w:val="24"/>
          <w:szCs w:val="24"/>
        </w:rPr>
      </w:pPr>
      <w:r>
        <w:rPr>
          <w:sz w:val="24"/>
          <w:szCs w:val="24"/>
        </w:rPr>
        <w:t xml:space="preserve">global.toyota. (2026). Overview: Profile: Company, Toyota Motor Corporation Official Global Website. Available at: </w:t>
      </w:r>
      <w:r>
        <w:fldChar w:fldCharType="begin"/>
      </w:r>
      <w:r>
        <w:instrText xml:space="preserve"> HYPERLINK "https://global.toyota/en/company/profile/overview/" \h </w:instrText>
      </w:r>
      <w:r>
        <w:fldChar w:fldCharType="separate"/>
      </w:r>
      <w:r>
        <w:rPr>
          <w:color w:val="1155CC"/>
          <w:sz w:val="24"/>
          <w:szCs w:val="24"/>
          <w:u w:val="single"/>
        </w:rPr>
        <w:t>https://global.toyota/en/company/profile/overview/</w:t>
      </w:r>
      <w:r>
        <w:rPr>
          <w:color w:val="1155CC"/>
          <w:sz w:val="24"/>
          <w:szCs w:val="24"/>
          <w:u w:val="single"/>
        </w:rPr>
        <w:fldChar w:fldCharType="end"/>
      </w:r>
      <w:r>
        <w:rPr>
          <w:sz w:val="24"/>
          <w:szCs w:val="24"/>
        </w:rPr>
        <w:t xml:space="preserve">  (Accessed: 8 August 2026).</w:t>
      </w:r>
    </w:p>
    <w:p w14:paraId="130BEB10">
      <w:pPr>
        <w:spacing w:line="360" w:lineRule="auto"/>
        <w:jc w:val="both"/>
        <w:rPr>
          <w:sz w:val="24"/>
          <w:szCs w:val="24"/>
        </w:rPr>
      </w:pPr>
      <w:r>
        <w:rPr>
          <w:color w:val="222222"/>
          <w:sz w:val="24"/>
          <w:szCs w:val="24"/>
          <w:highlight w:val="white"/>
        </w:rPr>
        <w:t>Gomes, I.D.M., (2023). Internationalisation of firm f: in-depth analysis of Singapore.</w:t>
      </w:r>
      <w:r>
        <w:rPr>
          <w:sz w:val="24"/>
          <w:szCs w:val="24"/>
        </w:rPr>
        <w:t xml:space="preserve"> </w:t>
      </w:r>
      <w:r>
        <w:fldChar w:fldCharType="begin"/>
      </w:r>
      <w:r>
        <w:instrText xml:space="preserve"> HYPERLINK "https://run.unl.pt/bitstreams/394f19ec-7693-4a6a-996e-4b7c4344d63e/download" \h </w:instrText>
      </w:r>
      <w:r>
        <w:fldChar w:fldCharType="separate"/>
      </w:r>
      <w:r>
        <w:rPr>
          <w:color w:val="1155CC"/>
          <w:sz w:val="24"/>
          <w:szCs w:val="24"/>
          <w:u w:val="single"/>
        </w:rPr>
        <w:t>https://run.unl.pt/bitstreams/394f19ec-7693-4a6a-996e-4b7c4344d63e/download</w:t>
      </w:r>
      <w:r>
        <w:rPr>
          <w:color w:val="1155CC"/>
          <w:sz w:val="24"/>
          <w:szCs w:val="24"/>
          <w:u w:val="single"/>
        </w:rPr>
        <w:fldChar w:fldCharType="end"/>
      </w:r>
    </w:p>
    <w:p w14:paraId="4B457657">
      <w:pPr>
        <w:spacing w:line="360" w:lineRule="auto"/>
        <w:jc w:val="both"/>
        <w:rPr>
          <w:sz w:val="24"/>
          <w:szCs w:val="24"/>
        </w:rPr>
      </w:pPr>
      <w:r>
        <w:rPr>
          <w:sz w:val="24"/>
          <w:szCs w:val="24"/>
        </w:rPr>
        <w:t xml:space="preserve">Graham, J.D. and Brungard, E., (2022) Affordable electric vehicles: Their role in meeting the US contribution to the Paris climate goals. </w:t>
      </w:r>
      <w:r>
        <w:rPr>
          <w:i/>
          <w:iCs/>
          <w:sz w:val="24"/>
          <w:szCs w:val="24"/>
        </w:rPr>
        <w:t>Frontiers in Environmental Science, 10</w:t>
      </w:r>
      <w:r>
        <w:rPr>
          <w:sz w:val="24"/>
          <w:szCs w:val="24"/>
        </w:rPr>
        <w:t>, p.962942.</w:t>
      </w:r>
      <w:r>
        <w:fldChar w:fldCharType="begin"/>
      </w:r>
      <w:r>
        <w:instrText xml:space="preserve"> HYPERLINK "https://www.frontiersin.org/journals/environmental-science/articles/10.3389/fenvs.2022.962942/pdf" \h </w:instrText>
      </w:r>
      <w:r>
        <w:fldChar w:fldCharType="separate"/>
      </w:r>
      <w:r>
        <w:rPr>
          <w:color w:val="1155CC"/>
          <w:sz w:val="24"/>
          <w:szCs w:val="24"/>
          <w:u w:val="single"/>
        </w:rPr>
        <w:t>https://www.frontiersin.org/journals/environmental-science/articles/10.3389/fenvs.2022.962942/pdf</w:t>
      </w:r>
      <w:r>
        <w:rPr>
          <w:color w:val="1155CC"/>
          <w:sz w:val="24"/>
          <w:szCs w:val="24"/>
          <w:u w:val="single"/>
        </w:rPr>
        <w:fldChar w:fldCharType="end"/>
      </w:r>
    </w:p>
    <w:p w14:paraId="42D9C3EB">
      <w:pPr>
        <w:spacing w:line="360" w:lineRule="auto"/>
        <w:jc w:val="both"/>
        <w:rPr>
          <w:sz w:val="24"/>
          <w:szCs w:val="24"/>
        </w:rPr>
      </w:pPr>
      <w:r>
        <w:rPr>
          <w:sz w:val="24"/>
          <w:szCs w:val="24"/>
        </w:rPr>
        <w:t xml:space="preserve">Hartoyo, H., Manalu, E., Sumarwan, U. and Nurhayati, P., (2023). Driving success: A segmentation of customer admiration in automotive industry. </w:t>
      </w:r>
      <w:r>
        <w:rPr>
          <w:i/>
          <w:iCs/>
          <w:sz w:val="24"/>
          <w:szCs w:val="24"/>
        </w:rPr>
        <w:t>Journal of Open Innovation: Technology, Market, and Complexity, 9</w:t>
      </w:r>
      <w:r>
        <w:rPr>
          <w:sz w:val="24"/>
          <w:szCs w:val="24"/>
        </w:rPr>
        <w:t>(2), p.100031.</w:t>
      </w:r>
      <w:r>
        <w:fldChar w:fldCharType="begin"/>
      </w:r>
      <w:r>
        <w:instrText xml:space="preserve"> HYPERLINK "https://www.sciencedirect.com/science/article/pii/S2199853123001336" \h </w:instrText>
      </w:r>
      <w:r>
        <w:fldChar w:fldCharType="separate"/>
      </w:r>
      <w:r>
        <w:rPr>
          <w:color w:val="1155CC"/>
          <w:sz w:val="24"/>
          <w:szCs w:val="24"/>
          <w:u w:val="single"/>
        </w:rPr>
        <w:t>https://www.sciencedirect.com/science/article/pii/S2199853123001336</w:t>
      </w:r>
      <w:r>
        <w:rPr>
          <w:color w:val="1155CC"/>
          <w:sz w:val="24"/>
          <w:szCs w:val="24"/>
          <w:u w:val="single"/>
        </w:rPr>
        <w:fldChar w:fldCharType="end"/>
      </w:r>
    </w:p>
    <w:p w14:paraId="373DDFD2">
      <w:pPr>
        <w:spacing w:line="360" w:lineRule="auto"/>
        <w:jc w:val="both"/>
        <w:rPr>
          <w:sz w:val="24"/>
          <w:szCs w:val="24"/>
        </w:rPr>
      </w:pPr>
      <w:r>
        <w:rPr>
          <w:color w:val="222222"/>
          <w:sz w:val="24"/>
          <w:szCs w:val="24"/>
          <w:highlight w:val="white"/>
        </w:rPr>
        <w:t xml:space="preserve">Hassan, Q., Azzawi, I.D., Sameen, A.Z. and Salman, H.M., (2023). Hydrogen fuel cell vehicles: Opportunities and challenges. </w:t>
      </w:r>
      <w:r>
        <w:rPr>
          <w:i/>
          <w:iCs/>
          <w:color w:val="222222"/>
          <w:sz w:val="24"/>
          <w:szCs w:val="24"/>
          <w:highlight w:val="white"/>
        </w:rPr>
        <w:t>Sustainability</w:t>
      </w:r>
      <w:r>
        <w:rPr>
          <w:color w:val="222222"/>
          <w:sz w:val="24"/>
          <w:szCs w:val="24"/>
          <w:highlight w:val="white"/>
        </w:rPr>
        <w:t xml:space="preserve">, </w:t>
      </w:r>
      <w:r>
        <w:rPr>
          <w:i/>
          <w:iCs/>
          <w:color w:val="222222"/>
          <w:sz w:val="24"/>
          <w:szCs w:val="24"/>
          <w:highlight w:val="white"/>
        </w:rPr>
        <w:t>15</w:t>
      </w:r>
      <w:r>
        <w:rPr>
          <w:color w:val="222222"/>
          <w:sz w:val="24"/>
          <w:szCs w:val="24"/>
          <w:highlight w:val="white"/>
        </w:rPr>
        <w:t>(15), p.11501.</w:t>
      </w:r>
      <w:r>
        <w:rPr>
          <w:sz w:val="24"/>
          <w:szCs w:val="24"/>
        </w:rPr>
        <w:t xml:space="preserve"> </w:t>
      </w:r>
      <w:r>
        <w:fldChar w:fldCharType="begin"/>
      </w:r>
      <w:r>
        <w:instrText xml:space="preserve"> HYPERLINK "https://www.mdpi.com/2071-1050/15/15/11501" \h </w:instrText>
      </w:r>
      <w:r>
        <w:fldChar w:fldCharType="separate"/>
      </w:r>
      <w:r>
        <w:rPr>
          <w:color w:val="1155CC"/>
          <w:sz w:val="24"/>
          <w:szCs w:val="24"/>
          <w:u w:val="single"/>
        </w:rPr>
        <w:t>https://www.mdpi.com/2071-1050/15/15/11501</w:t>
      </w:r>
      <w:r>
        <w:rPr>
          <w:color w:val="1155CC"/>
          <w:sz w:val="24"/>
          <w:szCs w:val="24"/>
          <w:u w:val="single"/>
        </w:rPr>
        <w:fldChar w:fldCharType="end"/>
      </w:r>
    </w:p>
    <w:p w14:paraId="5BC03FC6">
      <w:pPr>
        <w:spacing w:line="360" w:lineRule="auto"/>
        <w:jc w:val="both"/>
        <w:rPr>
          <w:sz w:val="24"/>
          <w:szCs w:val="24"/>
        </w:rPr>
      </w:pPr>
      <w:r>
        <w:rPr>
          <w:color w:val="222222"/>
          <w:sz w:val="24"/>
          <w:szCs w:val="24"/>
          <w:highlight w:val="white"/>
        </w:rPr>
        <w:t>Jelti</w:t>
      </w:r>
      <w:r>
        <w:rPr>
          <w:color w:val="222222"/>
          <w:sz w:val="24"/>
          <w:szCs w:val="24"/>
          <w:highlight w:val="white"/>
        </w:rPr>
        <w:t xml:space="preserve">, F., </w:t>
      </w:r>
      <w:r>
        <w:rPr>
          <w:color w:val="222222"/>
          <w:sz w:val="24"/>
          <w:szCs w:val="24"/>
          <w:highlight w:val="white"/>
        </w:rPr>
        <w:t>Allouhi</w:t>
      </w:r>
      <w:r>
        <w:rPr>
          <w:color w:val="222222"/>
          <w:sz w:val="24"/>
          <w:szCs w:val="24"/>
          <w:highlight w:val="white"/>
        </w:rPr>
        <w:t xml:space="preserve">, A. and </w:t>
      </w:r>
      <w:r>
        <w:rPr>
          <w:color w:val="222222"/>
          <w:sz w:val="24"/>
          <w:szCs w:val="24"/>
          <w:highlight w:val="white"/>
        </w:rPr>
        <w:t>Tabet</w:t>
      </w:r>
      <w:r>
        <w:rPr>
          <w:color w:val="222222"/>
          <w:sz w:val="24"/>
          <w:szCs w:val="24"/>
          <w:highlight w:val="white"/>
        </w:rPr>
        <w:t xml:space="preserve"> </w:t>
      </w:r>
      <w:r>
        <w:rPr>
          <w:color w:val="222222"/>
          <w:sz w:val="24"/>
          <w:szCs w:val="24"/>
          <w:highlight w:val="white"/>
        </w:rPr>
        <w:t>Aoul</w:t>
      </w:r>
      <w:r>
        <w:rPr>
          <w:color w:val="222222"/>
          <w:sz w:val="24"/>
          <w:szCs w:val="24"/>
          <w:highlight w:val="white"/>
        </w:rPr>
        <w:t xml:space="preserve">, K.A., (2023). Transition paths towards a sustainable transportation system: a literature review. </w:t>
      </w:r>
      <w:r>
        <w:rPr>
          <w:i/>
          <w:iCs/>
          <w:color w:val="222222"/>
          <w:sz w:val="24"/>
          <w:szCs w:val="24"/>
          <w:highlight w:val="white"/>
        </w:rPr>
        <w:t>Sustainability</w:t>
      </w:r>
      <w:r>
        <w:rPr>
          <w:color w:val="222222"/>
          <w:sz w:val="24"/>
          <w:szCs w:val="24"/>
          <w:highlight w:val="white"/>
        </w:rPr>
        <w:t xml:space="preserve">, </w:t>
      </w:r>
      <w:r>
        <w:rPr>
          <w:i/>
          <w:iCs/>
          <w:color w:val="222222"/>
          <w:sz w:val="24"/>
          <w:szCs w:val="24"/>
          <w:highlight w:val="white"/>
        </w:rPr>
        <w:t>15</w:t>
      </w:r>
      <w:r>
        <w:rPr>
          <w:color w:val="222222"/>
          <w:sz w:val="24"/>
          <w:szCs w:val="24"/>
          <w:highlight w:val="white"/>
        </w:rPr>
        <w:t>(21), p.15457.</w:t>
      </w:r>
      <w:r>
        <w:rPr>
          <w:sz w:val="24"/>
          <w:szCs w:val="24"/>
        </w:rPr>
        <w:t xml:space="preserve"> </w:t>
      </w:r>
      <w:r>
        <w:fldChar w:fldCharType="begin"/>
      </w:r>
      <w:r>
        <w:instrText xml:space="preserve"> HYPERLINK "https://www.mdpi.com/2071-1050/15/21/15457" \h </w:instrText>
      </w:r>
      <w:r>
        <w:fldChar w:fldCharType="separate"/>
      </w:r>
      <w:r>
        <w:rPr>
          <w:color w:val="1155CC"/>
          <w:sz w:val="24"/>
          <w:szCs w:val="24"/>
          <w:u w:val="single"/>
        </w:rPr>
        <w:t>https://www.mdpi.com/2071-1050/15/21/15457</w:t>
      </w:r>
      <w:r>
        <w:rPr>
          <w:color w:val="1155CC"/>
          <w:sz w:val="24"/>
          <w:szCs w:val="24"/>
          <w:u w:val="single"/>
        </w:rPr>
        <w:fldChar w:fldCharType="end"/>
      </w:r>
    </w:p>
    <w:p w14:paraId="795B6984">
      <w:pPr>
        <w:spacing w:line="360" w:lineRule="auto"/>
        <w:jc w:val="both"/>
        <w:rPr>
          <w:sz w:val="24"/>
          <w:szCs w:val="24"/>
        </w:rPr>
      </w:pPr>
      <w:r>
        <w:rPr>
          <w:color w:val="222222"/>
          <w:sz w:val="24"/>
          <w:szCs w:val="24"/>
          <w:highlight w:val="white"/>
        </w:rPr>
        <w:t xml:space="preserve">Kabir, M., Rana, M.R.H. and Debnath, A., (2024). The role of quality assurance in accelerating pharmaceutical research and development: strategies for ensuring </w:t>
      </w:r>
      <w:r>
        <w:rPr>
          <w:color w:val="222222"/>
          <w:sz w:val="24"/>
          <w:szCs w:val="24"/>
          <w:highlight w:val="white"/>
        </w:rPr>
        <w:t xml:space="preserve">regulatory compliance and product integrity. </w:t>
      </w:r>
      <w:r>
        <w:rPr>
          <w:i/>
          <w:iCs/>
          <w:color w:val="222222"/>
          <w:sz w:val="24"/>
          <w:szCs w:val="24"/>
          <w:highlight w:val="white"/>
        </w:rPr>
        <w:t xml:space="preserve">Journal of </w:t>
      </w:r>
      <w:r>
        <w:rPr>
          <w:i/>
          <w:iCs/>
          <w:color w:val="222222"/>
          <w:sz w:val="24"/>
          <w:szCs w:val="24"/>
          <w:highlight w:val="white"/>
        </w:rPr>
        <w:t>Angiotherapy</w:t>
      </w:r>
      <w:r>
        <w:rPr>
          <w:color w:val="222222"/>
          <w:sz w:val="24"/>
          <w:szCs w:val="24"/>
          <w:highlight w:val="white"/>
        </w:rPr>
        <w:t xml:space="preserve">, </w:t>
      </w:r>
      <w:r>
        <w:rPr>
          <w:i/>
          <w:iCs/>
          <w:color w:val="222222"/>
          <w:sz w:val="24"/>
          <w:szCs w:val="24"/>
          <w:highlight w:val="white"/>
        </w:rPr>
        <w:t>8</w:t>
      </w:r>
      <w:r>
        <w:rPr>
          <w:color w:val="222222"/>
          <w:sz w:val="24"/>
          <w:szCs w:val="24"/>
          <w:highlight w:val="white"/>
        </w:rPr>
        <w:t>(12), pp.1-11.</w:t>
      </w:r>
      <w:r>
        <w:rPr>
          <w:sz w:val="24"/>
          <w:szCs w:val="24"/>
        </w:rPr>
        <w:t xml:space="preserve"> </w:t>
      </w:r>
      <w:r>
        <w:fldChar w:fldCharType="begin"/>
      </w:r>
      <w:r>
        <w:instrText xml:space="preserve"> HYPERLINK "https://publishing.emanresearch.org/CurrentIssuePDF/EmanPublisher_1_5837angiotherapy-81210102.pdf" \h </w:instrText>
      </w:r>
      <w:r>
        <w:fldChar w:fldCharType="separate"/>
      </w:r>
      <w:r>
        <w:rPr>
          <w:color w:val="1155CC"/>
          <w:sz w:val="24"/>
          <w:szCs w:val="24"/>
          <w:u w:val="single"/>
        </w:rPr>
        <w:t>https://publishing.emanresearch.org/CurrentIssuePDF/EmanPublisher_1_5837angiotherapy-81210102.pdf</w:t>
      </w:r>
      <w:r>
        <w:rPr>
          <w:color w:val="1155CC"/>
          <w:sz w:val="24"/>
          <w:szCs w:val="24"/>
          <w:u w:val="single"/>
        </w:rPr>
        <w:fldChar w:fldCharType="end"/>
      </w:r>
    </w:p>
    <w:p w14:paraId="42EBDDF2">
      <w:pPr>
        <w:spacing w:line="360" w:lineRule="auto"/>
        <w:jc w:val="both"/>
        <w:rPr>
          <w:sz w:val="24"/>
          <w:szCs w:val="24"/>
        </w:rPr>
      </w:pPr>
      <w:r>
        <w:rPr>
          <w:sz w:val="24"/>
          <w:szCs w:val="24"/>
        </w:rPr>
        <w:t xml:space="preserve">Kanike, U.K., (2023). Factors disrupting supply chain management in manufacturing industries. </w:t>
      </w:r>
      <w:r>
        <w:rPr>
          <w:i/>
          <w:iCs/>
          <w:sz w:val="24"/>
          <w:szCs w:val="24"/>
        </w:rPr>
        <w:t>Journal of Supply Chain Management Science, 4</w:t>
      </w:r>
      <w:r>
        <w:rPr>
          <w:sz w:val="24"/>
          <w:szCs w:val="24"/>
        </w:rPr>
        <w:t>(1-2), pp.1-24.</w:t>
      </w:r>
      <w:r>
        <w:fldChar w:fldCharType="begin"/>
      </w:r>
      <w:r>
        <w:instrText xml:space="preserve"> HYPERLINK "https://journals.open.tudelft.nl/jscms/article/download/6986/5614" \h </w:instrText>
      </w:r>
      <w:r>
        <w:fldChar w:fldCharType="separate"/>
      </w:r>
      <w:r>
        <w:rPr>
          <w:color w:val="1155CC"/>
          <w:sz w:val="24"/>
          <w:szCs w:val="24"/>
          <w:u w:val="single"/>
        </w:rPr>
        <w:t>https://journals.open.tudelft.nl/jscms/article/download/6986/5614</w:t>
      </w:r>
      <w:r>
        <w:rPr>
          <w:color w:val="1155CC"/>
          <w:sz w:val="24"/>
          <w:szCs w:val="24"/>
          <w:u w:val="single"/>
        </w:rPr>
        <w:fldChar w:fldCharType="end"/>
      </w:r>
    </w:p>
    <w:p w14:paraId="6DAE6374">
      <w:pPr>
        <w:spacing w:line="360" w:lineRule="auto"/>
        <w:jc w:val="both"/>
        <w:rPr>
          <w:sz w:val="24"/>
          <w:szCs w:val="24"/>
        </w:rPr>
      </w:pPr>
      <w:r>
        <w:rPr>
          <w:sz w:val="24"/>
          <w:szCs w:val="24"/>
        </w:rPr>
        <w:t>Kobrin, S.J., (2022). Managing political risk assessment:</w:t>
      </w:r>
      <w:r>
        <w:rPr>
          <w:i/>
          <w:iCs/>
          <w:sz w:val="24"/>
          <w:szCs w:val="24"/>
        </w:rPr>
        <w:t xml:space="preserve"> Strategic response to environmental change</w:t>
      </w:r>
      <w:r>
        <w:rPr>
          <w:sz w:val="24"/>
          <w:szCs w:val="24"/>
        </w:rPr>
        <w:t>. Univ of California Press.</w:t>
      </w:r>
      <w:r>
        <w:fldChar w:fldCharType="begin"/>
      </w:r>
      <w:r>
        <w:instrText xml:space="preserve"> HYPERLINK "https://books.google.com/books?hl=en&amp;lr=&amp;id=kKxhEAAAQBAJ&amp;oi=fnd&amp;pg=PR11&amp;dq=There+is+a+growing+political+risk+uncertainty+in+the+U.S.+regarding+the+potential+changes+in+trade+and+environmental+regulations,+whereas+there+is+more+potential+market+size+in+the+U.S&amp;ots=gvvWVVZe7e&amp;sig=39bjorpnkxvFBps9-WG7xcvVoio" \h </w:instrText>
      </w:r>
      <w:r>
        <w:fldChar w:fldCharType="separate"/>
      </w:r>
      <w:r>
        <w:rPr>
          <w:color w:val="1155CC"/>
          <w:sz w:val="24"/>
          <w:szCs w:val="24"/>
          <w:u w:val="single"/>
        </w:rPr>
        <w:t>https://books.google.com/books?hl=en&amp;lr=&amp;id=kKxhEAAAQBAJ&amp;oi=fnd&amp;pg=PR11&amp;dq=There+is+a+growing+political+risk+uncertainty+in+the+U.S.+regarding+the+potential+changes+in+trade+and+environmental+regulations,+whereas+there+is+more+potential+market+size+in+the+U.S&amp;ots=gvvWVVZe7e&amp;sig=39bjorpnkxvFBps9-WG7xcvVoio</w:t>
      </w:r>
      <w:r>
        <w:rPr>
          <w:color w:val="1155CC"/>
          <w:sz w:val="24"/>
          <w:szCs w:val="24"/>
          <w:u w:val="single"/>
        </w:rPr>
        <w:fldChar w:fldCharType="end"/>
      </w:r>
    </w:p>
    <w:p w14:paraId="562A5179">
      <w:pPr>
        <w:spacing w:line="360" w:lineRule="auto"/>
        <w:jc w:val="both"/>
        <w:rPr>
          <w:sz w:val="24"/>
          <w:szCs w:val="24"/>
        </w:rPr>
      </w:pPr>
      <w:r>
        <w:rPr>
          <w:color w:val="222222"/>
          <w:sz w:val="24"/>
          <w:szCs w:val="24"/>
          <w:highlight w:val="white"/>
        </w:rPr>
        <w:t xml:space="preserve">Kyambade, M., Nkurunziza, G., Namatovu, A., Tushabe, M. and </w:t>
      </w:r>
      <w:r>
        <w:rPr>
          <w:color w:val="222222"/>
          <w:sz w:val="24"/>
          <w:szCs w:val="24"/>
          <w:highlight w:val="white"/>
        </w:rPr>
        <w:t>Kwemarira</w:t>
      </w:r>
      <w:r>
        <w:rPr>
          <w:color w:val="222222"/>
          <w:sz w:val="24"/>
          <w:szCs w:val="24"/>
          <w:highlight w:val="white"/>
        </w:rPr>
        <w:t>, G., (2025). Enhancing critical thinking and ethical decision-making through learner-</w:t>
      </w:r>
      <w:r>
        <w:rPr>
          <w:color w:val="222222"/>
          <w:sz w:val="24"/>
          <w:szCs w:val="24"/>
          <w:highlight w:val="white"/>
        </w:rPr>
        <w:t>centered</w:t>
      </w:r>
      <w:r>
        <w:rPr>
          <w:color w:val="222222"/>
          <w:sz w:val="24"/>
          <w:szCs w:val="24"/>
          <w:highlight w:val="white"/>
        </w:rPr>
        <w:t xml:space="preserve"> strategies in business education. </w:t>
      </w:r>
      <w:r>
        <w:rPr>
          <w:i/>
          <w:iCs/>
          <w:color w:val="222222"/>
          <w:sz w:val="24"/>
          <w:szCs w:val="24"/>
          <w:highlight w:val="white"/>
        </w:rPr>
        <w:t>Cogent Education</w:t>
      </w:r>
      <w:r>
        <w:rPr>
          <w:color w:val="222222"/>
          <w:sz w:val="24"/>
          <w:szCs w:val="24"/>
          <w:highlight w:val="white"/>
        </w:rPr>
        <w:t xml:space="preserve">, </w:t>
      </w:r>
      <w:r>
        <w:rPr>
          <w:i/>
          <w:iCs/>
          <w:color w:val="222222"/>
          <w:sz w:val="24"/>
          <w:szCs w:val="24"/>
          <w:highlight w:val="white"/>
        </w:rPr>
        <w:t>12</w:t>
      </w:r>
      <w:r>
        <w:rPr>
          <w:color w:val="222222"/>
          <w:sz w:val="24"/>
          <w:szCs w:val="24"/>
          <w:highlight w:val="white"/>
        </w:rPr>
        <w:t>(1), p.2588420.</w:t>
      </w:r>
      <w:r>
        <w:rPr>
          <w:sz w:val="24"/>
          <w:szCs w:val="24"/>
        </w:rPr>
        <w:t xml:space="preserve"> </w:t>
      </w:r>
      <w:r>
        <w:fldChar w:fldCharType="begin"/>
      </w:r>
      <w:r>
        <w:instrText xml:space="preserve"> HYPERLINK "https://www.tandfonline.com/doi/pdf/10.1080/2331186X.2025.2588420" \h </w:instrText>
      </w:r>
      <w:r>
        <w:fldChar w:fldCharType="separate"/>
      </w:r>
      <w:r>
        <w:rPr>
          <w:color w:val="1155CC"/>
          <w:sz w:val="24"/>
          <w:szCs w:val="24"/>
          <w:u w:val="single"/>
        </w:rPr>
        <w:t>https://www.tandfonline.com/doi/pdf/10.1080/2331186X.2025.2588420</w:t>
      </w:r>
      <w:r>
        <w:rPr>
          <w:color w:val="1155CC"/>
          <w:sz w:val="24"/>
          <w:szCs w:val="24"/>
          <w:u w:val="single"/>
        </w:rPr>
        <w:fldChar w:fldCharType="end"/>
      </w:r>
    </w:p>
    <w:p w14:paraId="3084845F">
      <w:pPr>
        <w:spacing w:line="360" w:lineRule="auto"/>
        <w:jc w:val="both"/>
        <w:rPr>
          <w:sz w:val="24"/>
          <w:szCs w:val="24"/>
        </w:rPr>
      </w:pPr>
      <w:r>
        <w:rPr>
          <w:color w:val="222222"/>
          <w:sz w:val="24"/>
          <w:szCs w:val="24"/>
          <w:highlight w:val="white"/>
        </w:rPr>
        <w:t xml:space="preserve">Lim, L.R. and Tan, A.W.K., (2024). Integrating </w:t>
      </w:r>
      <w:r>
        <w:rPr>
          <w:color w:val="222222"/>
          <w:sz w:val="24"/>
          <w:szCs w:val="24"/>
          <w:highlight w:val="white"/>
        </w:rPr>
        <w:t>toyota</w:t>
      </w:r>
      <w:r>
        <w:rPr>
          <w:color w:val="222222"/>
          <w:sz w:val="24"/>
          <w:szCs w:val="24"/>
          <w:highlight w:val="white"/>
        </w:rPr>
        <w:t xml:space="preserve"> production system for sustainability and competitive advantage in medical device software design. </w:t>
      </w:r>
      <w:r>
        <w:rPr>
          <w:i/>
          <w:iCs/>
          <w:color w:val="222222"/>
          <w:sz w:val="24"/>
          <w:szCs w:val="24"/>
          <w:highlight w:val="white"/>
        </w:rPr>
        <w:t>Green Manufacturing Open</w:t>
      </w:r>
      <w:r>
        <w:rPr>
          <w:color w:val="222222"/>
          <w:sz w:val="24"/>
          <w:szCs w:val="24"/>
          <w:highlight w:val="white"/>
        </w:rPr>
        <w:t xml:space="preserve">, </w:t>
      </w:r>
      <w:r>
        <w:rPr>
          <w:i/>
          <w:iCs/>
          <w:color w:val="222222"/>
          <w:sz w:val="24"/>
          <w:szCs w:val="24"/>
          <w:highlight w:val="white"/>
        </w:rPr>
        <w:t>2</w:t>
      </w:r>
      <w:r>
        <w:rPr>
          <w:color w:val="222222"/>
          <w:sz w:val="24"/>
          <w:szCs w:val="24"/>
          <w:highlight w:val="white"/>
        </w:rPr>
        <w:t xml:space="preserve">(3), </w:t>
      </w:r>
      <w:r>
        <w:rPr>
          <w:color w:val="222222"/>
          <w:sz w:val="24"/>
          <w:szCs w:val="24"/>
          <w:highlight w:val="white"/>
        </w:rPr>
        <w:t>pp.N</w:t>
      </w:r>
      <w:r>
        <w:rPr>
          <w:color w:val="222222"/>
          <w:sz w:val="24"/>
          <w:szCs w:val="24"/>
          <w:highlight w:val="white"/>
        </w:rPr>
        <w:t>-A.</w:t>
      </w:r>
      <w:r>
        <w:rPr>
          <w:sz w:val="24"/>
          <w:szCs w:val="24"/>
        </w:rPr>
        <w:t xml:space="preserve"> </w:t>
      </w:r>
      <w:r>
        <w:fldChar w:fldCharType="begin"/>
      </w:r>
      <w:r>
        <w:instrText xml:space="preserve"> HYPERLINK "https://www.oaepublish.com/articles/gmo.2024.051401" \h </w:instrText>
      </w:r>
      <w:r>
        <w:fldChar w:fldCharType="separate"/>
      </w:r>
      <w:r>
        <w:rPr>
          <w:color w:val="1155CC"/>
          <w:sz w:val="24"/>
          <w:szCs w:val="24"/>
          <w:u w:val="single"/>
        </w:rPr>
        <w:t>https://www.oaepublish.com/articles/gmo.2024.051401</w:t>
      </w:r>
      <w:r>
        <w:rPr>
          <w:color w:val="1155CC"/>
          <w:sz w:val="24"/>
          <w:szCs w:val="24"/>
          <w:u w:val="single"/>
        </w:rPr>
        <w:fldChar w:fldCharType="end"/>
      </w:r>
    </w:p>
    <w:p w14:paraId="66D6FC30">
      <w:pPr>
        <w:spacing w:line="360" w:lineRule="auto"/>
        <w:jc w:val="both"/>
        <w:rPr>
          <w:sz w:val="24"/>
          <w:szCs w:val="24"/>
        </w:rPr>
      </w:pPr>
      <w:r>
        <w:rPr>
          <w:color w:val="222222"/>
          <w:sz w:val="24"/>
          <w:szCs w:val="24"/>
          <w:highlight w:val="white"/>
        </w:rPr>
        <w:t xml:space="preserve">Long, T.Q., Morgan, P.J. and Yoshino, N., (2023). Financial literacy, </w:t>
      </w:r>
      <w:r>
        <w:rPr>
          <w:color w:val="222222"/>
          <w:sz w:val="24"/>
          <w:szCs w:val="24"/>
          <w:highlight w:val="white"/>
        </w:rPr>
        <w:t>behavioral</w:t>
      </w:r>
      <w:r>
        <w:rPr>
          <w:color w:val="222222"/>
          <w:sz w:val="24"/>
          <w:szCs w:val="24"/>
          <w:highlight w:val="white"/>
        </w:rPr>
        <w:t xml:space="preserve"> traits, and </w:t>
      </w:r>
      <w:r>
        <w:rPr>
          <w:color w:val="222222"/>
          <w:sz w:val="24"/>
          <w:szCs w:val="24"/>
          <w:highlight w:val="white"/>
        </w:rPr>
        <w:t>ePayment</w:t>
      </w:r>
      <w:r>
        <w:rPr>
          <w:color w:val="222222"/>
          <w:sz w:val="24"/>
          <w:szCs w:val="24"/>
          <w:highlight w:val="white"/>
        </w:rPr>
        <w:t xml:space="preserve"> adoption and usage in Japan. </w:t>
      </w:r>
      <w:r>
        <w:rPr>
          <w:i/>
          <w:iCs/>
          <w:color w:val="222222"/>
          <w:sz w:val="24"/>
          <w:szCs w:val="24"/>
          <w:highlight w:val="white"/>
        </w:rPr>
        <w:t>Financial Innovation</w:t>
      </w:r>
      <w:r>
        <w:rPr>
          <w:color w:val="222222"/>
          <w:sz w:val="24"/>
          <w:szCs w:val="24"/>
          <w:highlight w:val="white"/>
        </w:rPr>
        <w:t xml:space="preserve">, </w:t>
      </w:r>
      <w:r>
        <w:rPr>
          <w:i/>
          <w:iCs/>
          <w:color w:val="222222"/>
          <w:sz w:val="24"/>
          <w:szCs w:val="24"/>
          <w:highlight w:val="white"/>
        </w:rPr>
        <w:t>9</w:t>
      </w:r>
      <w:r>
        <w:rPr>
          <w:color w:val="222222"/>
          <w:sz w:val="24"/>
          <w:szCs w:val="24"/>
          <w:highlight w:val="white"/>
        </w:rPr>
        <w:t>(1), p.101.</w:t>
      </w:r>
      <w:r>
        <w:rPr>
          <w:sz w:val="24"/>
          <w:szCs w:val="24"/>
        </w:rPr>
        <w:t xml:space="preserve"> </w:t>
      </w:r>
      <w:r>
        <w:fldChar w:fldCharType="begin"/>
      </w:r>
      <w:r>
        <w:instrText xml:space="preserve"> HYPERLINK "https://link.springer.com/content/pdf/10.1186/s40854-023-00504-3.pdf" \h </w:instrText>
      </w:r>
      <w:r>
        <w:fldChar w:fldCharType="separate"/>
      </w:r>
      <w:r>
        <w:rPr>
          <w:color w:val="1155CC"/>
          <w:sz w:val="24"/>
          <w:szCs w:val="24"/>
          <w:u w:val="single"/>
        </w:rPr>
        <w:t>https://link.springer.com/content/pdf/10.1186/s40854-023-00504-3.pdf</w:t>
      </w:r>
      <w:r>
        <w:rPr>
          <w:color w:val="1155CC"/>
          <w:sz w:val="24"/>
          <w:szCs w:val="24"/>
          <w:u w:val="single"/>
        </w:rPr>
        <w:fldChar w:fldCharType="end"/>
      </w:r>
    </w:p>
    <w:p w14:paraId="6095A8CF">
      <w:pPr>
        <w:spacing w:line="360" w:lineRule="auto"/>
        <w:jc w:val="both"/>
        <w:rPr>
          <w:sz w:val="24"/>
          <w:szCs w:val="24"/>
        </w:rPr>
      </w:pPr>
      <w:r>
        <w:rPr>
          <w:sz w:val="24"/>
          <w:szCs w:val="24"/>
        </w:rPr>
        <w:t xml:space="preserve">Mateen, S., Haque, A., Khan, M.A. and Ebel, T., (2025). Unveiling cutting-edge innovations toward green vehicle technology. </w:t>
      </w:r>
      <w:r>
        <w:rPr>
          <w:i/>
          <w:iCs/>
          <w:sz w:val="24"/>
          <w:szCs w:val="24"/>
        </w:rPr>
        <w:t>Energy Reports, 13</w:t>
      </w:r>
      <w:r>
        <w:rPr>
          <w:sz w:val="24"/>
          <w:szCs w:val="24"/>
        </w:rPr>
        <w:t>, pp.3402-3417.</w:t>
      </w:r>
      <w:r>
        <w:fldChar w:fldCharType="begin"/>
      </w:r>
      <w:r>
        <w:instrText xml:space="preserve"> HYPERLINK "https://www.sciencedirect.com/science/article/pii/S2352484725001222" \h </w:instrText>
      </w:r>
      <w:r>
        <w:fldChar w:fldCharType="separate"/>
      </w:r>
      <w:r>
        <w:rPr>
          <w:color w:val="1155CC"/>
          <w:sz w:val="24"/>
          <w:szCs w:val="24"/>
          <w:u w:val="single"/>
        </w:rPr>
        <w:t>https://www.sciencedirect.com/science/article/pii/S2352484725001222</w:t>
      </w:r>
      <w:r>
        <w:rPr>
          <w:color w:val="1155CC"/>
          <w:sz w:val="24"/>
          <w:szCs w:val="24"/>
          <w:u w:val="single"/>
        </w:rPr>
        <w:fldChar w:fldCharType="end"/>
      </w:r>
    </w:p>
    <w:p w14:paraId="6879F233">
      <w:pPr>
        <w:spacing w:line="360" w:lineRule="auto"/>
        <w:jc w:val="both"/>
        <w:rPr>
          <w:color w:val="222222"/>
          <w:sz w:val="24"/>
          <w:szCs w:val="24"/>
          <w:highlight w:val="white"/>
        </w:rPr>
      </w:pPr>
      <w:r>
        <w:rPr>
          <w:sz w:val="24"/>
          <w:szCs w:val="24"/>
        </w:rPr>
        <w:t>Morgan, J. and Liker, J.K., (2020). The Toyota product development system: integrating people, process, and technology. Productivity press.</w:t>
      </w:r>
      <w:r>
        <w:fldChar w:fldCharType="begin"/>
      </w:r>
      <w:r>
        <w:instrText xml:space="preserve"> HYPERLINK "https://www.academia.edu/download/44446924/06-22-4-BR_Toyota_Prod_Dev_Sys.pdf" \h </w:instrText>
      </w:r>
      <w:r>
        <w:fldChar w:fldCharType="separate"/>
      </w:r>
      <w:r>
        <w:rPr>
          <w:color w:val="1155CC"/>
          <w:sz w:val="24"/>
          <w:szCs w:val="24"/>
          <w:u w:val="single"/>
        </w:rPr>
        <w:t>https://www.academia.edu/download/44446924/06-22-4-BR_Toyota_Prod_Dev_Sys.pdf</w:t>
      </w:r>
      <w:r>
        <w:rPr>
          <w:color w:val="1155CC"/>
          <w:sz w:val="24"/>
          <w:szCs w:val="24"/>
          <w:u w:val="single"/>
        </w:rPr>
        <w:fldChar w:fldCharType="end"/>
      </w:r>
    </w:p>
    <w:p w14:paraId="294D8909">
      <w:pPr>
        <w:spacing w:line="360" w:lineRule="auto"/>
        <w:jc w:val="both"/>
        <w:rPr>
          <w:sz w:val="24"/>
          <w:szCs w:val="24"/>
        </w:rPr>
      </w:pPr>
      <w:r>
        <w:rPr>
          <w:sz w:val="24"/>
          <w:szCs w:val="24"/>
        </w:rPr>
        <w:t xml:space="preserve">NASER, S.A.A.M., (2021). ONLINE BRANDING STRATEGIES OF TOYOTA. </w:t>
      </w:r>
      <w:r>
        <w:rPr>
          <w:i/>
          <w:iCs/>
          <w:sz w:val="24"/>
          <w:szCs w:val="24"/>
        </w:rPr>
        <w:t>Humanities &amp; Natural Sciences Journal, 2</w:t>
      </w:r>
      <w:r>
        <w:rPr>
          <w:sz w:val="24"/>
          <w:szCs w:val="24"/>
        </w:rPr>
        <w:t>(10), pp.150-163.</w:t>
      </w:r>
      <w:r>
        <w:fldChar w:fldCharType="begin"/>
      </w:r>
      <w:r>
        <w:instrText xml:space="preserve"> HYPERLINK "https://www.hnjournal.net/ar/2-10-10/" \h </w:instrText>
      </w:r>
      <w:r>
        <w:fldChar w:fldCharType="separate"/>
      </w:r>
      <w:r>
        <w:rPr>
          <w:color w:val="1155CC"/>
          <w:sz w:val="24"/>
          <w:szCs w:val="24"/>
          <w:u w:val="single"/>
        </w:rPr>
        <w:t>https://www.hnjournal.net/ar/2-10-10/</w:t>
      </w:r>
      <w:r>
        <w:rPr>
          <w:color w:val="1155CC"/>
          <w:sz w:val="24"/>
          <w:szCs w:val="24"/>
          <w:u w:val="single"/>
        </w:rPr>
        <w:fldChar w:fldCharType="end"/>
      </w:r>
    </w:p>
    <w:p w14:paraId="1E8EF770">
      <w:pPr>
        <w:spacing w:line="360" w:lineRule="auto"/>
        <w:jc w:val="both"/>
        <w:rPr>
          <w:sz w:val="24"/>
          <w:szCs w:val="24"/>
        </w:rPr>
      </w:pPr>
      <w:r>
        <w:rPr>
          <w:color w:val="222222"/>
          <w:sz w:val="24"/>
          <w:szCs w:val="24"/>
          <w:highlight w:val="white"/>
        </w:rPr>
        <w:t>Nassief</w:t>
      </w:r>
      <w:r>
        <w:rPr>
          <w:color w:val="222222"/>
          <w:sz w:val="24"/>
          <w:szCs w:val="24"/>
          <w:highlight w:val="white"/>
        </w:rPr>
        <w:t>, A., (2024). An Analogical JV Case Study on NUMMI.</w:t>
      </w:r>
      <w:r>
        <w:rPr>
          <w:sz w:val="24"/>
          <w:szCs w:val="24"/>
        </w:rPr>
        <w:t xml:space="preserve"> </w:t>
      </w:r>
      <w:r>
        <w:fldChar w:fldCharType="begin"/>
      </w:r>
      <w:r>
        <w:instrText xml:space="preserve"> HYPERLINK "https://www.preprints.org/frontend/manuscript/4cdea077d8f733e9b613ff77c210225c/download_pub" \h </w:instrText>
      </w:r>
      <w:r>
        <w:fldChar w:fldCharType="separate"/>
      </w:r>
      <w:r>
        <w:rPr>
          <w:color w:val="1155CC"/>
          <w:sz w:val="24"/>
          <w:szCs w:val="24"/>
          <w:u w:val="single"/>
        </w:rPr>
        <w:t>https://www.preprints.org/frontend/manuscript/4cdea077d8f733e9b613ff77c210225c/download_pub</w:t>
      </w:r>
      <w:r>
        <w:rPr>
          <w:color w:val="1155CC"/>
          <w:sz w:val="24"/>
          <w:szCs w:val="24"/>
          <w:u w:val="single"/>
        </w:rPr>
        <w:fldChar w:fldCharType="end"/>
      </w:r>
    </w:p>
    <w:p w14:paraId="6DB73D01">
      <w:pPr>
        <w:spacing w:line="360" w:lineRule="auto"/>
        <w:jc w:val="both"/>
        <w:rPr>
          <w:sz w:val="24"/>
          <w:szCs w:val="24"/>
        </w:rPr>
      </w:pPr>
      <w:r>
        <w:rPr>
          <w:sz w:val="24"/>
          <w:szCs w:val="24"/>
        </w:rPr>
        <w:t xml:space="preserve">nippon.com (2026) </w:t>
      </w:r>
      <w:r>
        <w:rPr>
          <w:i/>
          <w:iCs/>
          <w:sz w:val="24"/>
          <w:szCs w:val="24"/>
        </w:rPr>
        <w:t>nippon.com</w:t>
      </w:r>
      <w:r>
        <w:rPr>
          <w:sz w:val="24"/>
          <w:szCs w:val="24"/>
        </w:rPr>
        <w:t xml:space="preserve">. Available at: </w:t>
      </w:r>
      <w:r>
        <w:fldChar w:fldCharType="begin"/>
      </w:r>
      <w:r>
        <w:instrText xml:space="preserve"> HYPERLINK "https://www.nippon.com/en/in-depth/a10405/" \h </w:instrText>
      </w:r>
      <w:r>
        <w:fldChar w:fldCharType="separate"/>
      </w:r>
      <w:r>
        <w:rPr>
          <w:color w:val="1155CC"/>
          <w:sz w:val="24"/>
          <w:szCs w:val="24"/>
          <w:u w:val="single"/>
        </w:rPr>
        <w:t>https://www.nippon.com/en/in-depth/a10405/</w:t>
      </w:r>
      <w:r>
        <w:rPr>
          <w:color w:val="1155CC"/>
          <w:sz w:val="24"/>
          <w:szCs w:val="24"/>
          <w:u w:val="single"/>
        </w:rPr>
        <w:fldChar w:fldCharType="end"/>
      </w:r>
      <w:r>
        <w:rPr>
          <w:sz w:val="24"/>
          <w:szCs w:val="24"/>
        </w:rPr>
        <w:t xml:space="preserve"> (Accessed: 4 July 2026).</w:t>
      </w:r>
    </w:p>
    <w:p w14:paraId="29AC4DD8">
      <w:pPr>
        <w:spacing w:line="360" w:lineRule="auto"/>
        <w:jc w:val="both"/>
        <w:rPr>
          <w:sz w:val="24"/>
          <w:szCs w:val="24"/>
        </w:rPr>
      </w:pPr>
      <w:r>
        <w:rPr>
          <w:color w:val="222222"/>
          <w:sz w:val="24"/>
          <w:szCs w:val="24"/>
          <w:highlight w:val="white"/>
        </w:rPr>
        <w:t xml:space="preserve">O’Dwyer, M., </w:t>
      </w:r>
      <w:r>
        <w:rPr>
          <w:color w:val="222222"/>
          <w:sz w:val="24"/>
          <w:szCs w:val="24"/>
          <w:highlight w:val="white"/>
        </w:rPr>
        <w:t>Filieri</w:t>
      </w:r>
      <w:r>
        <w:rPr>
          <w:color w:val="222222"/>
          <w:sz w:val="24"/>
          <w:szCs w:val="24"/>
          <w:highlight w:val="white"/>
        </w:rPr>
        <w:t xml:space="preserve">, R. and O’Malley, L., (2023). Establishing successful university–industry collaborations: barriers and enablers deconstructed. </w:t>
      </w:r>
      <w:r>
        <w:rPr>
          <w:i/>
          <w:iCs/>
          <w:color w:val="222222"/>
          <w:sz w:val="24"/>
          <w:szCs w:val="24"/>
          <w:highlight w:val="white"/>
        </w:rPr>
        <w:t>The Journal of Technology Transfer</w:t>
      </w:r>
      <w:r>
        <w:rPr>
          <w:color w:val="222222"/>
          <w:sz w:val="24"/>
          <w:szCs w:val="24"/>
          <w:highlight w:val="white"/>
        </w:rPr>
        <w:t xml:space="preserve">, </w:t>
      </w:r>
      <w:r>
        <w:rPr>
          <w:i/>
          <w:iCs/>
          <w:color w:val="222222"/>
          <w:sz w:val="24"/>
          <w:szCs w:val="24"/>
          <w:highlight w:val="white"/>
        </w:rPr>
        <w:t>48</w:t>
      </w:r>
      <w:r>
        <w:rPr>
          <w:color w:val="222222"/>
          <w:sz w:val="24"/>
          <w:szCs w:val="24"/>
          <w:highlight w:val="white"/>
        </w:rPr>
        <w:t>(3), pp.900-931.</w:t>
      </w:r>
      <w:r>
        <w:rPr>
          <w:sz w:val="24"/>
          <w:szCs w:val="24"/>
        </w:rPr>
        <w:t xml:space="preserve"> </w:t>
      </w:r>
      <w:r>
        <w:fldChar w:fldCharType="begin"/>
      </w:r>
      <w:r>
        <w:instrText xml:space="preserve"> HYPERLINK "https://link.springer.com/content/pdf/10.1007/s10961-022-09932-2.pdf" \h </w:instrText>
      </w:r>
      <w:r>
        <w:fldChar w:fldCharType="separate"/>
      </w:r>
      <w:r>
        <w:rPr>
          <w:color w:val="1155CC"/>
          <w:sz w:val="24"/>
          <w:szCs w:val="24"/>
          <w:u w:val="single"/>
        </w:rPr>
        <w:t>https://link.springer.com/content/pdf/10.1007/s10961-022-09932-2.pdf</w:t>
      </w:r>
      <w:r>
        <w:rPr>
          <w:color w:val="1155CC"/>
          <w:sz w:val="24"/>
          <w:szCs w:val="24"/>
          <w:u w:val="single"/>
        </w:rPr>
        <w:fldChar w:fldCharType="end"/>
      </w:r>
    </w:p>
    <w:p w14:paraId="52332252">
      <w:pPr>
        <w:spacing w:line="360" w:lineRule="auto"/>
        <w:jc w:val="both"/>
        <w:rPr>
          <w:sz w:val="24"/>
          <w:szCs w:val="24"/>
        </w:rPr>
      </w:pPr>
      <w:r>
        <w:rPr>
          <w:sz w:val="24"/>
          <w:szCs w:val="24"/>
        </w:rPr>
        <w:t xml:space="preserve">Richter, F. (2024) Infographic: U.S. Economy Returns to Pre-Pandemic Growth Path, Statista Daily Data. Available at: </w:t>
      </w:r>
      <w:r>
        <w:fldChar w:fldCharType="begin"/>
      </w:r>
      <w:r>
        <w:instrText xml:space="preserve"> HYPERLINK "https://www.statista.com/chart/29207/us-real-gdp-growth/?srsltid=AfmBOorCyGkTPlCbJxcp-QcnB16vSmBaZMUrgcV1ZKi7txqJTT7D-Sc_" \h </w:instrText>
      </w:r>
      <w:r>
        <w:fldChar w:fldCharType="separate"/>
      </w:r>
      <w:r>
        <w:rPr>
          <w:color w:val="1155CC"/>
          <w:sz w:val="24"/>
          <w:szCs w:val="24"/>
          <w:u w:val="single"/>
        </w:rPr>
        <w:t>https://www.statista.com/chart/29207/us-real-gdp-growth/?srsltid=AfmBOorCyGkTPlCbJxcp-QcnB16vSmBaZMUrgcV1ZKi7txqJTT7D-Sc_</w:t>
      </w:r>
      <w:r>
        <w:rPr>
          <w:color w:val="1155CC"/>
          <w:sz w:val="24"/>
          <w:szCs w:val="24"/>
          <w:u w:val="single"/>
        </w:rPr>
        <w:fldChar w:fldCharType="end"/>
      </w:r>
      <w:r>
        <w:rPr>
          <w:sz w:val="24"/>
          <w:szCs w:val="24"/>
        </w:rPr>
        <w:t xml:space="preserve">  (Accessed: 4 July 2026).</w:t>
      </w:r>
    </w:p>
    <w:p w14:paraId="0EB88F3D">
      <w:pPr>
        <w:spacing w:line="360" w:lineRule="auto"/>
        <w:jc w:val="both"/>
        <w:rPr>
          <w:sz w:val="24"/>
          <w:szCs w:val="24"/>
        </w:rPr>
      </w:pPr>
      <w:r>
        <w:rPr>
          <w:sz w:val="24"/>
          <w:szCs w:val="24"/>
        </w:rPr>
        <w:t xml:space="preserve">roadgenius.com (2025) </w:t>
      </w:r>
      <w:r>
        <w:rPr>
          <w:i/>
          <w:iCs/>
          <w:sz w:val="24"/>
          <w:szCs w:val="24"/>
        </w:rPr>
        <w:t>Road Genius</w:t>
      </w:r>
      <w:r>
        <w:rPr>
          <w:sz w:val="24"/>
          <w:szCs w:val="24"/>
        </w:rPr>
        <w:t xml:space="preserve">. Available at: </w:t>
      </w:r>
      <w:r>
        <w:fldChar w:fldCharType="begin"/>
      </w:r>
      <w:r>
        <w:instrText xml:space="preserve"> HYPERLINK "https://roadgenius.com/cars/statistics/sales-by-manufacturer/toyota/" \h </w:instrText>
      </w:r>
      <w:r>
        <w:fldChar w:fldCharType="separate"/>
      </w:r>
      <w:r>
        <w:rPr>
          <w:color w:val="1155CC"/>
          <w:sz w:val="24"/>
          <w:szCs w:val="24"/>
          <w:u w:val="single"/>
        </w:rPr>
        <w:t>https://roadgenius.com/cars/statistics/sales-by-manufacturer/toyota/</w:t>
      </w:r>
      <w:r>
        <w:rPr>
          <w:color w:val="1155CC"/>
          <w:sz w:val="24"/>
          <w:szCs w:val="24"/>
          <w:u w:val="single"/>
        </w:rPr>
        <w:fldChar w:fldCharType="end"/>
      </w:r>
      <w:r>
        <w:rPr>
          <w:sz w:val="24"/>
          <w:szCs w:val="24"/>
        </w:rPr>
        <w:t xml:space="preserve"> (Accessed: 4 July 2026).</w:t>
      </w:r>
    </w:p>
    <w:p w14:paraId="595BDCC4">
      <w:pPr>
        <w:spacing w:line="360" w:lineRule="auto"/>
        <w:jc w:val="both"/>
        <w:rPr>
          <w:sz w:val="24"/>
          <w:szCs w:val="24"/>
        </w:rPr>
      </w:pPr>
      <w:r>
        <w:rPr>
          <w:color w:val="222222"/>
          <w:sz w:val="24"/>
          <w:szCs w:val="24"/>
          <w:highlight w:val="white"/>
          <w:lang w:val="it-IT"/>
        </w:rPr>
        <w:t xml:space="preserve">Soleimani, A., Hosseini Dolatabadi, S.H., Heidari, M., Pinnarelli, A., Mehdizadeh Khorrami, B., Luo, Y., Vizza, P. and Brusco, G., (2024). </w:t>
      </w:r>
      <w:r>
        <w:rPr>
          <w:color w:val="222222"/>
          <w:sz w:val="24"/>
          <w:szCs w:val="24"/>
          <w:highlight w:val="white"/>
        </w:rPr>
        <w:t xml:space="preserve">Progress in hydrogen fuel cell vehicles and up-and-coming technologies for eco-friendly transportation: an international assessment. </w:t>
      </w:r>
      <w:r>
        <w:rPr>
          <w:i/>
          <w:iCs/>
          <w:color w:val="222222"/>
          <w:sz w:val="24"/>
          <w:szCs w:val="24"/>
          <w:highlight w:val="white"/>
        </w:rPr>
        <w:t xml:space="preserve">Multiscale and Multidisciplinary </w:t>
      </w:r>
      <w:r>
        <w:rPr>
          <w:i/>
          <w:iCs/>
          <w:color w:val="222222"/>
          <w:sz w:val="24"/>
          <w:szCs w:val="24"/>
          <w:highlight w:val="white"/>
        </w:rPr>
        <w:t>Modeling</w:t>
      </w:r>
      <w:r>
        <w:rPr>
          <w:i/>
          <w:iCs/>
          <w:color w:val="222222"/>
          <w:sz w:val="24"/>
          <w:szCs w:val="24"/>
          <w:highlight w:val="white"/>
        </w:rPr>
        <w:t>, Experiments and Design</w:t>
      </w:r>
      <w:r>
        <w:rPr>
          <w:color w:val="222222"/>
          <w:sz w:val="24"/>
          <w:szCs w:val="24"/>
          <w:highlight w:val="white"/>
        </w:rPr>
        <w:t xml:space="preserve">, </w:t>
      </w:r>
      <w:r>
        <w:rPr>
          <w:i/>
          <w:iCs/>
          <w:color w:val="222222"/>
          <w:sz w:val="24"/>
          <w:szCs w:val="24"/>
          <w:highlight w:val="white"/>
        </w:rPr>
        <w:t>7</w:t>
      </w:r>
      <w:r>
        <w:rPr>
          <w:color w:val="222222"/>
          <w:sz w:val="24"/>
          <w:szCs w:val="24"/>
          <w:highlight w:val="white"/>
        </w:rPr>
        <w:t>(4), pp.3153-3172.</w:t>
      </w:r>
      <w:r>
        <w:rPr>
          <w:sz w:val="24"/>
          <w:szCs w:val="24"/>
        </w:rPr>
        <w:t xml:space="preserve"> </w:t>
      </w:r>
      <w:r>
        <w:fldChar w:fldCharType="begin"/>
      </w:r>
      <w:r>
        <w:instrText xml:space="preserve"> HYPERLINK "https://link.springer.com/content/pdf/10.1007/s41939-024-00482-8.pdf" \h </w:instrText>
      </w:r>
      <w:r>
        <w:fldChar w:fldCharType="separate"/>
      </w:r>
      <w:r>
        <w:rPr>
          <w:color w:val="1155CC"/>
          <w:sz w:val="24"/>
          <w:szCs w:val="24"/>
          <w:u w:val="single"/>
        </w:rPr>
        <w:t>https://link.springer.com/content/pdf/10.1007/s41939-024-00482-8.pdf</w:t>
      </w:r>
      <w:r>
        <w:rPr>
          <w:color w:val="1155CC"/>
          <w:sz w:val="24"/>
          <w:szCs w:val="24"/>
          <w:u w:val="single"/>
        </w:rPr>
        <w:fldChar w:fldCharType="end"/>
      </w:r>
    </w:p>
    <w:p w14:paraId="34314197">
      <w:pPr>
        <w:spacing w:line="360" w:lineRule="auto"/>
        <w:jc w:val="both"/>
        <w:rPr>
          <w:sz w:val="24"/>
          <w:szCs w:val="24"/>
        </w:rPr>
      </w:pPr>
      <w:r>
        <w:rPr>
          <w:sz w:val="24"/>
          <w:szCs w:val="24"/>
        </w:rPr>
        <w:t xml:space="preserve">statista.com (2026) </w:t>
      </w:r>
      <w:r>
        <w:rPr>
          <w:i/>
          <w:iCs/>
          <w:sz w:val="24"/>
          <w:szCs w:val="24"/>
        </w:rPr>
        <w:t>U.S: Toyota Motor Corporation’s quarterly vehicle sales</w:t>
      </w:r>
      <w:r>
        <w:rPr>
          <w:sz w:val="24"/>
          <w:szCs w:val="24"/>
        </w:rPr>
        <w:t xml:space="preserve">, </w:t>
      </w:r>
      <w:r>
        <w:rPr>
          <w:i/>
          <w:iCs/>
          <w:sz w:val="24"/>
          <w:szCs w:val="24"/>
        </w:rPr>
        <w:t>Statista</w:t>
      </w:r>
      <w:r>
        <w:rPr>
          <w:sz w:val="24"/>
          <w:szCs w:val="24"/>
        </w:rPr>
        <w:t xml:space="preserve">. Available at: </w:t>
      </w:r>
      <w:r>
        <w:fldChar w:fldCharType="begin"/>
      </w:r>
      <w:r>
        <w:instrText xml:space="preserve"> HYPERLINK "https://www.statista.com/statistics/239969/toyotas-vehicle-sales-in-the-united-states-by-segment/?srsltid=AfmBOooZ8-IHIVPLaM9NSJILkTg2cV__ggVtNRnYEZyTKjC4Oiz1ZoII" \h </w:instrText>
      </w:r>
      <w:r>
        <w:fldChar w:fldCharType="separate"/>
      </w:r>
      <w:r>
        <w:rPr>
          <w:color w:val="1155CC"/>
          <w:sz w:val="24"/>
          <w:szCs w:val="24"/>
          <w:u w:val="single"/>
        </w:rPr>
        <w:t>https://www.statista.com/statistics/239969/toyotas-vehicle-sales-in-the-united-states-by-segment/?srsltid=AfmBOooZ8-IHIVPLaM9NSJILkTg2cV__ggVtNRnYEZyTKjC4Oiz1ZoII</w:t>
      </w:r>
      <w:r>
        <w:rPr>
          <w:color w:val="1155CC"/>
          <w:sz w:val="24"/>
          <w:szCs w:val="24"/>
          <w:u w:val="single"/>
        </w:rPr>
        <w:fldChar w:fldCharType="end"/>
      </w:r>
      <w:r>
        <w:rPr>
          <w:sz w:val="24"/>
          <w:szCs w:val="24"/>
        </w:rPr>
        <w:t xml:space="preserve"> (Accessed: 4 July 2026).</w:t>
      </w:r>
    </w:p>
    <w:p w14:paraId="60AE1765">
      <w:pPr>
        <w:spacing w:line="360" w:lineRule="auto"/>
        <w:jc w:val="both"/>
        <w:rPr>
          <w:sz w:val="24"/>
          <w:szCs w:val="24"/>
        </w:rPr>
      </w:pPr>
      <w:r>
        <w:rPr>
          <w:sz w:val="24"/>
          <w:szCs w:val="24"/>
        </w:rPr>
        <w:t xml:space="preserve">statista.com. (2025) </w:t>
      </w:r>
      <w:r>
        <w:rPr>
          <w:i/>
          <w:iCs/>
          <w:sz w:val="24"/>
          <w:szCs w:val="24"/>
        </w:rPr>
        <w:t>Toyota’s advertising spending in the U.S.</w:t>
      </w:r>
      <w:r>
        <w:rPr>
          <w:sz w:val="24"/>
          <w:szCs w:val="24"/>
        </w:rPr>
        <w:t xml:space="preserve">, </w:t>
      </w:r>
      <w:r>
        <w:rPr>
          <w:i/>
          <w:iCs/>
          <w:sz w:val="24"/>
          <w:szCs w:val="24"/>
        </w:rPr>
        <w:t>Statista</w:t>
      </w:r>
      <w:r>
        <w:rPr>
          <w:sz w:val="24"/>
          <w:szCs w:val="24"/>
        </w:rPr>
        <w:t xml:space="preserve">. Available at: </w:t>
      </w:r>
      <w:r>
        <w:fldChar w:fldCharType="begin"/>
      </w:r>
      <w:r>
        <w:instrText xml:space="preserve"> HYPERLINK "https://www.statista.com/statistics/261539/toyotas-advertising-spending-in-the-us/?srsltid=AfmBOoqf0nKL2FLwgwuu1toSxVOvrEnT_YBZsea_AUU42UgURSpoyLW3" \h </w:instrText>
      </w:r>
      <w:r>
        <w:fldChar w:fldCharType="separate"/>
      </w:r>
      <w:r>
        <w:rPr>
          <w:color w:val="1155CC"/>
          <w:sz w:val="24"/>
          <w:szCs w:val="24"/>
          <w:u w:val="single"/>
        </w:rPr>
        <w:t>https://www.statista.com/statistics/261539/toyotas-advertising-spending-in-the-us/?srsltid=AfmBOoqf0nKL2FLwgwuu1toSxVOvrEnT_YBZsea_AUU42UgURSpoyLW3</w:t>
      </w:r>
      <w:r>
        <w:rPr>
          <w:color w:val="1155CC"/>
          <w:sz w:val="24"/>
          <w:szCs w:val="24"/>
          <w:u w:val="single"/>
        </w:rPr>
        <w:fldChar w:fldCharType="end"/>
      </w:r>
      <w:r>
        <w:rPr>
          <w:sz w:val="24"/>
          <w:szCs w:val="24"/>
        </w:rPr>
        <w:t xml:space="preserve"> (Accessed: 4 July 2026).</w:t>
      </w:r>
    </w:p>
    <w:p w14:paraId="11C459DB">
      <w:pPr>
        <w:spacing w:line="360" w:lineRule="auto"/>
        <w:jc w:val="both"/>
        <w:rPr>
          <w:sz w:val="24"/>
          <w:szCs w:val="24"/>
        </w:rPr>
      </w:pPr>
      <w:r>
        <w:rPr>
          <w:sz w:val="24"/>
          <w:szCs w:val="24"/>
        </w:rPr>
        <w:t xml:space="preserve">statista.com. (2025). Japan - median age of the population 1950-2100, Statista. Available at: </w:t>
      </w:r>
      <w:r>
        <w:fldChar w:fldCharType="begin"/>
      </w:r>
      <w:r>
        <w:instrText xml:space="preserve"> HYPERLINK "https://www.statista.com/statistics/604424/median-age-of-the-population-in-japan/?srsltid=AfmBOooKNQ_OelwFyeqOUU0tj-gz6kID_BzYgIVOiAIUUmtab0dzh31l" \h </w:instrText>
      </w:r>
      <w:r>
        <w:fldChar w:fldCharType="separate"/>
      </w:r>
      <w:r>
        <w:rPr>
          <w:color w:val="1155CC"/>
          <w:sz w:val="24"/>
          <w:szCs w:val="24"/>
          <w:u w:val="single"/>
        </w:rPr>
        <w:t>https://www.statista.com/statistics/604424/median-age-of-the-population-in-japan/?srsltid=AfmBOooKNQ_OelwFyeqOUU0tj-gz6kID_BzYgIVOiAIUUmtab0dzh31l</w:t>
      </w:r>
      <w:r>
        <w:rPr>
          <w:color w:val="1155CC"/>
          <w:sz w:val="24"/>
          <w:szCs w:val="24"/>
          <w:u w:val="single"/>
        </w:rPr>
        <w:fldChar w:fldCharType="end"/>
      </w:r>
      <w:r>
        <w:rPr>
          <w:sz w:val="24"/>
          <w:szCs w:val="24"/>
        </w:rPr>
        <w:t xml:space="preserve">  (Accessed: 4 July 2026).</w:t>
      </w:r>
    </w:p>
    <w:p w14:paraId="34B7EA12">
      <w:pPr>
        <w:spacing w:line="360" w:lineRule="auto"/>
        <w:jc w:val="both"/>
        <w:rPr>
          <w:sz w:val="24"/>
          <w:szCs w:val="24"/>
        </w:rPr>
      </w:pPr>
      <w:r>
        <w:rPr>
          <w:sz w:val="24"/>
          <w:szCs w:val="24"/>
        </w:rPr>
        <w:t xml:space="preserve">statista.com. (2025). Median age of the U.S. population 2024, Statista. Available at: </w:t>
      </w:r>
      <w:r>
        <w:fldChar w:fldCharType="begin"/>
      </w:r>
      <w:r>
        <w:instrText xml:space="preserve"> HYPERLINK "https://www.statista.com/statistics/241494/median-age-of-the-us-population/?srsltid=AfmBOoq65RJsAIFWcQdzjZaZJ3xarInf-L8w-lIQdHR3yCQWdfH5paGc" \h </w:instrText>
      </w:r>
      <w:r>
        <w:fldChar w:fldCharType="separate"/>
      </w:r>
      <w:r>
        <w:rPr>
          <w:color w:val="1155CC"/>
          <w:sz w:val="24"/>
          <w:szCs w:val="24"/>
          <w:u w:val="single"/>
        </w:rPr>
        <w:t>https://www.statista.com/statistics/241494/median-age-of-the-us-population/?srsltid=AfmBOoq65RJsAIFWcQdzjZaZJ3xarInf-L8w-lIQdHR3yCQWdfH5paGc</w:t>
      </w:r>
      <w:r>
        <w:rPr>
          <w:color w:val="1155CC"/>
          <w:sz w:val="24"/>
          <w:szCs w:val="24"/>
          <w:u w:val="single"/>
        </w:rPr>
        <w:fldChar w:fldCharType="end"/>
      </w:r>
      <w:r>
        <w:rPr>
          <w:sz w:val="24"/>
          <w:szCs w:val="24"/>
        </w:rPr>
        <w:t xml:space="preserve">  (Accessed: 4 July 2026).</w:t>
      </w:r>
    </w:p>
    <w:p w14:paraId="0E9B8145">
      <w:pPr>
        <w:spacing w:line="360" w:lineRule="auto"/>
        <w:jc w:val="both"/>
        <w:rPr>
          <w:sz w:val="24"/>
          <w:szCs w:val="24"/>
        </w:rPr>
      </w:pPr>
      <w:r>
        <w:rPr>
          <w:color w:val="222222"/>
          <w:sz w:val="24"/>
          <w:szCs w:val="24"/>
          <w:highlight w:val="white"/>
        </w:rPr>
        <w:t>Susetyo</w:t>
      </w:r>
      <w:r>
        <w:rPr>
          <w:color w:val="222222"/>
          <w:sz w:val="24"/>
          <w:szCs w:val="24"/>
          <w:highlight w:val="white"/>
        </w:rPr>
        <w:t xml:space="preserve">, Y., </w:t>
      </w:r>
      <w:r>
        <w:rPr>
          <w:color w:val="222222"/>
          <w:sz w:val="24"/>
          <w:szCs w:val="24"/>
          <w:highlight w:val="white"/>
        </w:rPr>
        <w:t>Suendro</w:t>
      </w:r>
      <w:r>
        <w:rPr>
          <w:color w:val="222222"/>
          <w:sz w:val="24"/>
          <w:szCs w:val="24"/>
          <w:highlight w:val="white"/>
        </w:rPr>
        <w:t xml:space="preserve">, G. and Tielman, E.M.A., (2026). The Effect of Product Innovation, Brand Image, After-Sales Service, Experiential Marketing, and Product Quality on Purchase Intention and </w:t>
      </w:r>
      <w:r>
        <w:rPr>
          <w:color w:val="222222"/>
          <w:sz w:val="24"/>
          <w:szCs w:val="24"/>
          <w:highlight w:val="white"/>
        </w:rPr>
        <w:t>it’s</w:t>
      </w:r>
      <w:r>
        <w:rPr>
          <w:color w:val="222222"/>
          <w:sz w:val="24"/>
          <w:szCs w:val="24"/>
          <w:highlight w:val="white"/>
        </w:rPr>
        <w:t xml:space="preserve"> Impact on Purchasing Decision of Toyota Avanza in Semarang City (2025). </w:t>
      </w:r>
      <w:r>
        <w:rPr>
          <w:i/>
          <w:iCs/>
          <w:color w:val="222222"/>
          <w:sz w:val="24"/>
          <w:szCs w:val="24"/>
          <w:highlight w:val="white"/>
        </w:rPr>
        <w:t>Journal of Economic Management and Accounting</w:t>
      </w:r>
      <w:r>
        <w:rPr>
          <w:color w:val="222222"/>
          <w:sz w:val="24"/>
          <w:szCs w:val="24"/>
          <w:highlight w:val="white"/>
        </w:rPr>
        <w:t xml:space="preserve">, </w:t>
      </w:r>
      <w:r>
        <w:rPr>
          <w:i/>
          <w:iCs/>
          <w:color w:val="222222"/>
          <w:sz w:val="24"/>
          <w:szCs w:val="24"/>
          <w:highlight w:val="white"/>
        </w:rPr>
        <w:t>1</w:t>
      </w:r>
      <w:r>
        <w:rPr>
          <w:color w:val="222222"/>
          <w:sz w:val="24"/>
          <w:szCs w:val="24"/>
          <w:highlight w:val="white"/>
        </w:rPr>
        <w:t>(1), pp.36-45.</w:t>
      </w:r>
      <w:r>
        <w:rPr>
          <w:sz w:val="24"/>
          <w:szCs w:val="24"/>
        </w:rPr>
        <w:t xml:space="preserve"> </w:t>
      </w:r>
      <w:r>
        <w:fldChar w:fldCharType="begin"/>
      </w:r>
      <w:r>
        <w:instrText xml:space="preserve"> HYPERLINK "https://journal.stiecendekiaku.ac.id/index.php/JEMA/article/download/160/123" \h </w:instrText>
      </w:r>
      <w:r>
        <w:fldChar w:fldCharType="separate"/>
      </w:r>
      <w:r>
        <w:rPr>
          <w:color w:val="1155CC"/>
          <w:sz w:val="24"/>
          <w:szCs w:val="24"/>
          <w:u w:val="single"/>
        </w:rPr>
        <w:t>https://journal.stiecendekiaku.ac.id/index.php/JEMA/article/download/160/123</w:t>
      </w:r>
      <w:r>
        <w:rPr>
          <w:color w:val="1155CC"/>
          <w:sz w:val="24"/>
          <w:szCs w:val="24"/>
          <w:u w:val="single"/>
        </w:rPr>
        <w:fldChar w:fldCharType="end"/>
      </w:r>
    </w:p>
    <w:p w14:paraId="7EBAE78A">
      <w:pPr>
        <w:spacing w:line="360" w:lineRule="auto"/>
        <w:jc w:val="both"/>
        <w:rPr>
          <w:sz w:val="24"/>
          <w:szCs w:val="24"/>
        </w:rPr>
      </w:pPr>
      <w:r>
        <w:rPr>
          <w:sz w:val="24"/>
          <w:szCs w:val="24"/>
        </w:rPr>
        <w:t xml:space="preserve">Takeuchi, I.Y., Ohmae, H.T. and Ichijo, K.K., (2023). Navigating Competition through Alliances: An Analysis of Toyota's Strategy in the Japanese Auto Industry. </w:t>
      </w:r>
      <w:r>
        <w:rPr>
          <w:i/>
          <w:iCs/>
          <w:sz w:val="24"/>
          <w:szCs w:val="24"/>
        </w:rPr>
        <w:t>Journal of Strategic Management, 7</w:t>
      </w:r>
      <w:r>
        <w:rPr>
          <w:sz w:val="24"/>
          <w:szCs w:val="24"/>
        </w:rPr>
        <w:t>(6), pp.1-12.</w:t>
      </w:r>
      <w:r>
        <w:fldChar w:fldCharType="begin"/>
      </w:r>
      <w:r>
        <w:instrText xml:space="preserve"> HYPERLINK "https://stratfordjournalpublishers.org/journals/index.php/journal-of-strategic-management/article/download/1733/2251" \h </w:instrText>
      </w:r>
      <w:r>
        <w:fldChar w:fldCharType="separate"/>
      </w:r>
      <w:r>
        <w:rPr>
          <w:color w:val="1155CC"/>
          <w:sz w:val="24"/>
          <w:szCs w:val="24"/>
          <w:u w:val="single"/>
        </w:rPr>
        <w:t>https://stratfordjournalpublishers.org/journals/index.php/journal-of-strategic-management/article/download/1733/2251</w:t>
      </w:r>
      <w:r>
        <w:rPr>
          <w:color w:val="1155CC"/>
          <w:sz w:val="24"/>
          <w:szCs w:val="24"/>
          <w:u w:val="single"/>
        </w:rPr>
        <w:fldChar w:fldCharType="end"/>
      </w:r>
    </w:p>
    <w:p w14:paraId="6351912B">
      <w:pPr>
        <w:spacing w:line="360" w:lineRule="auto"/>
        <w:jc w:val="both"/>
        <w:rPr>
          <w:sz w:val="24"/>
          <w:szCs w:val="24"/>
        </w:rPr>
      </w:pPr>
      <w:r>
        <w:rPr>
          <w:sz w:val="24"/>
          <w:szCs w:val="24"/>
        </w:rPr>
        <w:t xml:space="preserve">theculturefactor.com. (2026) Country comparison tool. Available at: </w:t>
      </w:r>
      <w:r>
        <w:fldChar w:fldCharType="begin"/>
      </w:r>
      <w:r>
        <w:instrText xml:space="preserve"> HYPERLINK "https://www.theculturefactor.com/country-comparison-tool?countries=japan%2Cunited%2Bstates" \h </w:instrText>
      </w:r>
      <w:r>
        <w:fldChar w:fldCharType="separate"/>
      </w:r>
      <w:r>
        <w:rPr>
          <w:color w:val="1155CC"/>
          <w:sz w:val="24"/>
          <w:szCs w:val="24"/>
          <w:u w:val="single"/>
        </w:rPr>
        <w:t>https://www.theculturefactor.com/country-comparison-tool?countries=japan%2Cunited%2Bstates</w:t>
      </w:r>
      <w:r>
        <w:rPr>
          <w:color w:val="1155CC"/>
          <w:sz w:val="24"/>
          <w:szCs w:val="24"/>
          <w:u w:val="single"/>
        </w:rPr>
        <w:fldChar w:fldCharType="end"/>
      </w:r>
      <w:r>
        <w:rPr>
          <w:sz w:val="24"/>
          <w:szCs w:val="24"/>
        </w:rPr>
        <w:t xml:space="preserve">  (Accessed: 4 July 2026).</w:t>
      </w:r>
    </w:p>
    <w:p w14:paraId="4B3AF829">
      <w:pPr>
        <w:spacing w:line="360" w:lineRule="auto"/>
        <w:jc w:val="both"/>
        <w:rPr>
          <w:sz w:val="24"/>
          <w:szCs w:val="24"/>
        </w:rPr>
      </w:pPr>
      <w:r>
        <w:rPr>
          <w:sz w:val="24"/>
          <w:szCs w:val="24"/>
        </w:rPr>
        <w:t xml:space="preserve">theglobaleconomy.com. (2024). Japan Political stability - data, chart, TheGlobalEconomy.com. Available at: </w:t>
      </w:r>
      <w:r>
        <w:fldChar w:fldCharType="begin"/>
      </w:r>
      <w:r>
        <w:instrText xml:space="preserve"> HYPERLINK "https://www.theglobaleconomy.com/Japan/wb_political_stability/" \h </w:instrText>
      </w:r>
      <w:r>
        <w:fldChar w:fldCharType="separate"/>
      </w:r>
      <w:r>
        <w:rPr>
          <w:color w:val="1155CC"/>
          <w:sz w:val="24"/>
          <w:szCs w:val="24"/>
          <w:u w:val="single"/>
        </w:rPr>
        <w:t>https://www.theglobaleconomy.com/Japan/wb_political_stability/</w:t>
      </w:r>
      <w:r>
        <w:rPr>
          <w:color w:val="1155CC"/>
          <w:sz w:val="24"/>
          <w:szCs w:val="24"/>
          <w:u w:val="single"/>
        </w:rPr>
        <w:fldChar w:fldCharType="end"/>
      </w:r>
      <w:r>
        <w:rPr>
          <w:sz w:val="24"/>
          <w:szCs w:val="24"/>
        </w:rPr>
        <w:t xml:space="preserve">  (Accessed: 4 July 2026).</w:t>
      </w:r>
    </w:p>
    <w:p w14:paraId="304F190F">
      <w:pPr>
        <w:spacing w:line="360" w:lineRule="auto"/>
        <w:jc w:val="both"/>
        <w:rPr>
          <w:sz w:val="24"/>
          <w:szCs w:val="24"/>
        </w:rPr>
      </w:pPr>
      <w:r>
        <w:rPr>
          <w:sz w:val="24"/>
          <w:szCs w:val="24"/>
        </w:rPr>
        <w:t xml:space="preserve">theglobaleconomy.com. (2024). USA Political stability - data, chart, TheGlobalEconomy.com. Available at: </w:t>
      </w:r>
      <w:r>
        <w:fldChar w:fldCharType="begin"/>
      </w:r>
      <w:r>
        <w:instrText xml:space="preserve"> HYPERLINK "https://www.theglobaleconomy.com/USA/wb_political_stability/" \h </w:instrText>
      </w:r>
      <w:r>
        <w:fldChar w:fldCharType="separate"/>
      </w:r>
      <w:r>
        <w:rPr>
          <w:color w:val="1155CC"/>
          <w:sz w:val="24"/>
          <w:szCs w:val="24"/>
          <w:u w:val="single"/>
        </w:rPr>
        <w:t>https://www.theglobaleconomy.com/USA/wb_political_stability/</w:t>
      </w:r>
      <w:r>
        <w:rPr>
          <w:color w:val="1155CC"/>
          <w:sz w:val="24"/>
          <w:szCs w:val="24"/>
          <w:u w:val="single"/>
        </w:rPr>
        <w:fldChar w:fldCharType="end"/>
      </w:r>
      <w:r>
        <w:rPr>
          <w:sz w:val="24"/>
          <w:szCs w:val="24"/>
        </w:rPr>
        <w:t xml:space="preserve">  (Accessed: 4 July 2026).</w:t>
      </w:r>
    </w:p>
    <w:p w14:paraId="658117F5">
      <w:pPr>
        <w:spacing w:line="360" w:lineRule="auto"/>
        <w:jc w:val="both"/>
        <w:rPr>
          <w:sz w:val="24"/>
          <w:szCs w:val="24"/>
        </w:rPr>
      </w:pPr>
      <w:r>
        <w:rPr>
          <w:sz w:val="24"/>
          <w:szCs w:val="24"/>
        </w:rPr>
        <w:t xml:space="preserve">toyota.com. (2026). Toyota Official Site. New Cars, Trucks, SUVs &amp; Hybrids. Available at: </w:t>
      </w:r>
      <w:r>
        <w:fldChar w:fldCharType="begin"/>
      </w:r>
      <w:r>
        <w:instrText xml:space="preserve"> HYPERLINK "https://www.toyota.com/" \h </w:instrText>
      </w:r>
      <w:r>
        <w:fldChar w:fldCharType="separate"/>
      </w:r>
      <w:r>
        <w:rPr>
          <w:color w:val="1155CC"/>
          <w:sz w:val="24"/>
          <w:szCs w:val="24"/>
          <w:u w:val="single"/>
        </w:rPr>
        <w:t>https://www.toyota.com/</w:t>
      </w:r>
      <w:r>
        <w:rPr>
          <w:color w:val="1155CC"/>
          <w:sz w:val="24"/>
          <w:szCs w:val="24"/>
          <w:u w:val="single"/>
        </w:rPr>
        <w:fldChar w:fldCharType="end"/>
      </w:r>
      <w:r>
        <w:rPr>
          <w:sz w:val="24"/>
          <w:szCs w:val="24"/>
        </w:rPr>
        <w:t xml:space="preserve">  (Accessed: 4 July 2026).</w:t>
      </w:r>
    </w:p>
    <w:p w14:paraId="24810519">
      <w:pPr>
        <w:spacing w:line="360" w:lineRule="auto"/>
        <w:jc w:val="both"/>
      </w:pPr>
      <w:r>
        <w:rPr>
          <w:rFonts w:ascii="Arial Unicode MS" w:hAnsi="Arial Unicode MS" w:eastAsia="Arial Unicode MS" w:cs="Arial Unicode MS"/>
          <w:sz w:val="24"/>
          <w:szCs w:val="24"/>
        </w:rPr>
        <w:t xml:space="preserve">toyota.jp. (2026). トヨタ ラインアップ: トヨタ自動車WEBサイト, トヨタ ラインアップ | トヨタ自動車WEBサイト. Available at: </w:t>
      </w:r>
      <w:r>
        <w:fldChar w:fldCharType="begin"/>
      </w:r>
      <w:r>
        <w:instrText xml:space="preserve"> HYPERLINK "https://toyota.jp/carlineup/?padid=from_tjptop_menu_carlineup_header" \h </w:instrText>
      </w:r>
      <w:r>
        <w:fldChar w:fldCharType="separate"/>
      </w:r>
      <w:r>
        <w:rPr>
          <w:color w:val="1155CC"/>
          <w:sz w:val="24"/>
          <w:szCs w:val="24"/>
          <w:u w:val="single"/>
        </w:rPr>
        <w:t>https://toyota.jp/carlineup/?padid=from_tjptop_menu_carlineup_header</w:t>
      </w:r>
      <w:r>
        <w:rPr>
          <w:color w:val="1155CC"/>
          <w:sz w:val="24"/>
          <w:szCs w:val="24"/>
          <w:u w:val="single"/>
        </w:rPr>
        <w:fldChar w:fldCharType="end"/>
      </w:r>
      <w:r>
        <w:rPr>
          <w:sz w:val="24"/>
          <w:szCs w:val="24"/>
        </w:rPr>
        <w:t xml:space="preserve">  (Accessed: 4 July 2026).</w:t>
      </w:r>
    </w:p>
    <w:p w14:paraId="04AD4390">
      <w:pPr>
        <w:spacing w:line="360" w:lineRule="auto"/>
        <w:jc w:val="both"/>
        <w:rPr>
          <w:sz w:val="24"/>
          <w:szCs w:val="24"/>
        </w:rPr>
      </w:pPr>
      <w:r>
        <w:rPr>
          <w:sz w:val="24"/>
          <w:szCs w:val="24"/>
        </w:rPr>
        <w:t xml:space="preserve">Trade.gov. (2019). Japan - Protecting Intellectual Property, International Trade Administration | Trade.gov. International Trade Administration. Available at: </w:t>
      </w:r>
      <w:r>
        <w:fldChar w:fldCharType="begin"/>
      </w:r>
      <w:r>
        <w:instrText xml:space="preserve"> HYPERLINK "https://www.trade.gov/country-commercial-guides/japan-protecting-intellectual-property" \h </w:instrText>
      </w:r>
      <w:r>
        <w:fldChar w:fldCharType="separate"/>
      </w:r>
      <w:r>
        <w:rPr>
          <w:color w:val="1155CC"/>
          <w:sz w:val="24"/>
          <w:szCs w:val="24"/>
          <w:u w:val="single"/>
        </w:rPr>
        <w:t>https://www.trade.gov/country-commercial-guides/japan-protecting-intellectual-property</w:t>
      </w:r>
      <w:r>
        <w:rPr>
          <w:color w:val="1155CC"/>
          <w:sz w:val="24"/>
          <w:szCs w:val="24"/>
          <w:u w:val="single"/>
        </w:rPr>
        <w:fldChar w:fldCharType="end"/>
      </w:r>
      <w:r>
        <w:rPr>
          <w:sz w:val="24"/>
          <w:szCs w:val="24"/>
        </w:rPr>
        <w:t xml:space="preserve">  (Accessed: 6 July 2026).</w:t>
      </w:r>
    </w:p>
    <w:p w14:paraId="060596A0">
      <w:pPr>
        <w:spacing w:line="360" w:lineRule="auto"/>
        <w:jc w:val="both"/>
        <w:rPr>
          <w:sz w:val="24"/>
          <w:szCs w:val="24"/>
        </w:rPr>
      </w:pPr>
      <w:r>
        <w:rPr>
          <w:sz w:val="24"/>
          <w:szCs w:val="24"/>
        </w:rPr>
        <w:t xml:space="preserve">Williams, J., (2024). Consumer behavior analysis in the age of big data for effective marketing strategies. </w:t>
      </w:r>
      <w:r>
        <w:rPr>
          <w:i/>
          <w:iCs/>
          <w:sz w:val="24"/>
          <w:szCs w:val="24"/>
        </w:rPr>
        <w:t>International Journal of Strategic Marketing Practice, 6</w:t>
      </w:r>
      <w:r>
        <w:rPr>
          <w:sz w:val="24"/>
          <w:szCs w:val="24"/>
        </w:rPr>
        <w:t>(2), pp.36-46.</w:t>
      </w:r>
      <w:r>
        <w:fldChar w:fldCharType="begin"/>
      </w:r>
      <w:r>
        <w:instrText xml:space="preserve"> HYPERLINK "https://ir-library.ku.ac.ke/bitstreams/359933ac-a9a6-4148-9c66-75578e046695/download" \h </w:instrText>
      </w:r>
      <w:r>
        <w:fldChar w:fldCharType="separate"/>
      </w:r>
      <w:r>
        <w:rPr>
          <w:color w:val="1155CC"/>
          <w:sz w:val="24"/>
          <w:szCs w:val="24"/>
          <w:u w:val="single"/>
        </w:rPr>
        <w:t>https://ir-library.ku.ac.ke/bitstreams/359933ac-a9a6-4148-9c66-75578e046695/download</w:t>
      </w:r>
      <w:r>
        <w:rPr>
          <w:color w:val="1155CC"/>
          <w:sz w:val="24"/>
          <w:szCs w:val="24"/>
          <w:u w:val="single"/>
        </w:rPr>
        <w:fldChar w:fldCharType="end"/>
      </w:r>
    </w:p>
    <w:p w14:paraId="1F702B27">
      <w:pPr>
        <w:spacing w:line="360" w:lineRule="auto"/>
        <w:jc w:val="both"/>
        <w:rPr>
          <w:sz w:val="24"/>
          <w:szCs w:val="24"/>
        </w:rPr>
      </w:pPr>
      <w:r>
        <w:rPr>
          <w:sz w:val="24"/>
          <w:szCs w:val="24"/>
        </w:rPr>
        <w:t>Yaacoub, P., (2024). Artificial Intelligence In The Automotive Industry: What’s Next?.</w:t>
      </w:r>
      <w:r>
        <w:fldChar w:fldCharType="begin"/>
      </w:r>
      <w:r>
        <w:instrText xml:space="preserve"> HYPERLINK "https://documentserver.uhasselt.be/bitstream/1942/44122/1/08daa702-0cde-4808-99fb-f39febb4bf58.pdf" \h </w:instrText>
      </w:r>
      <w:r>
        <w:fldChar w:fldCharType="separate"/>
      </w:r>
      <w:r>
        <w:rPr>
          <w:color w:val="1155CC"/>
          <w:sz w:val="24"/>
          <w:szCs w:val="24"/>
          <w:u w:val="single"/>
        </w:rPr>
        <w:t>https://documentserver.uhasselt.be/bitstream/1942/44122/1/08daa702-0cde-4808-99fb-f39febb4bf58.pdf</w:t>
      </w:r>
      <w:r>
        <w:rPr>
          <w:color w:val="1155CC"/>
          <w:sz w:val="24"/>
          <w:szCs w:val="24"/>
          <w:u w:val="single"/>
        </w:rPr>
        <w:fldChar w:fldCharType="end"/>
      </w:r>
    </w:p>
    <w:p w14:paraId="2D344565">
      <w:pPr>
        <w:spacing w:line="360" w:lineRule="auto"/>
        <w:jc w:val="both"/>
        <w:rPr>
          <w:sz w:val="24"/>
          <w:szCs w:val="24"/>
        </w:rPr>
      </w:pPr>
      <w:r>
        <w:rPr>
          <w:sz w:val="24"/>
          <w:szCs w:val="24"/>
        </w:rPr>
        <w:t>Zhang, R., Li, M., Wu, X. and Gao, X., (2024). Analysis of Japan’s Carbon Neutrality Goals and Prospects.</w:t>
      </w:r>
      <w:r>
        <w:rPr>
          <w:i/>
          <w:iCs/>
          <w:sz w:val="24"/>
          <w:szCs w:val="24"/>
        </w:rPr>
        <w:t xml:space="preserve"> Journal of Electrical Power &amp; Energy Systems, 8</w:t>
      </w:r>
      <w:r>
        <w:rPr>
          <w:sz w:val="24"/>
          <w:szCs w:val="24"/>
        </w:rPr>
        <w:t>(1).</w:t>
      </w:r>
      <w:r>
        <w:fldChar w:fldCharType="begin"/>
      </w:r>
      <w:r>
        <w:instrText xml:space="preserve"> HYPERLINK "https://www.hillpublisher.com/UpFile/202408/20240808171525.pdf" \h </w:instrText>
      </w:r>
      <w:r>
        <w:fldChar w:fldCharType="separate"/>
      </w:r>
      <w:r>
        <w:rPr>
          <w:color w:val="1155CC"/>
          <w:sz w:val="24"/>
          <w:szCs w:val="24"/>
          <w:u w:val="single"/>
        </w:rPr>
        <w:t>https://www.hillpublisher.com/UpFile/202408/20240808171525.pdf</w:t>
      </w:r>
      <w:r>
        <w:rPr>
          <w:color w:val="1155CC"/>
          <w:sz w:val="24"/>
          <w:szCs w:val="24"/>
          <w:u w:val="single"/>
        </w:rPr>
        <w:fldChar w:fldCharType="end"/>
      </w:r>
    </w:p>
    <w:p w14:paraId="4956FF72">
      <w:pPr>
        <w:spacing w:line="360" w:lineRule="auto"/>
        <w:jc w:val="both"/>
        <w:rPr>
          <w:sz w:val="24"/>
          <w:szCs w:val="24"/>
        </w:rPr>
      </w:pPr>
      <w:r>
        <w:rPr>
          <w:color w:val="222222"/>
          <w:sz w:val="24"/>
          <w:szCs w:val="24"/>
          <w:highlight w:val="white"/>
        </w:rPr>
        <w:t xml:space="preserve">Zhang, X., (2025). Cross-Border E-Commerce Marketing Management. In </w:t>
      </w:r>
      <w:r>
        <w:rPr>
          <w:i/>
          <w:iCs/>
          <w:color w:val="222222"/>
          <w:sz w:val="24"/>
          <w:szCs w:val="24"/>
          <w:highlight w:val="white"/>
        </w:rPr>
        <w:t>Introduction to Cross-Border E-Commerce Ecosystem</w:t>
      </w:r>
      <w:r>
        <w:rPr>
          <w:color w:val="222222"/>
          <w:sz w:val="24"/>
          <w:szCs w:val="24"/>
          <w:highlight w:val="white"/>
        </w:rPr>
        <w:t xml:space="preserve"> (pp. 213-246). Singapore: Springer Nature Singapore.</w:t>
      </w:r>
      <w:r>
        <w:rPr>
          <w:sz w:val="24"/>
          <w:szCs w:val="24"/>
        </w:rPr>
        <w:t xml:space="preserve"> </w:t>
      </w:r>
      <w:r>
        <w:fldChar w:fldCharType="begin"/>
      </w:r>
      <w:r>
        <w:instrText xml:space="preserve"> HYPERLINK "https://link.springer.com/chapter/10.1007/978-981-96-1165-2_9" \h </w:instrText>
      </w:r>
      <w:r>
        <w:fldChar w:fldCharType="separate"/>
      </w:r>
      <w:r>
        <w:rPr>
          <w:color w:val="1155CC"/>
          <w:sz w:val="24"/>
          <w:szCs w:val="24"/>
          <w:u w:val="single"/>
        </w:rPr>
        <w:t>https://link.springer.com/chapter/10.1007/978-981-96-1165-2_9</w:t>
      </w:r>
      <w:r>
        <w:rPr>
          <w:color w:val="1155CC"/>
          <w:sz w:val="24"/>
          <w:szCs w:val="24"/>
          <w:u w:val="single"/>
        </w:rPr>
        <w:fldChar w:fldCharType="end"/>
      </w:r>
    </w:p>
    <w:p w14:paraId="7B634FB8">
      <w:pPr>
        <w:spacing w:line="360" w:lineRule="auto"/>
        <w:jc w:val="both"/>
        <w:rPr>
          <w:sz w:val="24"/>
          <w:szCs w:val="24"/>
        </w:rPr>
      </w:pPr>
    </w:p>
    <w:p w14:paraId="2BF634E4">
      <w:pPr>
        <w:spacing w:line="360" w:lineRule="auto"/>
        <w:jc w:val="both"/>
        <w:rPr>
          <w:sz w:val="24"/>
          <w:szCs w:val="24"/>
        </w:rPr>
      </w:pPr>
    </w:p>
    <w:p w14:paraId="1F57C9CD">
      <w:pPr>
        <w:spacing w:line="360" w:lineRule="auto"/>
        <w:jc w:val="both"/>
        <w:rPr>
          <w:sz w:val="24"/>
          <w:szCs w:val="24"/>
        </w:rPr>
      </w:pPr>
    </w:p>
    <w:p w14:paraId="05E56F14">
      <w:pPr>
        <w:spacing w:line="360" w:lineRule="auto"/>
        <w:jc w:val="both"/>
        <w:rPr>
          <w:sz w:val="24"/>
          <w:szCs w:val="24"/>
        </w:rPr>
      </w:pPr>
    </w:p>
    <w:p w14:paraId="4DE30F2F">
      <w:pPr>
        <w:spacing w:line="360" w:lineRule="auto"/>
        <w:jc w:val="both"/>
        <w:rPr>
          <w:sz w:val="24"/>
          <w:szCs w:val="24"/>
        </w:rPr>
      </w:pPr>
    </w:p>
    <w:sectPr>
      <w:headerReference r:id="rId3" w:type="default"/>
      <w:footerReference r:id="rId4" w:type="default"/>
      <w:pgSz w:w="12240" w:h="15840"/>
      <w:pgMar w:top="1440" w:right="1440" w:bottom="1440" w:left="1440" w:header="720" w:footer="720" w:gutter="0"/>
      <w:pgNumType w:start="0"/>
      <w:cols w:space="720" w:num="1"/>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Cambria Math">
    <w:panose1 w:val="02040503050406030204"/>
    <w:charset w:val="00"/>
    <w:family w:val="roman"/>
    <w:pitch w:val="default"/>
    <w:sig w:usb0="00000000" w:usb1="00000000" w:usb2="02000000" w:usb3="00000000" w:csb0="0000019F" w:csb1="00000000"/>
  </w:font>
  <w:font w:name="Arial Unicode MS">
    <w:panose1 w:val="020B0604020202020204"/>
    <w:charset w:val="80"/>
    <w:family w:val="swiss"/>
    <w:pitch w:val="default"/>
    <w:sig w:usb0="00000000" w:usb1="00000000" w:usb2="0000003F" w:usb3="00000000" w:csb0="003F01FF" w:csb1="00000000"/>
    <w:embedRegular r:id="rId1" w:fontKey="{81A6862B-B303-25CD-9E74-7C6A381A4043}"/>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FC85E15">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jc w:val="right"/>
      <w:rPr>
        <w:color w:val="000000"/>
      </w:rPr>
    </w:pPr>
    <w:r>
      <w:rPr>
        <w:color w:val="000000"/>
      </w:rPr>
      <w:fldChar w:fldCharType="begin"/>
    </w:r>
    <w:r>
      <w:rPr>
        <w:color w:val="000000"/>
      </w:rPr>
      <w:instrText xml:space="preserve">PAGE</w:instrText>
    </w:r>
    <w:r>
      <w:rPr>
        <w:color w:val="000000"/>
      </w:rPr>
      <w:fldChar w:fldCharType="separate"/>
    </w:r>
    <w:r>
      <w:rPr>
        <w:color w:val="000000"/>
      </w:rPr>
      <w:t>1</w:t>
    </w:r>
    <w:r>
      <w:rPr>
        <w:color w:val="000000"/>
      </w:rPr>
      <w:fldChar w:fldCharType="end"/>
    </w:r>
  </w:p>
  <w:p w14:paraId="64CE1DD3">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rPr>
        <w:color w:val="000000"/>
      </w:rP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819078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GB" w:bidi="ar-SA"/>
    </w:rPr>
  </w:style>
  <w:style w:type="paragraph" w:styleId="2">
    <w:name w:val="heading 1"/>
    <w:basedOn w:val="1"/>
    <w:next w:val="1"/>
    <w:qFormat/>
    <w:uiPriority w:val="9"/>
    <w:pPr>
      <w:keepNext/>
      <w:keepLines/>
      <w:spacing w:before="240" w:after="240" w:line="360" w:lineRule="auto"/>
      <w:jc w:val="both"/>
      <w:outlineLvl w:val="0"/>
    </w:pPr>
    <w:rPr>
      <w:rFonts w:ascii="Times New Roman" w:hAnsi="Times New Roman" w:eastAsia="Times New Roman" w:cs="Times New Roman"/>
      <w:b/>
      <w:bCs/>
      <w:sz w:val="28"/>
      <w:szCs w:val="28"/>
    </w:rPr>
  </w:style>
  <w:style w:type="paragraph" w:styleId="3">
    <w:name w:val="heading 2"/>
    <w:basedOn w:val="1"/>
    <w:next w:val="1"/>
    <w:unhideWhenUsed/>
    <w:qFormat/>
    <w:uiPriority w:val="9"/>
    <w:pPr>
      <w:keepNext/>
      <w:keepLines/>
      <w:spacing w:before="240" w:after="240" w:line="360" w:lineRule="auto"/>
      <w:jc w:val="both"/>
      <w:outlineLvl w:val="1"/>
    </w:pPr>
    <w:rPr>
      <w:rFonts w:ascii="Times New Roman" w:hAnsi="Times New Roman" w:eastAsia="Times New Roman" w:cs="Times New Roman"/>
      <w:b/>
      <w:bCs/>
      <w:sz w:val="26"/>
      <w:szCs w:val="26"/>
    </w:rPr>
  </w:style>
  <w:style w:type="paragraph" w:styleId="4">
    <w:name w:val="heading 3"/>
    <w:basedOn w:val="1"/>
    <w:next w:val="1"/>
    <w:unhideWhenUsed/>
    <w:qFormat/>
    <w:uiPriority w:val="9"/>
    <w:pPr>
      <w:keepNext/>
      <w:keepLines/>
      <w:spacing w:before="320" w:after="80"/>
      <w:outlineLvl w:val="2"/>
    </w:pPr>
    <w:rPr>
      <w:color w:val="434343"/>
      <w:sz w:val="28"/>
      <w:szCs w:val="28"/>
    </w:rPr>
  </w:style>
  <w:style w:type="paragraph" w:styleId="5">
    <w:name w:val="heading 4"/>
    <w:basedOn w:val="1"/>
    <w:next w:val="1"/>
    <w:unhideWhenUsed/>
    <w:qFormat/>
    <w:uiPriority w:val="9"/>
    <w:pPr>
      <w:keepNext/>
      <w:keepLines/>
      <w:spacing w:before="280" w:after="80"/>
      <w:outlineLvl w:val="3"/>
    </w:pPr>
    <w:rPr>
      <w:color w:val="666666"/>
      <w:sz w:val="24"/>
      <w:szCs w:val="24"/>
    </w:rPr>
  </w:style>
  <w:style w:type="paragraph" w:styleId="6">
    <w:name w:val="heading 5"/>
    <w:basedOn w:val="1"/>
    <w:next w:val="1"/>
    <w:unhideWhenUsed/>
    <w:qFormat/>
    <w:uiPriority w:val="9"/>
    <w:pPr>
      <w:keepNext/>
      <w:keepLines/>
      <w:spacing w:before="240" w:after="80"/>
      <w:outlineLvl w:val="4"/>
    </w:pPr>
    <w:rPr>
      <w:color w:val="666666"/>
    </w:rPr>
  </w:style>
  <w:style w:type="paragraph" w:styleId="7">
    <w:name w:val="heading 6"/>
    <w:basedOn w:val="1"/>
    <w:next w:val="1"/>
    <w:unhideWhenUsed/>
    <w:qFormat/>
    <w:uiPriority w:val="9"/>
    <w:pPr>
      <w:keepNext/>
      <w:keepLines/>
      <w:spacing w:before="240" w:after="80"/>
      <w:outlineLvl w:val="5"/>
    </w:pPr>
    <w:rPr>
      <w:i/>
      <w:iCs/>
      <w:color w:val="666666"/>
    </w:rPr>
  </w:style>
  <w:style w:type="character" w:default="1" w:styleId="12">
    <w:name w:val="Default Paragraph Font"/>
    <w:unhideWhenUsed/>
    <w:uiPriority w:val="1"/>
  </w:style>
  <w:style w:type="table" w:default="1" w:styleId="14">
    <w:name w:val="Normal Table"/>
    <w:unhideWhenUsed/>
    <w:uiPriority w:val="99"/>
    <w:tblPr>
      <w:tblLayout w:type="fixed"/>
      <w:tblCellMar>
        <w:top w:w="0" w:type="dxa"/>
        <w:left w:w="108" w:type="dxa"/>
        <w:bottom w:w="0" w:type="dxa"/>
        <w:right w:w="108" w:type="dxa"/>
      </w:tblCellMar>
    </w:tblPr>
  </w:style>
  <w:style w:type="paragraph" w:styleId="8">
    <w:name w:val="Subtitle"/>
    <w:basedOn w:val="1"/>
    <w:next w:val="1"/>
    <w:qFormat/>
    <w:uiPriority w:val="11"/>
    <w:pPr>
      <w:keepNext/>
      <w:keepLines/>
      <w:spacing w:after="320"/>
    </w:pPr>
    <w:rPr>
      <w:color w:val="666666"/>
      <w:sz w:val="30"/>
      <w:szCs w:val="30"/>
    </w:rPr>
  </w:style>
  <w:style w:type="paragraph" w:styleId="9">
    <w:name w:val="Title"/>
    <w:basedOn w:val="1"/>
    <w:next w:val="1"/>
    <w:qFormat/>
    <w:uiPriority w:val="10"/>
    <w:pPr>
      <w:keepNext/>
      <w:keepLines/>
      <w:spacing w:after="60"/>
    </w:pPr>
    <w:rPr>
      <w:sz w:val="52"/>
      <w:szCs w:val="52"/>
    </w:rPr>
  </w:style>
  <w:style w:type="paragraph" w:styleId="10">
    <w:name w:val="toc 1"/>
    <w:basedOn w:val="1"/>
    <w:next w:val="1"/>
    <w:unhideWhenUsed/>
    <w:uiPriority w:val="39"/>
    <w:pPr>
      <w:spacing w:after="100"/>
    </w:pPr>
  </w:style>
  <w:style w:type="paragraph" w:styleId="11">
    <w:name w:val="toc 2"/>
    <w:basedOn w:val="1"/>
    <w:next w:val="1"/>
    <w:unhideWhenUsed/>
    <w:uiPriority w:val="39"/>
    <w:pPr>
      <w:spacing w:after="100"/>
      <w:ind w:left="220"/>
    </w:pPr>
  </w:style>
  <w:style w:type="character" w:styleId="13">
    <w:name w:val="Hyperlink"/>
    <w:basedOn w:val="12"/>
    <w:unhideWhenUsed/>
    <w:uiPriority w:val="99"/>
    <w:rPr>
      <w:color w:val="0000FF" w:themeColor="hyperlink"/>
      <w:u w:val="single"/>
      <w14:textFill>
        <w14:solidFill>
          <w14:schemeClr w14:val="hlink"/>
        </w14:solidFill>
      </w14:textFill>
    </w:rPr>
  </w:style>
  <w:style w:type="table" w:customStyle="1" w:styleId="15">
    <w:name w:val="TableNormal"/>
    <w:uiPriority w:val="0"/>
    <w:tblPr>
      <w:tblLayout w:type="fixed"/>
      <w:tblCellMar>
        <w:top w:w="100" w:type="dxa"/>
        <w:left w:w="100" w:type="dxa"/>
        <w:bottom w:w="100" w:type="dxa"/>
        <w:right w:w="100" w:type="dxa"/>
      </w:tblCellMar>
    </w:tblPr>
  </w:style>
  <w:style w:type="table" w:customStyle="1" w:styleId="16">
    <w:name w:val="_Style 12"/>
    <w:basedOn w:val="15"/>
    <w:uiPriority w:val="0"/>
    <w:tblPr>
      <w:tblLayout w:type="fixed"/>
    </w:tbl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4" Type="http://schemas.openxmlformats.org/officeDocument/2006/relationships/fontTable" Target="fontTable.xml"/><Relationship Id="rId23" Type="http://schemas.openxmlformats.org/officeDocument/2006/relationships/customXml" Target="../customXml/item1.xml"/><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40</Pages>
  <Words>8375</Words>
  <Characters>47743</Characters>
  <Lines>397</Lines>
  <Paragraphs>112</Paragraphs>
  <TotalTime>0</TotalTime>
  <ScaleCrop>false</ScaleCrop>
  <LinksUpToDate>false</LinksUpToDate>
  <CharactersWithSpaces>56006</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2026-08-08T13:30:00Z</dcterms:created>
  <cp:lastModifiedBy>iPhone</cp:lastModifiedBy>
  <dcterms:modified xsi:type="dcterms:W3CDTF">2026-08-12T18:56:54Z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047C507C3CB6EE6383747C6AAC816F1B_31</vt:lpwstr>
  </property>
  <property fmtid="{D5CDD505-2E9C-101B-9397-08002B2CF9AE}" pid="3" name="KSOProductBuildVer">
    <vt:lpwstr>3081-26.8.0</vt:lpwstr>
  </property>
</Properties>
</file>