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1F58" w:rsidRPr="00F71F58" w:rsidRDefault="00F71F58" w:rsidP="00F71F58">
      <w:pPr>
        <w:spacing w:after="0" w:line="240" w:lineRule="auto"/>
        <w:ind w:left="-180" w:right="-334"/>
        <w:rPr>
          <w:rFonts w:ascii="Georgia" w:eastAsia="SimSun" w:hAnsi="Georgia" w:cs="Times New Roman"/>
          <w:color w:val="000000"/>
          <w:sz w:val="21"/>
          <w:szCs w:val="21"/>
          <w:lang w:eastAsia="zh-CN"/>
        </w:rPr>
      </w:pPr>
      <w:r w:rsidRPr="00F71F58">
        <w:rPr>
          <w:rFonts w:ascii="Georgia" w:eastAsia="SimSun" w:hAnsi="Georgia" w:cs="Times New Roman"/>
          <w:noProof/>
          <w:color w:val="000000"/>
          <w:sz w:val="21"/>
          <w:szCs w:val="21"/>
          <w:lang w:eastAsia="en-GB"/>
        </w:rPr>
        <w:drawing>
          <wp:inline distT="0" distB="0" distL="0" distR="0">
            <wp:extent cx="1905000" cy="638175"/>
            <wp:effectExtent l="19050" t="19050" r="19050" b="28575"/>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F71F58" w:rsidRPr="00F71F58" w:rsidRDefault="00F71F58" w:rsidP="00F71F58">
      <w:pPr>
        <w:spacing w:after="0" w:line="240" w:lineRule="auto"/>
        <w:ind w:left="-180" w:right="-334"/>
        <w:rPr>
          <w:rFonts w:ascii="Georgia" w:eastAsia="SimSun" w:hAnsi="Georgia" w:cs="Times New Roman"/>
          <w:color w:val="000000"/>
          <w:sz w:val="21"/>
          <w:szCs w:val="21"/>
          <w:lang w:eastAsia="zh-CN"/>
        </w:rPr>
      </w:pPr>
    </w:p>
    <w:p w:rsidR="00F71F58" w:rsidRPr="00F71F58" w:rsidRDefault="00F71F58" w:rsidP="00F71F58">
      <w:pPr>
        <w:spacing w:after="0" w:line="240" w:lineRule="auto"/>
        <w:ind w:left="-180" w:right="-334"/>
        <w:rPr>
          <w:rFonts w:ascii="Georgia" w:eastAsia="SimSun" w:hAnsi="Georgia" w:cs="Times New Roman"/>
          <w:color w:val="000000"/>
          <w:sz w:val="21"/>
          <w:szCs w:val="21"/>
          <w:lang w:eastAsia="zh-CN"/>
        </w:rPr>
      </w:pPr>
    </w:p>
    <w:p w:rsidR="00F71F58" w:rsidRPr="00F71F58" w:rsidRDefault="00F71F58" w:rsidP="00F71F58">
      <w:pPr>
        <w:spacing w:after="0" w:line="240" w:lineRule="auto"/>
        <w:ind w:left="-180" w:right="-334"/>
        <w:jc w:val="center"/>
        <w:rPr>
          <w:rFonts w:ascii="Arial" w:eastAsia="SimSun" w:hAnsi="Arial" w:cs="Arial"/>
          <w:b/>
          <w:color w:val="000000"/>
          <w:sz w:val="28"/>
          <w:szCs w:val="28"/>
          <w:lang w:val="cy-GB" w:eastAsia="zh-CN"/>
        </w:rPr>
      </w:pPr>
      <w:r w:rsidRPr="00F71F58">
        <w:rPr>
          <w:rFonts w:ascii="Arial" w:eastAsia="SimSun" w:hAnsi="Arial" w:cs="Arial"/>
          <w:b/>
          <w:color w:val="000000"/>
          <w:sz w:val="28"/>
          <w:szCs w:val="28"/>
          <w:lang w:val="cy-GB" w:eastAsia="zh-CN"/>
        </w:rPr>
        <w:t xml:space="preserve">Postgraduate/Distance Learning </w:t>
      </w:r>
    </w:p>
    <w:p w:rsidR="00F71F58" w:rsidRPr="00F71F58" w:rsidRDefault="00F71F58" w:rsidP="00F71F58">
      <w:pPr>
        <w:spacing w:after="0" w:line="240" w:lineRule="auto"/>
        <w:ind w:left="-180" w:right="-334"/>
        <w:jc w:val="center"/>
        <w:rPr>
          <w:rFonts w:ascii="Arial" w:eastAsia="SimSun" w:hAnsi="Arial" w:cs="Arial"/>
          <w:b/>
          <w:color w:val="000000"/>
          <w:sz w:val="28"/>
          <w:szCs w:val="28"/>
          <w:lang w:eastAsia="zh-CN"/>
        </w:rPr>
      </w:pPr>
      <w:r w:rsidRPr="00F71F58">
        <w:rPr>
          <w:rFonts w:ascii="Arial" w:eastAsia="SimSun" w:hAnsi="Arial" w:cs="Arial"/>
          <w:b/>
          <w:color w:val="000000"/>
          <w:sz w:val="28"/>
          <w:szCs w:val="28"/>
          <w:lang w:val="cy-GB" w:eastAsia="zh-CN"/>
        </w:rPr>
        <w:t>Assignment coversheet &amp; feedback form</w:t>
      </w:r>
    </w:p>
    <w:p w:rsidR="00F71F58" w:rsidRPr="00F71F58" w:rsidRDefault="00F71F58" w:rsidP="00F71F58">
      <w:pPr>
        <w:spacing w:after="0" w:line="240" w:lineRule="auto"/>
        <w:rPr>
          <w:rFonts w:ascii="Arial" w:eastAsia="SimSun" w:hAnsi="Arial" w:cs="Arial"/>
          <w:sz w:val="28"/>
          <w:szCs w:val="28"/>
          <w:lang w:val="cy-GB" w:eastAsia="zh-CN"/>
        </w:rPr>
      </w:pPr>
    </w:p>
    <w:p w:rsidR="00F71F58" w:rsidRPr="00F71F58" w:rsidRDefault="00F71F58" w:rsidP="00F71F58">
      <w:pPr>
        <w:keepNext/>
        <w:spacing w:after="0" w:line="240" w:lineRule="auto"/>
        <w:ind w:left="720"/>
        <w:jc w:val="center"/>
        <w:outlineLvl w:val="2"/>
        <w:rPr>
          <w:rFonts w:ascii="Tahoma" w:eastAsia="SimSun" w:hAnsi="Tahoma" w:cs="Tahoma"/>
          <w:b/>
          <w:bCs/>
          <w:sz w:val="20"/>
          <w:szCs w:val="20"/>
          <w:lang w:val="cy-GB" w:eastAsia="zh-CN"/>
        </w:rPr>
      </w:pPr>
      <w:r w:rsidRPr="00F71F58">
        <w:rPr>
          <w:rFonts w:ascii="Tahoma" w:eastAsia="SimSun" w:hAnsi="Tahoma" w:cs="Tahoma"/>
          <w:b/>
          <w:bCs/>
          <w:sz w:val="20"/>
          <w:szCs w:val="20"/>
          <w:lang w:val="cy-GB" w:eastAsia="zh-CN"/>
        </w:rPr>
        <w:t>THIS SHEET MUST BE THE FIRST PAGE OF THE ASSIGNMENT YOU ARE SUBMITTING  (DO NOT SEND AS A SEPARATE FILE)</w:t>
      </w:r>
    </w:p>
    <w:p w:rsidR="00F71F58" w:rsidRPr="00F71F58" w:rsidRDefault="00F71F58" w:rsidP="00F71F58">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71F58" w:rsidRPr="00F71F58" w:rsidTr="00EB756B">
        <w:trPr>
          <w:trHeight w:val="614"/>
        </w:trPr>
        <w:tc>
          <w:tcPr>
            <w:tcW w:w="8856" w:type="dxa"/>
            <w:gridSpan w:val="5"/>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b/>
                <w:color w:val="000000"/>
                <w:lang w:eastAsia="zh-CN"/>
              </w:rPr>
              <w:t>For completion by the student</w:t>
            </w:r>
            <w:r w:rsidRPr="00F71F58">
              <w:rPr>
                <w:rFonts w:ascii="Arial" w:eastAsia="SimSun" w:hAnsi="Arial" w:cs="Arial"/>
                <w:color w:val="000000"/>
                <w:lang w:eastAsia="zh-CN"/>
              </w:rPr>
              <w:t>:</w:t>
            </w:r>
          </w:p>
        </w:tc>
      </w:tr>
      <w:tr w:rsidR="00F71F58" w:rsidRPr="00F71F58" w:rsidTr="00EB756B">
        <w:trPr>
          <w:trHeight w:val="718"/>
        </w:trPr>
        <w:tc>
          <w:tcPr>
            <w:tcW w:w="8856" w:type="dxa"/>
            <w:gridSpan w:val="5"/>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Student Name:</w:t>
            </w:r>
          </w:p>
          <w:p w:rsidR="00F71F58" w:rsidRPr="00F71F58" w:rsidRDefault="00C4119D" w:rsidP="00F71F58">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Suzanne Caisey</w:t>
            </w:r>
          </w:p>
        </w:tc>
      </w:tr>
      <w:tr w:rsidR="00F71F58" w:rsidRPr="00F71F58" w:rsidTr="00EB756B">
        <w:trPr>
          <w:trHeight w:val="849"/>
        </w:trPr>
        <w:tc>
          <w:tcPr>
            <w:tcW w:w="4788" w:type="dxa"/>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Module code:</w:t>
            </w:r>
            <w:r w:rsidR="00C4119D">
              <w:rPr>
                <w:rFonts w:ascii="Arial" w:eastAsia="SimSun" w:hAnsi="Arial" w:cs="Arial"/>
                <w:color w:val="000000"/>
                <w:lang w:eastAsia="zh-CN"/>
              </w:rPr>
              <w:t xml:space="preserve"> AHHI7016</w:t>
            </w:r>
          </w:p>
          <w:p w:rsidR="00F71F58" w:rsidRPr="00F71F58" w:rsidRDefault="00F71F58" w:rsidP="00F71F58">
            <w:pPr>
              <w:spacing w:after="0" w:line="240" w:lineRule="auto"/>
              <w:ind w:right="34"/>
              <w:rPr>
                <w:rFonts w:ascii="Arial" w:eastAsia="SimSun" w:hAnsi="Arial" w:cs="Arial"/>
                <w:color w:val="000000"/>
                <w:lang w:eastAsia="zh-CN"/>
              </w:rPr>
            </w:pPr>
          </w:p>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Module title:</w:t>
            </w:r>
            <w:r w:rsidR="00C4119D">
              <w:rPr>
                <w:rFonts w:ascii="Arial" w:eastAsia="SimSun" w:hAnsi="Arial" w:cs="Arial"/>
                <w:color w:val="000000"/>
                <w:lang w:eastAsia="zh-CN"/>
              </w:rPr>
              <w:t xml:space="preserve"> Studying the Medieval</w:t>
            </w:r>
          </w:p>
          <w:p w:rsidR="00F71F58" w:rsidRPr="00F71F58" w:rsidRDefault="00F71F58" w:rsidP="00F71F58">
            <w:pPr>
              <w:spacing w:after="0" w:line="240" w:lineRule="auto"/>
              <w:ind w:right="34"/>
              <w:rPr>
                <w:rFonts w:ascii="Arial" w:eastAsia="SimSun" w:hAnsi="Arial" w:cs="Arial"/>
                <w:color w:val="000000"/>
                <w:lang w:eastAsia="zh-CN"/>
              </w:rPr>
            </w:pPr>
          </w:p>
          <w:p w:rsidR="00F71F58" w:rsidRPr="00F71F58" w:rsidRDefault="00F71F58" w:rsidP="00F71F58">
            <w:pPr>
              <w:spacing w:after="0" w:line="240" w:lineRule="auto"/>
              <w:ind w:right="34"/>
              <w:rPr>
                <w:rFonts w:ascii="Arial" w:eastAsia="SimSun" w:hAnsi="Arial" w:cs="Arial"/>
                <w:color w:val="000000"/>
                <w:lang w:eastAsia="zh-CN"/>
              </w:rPr>
            </w:pPr>
          </w:p>
        </w:tc>
        <w:tc>
          <w:tcPr>
            <w:tcW w:w="2266" w:type="dxa"/>
            <w:gridSpan w:val="3"/>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Student ID number:</w:t>
            </w:r>
            <w:r w:rsidR="00C4119D">
              <w:rPr>
                <w:rFonts w:ascii="Arial" w:eastAsia="SimSun" w:hAnsi="Arial" w:cs="Arial"/>
                <w:color w:val="000000"/>
                <w:lang w:eastAsia="zh-CN"/>
              </w:rPr>
              <w:t xml:space="preserve"> 1708467</w:t>
            </w:r>
          </w:p>
        </w:tc>
        <w:tc>
          <w:tcPr>
            <w:tcW w:w="1802" w:type="dxa"/>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Educational support needs:</w:t>
            </w:r>
          </w:p>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No</w:t>
            </w:r>
          </w:p>
        </w:tc>
      </w:tr>
      <w:tr w:rsidR="00F71F58" w:rsidRPr="00F71F58" w:rsidTr="00EB756B">
        <w:trPr>
          <w:trHeight w:val="1139"/>
        </w:trPr>
        <w:tc>
          <w:tcPr>
            <w:tcW w:w="8856" w:type="dxa"/>
            <w:gridSpan w:val="5"/>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Module tutor:</w:t>
            </w:r>
          </w:p>
          <w:p w:rsidR="00F71F58" w:rsidRPr="00F71F58" w:rsidRDefault="00C4119D" w:rsidP="00F71F58">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Janet Burton</w:t>
            </w:r>
          </w:p>
          <w:p w:rsidR="00F71F58" w:rsidRPr="00F71F58" w:rsidRDefault="00F71F58" w:rsidP="00F71F58">
            <w:pPr>
              <w:spacing w:after="0" w:line="240" w:lineRule="auto"/>
              <w:ind w:right="34"/>
              <w:rPr>
                <w:rFonts w:ascii="Arial" w:eastAsia="SimSun" w:hAnsi="Arial" w:cs="Arial"/>
                <w:color w:val="000000"/>
                <w:lang w:eastAsia="zh-CN"/>
              </w:rPr>
            </w:pPr>
          </w:p>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Assignment due date:</w:t>
            </w:r>
            <w:r w:rsidR="00C4119D">
              <w:rPr>
                <w:rFonts w:ascii="Arial" w:eastAsia="SimSun" w:hAnsi="Arial" w:cs="Arial"/>
                <w:color w:val="000000"/>
                <w:lang w:eastAsia="zh-CN"/>
              </w:rPr>
              <w:t xml:space="preserve"> 31</w:t>
            </w:r>
            <w:r w:rsidR="00C4119D" w:rsidRPr="00C4119D">
              <w:rPr>
                <w:rFonts w:ascii="Arial" w:eastAsia="SimSun" w:hAnsi="Arial" w:cs="Arial"/>
                <w:color w:val="000000"/>
                <w:vertAlign w:val="superscript"/>
                <w:lang w:eastAsia="zh-CN"/>
              </w:rPr>
              <w:t>st</w:t>
            </w:r>
            <w:r w:rsidR="00C4119D">
              <w:rPr>
                <w:rFonts w:ascii="Arial" w:eastAsia="SimSun" w:hAnsi="Arial" w:cs="Arial"/>
                <w:color w:val="000000"/>
                <w:lang w:eastAsia="zh-CN"/>
              </w:rPr>
              <w:t xml:space="preserve"> August 2018</w:t>
            </w:r>
          </w:p>
        </w:tc>
      </w:tr>
      <w:tr w:rsidR="00F71F58" w:rsidRPr="00F71F58" w:rsidTr="00EB756B">
        <w:trPr>
          <w:trHeight w:val="978"/>
        </w:trPr>
        <w:tc>
          <w:tcPr>
            <w:tcW w:w="8856" w:type="dxa"/>
            <w:gridSpan w:val="5"/>
            <w:tcBorders>
              <w:bottom w:val="single" w:sz="4" w:space="0" w:color="000000"/>
            </w:tcBorders>
          </w:tcPr>
          <w:p w:rsidR="00F71F58" w:rsidRPr="00F71F58" w:rsidRDefault="00F71F58" w:rsidP="00F71F58">
            <w:pPr>
              <w:spacing w:after="0" w:line="240" w:lineRule="auto"/>
              <w:rPr>
                <w:rFonts w:ascii="Arial" w:eastAsia="SimSun" w:hAnsi="Arial" w:cs="Arial"/>
                <w:lang w:eastAsia="zh-CN"/>
              </w:rPr>
            </w:pPr>
            <w:r w:rsidRPr="00F71F58">
              <w:rPr>
                <w:rFonts w:ascii="Arial" w:eastAsia="SimSun" w:hAnsi="Arial" w:cs="Arial"/>
                <w:lang w:eastAsia="zh-CN"/>
              </w:rPr>
              <w:t>If your module has multiple submissions please indicate which piece of work this is.</w:t>
            </w:r>
          </w:p>
          <w:p w:rsidR="00F71F58" w:rsidRPr="00F71F58" w:rsidRDefault="00F71F58" w:rsidP="00F71F58">
            <w:pPr>
              <w:spacing w:after="0" w:line="240" w:lineRule="auto"/>
              <w:rPr>
                <w:rFonts w:ascii="Arial" w:eastAsia="SimSun" w:hAnsi="Arial" w:cs="Arial"/>
                <w:lang w:eastAsia="zh-CN"/>
              </w:rPr>
            </w:pPr>
          </w:p>
          <w:p w:rsidR="00F71F58" w:rsidRPr="00F71F58" w:rsidRDefault="00F71F58" w:rsidP="00C4119D">
            <w:pPr>
              <w:spacing w:after="0" w:line="240" w:lineRule="auto"/>
              <w:rPr>
                <w:rFonts w:ascii="Arial" w:eastAsia="SimSun" w:hAnsi="Arial" w:cs="Arial"/>
                <w:lang w:eastAsia="zh-CN"/>
              </w:rPr>
            </w:pPr>
            <w:r w:rsidRPr="00F71F58">
              <w:rPr>
                <w:rFonts w:ascii="Arial" w:eastAsia="SimSun" w:hAnsi="Arial" w:cs="Arial"/>
                <w:lang w:eastAsia="zh-CN"/>
              </w:rPr>
              <w:t>1</w:t>
            </w:r>
            <w:r w:rsidRPr="00F71F58">
              <w:rPr>
                <w:rFonts w:ascii="Arial" w:eastAsia="SimSun" w:hAnsi="Arial" w:cs="Arial"/>
                <w:vertAlign w:val="superscript"/>
                <w:lang w:eastAsia="zh-CN"/>
              </w:rPr>
              <w:t xml:space="preserve">st </w:t>
            </w:r>
            <w:r w:rsidRPr="00F71F58">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71F58">
              <w:rPr>
                <w:rFonts w:ascii="Arial" w:eastAsia="SimSun" w:hAnsi="Arial" w:cs="Arial"/>
                <w:lang w:eastAsia="zh-CN"/>
              </w:rPr>
              <w:instrText xml:space="preserve"> FORMCHECKBOX </w:instrText>
            </w:r>
            <w:r w:rsidR="00A80385">
              <w:rPr>
                <w:rFonts w:ascii="Arial" w:eastAsia="SimSun" w:hAnsi="Arial" w:cs="Arial"/>
                <w:lang w:eastAsia="zh-CN"/>
              </w:rPr>
            </w:r>
            <w:r w:rsidR="00A80385">
              <w:rPr>
                <w:rFonts w:ascii="Arial" w:eastAsia="SimSun" w:hAnsi="Arial" w:cs="Arial"/>
                <w:lang w:eastAsia="zh-CN"/>
              </w:rPr>
              <w:fldChar w:fldCharType="separate"/>
            </w:r>
            <w:r w:rsidRPr="00F71F58">
              <w:rPr>
                <w:rFonts w:ascii="Arial" w:eastAsia="SimSun" w:hAnsi="Arial" w:cs="Arial"/>
                <w:lang w:eastAsia="zh-CN"/>
              </w:rPr>
              <w:fldChar w:fldCharType="end"/>
            </w:r>
            <w:bookmarkEnd w:id="0"/>
            <w:r w:rsidRPr="00F71F58">
              <w:rPr>
                <w:rFonts w:ascii="Arial" w:eastAsia="SimSun" w:hAnsi="Arial" w:cs="Arial"/>
                <w:lang w:eastAsia="zh-CN"/>
              </w:rPr>
              <w:t xml:space="preserve">    2</w:t>
            </w:r>
            <w:r w:rsidRPr="00F71F58">
              <w:rPr>
                <w:rFonts w:ascii="Arial" w:eastAsia="SimSun" w:hAnsi="Arial" w:cs="Arial"/>
                <w:vertAlign w:val="superscript"/>
                <w:lang w:eastAsia="zh-CN"/>
              </w:rPr>
              <w:t>nd</w:t>
            </w:r>
            <w:r w:rsidRPr="00F71F58">
              <w:rPr>
                <w:rFonts w:ascii="Arial" w:eastAsia="SimSun" w:hAnsi="Arial" w:cs="Arial"/>
                <w:lang w:eastAsia="zh-CN"/>
              </w:rPr>
              <w:t xml:space="preserve">  </w:t>
            </w:r>
            <w:r w:rsidRPr="00F71F58">
              <w:rPr>
                <w:rFonts w:ascii="Arial" w:eastAsia="SimSun" w:hAnsi="Arial" w:cs="Arial"/>
                <w:lang w:eastAsia="zh-CN"/>
              </w:rPr>
              <w:fldChar w:fldCharType="begin">
                <w:ffData>
                  <w:name w:val="Check14"/>
                  <w:enabled/>
                  <w:calcOnExit w:val="0"/>
                  <w:checkBox>
                    <w:sizeAuto/>
                    <w:default w:val="0"/>
                  </w:checkBox>
                </w:ffData>
              </w:fldChar>
            </w:r>
            <w:bookmarkStart w:id="1" w:name="Check14"/>
            <w:r w:rsidRPr="00F71F58">
              <w:rPr>
                <w:rFonts w:ascii="Arial" w:eastAsia="SimSun" w:hAnsi="Arial" w:cs="Arial"/>
                <w:lang w:eastAsia="zh-CN"/>
              </w:rPr>
              <w:instrText xml:space="preserve"> FORMCHECKBOX </w:instrText>
            </w:r>
            <w:r w:rsidR="00A80385">
              <w:rPr>
                <w:rFonts w:ascii="Arial" w:eastAsia="SimSun" w:hAnsi="Arial" w:cs="Arial"/>
                <w:lang w:eastAsia="zh-CN"/>
              </w:rPr>
            </w:r>
            <w:r w:rsidR="00A80385">
              <w:rPr>
                <w:rFonts w:ascii="Arial" w:eastAsia="SimSun" w:hAnsi="Arial" w:cs="Arial"/>
                <w:lang w:eastAsia="zh-CN"/>
              </w:rPr>
              <w:fldChar w:fldCharType="separate"/>
            </w:r>
            <w:r w:rsidRPr="00F71F58">
              <w:rPr>
                <w:rFonts w:ascii="Arial" w:eastAsia="SimSun" w:hAnsi="Arial" w:cs="Arial"/>
                <w:lang w:eastAsia="zh-CN"/>
              </w:rPr>
              <w:fldChar w:fldCharType="end"/>
            </w:r>
            <w:bookmarkEnd w:id="1"/>
            <w:r w:rsidRPr="00F71F58">
              <w:rPr>
                <w:rFonts w:ascii="Arial" w:eastAsia="SimSun" w:hAnsi="Arial" w:cs="Arial"/>
                <w:lang w:eastAsia="zh-CN"/>
              </w:rPr>
              <w:t xml:space="preserve">     3</w:t>
            </w:r>
            <w:r w:rsidRPr="00F71F58">
              <w:rPr>
                <w:rFonts w:ascii="Arial" w:eastAsia="SimSun" w:hAnsi="Arial" w:cs="Arial"/>
                <w:vertAlign w:val="superscript"/>
                <w:lang w:eastAsia="zh-CN"/>
              </w:rPr>
              <w:t>rd</w:t>
            </w:r>
            <w:r w:rsidRPr="00F71F58">
              <w:rPr>
                <w:rFonts w:ascii="Arial" w:eastAsia="SimSun" w:hAnsi="Arial" w:cs="Arial"/>
                <w:lang w:eastAsia="zh-CN"/>
              </w:rPr>
              <w:t xml:space="preserve">  </w:t>
            </w:r>
            <w:r w:rsidR="00C4119D">
              <w:rPr>
                <w:rFonts w:ascii="Arial" w:eastAsia="SimSun" w:hAnsi="Arial" w:cs="Arial"/>
                <w:lang w:eastAsia="zh-CN"/>
              </w:rPr>
              <w:t>√</w:t>
            </w:r>
            <w:r w:rsidRPr="00F71F58">
              <w:rPr>
                <w:rFonts w:ascii="Arial" w:eastAsia="SimSun" w:hAnsi="Arial" w:cs="Arial"/>
                <w:lang w:eastAsia="zh-CN"/>
              </w:rPr>
              <w:t xml:space="preserve">      4</w:t>
            </w:r>
            <w:r w:rsidRPr="00F71F58">
              <w:rPr>
                <w:rFonts w:ascii="Arial" w:eastAsia="SimSun" w:hAnsi="Arial" w:cs="Arial"/>
                <w:vertAlign w:val="superscript"/>
                <w:lang w:eastAsia="zh-CN"/>
              </w:rPr>
              <w:t>th</w:t>
            </w:r>
            <w:r w:rsidRPr="00F71F58">
              <w:rPr>
                <w:rFonts w:ascii="Arial" w:eastAsia="SimSun" w:hAnsi="Arial" w:cs="Arial"/>
                <w:lang w:eastAsia="zh-CN"/>
              </w:rPr>
              <w:t xml:space="preserve"> </w:t>
            </w:r>
            <w:r w:rsidRPr="00F71F58">
              <w:rPr>
                <w:rFonts w:ascii="Arial" w:eastAsia="SimSun" w:hAnsi="Arial" w:cs="Arial"/>
                <w:lang w:eastAsia="zh-CN"/>
              </w:rPr>
              <w:fldChar w:fldCharType="begin">
                <w:ffData>
                  <w:name w:val="Check16"/>
                  <w:enabled/>
                  <w:calcOnExit w:val="0"/>
                  <w:checkBox>
                    <w:sizeAuto/>
                    <w:default w:val="0"/>
                  </w:checkBox>
                </w:ffData>
              </w:fldChar>
            </w:r>
            <w:bookmarkStart w:id="2" w:name="Check16"/>
            <w:r w:rsidRPr="00F71F58">
              <w:rPr>
                <w:rFonts w:ascii="Arial" w:eastAsia="SimSun" w:hAnsi="Arial" w:cs="Arial"/>
                <w:lang w:eastAsia="zh-CN"/>
              </w:rPr>
              <w:instrText xml:space="preserve"> FORMCHECKBOX </w:instrText>
            </w:r>
            <w:r w:rsidR="00A80385">
              <w:rPr>
                <w:rFonts w:ascii="Arial" w:eastAsia="SimSun" w:hAnsi="Arial" w:cs="Arial"/>
                <w:lang w:eastAsia="zh-CN"/>
              </w:rPr>
            </w:r>
            <w:r w:rsidR="00A80385">
              <w:rPr>
                <w:rFonts w:ascii="Arial" w:eastAsia="SimSun" w:hAnsi="Arial" w:cs="Arial"/>
                <w:lang w:eastAsia="zh-CN"/>
              </w:rPr>
              <w:fldChar w:fldCharType="separate"/>
            </w:r>
            <w:r w:rsidRPr="00F71F58">
              <w:rPr>
                <w:rFonts w:ascii="Arial" w:eastAsia="SimSun" w:hAnsi="Arial" w:cs="Arial"/>
                <w:lang w:eastAsia="zh-CN"/>
              </w:rPr>
              <w:fldChar w:fldCharType="end"/>
            </w:r>
            <w:bookmarkEnd w:id="2"/>
            <w:r w:rsidRPr="00F71F58">
              <w:rPr>
                <w:rFonts w:ascii="Arial" w:eastAsia="SimSun" w:hAnsi="Arial" w:cs="Arial"/>
                <w:lang w:eastAsia="zh-CN"/>
              </w:rPr>
              <w:t xml:space="preserve">      5</w:t>
            </w:r>
            <w:r w:rsidRPr="00F71F58">
              <w:rPr>
                <w:rFonts w:ascii="Arial" w:eastAsia="SimSun" w:hAnsi="Arial" w:cs="Arial"/>
                <w:vertAlign w:val="superscript"/>
                <w:lang w:eastAsia="zh-CN"/>
              </w:rPr>
              <w:t>th</w:t>
            </w:r>
            <w:r w:rsidRPr="00F71F58">
              <w:rPr>
                <w:rFonts w:ascii="Arial" w:eastAsia="SimSun" w:hAnsi="Arial" w:cs="Arial"/>
                <w:lang w:eastAsia="zh-CN"/>
              </w:rPr>
              <w:t xml:space="preserve"> </w:t>
            </w:r>
            <w:r w:rsidRPr="00F71F58">
              <w:rPr>
                <w:rFonts w:ascii="Arial" w:eastAsia="SimSun" w:hAnsi="Arial" w:cs="Arial"/>
                <w:lang w:eastAsia="zh-CN"/>
              </w:rPr>
              <w:fldChar w:fldCharType="begin">
                <w:ffData>
                  <w:name w:val="Check17"/>
                  <w:enabled/>
                  <w:calcOnExit w:val="0"/>
                  <w:checkBox>
                    <w:sizeAuto/>
                    <w:default w:val="0"/>
                  </w:checkBox>
                </w:ffData>
              </w:fldChar>
            </w:r>
            <w:bookmarkStart w:id="3" w:name="Check17"/>
            <w:r w:rsidRPr="00F71F58">
              <w:rPr>
                <w:rFonts w:ascii="Arial" w:eastAsia="SimSun" w:hAnsi="Arial" w:cs="Arial"/>
                <w:lang w:eastAsia="zh-CN"/>
              </w:rPr>
              <w:instrText xml:space="preserve"> FORMCHECKBOX </w:instrText>
            </w:r>
            <w:r w:rsidR="00A80385">
              <w:rPr>
                <w:rFonts w:ascii="Arial" w:eastAsia="SimSun" w:hAnsi="Arial" w:cs="Arial"/>
                <w:lang w:eastAsia="zh-CN"/>
              </w:rPr>
            </w:r>
            <w:r w:rsidR="00A80385">
              <w:rPr>
                <w:rFonts w:ascii="Arial" w:eastAsia="SimSun" w:hAnsi="Arial" w:cs="Arial"/>
                <w:lang w:eastAsia="zh-CN"/>
              </w:rPr>
              <w:fldChar w:fldCharType="separate"/>
            </w:r>
            <w:r w:rsidRPr="00F71F58">
              <w:rPr>
                <w:rFonts w:ascii="Arial" w:eastAsia="SimSun" w:hAnsi="Arial" w:cs="Arial"/>
                <w:lang w:eastAsia="zh-CN"/>
              </w:rPr>
              <w:fldChar w:fldCharType="end"/>
            </w:r>
            <w:bookmarkEnd w:id="3"/>
            <w:r w:rsidRPr="00F71F58">
              <w:rPr>
                <w:rFonts w:ascii="Arial" w:eastAsia="SimSun" w:hAnsi="Arial" w:cs="Arial"/>
                <w:lang w:eastAsia="zh-CN"/>
              </w:rPr>
              <w:t xml:space="preserve">      6</w:t>
            </w:r>
            <w:r w:rsidRPr="00F71F58">
              <w:rPr>
                <w:rFonts w:ascii="Arial" w:eastAsia="SimSun" w:hAnsi="Arial" w:cs="Arial"/>
                <w:vertAlign w:val="superscript"/>
                <w:lang w:eastAsia="zh-CN"/>
              </w:rPr>
              <w:t>th</w:t>
            </w:r>
            <w:r w:rsidRPr="00F71F58">
              <w:rPr>
                <w:rFonts w:ascii="Arial" w:eastAsia="SimSun" w:hAnsi="Arial" w:cs="Arial"/>
                <w:lang w:eastAsia="zh-CN"/>
              </w:rPr>
              <w:t xml:space="preserve"> </w:t>
            </w:r>
            <w:r w:rsidRPr="00F71F58">
              <w:rPr>
                <w:rFonts w:ascii="Arial" w:eastAsia="SimSun" w:hAnsi="Arial" w:cs="Arial"/>
                <w:lang w:eastAsia="zh-CN"/>
              </w:rPr>
              <w:fldChar w:fldCharType="begin">
                <w:ffData>
                  <w:name w:val="Check18"/>
                  <w:enabled/>
                  <w:calcOnExit w:val="0"/>
                  <w:checkBox>
                    <w:sizeAuto/>
                    <w:default w:val="0"/>
                  </w:checkBox>
                </w:ffData>
              </w:fldChar>
            </w:r>
            <w:bookmarkStart w:id="4" w:name="Check18"/>
            <w:r w:rsidRPr="00F71F58">
              <w:rPr>
                <w:rFonts w:ascii="Arial" w:eastAsia="SimSun" w:hAnsi="Arial" w:cs="Arial"/>
                <w:lang w:eastAsia="zh-CN"/>
              </w:rPr>
              <w:instrText xml:space="preserve"> FORMCHECKBOX </w:instrText>
            </w:r>
            <w:r w:rsidR="00A80385">
              <w:rPr>
                <w:rFonts w:ascii="Arial" w:eastAsia="SimSun" w:hAnsi="Arial" w:cs="Arial"/>
                <w:lang w:eastAsia="zh-CN"/>
              </w:rPr>
            </w:r>
            <w:r w:rsidR="00A80385">
              <w:rPr>
                <w:rFonts w:ascii="Arial" w:eastAsia="SimSun" w:hAnsi="Arial" w:cs="Arial"/>
                <w:lang w:eastAsia="zh-CN"/>
              </w:rPr>
              <w:fldChar w:fldCharType="separate"/>
            </w:r>
            <w:r w:rsidRPr="00F71F58">
              <w:rPr>
                <w:rFonts w:ascii="Arial" w:eastAsia="SimSun" w:hAnsi="Arial" w:cs="Arial"/>
                <w:lang w:eastAsia="zh-CN"/>
              </w:rPr>
              <w:fldChar w:fldCharType="end"/>
            </w:r>
            <w:bookmarkEnd w:id="4"/>
          </w:p>
        </w:tc>
      </w:tr>
      <w:tr w:rsidR="00F71F58" w:rsidRPr="00F71F58" w:rsidTr="00EB756B">
        <w:trPr>
          <w:trHeight w:val="978"/>
        </w:trPr>
        <w:tc>
          <w:tcPr>
            <w:tcW w:w="8856" w:type="dxa"/>
            <w:gridSpan w:val="5"/>
            <w:shd w:val="clear" w:color="auto" w:fill="D9D9D9"/>
          </w:tcPr>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I confirm that this is my original work and that I have adhered to the University policy on plagiarism.</w:t>
            </w:r>
          </w:p>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Arial" w:eastAsia="SimSun" w:hAnsi="Arial" w:cs="Arial"/>
                <w:color w:val="000000"/>
                <w:lang w:eastAsia="zh-CN"/>
              </w:rPr>
              <w:t>Signed ……………………………………………………………</w:t>
            </w:r>
          </w:p>
          <w:p w:rsidR="00F71F58" w:rsidRPr="00F71F58" w:rsidRDefault="00F71F58" w:rsidP="00F71F58">
            <w:pPr>
              <w:spacing w:after="0" w:line="240" w:lineRule="auto"/>
              <w:ind w:right="34"/>
              <w:rPr>
                <w:rFonts w:ascii="Calibri" w:eastAsia="SimSun" w:hAnsi="Calibri" w:cs="Calibri"/>
                <w:b/>
                <w:color w:val="000000"/>
                <w:sz w:val="44"/>
                <w:szCs w:val="44"/>
                <w:lang w:eastAsia="zh-CN"/>
              </w:rPr>
            </w:pPr>
            <w:r w:rsidRPr="00F71F58">
              <w:rPr>
                <w:rFonts w:ascii="Calibri" w:eastAsia="SimSun" w:hAnsi="Calibri" w:cs="Tahoma"/>
                <w:b/>
                <w:color w:val="000000"/>
                <w:sz w:val="24"/>
                <w:szCs w:val="24"/>
                <w:lang w:eastAsia="zh-CN"/>
              </w:rPr>
              <w:t xml:space="preserve">Email submission: if you are submitting this form via email, please tick this box </w:t>
            </w:r>
            <w:r w:rsidR="00C4119D">
              <w:rPr>
                <w:rFonts w:ascii="Calibri" w:eastAsia="SimSun" w:hAnsi="Calibri" w:cs="Calibri"/>
                <w:b/>
                <w:color w:val="000000"/>
                <w:sz w:val="44"/>
                <w:szCs w:val="44"/>
                <w:lang w:eastAsia="zh-CN"/>
              </w:rPr>
              <w:t>√</w:t>
            </w:r>
          </w:p>
          <w:p w:rsidR="00F71F58" w:rsidRPr="00F71F58" w:rsidRDefault="00F71F58" w:rsidP="00F71F58">
            <w:pPr>
              <w:spacing w:after="0" w:line="240" w:lineRule="auto"/>
              <w:ind w:right="34"/>
              <w:rPr>
                <w:rFonts w:ascii="Arial" w:eastAsia="SimSun" w:hAnsi="Arial" w:cs="Arial"/>
                <w:color w:val="000000"/>
                <w:lang w:eastAsia="zh-CN"/>
              </w:rPr>
            </w:pPr>
            <w:r w:rsidRPr="00F71F58">
              <w:rPr>
                <w:rFonts w:ascii="Calibri" w:eastAsia="SimSun" w:hAnsi="Calibri" w:cs="Tahoma"/>
                <w:b/>
                <w:color w:val="000000"/>
                <w:sz w:val="24"/>
                <w:szCs w:val="24"/>
                <w:lang w:eastAsia="zh-CN"/>
              </w:rPr>
              <w:t>(as a substitute for your signature) to confirm that you agree to the above declaration.</w:t>
            </w:r>
          </w:p>
        </w:tc>
      </w:tr>
      <w:tr w:rsidR="00F71F58" w:rsidRPr="00F71F58" w:rsidTr="00EB756B">
        <w:trPr>
          <w:trHeight w:val="3972"/>
        </w:trPr>
        <w:tc>
          <w:tcPr>
            <w:tcW w:w="8856" w:type="dxa"/>
            <w:gridSpan w:val="5"/>
          </w:tcPr>
          <w:p w:rsidR="00F71F58" w:rsidRPr="00F71F58" w:rsidRDefault="00F71F58" w:rsidP="00F71F58">
            <w:pPr>
              <w:spacing w:after="0" w:line="240" w:lineRule="auto"/>
              <w:rPr>
                <w:rFonts w:ascii="Arial" w:eastAsia="SimSun" w:hAnsi="Arial" w:cs="Times New Roman"/>
                <w:b/>
                <w:sz w:val="24"/>
                <w:szCs w:val="24"/>
                <w:lang w:eastAsia="zh-CN"/>
              </w:rPr>
            </w:pPr>
          </w:p>
          <w:p w:rsidR="00F71F58" w:rsidRPr="00F71F58" w:rsidRDefault="00F71F58" w:rsidP="00F71F58">
            <w:pPr>
              <w:spacing w:after="0" w:line="240" w:lineRule="auto"/>
              <w:rPr>
                <w:rFonts w:ascii="Arial" w:eastAsia="SimSun" w:hAnsi="Arial" w:cs="Times New Roman"/>
                <w:sz w:val="24"/>
                <w:szCs w:val="24"/>
                <w:lang w:eastAsia="zh-CN"/>
              </w:rPr>
            </w:pPr>
            <w:r w:rsidRPr="00F71F58">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71F58" w:rsidRPr="00F71F58" w:rsidTr="00EB756B">
              <w:tc>
                <w:tcPr>
                  <w:tcW w:w="6970" w:type="dxa"/>
                </w:tcPr>
                <w:p w:rsidR="00F71F58" w:rsidRPr="00F71F58" w:rsidRDefault="00F71F58" w:rsidP="00F71F58">
                  <w:pPr>
                    <w:spacing w:after="0" w:line="240" w:lineRule="auto"/>
                    <w:rPr>
                      <w:rFonts w:ascii="Arial" w:eastAsia="SimSun" w:hAnsi="Arial" w:cs="Times New Roman"/>
                      <w:sz w:val="20"/>
                      <w:szCs w:val="20"/>
                      <w:lang w:eastAsia="zh-CN"/>
                    </w:rPr>
                  </w:pPr>
                </w:p>
                <w:p w:rsidR="00F71F58" w:rsidRPr="00F71F58" w:rsidRDefault="00F71F58" w:rsidP="00F71F58">
                  <w:pPr>
                    <w:spacing w:after="0" w:line="240" w:lineRule="auto"/>
                    <w:rPr>
                      <w:rFonts w:ascii="Arial" w:eastAsia="SimSun" w:hAnsi="Arial" w:cs="Times New Roman"/>
                      <w:sz w:val="20"/>
                      <w:szCs w:val="20"/>
                      <w:lang w:eastAsia="zh-CN"/>
                    </w:rPr>
                  </w:pPr>
                  <w:r w:rsidRPr="00F71F58">
                    <w:rPr>
                      <w:rFonts w:ascii="Arial" w:eastAsia="SimSun" w:hAnsi="Arial" w:cs="Times New Roman"/>
                      <w:sz w:val="20"/>
                      <w:szCs w:val="20"/>
                      <w:lang w:eastAsia="zh-CN"/>
                    </w:rPr>
                    <w:t>1</w:t>
                  </w:r>
                  <w:r w:rsidRPr="00F71F58">
                    <w:rPr>
                      <w:rFonts w:ascii="Arial" w:eastAsia="SimSun" w:hAnsi="Arial" w:cs="Times New Roman"/>
                      <w:sz w:val="20"/>
                      <w:szCs w:val="20"/>
                      <w:vertAlign w:val="superscript"/>
                      <w:lang w:eastAsia="zh-CN"/>
                    </w:rPr>
                    <w:t>st</w:t>
                  </w:r>
                  <w:r w:rsidRPr="00F71F58">
                    <w:rPr>
                      <w:rFonts w:ascii="Arial" w:eastAsia="SimSun" w:hAnsi="Arial" w:cs="Times New Roman"/>
                      <w:sz w:val="20"/>
                      <w:szCs w:val="20"/>
                      <w:lang w:eastAsia="zh-CN"/>
                    </w:rPr>
                    <w:t xml:space="preserve"> Marker’s Provisional mark</w:t>
                  </w:r>
                </w:p>
              </w:tc>
              <w:tc>
                <w:tcPr>
                  <w:tcW w:w="1660" w:type="dxa"/>
                </w:tcPr>
                <w:p w:rsidR="00F71F58" w:rsidRPr="00F71F58" w:rsidRDefault="00F71F58" w:rsidP="00F71F58">
                  <w:pPr>
                    <w:spacing w:after="0" w:line="240" w:lineRule="auto"/>
                    <w:rPr>
                      <w:rFonts w:ascii="Arial" w:eastAsia="SimSun" w:hAnsi="Arial" w:cs="Times New Roman"/>
                      <w:sz w:val="20"/>
                      <w:szCs w:val="20"/>
                      <w:lang w:eastAsia="zh-CN"/>
                    </w:rPr>
                  </w:pPr>
                </w:p>
              </w:tc>
            </w:tr>
            <w:tr w:rsidR="00F71F58" w:rsidRPr="00F71F58" w:rsidTr="00EB756B">
              <w:tc>
                <w:tcPr>
                  <w:tcW w:w="6970" w:type="dxa"/>
                </w:tcPr>
                <w:p w:rsidR="00F71F58" w:rsidRPr="00F71F58" w:rsidRDefault="00F71F58" w:rsidP="00F71F58">
                  <w:pPr>
                    <w:spacing w:after="0" w:line="240" w:lineRule="auto"/>
                    <w:rPr>
                      <w:rFonts w:ascii="Arial" w:eastAsia="SimSun" w:hAnsi="Arial" w:cs="Times New Roman"/>
                      <w:sz w:val="20"/>
                      <w:szCs w:val="20"/>
                      <w:lang w:eastAsia="zh-CN"/>
                    </w:rPr>
                  </w:pPr>
                </w:p>
                <w:p w:rsidR="00F71F58" w:rsidRPr="00F71F58" w:rsidRDefault="00F71F58" w:rsidP="00F71F58">
                  <w:pPr>
                    <w:spacing w:after="0" w:line="240" w:lineRule="auto"/>
                    <w:rPr>
                      <w:rFonts w:ascii="Arial" w:eastAsia="SimSun" w:hAnsi="Arial" w:cs="Times New Roman"/>
                      <w:sz w:val="20"/>
                      <w:szCs w:val="20"/>
                      <w:lang w:eastAsia="zh-CN"/>
                    </w:rPr>
                  </w:pPr>
                  <w:r w:rsidRPr="00F71F58">
                    <w:rPr>
                      <w:rFonts w:ascii="Arial" w:eastAsia="SimSun" w:hAnsi="Arial" w:cs="Times New Roman"/>
                      <w:sz w:val="20"/>
                      <w:szCs w:val="20"/>
                      <w:lang w:eastAsia="zh-CN"/>
                    </w:rPr>
                    <w:t>2</w:t>
                  </w:r>
                  <w:r w:rsidRPr="00F71F58">
                    <w:rPr>
                      <w:rFonts w:ascii="Arial" w:eastAsia="SimSun" w:hAnsi="Arial" w:cs="Times New Roman"/>
                      <w:sz w:val="20"/>
                      <w:szCs w:val="20"/>
                      <w:vertAlign w:val="superscript"/>
                      <w:lang w:eastAsia="zh-CN"/>
                    </w:rPr>
                    <w:t>nd</w:t>
                  </w:r>
                  <w:r w:rsidRPr="00F71F58">
                    <w:rPr>
                      <w:rFonts w:ascii="Arial" w:eastAsia="SimSun" w:hAnsi="Arial" w:cs="Times New Roman"/>
                      <w:sz w:val="20"/>
                      <w:szCs w:val="20"/>
                      <w:lang w:eastAsia="zh-CN"/>
                    </w:rPr>
                    <w:t xml:space="preserve"> Marker’s/Moderator’s provisional mark</w:t>
                  </w:r>
                </w:p>
              </w:tc>
              <w:tc>
                <w:tcPr>
                  <w:tcW w:w="1660" w:type="dxa"/>
                </w:tcPr>
                <w:p w:rsidR="00F71F58" w:rsidRPr="00F71F58" w:rsidRDefault="00F71F58" w:rsidP="00F71F58">
                  <w:pPr>
                    <w:spacing w:after="0" w:line="240" w:lineRule="auto"/>
                    <w:rPr>
                      <w:rFonts w:ascii="Arial" w:eastAsia="SimSun" w:hAnsi="Arial" w:cs="Times New Roman"/>
                      <w:sz w:val="20"/>
                      <w:szCs w:val="20"/>
                      <w:lang w:eastAsia="zh-CN"/>
                    </w:rPr>
                  </w:pPr>
                </w:p>
              </w:tc>
            </w:tr>
            <w:tr w:rsidR="00F71F58" w:rsidRPr="00F71F58" w:rsidTr="00EB756B">
              <w:tc>
                <w:tcPr>
                  <w:tcW w:w="6970" w:type="dxa"/>
                </w:tcPr>
                <w:p w:rsidR="00F71F58" w:rsidRPr="00F71F58" w:rsidRDefault="00F71F58" w:rsidP="00F71F58">
                  <w:pPr>
                    <w:spacing w:after="0" w:line="240" w:lineRule="auto"/>
                    <w:rPr>
                      <w:rFonts w:ascii="Arial" w:eastAsia="SimSun" w:hAnsi="Arial" w:cs="Times New Roman"/>
                      <w:sz w:val="20"/>
                      <w:szCs w:val="20"/>
                      <w:lang w:eastAsia="zh-CN"/>
                    </w:rPr>
                  </w:pPr>
                </w:p>
                <w:p w:rsidR="00F71F58" w:rsidRPr="00F71F58" w:rsidRDefault="00F71F58" w:rsidP="00F71F58">
                  <w:pPr>
                    <w:spacing w:after="0" w:line="240" w:lineRule="auto"/>
                    <w:rPr>
                      <w:rFonts w:ascii="Arial" w:eastAsia="SimSun" w:hAnsi="Arial" w:cs="Times New Roman"/>
                      <w:sz w:val="20"/>
                      <w:szCs w:val="20"/>
                      <w:lang w:eastAsia="zh-CN"/>
                    </w:rPr>
                  </w:pPr>
                  <w:r w:rsidRPr="00F71F58">
                    <w:rPr>
                      <w:rFonts w:ascii="Arial" w:eastAsia="SimSun" w:hAnsi="Arial" w:cs="Times New Roman"/>
                      <w:sz w:val="20"/>
                      <w:szCs w:val="20"/>
                      <w:lang w:eastAsia="zh-CN"/>
                    </w:rPr>
                    <w:t>External Examiner’s mark (if relevant)</w:t>
                  </w:r>
                </w:p>
              </w:tc>
              <w:tc>
                <w:tcPr>
                  <w:tcW w:w="1660" w:type="dxa"/>
                </w:tcPr>
                <w:p w:rsidR="00F71F58" w:rsidRPr="00F71F58" w:rsidRDefault="00F71F58" w:rsidP="00F71F58">
                  <w:pPr>
                    <w:spacing w:after="0" w:line="240" w:lineRule="auto"/>
                    <w:rPr>
                      <w:rFonts w:ascii="Arial" w:eastAsia="SimSun" w:hAnsi="Arial" w:cs="Times New Roman"/>
                      <w:sz w:val="20"/>
                      <w:szCs w:val="20"/>
                      <w:lang w:eastAsia="zh-CN"/>
                    </w:rPr>
                  </w:pPr>
                </w:p>
              </w:tc>
            </w:tr>
            <w:tr w:rsidR="00F71F58" w:rsidRPr="00F71F58" w:rsidTr="00EB756B">
              <w:tc>
                <w:tcPr>
                  <w:tcW w:w="6970" w:type="dxa"/>
                </w:tcPr>
                <w:p w:rsidR="00F71F58" w:rsidRPr="00F71F58" w:rsidRDefault="00F71F58" w:rsidP="00F71F58">
                  <w:pPr>
                    <w:spacing w:after="0" w:line="240" w:lineRule="auto"/>
                    <w:rPr>
                      <w:rFonts w:ascii="Arial" w:eastAsia="SimSun" w:hAnsi="Arial" w:cs="Times New Roman"/>
                      <w:sz w:val="20"/>
                      <w:szCs w:val="20"/>
                      <w:lang w:eastAsia="zh-CN"/>
                    </w:rPr>
                  </w:pPr>
                </w:p>
                <w:p w:rsidR="00F71F58" w:rsidRPr="00F71F58" w:rsidRDefault="00F71F58" w:rsidP="00F71F58">
                  <w:pPr>
                    <w:spacing w:after="0" w:line="240" w:lineRule="auto"/>
                    <w:rPr>
                      <w:rFonts w:ascii="Arial" w:eastAsia="SimSun" w:hAnsi="Arial" w:cs="Times New Roman"/>
                      <w:b/>
                      <w:sz w:val="20"/>
                      <w:szCs w:val="20"/>
                      <w:lang w:eastAsia="zh-CN"/>
                    </w:rPr>
                  </w:pPr>
                  <w:r w:rsidRPr="00F71F58">
                    <w:rPr>
                      <w:rFonts w:ascii="Arial" w:eastAsia="SimSun" w:hAnsi="Arial" w:cs="Times New Roman"/>
                      <w:b/>
                      <w:sz w:val="20"/>
                      <w:szCs w:val="20"/>
                      <w:lang w:eastAsia="zh-CN"/>
                    </w:rPr>
                    <w:t>Final Mark</w:t>
                  </w:r>
                </w:p>
                <w:p w:rsidR="00F71F58" w:rsidRPr="00F71F58" w:rsidRDefault="00F71F58" w:rsidP="00F71F58">
                  <w:pPr>
                    <w:spacing w:after="0" w:line="240" w:lineRule="auto"/>
                    <w:rPr>
                      <w:rFonts w:ascii="Arial" w:eastAsia="SimSun" w:hAnsi="Arial" w:cs="Times New Roman"/>
                      <w:sz w:val="20"/>
                      <w:szCs w:val="20"/>
                      <w:lang w:eastAsia="zh-CN"/>
                    </w:rPr>
                  </w:pPr>
                </w:p>
              </w:tc>
              <w:tc>
                <w:tcPr>
                  <w:tcW w:w="1660" w:type="dxa"/>
                </w:tcPr>
                <w:p w:rsidR="00F71F58" w:rsidRPr="00F71F58" w:rsidRDefault="00F71F58" w:rsidP="00F71F58">
                  <w:pPr>
                    <w:spacing w:after="0" w:line="240" w:lineRule="auto"/>
                    <w:rPr>
                      <w:rFonts w:ascii="Arial" w:eastAsia="SimSun" w:hAnsi="Arial" w:cs="Times New Roman"/>
                      <w:sz w:val="20"/>
                      <w:szCs w:val="20"/>
                      <w:lang w:eastAsia="zh-CN"/>
                    </w:rPr>
                  </w:pPr>
                </w:p>
              </w:tc>
            </w:tr>
          </w:tbl>
          <w:p w:rsidR="00F71F58" w:rsidRPr="00F71F58" w:rsidRDefault="00F71F58" w:rsidP="00F71F58">
            <w:pPr>
              <w:spacing w:after="0" w:line="240" w:lineRule="auto"/>
              <w:ind w:left="142" w:right="34"/>
              <w:rPr>
                <w:rFonts w:ascii="Arial" w:eastAsia="SimSun" w:hAnsi="Arial" w:cs="Arial"/>
                <w:b/>
                <w:color w:val="000000"/>
                <w:lang w:eastAsia="zh-CN"/>
              </w:rPr>
            </w:pPr>
          </w:p>
          <w:p w:rsidR="00F71F58" w:rsidRPr="00F71F58" w:rsidRDefault="00F71F58" w:rsidP="00F71F58">
            <w:pPr>
              <w:spacing w:after="0" w:line="240" w:lineRule="auto"/>
              <w:ind w:left="142" w:right="34"/>
              <w:rPr>
                <w:rFonts w:ascii="Arial" w:eastAsia="SimSun" w:hAnsi="Arial" w:cs="Arial"/>
                <w:color w:val="000000"/>
                <w:lang w:eastAsia="zh-CN"/>
              </w:rPr>
            </w:pPr>
            <w:r w:rsidRPr="00F71F58">
              <w:rPr>
                <w:rFonts w:ascii="Arial" w:eastAsia="SimSun" w:hAnsi="Arial" w:cs="Arial"/>
                <w:b/>
                <w:color w:val="000000"/>
                <w:lang w:eastAsia="zh-CN"/>
              </w:rPr>
              <w:t>NB.</w:t>
            </w:r>
            <w:r w:rsidRPr="00F71F58">
              <w:rPr>
                <w:rFonts w:ascii="Arial" w:eastAsia="SimSun" w:hAnsi="Arial" w:cs="Arial"/>
                <w:color w:val="000000"/>
                <w:lang w:eastAsia="zh-CN"/>
              </w:rPr>
              <w:t xml:space="preserve">  All marks are provisional until confirmed by the Final Examination Board.</w:t>
            </w:r>
          </w:p>
          <w:p w:rsidR="00F71F58" w:rsidRPr="00F71F58" w:rsidRDefault="00F71F58" w:rsidP="00F71F58">
            <w:pPr>
              <w:spacing w:after="0" w:line="240" w:lineRule="auto"/>
              <w:rPr>
                <w:rFonts w:ascii="Arial" w:eastAsia="SimSun" w:hAnsi="Arial" w:cs="Arial"/>
                <w:b/>
                <w:color w:val="000000"/>
                <w:lang w:eastAsia="zh-CN"/>
              </w:rPr>
            </w:pPr>
          </w:p>
          <w:p w:rsidR="00F71F58" w:rsidRPr="00F71F58" w:rsidRDefault="00F71F58" w:rsidP="00F71F58">
            <w:pPr>
              <w:spacing w:after="0" w:line="240" w:lineRule="auto"/>
              <w:rPr>
                <w:rFonts w:ascii="Arial" w:eastAsia="SimSun" w:hAnsi="Arial" w:cs="Arial"/>
                <w:b/>
                <w:color w:val="000000"/>
                <w:lang w:eastAsia="zh-CN"/>
              </w:rPr>
            </w:pPr>
          </w:p>
          <w:p w:rsidR="00F71F58" w:rsidRPr="00F71F58" w:rsidRDefault="00F71F58" w:rsidP="00F71F58">
            <w:pPr>
              <w:spacing w:after="0" w:line="240" w:lineRule="auto"/>
              <w:rPr>
                <w:rFonts w:ascii="Arial" w:eastAsia="SimSun" w:hAnsi="Arial" w:cs="Arial"/>
                <w:b/>
                <w:color w:val="000000"/>
                <w:lang w:eastAsia="zh-CN"/>
              </w:rPr>
            </w:pPr>
          </w:p>
          <w:p w:rsidR="00F71F58" w:rsidRPr="00F71F58" w:rsidRDefault="00F71F58" w:rsidP="00F71F58">
            <w:pPr>
              <w:spacing w:after="0" w:line="240" w:lineRule="auto"/>
              <w:rPr>
                <w:rFonts w:ascii="Arial" w:eastAsia="SimSun" w:hAnsi="Arial" w:cs="Arial"/>
                <w:b/>
                <w:color w:val="000000"/>
                <w:lang w:eastAsia="zh-CN"/>
              </w:rPr>
            </w:pPr>
          </w:p>
          <w:p w:rsidR="00F71F58" w:rsidRPr="00F71F58" w:rsidRDefault="00F71F58" w:rsidP="00F71F58">
            <w:pPr>
              <w:spacing w:after="0" w:line="240" w:lineRule="auto"/>
              <w:rPr>
                <w:rFonts w:ascii="Arial" w:eastAsia="SimSun" w:hAnsi="Arial" w:cs="Arial"/>
                <w:b/>
                <w:color w:val="000000"/>
                <w:lang w:eastAsia="zh-CN"/>
              </w:rPr>
            </w:pPr>
          </w:p>
          <w:p w:rsidR="00F71F58" w:rsidRPr="00F71F58" w:rsidRDefault="00F71F58" w:rsidP="00F71F58">
            <w:pPr>
              <w:spacing w:after="0" w:line="240" w:lineRule="auto"/>
              <w:rPr>
                <w:rFonts w:ascii="Arial" w:eastAsia="SimSun" w:hAnsi="Arial" w:cs="Arial"/>
                <w:b/>
                <w:color w:val="000000"/>
                <w:lang w:eastAsia="zh-CN"/>
              </w:rPr>
            </w:pPr>
            <w:r w:rsidRPr="00F71F58">
              <w:rPr>
                <w:rFonts w:ascii="Arial" w:eastAsia="SimSun" w:hAnsi="Arial" w:cs="Arial"/>
                <w:b/>
                <w:color w:val="000000"/>
                <w:lang w:eastAsia="zh-CN"/>
              </w:rPr>
              <w:t>For completion by Marker 1 :</w:t>
            </w:r>
          </w:p>
          <w:p w:rsidR="00F71F58" w:rsidRPr="00F71F58" w:rsidRDefault="00F71F58" w:rsidP="00F71F58">
            <w:pPr>
              <w:spacing w:before="100" w:beforeAutospacing="1" w:after="100" w:afterAutospacing="1" w:line="240" w:lineRule="auto"/>
              <w:rPr>
                <w:rFonts w:ascii="Arial" w:eastAsia="SimSun" w:hAnsi="Arial" w:cs="Arial"/>
                <w:color w:val="000000"/>
                <w:lang w:eastAsia="zh-CN"/>
              </w:rPr>
            </w:pPr>
            <w:r w:rsidRPr="00F71F58">
              <w:rPr>
                <w:rFonts w:ascii="Arial" w:eastAsia="SimSun" w:hAnsi="Arial" w:cs="Arial"/>
                <w:color w:val="000000"/>
                <w:lang w:eastAsia="zh-CN"/>
              </w:rPr>
              <w:t>Comments:</w:t>
            </w:r>
          </w:p>
          <w:p w:rsidR="00F71F58" w:rsidRPr="00F71F58" w:rsidRDefault="00F71F58" w:rsidP="00F71F58">
            <w:pPr>
              <w:spacing w:before="100" w:beforeAutospacing="1" w:after="100" w:afterAutospacing="1" w:line="240" w:lineRule="auto"/>
              <w:rPr>
                <w:rFonts w:ascii="Arial" w:eastAsia="SimSun" w:hAnsi="Arial" w:cs="Arial"/>
                <w:color w:val="000000"/>
                <w:lang w:eastAsia="zh-CN"/>
              </w:rPr>
            </w:pPr>
          </w:p>
        </w:tc>
      </w:tr>
      <w:tr w:rsidR="00F71F58" w:rsidRPr="00F71F58" w:rsidTr="00EB756B">
        <w:trPr>
          <w:trHeight w:val="492"/>
        </w:trPr>
        <w:tc>
          <w:tcPr>
            <w:tcW w:w="6768" w:type="dxa"/>
            <w:gridSpan w:val="3"/>
          </w:tcPr>
          <w:p w:rsidR="00F71F58" w:rsidRPr="00F71F58" w:rsidRDefault="00F71F58" w:rsidP="00F71F58">
            <w:pPr>
              <w:spacing w:before="100" w:beforeAutospacing="1" w:after="100" w:afterAutospacing="1" w:line="240" w:lineRule="auto"/>
              <w:ind w:left="142" w:right="34"/>
              <w:rPr>
                <w:rFonts w:ascii="Arial" w:eastAsia="SimSun" w:hAnsi="Arial" w:cs="Arial"/>
                <w:color w:val="000000"/>
                <w:lang w:eastAsia="zh-CN"/>
              </w:rPr>
            </w:pPr>
            <w:r w:rsidRPr="00F71F58">
              <w:rPr>
                <w:rFonts w:ascii="Arial" w:eastAsia="SimSun" w:hAnsi="Arial" w:cs="Arial"/>
                <w:color w:val="000000"/>
                <w:lang w:eastAsia="zh-CN"/>
              </w:rPr>
              <w:lastRenderedPageBreak/>
              <w:t>Marker’s signature:</w:t>
            </w:r>
          </w:p>
        </w:tc>
        <w:tc>
          <w:tcPr>
            <w:tcW w:w="2088" w:type="dxa"/>
            <w:gridSpan w:val="2"/>
          </w:tcPr>
          <w:p w:rsidR="00F71F58" w:rsidRPr="00F71F58" w:rsidRDefault="00F71F58" w:rsidP="00F71F58">
            <w:pPr>
              <w:spacing w:before="100" w:beforeAutospacing="1" w:after="0" w:afterAutospacing="1" w:line="240" w:lineRule="auto"/>
              <w:ind w:left="142" w:right="34"/>
              <w:rPr>
                <w:rFonts w:ascii="Arial" w:eastAsia="SimSun" w:hAnsi="Arial" w:cs="Arial"/>
                <w:color w:val="000000"/>
                <w:lang w:eastAsia="zh-CN"/>
              </w:rPr>
            </w:pPr>
            <w:r w:rsidRPr="00F71F58">
              <w:rPr>
                <w:rFonts w:ascii="Arial" w:eastAsia="SimSun" w:hAnsi="Arial" w:cs="Arial"/>
                <w:color w:val="000000"/>
                <w:lang w:eastAsia="zh-CN"/>
              </w:rPr>
              <w:t>Date:</w:t>
            </w:r>
          </w:p>
        </w:tc>
      </w:tr>
      <w:tr w:rsidR="00F71F58" w:rsidRPr="00F71F58" w:rsidTr="00EB756B">
        <w:tc>
          <w:tcPr>
            <w:tcW w:w="8856" w:type="dxa"/>
            <w:gridSpan w:val="5"/>
          </w:tcPr>
          <w:p w:rsidR="00F71F58" w:rsidRPr="00F71F58" w:rsidRDefault="00F71F58" w:rsidP="00F71F58">
            <w:pPr>
              <w:spacing w:after="0" w:line="240" w:lineRule="auto"/>
              <w:ind w:right="-334"/>
              <w:rPr>
                <w:rFonts w:ascii="Arial" w:eastAsia="SimSun" w:hAnsi="Arial" w:cs="Arial"/>
                <w:bCs/>
                <w:i/>
                <w:color w:val="000000"/>
                <w:lang w:eastAsia="zh-CN"/>
              </w:rPr>
            </w:pPr>
          </w:p>
          <w:p w:rsidR="00F71F58" w:rsidRPr="00F71F58" w:rsidRDefault="00F71F58" w:rsidP="00F71F58">
            <w:pPr>
              <w:spacing w:after="0" w:line="240" w:lineRule="auto"/>
              <w:ind w:right="-334"/>
              <w:rPr>
                <w:rFonts w:ascii="Arial" w:eastAsia="SimSun" w:hAnsi="Arial" w:cs="Arial"/>
                <w:b/>
                <w:bCs/>
                <w:color w:val="000000"/>
                <w:lang w:eastAsia="zh-CN"/>
              </w:rPr>
            </w:pPr>
            <w:r w:rsidRPr="00F71F58">
              <w:rPr>
                <w:rFonts w:ascii="Arial" w:eastAsia="SimSun" w:hAnsi="Arial" w:cs="Arial"/>
                <w:b/>
                <w:bCs/>
                <w:color w:val="000000"/>
                <w:lang w:eastAsia="zh-CN"/>
              </w:rPr>
              <w:t>For completion by Marker 2/Moderator:</w:t>
            </w:r>
          </w:p>
          <w:p w:rsidR="00F71F58" w:rsidRPr="00F71F58" w:rsidRDefault="00F71F58" w:rsidP="00F71F58">
            <w:pPr>
              <w:spacing w:after="0" w:line="240" w:lineRule="auto"/>
              <w:ind w:right="-334"/>
              <w:rPr>
                <w:rFonts w:ascii="Arial" w:eastAsia="SimSun" w:hAnsi="Arial" w:cs="Arial"/>
                <w:b/>
                <w:bCs/>
                <w:color w:val="000000"/>
                <w:lang w:eastAsia="zh-CN"/>
              </w:rPr>
            </w:pPr>
          </w:p>
          <w:p w:rsidR="00F71F58" w:rsidRPr="00F71F58" w:rsidRDefault="00F71F58" w:rsidP="00F71F58">
            <w:pPr>
              <w:spacing w:after="0" w:line="240" w:lineRule="auto"/>
              <w:ind w:right="-334"/>
              <w:rPr>
                <w:rFonts w:ascii="Arial" w:eastAsia="SimSun" w:hAnsi="Arial" w:cs="Arial"/>
                <w:bCs/>
                <w:color w:val="000000"/>
                <w:lang w:eastAsia="zh-CN"/>
              </w:rPr>
            </w:pPr>
            <w:r w:rsidRPr="00F71F58">
              <w:rPr>
                <w:rFonts w:ascii="Arial" w:eastAsia="SimSun" w:hAnsi="Arial" w:cs="Arial"/>
                <w:bCs/>
                <w:color w:val="000000"/>
                <w:lang w:eastAsia="zh-CN"/>
              </w:rPr>
              <w:t>Comments:</w:t>
            </w:r>
          </w:p>
          <w:p w:rsidR="00F71F58" w:rsidRPr="00F71F58" w:rsidRDefault="00F71F58" w:rsidP="00F71F58">
            <w:pPr>
              <w:spacing w:after="0" w:line="240" w:lineRule="auto"/>
              <w:ind w:right="-334"/>
              <w:rPr>
                <w:rFonts w:ascii="Arial" w:eastAsia="SimSun" w:hAnsi="Arial" w:cs="Arial"/>
                <w:bCs/>
                <w:color w:val="000000"/>
                <w:lang w:eastAsia="zh-CN"/>
              </w:rPr>
            </w:pPr>
          </w:p>
          <w:p w:rsidR="00F71F58" w:rsidRPr="00F71F58" w:rsidRDefault="00F71F58" w:rsidP="00F71F58">
            <w:pPr>
              <w:spacing w:after="0" w:line="240" w:lineRule="auto"/>
              <w:ind w:right="-334"/>
              <w:rPr>
                <w:rFonts w:ascii="Arial" w:eastAsia="SimSun" w:hAnsi="Arial" w:cs="Arial"/>
                <w:bCs/>
                <w:color w:val="000000"/>
                <w:lang w:eastAsia="zh-CN"/>
              </w:rPr>
            </w:pPr>
          </w:p>
          <w:p w:rsidR="00F71F58" w:rsidRPr="00F71F58" w:rsidRDefault="00F71F58" w:rsidP="00F71F58">
            <w:pPr>
              <w:spacing w:after="0" w:line="240" w:lineRule="auto"/>
              <w:ind w:right="-334"/>
              <w:rPr>
                <w:rFonts w:ascii="Arial" w:eastAsia="SimSun" w:hAnsi="Arial" w:cs="Arial"/>
                <w:bCs/>
                <w:color w:val="000000"/>
                <w:lang w:eastAsia="zh-CN"/>
              </w:rPr>
            </w:pPr>
          </w:p>
        </w:tc>
      </w:tr>
      <w:tr w:rsidR="00F71F58" w:rsidRPr="00F71F58" w:rsidTr="00EB756B">
        <w:trPr>
          <w:trHeight w:val="720"/>
        </w:trPr>
        <w:tc>
          <w:tcPr>
            <w:tcW w:w="5211" w:type="dxa"/>
            <w:gridSpan w:val="2"/>
          </w:tcPr>
          <w:p w:rsidR="00F71F58" w:rsidRPr="00F71F58" w:rsidRDefault="00F71F58" w:rsidP="00F71F58">
            <w:pPr>
              <w:spacing w:after="0" w:line="240" w:lineRule="auto"/>
              <w:ind w:right="-334"/>
              <w:rPr>
                <w:rFonts w:ascii="Arial" w:eastAsia="SimSun" w:hAnsi="Arial" w:cs="Arial"/>
                <w:bCs/>
                <w:color w:val="000000"/>
                <w:lang w:eastAsia="zh-CN"/>
              </w:rPr>
            </w:pPr>
            <w:r w:rsidRPr="00F71F58">
              <w:rPr>
                <w:rFonts w:ascii="Arial" w:eastAsia="SimSun" w:hAnsi="Arial" w:cs="Arial"/>
                <w:bCs/>
                <w:color w:val="000000"/>
                <w:lang w:eastAsia="zh-CN"/>
              </w:rPr>
              <w:t>Marker’s Signature:</w:t>
            </w:r>
          </w:p>
        </w:tc>
        <w:tc>
          <w:tcPr>
            <w:tcW w:w="3645" w:type="dxa"/>
            <w:gridSpan w:val="3"/>
          </w:tcPr>
          <w:p w:rsidR="00F71F58" w:rsidRPr="00F71F58" w:rsidRDefault="00F71F58" w:rsidP="00F71F58">
            <w:pPr>
              <w:spacing w:after="0" w:line="240" w:lineRule="auto"/>
              <w:ind w:right="-334"/>
              <w:rPr>
                <w:rFonts w:ascii="Arial" w:eastAsia="SimSun" w:hAnsi="Arial" w:cs="Arial"/>
                <w:bCs/>
                <w:color w:val="000000"/>
                <w:lang w:eastAsia="zh-CN"/>
              </w:rPr>
            </w:pPr>
            <w:r w:rsidRPr="00F71F58">
              <w:rPr>
                <w:rFonts w:ascii="Arial" w:eastAsia="SimSun" w:hAnsi="Arial" w:cs="Arial"/>
                <w:bCs/>
                <w:color w:val="000000"/>
                <w:lang w:eastAsia="zh-CN"/>
              </w:rPr>
              <w:t>Date:</w:t>
            </w:r>
          </w:p>
        </w:tc>
      </w:tr>
      <w:tr w:rsidR="00F71F58" w:rsidRPr="00F71F58" w:rsidTr="00EB756B">
        <w:trPr>
          <w:trHeight w:val="720"/>
        </w:trPr>
        <w:tc>
          <w:tcPr>
            <w:tcW w:w="8856" w:type="dxa"/>
            <w:gridSpan w:val="5"/>
          </w:tcPr>
          <w:p w:rsidR="00F71F58" w:rsidRPr="00F71F58" w:rsidRDefault="00F71F58" w:rsidP="00F71F58">
            <w:pPr>
              <w:spacing w:after="0" w:line="240" w:lineRule="auto"/>
              <w:rPr>
                <w:rFonts w:ascii="Arial" w:eastAsia="SimSun" w:hAnsi="Arial" w:cs="Arial"/>
                <w:b/>
                <w:lang w:eastAsia="zh-CN"/>
              </w:rPr>
            </w:pPr>
            <w:r w:rsidRPr="00F71F58">
              <w:rPr>
                <w:rFonts w:ascii="Arial" w:eastAsia="SimSun" w:hAnsi="Arial" w:cs="Arial"/>
                <w:b/>
                <w:lang w:eastAsia="zh-CN"/>
              </w:rPr>
              <w:t>External Examiner’s comments (if relevant)</w:t>
            </w:r>
          </w:p>
          <w:p w:rsidR="00F71F58" w:rsidRPr="00F71F58" w:rsidRDefault="00F71F58" w:rsidP="00F71F58">
            <w:pPr>
              <w:spacing w:after="0" w:line="240" w:lineRule="auto"/>
              <w:ind w:right="-334"/>
              <w:rPr>
                <w:rFonts w:ascii="Arial" w:eastAsia="SimSun" w:hAnsi="Arial" w:cs="Arial"/>
                <w:bCs/>
                <w:color w:val="000000"/>
                <w:lang w:eastAsia="zh-CN"/>
              </w:rPr>
            </w:pPr>
          </w:p>
          <w:p w:rsidR="00F71F58" w:rsidRPr="00F71F58" w:rsidRDefault="00F71F58" w:rsidP="00F71F58">
            <w:pPr>
              <w:spacing w:after="0" w:line="240" w:lineRule="auto"/>
              <w:ind w:right="-334"/>
              <w:rPr>
                <w:rFonts w:ascii="Arial" w:eastAsia="SimSun" w:hAnsi="Arial" w:cs="Arial"/>
                <w:bCs/>
                <w:color w:val="000000"/>
                <w:lang w:eastAsia="zh-CN"/>
              </w:rPr>
            </w:pPr>
          </w:p>
          <w:p w:rsidR="00F71F58" w:rsidRPr="00F71F58" w:rsidRDefault="00F71F58" w:rsidP="00F71F58">
            <w:pPr>
              <w:spacing w:after="0" w:line="240" w:lineRule="auto"/>
              <w:ind w:right="-334"/>
              <w:rPr>
                <w:rFonts w:ascii="Arial" w:eastAsia="SimSun" w:hAnsi="Arial" w:cs="Arial"/>
                <w:bCs/>
                <w:color w:val="000000"/>
                <w:lang w:eastAsia="zh-CN"/>
              </w:rPr>
            </w:pPr>
          </w:p>
        </w:tc>
      </w:tr>
      <w:tr w:rsidR="00F71F58" w:rsidRPr="00F71F58" w:rsidTr="00EB756B">
        <w:trPr>
          <w:trHeight w:val="720"/>
        </w:trPr>
        <w:tc>
          <w:tcPr>
            <w:tcW w:w="5211" w:type="dxa"/>
            <w:gridSpan w:val="2"/>
          </w:tcPr>
          <w:p w:rsidR="00F71F58" w:rsidRPr="00F71F58" w:rsidRDefault="00F71F58" w:rsidP="00F71F58">
            <w:pPr>
              <w:spacing w:after="0" w:line="240" w:lineRule="auto"/>
              <w:rPr>
                <w:rFonts w:ascii="Arial" w:eastAsia="SimSun" w:hAnsi="Arial" w:cs="Arial"/>
                <w:lang w:eastAsia="zh-CN"/>
              </w:rPr>
            </w:pPr>
            <w:r w:rsidRPr="00F71F58">
              <w:rPr>
                <w:rFonts w:ascii="Arial" w:eastAsia="SimSun" w:hAnsi="Arial" w:cs="Arial"/>
                <w:lang w:eastAsia="zh-CN"/>
              </w:rPr>
              <w:t>External Examiner’s Signature:</w:t>
            </w:r>
          </w:p>
        </w:tc>
        <w:tc>
          <w:tcPr>
            <w:tcW w:w="3645" w:type="dxa"/>
            <w:gridSpan w:val="3"/>
          </w:tcPr>
          <w:p w:rsidR="00F71F58" w:rsidRPr="00F71F58" w:rsidRDefault="00F71F58" w:rsidP="00F71F58">
            <w:pPr>
              <w:spacing w:after="0" w:line="240" w:lineRule="auto"/>
              <w:rPr>
                <w:rFonts w:ascii="Arial" w:eastAsia="SimSun" w:hAnsi="Arial" w:cs="Arial"/>
                <w:lang w:eastAsia="zh-CN"/>
              </w:rPr>
            </w:pPr>
            <w:r w:rsidRPr="00F71F58">
              <w:rPr>
                <w:rFonts w:ascii="Arial" w:eastAsia="SimSun" w:hAnsi="Arial" w:cs="Arial"/>
                <w:lang w:eastAsia="zh-CN"/>
              </w:rPr>
              <w:t>Date:</w:t>
            </w:r>
          </w:p>
        </w:tc>
      </w:tr>
    </w:tbl>
    <w:p w:rsidR="00F71F58" w:rsidRPr="00F71F58" w:rsidRDefault="00F71F58" w:rsidP="00F71F58">
      <w:pPr>
        <w:spacing w:after="0" w:line="240" w:lineRule="auto"/>
        <w:ind w:right="-334"/>
        <w:rPr>
          <w:rFonts w:ascii="Trebuchet MS" w:eastAsia="SimSun" w:hAnsi="Trebuchet MS" w:cs="Tahoma"/>
          <w:bCs/>
          <w:color w:val="000000"/>
          <w:sz w:val="24"/>
          <w:szCs w:val="24"/>
          <w:lang w:eastAsia="zh-CN"/>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F71F58" w:rsidRDefault="00F71F58" w:rsidP="00A8535A">
      <w:pPr>
        <w:spacing w:line="240" w:lineRule="auto"/>
        <w:jc w:val="center"/>
        <w:rPr>
          <w:rFonts w:ascii="Times New Roman" w:hAnsi="Times New Roman" w:cs="Times New Roman"/>
          <w:b/>
          <w:sz w:val="24"/>
          <w:szCs w:val="24"/>
        </w:rPr>
      </w:pPr>
    </w:p>
    <w:p w:rsidR="00A8535A" w:rsidRDefault="00A8535A" w:rsidP="00A8535A">
      <w:pPr>
        <w:spacing w:line="240" w:lineRule="auto"/>
        <w:jc w:val="center"/>
        <w:rPr>
          <w:rFonts w:ascii="Times New Roman" w:hAnsi="Times New Roman" w:cs="Times New Roman"/>
          <w:b/>
          <w:sz w:val="24"/>
          <w:szCs w:val="24"/>
        </w:rPr>
      </w:pPr>
      <w:r w:rsidRPr="00A8535A">
        <w:rPr>
          <w:rFonts w:ascii="Times New Roman" w:hAnsi="Times New Roman" w:cs="Times New Roman"/>
          <w:b/>
          <w:sz w:val="24"/>
          <w:szCs w:val="24"/>
        </w:rPr>
        <w:lastRenderedPageBreak/>
        <w:t>Comment on the significant features of a visual image taken from a medieval book of hours, psalter, bible etc).</w:t>
      </w:r>
    </w:p>
    <w:p w:rsidR="00A8535A" w:rsidRPr="00A8535A" w:rsidRDefault="00A8535A" w:rsidP="00A8535A">
      <w:pPr>
        <w:spacing w:line="240" w:lineRule="auto"/>
        <w:jc w:val="center"/>
        <w:rPr>
          <w:rFonts w:ascii="Times New Roman" w:hAnsi="Times New Roman" w:cs="Times New Roman"/>
          <w:b/>
          <w:sz w:val="24"/>
          <w:szCs w:val="24"/>
        </w:rPr>
      </w:pPr>
    </w:p>
    <w:p w:rsidR="00B81E71" w:rsidRDefault="00B81E71" w:rsidP="00177938">
      <w:pPr>
        <w:spacing w:line="480" w:lineRule="auto"/>
        <w:rPr>
          <w:rFonts w:ascii="Times New Roman" w:hAnsi="Times New Roman" w:cs="Times New Roman"/>
          <w:sz w:val="24"/>
          <w:szCs w:val="24"/>
        </w:rPr>
      </w:pPr>
      <w:r>
        <w:rPr>
          <w:rFonts w:ascii="Times New Roman" w:hAnsi="Times New Roman" w:cs="Times New Roman"/>
          <w:sz w:val="24"/>
          <w:szCs w:val="24"/>
        </w:rPr>
        <w:t>The Gorleston Psalter is a particularly stunning example of an illuminated manuscript from the early 14</w:t>
      </w:r>
      <w:r w:rsidRPr="00B81E71">
        <w:rPr>
          <w:rFonts w:ascii="Times New Roman" w:hAnsi="Times New Roman" w:cs="Times New Roman"/>
          <w:sz w:val="24"/>
          <w:szCs w:val="24"/>
          <w:vertAlign w:val="superscript"/>
        </w:rPr>
        <w:t>th</w:t>
      </w:r>
      <w:r>
        <w:rPr>
          <w:rFonts w:ascii="Times New Roman" w:hAnsi="Times New Roman" w:cs="Times New Roman"/>
          <w:sz w:val="24"/>
          <w:szCs w:val="24"/>
        </w:rPr>
        <w:t xml:space="preserve"> century</w:t>
      </w:r>
      <w:r w:rsidR="0023401E">
        <w:rPr>
          <w:rFonts w:ascii="Times New Roman" w:hAnsi="Times New Roman" w:cs="Times New Roman"/>
          <w:sz w:val="24"/>
          <w:szCs w:val="24"/>
        </w:rPr>
        <w:t xml:space="preserve"> containing many intricate religious miniatures</w:t>
      </w:r>
      <w:r>
        <w:rPr>
          <w:rFonts w:ascii="Times New Roman" w:hAnsi="Times New Roman" w:cs="Times New Roman"/>
          <w:sz w:val="24"/>
          <w:szCs w:val="24"/>
        </w:rPr>
        <w:t xml:space="preserve"> </w:t>
      </w:r>
      <w:r w:rsidR="0023401E">
        <w:rPr>
          <w:rFonts w:ascii="Times New Roman" w:hAnsi="Times New Roman" w:cs="Times New Roman"/>
          <w:sz w:val="24"/>
          <w:szCs w:val="24"/>
        </w:rPr>
        <w:t>alongside marginalia that ranges from humorous and bizarre to the grotesque. The image I have chosen to focus on here however, is what is referred to as the Beatus page. Typically it is a highly decorated page containing the opening of Psalm 1 in Latin which begins ‘Beatus vir’ hence the term Beatus page.</w:t>
      </w:r>
      <w:r w:rsidR="00E82C5D">
        <w:rPr>
          <w:rStyle w:val="FootnoteReference"/>
          <w:rFonts w:ascii="Times New Roman" w:hAnsi="Times New Roman" w:cs="Times New Roman"/>
          <w:sz w:val="24"/>
          <w:szCs w:val="24"/>
        </w:rPr>
        <w:footnoteReference w:id="1"/>
      </w:r>
      <w:r w:rsidR="0023401E">
        <w:rPr>
          <w:rFonts w:ascii="Times New Roman" w:hAnsi="Times New Roman" w:cs="Times New Roman"/>
          <w:sz w:val="24"/>
          <w:szCs w:val="24"/>
        </w:rPr>
        <w:t xml:space="preserve"> The Gorleston Psalter is no exception</w:t>
      </w:r>
      <w:r w:rsidR="00177938">
        <w:rPr>
          <w:rFonts w:ascii="Times New Roman" w:hAnsi="Times New Roman" w:cs="Times New Roman"/>
          <w:sz w:val="24"/>
          <w:szCs w:val="24"/>
        </w:rPr>
        <w:t xml:space="preserve"> with the words ‘Beatus vir qui’ transformed into an elaborate Tree of Jesse which takes up almost a full page by itself.</w:t>
      </w:r>
    </w:p>
    <w:p w:rsidR="003627D5" w:rsidRDefault="003627D5" w:rsidP="00177938">
      <w:pPr>
        <w:spacing w:line="480" w:lineRule="auto"/>
        <w:rPr>
          <w:rFonts w:ascii="Times New Roman" w:hAnsi="Times New Roman" w:cs="Times New Roman"/>
          <w:sz w:val="24"/>
          <w:szCs w:val="24"/>
        </w:rPr>
      </w:pPr>
      <w:r>
        <w:rPr>
          <w:rFonts w:ascii="Times New Roman" w:hAnsi="Times New Roman" w:cs="Times New Roman"/>
          <w:sz w:val="24"/>
          <w:szCs w:val="24"/>
        </w:rPr>
        <w:t>A Tree of Jesse is a pictorial rendering of the ancestors of Jesus Christ and is the origin of the now customary family tree chart</w:t>
      </w:r>
      <w:r w:rsidR="00E87E6A">
        <w:rPr>
          <w:rFonts w:ascii="Times New Roman" w:hAnsi="Times New Roman" w:cs="Times New Roman"/>
          <w:sz w:val="24"/>
          <w:szCs w:val="24"/>
        </w:rPr>
        <w:t xml:space="preserve"> used in depicting genealogy.</w:t>
      </w:r>
      <w:r w:rsidR="00E82C5D">
        <w:rPr>
          <w:rStyle w:val="FootnoteReference"/>
          <w:rFonts w:ascii="Times New Roman" w:hAnsi="Times New Roman" w:cs="Times New Roman"/>
          <w:sz w:val="24"/>
          <w:szCs w:val="24"/>
        </w:rPr>
        <w:footnoteReference w:id="2"/>
      </w:r>
      <w:r w:rsidR="00E87E6A">
        <w:rPr>
          <w:rFonts w:ascii="Times New Roman" w:hAnsi="Times New Roman" w:cs="Times New Roman"/>
          <w:sz w:val="24"/>
          <w:szCs w:val="24"/>
        </w:rPr>
        <w:t xml:space="preserve"> The base of the tree stems from the reclining figure of Jesse of Bethlehem, hence the name Tree of Jesse</w:t>
      </w:r>
      <w:r w:rsidR="00584995">
        <w:rPr>
          <w:rFonts w:ascii="Times New Roman" w:hAnsi="Times New Roman" w:cs="Times New Roman"/>
          <w:sz w:val="24"/>
          <w:szCs w:val="24"/>
        </w:rPr>
        <w:t>, and is inspired by Isaiah’s prophecy which states ‘</w:t>
      </w:r>
      <w:r w:rsidR="007440DB" w:rsidRPr="007440DB">
        <w:rPr>
          <w:rFonts w:ascii="Times New Roman" w:hAnsi="Times New Roman" w:cs="Times New Roman"/>
          <w:sz w:val="24"/>
          <w:szCs w:val="24"/>
        </w:rPr>
        <w:t>There will come forth a rod out of the root of Jesse and a flower will rise up out of his root</w:t>
      </w:r>
      <w:r w:rsidR="007440DB">
        <w:rPr>
          <w:rFonts w:ascii="Times New Roman" w:hAnsi="Times New Roman" w:cs="Times New Roman"/>
          <w:sz w:val="24"/>
          <w:szCs w:val="24"/>
        </w:rPr>
        <w:t>’. The rod was generally interpreted to mean the Virgin Mary with the flower representing Jesus</w:t>
      </w:r>
      <w:r w:rsidR="00E87E6A">
        <w:rPr>
          <w:rFonts w:ascii="Times New Roman" w:hAnsi="Times New Roman" w:cs="Times New Roman"/>
          <w:sz w:val="24"/>
          <w:szCs w:val="24"/>
        </w:rPr>
        <w:t>.</w:t>
      </w:r>
      <w:r w:rsidR="00E82C5D">
        <w:rPr>
          <w:rStyle w:val="FootnoteReference"/>
          <w:rFonts w:ascii="Times New Roman" w:hAnsi="Times New Roman" w:cs="Times New Roman"/>
          <w:sz w:val="24"/>
          <w:szCs w:val="24"/>
        </w:rPr>
        <w:footnoteReference w:id="3"/>
      </w:r>
      <w:r w:rsidR="00E87E6A">
        <w:rPr>
          <w:rFonts w:ascii="Times New Roman" w:hAnsi="Times New Roman" w:cs="Times New Roman"/>
          <w:sz w:val="24"/>
          <w:szCs w:val="24"/>
        </w:rPr>
        <w:t xml:space="preserve"> It then branches off into </w:t>
      </w:r>
      <w:r w:rsidR="007705C3">
        <w:rPr>
          <w:rFonts w:ascii="Times New Roman" w:hAnsi="Times New Roman" w:cs="Times New Roman"/>
          <w:sz w:val="24"/>
          <w:szCs w:val="24"/>
        </w:rPr>
        <w:t>depictions of some of the most notable relations of Jesus Christ, as well as occasionally presenting certain key biblical scenes like the crucifixion and the nativity, both of which appear in the Gorleston Tree.</w:t>
      </w:r>
    </w:p>
    <w:p w:rsidR="002F7DE5" w:rsidRDefault="00366FE6" w:rsidP="00177938">
      <w:pPr>
        <w:spacing w:line="480" w:lineRule="auto"/>
        <w:rPr>
          <w:rFonts w:ascii="Times New Roman" w:hAnsi="Times New Roman" w:cs="Times New Roman"/>
          <w:sz w:val="24"/>
          <w:szCs w:val="24"/>
        </w:rPr>
      </w:pPr>
      <w:r>
        <w:rPr>
          <w:rFonts w:ascii="Times New Roman" w:hAnsi="Times New Roman" w:cs="Times New Roman"/>
          <w:sz w:val="24"/>
          <w:szCs w:val="24"/>
        </w:rPr>
        <w:t>The number of figures and just who is depicted in them varies from tree to tree, not surprising perhaps given that</w:t>
      </w:r>
      <w:r w:rsidR="00A5237E">
        <w:rPr>
          <w:rFonts w:ascii="Times New Roman" w:hAnsi="Times New Roman" w:cs="Times New Roman"/>
          <w:sz w:val="24"/>
          <w:szCs w:val="24"/>
        </w:rPr>
        <w:t xml:space="preserve"> the Bible itself offers two separate accounts of the genealogy of Christ, one from the Gospel of Luke and one from the Gospel of Matthew.</w:t>
      </w:r>
      <w:r w:rsidR="00E82C5D">
        <w:rPr>
          <w:rStyle w:val="FootnoteReference"/>
          <w:rFonts w:ascii="Times New Roman" w:hAnsi="Times New Roman" w:cs="Times New Roman"/>
          <w:sz w:val="24"/>
          <w:szCs w:val="24"/>
        </w:rPr>
        <w:footnoteReference w:id="4"/>
      </w:r>
      <w:r w:rsidR="00A5237E">
        <w:rPr>
          <w:rFonts w:ascii="Times New Roman" w:hAnsi="Times New Roman" w:cs="Times New Roman"/>
          <w:sz w:val="24"/>
          <w:szCs w:val="24"/>
        </w:rPr>
        <w:t xml:space="preserve"> But just as these two </w:t>
      </w:r>
      <w:r w:rsidR="00A5237E">
        <w:rPr>
          <w:rFonts w:ascii="Times New Roman" w:hAnsi="Times New Roman" w:cs="Times New Roman"/>
          <w:sz w:val="24"/>
          <w:szCs w:val="24"/>
        </w:rPr>
        <w:lastRenderedPageBreak/>
        <w:t xml:space="preserve">accounts include many of the same names, although not always in the same order, there are some figures that more commonly appear in a Tree of Jesse than others. King David for example, son of Jesse himself, is easily identifiable </w:t>
      </w:r>
      <w:r w:rsidR="00D875BE">
        <w:rPr>
          <w:rFonts w:ascii="Times New Roman" w:hAnsi="Times New Roman" w:cs="Times New Roman"/>
          <w:sz w:val="24"/>
          <w:szCs w:val="24"/>
        </w:rPr>
        <w:t xml:space="preserve">in Gorleston </w:t>
      </w:r>
      <w:r w:rsidR="00A5237E">
        <w:rPr>
          <w:rFonts w:ascii="Times New Roman" w:hAnsi="Times New Roman" w:cs="Times New Roman"/>
          <w:sz w:val="24"/>
          <w:szCs w:val="24"/>
        </w:rPr>
        <w:t xml:space="preserve">by </w:t>
      </w:r>
      <w:r w:rsidR="00D875BE">
        <w:rPr>
          <w:rFonts w:ascii="Times New Roman" w:hAnsi="Times New Roman" w:cs="Times New Roman"/>
          <w:sz w:val="24"/>
          <w:szCs w:val="24"/>
        </w:rPr>
        <w:t>the addition of his lyre.</w:t>
      </w:r>
      <w:r w:rsidR="00BD321D">
        <w:rPr>
          <w:rFonts w:ascii="Times New Roman" w:hAnsi="Times New Roman" w:cs="Times New Roman"/>
          <w:sz w:val="24"/>
          <w:szCs w:val="24"/>
        </w:rPr>
        <w:t xml:space="preserve"> </w:t>
      </w:r>
      <w:r w:rsidR="00F82A77">
        <w:rPr>
          <w:rFonts w:ascii="Times New Roman" w:hAnsi="Times New Roman" w:cs="Times New Roman"/>
          <w:sz w:val="24"/>
          <w:szCs w:val="24"/>
        </w:rPr>
        <w:t>Such iconography was important in medieval portraiture to distinguish one figure from another.</w:t>
      </w:r>
      <w:r w:rsidR="003C7CF7">
        <w:rPr>
          <w:rFonts w:ascii="Times New Roman" w:hAnsi="Times New Roman" w:cs="Times New Roman"/>
          <w:sz w:val="24"/>
          <w:szCs w:val="24"/>
        </w:rPr>
        <w:t xml:space="preserve"> The Gorleston Tree of Jesse is a good example of this as so many of the figures look exactly the same, and some of the more common signifiers like a crown to signify royalty are redundant when all the main figures are kings.</w:t>
      </w:r>
    </w:p>
    <w:p w:rsidR="00366FE6" w:rsidRDefault="00BA04D9" w:rsidP="00177938">
      <w:pPr>
        <w:spacing w:line="480" w:lineRule="auto"/>
        <w:rPr>
          <w:rFonts w:ascii="Times New Roman" w:hAnsi="Times New Roman" w:cs="Times New Roman"/>
          <w:sz w:val="24"/>
          <w:szCs w:val="24"/>
        </w:rPr>
      </w:pPr>
      <w:r>
        <w:rPr>
          <w:rFonts w:ascii="Times New Roman" w:hAnsi="Times New Roman" w:cs="Times New Roman"/>
          <w:sz w:val="24"/>
          <w:szCs w:val="24"/>
        </w:rPr>
        <w:t>I</w:t>
      </w:r>
      <w:r w:rsidR="00BD321D">
        <w:rPr>
          <w:rFonts w:ascii="Times New Roman" w:hAnsi="Times New Roman" w:cs="Times New Roman"/>
          <w:sz w:val="24"/>
          <w:szCs w:val="24"/>
        </w:rPr>
        <w:t xml:space="preserve">t was widely believed that King David </w:t>
      </w:r>
      <w:r w:rsidR="002A43C5">
        <w:rPr>
          <w:rFonts w:ascii="Times New Roman" w:hAnsi="Times New Roman" w:cs="Times New Roman"/>
          <w:sz w:val="24"/>
          <w:szCs w:val="24"/>
        </w:rPr>
        <w:t>was the composer of</w:t>
      </w:r>
      <w:r w:rsidR="00BD321D">
        <w:rPr>
          <w:rFonts w:ascii="Times New Roman" w:hAnsi="Times New Roman" w:cs="Times New Roman"/>
          <w:sz w:val="24"/>
          <w:szCs w:val="24"/>
        </w:rPr>
        <w:t xml:space="preserve"> the Psalms</w:t>
      </w:r>
      <w:r>
        <w:rPr>
          <w:rFonts w:ascii="Times New Roman" w:hAnsi="Times New Roman" w:cs="Times New Roman"/>
          <w:sz w:val="24"/>
          <w:szCs w:val="24"/>
        </w:rPr>
        <w:t xml:space="preserve">, </w:t>
      </w:r>
      <w:r w:rsidR="00B80815">
        <w:rPr>
          <w:rFonts w:ascii="Times New Roman" w:hAnsi="Times New Roman" w:cs="Times New Roman"/>
          <w:sz w:val="24"/>
          <w:szCs w:val="24"/>
        </w:rPr>
        <w:t>which explains why the Tree of Jesse was such a popular illumination chosen to preface Psalm 1 despite the genealogy of Christ having little to do with the contents of Psalm 1.</w:t>
      </w:r>
      <w:r w:rsidR="00E82C5D">
        <w:rPr>
          <w:rStyle w:val="FootnoteReference"/>
          <w:rFonts w:ascii="Times New Roman" w:hAnsi="Times New Roman" w:cs="Times New Roman"/>
          <w:sz w:val="24"/>
          <w:szCs w:val="24"/>
        </w:rPr>
        <w:footnoteReference w:id="5"/>
      </w:r>
      <w:r w:rsidR="00B80815">
        <w:rPr>
          <w:rFonts w:ascii="Times New Roman" w:hAnsi="Times New Roman" w:cs="Times New Roman"/>
          <w:sz w:val="24"/>
          <w:szCs w:val="24"/>
        </w:rPr>
        <w:t xml:space="preserve"> But while King David’s</w:t>
      </w:r>
      <w:r>
        <w:rPr>
          <w:rFonts w:ascii="Times New Roman" w:hAnsi="Times New Roman" w:cs="Times New Roman"/>
          <w:sz w:val="24"/>
          <w:szCs w:val="24"/>
        </w:rPr>
        <w:t xml:space="preserve"> figure is drawn no bigger than the other Kings and Prophets depicted, it is perhaps notable that he is positioned to the immediate right of the image of Mary and </w:t>
      </w:r>
      <w:r w:rsidR="002A43C5">
        <w:rPr>
          <w:rFonts w:ascii="Times New Roman" w:hAnsi="Times New Roman" w:cs="Times New Roman"/>
          <w:sz w:val="24"/>
          <w:szCs w:val="24"/>
        </w:rPr>
        <w:t>the baby Jesus</w:t>
      </w:r>
      <w:r>
        <w:rPr>
          <w:rFonts w:ascii="Times New Roman" w:hAnsi="Times New Roman" w:cs="Times New Roman"/>
          <w:sz w:val="24"/>
          <w:szCs w:val="24"/>
        </w:rPr>
        <w:t>.</w:t>
      </w:r>
      <w:r w:rsidR="002F7DE5">
        <w:rPr>
          <w:rFonts w:ascii="Times New Roman" w:hAnsi="Times New Roman" w:cs="Times New Roman"/>
          <w:sz w:val="24"/>
          <w:szCs w:val="24"/>
        </w:rPr>
        <w:t xml:space="preserve"> If then we were to assume that the figure immediately above King David was his son and successor King Solomon, there may be some significance in his positioning right at the intersection between the upper and lower half of the illuminated B. This may perhaps be a reference to the breaking apart of the United Monarchy into the Kingdom of Israel and the Kingdom of Judah upon his death</w:t>
      </w:r>
      <w:r w:rsidR="00E21F87">
        <w:rPr>
          <w:rFonts w:ascii="Times New Roman" w:hAnsi="Times New Roman" w:cs="Times New Roman"/>
          <w:sz w:val="24"/>
          <w:szCs w:val="24"/>
        </w:rPr>
        <w:t xml:space="preserve"> as a punishment</w:t>
      </w:r>
      <w:r w:rsidR="00B00999">
        <w:rPr>
          <w:rFonts w:ascii="Times New Roman" w:hAnsi="Times New Roman" w:cs="Times New Roman"/>
          <w:sz w:val="24"/>
          <w:szCs w:val="24"/>
        </w:rPr>
        <w:t xml:space="preserve"> for Solomon’s sins against God.</w:t>
      </w:r>
      <w:r w:rsidR="00E82C5D">
        <w:rPr>
          <w:rStyle w:val="FootnoteReference"/>
          <w:rFonts w:ascii="Times New Roman" w:hAnsi="Times New Roman" w:cs="Times New Roman"/>
          <w:sz w:val="24"/>
          <w:szCs w:val="24"/>
        </w:rPr>
        <w:footnoteReference w:id="6"/>
      </w:r>
      <w:r w:rsidR="00B00999">
        <w:rPr>
          <w:rFonts w:ascii="Times New Roman" w:hAnsi="Times New Roman" w:cs="Times New Roman"/>
          <w:sz w:val="24"/>
          <w:szCs w:val="24"/>
        </w:rPr>
        <w:t xml:space="preserve"> While Solomon only appears in Matthew’s genealogy of Christ, his inclusion makes a certain amount of sense here as we consider that Psalm 1 is concerned with the contrast between the way of the righteous and the way of the ungodly.</w:t>
      </w:r>
    </w:p>
    <w:p w:rsidR="00B00999" w:rsidRDefault="00B00999" w:rsidP="00177938">
      <w:pPr>
        <w:spacing w:line="480" w:lineRule="auto"/>
        <w:rPr>
          <w:rFonts w:ascii="Times New Roman" w:hAnsi="Times New Roman" w:cs="Times New Roman"/>
          <w:sz w:val="24"/>
          <w:szCs w:val="24"/>
        </w:rPr>
      </w:pPr>
      <w:r>
        <w:rPr>
          <w:rFonts w:ascii="Times New Roman" w:hAnsi="Times New Roman" w:cs="Times New Roman"/>
          <w:sz w:val="24"/>
          <w:szCs w:val="24"/>
        </w:rPr>
        <w:t>The centre of the B is taken up by the scene of the crucifixion</w:t>
      </w:r>
      <w:r w:rsidR="001549C9">
        <w:rPr>
          <w:rFonts w:ascii="Times New Roman" w:hAnsi="Times New Roman" w:cs="Times New Roman"/>
          <w:sz w:val="24"/>
          <w:szCs w:val="24"/>
        </w:rPr>
        <w:t>. Mary and another figure, perhaps the unnamed ‘Beloved Disciple’ mentioned in the Gospel of John</w:t>
      </w:r>
      <w:r w:rsidR="00054EEE">
        <w:rPr>
          <w:rFonts w:ascii="Times New Roman" w:hAnsi="Times New Roman" w:cs="Times New Roman"/>
          <w:sz w:val="24"/>
          <w:szCs w:val="24"/>
        </w:rPr>
        <w:t>,</w:t>
      </w:r>
      <w:r w:rsidR="001549C9">
        <w:rPr>
          <w:rFonts w:ascii="Times New Roman" w:hAnsi="Times New Roman" w:cs="Times New Roman"/>
          <w:sz w:val="24"/>
          <w:szCs w:val="24"/>
        </w:rPr>
        <w:t xml:space="preserve"> stand at either side </w:t>
      </w:r>
      <w:r w:rsidR="001549C9">
        <w:rPr>
          <w:rFonts w:ascii="Times New Roman" w:hAnsi="Times New Roman" w:cs="Times New Roman"/>
          <w:sz w:val="24"/>
          <w:szCs w:val="24"/>
        </w:rPr>
        <w:lastRenderedPageBreak/>
        <w:t>of an emaciated and bloody Jesus on the cross.</w:t>
      </w:r>
      <w:r w:rsidR="00E21F87">
        <w:rPr>
          <w:rFonts w:ascii="Times New Roman" w:hAnsi="Times New Roman" w:cs="Times New Roman"/>
          <w:sz w:val="24"/>
          <w:szCs w:val="24"/>
        </w:rPr>
        <w:t xml:space="preserve"> This image fits in neatly with the late medieval preoccupation with the sufferings of Christ </w:t>
      </w:r>
      <w:r w:rsidR="00054EEE">
        <w:rPr>
          <w:rFonts w:ascii="Times New Roman" w:hAnsi="Times New Roman" w:cs="Times New Roman"/>
          <w:sz w:val="24"/>
          <w:szCs w:val="24"/>
        </w:rPr>
        <w:t xml:space="preserve">as </w:t>
      </w:r>
      <w:r w:rsidR="00E21F87">
        <w:rPr>
          <w:rFonts w:ascii="Times New Roman" w:hAnsi="Times New Roman" w:cs="Times New Roman"/>
          <w:sz w:val="24"/>
          <w:szCs w:val="24"/>
        </w:rPr>
        <w:t xml:space="preserve">the </w:t>
      </w:r>
      <w:r w:rsidR="00B95701">
        <w:rPr>
          <w:rFonts w:ascii="Times New Roman" w:hAnsi="Times New Roman" w:cs="Times New Roman"/>
          <w:sz w:val="24"/>
          <w:szCs w:val="24"/>
        </w:rPr>
        <w:t xml:space="preserve">dying </w:t>
      </w:r>
      <w:r w:rsidR="00E21F87">
        <w:rPr>
          <w:rFonts w:ascii="Times New Roman" w:hAnsi="Times New Roman" w:cs="Times New Roman"/>
          <w:sz w:val="24"/>
          <w:szCs w:val="24"/>
        </w:rPr>
        <w:t xml:space="preserve">martyr, as opposed to his depictions </w:t>
      </w:r>
      <w:r w:rsidR="00374610">
        <w:rPr>
          <w:rFonts w:ascii="Times New Roman" w:hAnsi="Times New Roman" w:cs="Times New Roman"/>
          <w:sz w:val="24"/>
          <w:szCs w:val="24"/>
        </w:rPr>
        <w:t>before the twelfth century when he was usually shown whole</w:t>
      </w:r>
      <w:r w:rsidR="00B95701">
        <w:rPr>
          <w:rFonts w:ascii="Times New Roman" w:hAnsi="Times New Roman" w:cs="Times New Roman"/>
          <w:sz w:val="24"/>
          <w:szCs w:val="24"/>
        </w:rPr>
        <w:t>, alive</w:t>
      </w:r>
      <w:r w:rsidR="00374610">
        <w:rPr>
          <w:rFonts w:ascii="Times New Roman" w:hAnsi="Times New Roman" w:cs="Times New Roman"/>
          <w:sz w:val="24"/>
          <w:szCs w:val="24"/>
        </w:rPr>
        <w:t xml:space="preserve"> and triumphant.</w:t>
      </w:r>
      <w:r w:rsidR="00E82C5D">
        <w:rPr>
          <w:rStyle w:val="FootnoteReference"/>
          <w:rFonts w:ascii="Times New Roman" w:hAnsi="Times New Roman" w:cs="Times New Roman"/>
          <w:sz w:val="24"/>
          <w:szCs w:val="24"/>
        </w:rPr>
        <w:footnoteReference w:id="7"/>
      </w:r>
      <w:r w:rsidR="00B95701">
        <w:rPr>
          <w:rFonts w:ascii="Times New Roman" w:hAnsi="Times New Roman" w:cs="Times New Roman"/>
          <w:sz w:val="24"/>
          <w:szCs w:val="24"/>
        </w:rPr>
        <w:t xml:space="preserve"> Directly above the crucifixion scene is an image of Jesus</w:t>
      </w:r>
      <w:r w:rsidR="007B3A58">
        <w:rPr>
          <w:rFonts w:ascii="Times New Roman" w:hAnsi="Times New Roman" w:cs="Times New Roman"/>
          <w:sz w:val="24"/>
          <w:szCs w:val="24"/>
        </w:rPr>
        <w:t xml:space="preserve"> in heaven, seated, haloed and holding a ceremonial orb, very much in the style of a King. We see then in a straight line a succinct, visual representation of the life of Jesus, from childhood with his mother Mary, through the crucifixion, and finally to the ascension to his seat in heaven.</w:t>
      </w:r>
    </w:p>
    <w:p w:rsidR="007974C7" w:rsidRDefault="007974C7" w:rsidP="00177938">
      <w:pPr>
        <w:spacing w:line="480" w:lineRule="auto"/>
        <w:rPr>
          <w:rFonts w:ascii="Times New Roman" w:hAnsi="Times New Roman" w:cs="Times New Roman"/>
          <w:sz w:val="24"/>
          <w:szCs w:val="24"/>
        </w:rPr>
      </w:pPr>
      <w:r>
        <w:rPr>
          <w:rFonts w:ascii="Times New Roman" w:hAnsi="Times New Roman" w:cs="Times New Roman"/>
          <w:sz w:val="24"/>
          <w:szCs w:val="24"/>
        </w:rPr>
        <w:t>Below these images, and on either side of the trunk of the tree as it emerges from Jesse’s side, are two angels. Each angel holds a cup or chalice and in it they collect the blood of Christ as it flows from his wounds at the crucifixion. This is a clear reference to the Eucharist</w:t>
      </w:r>
      <w:r w:rsidR="00ED7FBB">
        <w:rPr>
          <w:rFonts w:ascii="Times New Roman" w:hAnsi="Times New Roman" w:cs="Times New Roman"/>
          <w:sz w:val="24"/>
          <w:szCs w:val="24"/>
        </w:rPr>
        <w:t>, otherwise known as the Holy Communion, where sacramental bread and wine are consumed by the practitioners as metaphorical representations of Christ’s body and blood. The Eucharistic wine is presented in a chalice and by consuming it the practitioner was</w:t>
      </w:r>
      <w:r w:rsidR="00BA450D">
        <w:rPr>
          <w:rFonts w:ascii="Times New Roman" w:hAnsi="Times New Roman" w:cs="Times New Roman"/>
          <w:sz w:val="24"/>
          <w:szCs w:val="24"/>
        </w:rPr>
        <w:t xml:space="preserve"> supposed to a</w:t>
      </w:r>
      <w:r w:rsidR="00A93E06">
        <w:rPr>
          <w:rFonts w:ascii="Times New Roman" w:hAnsi="Times New Roman" w:cs="Times New Roman"/>
          <w:sz w:val="24"/>
          <w:szCs w:val="24"/>
        </w:rPr>
        <w:t>ttain</w:t>
      </w:r>
      <w:r w:rsidR="00BA450D">
        <w:rPr>
          <w:rFonts w:ascii="Times New Roman" w:hAnsi="Times New Roman" w:cs="Times New Roman"/>
          <w:sz w:val="24"/>
          <w:szCs w:val="24"/>
        </w:rPr>
        <w:t xml:space="preserve"> </w:t>
      </w:r>
      <w:r w:rsidR="00A93E06">
        <w:rPr>
          <w:rFonts w:ascii="Times New Roman" w:hAnsi="Times New Roman" w:cs="Times New Roman"/>
          <w:sz w:val="24"/>
          <w:szCs w:val="24"/>
        </w:rPr>
        <w:t>a</w:t>
      </w:r>
      <w:r w:rsidR="00BA450D">
        <w:rPr>
          <w:rFonts w:ascii="Times New Roman" w:hAnsi="Times New Roman" w:cs="Times New Roman"/>
          <w:sz w:val="24"/>
          <w:szCs w:val="24"/>
        </w:rPr>
        <w:t xml:space="preserve"> oneness with Christ, with some denominations of Christianity even believing that the bread and wine actually transformed into the literal body and blood of Christ through a process of transubstantiation.</w:t>
      </w:r>
      <w:r w:rsidR="00E82C5D">
        <w:rPr>
          <w:rStyle w:val="FootnoteReference"/>
          <w:rFonts w:ascii="Times New Roman" w:hAnsi="Times New Roman" w:cs="Times New Roman"/>
          <w:sz w:val="24"/>
          <w:szCs w:val="24"/>
        </w:rPr>
        <w:footnoteReference w:id="8"/>
      </w:r>
    </w:p>
    <w:p w:rsidR="007B3A58" w:rsidRDefault="007B3A58" w:rsidP="00177938">
      <w:pPr>
        <w:spacing w:line="480" w:lineRule="auto"/>
        <w:rPr>
          <w:rFonts w:ascii="Times New Roman" w:hAnsi="Times New Roman" w:cs="Times New Roman"/>
          <w:sz w:val="24"/>
          <w:szCs w:val="24"/>
        </w:rPr>
      </w:pPr>
      <w:r>
        <w:rPr>
          <w:rFonts w:ascii="Times New Roman" w:hAnsi="Times New Roman" w:cs="Times New Roman"/>
          <w:sz w:val="24"/>
          <w:szCs w:val="24"/>
        </w:rPr>
        <w:t>Another important feature to note about Gorleston’s Beatus page is the colours</w:t>
      </w:r>
      <w:r w:rsidR="003A57B5">
        <w:rPr>
          <w:rFonts w:ascii="Times New Roman" w:hAnsi="Times New Roman" w:cs="Times New Roman"/>
          <w:sz w:val="24"/>
          <w:szCs w:val="24"/>
        </w:rPr>
        <w:t xml:space="preserve"> used. The vivid reds and blues</w:t>
      </w:r>
      <w:r>
        <w:rPr>
          <w:rFonts w:ascii="Times New Roman" w:hAnsi="Times New Roman" w:cs="Times New Roman"/>
          <w:sz w:val="24"/>
          <w:szCs w:val="24"/>
        </w:rPr>
        <w:t xml:space="preserve"> all accented with gold, are not only </w:t>
      </w:r>
      <w:r w:rsidR="003A57B5">
        <w:rPr>
          <w:rFonts w:ascii="Times New Roman" w:hAnsi="Times New Roman" w:cs="Times New Roman"/>
          <w:sz w:val="24"/>
          <w:szCs w:val="24"/>
        </w:rPr>
        <w:t>beautiful and eye-catching for the reader, allowing them to easily locate Psalm 1 amongst the other Psalms, but also function as an obvious display of wealth for</w:t>
      </w:r>
      <w:r w:rsidR="002A43C5">
        <w:rPr>
          <w:rFonts w:ascii="Times New Roman" w:hAnsi="Times New Roman" w:cs="Times New Roman"/>
          <w:sz w:val="24"/>
          <w:szCs w:val="24"/>
        </w:rPr>
        <w:t xml:space="preserve"> the owner of the Psalter. What i</w:t>
      </w:r>
      <w:r w:rsidR="003A57B5">
        <w:rPr>
          <w:rFonts w:ascii="Times New Roman" w:hAnsi="Times New Roman" w:cs="Times New Roman"/>
          <w:sz w:val="24"/>
          <w:szCs w:val="24"/>
        </w:rPr>
        <w:t xml:space="preserve">s more is that the colours also correspond with the English and French arms, with the central ‘B’ bordered by an alternating pattern of </w:t>
      </w:r>
      <w:r w:rsidR="00847143">
        <w:rPr>
          <w:rFonts w:ascii="Times New Roman" w:hAnsi="Times New Roman" w:cs="Times New Roman"/>
          <w:sz w:val="24"/>
          <w:szCs w:val="24"/>
        </w:rPr>
        <w:t xml:space="preserve">a </w:t>
      </w:r>
      <w:r w:rsidR="003A57B5">
        <w:rPr>
          <w:rFonts w:ascii="Times New Roman" w:hAnsi="Times New Roman" w:cs="Times New Roman"/>
          <w:sz w:val="24"/>
          <w:szCs w:val="24"/>
        </w:rPr>
        <w:t>red</w:t>
      </w:r>
      <w:r w:rsidR="00847143">
        <w:rPr>
          <w:rFonts w:ascii="Times New Roman" w:hAnsi="Times New Roman" w:cs="Times New Roman"/>
          <w:sz w:val="24"/>
          <w:szCs w:val="24"/>
        </w:rPr>
        <w:t xml:space="preserve"> background</w:t>
      </w:r>
      <w:r w:rsidR="003A57B5">
        <w:rPr>
          <w:rFonts w:ascii="Times New Roman" w:hAnsi="Times New Roman" w:cs="Times New Roman"/>
          <w:sz w:val="24"/>
          <w:szCs w:val="24"/>
        </w:rPr>
        <w:t xml:space="preserve"> with gold</w:t>
      </w:r>
      <w:r w:rsidR="003E3841">
        <w:rPr>
          <w:rFonts w:ascii="Times New Roman" w:hAnsi="Times New Roman" w:cs="Times New Roman"/>
          <w:sz w:val="24"/>
          <w:szCs w:val="24"/>
        </w:rPr>
        <w:t>en</w:t>
      </w:r>
      <w:r w:rsidR="003A57B5">
        <w:rPr>
          <w:rFonts w:ascii="Times New Roman" w:hAnsi="Times New Roman" w:cs="Times New Roman"/>
          <w:sz w:val="24"/>
          <w:szCs w:val="24"/>
        </w:rPr>
        <w:t xml:space="preserve"> lions</w:t>
      </w:r>
      <w:r w:rsidR="00847143">
        <w:rPr>
          <w:rFonts w:ascii="Times New Roman" w:hAnsi="Times New Roman" w:cs="Times New Roman"/>
          <w:sz w:val="24"/>
          <w:szCs w:val="24"/>
        </w:rPr>
        <w:t xml:space="preserve"> for England</w:t>
      </w:r>
      <w:r w:rsidR="003E3841">
        <w:rPr>
          <w:rFonts w:ascii="Times New Roman" w:hAnsi="Times New Roman" w:cs="Times New Roman"/>
          <w:sz w:val="24"/>
          <w:szCs w:val="24"/>
        </w:rPr>
        <w:t xml:space="preserve"> and </w:t>
      </w:r>
      <w:r w:rsidR="00847143">
        <w:rPr>
          <w:rFonts w:ascii="Times New Roman" w:hAnsi="Times New Roman" w:cs="Times New Roman"/>
          <w:sz w:val="24"/>
          <w:szCs w:val="24"/>
        </w:rPr>
        <w:t xml:space="preserve">a </w:t>
      </w:r>
      <w:r w:rsidR="003E3841">
        <w:rPr>
          <w:rFonts w:ascii="Times New Roman" w:hAnsi="Times New Roman" w:cs="Times New Roman"/>
          <w:sz w:val="24"/>
          <w:szCs w:val="24"/>
        </w:rPr>
        <w:t xml:space="preserve">blue </w:t>
      </w:r>
      <w:r w:rsidR="00847143">
        <w:rPr>
          <w:rFonts w:ascii="Times New Roman" w:hAnsi="Times New Roman" w:cs="Times New Roman"/>
          <w:sz w:val="24"/>
          <w:szCs w:val="24"/>
        </w:rPr>
        <w:t xml:space="preserve">background </w:t>
      </w:r>
      <w:r w:rsidR="003E3841">
        <w:rPr>
          <w:rFonts w:ascii="Times New Roman" w:hAnsi="Times New Roman" w:cs="Times New Roman"/>
          <w:sz w:val="24"/>
          <w:szCs w:val="24"/>
        </w:rPr>
        <w:lastRenderedPageBreak/>
        <w:t>with golden fleur-de-lis</w:t>
      </w:r>
      <w:r w:rsidR="00847143">
        <w:rPr>
          <w:rFonts w:ascii="Times New Roman" w:hAnsi="Times New Roman" w:cs="Times New Roman"/>
          <w:sz w:val="24"/>
          <w:szCs w:val="24"/>
        </w:rPr>
        <w:t xml:space="preserve"> for France</w:t>
      </w:r>
      <w:r w:rsidR="003E3841">
        <w:rPr>
          <w:rFonts w:ascii="Times New Roman" w:hAnsi="Times New Roman" w:cs="Times New Roman"/>
          <w:sz w:val="24"/>
          <w:szCs w:val="24"/>
        </w:rPr>
        <w:t>.</w:t>
      </w:r>
      <w:r w:rsidR="00E82C5D">
        <w:rPr>
          <w:rStyle w:val="FootnoteReference"/>
          <w:rFonts w:ascii="Times New Roman" w:hAnsi="Times New Roman" w:cs="Times New Roman"/>
          <w:sz w:val="24"/>
          <w:szCs w:val="24"/>
        </w:rPr>
        <w:footnoteReference w:id="9"/>
      </w:r>
      <w:r w:rsidR="00847143">
        <w:rPr>
          <w:rFonts w:ascii="Times New Roman" w:hAnsi="Times New Roman" w:cs="Times New Roman"/>
          <w:sz w:val="24"/>
          <w:szCs w:val="24"/>
        </w:rPr>
        <w:t xml:space="preserve"> This is particularly useful when it comes to dating the manuscript, and historians have cited this image as evidence that it cannot have been written before the marriage of Edward I of England to Margaret of France in 1299</w:t>
      </w:r>
      <w:r w:rsidR="00A8535A">
        <w:rPr>
          <w:rFonts w:ascii="Times New Roman" w:hAnsi="Times New Roman" w:cs="Times New Roman"/>
          <w:sz w:val="24"/>
          <w:szCs w:val="24"/>
        </w:rPr>
        <w:t xml:space="preserve"> which secured the truce between King Edward and King Philip after five years of war.</w:t>
      </w:r>
      <w:r w:rsidR="00E82C5D">
        <w:rPr>
          <w:rStyle w:val="FootnoteReference"/>
          <w:rFonts w:ascii="Times New Roman" w:hAnsi="Times New Roman" w:cs="Times New Roman"/>
          <w:sz w:val="24"/>
          <w:szCs w:val="24"/>
        </w:rPr>
        <w:footnoteReference w:id="10"/>
      </w:r>
    </w:p>
    <w:p w:rsidR="003C73BA" w:rsidRDefault="00584995" w:rsidP="00177938">
      <w:pPr>
        <w:spacing w:line="480" w:lineRule="auto"/>
        <w:rPr>
          <w:rFonts w:ascii="Times New Roman" w:hAnsi="Times New Roman" w:cs="Times New Roman"/>
          <w:sz w:val="24"/>
          <w:szCs w:val="24"/>
        </w:rPr>
      </w:pPr>
      <w:r>
        <w:rPr>
          <w:rFonts w:ascii="Times New Roman" w:hAnsi="Times New Roman" w:cs="Times New Roman"/>
          <w:sz w:val="24"/>
          <w:szCs w:val="24"/>
        </w:rPr>
        <w:t>In addition to</w:t>
      </w:r>
      <w:r w:rsidR="003C73BA">
        <w:rPr>
          <w:rFonts w:ascii="Times New Roman" w:hAnsi="Times New Roman" w:cs="Times New Roman"/>
          <w:sz w:val="24"/>
          <w:szCs w:val="24"/>
        </w:rPr>
        <w:t xml:space="preserve"> the Tree of Jesse</w:t>
      </w:r>
      <w:r>
        <w:rPr>
          <w:rFonts w:ascii="Times New Roman" w:hAnsi="Times New Roman" w:cs="Times New Roman"/>
          <w:sz w:val="24"/>
          <w:szCs w:val="24"/>
        </w:rPr>
        <w:t>, somewhat distinct</w:t>
      </w:r>
      <w:r w:rsidR="003C73BA">
        <w:rPr>
          <w:rFonts w:ascii="Times New Roman" w:hAnsi="Times New Roman" w:cs="Times New Roman"/>
          <w:sz w:val="24"/>
          <w:szCs w:val="24"/>
        </w:rPr>
        <w:t xml:space="preserve"> but still in the same style, </w:t>
      </w:r>
      <w:r>
        <w:rPr>
          <w:rFonts w:ascii="Times New Roman" w:hAnsi="Times New Roman" w:cs="Times New Roman"/>
          <w:sz w:val="24"/>
          <w:szCs w:val="24"/>
        </w:rPr>
        <w:t>are two marginal scenes. One of these is at the bottom of the page and depicts</w:t>
      </w:r>
      <w:r w:rsidR="003C73BA">
        <w:rPr>
          <w:rFonts w:ascii="Times New Roman" w:hAnsi="Times New Roman" w:cs="Times New Roman"/>
          <w:sz w:val="24"/>
          <w:szCs w:val="24"/>
        </w:rPr>
        <w:t xml:space="preserve"> the scene of David and Goliath.</w:t>
      </w:r>
      <w:r w:rsidR="007B6BF6">
        <w:rPr>
          <w:rFonts w:ascii="Times New Roman" w:hAnsi="Times New Roman" w:cs="Times New Roman"/>
          <w:sz w:val="24"/>
          <w:szCs w:val="24"/>
        </w:rPr>
        <w:t xml:space="preserve"> </w:t>
      </w:r>
      <w:r w:rsidR="00A75130">
        <w:rPr>
          <w:rFonts w:ascii="Times New Roman" w:hAnsi="Times New Roman" w:cs="Times New Roman"/>
          <w:sz w:val="24"/>
          <w:szCs w:val="24"/>
        </w:rPr>
        <w:t xml:space="preserve">This is </w:t>
      </w:r>
      <w:r w:rsidR="00CD228D">
        <w:rPr>
          <w:rFonts w:ascii="Times New Roman" w:hAnsi="Times New Roman" w:cs="Times New Roman"/>
          <w:sz w:val="24"/>
          <w:szCs w:val="24"/>
        </w:rPr>
        <w:t xml:space="preserve">not </w:t>
      </w:r>
      <w:r w:rsidR="00552AA3">
        <w:rPr>
          <w:rFonts w:ascii="Times New Roman" w:hAnsi="Times New Roman" w:cs="Times New Roman"/>
          <w:sz w:val="24"/>
          <w:szCs w:val="24"/>
        </w:rPr>
        <w:t xml:space="preserve">perhaps an unexpected inclusion </w:t>
      </w:r>
      <w:r w:rsidR="00D673D8">
        <w:rPr>
          <w:rFonts w:ascii="Times New Roman" w:hAnsi="Times New Roman" w:cs="Times New Roman"/>
          <w:sz w:val="24"/>
          <w:szCs w:val="24"/>
        </w:rPr>
        <w:t xml:space="preserve">given that the story of David and Goliath is arguably the most </w:t>
      </w:r>
      <w:r w:rsidR="008A43EF">
        <w:rPr>
          <w:rFonts w:ascii="Times New Roman" w:hAnsi="Times New Roman" w:cs="Times New Roman"/>
          <w:sz w:val="24"/>
          <w:szCs w:val="24"/>
        </w:rPr>
        <w:t xml:space="preserve">famous </w:t>
      </w:r>
      <w:r w:rsidR="00A728FC">
        <w:rPr>
          <w:rFonts w:ascii="Times New Roman" w:hAnsi="Times New Roman" w:cs="Times New Roman"/>
          <w:sz w:val="24"/>
          <w:szCs w:val="24"/>
        </w:rPr>
        <w:t>story featuring King David who, as mentioned, was believed to have authored the psalms.</w:t>
      </w:r>
      <w:r w:rsidR="00951A91">
        <w:rPr>
          <w:rFonts w:ascii="Times New Roman" w:hAnsi="Times New Roman" w:cs="Times New Roman"/>
          <w:sz w:val="24"/>
          <w:szCs w:val="24"/>
        </w:rPr>
        <w:t xml:space="preserve"> The fact that the scene is set </w:t>
      </w:r>
      <w:r w:rsidR="00EE07EF">
        <w:rPr>
          <w:rFonts w:ascii="Times New Roman" w:hAnsi="Times New Roman" w:cs="Times New Roman"/>
          <w:sz w:val="24"/>
          <w:szCs w:val="24"/>
        </w:rPr>
        <w:t xml:space="preserve">apart from the main image is interesting though, </w:t>
      </w:r>
      <w:r w:rsidR="00622A98">
        <w:rPr>
          <w:rFonts w:ascii="Times New Roman" w:hAnsi="Times New Roman" w:cs="Times New Roman"/>
          <w:sz w:val="24"/>
          <w:szCs w:val="24"/>
        </w:rPr>
        <w:t>and leads one to wonder whether it</w:t>
      </w:r>
      <w:r w:rsidR="004B4130">
        <w:rPr>
          <w:rFonts w:ascii="Times New Roman" w:hAnsi="Times New Roman" w:cs="Times New Roman"/>
          <w:sz w:val="24"/>
          <w:szCs w:val="24"/>
        </w:rPr>
        <w:t xml:space="preserve">, like grotesques and other marginalia, </w:t>
      </w:r>
      <w:r w:rsidR="00622A98">
        <w:rPr>
          <w:rFonts w:ascii="Times New Roman" w:hAnsi="Times New Roman" w:cs="Times New Roman"/>
          <w:sz w:val="24"/>
          <w:szCs w:val="24"/>
        </w:rPr>
        <w:t xml:space="preserve">was simply included </w:t>
      </w:r>
      <w:r w:rsidR="00935F23">
        <w:rPr>
          <w:rFonts w:ascii="Times New Roman" w:hAnsi="Times New Roman" w:cs="Times New Roman"/>
          <w:sz w:val="24"/>
          <w:szCs w:val="24"/>
        </w:rPr>
        <w:t xml:space="preserve">to fill in the blank space or if </w:t>
      </w:r>
      <w:r w:rsidR="005A2335">
        <w:rPr>
          <w:rFonts w:ascii="Times New Roman" w:hAnsi="Times New Roman" w:cs="Times New Roman"/>
          <w:sz w:val="24"/>
          <w:szCs w:val="24"/>
        </w:rPr>
        <w:t>there was a deeper meaning to it.</w:t>
      </w:r>
    </w:p>
    <w:p w:rsidR="00881400" w:rsidRDefault="00881400" w:rsidP="00177938">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connection of David and Goliath </w:t>
      </w:r>
      <w:r w:rsidR="009D51EA">
        <w:rPr>
          <w:rFonts w:ascii="Times New Roman" w:hAnsi="Times New Roman" w:cs="Times New Roman"/>
          <w:sz w:val="24"/>
          <w:szCs w:val="24"/>
        </w:rPr>
        <w:t xml:space="preserve">to the Tree of Jesse </w:t>
      </w:r>
      <w:r w:rsidR="00EF030F">
        <w:rPr>
          <w:rFonts w:ascii="Times New Roman" w:hAnsi="Times New Roman" w:cs="Times New Roman"/>
          <w:sz w:val="24"/>
          <w:szCs w:val="24"/>
        </w:rPr>
        <w:t>is however</w:t>
      </w:r>
      <w:r w:rsidR="009D51EA">
        <w:rPr>
          <w:rFonts w:ascii="Times New Roman" w:hAnsi="Times New Roman" w:cs="Times New Roman"/>
          <w:sz w:val="24"/>
          <w:szCs w:val="24"/>
        </w:rPr>
        <w:t xml:space="preserve"> more obvious </w:t>
      </w:r>
      <w:r w:rsidR="003160B8">
        <w:rPr>
          <w:rFonts w:ascii="Times New Roman" w:hAnsi="Times New Roman" w:cs="Times New Roman"/>
          <w:sz w:val="24"/>
          <w:szCs w:val="24"/>
        </w:rPr>
        <w:t>than the other marginal scene, which depicts a hun</w:t>
      </w:r>
      <w:r w:rsidR="00EF030F">
        <w:rPr>
          <w:rFonts w:ascii="Times New Roman" w:hAnsi="Times New Roman" w:cs="Times New Roman"/>
          <w:sz w:val="24"/>
          <w:szCs w:val="24"/>
        </w:rPr>
        <w:t>t</w:t>
      </w:r>
      <w:r w:rsidR="00295BD0">
        <w:rPr>
          <w:rFonts w:ascii="Times New Roman" w:hAnsi="Times New Roman" w:cs="Times New Roman"/>
          <w:sz w:val="24"/>
          <w:szCs w:val="24"/>
        </w:rPr>
        <w:t xml:space="preserve"> seemingly led by </w:t>
      </w:r>
      <w:r w:rsidR="00BA7A06">
        <w:rPr>
          <w:rFonts w:ascii="Times New Roman" w:hAnsi="Times New Roman" w:cs="Times New Roman"/>
          <w:sz w:val="24"/>
          <w:szCs w:val="24"/>
        </w:rPr>
        <w:t>a monkey.</w:t>
      </w:r>
      <w:r w:rsidR="00333A4A">
        <w:rPr>
          <w:rFonts w:ascii="Times New Roman" w:hAnsi="Times New Roman" w:cs="Times New Roman"/>
          <w:sz w:val="24"/>
          <w:szCs w:val="24"/>
        </w:rPr>
        <w:t xml:space="preserve"> </w:t>
      </w:r>
      <w:r w:rsidR="00882F5B">
        <w:rPr>
          <w:rFonts w:ascii="Times New Roman" w:hAnsi="Times New Roman" w:cs="Times New Roman"/>
          <w:sz w:val="24"/>
          <w:szCs w:val="24"/>
        </w:rPr>
        <w:t xml:space="preserve">One reason for including </w:t>
      </w:r>
      <w:r w:rsidR="00A741F6">
        <w:rPr>
          <w:rFonts w:ascii="Times New Roman" w:hAnsi="Times New Roman" w:cs="Times New Roman"/>
          <w:sz w:val="24"/>
          <w:szCs w:val="24"/>
        </w:rPr>
        <w:t xml:space="preserve">an illumination of a hunt is to show the wealth of </w:t>
      </w:r>
      <w:r w:rsidR="00753145">
        <w:rPr>
          <w:rFonts w:ascii="Times New Roman" w:hAnsi="Times New Roman" w:cs="Times New Roman"/>
          <w:sz w:val="24"/>
          <w:szCs w:val="24"/>
        </w:rPr>
        <w:t>the owner, as is the case in the Luttrell Psalter</w:t>
      </w:r>
      <w:r w:rsidR="00C34AC3">
        <w:rPr>
          <w:rFonts w:ascii="Times New Roman" w:hAnsi="Times New Roman" w:cs="Times New Roman"/>
          <w:sz w:val="24"/>
          <w:szCs w:val="24"/>
        </w:rPr>
        <w:t>.</w:t>
      </w:r>
      <w:r w:rsidR="00E82C5D">
        <w:rPr>
          <w:rStyle w:val="FootnoteReference"/>
          <w:rFonts w:ascii="Times New Roman" w:hAnsi="Times New Roman" w:cs="Times New Roman"/>
          <w:sz w:val="24"/>
          <w:szCs w:val="24"/>
        </w:rPr>
        <w:footnoteReference w:id="11"/>
      </w:r>
      <w:r w:rsidR="00C34AC3">
        <w:rPr>
          <w:rFonts w:ascii="Times New Roman" w:hAnsi="Times New Roman" w:cs="Times New Roman"/>
          <w:sz w:val="24"/>
          <w:szCs w:val="24"/>
        </w:rPr>
        <w:t xml:space="preserve"> B</w:t>
      </w:r>
      <w:r w:rsidR="00753145">
        <w:rPr>
          <w:rFonts w:ascii="Times New Roman" w:hAnsi="Times New Roman" w:cs="Times New Roman"/>
          <w:sz w:val="24"/>
          <w:szCs w:val="24"/>
        </w:rPr>
        <w:t xml:space="preserve">ut another reason </w:t>
      </w:r>
      <w:r w:rsidR="00C34AC3">
        <w:rPr>
          <w:rFonts w:ascii="Times New Roman" w:hAnsi="Times New Roman" w:cs="Times New Roman"/>
          <w:sz w:val="24"/>
          <w:szCs w:val="24"/>
        </w:rPr>
        <w:t>the illuminator may have chosen to incl</w:t>
      </w:r>
      <w:r w:rsidR="002C255E">
        <w:rPr>
          <w:rFonts w:ascii="Times New Roman" w:hAnsi="Times New Roman" w:cs="Times New Roman"/>
          <w:sz w:val="24"/>
          <w:szCs w:val="24"/>
        </w:rPr>
        <w:t>ude it here is as a reference once again to the ungodly mentioned in Psalm 1, here represented by the simian-esque huntsman, attacking the soul symbolised by the stag.</w:t>
      </w:r>
      <w:r w:rsidR="00E82C5D">
        <w:rPr>
          <w:rStyle w:val="FootnoteReference"/>
          <w:rFonts w:ascii="Times New Roman" w:hAnsi="Times New Roman" w:cs="Times New Roman"/>
          <w:sz w:val="24"/>
          <w:szCs w:val="24"/>
        </w:rPr>
        <w:footnoteReference w:id="12"/>
      </w:r>
    </w:p>
    <w:p w:rsidR="00F41F0E" w:rsidRDefault="00054EEE" w:rsidP="00AD10AD">
      <w:pPr>
        <w:spacing w:line="480" w:lineRule="auto"/>
        <w:rPr>
          <w:rFonts w:ascii="Times New Roman" w:hAnsi="Times New Roman" w:cs="Times New Roman"/>
          <w:sz w:val="24"/>
          <w:szCs w:val="24"/>
        </w:rPr>
      </w:pPr>
      <w:r>
        <w:rPr>
          <w:rFonts w:ascii="Times New Roman" w:hAnsi="Times New Roman" w:cs="Times New Roman"/>
          <w:sz w:val="24"/>
          <w:szCs w:val="24"/>
        </w:rPr>
        <w:t>One other possible explanation for including these marginal scenes may be as a sort of reference aid for the reader. Psalters were after all commonly used to teach people, namely the wealthy who could afford to own one, to read</w:t>
      </w:r>
      <w:r w:rsidR="00BE76BB">
        <w:rPr>
          <w:rFonts w:ascii="Times New Roman" w:hAnsi="Times New Roman" w:cs="Times New Roman"/>
          <w:sz w:val="24"/>
          <w:szCs w:val="24"/>
        </w:rPr>
        <w:t xml:space="preserve"> and understand the Psalms. </w:t>
      </w:r>
      <w:r w:rsidR="001B0C27">
        <w:rPr>
          <w:rFonts w:ascii="Times New Roman" w:hAnsi="Times New Roman" w:cs="Times New Roman"/>
          <w:sz w:val="24"/>
          <w:szCs w:val="24"/>
        </w:rPr>
        <w:t xml:space="preserve">The inclusion </w:t>
      </w:r>
      <w:r w:rsidR="001B0C27">
        <w:rPr>
          <w:rFonts w:ascii="Times New Roman" w:hAnsi="Times New Roman" w:cs="Times New Roman"/>
          <w:sz w:val="24"/>
          <w:szCs w:val="24"/>
        </w:rPr>
        <w:lastRenderedPageBreak/>
        <w:t>of marginal but related scenes therefore provide a kind of visual footnote to other stories that the reader may already be familiar with, like the inclusion of David and Goliath. Otherwise they might be used to place passages of the text into a context that makes more sense to the reader, like the inclusion of the hunt</w:t>
      </w:r>
      <w:r w:rsidR="007A7376">
        <w:rPr>
          <w:rFonts w:ascii="Times New Roman" w:hAnsi="Times New Roman" w:cs="Times New Roman"/>
          <w:sz w:val="24"/>
          <w:szCs w:val="24"/>
        </w:rPr>
        <w:t xml:space="preserve"> as a metaphor as described above</w:t>
      </w:r>
      <w:r w:rsidR="001B0C27">
        <w:rPr>
          <w:rFonts w:ascii="Times New Roman" w:hAnsi="Times New Roman" w:cs="Times New Roman"/>
          <w:sz w:val="24"/>
          <w:szCs w:val="24"/>
        </w:rPr>
        <w:t>.</w:t>
      </w:r>
    </w:p>
    <w:p w:rsidR="004C4F36" w:rsidRDefault="004C4F36" w:rsidP="00AD10AD">
      <w:pPr>
        <w:spacing w:line="480" w:lineRule="auto"/>
        <w:rPr>
          <w:rFonts w:ascii="Times New Roman" w:hAnsi="Times New Roman" w:cs="Times New Roman"/>
          <w:sz w:val="24"/>
          <w:szCs w:val="24"/>
        </w:rPr>
      </w:pPr>
    </w:p>
    <w:p w:rsidR="004C4F36" w:rsidRDefault="004C4F36" w:rsidP="004C4F36">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t>Bibliography</w:t>
      </w:r>
    </w:p>
    <w:p w:rsidR="00F32256"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sz w:val="24"/>
          <w:szCs w:val="24"/>
        </w:rPr>
        <w:t>Baumgaertner</w:t>
      </w:r>
      <w:r>
        <w:rPr>
          <w:rFonts w:ascii="Times New Roman" w:hAnsi="Times New Roman" w:cs="Times New Roman"/>
          <w:sz w:val="24"/>
          <w:szCs w:val="24"/>
        </w:rPr>
        <w:t>, W.M.</w:t>
      </w:r>
      <w:r w:rsidRPr="00F32256">
        <w:rPr>
          <w:rFonts w:ascii="Times New Roman" w:hAnsi="Times New Roman" w:cs="Times New Roman"/>
          <w:sz w:val="24"/>
          <w:szCs w:val="24"/>
        </w:rPr>
        <w:t xml:space="preserve">, </w:t>
      </w:r>
      <w:r w:rsidRPr="00F32256">
        <w:rPr>
          <w:rFonts w:ascii="Times New Roman" w:hAnsi="Times New Roman" w:cs="Times New Roman"/>
          <w:i/>
          <w:sz w:val="24"/>
          <w:szCs w:val="24"/>
        </w:rPr>
        <w:t xml:space="preserve">Squires, Knights, Barons, Kings: War and Politics in Fifteenth Century England </w:t>
      </w:r>
      <w:r w:rsidRPr="00F32256">
        <w:rPr>
          <w:rFonts w:ascii="Times New Roman" w:hAnsi="Times New Roman" w:cs="Times New Roman"/>
          <w:sz w:val="24"/>
          <w:szCs w:val="24"/>
        </w:rPr>
        <w:t>(Indiana: Trafford Publishing, 2009).</w:t>
      </w:r>
    </w:p>
    <w:p w:rsidR="00F32256"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sz w:val="24"/>
          <w:szCs w:val="24"/>
        </w:rPr>
        <w:t>Gillingham</w:t>
      </w:r>
      <w:r>
        <w:rPr>
          <w:rFonts w:ascii="Times New Roman" w:hAnsi="Times New Roman" w:cs="Times New Roman"/>
          <w:sz w:val="24"/>
          <w:szCs w:val="24"/>
        </w:rPr>
        <w:t>, S.</w:t>
      </w:r>
      <w:r w:rsidRPr="00F32256">
        <w:rPr>
          <w:rFonts w:ascii="Times New Roman" w:hAnsi="Times New Roman" w:cs="Times New Roman"/>
          <w:sz w:val="24"/>
          <w:szCs w:val="24"/>
        </w:rPr>
        <w:t>, Psalms Through the Centuries, Volume Two (New Jersey: John Wiley &amp; Sons, 2018).</w:t>
      </w:r>
    </w:p>
    <w:p w:rsidR="00885420" w:rsidRPr="00885420" w:rsidRDefault="00885420" w:rsidP="004C4F36">
      <w:pPr>
        <w:spacing w:line="240" w:lineRule="auto"/>
        <w:rPr>
          <w:rFonts w:ascii="Times New Roman" w:hAnsi="Times New Roman" w:cs="Times New Roman"/>
          <w:sz w:val="24"/>
          <w:szCs w:val="24"/>
        </w:rPr>
      </w:pPr>
      <w:r w:rsidRPr="00885420">
        <w:rPr>
          <w:rFonts w:ascii="Times New Roman" w:hAnsi="Times New Roman" w:cs="Times New Roman"/>
          <w:sz w:val="24"/>
          <w:szCs w:val="24"/>
        </w:rPr>
        <w:t>Gilmour</w:t>
      </w:r>
      <w:r>
        <w:rPr>
          <w:rFonts w:ascii="Times New Roman" w:hAnsi="Times New Roman" w:cs="Times New Roman"/>
          <w:sz w:val="24"/>
          <w:szCs w:val="24"/>
        </w:rPr>
        <w:t>, S.J.</w:t>
      </w:r>
      <w:r w:rsidRPr="00885420">
        <w:rPr>
          <w:rFonts w:ascii="Times New Roman" w:hAnsi="Times New Roman" w:cs="Times New Roman"/>
          <w:sz w:val="24"/>
          <w:szCs w:val="24"/>
        </w:rPr>
        <w:t xml:space="preserve">, </w:t>
      </w:r>
      <w:r w:rsidRPr="00885420">
        <w:rPr>
          <w:rFonts w:ascii="Times New Roman" w:hAnsi="Times New Roman" w:cs="Times New Roman"/>
          <w:i/>
          <w:iCs/>
          <w:sz w:val="24"/>
          <w:szCs w:val="24"/>
        </w:rPr>
        <w:t xml:space="preserve">Daz Sint Noch Ungelogeniu Wort: A Literary and Linguistic Commentary on the Gurnemanz Episode in Book III of Wolfram's Parzival </w:t>
      </w:r>
      <w:r>
        <w:rPr>
          <w:rFonts w:ascii="Times New Roman" w:hAnsi="Times New Roman" w:cs="Times New Roman"/>
          <w:iCs/>
          <w:sz w:val="24"/>
          <w:szCs w:val="24"/>
        </w:rPr>
        <w:t>(Heidelberg: C. Winter, 2000).</w:t>
      </w:r>
    </w:p>
    <w:p w:rsidR="00885420" w:rsidRDefault="00885420" w:rsidP="004C4F36">
      <w:pPr>
        <w:spacing w:line="240" w:lineRule="auto"/>
        <w:rPr>
          <w:rFonts w:ascii="Times New Roman" w:hAnsi="Times New Roman" w:cs="Times New Roman"/>
          <w:sz w:val="24"/>
          <w:szCs w:val="24"/>
        </w:rPr>
      </w:pPr>
      <w:r w:rsidRPr="00885420">
        <w:rPr>
          <w:rFonts w:ascii="Times New Roman" w:hAnsi="Times New Roman" w:cs="Times New Roman"/>
          <w:sz w:val="24"/>
          <w:szCs w:val="24"/>
        </w:rPr>
        <w:t>Kolve</w:t>
      </w:r>
      <w:r>
        <w:rPr>
          <w:rFonts w:ascii="Times New Roman" w:hAnsi="Times New Roman" w:cs="Times New Roman"/>
          <w:sz w:val="24"/>
          <w:szCs w:val="24"/>
        </w:rPr>
        <w:t>, V.A.</w:t>
      </w:r>
      <w:r w:rsidRPr="00885420">
        <w:rPr>
          <w:rFonts w:ascii="Times New Roman" w:hAnsi="Times New Roman" w:cs="Times New Roman"/>
          <w:sz w:val="24"/>
          <w:szCs w:val="24"/>
        </w:rPr>
        <w:t xml:space="preserve">, </w:t>
      </w:r>
      <w:r w:rsidRPr="00885420">
        <w:rPr>
          <w:rFonts w:ascii="Times New Roman" w:hAnsi="Times New Roman" w:cs="Times New Roman"/>
          <w:i/>
          <w:sz w:val="24"/>
          <w:szCs w:val="24"/>
        </w:rPr>
        <w:t xml:space="preserve">Telling Images: Chaucer and the Imagery of Narrative II </w:t>
      </w:r>
      <w:r w:rsidRPr="00885420">
        <w:rPr>
          <w:rFonts w:ascii="Times New Roman" w:hAnsi="Times New Roman" w:cs="Times New Roman"/>
          <w:sz w:val="24"/>
          <w:szCs w:val="24"/>
        </w:rPr>
        <w:t xml:space="preserve">(California: Stanford University Press, </w:t>
      </w:r>
      <w:r>
        <w:rPr>
          <w:rFonts w:ascii="Times New Roman" w:hAnsi="Times New Roman" w:cs="Times New Roman"/>
          <w:sz w:val="24"/>
          <w:szCs w:val="24"/>
        </w:rPr>
        <w:t>2009).</w:t>
      </w:r>
    </w:p>
    <w:p w:rsidR="00D20A74" w:rsidRDefault="00D20A74" w:rsidP="004C4F36">
      <w:pPr>
        <w:spacing w:line="240" w:lineRule="auto"/>
        <w:rPr>
          <w:rFonts w:ascii="Times New Roman" w:hAnsi="Times New Roman" w:cs="Times New Roman"/>
          <w:sz w:val="24"/>
          <w:szCs w:val="24"/>
        </w:rPr>
      </w:pPr>
      <w:r w:rsidRPr="00D20A74">
        <w:rPr>
          <w:rFonts w:ascii="Times New Roman" w:hAnsi="Times New Roman" w:cs="Times New Roman"/>
          <w:sz w:val="24"/>
          <w:szCs w:val="24"/>
        </w:rPr>
        <w:t>Nagy</w:t>
      </w:r>
      <w:r>
        <w:rPr>
          <w:rFonts w:ascii="Times New Roman" w:hAnsi="Times New Roman" w:cs="Times New Roman"/>
          <w:sz w:val="24"/>
          <w:szCs w:val="24"/>
        </w:rPr>
        <w:t>, J.F.</w:t>
      </w:r>
      <w:r w:rsidRPr="00D20A74">
        <w:rPr>
          <w:rFonts w:ascii="Times New Roman" w:hAnsi="Times New Roman" w:cs="Times New Roman"/>
          <w:sz w:val="24"/>
          <w:szCs w:val="24"/>
        </w:rPr>
        <w:t xml:space="preserve">, </w:t>
      </w:r>
      <w:r w:rsidRPr="00D20A74">
        <w:rPr>
          <w:rFonts w:ascii="Times New Roman" w:hAnsi="Times New Roman" w:cs="Times New Roman"/>
          <w:i/>
          <w:sz w:val="24"/>
          <w:szCs w:val="24"/>
        </w:rPr>
        <w:t xml:space="preserve">The Place of the Psalms in the Intellectual Culture of the Middle Ages, </w:t>
      </w:r>
      <w:r>
        <w:rPr>
          <w:rFonts w:ascii="Times New Roman" w:hAnsi="Times New Roman" w:cs="Times New Roman"/>
          <w:sz w:val="24"/>
          <w:szCs w:val="24"/>
        </w:rPr>
        <w:t xml:space="preserve">ed. </w:t>
      </w:r>
      <w:r w:rsidRPr="00D20A74">
        <w:rPr>
          <w:rFonts w:ascii="Times New Roman" w:hAnsi="Times New Roman" w:cs="Times New Roman"/>
          <w:sz w:val="24"/>
          <w:szCs w:val="24"/>
        </w:rPr>
        <w:t>Van Deusen</w:t>
      </w:r>
      <w:r>
        <w:rPr>
          <w:rFonts w:ascii="Times New Roman" w:hAnsi="Times New Roman" w:cs="Times New Roman"/>
          <w:sz w:val="24"/>
          <w:szCs w:val="24"/>
        </w:rPr>
        <w:t>, N.E.</w:t>
      </w:r>
      <w:r w:rsidRPr="00D20A74">
        <w:rPr>
          <w:rFonts w:ascii="Times New Roman" w:hAnsi="Times New Roman" w:cs="Times New Roman"/>
          <w:sz w:val="24"/>
          <w:szCs w:val="24"/>
        </w:rPr>
        <w:t xml:space="preserve"> (New York</w:t>
      </w:r>
      <w:r>
        <w:rPr>
          <w:rFonts w:ascii="Times New Roman" w:hAnsi="Times New Roman" w:cs="Times New Roman"/>
          <w:sz w:val="24"/>
          <w:szCs w:val="24"/>
        </w:rPr>
        <w:t>: State University Press, 1999).</w:t>
      </w:r>
    </w:p>
    <w:p w:rsidR="00D20A74" w:rsidRDefault="00D20A74" w:rsidP="004C4F36">
      <w:pPr>
        <w:spacing w:line="240" w:lineRule="auto"/>
        <w:rPr>
          <w:rFonts w:ascii="Times New Roman" w:hAnsi="Times New Roman" w:cs="Times New Roman"/>
          <w:sz w:val="24"/>
          <w:szCs w:val="24"/>
        </w:rPr>
      </w:pPr>
      <w:r w:rsidRPr="00D20A74">
        <w:rPr>
          <w:rFonts w:ascii="Times New Roman" w:hAnsi="Times New Roman" w:cs="Times New Roman"/>
          <w:sz w:val="24"/>
          <w:szCs w:val="24"/>
        </w:rPr>
        <w:t>Nesfield-Cookson</w:t>
      </w:r>
      <w:r>
        <w:rPr>
          <w:rFonts w:ascii="Times New Roman" w:hAnsi="Times New Roman" w:cs="Times New Roman"/>
          <w:sz w:val="24"/>
          <w:szCs w:val="24"/>
        </w:rPr>
        <w:t>, B.</w:t>
      </w:r>
      <w:r w:rsidRPr="00D20A74">
        <w:rPr>
          <w:rFonts w:ascii="Times New Roman" w:hAnsi="Times New Roman" w:cs="Times New Roman"/>
          <w:sz w:val="24"/>
          <w:szCs w:val="24"/>
        </w:rPr>
        <w:t xml:space="preserve">, </w:t>
      </w:r>
      <w:r w:rsidRPr="00D20A74">
        <w:rPr>
          <w:rFonts w:ascii="Times New Roman" w:hAnsi="Times New Roman" w:cs="Times New Roman"/>
          <w:i/>
          <w:sz w:val="24"/>
          <w:szCs w:val="24"/>
        </w:rPr>
        <w:t xml:space="preserve">The Mystery of the Two Jesus Children: And the Descent of the Spirit of the Sun </w:t>
      </w:r>
      <w:r w:rsidRPr="00D20A74">
        <w:rPr>
          <w:rFonts w:ascii="Times New Roman" w:hAnsi="Times New Roman" w:cs="Times New Roman"/>
          <w:sz w:val="24"/>
          <w:szCs w:val="24"/>
        </w:rPr>
        <w:t>(Forest Row: Temple Lodge Publishing, 2005).</w:t>
      </w:r>
      <w:bookmarkStart w:id="5" w:name="_GoBack"/>
      <w:bookmarkEnd w:id="5"/>
    </w:p>
    <w:p w:rsidR="00F32256" w:rsidRPr="00885420"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sz w:val="24"/>
          <w:szCs w:val="24"/>
        </w:rPr>
        <w:t>Rausch</w:t>
      </w:r>
      <w:r>
        <w:rPr>
          <w:rFonts w:ascii="Times New Roman" w:hAnsi="Times New Roman" w:cs="Times New Roman"/>
          <w:sz w:val="24"/>
          <w:szCs w:val="24"/>
        </w:rPr>
        <w:t>, T.P.</w:t>
      </w:r>
      <w:r w:rsidRPr="00F32256">
        <w:rPr>
          <w:rFonts w:ascii="Times New Roman" w:hAnsi="Times New Roman" w:cs="Times New Roman"/>
          <w:i/>
          <w:sz w:val="24"/>
          <w:szCs w:val="24"/>
        </w:rPr>
        <w:t xml:space="preserve">, Eschatology, Liturgy and Christology: Toward Recovering an Eschatological Imagination </w:t>
      </w:r>
      <w:r w:rsidRPr="00F32256">
        <w:rPr>
          <w:rFonts w:ascii="Times New Roman" w:hAnsi="Times New Roman" w:cs="Times New Roman"/>
          <w:sz w:val="24"/>
          <w:szCs w:val="24"/>
        </w:rPr>
        <w:t>(Min</w:t>
      </w:r>
      <w:r>
        <w:rPr>
          <w:rFonts w:ascii="Times New Roman" w:hAnsi="Times New Roman" w:cs="Times New Roman"/>
          <w:sz w:val="24"/>
          <w:szCs w:val="24"/>
        </w:rPr>
        <w:t>nesota: Liturgical Press, 2012).</w:t>
      </w:r>
    </w:p>
    <w:p w:rsidR="004C4F36" w:rsidRDefault="004C4F36" w:rsidP="004C4F36">
      <w:pPr>
        <w:spacing w:line="240" w:lineRule="auto"/>
        <w:rPr>
          <w:rFonts w:ascii="Times New Roman" w:hAnsi="Times New Roman" w:cs="Times New Roman"/>
          <w:sz w:val="24"/>
          <w:szCs w:val="24"/>
        </w:rPr>
      </w:pPr>
      <w:r w:rsidRPr="004C4F36">
        <w:rPr>
          <w:rFonts w:ascii="Times New Roman" w:hAnsi="Times New Roman" w:cs="Times New Roman"/>
          <w:i/>
          <w:sz w:val="24"/>
          <w:szCs w:val="24"/>
        </w:rPr>
        <w:t xml:space="preserve">The Oxford Dictionary of Christian Art and Architecture, </w:t>
      </w:r>
      <w:r w:rsidRPr="004C4F36">
        <w:rPr>
          <w:rFonts w:ascii="Times New Roman" w:hAnsi="Times New Roman" w:cs="Times New Roman"/>
          <w:sz w:val="24"/>
          <w:szCs w:val="24"/>
        </w:rPr>
        <w:t>ed. Jones</w:t>
      </w:r>
      <w:r>
        <w:rPr>
          <w:rFonts w:ascii="Times New Roman" w:hAnsi="Times New Roman" w:cs="Times New Roman"/>
          <w:sz w:val="24"/>
          <w:szCs w:val="24"/>
        </w:rPr>
        <w:t xml:space="preserve">, T.D., </w:t>
      </w:r>
      <w:r w:rsidRPr="004C4F36">
        <w:rPr>
          <w:rFonts w:ascii="Times New Roman" w:hAnsi="Times New Roman" w:cs="Times New Roman"/>
          <w:sz w:val="24"/>
          <w:szCs w:val="24"/>
        </w:rPr>
        <w:t>Murray</w:t>
      </w:r>
      <w:r>
        <w:rPr>
          <w:rFonts w:ascii="Times New Roman" w:hAnsi="Times New Roman" w:cs="Times New Roman"/>
          <w:sz w:val="24"/>
          <w:szCs w:val="24"/>
        </w:rPr>
        <w:t xml:space="preserve">, P., and </w:t>
      </w:r>
      <w:r w:rsidRPr="004C4F36">
        <w:rPr>
          <w:rFonts w:ascii="Times New Roman" w:hAnsi="Times New Roman" w:cs="Times New Roman"/>
          <w:sz w:val="24"/>
          <w:szCs w:val="24"/>
        </w:rPr>
        <w:t>Murray</w:t>
      </w:r>
      <w:r>
        <w:rPr>
          <w:rFonts w:ascii="Times New Roman" w:hAnsi="Times New Roman" w:cs="Times New Roman"/>
          <w:sz w:val="24"/>
          <w:szCs w:val="24"/>
        </w:rPr>
        <w:t>, L.</w:t>
      </w:r>
      <w:r w:rsidRPr="004C4F36">
        <w:rPr>
          <w:rFonts w:ascii="Times New Roman" w:hAnsi="Times New Roman" w:cs="Times New Roman"/>
          <w:sz w:val="24"/>
          <w:szCs w:val="24"/>
        </w:rPr>
        <w:t xml:space="preserve"> (Oxford: Oxford U</w:t>
      </w:r>
      <w:r>
        <w:rPr>
          <w:rFonts w:ascii="Times New Roman" w:hAnsi="Times New Roman" w:cs="Times New Roman"/>
          <w:sz w:val="24"/>
          <w:szCs w:val="24"/>
        </w:rPr>
        <w:t>niversity Press, 2013).</w:t>
      </w:r>
    </w:p>
    <w:p w:rsidR="00F32256"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i/>
          <w:sz w:val="24"/>
          <w:szCs w:val="24"/>
        </w:rPr>
        <w:t xml:space="preserve">The Oxford Dictionary of the Christian Church, </w:t>
      </w:r>
      <w:r w:rsidRPr="00F32256">
        <w:rPr>
          <w:rFonts w:ascii="Times New Roman" w:hAnsi="Times New Roman" w:cs="Times New Roman"/>
          <w:sz w:val="24"/>
          <w:szCs w:val="24"/>
        </w:rPr>
        <w:t>eds. F.L. Cross, and E.A. Livingstone (Oxford: Oxford Univers</w:t>
      </w:r>
      <w:r>
        <w:rPr>
          <w:rFonts w:ascii="Times New Roman" w:hAnsi="Times New Roman" w:cs="Times New Roman"/>
          <w:sz w:val="24"/>
          <w:szCs w:val="24"/>
        </w:rPr>
        <w:t>ity Press, 2005).</w:t>
      </w:r>
    </w:p>
    <w:p w:rsidR="00F32256"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sz w:val="24"/>
          <w:szCs w:val="24"/>
        </w:rPr>
        <w:t>Wagner</w:t>
      </w:r>
      <w:r>
        <w:rPr>
          <w:rFonts w:ascii="Times New Roman" w:hAnsi="Times New Roman" w:cs="Times New Roman"/>
          <w:sz w:val="24"/>
          <w:szCs w:val="24"/>
        </w:rPr>
        <w:t>, J.A.</w:t>
      </w:r>
      <w:r w:rsidRPr="00F32256">
        <w:rPr>
          <w:rFonts w:ascii="Times New Roman" w:hAnsi="Times New Roman" w:cs="Times New Roman"/>
          <w:sz w:val="24"/>
          <w:szCs w:val="24"/>
        </w:rPr>
        <w:t xml:space="preserve">, </w:t>
      </w:r>
      <w:r w:rsidRPr="00F32256">
        <w:rPr>
          <w:rFonts w:ascii="Times New Roman" w:hAnsi="Times New Roman" w:cs="Times New Roman"/>
          <w:i/>
          <w:sz w:val="24"/>
          <w:szCs w:val="24"/>
        </w:rPr>
        <w:t xml:space="preserve">Encyclopaedia of the Hundred Years War </w:t>
      </w:r>
      <w:r w:rsidRPr="00F32256">
        <w:rPr>
          <w:rFonts w:ascii="Times New Roman" w:hAnsi="Times New Roman" w:cs="Times New Roman"/>
          <w:sz w:val="24"/>
          <w:szCs w:val="24"/>
        </w:rPr>
        <w:t>(Connecticut: Greenwood Press, 2006</w:t>
      </w:r>
      <w:r>
        <w:rPr>
          <w:rFonts w:ascii="Times New Roman" w:hAnsi="Times New Roman" w:cs="Times New Roman"/>
          <w:sz w:val="24"/>
          <w:szCs w:val="24"/>
        </w:rPr>
        <w:t>).</w:t>
      </w:r>
    </w:p>
    <w:p w:rsidR="004C4F36" w:rsidRDefault="00D20A74" w:rsidP="004C4F36">
      <w:pPr>
        <w:spacing w:line="240" w:lineRule="auto"/>
        <w:rPr>
          <w:rFonts w:ascii="Times New Roman" w:hAnsi="Times New Roman" w:cs="Times New Roman"/>
          <w:sz w:val="24"/>
          <w:szCs w:val="24"/>
        </w:rPr>
      </w:pPr>
      <w:r w:rsidRPr="00D20A74">
        <w:rPr>
          <w:rFonts w:ascii="Times New Roman" w:hAnsi="Times New Roman" w:cs="Times New Roman"/>
          <w:sz w:val="24"/>
          <w:szCs w:val="24"/>
        </w:rPr>
        <w:t>Weitzman</w:t>
      </w:r>
      <w:r>
        <w:rPr>
          <w:rFonts w:ascii="Times New Roman" w:hAnsi="Times New Roman" w:cs="Times New Roman"/>
          <w:sz w:val="24"/>
          <w:szCs w:val="24"/>
        </w:rPr>
        <w:t>, S.</w:t>
      </w:r>
      <w:r w:rsidRPr="00D20A74">
        <w:rPr>
          <w:rFonts w:ascii="Times New Roman" w:hAnsi="Times New Roman" w:cs="Times New Roman"/>
          <w:sz w:val="24"/>
          <w:szCs w:val="24"/>
        </w:rPr>
        <w:t xml:space="preserve">, </w:t>
      </w:r>
      <w:r w:rsidRPr="00D20A74">
        <w:rPr>
          <w:rFonts w:ascii="Times New Roman" w:hAnsi="Times New Roman" w:cs="Times New Roman"/>
          <w:i/>
          <w:sz w:val="24"/>
          <w:szCs w:val="24"/>
        </w:rPr>
        <w:t xml:space="preserve">Solomon: The Lure of Wisdom </w:t>
      </w:r>
      <w:r w:rsidRPr="00D20A74">
        <w:rPr>
          <w:rFonts w:ascii="Times New Roman" w:hAnsi="Times New Roman" w:cs="Times New Roman"/>
          <w:sz w:val="24"/>
          <w:szCs w:val="24"/>
        </w:rPr>
        <w:t>(New Haven: Yale University Press, 2011).</w:t>
      </w:r>
    </w:p>
    <w:p w:rsidR="00F32256" w:rsidRPr="004C4F36" w:rsidRDefault="00F32256" w:rsidP="004C4F36">
      <w:pPr>
        <w:spacing w:line="240" w:lineRule="auto"/>
        <w:rPr>
          <w:rFonts w:ascii="Times New Roman" w:hAnsi="Times New Roman" w:cs="Times New Roman"/>
          <w:sz w:val="24"/>
          <w:szCs w:val="24"/>
        </w:rPr>
      </w:pPr>
      <w:r w:rsidRPr="00F32256">
        <w:rPr>
          <w:rFonts w:ascii="Times New Roman" w:hAnsi="Times New Roman" w:cs="Times New Roman"/>
          <w:sz w:val="24"/>
          <w:szCs w:val="24"/>
        </w:rPr>
        <w:t>Westwell</w:t>
      </w:r>
      <w:r>
        <w:rPr>
          <w:rFonts w:ascii="Times New Roman" w:hAnsi="Times New Roman" w:cs="Times New Roman"/>
          <w:sz w:val="24"/>
          <w:szCs w:val="24"/>
        </w:rPr>
        <w:t>, C.</w:t>
      </w:r>
      <w:r w:rsidRPr="00F32256">
        <w:rPr>
          <w:rFonts w:ascii="Times New Roman" w:hAnsi="Times New Roman" w:cs="Times New Roman"/>
          <w:sz w:val="24"/>
          <w:szCs w:val="24"/>
        </w:rPr>
        <w:t xml:space="preserve">, ‘The Luscious Luttrell Psalter’, The British Library, (2013), [Online]. Available at </w:t>
      </w:r>
      <w:hyperlink r:id="rId9" w:history="1">
        <w:r w:rsidRPr="00F32256">
          <w:rPr>
            <w:rStyle w:val="Hyperlink"/>
            <w:rFonts w:ascii="Times New Roman" w:hAnsi="Times New Roman" w:cs="Times New Roman"/>
            <w:sz w:val="24"/>
            <w:szCs w:val="24"/>
          </w:rPr>
          <w:t>http://blogs.bl.uk/digitisedmanuscripts/2013/09/the-luscious-luttrell-psalter.html</w:t>
        </w:r>
      </w:hyperlink>
      <w:r w:rsidRPr="00F32256">
        <w:rPr>
          <w:rFonts w:ascii="Times New Roman" w:hAnsi="Times New Roman" w:cs="Times New Roman"/>
          <w:sz w:val="24"/>
          <w:szCs w:val="24"/>
        </w:rPr>
        <w:t>. Accessed on 15</w:t>
      </w:r>
      <w:r w:rsidRPr="00F32256">
        <w:rPr>
          <w:rFonts w:ascii="Times New Roman" w:hAnsi="Times New Roman" w:cs="Times New Roman"/>
          <w:sz w:val="24"/>
          <w:szCs w:val="24"/>
          <w:vertAlign w:val="superscript"/>
        </w:rPr>
        <w:t>th</w:t>
      </w:r>
      <w:r w:rsidRPr="00F32256">
        <w:rPr>
          <w:rFonts w:ascii="Times New Roman" w:hAnsi="Times New Roman" w:cs="Times New Roman"/>
          <w:sz w:val="24"/>
          <w:szCs w:val="24"/>
        </w:rPr>
        <w:t xml:space="preserve"> August 2018.</w:t>
      </w:r>
    </w:p>
    <w:sectPr w:rsidR="00F32256" w:rsidRPr="004C4F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0385" w:rsidRDefault="00A80385" w:rsidP="00E82C5D">
      <w:pPr>
        <w:spacing w:after="0" w:line="240" w:lineRule="auto"/>
      </w:pPr>
      <w:r>
        <w:separator/>
      </w:r>
    </w:p>
  </w:endnote>
  <w:endnote w:type="continuationSeparator" w:id="0">
    <w:p w:rsidR="00A80385" w:rsidRDefault="00A80385" w:rsidP="00E82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0385" w:rsidRDefault="00A80385" w:rsidP="00E82C5D">
      <w:pPr>
        <w:spacing w:after="0" w:line="240" w:lineRule="auto"/>
      </w:pPr>
      <w:r>
        <w:separator/>
      </w:r>
    </w:p>
  </w:footnote>
  <w:footnote w:type="continuationSeparator" w:id="0">
    <w:p w:rsidR="00A80385" w:rsidRDefault="00A80385" w:rsidP="00E82C5D">
      <w:pPr>
        <w:spacing w:after="0" w:line="240" w:lineRule="auto"/>
      </w:pPr>
      <w:r>
        <w:continuationSeparator/>
      </w:r>
    </w:p>
  </w:footnote>
  <w:footnote w:id="1">
    <w:p w:rsidR="00E82C5D" w:rsidRDefault="00E82C5D">
      <w:pPr>
        <w:pStyle w:val="FootnoteText"/>
      </w:pPr>
      <w:r>
        <w:rPr>
          <w:rStyle w:val="FootnoteReference"/>
        </w:rPr>
        <w:footnoteRef/>
      </w:r>
      <w:r>
        <w:t xml:space="preserve"> </w:t>
      </w:r>
      <w:r w:rsidR="00F25490">
        <w:rPr>
          <w:i/>
        </w:rPr>
        <w:t xml:space="preserve">The Oxford Dictionary of Christian Art and Architecture, </w:t>
      </w:r>
      <w:r w:rsidR="00F25490">
        <w:t>ed. T.D. Jones, P. Murray, and L. Murray (Oxford: Oxford University Press, 2013), p. 57.</w:t>
      </w:r>
    </w:p>
  </w:footnote>
  <w:footnote w:id="2">
    <w:p w:rsidR="00E82C5D" w:rsidRPr="00E03CC4" w:rsidRDefault="00E82C5D">
      <w:pPr>
        <w:pStyle w:val="FootnoteText"/>
      </w:pPr>
      <w:r>
        <w:rPr>
          <w:rStyle w:val="FootnoteReference"/>
        </w:rPr>
        <w:footnoteRef/>
      </w:r>
      <w:r>
        <w:t xml:space="preserve"> </w:t>
      </w:r>
      <w:r w:rsidR="00E03CC4">
        <w:t xml:space="preserve">S.J. Gilmour, </w:t>
      </w:r>
      <w:r w:rsidR="00E03CC4" w:rsidRPr="00E03CC4">
        <w:rPr>
          <w:i/>
          <w:iCs/>
        </w:rPr>
        <w:t>Daz Sint Noch Ungelogeniu Wort: A Literary and Linguistic Commentary on the Gurnemanz Episode in Book III of Wolfram's Parzival</w:t>
      </w:r>
      <w:r w:rsidR="00E03CC4">
        <w:rPr>
          <w:i/>
          <w:iCs/>
        </w:rPr>
        <w:t xml:space="preserve"> </w:t>
      </w:r>
      <w:r w:rsidR="00E03CC4">
        <w:rPr>
          <w:iCs/>
        </w:rPr>
        <w:t>(Heidelberg: C. Winter, 2000), p. 64.</w:t>
      </w:r>
    </w:p>
  </w:footnote>
  <w:footnote w:id="3">
    <w:p w:rsidR="00E82C5D" w:rsidRPr="00CD0BEE" w:rsidRDefault="00E82C5D">
      <w:pPr>
        <w:pStyle w:val="FootnoteText"/>
      </w:pPr>
      <w:r>
        <w:rPr>
          <w:rStyle w:val="FootnoteReference"/>
        </w:rPr>
        <w:footnoteRef/>
      </w:r>
      <w:r>
        <w:t xml:space="preserve"> </w:t>
      </w:r>
      <w:r w:rsidR="00CD0BEE">
        <w:t xml:space="preserve">V.A. Kolve, </w:t>
      </w:r>
      <w:r w:rsidR="00CD0BEE" w:rsidRPr="00CD0BEE">
        <w:rPr>
          <w:i/>
        </w:rPr>
        <w:t>Telling Images: Chaucer and the Imagery of Narrative II</w:t>
      </w:r>
      <w:r w:rsidR="00CD0BEE">
        <w:rPr>
          <w:i/>
        </w:rPr>
        <w:t xml:space="preserve"> </w:t>
      </w:r>
      <w:r w:rsidR="00CD0BEE">
        <w:t>(California: Stanford University Press, 2009), p. 154.</w:t>
      </w:r>
    </w:p>
  </w:footnote>
  <w:footnote w:id="4">
    <w:p w:rsidR="00E82C5D" w:rsidRPr="00CD0BEE" w:rsidRDefault="00E82C5D">
      <w:pPr>
        <w:pStyle w:val="FootnoteText"/>
      </w:pPr>
      <w:r>
        <w:rPr>
          <w:rStyle w:val="FootnoteReference"/>
        </w:rPr>
        <w:footnoteRef/>
      </w:r>
      <w:r>
        <w:t xml:space="preserve"> </w:t>
      </w:r>
      <w:r w:rsidR="00CD0BEE">
        <w:t xml:space="preserve">B. Nesfield-Cookson, </w:t>
      </w:r>
      <w:r w:rsidR="00CD0BEE" w:rsidRPr="00CD0BEE">
        <w:rPr>
          <w:i/>
        </w:rPr>
        <w:t>The Mystery of the Two Jesus Children: And the Descent of the Spirit of the Sun</w:t>
      </w:r>
      <w:r w:rsidR="00CD0BEE">
        <w:rPr>
          <w:i/>
        </w:rPr>
        <w:t xml:space="preserve"> </w:t>
      </w:r>
      <w:r w:rsidR="00CD0BEE">
        <w:t>(Forest Row: Temple Lodge Publishing, 2005).</w:t>
      </w:r>
    </w:p>
  </w:footnote>
  <w:footnote w:id="5">
    <w:p w:rsidR="00E82C5D" w:rsidRPr="00252C6F" w:rsidRDefault="00E82C5D">
      <w:pPr>
        <w:pStyle w:val="FootnoteText"/>
      </w:pPr>
      <w:r>
        <w:rPr>
          <w:rStyle w:val="FootnoteReference"/>
        </w:rPr>
        <w:footnoteRef/>
      </w:r>
      <w:r>
        <w:t xml:space="preserve"> </w:t>
      </w:r>
      <w:r w:rsidR="00252C6F">
        <w:t xml:space="preserve">J.F. Nagy, </w:t>
      </w:r>
      <w:r w:rsidR="00252C6F" w:rsidRPr="00252C6F">
        <w:rPr>
          <w:i/>
        </w:rPr>
        <w:t>The Place of the Psalms in the Intellectual Culture of the Middle Ages</w:t>
      </w:r>
      <w:r w:rsidR="00252C6F">
        <w:rPr>
          <w:i/>
        </w:rPr>
        <w:t xml:space="preserve">, </w:t>
      </w:r>
      <w:r w:rsidR="00252C6F">
        <w:t>ed. N.E. Van Deusen (New York: State University Press, 1999), p. 25.</w:t>
      </w:r>
    </w:p>
  </w:footnote>
  <w:footnote w:id="6">
    <w:p w:rsidR="00E82C5D" w:rsidRPr="00252C6F" w:rsidRDefault="00E82C5D">
      <w:pPr>
        <w:pStyle w:val="FootnoteText"/>
      </w:pPr>
      <w:r>
        <w:rPr>
          <w:rStyle w:val="FootnoteReference"/>
        </w:rPr>
        <w:footnoteRef/>
      </w:r>
      <w:r>
        <w:t xml:space="preserve"> </w:t>
      </w:r>
      <w:r w:rsidR="00252C6F">
        <w:t xml:space="preserve">S. Weitzman, </w:t>
      </w:r>
      <w:r w:rsidR="00252C6F">
        <w:rPr>
          <w:i/>
        </w:rPr>
        <w:t xml:space="preserve">Solomon: The Lure of Wisdom </w:t>
      </w:r>
      <w:r w:rsidR="00252C6F">
        <w:t>(New Haven: Yale University Press, 2011).</w:t>
      </w:r>
    </w:p>
  </w:footnote>
  <w:footnote w:id="7">
    <w:p w:rsidR="00E82C5D" w:rsidRPr="00B40709" w:rsidRDefault="00E82C5D">
      <w:pPr>
        <w:pStyle w:val="FootnoteText"/>
      </w:pPr>
      <w:r>
        <w:rPr>
          <w:rStyle w:val="FootnoteReference"/>
        </w:rPr>
        <w:footnoteRef/>
      </w:r>
      <w:r>
        <w:t xml:space="preserve"> </w:t>
      </w:r>
      <w:r w:rsidR="00B40709">
        <w:t>T.P. Rausch</w:t>
      </w:r>
      <w:r w:rsidR="00B40709" w:rsidRPr="00B40709">
        <w:rPr>
          <w:i/>
        </w:rPr>
        <w:t>, Eschatology, Liturgy and Christology: Toward Recovering an Eschatological Imagination</w:t>
      </w:r>
      <w:r w:rsidR="00B40709">
        <w:rPr>
          <w:i/>
        </w:rPr>
        <w:t xml:space="preserve"> </w:t>
      </w:r>
      <w:r w:rsidR="00B40709">
        <w:t>(Minnesota: Liturgical Press, 2012), p. 58.</w:t>
      </w:r>
    </w:p>
  </w:footnote>
  <w:footnote w:id="8">
    <w:p w:rsidR="00E82C5D" w:rsidRPr="00B40709" w:rsidRDefault="00E82C5D">
      <w:pPr>
        <w:pStyle w:val="FootnoteText"/>
      </w:pPr>
      <w:r>
        <w:rPr>
          <w:rStyle w:val="FootnoteReference"/>
        </w:rPr>
        <w:footnoteRef/>
      </w:r>
      <w:r>
        <w:t xml:space="preserve"> </w:t>
      </w:r>
      <w:r w:rsidR="00B40709">
        <w:rPr>
          <w:i/>
        </w:rPr>
        <w:t xml:space="preserve">The Oxford Dictionary of the Christian Church, </w:t>
      </w:r>
      <w:r w:rsidR="00B40709">
        <w:t>eds. F.L. Cross, and E.A. Livingstone (Oxford: Oxford University Press, 2005), p. 1648.</w:t>
      </w:r>
    </w:p>
  </w:footnote>
  <w:footnote w:id="9">
    <w:p w:rsidR="00E82C5D" w:rsidRPr="00326CBD" w:rsidRDefault="00E82C5D">
      <w:pPr>
        <w:pStyle w:val="FootnoteText"/>
      </w:pPr>
      <w:r>
        <w:rPr>
          <w:rStyle w:val="FootnoteReference"/>
        </w:rPr>
        <w:footnoteRef/>
      </w:r>
      <w:r>
        <w:t xml:space="preserve"> </w:t>
      </w:r>
      <w:r w:rsidR="00326CBD">
        <w:t xml:space="preserve">W.M. </w:t>
      </w:r>
      <w:r w:rsidR="00326CBD" w:rsidRPr="00326CBD">
        <w:t>Baumgaertner</w:t>
      </w:r>
      <w:r w:rsidR="00326CBD">
        <w:t xml:space="preserve">, </w:t>
      </w:r>
      <w:r w:rsidR="00326CBD" w:rsidRPr="00326CBD">
        <w:rPr>
          <w:i/>
        </w:rPr>
        <w:t>Squires, Knights, Barons, Kings: War and Politics in Fifteenth Century England</w:t>
      </w:r>
      <w:r w:rsidR="00326CBD">
        <w:rPr>
          <w:i/>
        </w:rPr>
        <w:t xml:space="preserve"> </w:t>
      </w:r>
      <w:r w:rsidR="00326CBD">
        <w:t>(Indiana: Trafford Publishing, 2009).</w:t>
      </w:r>
    </w:p>
  </w:footnote>
  <w:footnote w:id="10">
    <w:p w:rsidR="00E82C5D" w:rsidRPr="004723B3" w:rsidRDefault="00E82C5D">
      <w:pPr>
        <w:pStyle w:val="FootnoteText"/>
      </w:pPr>
      <w:r>
        <w:rPr>
          <w:rStyle w:val="FootnoteReference"/>
        </w:rPr>
        <w:footnoteRef/>
      </w:r>
      <w:r>
        <w:t xml:space="preserve"> </w:t>
      </w:r>
      <w:r w:rsidR="004723B3">
        <w:t xml:space="preserve">J.A. Wagner, </w:t>
      </w:r>
      <w:r w:rsidR="004723B3">
        <w:rPr>
          <w:i/>
        </w:rPr>
        <w:t xml:space="preserve">Encyclopaedia of the Hundred Years War </w:t>
      </w:r>
      <w:r w:rsidR="004723B3">
        <w:t>(Connecticut: Greenwood Press, 2006), p. 210.</w:t>
      </w:r>
    </w:p>
  </w:footnote>
  <w:footnote w:id="11">
    <w:p w:rsidR="00E82C5D" w:rsidRDefault="00E82C5D">
      <w:pPr>
        <w:pStyle w:val="FootnoteText"/>
      </w:pPr>
      <w:r>
        <w:rPr>
          <w:rStyle w:val="FootnoteReference"/>
        </w:rPr>
        <w:footnoteRef/>
      </w:r>
      <w:r>
        <w:t xml:space="preserve"> </w:t>
      </w:r>
      <w:r w:rsidR="009F7BB4">
        <w:t>C. Westwell, ‘</w:t>
      </w:r>
      <w:r w:rsidR="009F7BB4" w:rsidRPr="009F7BB4">
        <w:t>The Luscious Luttrell Psalter</w:t>
      </w:r>
      <w:r w:rsidR="009F7BB4">
        <w:t xml:space="preserve">’, The British Library, (2013), [Online]. Available at </w:t>
      </w:r>
      <w:hyperlink r:id="rId1" w:history="1">
        <w:r w:rsidR="009F7BB4" w:rsidRPr="002F6DB0">
          <w:rPr>
            <w:rStyle w:val="Hyperlink"/>
          </w:rPr>
          <w:t>http://blogs.bl.uk/digitisedmanuscripts/2013/09/the-luscious-luttrell-psalter.html</w:t>
        </w:r>
      </w:hyperlink>
      <w:r w:rsidR="009F7BB4">
        <w:t>. Accessed on 15</w:t>
      </w:r>
      <w:r w:rsidR="009F7BB4" w:rsidRPr="009F7BB4">
        <w:rPr>
          <w:vertAlign w:val="superscript"/>
        </w:rPr>
        <w:t>th</w:t>
      </w:r>
      <w:r w:rsidR="009F7BB4">
        <w:t xml:space="preserve"> August 2018.</w:t>
      </w:r>
    </w:p>
  </w:footnote>
  <w:footnote w:id="12">
    <w:p w:rsidR="00E82C5D" w:rsidRPr="009F7BB4" w:rsidRDefault="00E82C5D">
      <w:pPr>
        <w:pStyle w:val="FootnoteText"/>
      </w:pPr>
      <w:r>
        <w:rPr>
          <w:rStyle w:val="FootnoteReference"/>
        </w:rPr>
        <w:footnoteRef/>
      </w:r>
      <w:r>
        <w:t xml:space="preserve"> </w:t>
      </w:r>
      <w:r w:rsidR="009F7BB4">
        <w:t xml:space="preserve">S. Gillingham, </w:t>
      </w:r>
      <w:r w:rsidR="009F7BB4" w:rsidRPr="009F7BB4">
        <w:rPr>
          <w:i/>
        </w:rPr>
        <w:t>Psalms Through the Centuries, Volume Two</w:t>
      </w:r>
      <w:r w:rsidR="009F7BB4">
        <w:rPr>
          <w:i/>
        </w:rPr>
        <w:t xml:space="preserve"> </w:t>
      </w:r>
      <w:r w:rsidR="009F7BB4">
        <w:t>(New Jersey: John Wiley &amp; Sons, 2018).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418"/>
    <w:rsid w:val="00054EEE"/>
    <w:rsid w:val="00090418"/>
    <w:rsid w:val="001473FD"/>
    <w:rsid w:val="00150012"/>
    <w:rsid w:val="001549C9"/>
    <w:rsid w:val="00177938"/>
    <w:rsid w:val="001B0C27"/>
    <w:rsid w:val="001C4463"/>
    <w:rsid w:val="0023401E"/>
    <w:rsid w:val="00252C6F"/>
    <w:rsid w:val="00295BD0"/>
    <w:rsid w:val="002A43C5"/>
    <w:rsid w:val="002C255E"/>
    <w:rsid w:val="002F7DE5"/>
    <w:rsid w:val="003160B8"/>
    <w:rsid w:val="00326CBD"/>
    <w:rsid w:val="00333A4A"/>
    <w:rsid w:val="003627D5"/>
    <w:rsid w:val="00366FE6"/>
    <w:rsid w:val="00374610"/>
    <w:rsid w:val="0038527C"/>
    <w:rsid w:val="003A57B5"/>
    <w:rsid w:val="003B1E18"/>
    <w:rsid w:val="003C73BA"/>
    <w:rsid w:val="003C7CF7"/>
    <w:rsid w:val="003E3841"/>
    <w:rsid w:val="0044547C"/>
    <w:rsid w:val="004723B3"/>
    <w:rsid w:val="004B4130"/>
    <w:rsid w:val="004C4F36"/>
    <w:rsid w:val="0050236F"/>
    <w:rsid w:val="00524041"/>
    <w:rsid w:val="00552AA3"/>
    <w:rsid w:val="00584995"/>
    <w:rsid w:val="005A2335"/>
    <w:rsid w:val="005D27E8"/>
    <w:rsid w:val="0061424A"/>
    <w:rsid w:val="00622A98"/>
    <w:rsid w:val="007440DB"/>
    <w:rsid w:val="00753145"/>
    <w:rsid w:val="007705C3"/>
    <w:rsid w:val="0079556F"/>
    <w:rsid w:val="007974C7"/>
    <w:rsid w:val="007A7376"/>
    <w:rsid w:val="007B3A58"/>
    <w:rsid w:val="007B6BF6"/>
    <w:rsid w:val="007F787C"/>
    <w:rsid w:val="00847143"/>
    <w:rsid w:val="00881400"/>
    <w:rsid w:val="00882F5B"/>
    <w:rsid w:val="00885420"/>
    <w:rsid w:val="00890139"/>
    <w:rsid w:val="008A43EF"/>
    <w:rsid w:val="0093529F"/>
    <w:rsid w:val="00935F23"/>
    <w:rsid w:val="00951A91"/>
    <w:rsid w:val="00962352"/>
    <w:rsid w:val="009D51EA"/>
    <w:rsid w:val="009F7BB4"/>
    <w:rsid w:val="00A5237E"/>
    <w:rsid w:val="00A7093C"/>
    <w:rsid w:val="00A728FC"/>
    <w:rsid w:val="00A741F6"/>
    <w:rsid w:val="00A75130"/>
    <w:rsid w:val="00A80385"/>
    <w:rsid w:val="00A8535A"/>
    <w:rsid w:val="00A854C6"/>
    <w:rsid w:val="00A93E06"/>
    <w:rsid w:val="00AD10AD"/>
    <w:rsid w:val="00B00999"/>
    <w:rsid w:val="00B40709"/>
    <w:rsid w:val="00B80815"/>
    <w:rsid w:val="00B81E71"/>
    <w:rsid w:val="00B866D6"/>
    <w:rsid w:val="00B95701"/>
    <w:rsid w:val="00BA04D9"/>
    <w:rsid w:val="00BA450D"/>
    <w:rsid w:val="00BA7A06"/>
    <w:rsid w:val="00BD321D"/>
    <w:rsid w:val="00BE76BB"/>
    <w:rsid w:val="00C250A6"/>
    <w:rsid w:val="00C34AC3"/>
    <w:rsid w:val="00C4119D"/>
    <w:rsid w:val="00C708C0"/>
    <w:rsid w:val="00C82174"/>
    <w:rsid w:val="00CA6520"/>
    <w:rsid w:val="00CD0BEE"/>
    <w:rsid w:val="00CD228D"/>
    <w:rsid w:val="00D20A74"/>
    <w:rsid w:val="00D673D8"/>
    <w:rsid w:val="00D875BE"/>
    <w:rsid w:val="00E03CC4"/>
    <w:rsid w:val="00E21F87"/>
    <w:rsid w:val="00E33AAE"/>
    <w:rsid w:val="00E72B47"/>
    <w:rsid w:val="00E82C5D"/>
    <w:rsid w:val="00E87E6A"/>
    <w:rsid w:val="00ED7FBB"/>
    <w:rsid w:val="00EE07EF"/>
    <w:rsid w:val="00EF030F"/>
    <w:rsid w:val="00F25490"/>
    <w:rsid w:val="00F32256"/>
    <w:rsid w:val="00F356E7"/>
    <w:rsid w:val="00F41F0E"/>
    <w:rsid w:val="00F51258"/>
    <w:rsid w:val="00F539F2"/>
    <w:rsid w:val="00F71F58"/>
    <w:rsid w:val="00F82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1292E83-9D87-4130-9E6A-53CBEB155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1424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F71F5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418"/>
    <w:pPr>
      <w:spacing w:after="200" w:line="276" w:lineRule="auto"/>
      <w:ind w:left="720"/>
      <w:contextualSpacing/>
    </w:pPr>
    <w:rPr>
      <w:rFonts w:ascii="Calibri" w:eastAsia="Calibri" w:hAnsi="Calibri" w:cs="Arial"/>
    </w:rPr>
  </w:style>
  <w:style w:type="character" w:styleId="Hyperlink">
    <w:name w:val="Hyperlink"/>
    <w:basedOn w:val="DefaultParagraphFont"/>
    <w:uiPriority w:val="99"/>
    <w:unhideWhenUsed/>
    <w:rsid w:val="005D27E8"/>
    <w:rPr>
      <w:color w:val="0563C1" w:themeColor="hyperlink"/>
      <w:u w:val="single"/>
    </w:rPr>
  </w:style>
  <w:style w:type="character" w:styleId="FollowedHyperlink">
    <w:name w:val="FollowedHyperlink"/>
    <w:basedOn w:val="DefaultParagraphFont"/>
    <w:uiPriority w:val="99"/>
    <w:semiHidden/>
    <w:unhideWhenUsed/>
    <w:rsid w:val="00F41F0E"/>
    <w:rPr>
      <w:color w:val="954F72" w:themeColor="followedHyperlink"/>
      <w:u w:val="single"/>
    </w:rPr>
  </w:style>
  <w:style w:type="character" w:customStyle="1" w:styleId="Heading1Char">
    <w:name w:val="Heading 1 Char"/>
    <w:basedOn w:val="DefaultParagraphFont"/>
    <w:link w:val="Heading1"/>
    <w:uiPriority w:val="9"/>
    <w:rsid w:val="0061424A"/>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E82C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2C5D"/>
    <w:rPr>
      <w:sz w:val="20"/>
      <w:szCs w:val="20"/>
    </w:rPr>
  </w:style>
  <w:style w:type="character" w:styleId="FootnoteReference">
    <w:name w:val="footnote reference"/>
    <w:basedOn w:val="DefaultParagraphFont"/>
    <w:uiPriority w:val="99"/>
    <w:semiHidden/>
    <w:unhideWhenUsed/>
    <w:rsid w:val="00E82C5D"/>
    <w:rPr>
      <w:vertAlign w:val="superscript"/>
    </w:rPr>
  </w:style>
  <w:style w:type="character" w:customStyle="1" w:styleId="Heading3Char">
    <w:name w:val="Heading 3 Char"/>
    <w:basedOn w:val="DefaultParagraphFont"/>
    <w:link w:val="Heading3"/>
    <w:uiPriority w:val="9"/>
    <w:semiHidden/>
    <w:rsid w:val="00F71F5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2382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blogs.bl.uk/digitisedmanuscripts/2013/09/the-luscious-luttrell-psalter.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blogs.bl.uk/digitisedmanuscripts/2013/09/the-luscious-luttrell-psal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029A9-A5CE-4C42-994D-A570677EA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7</Pages>
  <Words>1624</Words>
  <Characters>9260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Suzie Caisey</dc:creator>
  <cp:keywords/>
  <dc:description/>
  <cp:lastModifiedBy>Suzie Caisey</cp:lastModifiedBy>
  <cp:revision>56</cp:revision>
  <dcterms:created xsi:type="dcterms:W3CDTF">2018-07-26T21:35:00Z</dcterms:created>
  <dcterms:modified xsi:type="dcterms:W3CDTF">2018-08-27T13:22:00Z</dcterms:modified>
</cp:coreProperties>
</file>