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EA7BD6" w14:textId="77777777" w:rsidR="0099323A" w:rsidRDefault="0099323A" w:rsidP="0099323A"/>
    <w:p w14:paraId="4D9DA0A6" w14:textId="77777777" w:rsidR="0099323A" w:rsidRPr="001C27D9" w:rsidRDefault="0099323A" w:rsidP="0099323A">
      <w:pPr>
        <w:jc w:val="center"/>
        <w:rPr>
          <w:rFonts w:ascii="Segoe UI" w:hAnsi="Segoe UI" w:cs="Segoe UI"/>
          <w:color w:val="1C1917"/>
          <w:sz w:val="44"/>
          <w:szCs w:val="44"/>
          <w:shd w:val="clear" w:color="auto" w:fill="FFFFFF"/>
        </w:rPr>
      </w:pPr>
      <w:r w:rsidRPr="001C27D9">
        <w:rPr>
          <w:rFonts w:ascii="Segoe UI" w:hAnsi="Segoe UI" w:cs="Segoe UI"/>
          <w:color w:val="1C1917"/>
          <w:sz w:val="44"/>
          <w:szCs w:val="44"/>
          <w:shd w:val="clear" w:color="auto" w:fill="FFFFFF"/>
        </w:rPr>
        <w:t>Managing Foreign Exchange Risk in Multinational Corporations</w:t>
      </w:r>
    </w:p>
    <w:p w14:paraId="3328ED54" w14:textId="77777777" w:rsidR="0099323A" w:rsidRDefault="0099323A">
      <w:pPr>
        <w:rPr>
          <w:rFonts w:ascii="Segoe UI" w:hAnsi="Segoe UI" w:cs="Segoe UI"/>
          <w:color w:val="1C1917"/>
          <w:sz w:val="27"/>
          <w:szCs w:val="27"/>
          <w:shd w:val="clear" w:color="auto" w:fill="FFFFFF"/>
        </w:rPr>
      </w:pPr>
    </w:p>
    <w:p w14:paraId="44256E02" w14:textId="77777777" w:rsidR="0099323A" w:rsidRDefault="0099323A">
      <w:pPr>
        <w:rPr>
          <w:rFonts w:ascii="Segoe UI" w:hAnsi="Segoe UI" w:cs="Segoe UI"/>
          <w:color w:val="1C1917"/>
          <w:sz w:val="27"/>
          <w:szCs w:val="27"/>
          <w:shd w:val="clear" w:color="auto" w:fill="FFFFFF"/>
        </w:rPr>
      </w:pPr>
    </w:p>
    <w:p w14:paraId="6AFA08EF" w14:textId="77777777" w:rsidR="0099323A" w:rsidRDefault="0099323A">
      <w:pPr>
        <w:rPr>
          <w:rFonts w:ascii="Segoe UI" w:hAnsi="Segoe UI" w:cs="Segoe UI"/>
          <w:color w:val="1C1917"/>
          <w:sz w:val="27"/>
          <w:szCs w:val="27"/>
          <w:shd w:val="clear" w:color="auto" w:fill="FFFFFF"/>
        </w:rPr>
      </w:pPr>
    </w:p>
    <w:p w14:paraId="15359A3C" w14:textId="4A5108C8" w:rsidR="0099323A" w:rsidRPr="001C27D9" w:rsidRDefault="001C27D9">
      <w:pPr>
        <w:rPr>
          <w:rFonts w:ascii="Segoe UI" w:hAnsi="Segoe UI" w:cs="Segoe UI"/>
          <w:color w:val="1C1917"/>
          <w:sz w:val="36"/>
          <w:szCs w:val="36"/>
          <w:shd w:val="clear" w:color="auto" w:fill="FFFFFF"/>
        </w:rPr>
      </w:pPr>
      <w:bookmarkStart w:id="0" w:name="_GoBack"/>
      <w:r w:rsidRPr="001C27D9">
        <w:rPr>
          <w:rFonts w:ascii="Segoe UI" w:hAnsi="Segoe UI" w:cs="Segoe UI"/>
          <w:color w:val="1C1917"/>
          <w:sz w:val="36"/>
          <w:szCs w:val="36"/>
          <w:shd w:val="clear" w:color="auto" w:fill="FFFFFF"/>
        </w:rPr>
        <w:t>Module: International Financial Management (LCBB6002)</w:t>
      </w:r>
    </w:p>
    <w:p w14:paraId="446AA85E" w14:textId="4A47B19B" w:rsidR="0099323A" w:rsidRPr="001C27D9" w:rsidRDefault="00DE1893">
      <w:pPr>
        <w:rPr>
          <w:rFonts w:ascii="Segoe UI" w:hAnsi="Segoe UI" w:cs="Segoe UI"/>
          <w:color w:val="1C1917"/>
          <w:sz w:val="36"/>
          <w:szCs w:val="36"/>
          <w:shd w:val="clear" w:color="auto" w:fill="FFFFFF"/>
        </w:rPr>
      </w:pPr>
      <w:r>
        <w:rPr>
          <w:rFonts w:ascii="Segoe UI" w:hAnsi="Segoe UI" w:cs="Segoe UI"/>
          <w:color w:val="1C1917"/>
          <w:sz w:val="36"/>
          <w:szCs w:val="36"/>
          <w:shd w:val="clear" w:color="auto" w:fill="FFFFFF"/>
        </w:rPr>
        <w:t xml:space="preserve">Student: </w:t>
      </w:r>
      <w:proofErr w:type="spellStart"/>
      <w:r w:rsidR="001C27D9" w:rsidRPr="001C27D9">
        <w:rPr>
          <w:rFonts w:ascii="Segoe UI" w:hAnsi="Segoe UI" w:cs="Segoe UI"/>
          <w:color w:val="1C1917"/>
          <w:sz w:val="36"/>
          <w:szCs w:val="36"/>
          <w:shd w:val="clear" w:color="auto" w:fill="FFFFFF"/>
        </w:rPr>
        <w:t>Ovidiu</w:t>
      </w:r>
      <w:proofErr w:type="spellEnd"/>
      <w:r w:rsidR="001C27D9" w:rsidRPr="001C27D9">
        <w:rPr>
          <w:rFonts w:ascii="Segoe UI" w:hAnsi="Segoe UI" w:cs="Segoe UI"/>
          <w:color w:val="1C1917"/>
          <w:sz w:val="36"/>
          <w:szCs w:val="36"/>
          <w:shd w:val="clear" w:color="auto" w:fill="FFFFFF"/>
        </w:rPr>
        <w:t xml:space="preserve"> Guzi (2030602)</w:t>
      </w:r>
    </w:p>
    <w:bookmarkEnd w:id="0"/>
    <w:p w14:paraId="4AC9FD4F" w14:textId="77777777" w:rsidR="0099323A" w:rsidRDefault="0099323A">
      <w:pPr>
        <w:rPr>
          <w:rFonts w:ascii="Segoe UI" w:hAnsi="Segoe UI" w:cs="Segoe UI"/>
          <w:color w:val="1C1917"/>
          <w:sz w:val="27"/>
          <w:szCs w:val="27"/>
          <w:shd w:val="clear" w:color="auto" w:fill="FFFFFF"/>
        </w:rPr>
      </w:pPr>
    </w:p>
    <w:p w14:paraId="42078D66" w14:textId="77777777" w:rsidR="0099323A" w:rsidRDefault="0099323A">
      <w:pPr>
        <w:rPr>
          <w:rFonts w:ascii="Segoe UI" w:hAnsi="Segoe UI" w:cs="Segoe UI"/>
          <w:color w:val="1C1917"/>
          <w:sz w:val="27"/>
          <w:szCs w:val="27"/>
          <w:shd w:val="clear" w:color="auto" w:fill="FFFFFF"/>
        </w:rPr>
      </w:pPr>
    </w:p>
    <w:p w14:paraId="36C869C2" w14:textId="77777777" w:rsidR="0099323A" w:rsidRDefault="0099323A">
      <w:pPr>
        <w:rPr>
          <w:rFonts w:ascii="Segoe UI" w:hAnsi="Segoe UI" w:cs="Segoe UI"/>
          <w:color w:val="1C1917"/>
          <w:sz w:val="27"/>
          <w:szCs w:val="27"/>
          <w:shd w:val="clear" w:color="auto" w:fill="FFFFFF"/>
        </w:rPr>
      </w:pPr>
    </w:p>
    <w:p w14:paraId="418DF9F0" w14:textId="77777777" w:rsidR="0099323A" w:rsidRDefault="0099323A">
      <w:pPr>
        <w:rPr>
          <w:rFonts w:ascii="Segoe UI" w:hAnsi="Segoe UI" w:cs="Segoe UI"/>
          <w:color w:val="1C1917"/>
          <w:sz w:val="27"/>
          <w:szCs w:val="27"/>
          <w:shd w:val="clear" w:color="auto" w:fill="FFFFFF"/>
        </w:rPr>
      </w:pPr>
    </w:p>
    <w:p w14:paraId="7EBA4A72" w14:textId="77777777" w:rsidR="0099323A" w:rsidRDefault="0099323A">
      <w:pPr>
        <w:rPr>
          <w:rFonts w:ascii="Segoe UI" w:hAnsi="Segoe UI" w:cs="Segoe UI"/>
          <w:color w:val="1C1917"/>
          <w:sz w:val="27"/>
          <w:szCs w:val="27"/>
          <w:shd w:val="clear" w:color="auto" w:fill="FFFFFF"/>
        </w:rPr>
      </w:pPr>
    </w:p>
    <w:p w14:paraId="4BC6E496" w14:textId="77777777" w:rsidR="0099323A" w:rsidRDefault="0099323A">
      <w:pPr>
        <w:rPr>
          <w:rFonts w:ascii="Segoe UI" w:hAnsi="Segoe UI" w:cs="Segoe UI"/>
          <w:color w:val="1C1917"/>
          <w:sz w:val="27"/>
          <w:szCs w:val="27"/>
          <w:shd w:val="clear" w:color="auto" w:fill="FFFFFF"/>
        </w:rPr>
      </w:pPr>
    </w:p>
    <w:p w14:paraId="283C1AFF" w14:textId="77777777" w:rsidR="0099323A" w:rsidRDefault="0099323A">
      <w:pPr>
        <w:rPr>
          <w:rFonts w:ascii="Segoe UI" w:hAnsi="Segoe UI" w:cs="Segoe UI"/>
          <w:color w:val="1C1917"/>
          <w:sz w:val="27"/>
          <w:szCs w:val="27"/>
          <w:shd w:val="clear" w:color="auto" w:fill="FFFFFF"/>
        </w:rPr>
      </w:pPr>
    </w:p>
    <w:p w14:paraId="24E46D93" w14:textId="77777777" w:rsidR="0099323A" w:rsidRDefault="0099323A">
      <w:pPr>
        <w:rPr>
          <w:rFonts w:ascii="Segoe UI" w:hAnsi="Segoe UI" w:cs="Segoe UI"/>
          <w:color w:val="1C1917"/>
          <w:sz w:val="27"/>
          <w:szCs w:val="27"/>
          <w:shd w:val="clear" w:color="auto" w:fill="FFFFFF"/>
        </w:rPr>
      </w:pPr>
    </w:p>
    <w:p w14:paraId="6A4C5812" w14:textId="77777777" w:rsidR="0099323A" w:rsidRDefault="0099323A">
      <w:pPr>
        <w:rPr>
          <w:rFonts w:ascii="Segoe UI" w:hAnsi="Segoe UI" w:cs="Segoe UI"/>
          <w:color w:val="1C1917"/>
          <w:sz w:val="27"/>
          <w:szCs w:val="27"/>
          <w:shd w:val="clear" w:color="auto" w:fill="FFFFFF"/>
        </w:rPr>
      </w:pPr>
    </w:p>
    <w:p w14:paraId="0DDBA92C" w14:textId="77777777" w:rsidR="0099323A" w:rsidRDefault="0099323A">
      <w:pPr>
        <w:rPr>
          <w:rFonts w:ascii="Segoe UI" w:hAnsi="Segoe UI" w:cs="Segoe UI"/>
          <w:color w:val="1C1917"/>
          <w:sz w:val="27"/>
          <w:szCs w:val="27"/>
          <w:shd w:val="clear" w:color="auto" w:fill="FFFFFF"/>
        </w:rPr>
      </w:pPr>
    </w:p>
    <w:p w14:paraId="3EF5AF69" w14:textId="77777777" w:rsidR="0099323A" w:rsidRDefault="0099323A">
      <w:pPr>
        <w:rPr>
          <w:rFonts w:ascii="Segoe UI" w:hAnsi="Segoe UI" w:cs="Segoe UI"/>
          <w:color w:val="1C1917"/>
          <w:sz w:val="27"/>
          <w:szCs w:val="27"/>
          <w:shd w:val="clear" w:color="auto" w:fill="FFFFFF"/>
        </w:rPr>
      </w:pPr>
    </w:p>
    <w:p w14:paraId="72573259" w14:textId="77777777" w:rsidR="0099323A" w:rsidRDefault="0099323A">
      <w:pPr>
        <w:rPr>
          <w:rFonts w:ascii="Segoe UI" w:hAnsi="Segoe UI" w:cs="Segoe UI"/>
          <w:color w:val="1C1917"/>
          <w:sz w:val="27"/>
          <w:szCs w:val="27"/>
          <w:shd w:val="clear" w:color="auto" w:fill="FFFFFF"/>
        </w:rPr>
      </w:pPr>
    </w:p>
    <w:p w14:paraId="16336D0E" w14:textId="77777777" w:rsidR="0099323A" w:rsidRDefault="0099323A">
      <w:pPr>
        <w:rPr>
          <w:rFonts w:ascii="Segoe UI" w:hAnsi="Segoe UI" w:cs="Segoe UI"/>
          <w:color w:val="1C1917"/>
          <w:sz w:val="27"/>
          <w:szCs w:val="27"/>
          <w:shd w:val="clear" w:color="auto" w:fill="FFFFFF"/>
        </w:rPr>
      </w:pPr>
    </w:p>
    <w:p w14:paraId="4DEB7B24" w14:textId="77777777" w:rsidR="0099323A" w:rsidRDefault="0099323A">
      <w:pPr>
        <w:rPr>
          <w:rFonts w:ascii="Segoe UI" w:hAnsi="Segoe UI" w:cs="Segoe UI"/>
          <w:color w:val="1C1917"/>
          <w:sz w:val="27"/>
          <w:szCs w:val="27"/>
          <w:shd w:val="clear" w:color="auto" w:fill="FFFFFF"/>
        </w:rPr>
      </w:pPr>
    </w:p>
    <w:p w14:paraId="7349BB72" w14:textId="77777777" w:rsidR="0099323A" w:rsidRDefault="0099323A">
      <w:pPr>
        <w:rPr>
          <w:rFonts w:ascii="Segoe UI" w:hAnsi="Segoe UI" w:cs="Segoe UI"/>
          <w:color w:val="1C1917"/>
          <w:sz w:val="27"/>
          <w:szCs w:val="27"/>
          <w:shd w:val="clear" w:color="auto" w:fill="FFFFFF"/>
        </w:rPr>
      </w:pPr>
    </w:p>
    <w:p w14:paraId="6EA8F1CF" w14:textId="77777777" w:rsidR="0099323A" w:rsidRDefault="0099323A">
      <w:pPr>
        <w:rPr>
          <w:rFonts w:ascii="Segoe UI" w:hAnsi="Segoe UI" w:cs="Segoe UI"/>
          <w:color w:val="1C1917"/>
          <w:sz w:val="27"/>
          <w:szCs w:val="27"/>
          <w:shd w:val="clear" w:color="auto" w:fill="FFFFFF"/>
        </w:rPr>
      </w:pPr>
    </w:p>
    <w:p w14:paraId="62517388" w14:textId="77777777" w:rsidR="0099323A" w:rsidRDefault="0099323A">
      <w:pPr>
        <w:rPr>
          <w:rFonts w:ascii="Segoe UI" w:hAnsi="Segoe UI" w:cs="Segoe UI"/>
          <w:color w:val="1C1917"/>
          <w:sz w:val="27"/>
          <w:szCs w:val="27"/>
          <w:shd w:val="clear" w:color="auto" w:fill="FFFFFF"/>
        </w:rPr>
      </w:pPr>
    </w:p>
    <w:p w14:paraId="69CA0072" w14:textId="77777777" w:rsidR="0099323A" w:rsidRDefault="0099323A"/>
    <w:p w14:paraId="057FFFAB" w14:textId="77777777" w:rsidR="0099323A" w:rsidRDefault="0099323A" w:rsidP="0099323A"/>
    <w:sdt>
      <w:sdtPr>
        <w:rPr>
          <w:rFonts w:asciiTheme="minorHAnsi" w:eastAsiaTheme="minorHAnsi" w:hAnsiTheme="minorHAnsi" w:cstheme="minorBidi"/>
          <w:color w:val="auto"/>
          <w:sz w:val="22"/>
          <w:szCs w:val="22"/>
          <w:lang w:val="en-GB"/>
        </w:rPr>
        <w:id w:val="-2077342356"/>
        <w:docPartObj>
          <w:docPartGallery w:val="Table of Contents"/>
          <w:docPartUnique/>
        </w:docPartObj>
      </w:sdtPr>
      <w:sdtEndPr>
        <w:rPr>
          <w:b/>
          <w:bCs/>
          <w:noProof/>
        </w:rPr>
      </w:sdtEndPr>
      <w:sdtContent>
        <w:p w14:paraId="1A7FE5F7" w14:textId="77777777" w:rsidR="0099323A" w:rsidRDefault="0099323A">
          <w:pPr>
            <w:pStyle w:val="TOCHeading"/>
          </w:pPr>
          <w:r>
            <w:t>Contents</w:t>
          </w:r>
        </w:p>
        <w:p w14:paraId="37A5F9F7" w14:textId="77777777" w:rsidR="0099323A" w:rsidRPr="0099323A" w:rsidRDefault="0099323A" w:rsidP="0099323A">
          <w:pPr>
            <w:rPr>
              <w:lang w:val="en-US"/>
            </w:rPr>
          </w:pPr>
        </w:p>
        <w:p w14:paraId="75734C46" w14:textId="77777777" w:rsidR="0099323A" w:rsidRDefault="0099323A">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53899564" w:history="1">
            <w:r w:rsidRPr="00CA5F75">
              <w:rPr>
                <w:rStyle w:val="Hyperlink"/>
                <w:noProof/>
              </w:rPr>
              <w:t>Introduction</w:t>
            </w:r>
            <w:r>
              <w:rPr>
                <w:noProof/>
                <w:webHidden/>
              </w:rPr>
              <w:tab/>
            </w:r>
            <w:r>
              <w:rPr>
                <w:noProof/>
                <w:webHidden/>
              </w:rPr>
              <w:fldChar w:fldCharType="begin"/>
            </w:r>
            <w:r>
              <w:rPr>
                <w:noProof/>
                <w:webHidden/>
              </w:rPr>
              <w:instrText xml:space="preserve"> PAGEREF _Toc153899564 \h </w:instrText>
            </w:r>
            <w:r>
              <w:rPr>
                <w:noProof/>
                <w:webHidden/>
              </w:rPr>
            </w:r>
            <w:r>
              <w:rPr>
                <w:noProof/>
                <w:webHidden/>
              </w:rPr>
              <w:fldChar w:fldCharType="separate"/>
            </w:r>
            <w:r>
              <w:rPr>
                <w:noProof/>
                <w:webHidden/>
              </w:rPr>
              <w:t>3</w:t>
            </w:r>
            <w:r>
              <w:rPr>
                <w:noProof/>
                <w:webHidden/>
              </w:rPr>
              <w:fldChar w:fldCharType="end"/>
            </w:r>
          </w:hyperlink>
        </w:p>
        <w:p w14:paraId="63420793" w14:textId="77777777" w:rsidR="0099323A" w:rsidRDefault="00DE1893">
          <w:pPr>
            <w:pStyle w:val="TOC1"/>
            <w:tabs>
              <w:tab w:val="right" w:leader="dot" w:pos="9016"/>
            </w:tabs>
            <w:rPr>
              <w:noProof/>
            </w:rPr>
          </w:pPr>
          <w:hyperlink w:anchor="_Toc153899565" w:history="1">
            <w:r w:rsidR="0099323A" w:rsidRPr="00CA5F75">
              <w:rPr>
                <w:rStyle w:val="Hyperlink"/>
                <w:noProof/>
              </w:rPr>
              <w:t>Body</w:t>
            </w:r>
            <w:r w:rsidR="0099323A">
              <w:rPr>
                <w:noProof/>
                <w:webHidden/>
              </w:rPr>
              <w:tab/>
            </w:r>
            <w:r w:rsidR="0099323A">
              <w:rPr>
                <w:noProof/>
                <w:webHidden/>
              </w:rPr>
              <w:fldChar w:fldCharType="begin"/>
            </w:r>
            <w:r w:rsidR="0099323A">
              <w:rPr>
                <w:noProof/>
                <w:webHidden/>
              </w:rPr>
              <w:instrText xml:space="preserve"> PAGEREF _Toc153899565 \h </w:instrText>
            </w:r>
            <w:r w:rsidR="0099323A">
              <w:rPr>
                <w:noProof/>
                <w:webHidden/>
              </w:rPr>
            </w:r>
            <w:r w:rsidR="0099323A">
              <w:rPr>
                <w:noProof/>
                <w:webHidden/>
              </w:rPr>
              <w:fldChar w:fldCharType="separate"/>
            </w:r>
            <w:r w:rsidR="0099323A">
              <w:rPr>
                <w:noProof/>
                <w:webHidden/>
              </w:rPr>
              <w:t>3</w:t>
            </w:r>
            <w:r w:rsidR="0099323A">
              <w:rPr>
                <w:noProof/>
                <w:webHidden/>
              </w:rPr>
              <w:fldChar w:fldCharType="end"/>
            </w:r>
          </w:hyperlink>
        </w:p>
        <w:p w14:paraId="77296CB0" w14:textId="77777777" w:rsidR="0099323A" w:rsidRDefault="00DE1893">
          <w:pPr>
            <w:pStyle w:val="TOC1"/>
            <w:tabs>
              <w:tab w:val="right" w:leader="dot" w:pos="9016"/>
            </w:tabs>
            <w:rPr>
              <w:noProof/>
            </w:rPr>
          </w:pPr>
          <w:hyperlink w:anchor="_Toc153899566" w:history="1">
            <w:r w:rsidR="0099323A" w:rsidRPr="00CA5F75">
              <w:rPr>
                <w:rStyle w:val="Hyperlink"/>
                <w:noProof/>
              </w:rPr>
              <w:t>Conclusion</w:t>
            </w:r>
            <w:r w:rsidR="0099323A">
              <w:rPr>
                <w:noProof/>
                <w:webHidden/>
              </w:rPr>
              <w:tab/>
            </w:r>
            <w:r w:rsidR="0099323A">
              <w:rPr>
                <w:noProof/>
                <w:webHidden/>
              </w:rPr>
              <w:fldChar w:fldCharType="begin"/>
            </w:r>
            <w:r w:rsidR="0099323A">
              <w:rPr>
                <w:noProof/>
                <w:webHidden/>
              </w:rPr>
              <w:instrText xml:space="preserve"> PAGEREF _Toc153899566 \h </w:instrText>
            </w:r>
            <w:r w:rsidR="0099323A">
              <w:rPr>
                <w:noProof/>
                <w:webHidden/>
              </w:rPr>
            </w:r>
            <w:r w:rsidR="0099323A">
              <w:rPr>
                <w:noProof/>
                <w:webHidden/>
              </w:rPr>
              <w:fldChar w:fldCharType="separate"/>
            </w:r>
            <w:r w:rsidR="0099323A">
              <w:rPr>
                <w:noProof/>
                <w:webHidden/>
              </w:rPr>
              <w:t>5</w:t>
            </w:r>
            <w:r w:rsidR="0099323A">
              <w:rPr>
                <w:noProof/>
                <w:webHidden/>
              </w:rPr>
              <w:fldChar w:fldCharType="end"/>
            </w:r>
          </w:hyperlink>
        </w:p>
        <w:p w14:paraId="0B3B976C" w14:textId="77777777" w:rsidR="0099323A" w:rsidRDefault="00DE1893">
          <w:pPr>
            <w:pStyle w:val="TOC1"/>
            <w:tabs>
              <w:tab w:val="right" w:leader="dot" w:pos="9016"/>
            </w:tabs>
            <w:rPr>
              <w:noProof/>
            </w:rPr>
          </w:pPr>
          <w:hyperlink w:anchor="_Toc153899567" w:history="1">
            <w:r w:rsidR="0099323A" w:rsidRPr="00CA5F75">
              <w:rPr>
                <w:rStyle w:val="Hyperlink"/>
                <w:noProof/>
              </w:rPr>
              <w:t>References</w:t>
            </w:r>
            <w:r w:rsidR="0099323A">
              <w:rPr>
                <w:noProof/>
                <w:webHidden/>
              </w:rPr>
              <w:tab/>
            </w:r>
            <w:r w:rsidR="0099323A">
              <w:rPr>
                <w:noProof/>
                <w:webHidden/>
              </w:rPr>
              <w:fldChar w:fldCharType="begin"/>
            </w:r>
            <w:r w:rsidR="0099323A">
              <w:rPr>
                <w:noProof/>
                <w:webHidden/>
              </w:rPr>
              <w:instrText xml:space="preserve"> PAGEREF _Toc153899567 \h </w:instrText>
            </w:r>
            <w:r w:rsidR="0099323A">
              <w:rPr>
                <w:noProof/>
                <w:webHidden/>
              </w:rPr>
            </w:r>
            <w:r w:rsidR="0099323A">
              <w:rPr>
                <w:noProof/>
                <w:webHidden/>
              </w:rPr>
              <w:fldChar w:fldCharType="separate"/>
            </w:r>
            <w:r w:rsidR="0099323A">
              <w:rPr>
                <w:noProof/>
                <w:webHidden/>
              </w:rPr>
              <w:t>6</w:t>
            </w:r>
            <w:r w:rsidR="0099323A">
              <w:rPr>
                <w:noProof/>
                <w:webHidden/>
              </w:rPr>
              <w:fldChar w:fldCharType="end"/>
            </w:r>
          </w:hyperlink>
        </w:p>
        <w:p w14:paraId="082CCAE7" w14:textId="77777777" w:rsidR="0099323A" w:rsidRDefault="0099323A">
          <w:r>
            <w:rPr>
              <w:b/>
              <w:bCs/>
              <w:noProof/>
            </w:rPr>
            <w:fldChar w:fldCharType="end"/>
          </w:r>
        </w:p>
      </w:sdtContent>
    </w:sdt>
    <w:p w14:paraId="3970AA07" w14:textId="77777777" w:rsidR="0099323A" w:rsidRDefault="0099323A">
      <w:r>
        <w:br w:type="page"/>
      </w:r>
    </w:p>
    <w:p w14:paraId="3237AB88" w14:textId="77777777" w:rsidR="0099323A" w:rsidRDefault="0099323A" w:rsidP="0099323A">
      <w:pPr>
        <w:pStyle w:val="Heading1"/>
      </w:pPr>
      <w:bookmarkStart w:id="1" w:name="_Toc153899564"/>
      <w:r>
        <w:lastRenderedPageBreak/>
        <w:t>Introduction</w:t>
      </w:r>
      <w:bookmarkEnd w:id="1"/>
    </w:p>
    <w:p w14:paraId="1CBC43D8" w14:textId="77777777" w:rsidR="0099323A" w:rsidRPr="0099323A" w:rsidRDefault="0099323A" w:rsidP="0099323A"/>
    <w:p w14:paraId="7D837B39" w14:textId="77777777" w:rsidR="00CF68D3" w:rsidRDefault="00CF68D3" w:rsidP="00CF68D3">
      <w:r>
        <w:t>Multinational corporations (MNCs) with operations and transactions in multiple currencies face considerable foreign exchange risk. Foreign exchange risk refers to the possibility that sudden, unpredictable currency rate movements could negatively impact their value (Madura, 2022). Management of foreign exchange risk is of critical importance for multinational corporations (MNCs), to safeguard profit margins and cash flows. According to Shapiro (2014), approximately 80% of MNCs use financial instruments as part of their foreign exchange risk mitigation strategies; leading/lagging payments as well as derivative products like forwards/futures/options/swaps may all help shield an MNC against this exposure. MNCs commonly employ multiple approaches when dealing with these exposures.</w:t>
      </w:r>
    </w:p>
    <w:p w14:paraId="381B3E08" w14:textId="77777777" w:rsidR="00CF68D3" w:rsidRDefault="00CF68D3" w:rsidP="00CF68D3">
      <w:r>
        <w:t>MNCs frequently employ leading and lagging payments as an internal strategy, which seeks to create a natural hedge by matching cash inflows and outflows by currency (</w:t>
      </w:r>
      <w:proofErr w:type="spellStart"/>
      <w:r>
        <w:t>Eiteman</w:t>
      </w:r>
      <w:proofErr w:type="spellEnd"/>
      <w:r>
        <w:t xml:space="preserve"> et al, 2016). Where possible, an MNC should time their export revenue receipt to coincide with their payment obligations to foreign suppliers or creditors - this helps avoid or reduce currency conversion through FX markets and requires no complex financial instruments for implementation. However, its application is limited as perfectly matching </w:t>
      </w:r>
      <w:proofErr w:type="spellStart"/>
      <w:r>
        <w:t>cashflows</w:t>
      </w:r>
      <w:proofErr w:type="spellEnd"/>
      <w:r>
        <w:t xml:space="preserve"> is often not possible when an MNC has obligations that must be settled at certain dates. Overall this strategy provides some protection; however, most firms use other forms of external hedging strategies in conjunction with it.</w:t>
      </w:r>
    </w:p>
    <w:p w14:paraId="08278A35" w14:textId="77777777" w:rsidR="0099323A" w:rsidRDefault="0099323A" w:rsidP="0099323A">
      <w:pPr>
        <w:pStyle w:val="Heading1"/>
      </w:pPr>
      <w:bookmarkStart w:id="2" w:name="_Toc153899565"/>
      <w:r>
        <w:t>Body</w:t>
      </w:r>
      <w:bookmarkEnd w:id="2"/>
    </w:p>
    <w:p w14:paraId="6FEDC9CD" w14:textId="77777777" w:rsidR="0099323A" w:rsidRPr="0099323A" w:rsidRDefault="0099323A" w:rsidP="0099323A"/>
    <w:p w14:paraId="1063A04E" w14:textId="77777777" w:rsidR="00CF68D3" w:rsidRDefault="00CF68D3" w:rsidP="00CF68D3">
      <w:r>
        <w:t xml:space="preserve">Forward contracts are popular external hedging tools which obligate both a multinational corporation (MNC) and bank counterparty to exchange an agreed sum at an agreed exchange rate on an agreed date in the future. (Madura, 2022). Forward contracts offer budgeting certainty while safeguarding against adverse FX movements relative to their locked rate, offering customization in terms of contract size and maturity to match specific </w:t>
      </w:r>
      <w:proofErr w:type="spellStart"/>
      <w:r>
        <w:t>cashflow</w:t>
      </w:r>
      <w:proofErr w:type="spellEnd"/>
      <w:r>
        <w:t xml:space="preserve"> exposures (</w:t>
      </w:r>
      <w:proofErr w:type="spellStart"/>
      <w:r>
        <w:t>Eiteman</w:t>
      </w:r>
      <w:proofErr w:type="spellEnd"/>
      <w:r>
        <w:t xml:space="preserve"> et al, 2016). Forward contracts offer several disadvantages; most notably they do not allow participants to participate in </w:t>
      </w:r>
      <w:proofErr w:type="spellStart"/>
      <w:r>
        <w:t>favorable</w:t>
      </w:r>
      <w:proofErr w:type="spellEnd"/>
      <w:r>
        <w:t xml:space="preserve"> exchange rate movements and introduce credit risk from possible counterparty default (though banking regulations and collateralisation can help limit this). Overall though, forwards contracts provide an inexpensive and effective hedge for short-term FX risks on known obligations; according to </w:t>
      </w:r>
      <w:proofErr w:type="spellStart"/>
      <w:r>
        <w:t>Hagelin</w:t>
      </w:r>
      <w:proofErr w:type="spellEnd"/>
      <w:r>
        <w:t xml:space="preserve"> (2003)'s survey 47% of US MNCs utilized them frequently when managing transaction exposure.</w:t>
      </w:r>
    </w:p>
    <w:p w14:paraId="59099A4A" w14:textId="77777777" w:rsidR="00CF68D3" w:rsidRDefault="00CF68D3" w:rsidP="00CF68D3">
      <w:r>
        <w:t>Currency futures work similarly to forwards by trading on exchanges and offering buyers the ability to lock in an exchange rate prior to any future obligation (Shapiro, 2014). Futures contracts offer some key differences to futures contracts in terms of standardised contract sizes, lower counterparty default risk and margin requirements that impose liquidity pressures. Furthermore, futures contracts feature higher trading volumes to allow easy entry and exit and daily settlement (Madura 2022). However, discrete contract sizes and settlement dates may not align perfectly with specific corporate cash exposures. While flexible and lower risk hedging are key features of an optimal portfolio strategy, matching terms to internal requirements may prove more challenging. Currency options are another popular derivative, providing the right but not the obligation to transact at an agreed upon rate for a future period (</w:t>
      </w:r>
      <w:proofErr w:type="spellStart"/>
      <w:r>
        <w:t>Eiteman</w:t>
      </w:r>
      <w:proofErr w:type="spellEnd"/>
      <w:r>
        <w:t xml:space="preserve"> et al, 2016). Options allow participants to take advantage of </w:t>
      </w:r>
      <w:proofErr w:type="spellStart"/>
      <w:r>
        <w:t>favorable</w:t>
      </w:r>
      <w:proofErr w:type="spellEnd"/>
      <w:r>
        <w:t xml:space="preserve"> rate movements while protecting against worst-case rates. But since options do not impose an obligation, their benefits may not fully materialise. Unfortunately, options </w:t>
      </w:r>
      <w:r>
        <w:lastRenderedPageBreak/>
        <w:t>incur an upfront premium cost which makes them more costly than forwards; however, options offer more flexible and potentially cheaper protection than futures.</w:t>
      </w:r>
    </w:p>
    <w:p w14:paraId="6070ED6F" w14:textId="77777777" w:rsidR="00CF68D3" w:rsidRDefault="00CF68D3" w:rsidP="00CF68D3">
      <w:r>
        <w:t xml:space="preserve">Currency swaps are highly effective hedges for MNCs, enabling companies to swap interest repayments and principal on debt denominated in multiple currencies (Madura &amp; </w:t>
      </w:r>
      <w:proofErr w:type="spellStart"/>
      <w:r>
        <w:t>Schnusenberg</w:t>
      </w:r>
      <w:proofErr w:type="spellEnd"/>
      <w:r>
        <w:t xml:space="preserve">, 2013). This strategy locks in foreign currency obligations associated with borrowing or bonds to eliminate risk and lower financing costs long-term - though complex documentation between counterparties may be required between suppliers (usually banks rather than exchanges). According to research by </w:t>
      </w:r>
      <w:proofErr w:type="spellStart"/>
      <w:r>
        <w:t>Hagelin</w:t>
      </w:r>
      <w:proofErr w:type="spellEnd"/>
      <w:r>
        <w:t xml:space="preserve"> (2003), 32% of US MNCs surveyed used currency swaps indicating reasonable adoption.</w:t>
      </w:r>
    </w:p>
    <w:p w14:paraId="6751B262" w14:textId="77777777" w:rsidR="00CF68D3" w:rsidRDefault="00CF68D3" w:rsidP="00CF68D3">
      <w:r>
        <w:t xml:space="preserve">External financial instruments provide comprehensive protection for known currency exposures, with forwards and options offering relatively flexible hedging. Their application by MNCs to uncertain future revenues or inputs, however, can be far more complex (Shapiro 2014). Academics have raised numerous criticisms against standard financial hedging theories in this regard. De </w:t>
      </w:r>
      <w:proofErr w:type="spellStart"/>
      <w:r>
        <w:t>Marzo</w:t>
      </w:r>
      <w:proofErr w:type="spellEnd"/>
      <w:r>
        <w:t xml:space="preserve"> &amp; </w:t>
      </w:r>
      <w:proofErr w:type="spellStart"/>
      <w:r>
        <w:t>Duffie</w:t>
      </w:r>
      <w:proofErr w:type="spellEnd"/>
      <w:r>
        <w:t xml:space="preserve"> (1991) argue treasury departments within multinational companies often face difficulties precisely defining exposures, pricing appropriate hedges and managing basis risk effectively. Hu (2013) asserts that practical factors often prevent multinational corporations (MNCs) from effectively offsetting exposures and executing hedges as the theory dictates. MNCs face serious difficulties accurately quantifying cross-border revenues, costs and investments over a time span exceeding 6-12 months.</w:t>
      </w:r>
    </w:p>
    <w:p w14:paraId="44354B7E" w14:textId="77777777" w:rsidR="00CF68D3" w:rsidRDefault="00CF68D3" w:rsidP="00CF68D3">
      <w:r>
        <w:t>Internal operational adjustments can help mitigate risks without solely relying on external market instruments. Multinational corporations frequently adjust transfer prices for intragroup trading to transfer funds between subsidiaries located across high and low tax jurisdictions (</w:t>
      </w:r>
      <w:proofErr w:type="spellStart"/>
      <w:r>
        <w:t>Eiteman</w:t>
      </w:r>
      <w:proofErr w:type="spellEnd"/>
      <w:r>
        <w:t xml:space="preserve"> et al 2016). This mechanism allows for managed centralisation of currency exposures for hedging purposes, providing internal offsets when needed. Unfortunately, other factors besides currency risk influence optimal transfer pricing decisions that could conflict with pure risk objectives. Switching invoicing of exports and imports back and forth within one's own currency is one of the key internal mechanisms used for central currency risk management (</w:t>
      </w:r>
      <w:proofErr w:type="spellStart"/>
      <w:r>
        <w:t>Friberg</w:t>
      </w:r>
      <w:proofErr w:type="spellEnd"/>
      <w:r>
        <w:t>, 2021), although its effectiveness depends on pricing power and customer acceptance of an MNC. Operational approaches offer adaptive mechanisms which complement financial hedges without perfectly stabilising currency risk.</w:t>
      </w:r>
    </w:p>
    <w:p w14:paraId="4B9DFE35" w14:textId="77777777" w:rsidR="00CF68D3" w:rsidRDefault="00CF68D3" w:rsidP="00CF68D3">
      <w:r>
        <w:t xml:space="preserve">Numerous empirical studies have examined the hedging policies employed by multinational corporations (MNCs). Belk &amp; </w:t>
      </w:r>
      <w:proofErr w:type="spellStart"/>
      <w:r>
        <w:t>Glaum</w:t>
      </w:r>
      <w:proofErr w:type="spellEnd"/>
      <w:r>
        <w:t xml:space="preserve"> (1990), using a small sample from UK-based MNCs, found that they typically hedge around 45% of transaction exposure on average. But policies to hedge uncertainties in future </w:t>
      </w:r>
      <w:proofErr w:type="spellStart"/>
      <w:r>
        <w:t>cashflows</w:t>
      </w:r>
      <w:proofErr w:type="spellEnd"/>
      <w:r>
        <w:t xml:space="preserve"> were far less developed. Elliott et al (2003) conducted an examination of US multinationals across manufacturing, services and resources sectors and discovered an average hedging ratio of just 19% of total firm value - reflecting how difficult it can be managing uncertain exposures. </w:t>
      </w:r>
      <w:proofErr w:type="spellStart"/>
      <w:r>
        <w:t>Edelshain</w:t>
      </w:r>
      <w:proofErr w:type="spellEnd"/>
      <w:r>
        <w:t xml:space="preserve"> (1995) noted that firms with greater international involvement utilized more comprehensive currency risk management practices. She reported an array of hedging ratios ranging from 20%-70% of foreign revenues hedged amongst surveyed US firms. </w:t>
      </w:r>
      <w:proofErr w:type="spellStart"/>
      <w:r>
        <w:t>Allayannis</w:t>
      </w:r>
      <w:proofErr w:type="spellEnd"/>
      <w:r>
        <w:t xml:space="preserve"> &amp; </w:t>
      </w:r>
      <w:proofErr w:type="spellStart"/>
      <w:r>
        <w:t>Ofek</w:t>
      </w:r>
      <w:proofErr w:type="spellEnd"/>
      <w:r>
        <w:t xml:space="preserve"> (2001) conducted an analysis of Canadian firms by employing average hedging, with average reduction in currency fluctuations of approximately 5% on firm value impact. Though imperfect, empirical evidence demonstrates currency hedging - including selective use of derivatives - creates material economic value for multinational corporations by stabilising risk.</w:t>
      </w:r>
    </w:p>
    <w:p w14:paraId="072E2481" w14:textId="77777777" w:rsidR="00CF68D3" w:rsidRDefault="00CF68D3" w:rsidP="00CF68D3">
      <w:r>
        <w:t xml:space="preserve">Foreign exchange risk management can be an intricate </w:t>
      </w:r>
      <w:proofErr w:type="spellStart"/>
      <w:r>
        <w:t>endeavor</w:t>
      </w:r>
      <w:proofErr w:type="spellEnd"/>
      <w:r>
        <w:t xml:space="preserve"> for MNCs, yet leading and lagging </w:t>
      </w:r>
      <w:proofErr w:type="spellStart"/>
      <w:r>
        <w:t>cashflow</w:t>
      </w:r>
      <w:proofErr w:type="spellEnd"/>
      <w:r>
        <w:t xml:space="preserve"> payments provide an ideal means of partial protection against this exposure. Currency forwards, futures, options and swaps offer effective protection from risk associated with known </w:t>
      </w:r>
      <w:r>
        <w:lastRenderedPageBreak/>
        <w:t>exposures; however, their efficacy diminishes when used against uncertain foreign income and costs in the future. Firms deploying selective hedging strategies based on operational practices, treasury risk management frameworks and tailored financial instruments to manage international business exposures effectively. Empirical analysis of multinational corporations shows their policies reduce, yet don't completely eliminate, currency risk volatility. Given these constraints, this hybrid approach enables value creation by stabilising risk to support offshore operations and create value.</w:t>
      </w:r>
    </w:p>
    <w:p w14:paraId="103B15E6" w14:textId="77777777" w:rsidR="0099323A" w:rsidRDefault="0099323A" w:rsidP="0099323A">
      <w:r>
        <w:t>Financial hedging instruments have grown increasingly sophisticated over time; however, knowledge gaps exist regarding their optimal application by multinational corporations (</w:t>
      </w:r>
      <w:proofErr w:type="spellStart"/>
      <w:r>
        <w:t>Friberg</w:t>
      </w:r>
      <w:proofErr w:type="spellEnd"/>
      <w:r>
        <w:t xml:space="preserve"> &amp; </w:t>
      </w:r>
      <w:proofErr w:type="spellStart"/>
      <w:r>
        <w:t>Wilander</w:t>
      </w:r>
      <w:proofErr w:type="spellEnd"/>
      <w:r>
        <w:t xml:space="preserve"> 2008). Transaction cost economics argue that proprietary firm advantages have an influence over the relative effectiveness of various hedging approaches (</w:t>
      </w:r>
      <w:proofErr w:type="spellStart"/>
      <w:r>
        <w:t>Dohring</w:t>
      </w:r>
      <w:proofErr w:type="spellEnd"/>
      <w:r>
        <w:t xml:space="preserve"> 2008). Unfortunately, however, they can be hard to measure exactly and thus include in theoretical financial pricing models. Information asymmetries between centralised Treasury functions and local business units around the world can wreak havoc with coordinated global FX risk management (</w:t>
      </w:r>
      <w:proofErr w:type="spellStart"/>
      <w:r>
        <w:t>Bodnar</w:t>
      </w:r>
      <w:proofErr w:type="spellEnd"/>
      <w:r>
        <w:t xml:space="preserve"> et al, 1998) due to agency issues introduced through information asymmetries between them; gathering accurate exposure data could potentially hamper financial hedging outcomes (</w:t>
      </w:r>
      <w:proofErr w:type="spellStart"/>
      <w:r>
        <w:t>Bodnar</w:t>
      </w:r>
      <w:proofErr w:type="spellEnd"/>
      <w:r>
        <w:t xml:space="preserve"> et al, 98).</w:t>
      </w:r>
    </w:p>
    <w:p w14:paraId="45C3D266" w14:textId="77777777" w:rsidR="0099323A" w:rsidRDefault="0099323A" w:rsidP="0099323A">
      <w:r>
        <w:t xml:space="preserve">Empirically, many studies attempt to test whether conventional derivatives pricing theories correspond with MNC </w:t>
      </w:r>
      <w:proofErr w:type="spellStart"/>
      <w:r>
        <w:t>behavior</w:t>
      </w:r>
      <w:proofErr w:type="spellEnd"/>
      <w:r>
        <w:t xml:space="preserve"> with mixed results (Bartram, Brown &amp; Conrad, 2011). Outcomes depend on specific home country institutional factors and corporate governance structures (Nguyen &amp; Faff, 2002), while overall adoption of some currency derivatives is evident; its effect on firm value remains less clear; indeed some studies indicate selective hedging programs may add greater value than comprehensive policies (</w:t>
      </w:r>
      <w:proofErr w:type="spellStart"/>
      <w:r>
        <w:t>Allayannis</w:t>
      </w:r>
      <w:proofErr w:type="spellEnd"/>
      <w:r>
        <w:t xml:space="preserve"> et al, 2012), in line with an argument that completely stabilising currency volatility by stabilisation can remove potential upside </w:t>
      </w:r>
      <w:proofErr w:type="spellStart"/>
      <w:r>
        <w:t>upside</w:t>
      </w:r>
      <w:proofErr w:type="spellEnd"/>
      <w:r>
        <w:t xml:space="preserve"> benefits as well.</w:t>
      </w:r>
    </w:p>
    <w:p w14:paraId="046B7597" w14:textId="77777777" w:rsidR="0099323A" w:rsidRDefault="0099323A" w:rsidP="0099323A">
      <w:r>
        <w:t xml:space="preserve">Strategic considerations must ultimately play into finding an acceptable balance between stabilizing FX risk to support offshore operations and taking advantage of any </w:t>
      </w:r>
      <w:proofErr w:type="spellStart"/>
      <w:r>
        <w:t>favorable</w:t>
      </w:r>
      <w:proofErr w:type="spellEnd"/>
      <w:r>
        <w:t xml:space="preserve"> rate fluctuations. Central supervision is always necessary; however, both tight controls and highly decentralized approaches have their own drawbacks. MNCs often resort to selective hedging due to the difficulty in implementing textbook risk reduction plans even where these would theoretically be optimal (</w:t>
      </w:r>
      <w:proofErr w:type="spellStart"/>
      <w:r>
        <w:t>Bodnar</w:t>
      </w:r>
      <w:proofErr w:type="spellEnd"/>
      <w:r>
        <w:t xml:space="preserve"> &amp; </w:t>
      </w:r>
      <w:proofErr w:type="spellStart"/>
      <w:r>
        <w:t>Gebhardt</w:t>
      </w:r>
      <w:proofErr w:type="spellEnd"/>
      <w:r>
        <w:t xml:space="preserve"> 1999). FX risk management depends heavily on skilled Treasury personnel with experience applying judgment due to the complexities involved in translating various derivative instruments into suitable hedge coverage for multinational corporations worldwide. Their knowledge enables effective corporate hedging practice.</w:t>
      </w:r>
    </w:p>
    <w:p w14:paraId="298ACFDD" w14:textId="77777777" w:rsidR="0099323A" w:rsidRDefault="0099323A" w:rsidP="0099323A">
      <w:pPr>
        <w:pStyle w:val="Heading1"/>
      </w:pPr>
      <w:bookmarkStart w:id="3" w:name="_Toc153899566"/>
      <w:r>
        <w:t>Conclusion</w:t>
      </w:r>
      <w:bookmarkEnd w:id="3"/>
    </w:p>
    <w:p w14:paraId="4D5518FE" w14:textId="77777777" w:rsidR="0099323A" w:rsidRPr="0099323A" w:rsidRDefault="0099323A" w:rsidP="0099323A"/>
    <w:p w14:paraId="54AC9B98" w14:textId="77777777" w:rsidR="0099323A" w:rsidRDefault="0099323A" w:rsidP="0099323A">
      <w:r>
        <w:t xml:space="preserve">Overall there is no one-size-fits-all mechanistic solution; rather selective/adaptive policies using operational adjustments along with financial instruments necessary are used under expert interpretation and oversight by </w:t>
      </w:r>
      <w:proofErr w:type="gramStart"/>
      <w:r>
        <w:t>experts</w:t>
      </w:r>
      <w:proofErr w:type="gramEnd"/>
      <w:r>
        <w:t xml:space="preserve"> in-house experts in MNCs.</w:t>
      </w:r>
    </w:p>
    <w:p w14:paraId="7CD9EF74" w14:textId="77777777" w:rsidR="00CF68D3" w:rsidRDefault="00CF68D3" w:rsidP="00CF68D3"/>
    <w:p w14:paraId="4FC44228" w14:textId="77777777" w:rsidR="0099323A" w:rsidRDefault="0099323A" w:rsidP="00CF68D3"/>
    <w:p w14:paraId="372ACC87" w14:textId="77777777" w:rsidR="0099323A" w:rsidRDefault="0099323A" w:rsidP="00CF68D3"/>
    <w:p w14:paraId="7FF52244" w14:textId="77777777" w:rsidR="0099323A" w:rsidRPr="00CF68D3" w:rsidRDefault="0099323A" w:rsidP="00CF68D3"/>
    <w:p w14:paraId="7A3098FD" w14:textId="77777777" w:rsidR="00CF68D3" w:rsidRDefault="00CF68D3" w:rsidP="0099323A">
      <w:pPr>
        <w:pStyle w:val="Heading1"/>
      </w:pPr>
      <w:bookmarkStart w:id="4" w:name="_Toc153899567"/>
      <w:r w:rsidRPr="00CF68D3">
        <w:lastRenderedPageBreak/>
        <w:t>References</w:t>
      </w:r>
      <w:bookmarkEnd w:id="4"/>
    </w:p>
    <w:p w14:paraId="356A1FB7" w14:textId="77777777" w:rsidR="0099323A" w:rsidRPr="0099323A" w:rsidRDefault="0099323A" w:rsidP="0099323A"/>
    <w:p w14:paraId="434F886C" w14:textId="77777777" w:rsidR="00CF68D3" w:rsidRPr="00CF68D3" w:rsidRDefault="00CF68D3" w:rsidP="00CF68D3">
      <w:proofErr w:type="spellStart"/>
      <w:r w:rsidRPr="00CF68D3">
        <w:t>Allayannis</w:t>
      </w:r>
      <w:proofErr w:type="spellEnd"/>
      <w:r w:rsidRPr="00CF68D3">
        <w:t xml:space="preserve">, G. and </w:t>
      </w:r>
      <w:proofErr w:type="spellStart"/>
      <w:r w:rsidRPr="00CF68D3">
        <w:t>Ofek</w:t>
      </w:r>
      <w:proofErr w:type="spellEnd"/>
      <w:r w:rsidRPr="00CF68D3">
        <w:t>, E., 2001. Exchange rate exposure, hedging, and the use of foreign currency derivatives. Journal of international money and finance, 20(2), pp.273-296.</w:t>
      </w:r>
    </w:p>
    <w:p w14:paraId="5D316203" w14:textId="77777777" w:rsidR="00CF68D3" w:rsidRPr="00CF68D3" w:rsidRDefault="00CF68D3" w:rsidP="00CF68D3">
      <w:r w:rsidRPr="00CF68D3">
        <w:t xml:space="preserve">Belk, P.A. and </w:t>
      </w:r>
      <w:proofErr w:type="spellStart"/>
      <w:r w:rsidRPr="00CF68D3">
        <w:t>Glaum</w:t>
      </w:r>
      <w:proofErr w:type="spellEnd"/>
      <w:r w:rsidRPr="00CF68D3">
        <w:t>, M., 1990. The management of foreign exchange risk in UK multinationals: An empirical investigation. Accounting and Business Research, 21(81), pp.3-13.</w:t>
      </w:r>
    </w:p>
    <w:p w14:paraId="4A89F192" w14:textId="77777777" w:rsidR="00CF68D3" w:rsidRPr="00CF68D3" w:rsidRDefault="00CF68D3" w:rsidP="00CF68D3">
      <w:r w:rsidRPr="00CF68D3">
        <w:t xml:space="preserve">De </w:t>
      </w:r>
      <w:proofErr w:type="spellStart"/>
      <w:r w:rsidRPr="00CF68D3">
        <w:t>Marzo</w:t>
      </w:r>
      <w:proofErr w:type="spellEnd"/>
      <w:r w:rsidRPr="00CF68D3">
        <w:t xml:space="preserve">, P. and </w:t>
      </w:r>
      <w:proofErr w:type="spellStart"/>
      <w:r w:rsidRPr="00CF68D3">
        <w:t>Duffie</w:t>
      </w:r>
      <w:proofErr w:type="spellEnd"/>
      <w:r w:rsidRPr="00CF68D3">
        <w:t>, D., 1991. Corporate financial hedging with proprietary information. Journal of economic theory, 53(2), pp.261-286.</w:t>
      </w:r>
    </w:p>
    <w:p w14:paraId="290537C5" w14:textId="77777777" w:rsidR="00CF68D3" w:rsidRPr="00CF68D3" w:rsidRDefault="00CF68D3" w:rsidP="00CF68D3">
      <w:proofErr w:type="spellStart"/>
      <w:r w:rsidRPr="00CF68D3">
        <w:t>Edelshain</w:t>
      </w:r>
      <w:proofErr w:type="spellEnd"/>
      <w:r w:rsidRPr="00CF68D3">
        <w:t>, D., 1995. Managing foreign exchange risk in multinational corporations. European Financial Management, 1(1), pp.57-75.</w:t>
      </w:r>
    </w:p>
    <w:p w14:paraId="48395037" w14:textId="77777777" w:rsidR="00CF68D3" w:rsidRPr="00CF68D3" w:rsidRDefault="00CF68D3" w:rsidP="00CF68D3">
      <w:proofErr w:type="spellStart"/>
      <w:r w:rsidRPr="00CF68D3">
        <w:t>Eiteman</w:t>
      </w:r>
      <w:proofErr w:type="spellEnd"/>
      <w:r w:rsidRPr="00CF68D3">
        <w:t xml:space="preserve">, D.K., </w:t>
      </w:r>
      <w:proofErr w:type="spellStart"/>
      <w:r w:rsidRPr="00CF68D3">
        <w:t>Stonehill</w:t>
      </w:r>
      <w:proofErr w:type="spellEnd"/>
      <w:r w:rsidRPr="00CF68D3">
        <w:t>, A.I. and Moffett, M.H., 2016. Multinational business finance. Pearson.</w:t>
      </w:r>
    </w:p>
    <w:p w14:paraId="59C72B0A" w14:textId="77777777" w:rsidR="00CF68D3" w:rsidRPr="00CF68D3" w:rsidRDefault="00CF68D3" w:rsidP="00CF68D3">
      <w:r w:rsidRPr="00CF68D3">
        <w:t>Elliott, W.B., Huffman, S.P. and Makar, S.D., 2003. Foreign-denominated debt and foreign currency derivatives: complements or substitutes in hedging foreign currency risk</w:t>
      </w:r>
      <w:proofErr w:type="gramStart"/>
      <w:r w:rsidRPr="00CF68D3">
        <w:t>?.</w:t>
      </w:r>
      <w:proofErr w:type="gramEnd"/>
      <w:r w:rsidRPr="00CF68D3">
        <w:t xml:space="preserve"> Journal of Multinational Financial Management, 13(2), pp.123-139.</w:t>
      </w:r>
    </w:p>
    <w:p w14:paraId="48CB0F66" w14:textId="77777777" w:rsidR="00CF68D3" w:rsidRPr="00CF68D3" w:rsidRDefault="00CF68D3" w:rsidP="00CF68D3">
      <w:proofErr w:type="spellStart"/>
      <w:r w:rsidRPr="00CF68D3">
        <w:t>Friberg</w:t>
      </w:r>
      <w:proofErr w:type="spellEnd"/>
      <w:r w:rsidRPr="00CF68D3">
        <w:t>, R., 2021. Currency invoicing of international trade: a review and new evidence. Journal of International Economics, 129, p.103449.</w:t>
      </w:r>
    </w:p>
    <w:p w14:paraId="311AA40E" w14:textId="77777777" w:rsidR="00CF68D3" w:rsidRPr="00CF68D3" w:rsidRDefault="00CF68D3" w:rsidP="00CF68D3">
      <w:proofErr w:type="spellStart"/>
      <w:r w:rsidRPr="00CF68D3">
        <w:t>Hagelin</w:t>
      </w:r>
      <w:proofErr w:type="spellEnd"/>
      <w:r w:rsidRPr="00CF68D3">
        <w:t>, N., 2003. Why firms hedge with currency derivatives: an examination of transaction and translation exposure. Applied Financial Economics, 13(1), pp.55-69.</w:t>
      </w:r>
    </w:p>
    <w:p w14:paraId="66148B6B" w14:textId="77777777" w:rsidR="00CF68D3" w:rsidRPr="00CF68D3" w:rsidRDefault="00CF68D3" w:rsidP="00CF68D3">
      <w:r w:rsidRPr="00CF68D3">
        <w:t>Hu, C., 2013. Hedging or speculation? Evidence of the intention and ability of large FX options traders. Journal of Financial Markets, 16(4), pp.597-627.</w:t>
      </w:r>
    </w:p>
    <w:p w14:paraId="3D357C03" w14:textId="77777777" w:rsidR="00CF68D3" w:rsidRPr="00CF68D3" w:rsidRDefault="00CF68D3" w:rsidP="00CF68D3">
      <w:r w:rsidRPr="00CF68D3">
        <w:t>Madura, J. ed., 2022. International financial management. Cengage Learning.</w:t>
      </w:r>
    </w:p>
    <w:p w14:paraId="47E34765" w14:textId="77777777" w:rsidR="00CF68D3" w:rsidRPr="00CF68D3" w:rsidRDefault="00CF68D3" w:rsidP="00CF68D3">
      <w:r w:rsidRPr="00CF68D3">
        <w:t xml:space="preserve">Madura, J. and </w:t>
      </w:r>
      <w:proofErr w:type="spellStart"/>
      <w:r w:rsidRPr="00CF68D3">
        <w:t>Schnusenberg</w:t>
      </w:r>
      <w:proofErr w:type="spellEnd"/>
      <w:r w:rsidRPr="00CF68D3">
        <w:t>, O., 2013. Effect of exchange rate volatility on currency hedging. The Journal of Financial Research, 36(1), pp.71-96.</w:t>
      </w:r>
    </w:p>
    <w:p w14:paraId="7536D264" w14:textId="77777777" w:rsidR="00CF68D3" w:rsidRDefault="00CF68D3" w:rsidP="00CF68D3">
      <w:r w:rsidRPr="00CF68D3">
        <w:t>Shapiro, A.C., 2014. Multinational financial management. John Wiley &amp; Sons.</w:t>
      </w:r>
    </w:p>
    <w:p w14:paraId="53324B53" w14:textId="77777777" w:rsidR="00D325A8" w:rsidRPr="00D325A8" w:rsidRDefault="00D325A8" w:rsidP="00D325A8">
      <w:proofErr w:type="spellStart"/>
      <w:r w:rsidRPr="00D325A8">
        <w:t>Allayannis</w:t>
      </w:r>
      <w:proofErr w:type="spellEnd"/>
      <w:r w:rsidRPr="00D325A8">
        <w:t xml:space="preserve">, G., </w:t>
      </w:r>
      <w:proofErr w:type="spellStart"/>
      <w:r w:rsidRPr="00D325A8">
        <w:t>Lel</w:t>
      </w:r>
      <w:proofErr w:type="spellEnd"/>
      <w:r w:rsidRPr="00D325A8">
        <w:t>, U. and Miller, D.P., 2012. The use of foreign currency derivatives, corporate governance, and firm value around the world. Journal of International Economics, 87(1), pp.65-79.</w:t>
      </w:r>
    </w:p>
    <w:p w14:paraId="4B8098E0" w14:textId="77777777" w:rsidR="00D325A8" w:rsidRPr="00D325A8" w:rsidRDefault="00D325A8" w:rsidP="00D325A8">
      <w:r w:rsidRPr="00D325A8">
        <w:t>Bartram, S.M., Brown, G.W. and Conrad, J., 2011. The effects of derivatives on firm risk and value. Journal of Financial and Quantitative Analysis, 46(4), pp.967-999.</w:t>
      </w:r>
    </w:p>
    <w:p w14:paraId="1F75AE88" w14:textId="77777777" w:rsidR="00D325A8" w:rsidRPr="00D325A8" w:rsidRDefault="00D325A8" w:rsidP="00D325A8">
      <w:proofErr w:type="spellStart"/>
      <w:r w:rsidRPr="00D325A8">
        <w:t>Bodnar</w:t>
      </w:r>
      <w:proofErr w:type="spellEnd"/>
      <w:r w:rsidRPr="00D325A8">
        <w:t xml:space="preserve">, G.M., </w:t>
      </w:r>
      <w:proofErr w:type="spellStart"/>
      <w:r w:rsidRPr="00D325A8">
        <w:t>Hayt</w:t>
      </w:r>
      <w:proofErr w:type="spellEnd"/>
      <w:r w:rsidRPr="00D325A8">
        <w:t>, G.S. and Marston, R.C., 1998. Wharton survey of derivatives usage by US non-financial firms. Financial management, pp.104-114.</w:t>
      </w:r>
    </w:p>
    <w:p w14:paraId="00B55321" w14:textId="77777777" w:rsidR="00D325A8" w:rsidRPr="00D325A8" w:rsidRDefault="00D325A8" w:rsidP="00D325A8">
      <w:proofErr w:type="spellStart"/>
      <w:r w:rsidRPr="00D325A8">
        <w:t>Bodnar</w:t>
      </w:r>
      <w:proofErr w:type="spellEnd"/>
      <w:r w:rsidRPr="00D325A8">
        <w:t xml:space="preserve">, G.M. and </w:t>
      </w:r>
      <w:proofErr w:type="spellStart"/>
      <w:r w:rsidRPr="00D325A8">
        <w:t>Gebhardt</w:t>
      </w:r>
      <w:proofErr w:type="spellEnd"/>
      <w:r w:rsidRPr="00D325A8">
        <w:t>, G., 1999. Derivatives usage in risk management by US and German non‐financial firms: A comparative survey. Journal of international financial management &amp; accounting, 10(3), pp.153-187.</w:t>
      </w:r>
    </w:p>
    <w:p w14:paraId="4742C38C" w14:textId="77777777" w:rsidR="00D325A8" w:rsidRPr="00D325A8" w:rsidRDefault="00D325A8" w:rsidP="00D325A8">
      <w:proofErr w:type="spellStart"/>
      <w:r w:rsidRPr="00D325A8">
        <w:t>Döhring</w:t>
      </w:r>
      <w:proofErr w:type="spellEnd"/>
      <w:r w:rsidRPr="00D325A8">
        <w:t>, B., 2008. Hedging and invoicing strategies to reduce exchange rate exposure: a euro-area perspective. Economic papers, 299.</w:t>
      </w:r>
    </w:p>
    <w:p w14:paraId="6754B24B" w14:textId="77777777" w:rsidR="00D325A8" w:rsidRPr="00D325A8" w:rsidRDefault="00D325A8" w:rsidP="00D325A8">
      <w:proofErr w:type="spellStart"/>
      <w:r w:rsidRPr="00D325A8">
        <w:t>Friberg</w:t>
      </w:r>
      <w:proofErr w:type="spellEnd"/>
      <w:r w:rsidRPr="00D325A8">
        <w:t xml:space="preserve">, R. and </w:t>
      </w:r>
      <w:proofErr w:type="spellStart"/>
      <w:r w:rsidRPr="00D325A8">
        <w:t>Wilander</w:t>
      </w:r>
      <w:proofErr w:type="spellEnd"/>
      <w:r w:rsidRPr="00D325A8">
        <w:t>, F., 2008. The currency denomination of exports–A questionnaire study. Journal of International Economics, 75(1), pp.54-69.</w:t>
      </w:r>
    </w:p>
    <w:p w14:paraId="3748C3C9" w14:textId="77777777" w:rsidR="00D325A8" w:rsidRPr="00D325A8" w:rsidRDefault="00D325A8" w:rsidP="00D325A8">
      <w:r w:rsidRPr="00D325A8">
        <w:lastRenderedPageBreak/>
        <w:t>Nguyen, H. and Faff, R., 2002. On the determinants of derivative usage by Australian companies. Australian journal of management, 27(1_suppl), pp.1-24.</w:t>
      </w:r>
    </w:p>
    <w:p w14:paraId="7D8BB601" w14:textId="77777777" w:rsidR="00D325A8" w:rsidRPr="00D325A8" w:rsidRDefault="00D325A8" w:rsidP="00D325A8">
      <w:r w:rsidRPr="00D325A8">
        <w:t>Shapiro, A.C., 2014. Multinational financial management. John Wiley &amp; Sons.</w:t>
      </w:r>
    </w:p>
    <w:p w14:paraId="73D24935" w14:textId="77777777" w:rsidR="00D325A8" w:rsidRPr="00CF68D3" w:rsidRDefault="00D325A8" w:rsidP="00CF68D3"/>
    <w:p w14:paraId="654F7867" w14:textId="77777777" w:rsidR="00190908" w:rsidRDefault="00190908"/>
    <w:sectPr w:rsidR="00190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8D3"/>
    <w:rsid w:val="00190908"/>
    <w:rsid w:val="001C27D9"/>
    <w:rsid w:val="006A1034"/>
    <w:rsid w:val="0099323A"/>
    <w:rsid w:val="00A96BFD"/>
    <w:rsid w:val="00CF68D3"/>
    <w:rsid w:val="00D325A8"/>
    <w:rsid w:val="00DE1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B830C"/>
  <w15:chartTrackingRefBased/>
  <w15:docId w15:val="{D8917903-F664-4E0F-A14C-246359949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323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23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9323A"/>
    <w:pPr>
      <w:outlineLvl w:val="9"/>
    </w:pPr>
    <w:rPr>
      <w:lang w:val="en-US"/>
    </w:rPr>
  </w:style>
  <w:style w:type="paragraph" w:styleId="TOC1">
    <w:name w:val="toc 1"/>
    <w:basedOn w:val="Normal"/>
    <w:next w:val="Normal"/>
    <w:autoRedefine/>
    <w:uiPriority w:val="39"/>
    <w:unhideWhenUsed/>
    <w:rsid w:val="0099323A"/>
    <w:pPr>
      <w:spacing w:after="100"/>
    </w:pPr>
  </w:style>
  <w:style w:type="character" w:styleId="Hyperlink">
    <w:name w:val="Hyperlink"/>
    <w:basedOn w:val="DefaultParagraphFont"/>
    <w:uiPriority w:val="99"/>
    <w:unhideWhenUsed/>
    <w:rsid w:val="009932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649623">
      <w:bodyDiv w:val="1"/>
      <w:marLeft w:val="0"/>
      <w:marRight w:val="0"/>
      <w:marTop w:val="0"/>
      <w:marBottom w:val="0"/>
      <w:divBdr>
        <w:top w:val="none" w:sz="0" w:space="0" w:color="auto"/>
        <w:left w:val="none" w:sz="0" w:space="0" w:color="auto"/>
        <w:bottom w:val="none" w:sz="0" w:space="0" w:color="auto"/>
        <w:right w:val="none" w:sz="0" w:space="0" w:color="auto"/>
      </w:divBdr>
    </w:div>
    <w:div w:id="328869024">
      <w:bodyDiv w:val="1"/>
      <w:marLeft w:val="0"/>
      <w:marRight w:val="0"/>
      <w:marTop w:val="0"/>
      <w:marBottom w:val="0"/>
      <w:divBdr>
        <w:top w:val="none" w:sz="0" w:space="0" w:color="auto"/>
        <w:left w:val="none" w:sz="0" w:space="0" w:color="auto"/>
        <w:bottom w:val="none" w:sz="0" w:space="0" w:color="auto"/>
        <w:right w:val="none" w:sz="0" w:space="0" w:color="auto"/>
      </w:divBdr>
    </w:div>
    <w:div w:id="389689727">
      <w:bodyDiv w:val="1"/>
      <w:marLeft w:val="0"/>
      <w:marRight w:val="0"/>
      <w:marTop w:val="0"/>
      <w:marBottom w:val="0"/>
      <w:divBdr>
        <w:top w:val="none" w:sz="0" w:space="0" w:color="auto"/>
        <w:left w:val="none" w:sz="0" w:space="0" w:color="auto"/>
        <w:bottom w:val="none" w:sz="0" w:space="0" w:color="auto"/>
        <w:right w:val="none" w:sz="0" w:space="0" w:color="auto"/>
      </w:divBdr>
    </w:div>
    <w:div w:id="727798188">
      <w:bodyDiv w:val="1"/>
      <w:marLeft w:val="0"/>
      <w:marRight w:val="0"/>
      <w:marTop w:val="0"/>
      <w:marBottom w:val="0"/>
      <w:divBdr>
        <w:top w:val="none" w:sz="0" w:space="0" w:color="auto"/>
        <w:left w:val="none" w:sz="0" w:space="0" w:color="auto"/>
        <w:bottom w:val="none" w:sz="0" w:space="0" w:color="auto"/>
        <w:right w:val="none" w:sz="0" w:space="0" w:color="auto"/>
      </w:divBdr>
    </w:div>
    <w:div w:id="1369332185">
      <w:bodyDiv w:val="1"/>
      <w:marLeft w:val="0"/>
      <w:marRight w:val="0"/>
      <w:marTop w:val="0"/>
      <w:marBottom w:val="0"/>
      <w:divBdr>
        <w:top w:val="none" w:sz="0" w:space="0" w:color="auto"/>
        <w:left w:val="none" w:sz="0" w:space="0" w:color="auto"/>
        <w:bottom w:val="none" w:sz="0" w:space="0" w:color="auto"/>
        <w:right w:val="none" w:sz="0" w:space="0" w:color="auto"/>
      </w:divBdr>
    </w:div>
    <w:div w:id="163159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A5C51-C715-49E1-A5BD-EF191DCB6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2166</Words>
  <Characters>12349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Boy</dc:creator>
  <cp:keywords/>
  <dc:description/>
  <cp:lastModifiedBy>MSI</cp:lastModifiedBy>
  <cp:revision>4</cp:revision>
  <dcterms:created xsi:type="dcterms:W3CDTF">2023-12-21T17:06:00Z</dcterms:created>
  <dcterms:modified xsi:type="dcterms:W3CDTF">2023-12-21T17:49:00Z</dcterms:modified>
</cp:coreProperties>
</file>