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D5099"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ECAD5010 Researching the learning: what, how and why am I teaching?</w:t>
      </w:r>
    </w:p>
    <w:p w14:paraId="24F9CA29" w14:textId="77777777" w:rsidR="00784953" w:rsidRPr="00DD4D8E" w:rsidRDefault="00784953" w:rsidP="00DD4D8E">
      <w:pPr>
        <w:pStyle w:val="p1"/>
        <w:spacing w:line="360" w:lineRule="auto"/>
        <w:jc w:val="both"/>
        <w:rPr>
          <w:rStyle w:val="s1"/>
          <w:rFonts w:ascii="Arial" w:hAnsi="Arial" w:cs="Arial"/>
          <w:sz w:val="22"/>
          <w:szCs w:val="22"/>
        </w:rPr>
      </w:pPr>
    </w:p>
    <w:p w14:paraId="1DCD52CD"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Design and conduct a small-scale research study, and critically evaluate the impact of chosen research tools and data/findings on the learner and on your professional practice.</w:t>
      </w:r>
    </w:p>
    <w:p w14:paraId="68EE3605" w14:textId="77777777" w:rsidR="00784953" w:rsidRPr="00DD4D8E" w:rsidRDefault="00784953" w:rsidP="00DD4D8E">
      <w:pPr>
        <w:pStyle w:val="p1"/>
        <w:spacing w:line="360" w:lineRule="auto"/>
        <w:jc w:val="both"/>
        <w:rPr>
          <w:rStyle w:val="s1"/>
          <w:rFonts w:ascii="Arial" w:hAnsi="Arial" w:cs="Arial"/>
          <w:sz w:val="22"/>
          <w:szCs w:val="22"/>
        </w:rPr>
      </w:pPr>
    </w:p>
    <w:p w14:paraId="159B5CD3" w14:textId="125C2D9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The aim of this study revolves around the question ‘What are staff perceptions of peer and self-</w:t>
      </w:r>
      <w:r w:rsidR="003B5AD8" w:rsidRPr="00DD4D8E">
        <w:rPr>
          <w:rStyle w:val="s1"/>
          <w:rFonts w:ascii="Arial" w:hAnsi="Arial" w:cs="Arial"/>
          <w:sz w:val="22"/>
          <w:szCs w:val="22"/>
        </w:rPr>
        <w:t>assessment?</w:t>
      </w:r>
      <w:r w:rsidRPr="00DD4D8E">
        <w:rPr>
          <w:rStyle w:val="s1"/>
          <w:rFonts w:ascii="Arial" w:hAnsi="Arial" w:cs="Arial"/>
          <w:sz w:val="22"/>
          <w:szCs w:val="22"/>
        </w:rPr>
        <w:t>’ This research question was chosen to increase my professional knowledge and understanding of peer and self-assessment. This research study also included interviewing pupils to explore their experiences and uses of peer and self-assessment. The QTS standards in Wales endorse this research study because it shows a growing level of assurance in one's comprehension of the theories and research on pedagogy, assessment, and the development and learning of children and adolescents that are important to planning and daily practice (Hwb Wales).  It is essential to view assessment as an integrated component of both learning and teaching. According to Berry and Rita (2008), assessment is viewed as a process that describes student learning, determines each student's place in their individual learning progression, diagnoses any learning challenges students may be experiencing, and gives guidance to both the teacher and the student on how to improve learning. Assessment is used widely in classrooms across Wales. Assessment for learning is known as formative assessment. Formative assessment is beneficial because it enables the individual to evaluate their current performance and to revise, tweak, and alter their initial strategic plans as they approach the finished result (Clarke, 2005). The specific Assessment for Learning strategy this study focuses on is peer and self-assessment.  Peer assessment involves students reflecting on their peers' work in light of learning objectives and success criteria, as well as providing constructive comments. When students evaluate themselves, they take into account their work, identify areas that need improvement, and adjust the overall "quality" of their work. They also apply success criteria that are connected to a learning aim. The Mosaic Approach (Clark, 2005) was chosen as the study design, and questionnaires and interviews were used as data collection tools.</w:t>
      </w:r>
    </w:p>
    <w:p w14:paraId="0444B990" w14:textId="77777777" w:rsidR="00784953" w:rsidRPr="00DD4D8E" w:rsidRDefault="00784953" w:rsidP="00DD4D8E">
      <w:pPr>
        <w:pStyle w:val="p1"/>
        <w:spacing w:line="360" w:lineRule="auto"/>
        <w:jc w:val="both"/>
        <w:rPr>
          <w:rStyle w:val="s1"/>
          <w:rFonts w:ascii="Arial" w:hAnsi="Arial" w:cs="Arial"/>
          <w:sz w:val="22"/>
          <w:szCs w:val="22"/>
        </w:rPr>
      </w:pPr>
    </w:p>
    <w:p w14:paraId="5B8F718C"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Teachers have been utilising assessment for learning to help students perform better in the classroom. Assessment for learning (AfL) is a teaching approach that gives students feedback they can use to improve their performance. Data collection and analysis is the process that helps teachers and students figure out where they are in their learning, where they need to go, and how best to get there. Many schools in Wales already have </w:t>
      </w:r>
      <w:bookmarkStart w:id="0" w:name="_Int_NbW3jErk"/>
      <w:r w:rsidRPr="00DD4D8E">
        <w:rPr>
          <w:rStyle w:val="s1"/>
          <w:rFonts w:ascii="Arial" w:hAnsi="Arial" w:cs="Arial"/>
          <w:sz w:val="22"/>
          <w:szCs w:val="22"/>
        </w:rPr>
        <w:t>a strong foundation</w:t>
      </w:r>
      <w:bookmarkEnd w:id="0"/>
      <w:r w:rsidRPr="00DD4D8E">
        <w:rPr>
          <w:rStyle w:val="s1"/>
          <w:rFonts w:ascii="Arial" w:hAnsi="Arial" w:cs="Arial"/>
          <w:sz w:val="22"/>
          <w:szCs w:val="22"/>
        </w:rPr>
        <w:t xml:space="preserve"> of excellent AfL practice.  When given clear learning objectives to strive towards and constructive feedback on their progress, students become important participants in their own learning and </w:t>
      </w:r>
      <w:bookmarkStart w:id="1" w:name="_Int_1Q94zK1w"/>
      <w:r w:rsidRPr="00DD4D8E">
        <w:rPr>
          <w:rStyle w:val="s1"/>
          <w:rFonts w:ascii="Arial" w:hAnsi="Arial" w:cs="Arial"/>
          <w:sz w:val="22"/>
          <w:szCs w:val="22"/>
        </w:rPr>
        <w:t>are able to</w:t>
      </w:r>
      <w:bookmarkEnd w:id="1"/>
      <w:r w:rsidRPr="00DD4D8E">
        <w:rPr>
          <w:rStyle w:val="s1"/>
          <w:rFonts w:ascii="Arial" w:hAnsi="Arial" w:cs="Arial"/>
          <w:sz w:val="22"/>
          <w:szCs w:val="22"/>
        </w:rPr>
        <w:t xml:space="preserve"> accept greater responsibility for it. An essential part of teaching and learning is </w:t>
      </w:r>
      <w:r w:rsidRPr="00DD4D8E">
        <w:rPr>
          <w:rStyle w:val="s1"/>
          <w:rFonts w:ascii="Arial" w:hAnsi="Arial" w:cs="Arial"/>
          <w:sz w:val="22"/>
          <w:szCs w:val="22"/>
        </w:rPr>
        <w:lastRenderedPageBreak/>
        <w:t>assessment, which is carried out to support learning. To obtain an in-depth understanding of their students' learning preferences, teachers utilise an extensive range of evaluation techniques and tasks in the assessment for learning classroom. There are 4 main elements of AfL. In this research study, I will be focusing on peer and self-assessment.</w:t>
      </w:r>
    </w:p>
    <w:p w14:paraId="2903F675" w14:textId="77777777" w:rsidR="00784953" w:rsidRPr="00DD4D8E" w:rsidRDefault="00784953" w:rsidP="00DD4D8E">
      <w:pPr>
        <w:pStyle w:val="p1"/>
        <w:spacing w:line="360" w:lineRule="auto"/>
        <w:jc w:val="both"/>
        <w:rPr>
          <w:rStyle w:val="s1"/>
          <w:rFonts w:ascii="Arial" w:hAnsi="Arial" w:cs="Arial"/>
          <w:sz w:val="22"/>
          <w:szCs w:val="22"/>
        </w:rPr>
      </w:pPr>
    </w:p>
    <w:p w14:paraId="18129DE1" w14:textId="50E08CC5"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Students monitor, analyse, and discover ways to enhance their own learning through the process of self-assessment. According to Black (2003), A goal for learning is </w:t>
      </w:r>
      <w:bookmarkStart w:id="2" w:name="_Int_vQiwQeMu"/>
      <w:r w:rsidRPr="00DD4D8E">
        <w:rPr>
          <w:rStyle w:val="s1"/>
          <w:rFonts w:ascii="Arial" w:hAnsi="Arial" w:cs="Arial"/>
          <w:sz w:val="22"/>
          <w:szCs w:val="22"/>
        </w:rPr>
        <w:t>very hard</w:t>
      </w:r>
      <w:bookmarkEnd w:id="2"/>
      <w:r w:rsidRPr="00DD4D8E">
        <w:rPr>
          <w:rStyle w:val="s1"/>
          <w:rFonts w:ascii="Arial" w:hAnsi="Arial" w:cs="Arial"/>
          <w:sz w:val="22"/>
          <w:szCs w:val="22"/>
        </w:rPr>
        <w:t xml:space="preserve"> for pupils to accomplish unless they know what they need to do and can evaluate how to get there. For this reason, learning requires self-evaluation. Getting pupils to think about their work in terms of a set of goals is the first and most challenging challenge, according to those who have tried to build self-assessment skills. It is critical that children practise self-evaluation on a regular basis so that thinking, success-oriented pride, adjustment, and improvement become natural aspects of the learning process</w:t>
      </w:r>
      <w:r w:rsidR="001E02DD">
        <w:rPr>
          <w:rStyle w:val="s1"/>
          <w:rFonts w:ascii="Arial" w:hAnsi="Arial" w:cs="Arial"/>
          <w:sz w:val="22"/>
          <w:szCs w:val="22"/>
        </w:rPr>
        <w:t xml:space="preserve"> (Black, 2003).</w:t>
      </w:r>
      <w:r w:rsidRPr="00DD4D8E">
        <w:rPr>
          <w:rStyle w:val="s1"/>
          <w:rFonts w:ascii="Arial" w:hAnsi="Arial" w:cs="Arial"/>
          <w:sz w:val="22"/>
          <w:szCs w:val="22"/>
        </w:rPr>
        <w:t xml:space="preserve"> Self-evaluation promotes self-awareness by identifying strengths and areas for development and aiding in a deeper knowledge of oneself. It fosters personal growth by encouraging people to advance their knowledge and abilities. It is a great tool for goal setting since it makes it obvious where one is and where they need to go. It encourages active involvement and engagement in the learning process and cultivates a sense of ownership over one's education. It also improves the ability to make decisions. Self-evaluation helps people improve their decision-making abilities and gain more confidence in their decisions. However, self-assessment may be seen as a negative. Self-assessments can take a lot of time since they call for careful consideration and evaluation of one's own work</w:t>
      </w:r>
      <w:r w:rsidR="009A3D94">
        <w:rPr>
          <w:rStyle w:val="s1"/>
          <w:rFonts w:ascii="Arial" w:hAnsi="Arial" w:cs="Arial"/>
          <w:sz w:val="22"/>
          <w:szCs w:val="22"/>
        </w:rPr>
        <w:t xml:space="preserve"> (NSW Government, 2024). </w:t>
      </w:r>
      <w:r w:rsidRPr="00DD4D8E">
        <w:rPr>
          <w:rStyle w:val="s1"/>
          <w:rFonts w:ascii="Arial" w:hAnsi="Arial" w:cs="Arial"/>
          <w:sz w:val="22"/>
          <w:szCs w:val="22"/>
        </w:rPr>
        <w:t xml:space="preserve">People may overestimate or underestimate their talents; therefore, assessments may not be totally accurate. A great degree of self-control is required to honestly assess one's own advantages and disadvantages. It is hard to evaluate oneself objectively, which might provide biassed findings. Stress and worry may arise from the procedure, particularly in those who are </w:t>
      </w:r>
      <w:bookmarkStart w:id="3" w:name="_Int_cb7B23HZ"/>
      <w:r w:rsidRPr="00DD4D8E">
        <w:rPr>
          <w:rStyle w:val="s1"/>
          <w:rFonts w:ascii="Arial" w:hAnsi="Arial" w:cs="Arial"/>
          <w:sz w:val="22"/>
          <w:szCs w:val="22"/>
        </w:rPr>
        <w:t>very critical</w:t>
      </w:r>
      <w:bookmarkEnd w:id="3"/>
      <w:r w:rsidRPr="00DD4D8E">
        <w:rPr>
          <w:rStyle w:val="s1"/>
          <w:rFonts w:ascii="Arial" w:hAnsi="Arial" w:cs="Arial"/>
          <w:sz w:val="22"/>
          <w:szCs w:val="22"/>
        </w:rPr>
        <w:t xml:space="preserve"> of themselves or who are afraid of receiving negative feedback. In effective formative assessment, students' ability to evaluate their own work is more than just a bonus. At the learning stage, assessment is essential to the development of sophisticated understanding through self-reflective mental habits. </w:t>
      </w:r>
    </w:p>
    <w:p w14:paraId="1D3F7D22" w14:textId="77777777" w:rsidR="00784953" w:rsidRPr="00DD4D8E" w:rsidRDefault="00784953" w:rsidP="00DD4D8E">
      <w:pPr>
        <w:pStyle w:val="p1"/>
        <w:spacing w:line="360" w:lineRule="auto"/>
        <w:jc w:val="both"/>
        <w:rPr>
          <w:rStyle w:val="s1"/>
          <w:rFonts w:ascii="Arial" w:hAnsi="Arial" w:cs="Arial"/>
          <w:sz w:val="22"/>
          <w:szCs w:val="22"/>
        </w:rPr>
      </w:pPr>
    </w:p>
    <w:p w14:paraId="27B04444" w14:textId="1C181D96"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Peer review, sometimes referred to as peer evaluation, provides students with an organized way to assess and discuss one other's work. It equips students with the skills they'll need for the rest of their life to assess and critique others. They can assess and enhance their own work with its assistance. Peer review may be beneficial for students who are given the freedom to direct and control their own education. To assist students in acquiring lifelong assessment skills, teach them to assess and offer constructive feedback to others. Peer evaluation has the </w:t>
      </w:r>
      <w:r w:rsidRPr="00DD4D8E">
        <w:rPr>
          <w:rStyle w:val="s1"/>
          <w:rFonts w:ascii="Arial" w:hAnsi="Arial" w:cs="Arial"/>
          <w:sz w:val="22"/>
          <w:szCs w:val="22"/>
        </w:rPr>
        <w:lastRenderedPageBreak/>
        <w:t>potential to enhance student learning by promoting the sharing of ideas and information. Additionally, it could inspire students to engage with the course material more thoroughly. (Double, 2019) However, there are considerations to take in with peer assessment</w:t>
      </w:r>
      <w:bookmarkStart w:id="4" w:name="_Int_rEudga7U"/>
      <w:r w:rsidRPr="00DD4D8E">
        <w:rPr>
          <w:rStyle w:val="s1"/>
          <w:rFonts w:ascii="Arial" w:hAnsi="Arial" w:cs="Arial"/>
          <w:sz w:val="22"/>
          <w:szCs w:val="22"/>
        </w:rPr>
        <w:t xml:space="preserve">.  </w:t>
      </w:r>
      <w:bookmarkEnd w:id="4"/>
      <w:r w:rsidRPr="00DD4D8E">
        <w:rPr>
          <w:rStyle w:val="s1"/>
          <w:rFonts w:ascii="Arial" w:hAnsi="Arial" w:cs="Arial"/>
          <w:sz w:val="22"/>
          <w:szCs w:val="22"/>
        </w:rPr>
        <w:t xml:space="preserve">Students could underestimate its importance for their learning and not take it seriously if it has no bearing on their final mark. Pupils may be reluctant to give constructive criticism to their classmates because they do not think the input is objective enough (McGrane, 2019). A lot of pupils do not believe they possess the knowledge required to comment on their classmates' work. Alternatively, they can believe that the teachers "expert" view is more important than a peer's. Peer evaluation may sabotage the collaborative spirit that is promoted by group work if it is not done appropriately, as it puts people in competition with one another for higher marks. Peer assessment may result in inappropriate remarks or behavioural issues. </w:t>
      </w:r>
      <w:bookmarkStart w:id="5" w:name="_Int_fg2tIE5g"/>
      <w:r w:rsidRPr="00DD4D8E">
        <w:rPr>
          <w:rStyle w:val="s1"/>
          <w:rFonts w:ascii="Arial" w:hAnsi="Arial" w:cs="Arial"/>
          <w:sz w:val="22"/>
          <w:szCs w:val="22"/>
        </w:rPr>
        <w:t>In order to</w:t>
      </w:r>
      <w:bookmarkEnd w:id="5"/>
      <w:r w:rsidRPr="00DD4D8E">
        <w:rPr>
          <w:rStyle w:val="s1"/>
          <w:rFonts w:ascii="Arial" w:hAnsi="Arial" w:cs="Arial"/>
          <w:sz w:val="22"/>
          <w:szCs w:val="22"/>
        </w:rPr>
        <w:t xml:space="preserve"> avoid unfavourable encounters, teachers must supervise and direct the process. Some students could experience anxiety when evaluating the work of their peers. Peer evaluation efficacy may be limited by a fear of being judged or making mistakes (Hopfenbeck, 2019). Peer evaluation is superior to both teacher and no assessment, and it has an impact that is not significantly different from self-assessment. </w:t>
      </w:r>
    </w:p>
    <w:p w14:paraId="3037A00C" w14:textId="77777777" w:rsidR="00784953" w:rsidRPr="00DD4D8E" w:rsidRDefault="00784953" w:rsidP="00DD4D8E">
      <w:pPr>
        <w:pStyle w:val="p1"/>
        <w:spacing w:line="360" w:lineRule="auto"/>
        <w:jc w:val="both"/>
        <w:rPr>
          <w:rStyle w:val="s1"/>
          <w:rFonts w:ascii="Arial" w:hAnsi="Arial" w:cs="Arial"/>
          <w:sz w:val="22"/>
          <w:szCs w:val="22"/>
        </w:rPr>
      </w:pPr>
    </w:p>
    <w:p w14:paraId="6103C0CD" w14:textId="697320C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Traditional data collection techniques may not be the best choice for classroom research, particularly when working with young children. Interviews can be difficult for children to express themselves in, or they can seem too long and unpleasant to them. For these reasons, Peter Moss and Alison Clark developed the unique Mosaic Method, a technique for working with children in research. </w:t>
      </w:r>
      <w:r w:rsidR="00E804AE" w:rsidRPr="00DD4D8E">
        <w:rPr>
          <w:rStyle w:val="s1"/>
          <w:rFonts w:ascii="Arial" w:hAnsi="Arial" w:cs="Arial"/>
          <w:sz w:val="22"/>
          <w:szCs w:val="22"/>
        </w:rPr>
        <w:t xml:space="preserve">The foundation of the Mosaic approach is the idea that researchers employ a range of techniques to collect data. Clark and Moss refer to this as "individual tiles". The next stage is for the researcher to put these individual tiles together to make a larger image, in the same way that many little tiles can be put together to make a larger mosaic (Clark and Moss, 2011). </w:t>
      </w:r>
      <w:r w:rsidRPr="00DD4D8E">
        <w:rPr>
          <w:rStyle w:val="s1"/>
          <w:rFonts w:ascii="Arial" w:hAnsi="Arial" w:cs="Arial"/>
          <w:sz w:val="22"/>
          <w:szCs w:val="22"/>
        </w:rPr>
        <w:t>It combines a variety of techniques and resources that can be applied in concert to comprehend how children perceive and interact with their environments. This method may be criticised for not being scientific enough, which would prevent the data from being properly generalised. But this method has importance that cannot be overlooked because it provides insights into people's lives that traditional and more "scientific" methods are unable to provide (Clark and Moss, 2011).</w:t>
      </w:r>
    </w:p>
    <w:p w14:paraId="68086D82" w14:textId="77777777" w:rsidR="00784953" w:rsidRPr="00DD4D8E" w:rsidRDefault="00784953" w:rsidP="00DD4D8E">
      <w:pPr>
        <w:pStyle w:val="p2"/>
        <w:spacing w:line="360" w:lineRule="auto"/>
        <w:jc w:val="both"/>
        <w:rPr>
          <w:rFonts w:ascii="Arial" w:hAnsi="Arial" w:cs="Arial"/>
          <w:sz w:val="22"/>
          <w:szCs w:val="22"/>
        </w:rPr>
      </w:pPr>
    </w:p>
    <w:p w14:paraId="265E09CA" w14:textId="40522A7C"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Interviews are good to get comprehensive data from a limited number of people. They allow certain lines of inquiry or topics of interest to be investigated as they emerge and in depth </w:t>
      </w:r>
      <w:bookmarkStart w:id="6" w:name="_Int_mM2rHVnu"/>
      <w:r w:rsidRPr="00DD4D8E">
        <w:rPr>
          <w:rStyle w:val="s1"/>
          <w:rFonts w:ascii="Arial" w:hAnsi="Arial" w:cs="Arial"/>
          <w:sz w:val="22"/>
          <w:szCs w:val="22"/>
        </w:rPr>
        <w:t>in order to</w:t>
      </w:r>
      <w:bookmarkEnd w:id="6"/>
      <w:r w:rsidRPr="00DD4D8E">
        <w:rPr>
          <w:rStyle w:val="s1"/>
          <w:rFonts w:ascii="Arial" w:hAnsi="Arial" w:cs="Arial"/>
          <w:sz w:val="22"/>
          <w:szCs w:val="22"/>
        </w:rPr>
        <w:t xml:space="preserve"> investigate the nature of expressed views, opinions, perceptions, attitudes, preferences, and behaviours. They also retain a respectable degree of uniformity while achieving a comparatively high degree of interpersonal engagement. Interviews are a </w:t>
      </w:r>
      <w:bookmarkStart w:id="7" w:name="_Int_j8c5h8Bq"/>
      <w:r w:rsidRPr="00DD4D8E">
        <w:rPr>
          <w:rStyle w:val="s1"/>
          <w:rFonts w:ascii="Arial" w:hAnsi="Arial" w:cs="Arial"/>
          <w:sz w:val="22"/>
          <w:szCs w:val="22"/>
        </w:rPr>
        <w:t xml:space="preserve">really </w:t>
      </w:r>
      <w:r w:rsidRPr="00DD4D8E">
        <w:rPr>
          <w:rStyle w:val="s1"/>
          <w:rFonts w:ascii="Arial" w:hAnsi="Arial" w:cs="Arial"/>
          <w:sz w:val="22"/>
          <w:szCs w:val="22"/>
        </w:rPr>
        <w:lastRenderedPageBreak/>
        <w:t>good</w:t>
      </w:r>
      <w:bookmarkEnd w:id="7"/>
      <w:r w:rsidRPr="00DD4D8E">
        <w:rPr>
          <w:rStyle w:val="s1"/>
          <w:rFonts w:ascii="Arial" w:hAnsi="Arial" w:cs="Arial"/>
          <w:sz w:val="22"/>
          <w:szCs w:val="22"/>
        </w:rPr>
        <w:t xml:space="preserve"> form of collecting qualitative data.</w:t>
      </w:r>
      <w:r w:rsidRPr="00DD4D8E">
        <w:rPr>
          <w:rStyle w:val="apple-converted-space"/>
          <w:rFonts w:ascii="Arial" w:hAnsi="Arial" w:cs="Arial"/>
          <w:sz w:val="22"/>
          <w:szCs w:val="22"/>
        </w:rPr>
        <w:t xml:space="preserve">  </w:t>
      </w:r>
      <w:r w:rsidR="00E804AE" w:rsidRPr="00DD4D8E">
        <w:rPr>
          <w:rStyle w:val="s1"/>
          <w:rFonts w:ascii="Arial" w:hAnsi="Arial" w:cs="Arial"/>
          <w:sz w:val="22"/>
          <w:szCs w:val="22"/>
        </w:rPr>
        <w:t xml:space="preserve">Qualitative data is non-numerical information found in audio-visual recordings, pictures, open-ended survey questions, transcripts of in-depth interviews, and so on. </w:t>
      </w:r>
      <w:r w:rsidRPr="00DD4D8E">
        <w:rPr>
          <w:rStyle w:val="s1"/>
          <w:rFonts w:ascii="Arial" w:hAnsi="Arial" w:cs="Arial"/>
          <w:sz w:val="22"/>
          <w:szCs w:val="22"/>
        </w:rPr>
        <w:t xml:space="preserve">(Leavy, 2020). Across all fields, qualitative research methods can be applied to examine a broad range of subjects. Qualitative interviews depend on the respondents' capacity to recollect truthfully and precisely any information regarding their lives, situations, beliefs, attitudes, or actions that is under research. The type of interview this study conducted was a semi- structured interview. </w:t>
      </w:r>
      <w:r w:rsidR="00E804AE" w:rsidRPr="00DD4D8E">
        <w:rPr>
          <w:rStyle w:val="s1"/>
          <w:rFonts w:ascii="Arial" w:hAnsi="Arial" w:cs="Arial"/>
          <w:sz w:val="22"/>
          <w:szCs w:val="22"/>
        </w:rPr>
        <w:t xml:space="preserve">A semi-structured interview involves asking participants a series of open-ended questions and probing further into their responses and the subject matter of interest (Dejonckheere and Vaughn, 2019).  Semi-structured interviews in qualitative research combine aspects of unstructured and structured interviews; some questions are predefined, while others are not. </w:t>
      </w:r>
      <w:r w:rsidRPr="00DD4D8E">
        <w:rPr>
          <w:rStyle w:val="s1"/>
          <w:rFonts w:ascii="Arial" w:hAnsi="Arial" w:cs="Arial"/>
          <w:sz w:val="22"/>
          <w:szCs w:val="22"/>
        </w:rPr>
        <w:t xml:space="preserve">Semi structured interviews are a useful tool for getting participants to provide open-ended information. Interviews that are semi-structured have certain drawbacks. </w:t>
      </w:r>
      <w:r w:rsidR="00E804AE" w:rsidRPr="00DD4D8E">
        <w:rPr>
          <w:rStyle w:val="s1"/>
          <w:rFonts w:ascii="Arial" w:hAnsi="Arial" w:cs="Arial"/>
          <w:sz w:val="22"/>
          <w:szCs w:val="22"/>
        </w:rPr>
        <w:t xml:space="preserve">According to popular assumption, conducting, setting up and </w:t>
      </w:r>
      <w:r w:rsidR="00BB629E" w:rsidRPr="00DD4D8E">
        <w:rPr>
          <w:rStyle w:val="s1"/>
          <w:rFonts w:ascii="Arial" w:hAnsi="Arial" w:cs="Arial"/>
          <w:sz w:val="22"/>
          <w:szCs w:val="22"/>
        </w:rPr>
        <w:t>analysing</w:t>
      </w:r>
      <w:r w:rsidR="00E804AE" w:rsidRPr="00DD4D8E">
        <w:rPr>
          <w:rStyle w:val="s1"/>
          <w:rFonts w:ascii="Arial" w:hAnsi="Arial" w:cs="Arial"/>
          <w:sz w:val="22"/>
          <w:szCs w:val="22"/>
        </w:rPr>
        <w:t xml:space="preserve"> an interview is not a quick or easy process. It requires a great deal of time and effort to do everything accurately. </w:t>
      </w:r>
      <w:r w:rsidRPr="00DD4D8E">
        <w:rPr>
          <w:rStyle w:val="s1"/>
          <w:rFonts w:ascii="Arial" w:hAnsi="Arial" w:cs="Arial"/>
          <w:sz w:val="22"/>
          <w:szCs w:val="22"/>
        </w:rPr>
        <w:t xml:space="preserve">(Adams W, 2015).  In semi-structured interviews, subjectivity is quite likely to occur. </w:t>
      </w:r>
      <w:r w:rsidR="00E804AE" w:rsidRPr="00DD4D8E">
        <w:rPr>
          <w:rStyle w:val="s1"/>
          <w:rFonts w:ascii="Arial" w:hAnsi="Arial" w:cs="Arial"/>
          <w:sz w:val="22"/>
          <w:szCs w:val="22"/>
        </w:rPr>
        <w:t xml:space="preserve">The open-ended nature of this study approach may encourage the researcher to ask leading questions, which may bias the results. The validity of this study approach may be compromised by its flexibility. The further you stray from the primary issue of interest, the more challenging it becomes to compare participant responses. </w:t>
      </w:r>
      <w:r w:rsidRPr="00DD4D8E">
        <w:rPr>
          <w:rStyle w:val="s1"/>
          <w:rFonts w:ascii="Arial" w:hAnsi="Arial" w:cs="Arial"/>
          <w:sz w:val="22"/>
          <w:szCs w:val="22"/>
        </w:rPr>
        <w:t xml:space="preserve">To help with this study, pupils were interviewed. Pupils were chosen by the teacher. This links in with the Mosaic approach. </w:t>
      </w:r>
    </w:p>
    <w:p w14:paraId="00AA6400" w14:textId="77777777" w:rsidR="00784953" w:rsidRPr="00DD4D8E" w:rsidRDefault="00784953" w:rsidP="00DD4D8E">
      <w:pPr>
        <w:pStyle w:val="p1"/>
        <w:spacing w:line="360" w:lineRule="auto"/>
        <w:jc w:val="both"/>
        <w:rPr>
          <w:rStyle w:val="s1"/>
          <w:rFonts w:ascii="Arial" w:hAnsi="Arial" w:cs="Arial"/>
          <w:sz w:val="22"/>
          <w:szCs w:val="22"/>
        </w:rPr>
      </w:pPr>
    </w:p>
    <w:p w14:paraId="23CB10C5" w14:textId="1294A84D" w:rsidR="00784953" w:rsidRPr="00DD4D8E" w:rsidRDefault="00E804AE" w:rsidP="00DD4D8E">
      <w:pPr>
        <w:pStyle w:val="p1"/>
        <w:spacing w:line="360" w:lineRule="auto"/>
        <w:jc w:val="both"/>
        <w:rPr>
          <w:rStyle w:val="apple-converted-space"/>
          <w:rFonts w:ascii="Arial" w:hAnsi="Arial" w:cs="Arial"/>
          <w:sz w:val="22"/>
          <w:szCs w:val="22"/>
        </w:rPr>
      </w:pPr>
      <w:r w:rsidRPr="00DD4D8E">
        <w:rPr>
          <w:rStyle w:val="apple-converted-space"/>
          <w:rFonts w:ascii="Arial" w:hAnsi="Arial" w:cs="Arial"/>
          <w:sz w:val="22"/>
          <w:szCs w:val="22"/>
        </w:rPr>
        <w:t>A questionnaire is a list of questions or items designed to get information from respondents about their experiences, opinions, and views. Questionnaires can be used to collect quantitative and/or qualitative data.</w:t>
      </w:r>
      <w:r w:rsidR="00784953" w:rsidRPr="00DD4D8E">
        <w:rPr>
          <w:rStyle w:val="apple-converted-space"/>
          <w:rFonts w:ascii="Arial" w:hAnsi="Arial" w:cs="Arial"/>
          <w:sz w:val="22"/>
          <w:szCs w:val="22"/>
        </w:rPr>
        <w:t xml:space="preserve"> One of the many methods of gathering information from individuals is </w:t>
      </w:r>
      <w:bookmarkStart w:id="8" w:name="_Int_G5pvBCvr"/>
      <w:r w:rsidR="00784953" w:rsidRPr="00DD4D8E">
        <w:rPr>
          <w:rStyle w:val="apple-converted-space"/>
          <w:rFonts w:ascii="Arial" w:hAnsi="Arial" w:cs="Arial"/>
          <w:sz w:val="22"/>
          <w:szCs w:val="22"/>
        </w:rPr>
        <w:t>through the use of</w:t>
      </w:r>
      <w:bookmarkEnd w:id="8"/>
      <w:r w:rsidR="00784953" w:rsidRPr="00DD4D8E">
        <w:rPr>
          <w:rStyle w:val="apple-converted-space"/>
          <w:rFonts w:ascii="Arial" w:hAnsi="Arial" w:cs="Arial"/>
          <w:sz w:val="22"/>
          <w:szCs w:val="22"/>
        </w:rPr>
        <w:t xml:space="preserve"> questionnaires, which often involve asking direct or indirect questions (</w:t>
      </w:r>
      <w:r w:rsidR="00BB629E" w:rsidRPr="00DD4D8E">
        <w:rPr>
          <w:rStyle w:val="apple-converted-space"/>
          <w:rFonts w:ascii="Arial" w:hAnsi="Arial" w:cs="Arial"/>
          <w:sz w:val="22"/>
          <w:szCs w:val="22"/>
        </w:rPr>
        <w:t>McLeod</w:t>
      </w:r>
      <w:r w:rsidR="00784953" w:rsidRPr="00DD4D8E">
        <w:rPr>
          <w:rStyle w:val="apple-converted-space"/>
          <w:rFonts w:ascii="Arial" w:hAnsi="Arial" w:cs="Arial"/>
          <w:sz w:val="22"/>
          <w:szCs w:val="22"/>
        </w:rPr>
        <w:t>, 2023).</w:t>
      </w:r>
      <w:r w:rsidR="005630C6" w:rsidRPr="00DD4D8E">
        <w:rPr>
          <w:rFonts w:ascii="Arial" w:hAnsi="Arial" w:cs="Arial"/>
          <w:sz w:val="22"/>
          <w:szCs w:val="22"/>
        </w:rPr>
        <w:t xml:space="preserve"> </w:t>
      </w:r>
      <w:r w:rsidR="005630C6" w:rsidRPr="00DD4D8E">
        <w:rPr>
          <w:rStyle w:val="apple-converted-space"/>
          <w:rFonts w:ascii="Arial" w:hAnsi="Arial" w:cs="Arial"/>
          <w:sz w:val="22"/>
          <w:szCs w:val="22"/>
        </w:rPr>
        <w:t xml:space="preserve">This disadvantage results from the fact that items that permit objective response scoring, such as multiple-choice questions and short-answer questions with a limited response requirement, are frequently the ideal additions to questionnaires. Respondents typically react to these kind of survey questions as soon as they have an idea for an answer. Because of this, questionnaires usually provide simply a synopsis of an issue rather than a thorough, in-depth image. </w:t>
      </w:r>
      <w:r w:rsidR="00784953" w:rsidRPr="00DD4D8E">
        <w:rPr>
          <w:rStyle w:val="apple-converted-space"/>
          <w:rFonts w:ascii="Arial" w:hAnsi="Arial" w:cs="Arial"/>
          <w:sz w:val="22"/>
          <w:szCs w:val="22"/>
        </w:rPr>
        <w:t>(Gillham, 2007). A significant disadvantage of surveys is the possibility of social desirability influencing certain responses</w:t>
      </w:r>
      <w:r w:rsidR="005630C6" w:rsidRPr="00DD4D8E">
        <w:rPr>
          <w:rStyle w:val="apple-converted-space"/>
          <w:rFonts w:ascii="Arial" w:hAnsi="Arial" w:cs="Arial"/>
          <w:sz w:val="22"/>
          <w:szCs w:val="22"/>
        </w:rPr>
        <w:t>. In other words, people may give answers that they think are socially acceptable even if they are not totally truthful. Certain people have such a strong need for acceptability that they will still give socially acceptable answers even in the event of anonymous responses, even if anonymizing the responses may diminish the impacts of social desirability.</w:t>
      </w:r>
      <w:r w:rsidR="00784953" w:rsidRPr="00DD4D8E">
        <w:rPr>
          <w:rStyle w:val="apple-converted-space"/>
          <w:rFonts w:ascii="Arial" w:hAnsi="Arial" w:cs="Arial"/>
          <w:sz w:val="22"/>
          <w:szCs w:val="22"/>
        </w:rPr>
        <w:t xml:space="preserve"> (Patten, 2014). In a questionnaire, </w:t>
      </w:r>
      <w:r w:rsidR="00784953" w:rsidRPr="00DD4D8E">
        <w:rPr>
          <w:rStyle w:val="apple-converted-space"/>
          <w:rFonts w:ascii="Arial" w:hAnsi="Arial" w:cs="Arial"/>
          <w:sz w:val="22"/>
          <w:szCs w:val="22"/>
        </w:rPr>
        <w:lastRenderedPageBreak/>
        <w:t xml:space="preserve">it contains a mixture of open and closed </w:t>
      </w:r>
      <w:r w:rsidR="00BB629E" w:rsidRPr="00DD4D8E">
        <w:rPr>
          <w:rStyle w:val="apple-converted-space"/>
          <w:rFonts w:ascii="Arial" w:hAnsi="Arial" w:cs="Arial"/>
          <w:sz w:val="22"/>
          <w:szCs w:val="22"/>
        </w:rPr>
        <w:t>questions</w:t>
      </w:r>
      <w:r w:rsidR="00430B74">
        <w:rPr>
          <w:rStyle w:val="apple-converted-space"/>
          <w:rFonts w:ascii="Arial" w:hAnsi="Arial" w:cs="Arial"/>
          <w:sz w:val="22"/>
          <w:szCs w:val="22"/>
        </w:rPr>
        <w:t>.</w:t>
      </w:r>
      <w:r w:rsidR="00BB629E" w:rsidRPr="00DD4D8E">
        <w:rPr>
          <w:rStyle w:val="apple-converted-space"/>
          <w:rFonts w:ascii="Arial" w:hAnsi="Arial" w:cs="Arial"/>
          <w:sz w:val="22"/>
          <w:szCs w:val="22"/>
        </w:rPr>
        <w:t xml:space="preserve"> A</w:t>
      </w:r>
      <w:r w:rsidR="005630C6" w:rsidRPr="00DD4D8E">
        <w:rPr>
          <w:rStyle w:val="apple-converted-space"/>
          <w:rFonts w:ascii="Arial" w:hAnsi="Arial" w:cs="Arial"/>
          <w:sz w:val="22"/>
          <w:szCs w:val="22"/>
        </w:rPr>
        <w:t xml:space="preserve"> closed-ended question requires a specific, limited response, usually "yes" or "no," or a choice from a number of predefined categories. Open-ended questions provide for a wide range of responses without any constraints or preset options. When inquiries are left open-ended, people are free to express their thoughts on their own terms. Open-ended questions allow respondents to provide as much information as they like in their own terms.</w:t>
      </w:r>
      <w:r w:rsidR="00784953" w:rsidRPr="00DD4D8E">
        <w:rPr>
          <w:rStyle w:val="apple-converted-space"/>
          <w:rFonts w:ascii="Arial" w:hAnsi="Arial" w:cs="Arial"/>
          <w:sz w:val="22"/>
          <w:szCs w:val="22"/>
        </w:rPr>
        <w:t xml:space="preserve"> I used a mixture of both open and closed questions to get a more valid response from my questionnaire. </w:t>
      </w:r>
    </w:p>
    <w:p w14:paraId="404F14F5" w14:textId="77777777" w:rsidR="00784953" w:rsidRPr="00DD4D8E" w:rsidRDefault="00784953" w:rsidP="00DD4D8E">
      <w:pPr>
        <w:pStyle w:val="p1"/>
        <w:spacing w:line="360" w:lineRule="auto"/>
        <w:jc w:val="both"/>
        <w:rPr>
          <w:rStyle w:val="apple-converted-space"/>
          <w:rFonts w:ascii="Arial" w:hAnsi="Arial" w:cs="Arial"/>
          <w:sz w:val="22"/>
          <w:szCs w:val="22"/>
        </w:rPr>
      </w:pPr>
    </w:p>
    <w:p w14:paraId="34E3D39C" w14:textId="77777777" w:rsidR="00784953" w:rsidRPr="00DD4D8E" w:rsidRDefault="00784953" w:rsidP="00DD4D8E">
      <w:pPr>
        <w:pStyle w:val="p1"/>
        <w:spacing w:line="360" w:lineRule="auto"/>
        <w:jc w:val="both"/>
        <w:rPr>
          <w:rFonts w:ascii="Arial" w:hAnsi="Arial" w:cs="Arial"/>
          <w:sz w:val="22"/>
          <w:szCs w:val="22"/>
        </w:rPr>
      </w:pPr>
      <w:r w:rsidRPr="00DD4D8E">
        <w:rPr>
          <w:rStyle w:val="apple-converted-space"/>
          <w:rFonts w:ascii="Arial" w:hAnsi="Arial" w:cs="Arial"/>
          <w:sz w:val="22"/>
          <w:szCs w:val="22"/>
        </w:rPr>
        <w:t xml:space="preserve">However, there is </w:t>
      </w:r>
      <w:bookmarkStart w:id="9" w:name="_Int_AwkldomK"/>
      <w:r w:rsidRPr="00DD4D8E">
        <w:rPr>
          <w:rStyle w:val="apple-converted-space"/>
          <w:rFonts w:ascii="Arial" w:hAnsi="Arial" w:cs="Arial"/>
          <w:sz w:val="22"/>
          <w:szCs w:val="22"/>
        </w:rPr>
        <w:t>a very important</w:t>
      </w:r>
      <w:bookmarkEnd w:id="9"/>
      <w:r w:rsidRPr="00DD4D8E">
        <w:rPr>
          <w:rStyle w:val="apple-converted-space"/>
          <w:rFonts w:ascii="Arial" w:hAnsi="Arial" w:cs="Arial"/>
          <w:sz w:val="22"/>
          <w:szCs w:val="22"/>
        </w:rPr>
        <w:t xml:space="preserve"> thing to consider when conducting research; ethics. The codes of conduct that direct researchers in their work are known as research ethics. Professional associations, funding organisations, and institutions set them. They seek to safeguard both the integrity of the research itself and the participants' well-being. According to the British Educational Research Association (BERA, 2018), educational researchers should conduct their work with a respect for all those involved in or impacted by the research they are conducting, including themselves. People should be treated with fairness, considerately, with dignity, and free from discrimination. An example of ethical principles in research includes </w:t>
      </w:r>
      <w:r w:rsidRPr="00DD4D8E">
        <w:rPr>
          <w:rFonts w:ascii="Arial" w:hAnsi="Arial" w:cs="Arial"/>
          <w:sz w:val="22"/>
          <w:szCs w:val="22"/>
        </w:rPr>
        <w:t xml:space="preserve">Voluntarism. Pupils and teachers should consent to participate in the study voluntarily and without being forced to do so. Another example is informed consent. Consent that is fully educated about the goals, procedures, dangers, and advantages of the study is required of participants. The last example is anonymity. Without consent, participants' identities should not be disclosed or associated with their data (Cuschieri, 2022). This research was completed by staff and pupils in a school that consists of around 300 pupils in South Wales.  An ethics form was completed prior to the study seen in (appendix 1). Consent forms such as letters to teachers and parents were also signed by staff and pupils' guardians prior to this study (appendix 1-5). </w:t>
      </w:r>
    </w:p>
    <w:p w14:paraId="2339C650" w14:textId="77777777" w:rsidR="00784953" w:rsidRPr="00DD4D8E" w:rsidRDefault="00784953" w:rsidP="00DD4D8E">
      <w:pPr>
        <w:pStyle w:val="p1"/>
        <w:spacing w:line="360" w:lineRule="auto"/>
        <w:jc w:val="both"/>
        <w:rPr>
          <w:rFonts w:ascii="Arial" w:hAnsi="Arial" w:cs="Arial"/>
          <w:sz w:val="22"/>
          <w:szCs w:val="22"/>
        </w:rPr>
      </w:pPr>
    </w:p>
    <w:p w14:paraId="7A79BF34" w14:textId="4B2C7681" w:rsidR="00784953" w:rsidRPr="00DD4D8E" w:rsidRDefault="00784953" w:rsidP="00DD4D8E">
      <w:pPr>
        <w:pStyle w:val="p1"/>
        <w:spacing w:line="360" w:lineRule="auto"/>
        <w:jc w:val="both"/>
        <w:rPr>
          <w:rFonts w:ascii="Arial" w:hAnsi="Arial" w:cs="Arial"/>
          <w:sz w:val="22"/>
          <w:szCs w:val="22"/>
        </w:rPr>
      </w:pPr>
      <w:r w:rsidRPr="00DD4D8E">
        <w:rPr>
          <w:rFonts w:ascii="Arial" w:hAnsi="Arial" w:cs="Arial"/>
          <w:sz w:val="22"/>
          <w:szCs w:val="22"/>
        </w:rPr>
        <w:t>The online questionnaire was sent out the day that the research was conducted. In total there was 6 responses.  As seen in question 1 and 2 (appendix 9, p22), AfL is used by all teachers. However, peer and self-assessment is used the least and was chosen last by 83% of teachers. Their reasoning for this choice was because ‘’peer and self-assessment does not have as much of an impact’’ and teachers ‘’do not use it as much as others’’. However, it is seen through the psychologist Vygotsky (1978) that peer and self-assessment is one of the most beneficial forms of AfL. (</w:t>
      </w:r>
      <w:r w:rsidR="00BB629E" w:rsidRPr="00DD4D8E">
        <w:rPr>
          <w:rFonts w:ascii="Arial" w:hAnsi="Arial" w:cs="Arial"/>
          <w:sz w:val="22"/>
          <w:szCs w:val="22"/>
        </w:rPr>
        <w:t>McLeod</w:t>
      </w:r>
      <w:r w:rsidRPr="00DD4D8E">
        <w:rPr>
          <w:rFonts w:ascii="Arial" w:hAnsi="Arial" w:cs="Arial"/>
          <w:sz w:val="22"/>
          <w:szCs w:val="22"/>
        </w:rPr>
        <w:t xml:space="preserve">, 2023). </w:t>
      </w:r>
    </w:p>
    <w:p w14:paraId="2BA92D6C" w14:textId="77777777" w:rsidR="00784953" w:rsidRPr="00DD4D8E" w:rsidRDefault="00784953" w:rsidP="00DD4D8E">
      <w:pPr>
        <w:pStyle w:val="p1"/>
        <w:spacing w:line="360" w:lineRule="auto"/>
        <w:jc w:val="both"/>
        <w:rPr>
          <w:rFonts w:ascii="Arial" w:hAnsi="Arial" w:cs="Arial"/>
          <w:sz w:val="22"/>
          <w:szCs w:val="22"/>
        </w:rPr>
      </w:pPr>
    </w:p>
    <w:p w14:paraId="144041B5" w14:textId="77777777" w:rsidR="00784953" w:rsidRPr="00DD4D8E" w:rsidRDefault="00784953" w:rsidP="00DD4D8E">
      <w:pPr>
        <w:pStyle w:val="p1"/>
        <w:spacing w:line="360" w:lineRule="auto"/>
        <w:jc w:val="both"/>
        <w:rPr>
          <w:rFonts w:ascii="Arial" w:hAnsi="Arial" w:cs="Arial"/>
          <w:sz w:val="22"/>
          <w:szCs w:val="22"/>
        </w:rPr>
      </w:pPr>
      <w:r w:rsidRPr="00DD4D8E">
        <w:rPr>
          <w:rFonts w:ascii="Arial" w:hAnsi="Arial" w:cs="Arial"/>
          <w:sz w:val="22"/>
          <w:szCs w:val="22"/>
        </w:rPr>
        <w:t xml:space="preserve">In question 4, 20% of teachers use peer and self-assessment often in their classroom whilst the other 60% of teachers use it sometimes compared to the 20% of teachers who rarely use it. (appendix 9 p23).  I interviewed a mixed year 5/6 class who also said that they do not use </w:t>
      </w:r>
      <w:r w:rsidRPr="00DD4D8E">
        <w:rPr>
          <w:rFonts w:ascii="Arial" w:hAnsi="Arial" w:cs="Arial"/>
          <w:sz w:val="22"/>
          <w:szCs w:val="22"/>
        </w:rPr>
        <w:lastRenderedPageBreak/>
        <w:t xml:space="preserve">it often. (appendix 7 p18-19 highlighted yellow). The pupils revealed that they use self-assessment more than they use peer assessment. They use self-assessment twice a week and use peer assessment twice a month. </w:t>
      </w:r>
    </w:p>
    <w:p w14:paraId="00257C72" w14:textId="77777777" w:rsidR="00784953" w:rsidRPr="00DD4D8E" w:rsidRDefault="00784953" w:rsidP="00DD4D8E">
      <w:pPr>
        <w:pStyle w:val="p1"/>
        <w:spacing w:line="360" w:lineRule="auto"/>
        <w:jc w:val="both"/>
        <w:rPr>
          <w:rFonts w:ascii="Arial" w:hAnsi="Arial" w:cs="Arial"/>
          <w:sz w:val="22"/>
          <w:szCs w:val="22"/>
        </w:rPr>
      </w:pPr>
    </w:p>
    <w:p w14:paraId="3923E407" w14:textId="77777777" w:rsidR="00784953" w:rsidRPr="00DD4D8E" w:rsidRDefault="00784953" w:rsidP="00DD4D8E">
      <w:pPr>
        <w:pStyle w:val="p1"/>
        <w:spacing w:line="360" w:lineRule="auto"/>
        <w:jc w:val="both"/>
        <w:rPr>
          <w:rFonts w:ascii="Arial" w:hAnsi="Arial" w:cs="Arial"/>
          <w:sz w:val="22"/>
          <w:szCs w:val="22"/>
        </w:rPr>
      </w:pPr>
      <w:r w:rsidRPr="00DD4D8E">
        <w:rPr>
          <w:rFonts w:ascii="Arial" w:hAnsi="Arial" w:cs="Arial"/>
          <w:sz w:val="22"/>
          <w:szCs w:val="22"/>
        </w:rPr>
        <w:t xml:space="preserve">In question 5, all teachers agreed that peer and self-assessment is helpful in aiding pupil progression. I also asked the pupils that question, and their responses showed that they agreed it helped them learn. They said it is easier and saves them time. (appendix 7 p18-19 high lightened blue). Question 6 asked the teachers for a benefit of peer and self-assessment. These benefits are </w:t>
      </w:r>
      <w:bookmarkStart w:id="10" w:name="_Int_5eIL1J37"/>
      <w:r w:rsidRPr="00DD4D8E">
        <w:rPr>
          <w:rFonts w:ascii="Arial" w:hAnsi="Arial" w:cs="Arial"/>
          <w:sz w:val="22"/>
          <w:szCs w:val="22"/>
        </w:rPr>
        <w:t>very similar</w:t>
      </w:r>
      <w:bookmarkEnd w:id="10"/>
      <w:r w:rsidRPr="00DD4D8E">
        <w:rPr>
          <w:rFonts w:ascii="Arial" w:hAnsi="Arial" w:cs="Arial"/>
          <w:sz w:val="22"/>
          <w:szCs w:val="22"/>
        </w:rPr>
        <w:t xml:space="preserve"> to the ones shown by different psychologists such as Paul Black. Question 7 stuck out a lot for me between the teachers and pupils' answers. The teachers had to list a limitation of peer and self-assessment. (appendix 9 p24).  3/5 teachers responded that the children do not understand how to mark their own or each other's work and are not experienced. The pupils had the same replies that they find it stressful and tricky as they are unsure of what they are doing. Another teacher replied that it is harder for lower ability children to assess their own and other pupil's work. This is also backed up by a year 5 pupil who said it is harder for a lower ability pupil to mark their work as their work is harder than theirs.  (appendix 7 p17-20 high lightened green). </w:t>
      </w:r>
    </w:p>
    <w:p w14:paraId="30EFA661" w14:textId="77777777" w:rsidR="00784953" w:rsidRPr="00DD4D8E" w:rsidRDefault="00784953" w:rsidP="00DD4D8E">
      <w:pPr>
        <w:pStyle w:val="p1"/>
        <w:spacing w:line="360" w:lineRule="auto"/>
        <w:jc w:val="both"/>
        <w:rPr>
          <w:rFonts w:ascii="Arial" w:hAnsi="Arial" w:cs="Arial"/>
          <w:sz w:val="22"/>
          <w:szCs w:val="22"/>
        </w:rPr>
      </w:pPr>
    </w:p>
    <w:p w14:paraId="74CEA430" w14:textId="77777777" w:rsidR="00784953" w:rsidRPr="00DD4D8E" w:rsidRDefault="00784953" w:rsidP="00DD4D8E">
      <w:pPr>
        <w:pStyle w:val="p1"/>
        <w:spacing w:line="360" w:lineRule="auto"/>
        <w:jc w:val="both"/>
        <w:rPr>
          <w:rFonts w:ascii="Arial" w:hAnsi="Arial" w:cs="Arial"/>
          <w:sz w:val="22"/>
          <w:szCs w:val="22"/>
        </w:rPr>
      </w:pPr>
      <w:r w:rsidRPr="00DD4D8E">
        <w:rPr>
          <w:rFonts w:ascii="Arial" w:hAnsi="Arial" w:cs="Arial"/>
          <w:sz w:val="22"/>
          <w:szCs w:val="22"/>
        </w:rPr>
        <w:t xml:space="preserve">Question 8 showed that 50% of teachers believe peer and self-assessment are both equally effective whereas the other 50% of teacher believe that self-assessment is more important. When I asked the pupils which they prefer they all said self-assessment. Their reasoning being that is it in general a lot easier and they can understand where they have gone wrong. </w:t>
      </w:r>
      <w:bookmarkStart w:id="11" w:name="_Int_jywKE4X1"/>
      <w:r w:rsidRPr="00DD4D8E">
        <w:rPr>
          <w:rFonts w:ascii="Arial" w:hAnsi="Arial" w:cs="Arial"/>
          <w:sz w:val="22"/>
          <w:szCs w:val="22"/>
        </w:rPr>
        <w:t>The majority of</w:t>
      </w:r>
      <w:bookmarkEnd w:id="11"/>
      <w:r w:rsidRPr="00DD4D8E">
        <w:rPr>
          <w:rFonts w:ascii="Arial" w:hAnsi="Arial" w:cs="Arial"/>
          <w:sz w:val="22"/>
          <w:szCs w:val="22"/>
        </w:rPr>
        <w:t xml:space="preserve"> pupils also noticed the fact that they find it hard to understand each other's handwriting and find it extremely difficult to peer assess and much prefer to self-assess. Further research shows that peer and self-assessment is both equally effective as peer assessment in the classroom promotes teamwork and collective learning objectives, whereas self-assessment empowers individual learners. However, a lot of pupils prefer the teacher to mark their work for them as they find it easier and prefer the feedback that the teacher gives. Question 9 asked the teachers the reasoning behind their answer the question 8. One response stuck out to me which said, ‘I find that children don't like marking each other's work, they tend to make unfair comments to each other.’ When I asked the pupils if they liked their friends marking their work, I had two pupils say that children make nasty comments about their work and make fun of them if they get an answer wrong. This is a big limitation of peer assessment. (appendix 7, p20 high lightened purple).</w:t>
      </w:r>
    </w:p>
    <w:p w14:paraId="367DB42F" w14:textId="77777777" w:rsidR="00784953" w:rsidRPr="00DD4D8E" w:rsidRDefault="00784953" w:rsidP="00DD4D8E">
      <w:pPr>
        <w:pStyle w:val="p1"/>
        <w:spacing w:line="360" w:lineRule="auto"/>
        <w:jc w:val="both"/>
        <w:rPr>
          <w:rFonts w:ascii="Arial" w:hAnsi="Arial" w:cs="Arial"/>
          <w:sz w:val="22"/>
          <w:szCs w:val="22"/>
        </w:rPr>
      </w:pPr>
    </w:p>
    <w:p w14:paraId="0F763489" w14:textId="77777777" w:rsidR="00784953" w:rsidRPr="00DD4D8E" w:rsidRDefault="00784953" w:rsidP="00DD4D8E">
      <w:pPr>
        <w:pStyle w:val="p1"/>
        <w:spacing w:line="360" w:lineRule="auto"/>
        <w:jc w:val="both"/>
        <w:rPr>
          <w:rFonts w:ascii="Arial" w:hAnsi="Arial" w:cs="Arial"/>
          <w:sz w:val="22"/>
          <w:szCs w:val="22"/>
        </w:rPr>
      </w:pPr>
      <w:r w:rsidRPr="00DD4D8E">
        <w:rPr>
          <w:rFonts w:ascii="Arial" w:hAnsi="Arial" w:cs="Arial"/>
          <w:sz w:val="22"/>
          <w:szCs w:val="22"/>
        </w:rPr>
        <w:t xml:space="preserve">The last question asked teachers if they believe that learners are confident in their understanding of peer and self-assessment, only one person said no, and the other responses </w:t>
      </w:r>
      <w:r w:rsidRPr="00DD4D8E">
        <w:rPr>
          <w:rFonts w:ascii="Arial" w:hAnsi="Arial" w:cs="Arial"/>
          <w:sz w:val="22"/>
          <w:szCs w:val="22"/>
        </w:rPr>
        <w:lastRenderedPageBreak/>
        <w:t xml:space="preserve">were </w:t>
      </w:r>
      <w:bookmarkStart w:id="12" w:name="_Int_PXtWyR66"/>
      <w:r w:rsidRPr="00DD4D8E">
        <w:rPr>
          <w:rFonts w:ascii="Arial" w:hAnsi="Arial" w:cs="Arial"/>
          <w:sz w:val="22"/>
          <w:szCs w:val="22"/>
        </w:rPr>
        <w:t>somewhat true</w:t>
      </w:r>
      <w:bookmarkEnd w:id="12"/>
      <w:r w:rsidRPr="00DD4D8E">
        <w:rPr>
          <w:rFonts w:ascii="Arial" w:hAnsi="Arial" w:cs="Arial"/>
          <w:sz w:val="22"/>
          <w:szCs w:val="22"/>
        </w:rPr>
        <w:t xml:space="preserve"> and yes. To test this, I asked the pupils if they knew what they meant. All participants were confident in answering yes and to test that further I asked them to give me examples of how they do this. It seems that they all know what peer and self-assessment is, but they could be taught how to put it into practise. </w:t>
      </w:r>
    </w:p>
    <w:p w14:paraId="44CA2DDB" w14:textId="77777777" w:rsidR="00784953" w:rsidRPr="00DD4D8E" w:rsidRDefault="00784953" w:rsidP="00DD4D8E">
      <w:pPr>
        <w:spacing w:line="360" w:lineRule="auto"/>
        <w:jc w:val="both"/>
        <w:rPr>
          <w:rFonts w:ascii="Arial" w:hAnsi="Arial" w:cs="Arial"/>
        </w:rPr>
      </w:pPr>
    </w:p>
    <w:p w14:paraId="1B4E0C58"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The aim of this research study was to investigate staff perceptions of peer and self-assessment. I did this by using online questionnaires and interviewing pupils to help my research. </w:t>
      </w:r>
      <w:bookmarkStart w:id="13" w:name="_Int_HjVUvEXI"/>
      <w:r w:rsidRPr="00DD4D8E">
        <w:rPr>
          <w:rFonts w:ascii="Arial" w:hAnsi="Arial" w:cs="Arial"/>
        </w:rPr>
        <w:t>It is clear that teachers</w:t>
      </w:r>
      <w:bookmarkEnd w:id="13"/>
      <w:r w:rsidRPr="00DD4D8E">
        <w:rPr>
          <w:rFonts w:ascii="Arial" w:hAnsi="Arial" w:cs="Arial"/>
        </w:rPr>
        <w:t xml:space="preserve"> do not use peer and self-assessment as much as they use other AfL strategies. However, there is a lot of research that backs up the idea that peer and self-assessment is hugely beneficial to pupils when assessing AfL. Peer and self-assessment are supported by a lot of theorists indicating that it is positively beneficial even if it is not used in this </w:t>
      </w:r>
      <w:bookmarkStart w:id="14" w:name="_Int_dOr6wY2y"/>
      <w:r w:rsidRPr="00DD4D8E">
        <w:rPr>
          <w:rFonts w:ascii="Arial" w:hAnsi="Arial" w:cs="Arial"/>
        </w:rPr>
        <w:t>particular school</w:t>
      </w:r>
      <w:bookmarkEnd w:id="14"/>
      <w:r w:rsidRPr="00DD4D8E">
        <w:rPr>
          <w:rFonts w:ascii="Arial" w:hAnsi="Arial" w:cs="Arial"/>
        </w:rPr>
        <w:t xml:space="preserve">. As peer and self-assessment is not used in this </w:t>
      </w:r>
      <w:bookmarkStart w:id="15" w:name="_Int_K4dOfhwO"/>
      <w:r w:rsidRPr="00DD4D8E">
        <w:rPr>
          <w:rFonts w:ascii="Arial" w:hAnsi="Arial" w:cs="Arial"/>
        </w:rPr>
        <w:t>particular school</w:t>
      </w:r>
      <w:bookmarkEnd w:id="15"/>
      <w:r w:rsidRPr="00DD4D8E">
        <w:rPr>
          <w:rFonts w:ascii="Arial" w:hAnsi="Arial" w:cs="Arial"/>
        </w:rPr>
        <w:t xml:space="preserve"> very often, next time I could investigate another form of AfL such as success criteria or feedback which the school use a lot of.</w:t>
      </w:r>
    </w:p>
    <w:p w14:paraId="1C3C4105" w14:textId="77777777" w:rsidR="00784953" w:rsidRPr="00DD4D8E" w:rsidRDefault="00784953" w:rsidP="00DD4D8E">
      <w:pPr>
        <w:spacing w:line="360" w:lineRule="auto"/>
        <w:jc w:val="both"/>
        <w:rPr>
          <w:rFonts w:ascii="Arial" w:hAnsi="Arial" w:cs="Arial"/>
        </w:rPr>
      </w:pPr>
    </w:p>
    <w:p w14:paraId="4E97275F"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Looking at the responses to my questionnaire, there were only 6 teachers who filled it out, however with the questions that asked for a written answer one of the teachers did not complete this leaving me with only five responses, therefore, to further my research, I would send out the questionnaire in plenty of time to teachers so that it gives them plenty of time to answer. As I only had 6 responses, </w:t>
      </w:r>
      <w:bookmarkStart w:id="16" w:name="_Int_WOD5BVVB"/>
      <w:r w:rsidRPr="00DD4D8E">
        <w:rPr>
          <w:rFonts w:ascii="Arial" w:hAnsi="Arial" w:cs="Arial"/>
        </w:rPr>
        <w:t>possibly next</w:t>
      </w:r>
      <w:bookmarkEnd w:id="16"/>
      <w:r w:rsidRPr="00DD4D8E">
        <w:rPr>
          <w:rFonts w:ascii="Arial" w:hAnsi="Arial" w:cs="Arial"/>
        </w:rPr>
        <w:t xml:space="preserve"> time I could send out the questionnaire to other schools in the area to aid my research to gain a wider sample to make my research more valid. The teacher had picked the pupils I was going to interview before I arrived at the school. To ensure there is no bias in the future, I could use random sampling by picking names out of lollipop sticks or using a dojo randomiser on the computer. </w:t>
      </w:r>
    </w:p>
    <w:p w14:paraId="17CE3717" w14:textId="77777777" w:rsidR="00784953" w:rsidRPr="00DD4D8E" w:rsidRDefault="00784953" w:rsidP="00DD4D8E">
      <w:pPr>
        <w:spacing w:line="360" w:lineRule="auto"/>
        <w:jc w:val="both"/>
        <w:rPr>
          <w:rFonts w:ascii="Arial" w:hAnsi="Arial" w:cs="Arial"/>
        </w:rPr>
      </w:pPr>
    </w:p>
    <w:p w14:paraId="5D241D15" w14:textId="77777777" w:rsidR="00784953" w:rsidRPr="00DD4D8E" w:rsidRDefault="00784953" w:rsidP="00DD4D8E">
      <w:pPr>
        <w:spacing w:line="360" w:lineRule="auto"/>
        <w:jc w:val="both"/>
        <w:rPr>
          <w:rFonts w:ascii="Arial" w:hAnsi="Arial" w:cs="Arial"/>
        </w:rPr>
      </w:pPr>
    </w:p>
    <w:p w14:paraId="4D7CA384" w14:textId="77777777" w:rsidR="00784953" w:rsidRPr="00DD4D8E" w:rsidRDefault="00784953" w:rsidP="00DD4D8E">
      <w:pPr>
        <w:spacing w:line="360" w:lineRule="auto"/>
        <w:jc w:val="both"/>
        <w:rPr>
          <w:rFonts w:ascii="Arial" w:hAnsi="Arial" w:cs="Arial"/>
        </w:rPr>
      </w:pPr>
      <w:r w:rsidRPr="00DD4D8E">
        <w:rPr>
          <w:rFonts w:ascii="Arial" w:hAnsi="Arial" w:cs="Arial"/>
        </w:rPr>
        <w:t>References</w:t>
      </w:r>
    </w:p>
    <w:p w14:paraId="4199E694" w14:textId="77777777" w:rsidR="00784953" w:rsidRPr="00DD4D8E" w:rsidRDefault="00784953" w:rsidP="00DD4D8E">
      <w:pPr>
        <w:spacing w:line="360" w:lineRule="auto"/>
        <w:jc w:val="both"/>
        <w:rPr>
          <w:rFonts w:ascii="Arial" w:hAnsi="Arial" w:cs="Arial"/>
        </w:rPr>
      </w:pPr>
    </w:p>
    <w:p w14:paraId="482F9D9F"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Adams, W. (2015). </w:t>
      </w:r>
      <w:hyperlink r:id="rId4">
        <w:r w:rsidRPr="00DD4D8E">
          <w:rPr>
            <w:rStyle w:val="s3"/>
            <w:rFonts w:ascii="Arial" w:hAnsi="Arial" w:cs="Arial"/>
            <w:color w:val="0000FF"/>
            <w:sz w:val="22"/>
            <w:szCs w:val="22"/>
          </w:rPr>
          <w:t>Conducting semi-structured interviews</w:t>
        </w:r>
      </w:hyperlink>
      <w:r w:rsidRPr="00DD4D8E">
        <w:rPr>
          <w:rStyle w:val="s1"/>
          <w:rFonts w:ascii="Arial" w:hAnsi="Arial" w:cs="Arial"/>
          <w:sz w:val="22"/>
          <w:szCs w:val="22"/>
        </w:rPr>
        <w:t>. ResearchGate</w:t>
      </w:r>
    </w:p>
    <w:p w14:paraId="65BEBF24" w14:textId="77777777" w:rsidR="00784953" w:rsidRPr="00DD4D8E" w:rsidRDefault="00784953" w:rsidP="00DD4D8E">
      <w:pPr>
        <w:pStyle w:val="p1"/>
        <w:spacing w:line="360" w:lineRule="auto"/>
        <w:jc w:val="both"/>
        <w:rPr>
          <w:rStyle w:val="s1"/>
          <w:rFonts w:ascii="Arial" w:hAnsi="Arial" w:cs="Arial"/>
          <w:sz w:val="22"/>
          <w:szCs w:val="22"/>
        </w:rPr>
      </w:pPr>
    </w:p>
    <w:p w14:paraId="61B7B4DF"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Advantages and disadvantages of self-assessment (2023) Aspiring Youths. Available at: </w:t>
      </w:r>
      <w:hyperlink r:id="rId5">
        <w:r w:rsidRPr="00DD4D8E">
          <w:rPr>
            <w:rStyle w:val="Hyperlink"/>
            <w:rFonts w:ascii="Arial" w:hAnsi="Arial" w:cs="Arial"/>
          </w:rPr>
          <w:t>https://aspiringyouths.com/advantages-disadvantages/self-assessment/?utm_content=cmp-true</w:t>
        </w:r>
      </w:hyperlink>
      <w:r w:rsidRPr="00DD4D8E">
        <w:rPr>
          <w:rFonts w:ascii="Arial" w:hAnsi="Arial" w:cs="Arial"/>
        </w:rPr>
        <w:t xml:space="preserve">  (Accessed: 16 January 2024).</w:t>
      </w:r>
    </w:p>
    <w:p w14:paraId="5FA2C552" w14:textId="77777777" w:rsidR="00784953" w:rsidRPr="00DD4D8E" w:rsidRDefault="00784953" w:rsidP="00DD4D8E">
      <w:pPr>
        <w:spacing w:line="360" w:lineRule="auto"/>
        <w:jc w:val="both"/>
        <w:rPr>
          <w:rFonts w:ascii="Arial" w:hAnsi="Arial" w:cs="Arial"/>
        </w:rPr>
      </w:pPr>
    </w:p>
    <w:p w14:paraId="0278D3BA" w14:textId="77777777" w:rsidR="00784953" w:rsidRPr="00DD4D8E" w:rsidRDefault="00784953" w:rsidP="00DD4D8E">
      <w:pPr>
        <w:spacing w:line="360" w:lineRule="auto"/>
        <w:jc w:val="both"/>
        <w:rPr>
          <w:rFonts w:ascii="Arial" w:hAnsi="Arial" w:cs="Arial"/>
        </w:rPr>
      </w:pPr>
    </w:p>
    <w:p w14:paraId="705F407D"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Berry, Rita. (2008) Assessment for learning. Hong Kong: Hong Kong University Press. </w:t>
      </w:r>
    </w:p>
    <w:p w14:paraId="1139E4EA" w14:textId="77777777" w:rsidR="00784953" w:rsidRPr="00DD4D8E" w:rsidRDefault="00784953" w:rsidP="00DD4D8E">
      <w:pPr>
        <w:spacing w:line="360" w:lineRule="auto"/>
        <w:jc w:val="both"/>
        <w:rPr>
          <w:rFonts w:ascii="Arial" w:hAnsi="Arial" w:cs="Arial"/>
        </w:rPr>
      </w:pPr>
    </w:p>
    <w:p w14:paraId="750FA5F8" w14:textId="77777777" w:rsidR="00784953" w:rsidRPr="00DD4D8E" w:rsidRDefault="00784953" w:rsidP="00DD4D8E">
      <w:pPr>
        <w:spacing w:line="360" w:lineRule="auto"/>
        <w:jc w:val="both"/>
        <w:rPr>
          <w:rFonts w:ascii="Arial" w:hAnsi="Arial" w:cs="Arial"/>
        </w:rPr>
      </w:pPr>
      <w:r w:rsidRPr="00DD4D8E">
        <w:rPr>
          <w:rFonts w:ascii="Arial" w:hAnsi="Arial" w:cs="Arial"/>
        </w:rPr>
        <w:lastRenderedPageBreak/>
        <w:t>Black, P. J. (Paul J. (1997). Testing: friend or foe? theory and practice of assessment and testing. Falmer</w:t>
      </w:r>
      <w:bookmarkStart w:id="17" w:name="_Int_6Cb64v9Z"/>
      <w:r w:rsidRPr="00DD4D8E">
        <w:rPr>
          <w:rFonts w:ascii="Arial" w:hAnsi="Arial" w:cs="Arial"/>
        </w:rPr>
        <w:t xml:space="preserve">.  </w:t>
      </w:r>
      <w:bookmarkEnd w:id="17"/>
      <w:r w:rsidRPr="00DD4D8E">
        <w:rPr>
          <w:rFonts w:ascii="Arial" w:hAnsi="Arial" w:cs="Arial"/>
        </w:rPr>
        <w:t xml:space="preserve"> </w:t>
      </w:r>
    </w:p>
    <w:p w14:paraId="745F0770" w14:textId="77777777" w:rsidR="00784953" w:rsidRPr="00DD4D8E" w:rsidRDefault="00784953" w:rsidP="00DD4D8E">
      <w:pPr>
        <w:spacing w:line="360" w:lineRule="auto"/>
        <w:jc w:val="both"/>
        <w:rPr>
          <w:rFonts w:ascii="Arial" w:hAnsi="Arial" w:cs="Arial"/>
        </w:rPr>
      </w:pPr>
    </w:p>
    <w:p w14:paraId="7CAD46B3" w14:textId="77777777" w:rsidR="00784953" w:rsidRPr="00DD4D8E" w:rsidRDefault="00784953" w:rsidP="00DD4D8E">
      <w:pPr>
        <w:spacing w:line="360" w:lineRule="auto"/>
        <w:jc w:val="both"/>
        <w:rPr>
          <w:rFonts w:ascii="Arial" w:hAnsi="Arial" w:cs="Arial"/>
        </w:rPr>
      </w:pPr>
      <w:r w:rsidRPr="00DD4D8E">
        <w:rPr>
          <w:rFonts w:ascii="Arial" w:hAnsi="Arial" w:cs="Arial"/>
        </w:rPr>
        <w:t>Black, Paul., Harrison, Chris., Lee, Clara., Marshall, Bethan., &amp; Wiliam, Dylan. (2007). Assessment for Learning: putting it into practice. McGraw-Hill Education.</w:t>
      </w:r>
    </w:p>
    <w:p w14:paraId="1E7E3A57" w14:textId="77777777" w:rsidR="00784953" w:rsidRPr="00DD4D8E" w:rsidRDefault="00784953" w:rsidP="00DD4D8E">
      <w:pPr>
        <w:spacing w:line="360" w:lineRule="auto"/>
        <w:jc w:val="both"/>
        <w:rPr>
          <w:rFonts w:ascii="Arial" w:hAnsi="Arial" w:cs="Arial"/>
        </w:rPr>
      </w:pPr>
    </w:p>
    <w:p w14:paraId="6B90D213" w14:textId="77777777" w:rsidR="00784953" w:rsidRPr="00DD4D8E" w:rsidRDefault="00784953" w:rsidP="00DD4D8E">
      <w:pPr>
        <w:spacing w:line="360" w:lineRule="auto"/>
        <w:ind w:left="-20" w:right="-20"/>
        <w:jc w:val="both"/>
        <w:rPr>
          <w:rFonts w:ascii="Arial" w:hAnsi="Arial" w:cs="Arial"/>
        </w:rPr>
      </w:pPr>
      <w:r w:rsidRPr="00DD4D8E">
        <w:rPr>
          <w:rFonts w:ascii="Arial" w:eastAsia="Helvetica" w:hAnsi="Arial" w:cs="Arial"/>
        </w:rPr>
        <w:t xml:space="preserve">British Educational Research Association [BERA] (2018) Ethical Guidelines for Educational Research, fourth edition, London. </w:t>
      </w:r>
      <w:hyperlink r:id="rId6">
        <w:r w:rsidRPr="00DD4D8E">
          <w:rPr>
            <w:rStyle w:val="Hyperlink"/>
            <w:rFonts w:ascii="Arial" w:eastAsia="Helvetica" w:hAnsi="Arial" w:cs="Arial"/>
          </w:rPr>
          <w:t>https://www.bera.ac.uk/researchersresources/publications/ethical-guidelines-for-educational-research-2018</w:t>
        </w:r>
      </w:hyperlink>
      <w:r w:rsidRPr="00DD4D8E">
        <w:rPr>
          <w:rFonts w:ascii="Arial" w:eastAsia="Helvetica" w:hAnsi="Arial" w:cs="Arial"/>
        </w:rPr>
        <w:t>.</w:t>
      </w:r>
    </w:p>
    <w:p w14:paraId="2DD82521" w14:textId="77777777" w:rsidR="00784953" w:rsidRPr="00DD4D8E" w:rsidRDefault="00784953" w:rsidP="00DD4D8E">
      <w:pPr>
        <w:spacing w:line="360" w:lineRule="auto"/>
        <w:jc w:val="both"/>
        <w:rPr>
          <w:rStyle w:val="s1"/>
          <w:rFonts w:ascii="Arial" w:hAnsi="Arial" w:cs="Arial"/>
          <w:sz w:val="22"/>
          <w:szCs w:val="22"/>
        </w:rPr>
      </w:pPr>
      <w:r w:rsidRPr="00DD4D8E">
        <w:rPr>
          <w:rFonts w:ascii="Arial" w:hAnsi="Arial" w:cs="Arial"/>
        </w:rPr>
        <w:br/>
        <w:t xml:space="preserve">By et al. (2023) What is a questionnaire and how is it used in research? Simply Psychology. Available at: </w:t>
      </w:r>
      <w:hyperlink r:id="rId7">
        <w:r w:rsidRPr="00DD4D8E">
          <w:rPr>
            <w:rStyle w:val="Hyperlink"/>
            <w:rFonts w:ascii="Arial" w:hAnsi="Arial" w:cs="Arial"/>
          </w:rPr>
          <w:t>https://www.simplypsychology.org/questionnaires.html</w:t>
        </w:r>
      </w:hyperlink>
      <w:r w:rsidRPr="00DD4D8E">
        <w:rPr>
          <w:rFonts w:ascii="Arial" w:hAnsi="Arial" w:cs="Arial"/>
        </w:rPr>
        <w:t xml:space="preserve"> (Accessed: 11 January 2024).</w:t>
      </w:r>
    </w:p>
    <w:p w14:paraId="58153123" w14:textId="77777777" w:rsidR="00784953" w:rsidRPr="00DD4D8E" w:rsidRDefault="00784953" w:rsidP="00DD4D8E">
      <w:pPr>
        <w:spacing w:line="360" w:lineRule="auto"/>
        <w:jc w:val="both"/>
        <w:rPr>
          <w:rFonts w:ascii="Arial" w:hAnsi="Arial" w:cs="Arial"/>
        </w:rPr>
      </w:pPr>
    </w:p>
    <w:p w14:paraId="400AF6DD" w14:textId="77777777" w:rsidR="00784953" w:rsidRPr="00DD4D8E" w:rsidRDefault="00784953" w:rsidP="00DD4D8E">
      <w:pPr>
        <w:spacing w:line="360" w:lineRule="auto"/>
        <w:jc w:val="both"/>
        <w:rPr>
          <w:rStyle w:val="s1"/>
          <w:rFonts w:ascii="Arial" w:hAnsi="Arial" w:cs="Arial"/>
          <w:sz w:val="22"/>
          <w:szCs w:val="22"/>
        </w:rPr>
      </w:pPr>
      <w:r w:rsidRPr="00DD4D8E">
        <w:rPr>
          <w:rFonts w:ascii="Arial" w:hAnsi="Arial" w:cs="Arial"/>
        </w:rPr>
        <w:t xml:space="preserve">By et al. (2024a) Vygotsky’s sociocultural theory of cognitive development, Simply Psychology. Available at: </w:t>
      </w:r>
      <w:hyperlink r:id="rId8">
        <w:r w:rsidRPr="00DD4D8E">
          <w:rPr>
            <w:rStyle w:val="Hyperlink"/>
            <w:rFonts w:ascii="Arial" w:hAnsi="Arial" w:cs="Arial"/>
          </w:rPr>
          <w:t>https://www.simplypsychology.org/vygotsky.html</w:t>
        </w:r>
      </w:hyperlink>
      <w:r w:rsidRPr="00DD4D8E">
        <w:rPr>
          <w:rFonts w:ascii="Arial" w:hAnsi="Arial" w:cs="Arial"/>
        </w:rPr>
        <w:t xml:space="preserve">  (Accessed: 16 February 2024).</w:t>
      </w:r>
      <w:r w:rsidRPr="00DD4D8E">
        <w:rPr>
          <w:rFonts w:ascii="Arial" w:hAnsi="Arial" w:cs="Arial"/>
        </w:rPr>
        <w:br/>
      </w:r>
    </w:p>
    <w:p w14:paraId="7FAD4C61" w14:textId="77777777" w:rsidR="00784953" w:rsidRPr="00DD4D8E" w:rsidRDefault="00784953" w:rsidP="00DD4D8E">
      <w:pPr>
        <w:pStyle w:val="p1"/>
        <w:spacing w:line="360" w:lineRule="auto"/>
        <w:jc w:val="both"/>
        <w:rPr>
          <w:rStyle w:val="apple-converted-space"/>
          <w:rFonts w:ascii="Arial" w:hAnsi="Arial" w:cs="Arial"/>
          <w:sz w:val="22"/>
          <w:szCs w:val="22"/>
        </w:rPr>
      </w:pPr>
      <w:r w:rsidRPr="00DD4D8E">
        <w:rPr>
          <w:rStyle w:val="s1"/>
          <w:rFonts w:ascii="Arial" w:hAnsi="Arial" w:cs="Arial"/>
          <w:sz w:val="22"/>
          <w:szCs w:val="22"/>
        </w:rPr>
        <w:t xml:space="preserve">Clark, A., &amp; Moss, P. (2011). Listening to young children: the mosaic approach (Second edition.). NCB. </w:t>
      </w:r>
    </w:p>
    <w:p w14:paraId="36582C1C" w14:textId="77777777" w:rsidR="00784953" w:rsidRPr="00DD4D8E" w:rsidRDefault="00784953" w:rsidP="00DD4D8E">
      <w:pPr>
        <w:spacing w:line="360" w:lineRule="auto"/>
        <w:jc w:val="both"/>
        <w:rPr>
          <w:rFonts w:ascii="Arial" w:hAnsi="Arial" w:cs="Arial"/>
        </w:rPr>
      </w:pPr>
      <w:r w:rsidRPr="00DD4D8E">
        <w:rPr>
          <w:rFonts w:ascii="Arial" w:hAnsi="Arial" w:cs="Arial"/>
        </w:rPr>
        <w:t>Clarke, Shirley. (2005). Formative assessment in action: weaving the elements together. Hodder Murray.</w:t>
      </w:r>
    </w:p>
    <w:p w14:paraId="6FA10636" w14:textId="77777777" w:rsidR="00784953" w:rsidRPr="00DD4D8E" w:rsidRDefault="00784953" w:rsidP="00DD4D8E">
      <w:pPr>
        <w:spacing w:line="360" w:lineRule="auto"/>
        <w:jc w:val="both"/>
        <w:rPr>
          <w:rFonts w:ascii="Arial" w:hAnsi="Arial" w:cs="Arial"/>
        </w:rPr>
      </w:pPr>
    </w:p>
    <w:p w14:paraId="0F782FDE"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Cuschieri, S. (2022). Understanding Research Ethics. In: A Roadmap to Successful Scientific </w:t>
      </w:r>
    </w:p>
    <w:p w14:paraId="10D12102"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Publishing. Springer, Cham. </w:t>
      </w:r>
      <w:hyperlink r:id="rId9">
        <w:r w:rsidRPr="00DD4D8E">
          <w:rPr>
            <w:rStyle w:val="Hyperlink"/>
            <w:rFonts w:ascii="Arial" w:hAnsi="Arial" w:cs="Arial"/>
          </w:rPr>
          <w:t>https://doi.org/10.1007/978-3-030-99295-8_2</w:t>
        </w:r>
      </w:hyperlink>
      <w:r w:rsidRPr="00DD4D8E">
        <w:rPr>
          <w:rFonts w:ascii="Arial" w:hAnsi="Arial" w:cs="Arial"/>
        </w:rPr>
        <w:t xml:space="preserve"> </w:t>
      </w:r>
    </w:p>
    <w:p w14:paraId="41EBF689" w14:textId="77777777" w:rsidR="00784953" w:rsidRPr="00DD4D8E" w:rsidRDefault="00784953" w:rsidP="00DD4D8E">
      <w:pPr>
        <w:spacing w:line="360" w:lineRule="auto"/>
        <w:jc w:val="both"/>
        <w:rPr>
          <w:rFonts w:ascii="Arial" w:hAnsi="Arial" w:cs="Arial"/>
        </w:rPr>
      </w:pPr>
    </w:p>
    <w:p w14:paraId="145DB113"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Dejonckheere, M; Vaughn, L. (2019). </w:t>
      </w:r>
      <w:hyperlink r:id="rId10">
        <w:r w:rsidRPr="00DD4D8E">
          <w:rPr>
            <w:rStyle w:val="s3"/>
            <w:rFonts w:ascii="Arial" w:hAnsi="Arial" w:cs="Arial"/>
            <w:color w:val="0000FF"/>
            <w:sz w:val="22"/>
            <w:szCs w:val="22"/>
          </w:rPr>
          <w:t>Semistructured interviewing in primary care research: a balance of relationship and rigour</w:t>
        </w:r>
      </w:hyperlink>
      <w:r w:rsidRPr="00DD4D8E">
        <w:rPr>
          <w:rStyle w:val="s1"/>
          <w:rFonts w:ascii="Arial" w:hAnsi="Arial" w:cs="Arial"/>
          <w:sz w:val="22"/>
          <w:szCs w:val="22"/>
        </w:rPr>
        <w:t>. BMJ Journals. </w:t>
      </w:r>
    </w:p>
    <w:p w14:paraId="695EEE6E" w14:textId="77777777" w:rsidR="00784953" w:rsidRPr="00DD4D8E" w:rsidRDefault="00784953" w:rsidP="00DD4D8E">
      <w:pPr>
        <w:pStyle w:val="p1"/>
        <w:spacing w:line="360" w:lineRule="auto"/>
        <w:jc w:val="both"/>
        <w:rPr>
          <w:rStyle w:val="apple-converted-space"/>
          <w:rFonts w:ascii="Arial" w:hAnsi="Arial" w:cs="Arial"/>
          <w:sz w:val="22"/>
          <w:szCs w:val="22"/>
        </w:rPr>
      </w:pPr>
    </w:p>
    <w:p w14:paraId="79EDEB91"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Double, K.S., McGrane, J.A. and Hopfenbeck, T.N. (2019) The impact of peer assessment on Academic Performance: A meta-analysis of Control Group Studies - Educational Psychology Review, SpringerLink. Available at: </w:t>
      </w:r>
      <w:hyperlink r:id="rId11">
        <w:r w:rsidRPr="00DD4D8E">
          <w:rPr>
            <w:rStyle w:val="Hyperlink"/>
            <w:rFonts w:ascii="Arial" w:hAnsi="Arial" w:cs="Arial"/>
          </w:rPr>
          <w:t>https://link.springer.com/article/10.1007/s10648-019-09510-3</w:t>
        </w:r>
      </w:hyperlink>
      <w:r w:rsidRPr="00DD4D8E">
        <w:rPr>
          <w:rFonts w:ascii="Arial" w:hAnsi="Arial" w:cs="Arial"/>
        </w:rPr>
        <w:t xml:space="preserve">  (Accessed: 16 January 2024).</w:t>
      </w:r>
    </w:p>
    <w:p w14:paraId="37731250" w14:textId="77777777" w:rsidR="00784953" w:rsidRPr="00DD4D8E" w:rsidRDefault="00784953" w:rsidP="00DD4D8E">
      <w:pPr>
        <w:spacing w:line="360" w:lineRule="auto"/>
        <w:jc w:val="both"/>
        <w:rPr>
          <w:rFonts w:ascii="Arial" w:hAnsi="Arial" w:cs="Arial"/>
        </w:rPr>
      </w:pPr>
    </w:p>
    <w:p w14:paraId="54924B9F" w14:textId="77777777" w:rsidR="00784953" w:rsidRPr="00DD4D8E" w:rsidRDefault="00784953" w:rsidP="00DD4D8E">
      <w:pPr>
        <w:spacing w:line="360" w:lineRule="auto"/>
        <w:jc w:val="both"/>
        <w:rPr>
          <w:rFonts w:ascii="Arial" w:hAnsi="Arial" w:cs="Arial"/>
        </w:rPr>
      </w:pPr>
      <w:r w:rsidRPr="00DD4D8E">
        <w:rPr>
          <w:rFonts w:ascii="Arial" w:hAnsi="Arial" w:cs="Arial"/>
        </w:rPr>
        <w:t>Gillham, Bill. (2007). Developing a questionnaire (2nd ed.). Continuum.</w:t>
      </w:r>
    </w:p>
    <w:p w14:paraId="0B6BF452" w14:textId="77777777" w:rsidR="00784953" w:rsidRPr="00DD4D8E" w:rsidRDefault="00784953" w:rsidP="00DD4D8E">
      <w:pPr>
        <w:spacing w:line="360" w:lineRule="auto"/>
        <w:jc w:val="both"/>
        <w:rPr>
          <w:rFonts w:ascii="Arial" w:hAnsi="Arial" w:cs="Arial"/>
        </w:rPr>
      </w:pPr>
    </w:p>
    <w:p w14:paraId="4788B44C"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lastRenderedPageBreak/>
        <w:t xml:space="preserve">Leavy, Patricia, 'Introduction to The Oxford Handbook of Qualitative Research, Second Edition', in Patricia Leavy (ed.), The Oxford Handbook of Qualitative Research, 2nd edn, Oxford Handbooks (2020; online edn, Oxford Academic, 2 Sept. 2020), </w:t>
      </w:r>
      <w:hyperlink r:id="rId12">
        <w:r w:rsidRPr="00DD4D8E">
          <w:rPr>
            <w:rStyle w:val="s2"/>
            <w:rFonts w:ascii="Arial" w:hAnsi="Arial" w:cs="Arial"/>
            <w:sz w:val="22"/>
            <w:szCs w:val="22"/>
            <w:u w:val="single"/>
          </w:rPr>
          <w:t>https://doi.org/10.1093/oxfordhb/9780190847388.013.9</w:t>
        </w:r>
      </w:hyperlink>
      <w:r w:rsidRPr="00DD4D8E">
        <w:rPr>
          <w:rStyle w:val="s1"/>
          <w:rFonts w:ascii="Arial" w:hAnsi="Arial" w:cs="Arial"/>
          <w:sz w:val="22"/>
          <w:szCs w:val="22"/>
        </w:rPr>
        <w:t>, accessed 11 Jan. 2024.</w:t>
      </w:r>
    </w:p>
    <w:p w14:paraId="62799E86" w14:textId="77777777" w:rsidR="00784953" w:rsidRPr="00DD4D8E" w:rsidRDefault="00784953" w:rsidP="00DD4D8E">
      <w:pPr>
        <w:pStyle w:val="p1"/>
        <w:spacing w:line="360" w:lineRule="auto"/>
        <w:jc w:val="both"/>
        <w:rPr>
          <w:rStyle w:val="s1"/>
          <w:rFonts w:ascii="Arial" w:hAnsi="Arial" w:cs="Arial"/>
          <w:sz w:val="22"/>
          <w:szCs w:val="22"/>
        </w:rPr>
      </w:pPr>
    </w:p>
    <w:p w14:paraId="6EC36F7E" w14:textId="24715101"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Northern Illinois University Center for Innovative Teaching and Learning. (2012). Peer and self-assessment. In Instructional guide for university faculty and teaching assistants. Retrieved from </w:t>
      </w:r>
      <w:r w:rsidR="002E693C">
        <w:rPr>
          <w:rStyle w:val="s1"/>
          <w:rFonts w:ascii="Arial" w:hAnsi="Arial" w:cs="Arial"/>
          <w:sz w:val="22"/>
          <w:szCs w:val="22"/>
        </w:rPr>
        <w:t xml:space="preserve"> </w:t>
      </w:r>
      <w:hyperlink r:id="rId13" w:history="1">
        <w:r w:rsidR="002E693C" w:rsidRPr="00D46ABE">
          <w:rPr>
            <w:rStyle w:val="Hyperlink"/>
            <w:rFonts w:ascii="Arial" w:hAnsi="Arial" w:cs="Arial"/>
            <w:sz w:val="22"/>
            <w:szCs w:val="22"/>
          </w:rPr>
          <w:t>https://www.niu.edu/citl/resources/guides/instructional-guide.</w:t>
        </w:r>
      </w:hyperlink>
      <w:r w:rsidRPr="00DD4D8E">
        <w:rPr>
          <w:rStyle w:val="s1"/>
          <w:rFonts w:ascii="Arial" w:hAnsi="Arial" w:cs="Arial"/>
          <w:sz w:val="22"/>
          <w:szCs w:val="22"/>
        </w:rPr>
        <w:t xml:space="preserve"> </w:t>
      </w:r>
    </w:p>
    <w:p w14:paraId="5A99156E" w14:textId="77777777" w:rsidR="00784953" w:rsidRPr="00DD4D8E" w:rsidRDefault="00784953" w:rsidP="00DD4D8E">
      <w:pPr>
        <w:pStyle w:val="p1"/>
        <w:spacing w:line="360" w:lineRule="auto"/>
        <w:jc w:val="both"/>
        <w:rPr>
          <w:rStyle w:val="s1"/>
          <w:rFonts w:ascii="Arial" w:hAnsi="Arial" w:cs="Arial"/>
          <w:sz w:val="22"/>
          <w:szCs w:val="22"/>
        </w:rPr>
      </w:pPr>
    </w:p>
    <w:p w14:paraId="3DD80317" w14:textId="77777777" w:rsidR="00784953" w:rsidRPr="00DD4D8E" w:rsidRDefault="00784953" w:rsidP="00DD4D8E">
      <w:pPr>
        <w:spacing w:line="360" w:lineRule="auto"/>
        <w:jc w:val="both"/>
        <w:rPr>
          <w:rFonts w:ascii="Arial" w:hAnsi="Arial" w:cs="Arial"/>
        </w:rPr>
      </w:pPr>
      <w:r w:rsidRPr="00DD4D8E">
        <w:rPr>
          <w:rFonts w:ascii="Arial" w:hAnsi="Arial" w:cs="Arial"/>
        </w:rPr>
        <w:t xml:space="preserve">Panadero (no date) Student Peer Assessment, UNSW Teaching Staff Gateway. Available at: </w:t>
      </w:r>
      <w:hyperlink r:id="rId14">
        <w:r w:rsidRPr="00DD4D8E">
          <w:rPr>
            <w:rStyle w:val="Hyperlink"/>
            <w:rFonts w:ascii="Arial" w:hAnsi="Arial" w:cs="Arial"/>
          </w:rPr>
          <w:t>https://www.teaching.unsw.edu.au/peer-assessment</w:t>
        </w:r>
      </w:hyperlink>
      <w:r w:rsidRPr="00DD4D8E">
        <w:rPr>
          <w:rFonts w:ascii="Arial" w:hAnsi="Arial" w:cs="Arial"/>
        </w:rPr>
        <w:t xml:space="preserve">  (Accessed: 16 January 2024).</w:t>
      </w:r>
    </w:p>
    <w:p w14:paraId="22FB52F0" w14:textId="77777777" w:rsidR="00784953" w:rsidRPr="00DD4D8E" w:rsidRDefault="00784953" w:rsidP="00DD4D8E">
      <w:pPr>
        <w:spacing w:line="360" w:lineRule="auto"/>
        <w:jc w:val="both"/>
        <w:rPr>
          <w:rFonts w:ascii="Arial" w:hAnsi="Arial" w:cs="Arial"/>
        </w:rPr>
      </w:pPr>
    </w:p>
    <w:p w14:paraId="1EA982E7" w14:textId="77777777" w:rsidR="00784953" w:rsidRPr="00DD4D8E" w:rsidRDefault="00784953" w:rsidP="00DD4D8E">
      <w:pPr>
        <w:pStyle w:val="p1"/>
        <w:spacing w:line="360" w:lineRule="auto"/>
        <w:jc w:val="both"/>
        <w:rPr>
          <w:rStyle w:val="s1"/>
          <w:rFonts w:ascii="Arial" w:hAnsi="Arial" w:cs="Arial"/>
          <w:sz w:val="22"/>
          <w:szCs w:val="22"/>
        </w:rPr>
      </w:pPr>
      <w:r w:rsidRPr="00DD4D8E">
        <w:rPr>
          <w:rStyle w:val="s1"/>
          <w:rFonts w:ascii="Arial" w:hAnsi="Arial" w:cs="Arial"/>
          <w:sz w:val="22"/>
          <w:szCs w:val="22"/>
        </w:rPr>
        <w:t xml:space="preserve">Patten, M. (2014). Questionnaire Research: A Practical Guide (4th ed.). Routledge. </w:t>
      </w:r>
      <w:hyperlink r:id="rId15">
        <w:r w:rsidRPr="00DD4D8E">
          <w:rPr>
            <w:rStyle w:val="Hyperlink"/>
            <w:rFonts w:ascii="Arial" w:hAnsi="Arial" w:cs="Arial"/>
            <w:sz w:val="22"/>
            <w:szCs w:val="22"/>
          </w:rPr>
          <w:t>https://doi.org/10.4324/9781315265858</w:t>
        </w:r>
      </w:hyperlink>
      <w:r w:rsidRPr="00DD4D8E">
        <w:rPr>
          <w:rStyle w:val="s1"/>
          <w:rFonts w:ascii="Arial" w:hAnsi="Arial" w:cs="Arial"/>
          <w:sz w:val="22"/>
          <w:szCs w:val="22"/>
        </w:rPr>
        <w:t xml:space="preserve"> </w:t>
      </w:r>
    </w:p>
    <w:p w14:paraId="680F96DB" w14:textId="77777777" w:rsidR="00784953" w:rsidRPr="00DD4D8E" w:rsidRDefault="00784953" w:rsidP="00DD4D8E">
      <w:pPr>
        <w:pStyle w:val="p1"/>
        <w:spacing w:line="360" w:lineRule="auto"/>
        <w:jc w:val="both"/>
        <w:rPr>
          <w:rStyle w:val="s1"/>
          <w:rFonts w:ascii="Arial" w:hAnsi="Arial" w:cs="Arial"/>
          <w:sz w:val="22"/>
          <w:szCs w:val="22"/>
        </w:rPr>
      </w:pPr>
    </w:p>
    <w:p w14:paraId="391B3F94" w14:textId="77777777" w:rsidR="00784953" w:rsidRPr="00DD4D8E" w:rsidRDefault="00784953" w:rsidP="00DD4D8E">
      <w:pPr>
        <w:spacing w:before="100" w:beforeAutospacing="1" w:after="100" w:afterAutospacing="1" w:line="360" w:lineRule="auto"/>
        <w:jc w:val="both"/>
        <w:rPr>
          <w:rStyle w:val="s1"/>
          <w:rFonts w:ascii="Arial" w:hAnsi="Arial" w:cs="Arial"/>
          <w:color w:val="000000"/>
          <w:kern w:val="0"/>
          <w:sz w:val="22"/>
          <w:szCs w:val="22"/>
          <w14:ligatures w14:val="none"/>
        </w:rPr>
      </w:pPr>
      <w:r w:rsidRPr="00DD4D8E">
        <w:rPr>
          <w:rStyle w:val="s1"/>
          <w:rFonts w:ascii="Arial" w:hAnsi="Arial" w:cs="Arial"/>
          <w:color w:val="000000"/>
          <w:kern w:val="0"/>
          <w:sz w:val="22"/>
          <w:szCs w:val="22"/>
          <w14:ligatures w14:val="none"/>
        </w:rPr>
        <w:t xml:space="preserve">Peer and self-assessment for students (2022) Education. Available at: </w:t>
      </w:r>
      <w:hyperlink r:id="rId16" w:history="1">
        <w:r w:rsidRPr="00DD4D8E">
          <w:rPr>
            <w:rStyle w:val="Hyperlink"/>
            <w:rFonts w:ascii="Arial" w:hAnsi="Arial" w:cs="Arial"/>
            <w:kern w:val="0"/>
            <w14:ligatures w14:val="none"/>
          </w:rPr>
          <w:t>https://education.nsw.gov.au/teaching-and-learning/professional-learning/teacher-quality-and-accreditation/strong-start-great-teachers/refining-practice/peer-and-self-assessment-for-students</w:t>
        </w:r>
      </w:hyperlink>
      <w:r w:rsidRPr="00DD4D8E">
        <w:rPr>
          <w:rStyle w:val="s1"/>
          <w:rFonts w:ascii="Arial" w:hAnsi="Arial" w:cs="Arial"/>
          <w:color w:val="000000"/>
          <w:kern w:val="0"/>
          <w:sz w:val="22"/>
          <w:szCs w:val="22"/>
          <w14:ligatures w14:val="none"/>
        </w:rPr>
        <w:t xml:space="preserve">  (Accessed: 08 February 2024). </w:t>
      </w:r>
    </w:p>
    <w:p w14:paraId="6562D972" w14:textId="77777777" w:rsidR="00784953" w:rsidRPr="00DD4D8E" w:rsidRDefault="00784953" w:rsidP="00DD4D8E">
      <w:pPr>
        <w:pStyle w:val="p1"/>
        <w:spacing w:line="360" w:lineRule="auto"/>
        <w:jc w:val="both"/>
        <w:rPr>
          <w:rStyle w:val="s1"/>
          <w:rFonts w:ascii="Arial" w:hAnsi="Arial" w:cs="Arial"/>
          <w:sz w:val="22"/>
          <w:szCs w:val="22"/>
        </w:rPr>
      </w:pPr>
    </w:p>
    <w:p w14:paraId="1C3CCB99" w14:textId="77777777" w:rsidR="00784953" w:rsidRPr="00DD4D8E" w:rsidRDefault="00784953" w:rsidP="00DD4D8E">
      <w:pPr>
        <w:pStyle w:val="p1"/>
        <w:spacing w:line="360" w:lineRule="auto"/>
        <w:jc w:val="both"/>
        <w:rPr>
          <w:rStyle w:val="s1"/>
          <w:rFonts w:ascii="Arial" w:hAnsi="Arial" w:cs="Arial"/>
          <w:sz w:val="22"/>
          <w:szCs w:val="22"/>
        </w:rPr>
      </w:pPr>
    </w:p>
    <w:p w14:paraId="635B769C" w14:textId="77777777" w:rsidR="00784953" w:rsidRPr="00DD4D8E" w:rsidRDefault="00784953" w:rsidP="00DD4D8E">
      <w:pPr>
        <w:pStyle w:val="p1"/>
        <w:spacing w:line="360" w:lineRule="auto"/>
        <w:jc w:val="both"/>
        <w:rPr>
          <w:rStyle w:val="apple-converted-space"/>
          <w:rFonts w:ascii="Arial" w:hAnsi="Arial" w:cs="Arial"/>
          <w:sz w:val="22"/>
          <w:szCs w:val="22"/>
        </w:rPr>
      </w:pPr>
      <w:r w:rsidRPr="00DD4D8E">
        <w:rPr>
          <w:rStyle w:val="s1"/>
          <w:rFonts w:ascii="Arial" w:hAnsi="Arial" w:cs="Arial"/>
          <w:sz w:val="22"/>
          <w:szCs w:val="22"/>
        </w:rPr>
        <w:t xml:space="preserve">The mosaic approach according to Clark and Moss (2022) Dr Nicole Brown. Available at: </w:t>
      </w:r>
      <w:hyperlink r:id="rId17">
        <w:r w:rsidRPr="00DD4D8E">
          <w:rPr>
            <w:rStyle w:val="Hyperlink"/>
            <w:rFonts w:ascii="Arial" w:hAnsi="Arial" w:cs="Arial"/>
            <w:sz w:val="22"/>
            <w:szCs w:val="22"/>
          </w:rPr>
          <w:t>https://www.nicole-brown.co.uk/the-mosaic-approach-according-to-clark-and-moss/</w:t>
        </w:r>
      </w:hyperlink>
      <w:r w:rsidRPr="00DD4D8E">
        <w:rPr>
          <w:rStyle w:val="s1"/>
          <w:rFonts w:ascii="Arial" w:hAnsi="Arial" w:cs="Arial"/>
          <w:sz w:val="22"/>
          <w:szCs w:val="22"/>
        </w:rPr>
        <w:t xml:space="preserve">  (Accessed: 11 January 2024). </w:t>
      </w:r>
      <w:r w:rsidRPr="00DD4D8E">
        <w:rPr>
          <w:rStyle w:val="apple-converted-space"/>
          <w:rFonts w:ascii="Arial" w:hAnsi="Arial" w:cs="Arial"/>
          <w:sz w:val="22"/>
          <w:szCs w:val="22"/>
        </w:rPr>
        <w:t> </w:t>
      </w:r>
    </w:p>
    <w:p w14:paraId="46E22A32" w14:textId="77777777" w:rsidR="00784953" w:rsidRPr="00DD4D8E" w:rsidRDefault="00784953" w:rsidP="00DD4D8E">
      <w:pPr>
        <w:pStyle w:val="NormalWeb"/>
        <w:spacing w:line="360" w:lineRule="auto"/>
        <w:jc w:val="both"/>
        <w:rPr>
          <w:rFonts w:ascii="Arial" w:hAnsi="Arial" w:cs="Arial"/>
          <w:color w:val="000000"/>
          <w:sz w:val="22"/>
          <w:szCs w:val="22"/>
        </w:rPr>
      </w:pPr>
      <w:r w:rsidRPr="00DD4D8E">
        <w:rPr>
          <w:rFonts w:ascii="Arial" w:hAnsi="Arial" w:cs="Arial"/>
          <w:color w:val="000000"/>
          <w:sz w:val="22"/>
          <w:szCs w:val="22"/>
        </w:rPr>
        <w:t>(No date)</w:t>
      </w:r>
      <w:r w:rsidRPr="00DD4D8E">
        <w:rPr>
          <w:rStyle w:val="apple-converted-space"/>
          <w:rFonts w:ascii="Arial" w:hAnsi="Arial" w:cs="Arial"/>
          <w:color w:val="000000"/>
          <w:sz w:val="22"/>
          <w:szCs w:val="22"/>
        </w:rPr>
        <w:t> </w:t>
      </w:r>
      <w:r w:rsidRPr="00DD4D8E">
        <w:rPr>
          <w:rFonts w:ascii="Arial" w:hAnsi="Arial" w:cs="Arial"/>
          <w:color w:val="000000"/>
          <w:sz w:val="22"/>
          <w:szCs w:val="22"/>
        </w:rPr>
        <w:t xml:space="preserve">Professional standards for teaching and leadership - HWB. Available at: </w:t>
      </w:r>
      <w:hyperlink r:id="rId18" w:history="1">
        <w:r w:rsidRPr="00DD4D8E">
          <w:rPr>
            <w:rStyle w:val="Hyperlink"/>
            <w:rFonts w:ascii="Arial" w:hAnsi="Arial" w:cs="Arial"/>
            <w:sz w:val="22"/>
            <w:szCs w:val="22"/>
          </w:rPr>
          <w:t>https://hwb.gov.wales/api/storage/19bc948b-8a3f-41e0-944a-7bf2cadf7d18/professional-standards-for-teaching-and-leadership-interactive-pdf-for-pc.pdf</w:t>
        </w:r>
      </w:hyperlink>
      <w:r w:rsidRPr="00DD4D8E">
        <w:rPr>
          <w:rFonts w:ascii="Arial" w:hAnsi="Arial" w:cs="Arial"/>
          <w:color w:val="000000"/>
          <w:sz w:val="22"/>
          <w:szCs w:val="22"/>
        </w:rPr>
        <w:t xml:space="preserve">  (Accessed: 08 February 2024).</w:t>
      </w:r>
      <w:r w:rsidRPr="00DD4D8E">
        <w:rPr>
          <w:rStyle w:val="apple-converted-space"/>
          <w:rFonts w:ascii="Arial" w:hAnsi="Arial" w:cs="Arial"/>
          <w:color w:val="000000"/>
          <w:sz w:val="22"/>
          <w:szCs w:val="22"/>
        </w:rPr>
        <w:t> </w:t>
      </w:r>
    </w:p>
    <w:p w14:paraId="6D798CBD" w14:textId="77777777" w:rsidR="00784953" w:rsidRPr="005630C6" w:rsidRDefault="00784953" w:rsidP="005630C6">
      <w:pPr>
        <w:spacing w:line="360" w:lineRule="auto"/>
        <w:jc w:val="both"/>
        <w:rPr>
          <w:rFonts w:ascii="Arial" w:hAnsi="Arial" w:cs="Arial"/>
        </w:rPr>
      </w:pPr>
    </w:p>
    <w:p w14:paraId="3B5C556E" w14:textId="77777777" w:rsidR="00784953" w:rsidRPr="005630C6" w:rsidRDefault="00784953" w:rsidP="005630C6">
      <w:pPr>
        <w:spacing w:line="360" w:lineRule="auto"/>
        <w:jc w:val="both"/>
        <w:rPr>
          <w:rFonts w:ascii="Arial" w:hAnsi="Arial" w:cs="Arial"/>
        </w:rPr>
      </w:pPr>
    </w:p>
    <w:sectPr w:rsidR="00784953" w:rsidRPr="005630C6" w:rsidSect="00C57C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53"/>
    <w:rsid w:val="001E02DD"/>
    <w:rsid w:val="002E693C"/>
    <w:rsid w:val="003B5AD8"/>
    <w:rsid w:val="00430B74"/>
    <w:rsid w:val="005630C6"/>
    <w:rsid w:val="00784953"/>
    <w:rsid w:val="00882A9B"/>
    <w:rsid w:val="009A3D94"/>
    <w:rsid w:val="00BB629E"/>
    <w:rsid w:val="00C57C2C"/>
    <w:rsid w:val="00DD4D8E"/>
    <w:rsid w:val="00E80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C74F2"/>
  <w15:chartTrackingRefBased/>
  <w15:docId w15:val="{DD283A73-4D38-479A-83AB-FDE381394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953"/>
    <w:pPr>
      <w:spacing w:after="0" w:line="240" w:lineRule="auto"/>
    </w:pPr>
    <w:rPr>
      <w:rFonts w:eastAsiaTheme="minorEastAsia"/>
      <w:sz w:val="22"/>
      <w:szCs w:val="22"/>
      <w:lang w:eastAsia="en-GB"/>
    </w:rPr>
  </w:style>
  <w:style w:type="paragraph" w:styleId="Heading1">
    <w:name w:val="heading 1"/>
    <w:basedOn w:val="Normal"/>
    <w:next w:val="Normal"/>
    <w:link w:val="Heading1Char"/>
    <w:uiPriority w:val="9"/>
    <w:qFormat/>
    <w:rsid w:val="0078495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78495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784953"/>
    <w:pPr>
      <w:keepNext/>
      <w:keepLines/>
      <w:spacing w:before="160" w:after="80" w:line="278"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784953"/>
    <w:pPr>
      <w:keepNext/>
      <w:keepLines/>
      <w:spacing w:before="80" w:after="40" w:line="278"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784953"/>
    <w:pPr>
      <w:keepNext/>
      <w:keepLines/>
      <w:spacing w:before="80" w:after="40" w:line="278"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784953"/>
    <w:pPr>
      <w:keepNext/>
      <w:keepLines/>
      <w:spacing w:before="40" w:line="278"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784953"/>
    <w:pPr>
      <w:keepNext/>
      <w:keepLines/>
      <w:spacing w:before="40" w:line="278"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784953"/>
    <w:pPr>
      <w:keepNext/>
      <w:keepLines/>
      <w:spacing w:line="278"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784953"/>
    <w:pPr>
      <w:keepNext/>
      <w:keepLines/>
      <w:spacing w:line="278"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4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953"/>
    <w:rPr>
      <w:rFonts w:eastAsiaTheme="majorEastAsia" w:cstheme="majorBidi"/>
      <w:color w:val="272727" w:themeColor="text1" w:themeTint="D8"/>
    </w:rPr>
  </w:style>
  <w:style w:type="paragraph" w:styleId="Title">
    <w:name w:val="Title"/>
    <w:basedOn w:val="Normal"/>
    <w:next w:val="Normal"/>
    <w:link w:val="TitleChar"/>
    <w:uiPriority w:val="10"/>
    <w:qFormat/>
    <w:rsid w:val="00784953"/>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84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953"/>
    <w:pPr>
      <w:numPr>
        <w:ilvl w:val="1"/>
      </w:numPr>
      <w:spacing w:after="160" w:line="278"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84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953"/>
    <w:pPr>
      <w:spacing w:before="160" w:after="160" w:line="278"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784953"/>
    <w:rPr>
      <w:i/>
      <w:iCs/>
      <w:color w:val="404040" w:themeColor="text1" w:themeTint="BF"/>
    </w:rPr>
  </w:style>
  <w:style w:type="paragraph" w:styleId="ListParagraph">
    <w:name w:val="List Paragraph"/>
    <w:basedOn w:val="Normal"/>
    <w:uiPriority w:val="34"/>
    <w:qFormat/>
    <w:rsid w:val="00784953"/>
    <w:pPr>
      <w:spacing w:after="160" w:line="278"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784953"/>
    <w:rPr>
      <w:i/>
      <w:iCs/>
      <w:color w:val="0F4761" w:themeColor="accent1" w:themeShade="BF"/>
    </w:rPr>
  </w:style>
  <w:style w:type="paragraph" w:styleId="IntenseQuote">
    <w:name w:val="Intense Quote"/>
    <w:basedOn w:val="Normal"/>
    <w:next w:val="Normal"/>
    <w:link w:val="IntenseQuoteChar"/>
    <w:uiPriority w:val="30"/>
    <w:qFormat/>
    <w:rsid w:val="0078495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784953"/>
    <w:rPr>
      <w:i/>
      <w:iCs/>
      <w:color w:val="0F4761" w:themeColor="accent1" w:themeShade="BF"/>
    </w:rPr>
  </w:style>
  <w:style w:type="character" w:styleId="IntenseReference">
    <w:name w:val="Intense Reference"/>
    <w:basedOn w:val="DefaultParagraphFont"/>
    <w:uiPriority w:val="32"/>
    <w:qFormat/>
    <w:rsid w:val="00784953"/>
    <w:rPr>
      <w:b/>
      <w:bCs/>
      <w:smallCaps/>
      <w:color w:val="0F4761" w:themeColor="accent1" w:themeShade="BF"/>
      <w:spacing w:val="5"/>
    </w:rPr>
  </w:style>
  <w:style w:type="paragraph" w:customStyle="1" w:styleId="p1">
    <w:name w:val="p1"/>
    <w:basedOn w:val="Normal"/>
    <w:rsid w:val="00784953"/>
    <w:rPr>
      <w:rFonts w:ascii="Helvetica Neue" w:hAnsi="Helvetica Neue" w:cs="Times New Roman"/>
      <w:color w:val="000000"/>
      <w:kern w:val="0"/>
      <w:sz w:val="17"/>
      <w:szCs w:val="17"/>
      <w14:ligatures w14:val="none"/>
    </w:rPr>
  </w:style>
  <w:style w:type="paragraph" w:customStyle="1" w:styleId="p2">
    <w:name w:val="p2"/>
    <w:basedOn w:val="Normal"/>
    <w:rsid w:val="00784953"/>
    <w:rPr>
      <w:rFonts w:ascii="Helvetica Neue" w:hAnsi="Helvetica Neue" w:cs="Times New Roman"/>
      <w:color w:val="000000"/>
      <w:kern w:val="0"/>
      <w:sz w:val="17"/>
      <w:szCs w:val="17"/>
      <w14:ligatures w14:val="none"/>
    </w:rPr>
  </w:style>
  <w:style w:type="character" w:customStyle="1" w:styleId="s1">
    <w:name w:val="s1"/>
    <w:basedOn w:val="DefaultParagraphFont"/>
    <w:rsid w:val="00784953"/>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784953"/>
  </w:style>
  <w:style w:type="character" w:customStyle="1" w:styleId="s2">
    <w:name w:val="s2"/>
    <w:basedOn w:val="DefaultParagraphFont"/>
    <w:rsid w:val="00784953"/>
    <w:rPr>
      <w:rFonts w:ascii="Helvetica Neue" w:hAnsi="Helvetica Neue" w:hint="default"/>
      <w:b w:val="0"/>
      <w:bCs w:val="0"/>
      <w:i w:val="0"/>
      <w:iCs w:val="0"/>
      <w:color w:val="006FB7"/>
      <w:sz w:val="17"/>
      <w:szCs w:val="17"/>
    </w:rPr>
  </w:style>
  <w:style w:type="character" w:customStyle="1" w:styleId="s3">
    <w:name w:val="s3"/>
    <w:basedOn w:val="DefaultParagraphFont"/>
    <w:rsid w:val="00784953"/>
    <w:rPr>
      <w:rFonts w:ascii="Helvetica Neue" w:hAnsi="Helvetica Neue" w:hint="default"/>
      <w:b w:val="0"/>
      <w:bCs w:val="0"/>
      <w:i w:val="0"/>
      <w:iCs w:val="0"/>
      <w:sz w:val="17"/>
      <w:szCs w:val="17"/>
      <w:u w:val="single"/>
    </w:rPr>
  </w:style>
  <w:style w:type="character" w:styleId="Hyperlink">
    <w:name w:val="Hyperlink"/>
    <w:basedOn w:val="DefaultParagraphFont"/>
    <w:uiPriority w:val="99"/>
    <w:unhideWhenUsed/>
    <w:rsid w:val="00784953"/>
    <w:rPr>
      <w:color w:val="467886" w:themeColor="hyperlink"/>
      <w:u w:val="single"/>
    </w:rPr>
  </w:style>
  <w:style w:type="paragraph" w:styleId="NormalWeb">
    <w:name w:val="Normal (Web)"/>
    <w:basedOn w:val="Normal"/>
    <w:uiPriority w:val="99"/>
    <w:semiHidden/>
    <w:unhideWhenUsed/>
    <w:rsid w:val="00784953"/>
    <w:pPr>
      <w:spacing w:before="100" w:beforeAutospacing="1" w:after="100" w:afterAutospacing="1"/>
    </w:pPr>
    <w:rPr>
      <w:rFonts w:ascii="Times New Roman" w:hAnsi="Times New Roman" w:cs="Times New Roman"/>
      <w:kern w:val="0"/>
      <w:sz w:val="24"/>
      <w:szCs w:val="24"/>
      <w14:ligatures w14:val="none"/>
    </w:rPr>
  </w:style>
  <w:style w:type="character" w:styleId="FollowedHyperlink">
    <w:name w:val="FollowedHyperlink"/>
    <w:basedOn w:val="DefaultParagraphFont"/>
    <w:uiPriority w:val="99"/>
    <w:semiHidden/>
    <w:unhideWhenUsed/>
    <w:rsid w:val="00882A9B"/>
    <w:rPr>
      <w:color w:val="96607D" w:themeColor="followedHyperlink"/>
      <w:u w:val="single"/>
    </w:rPr>
  </w:style>
  <w:style w:type="character" w:styleId="UnresolvedMention">
    <w:name w:val="Unresolved Mention"/>
    <w:basedOn w:val="DefaultParagraphFont"/>
    <w:uiPriority w:val="99"/>
    <w:semiHidden/>
    <w:unhideWhenUsed/>
    <w:rsid w:val="002E69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587639">
      <w:bodyDiv w:val="1"/>
      <w:marLeft w:val="0"/>
      <w:marRight w:val="0"/>
      <w:marTop w:val="0"/>
      <w:marBottom w:val="0"/>
      <w:divBdr>
        <w:top w:val="none" w:sz="0" w:space="0" w:color="auto"/>
        <w:left w:val="none" w:sz="0" w:space="0" w:color="auto"/>
        <w:bottom w:val="none" w:sz="0" w:space="0" w:color="auto"/>
        <w:right w:val="none" w:sz="0" w:space="0" w:color="auto"/>
      </w:divBdr>
    </w:div>
    <w:div w:id="572274360">
      <w:bodyDiv w:val="1"/>
      <w:marLeft w:val="0"/>
      <w:marRight w:val="0"/>
      <w:marTop w:val="0"/>
      <w:marBottom w:val="0"/>
      <w:divBdr>
        <w:top w:val="none" w:sz="0" w:space="0" w:color="auto"/>
        <w:left w:val="none" w:sz="0" w:space="0" w:color="auto"/>
        <w:bottom w:val="none" w:sz="0" w:space="0" w:color="auto"/>
        <w:right w:val="none" w:sz="0" w:space="0" w:color="auto"/>
      </w:divBdr>
    </w:div>
    <w:div w:id="634801405">
      <w:bodyDiv w:val="1"/>
      <w:marLeft w:val="0"/>
      <w:marRight w:val="0"/>
      <w:marTop w:val="0"/>
      <w:marBottom w:val="0"/>
      <w:divBdr>
        <w:top w:val="none" w:sz="0" w:space="0" w:color="auto"/>
        <w:left w:val="none" w:sz="0" w:space="0" w:color="auto"/>
        <w:bottom w:val="none" w:sz="0" w:space="0" w:color="auto"/>
        <w:right w:val="none" w:sz="0" w:space="0" w:color="auto"/>
      </w:divBdr>
    </w:div>
    <w:div w:id="806748489">
      <w:bodyDiv w:val="1"/>
      <w:marLeft w:val="0"/>
      <w:marRight w:val="0"/>
      <w:marTop w:val="0"/>
      <w:marBottom w:val="0"/>
      <w:divBdr>
        <w:top w:val="none" w:sz="0" w:space="0" w:color="auto"/>
        <w:left w:val="none" w:sz="0" w:space="0" w:color="auto"/>
        <w:bottom w:val="none" w:sz="0" w:space="0" w:color="auto"/>
        <w:right w:val="none" w:sz="0" w:space="0" w:color="auto"/>
      </w:divBdr>
    </w:div>
    <w:div w:id="853148465">
      <w:bodyDiv w:val="1"/>
      <w:marLeft w:val="0"/>
      <w:marRight w:val="0"/>
      <w:marTop w:val="0"/>
      <w:marBottom w:val="0"/>
      <w:divBdr>
        <w:top w:val="none" w:sz="0" w:space="0" w:color="auto"/>
        <w:left w:val="none" w:sz="0" w:space="0" w:color="auto"/>
        <w:bottom w:val="none" w:sz="0" w:space="0" w:color="auto"/>
        <w:right w:val="none" w:sz="0" w:space="0" w:color="auto"/>
      </w:divBdr>
    </w:div>
    <w:div w:id="990671803">
      <w:bodyDiv w:val="1"/>
      <w:marLeft w:val="0"/>
      <w:marRight w:val="0"/>
      <w:marTop w:val="0"/>
      <w:marBottom w:val="0"/>
      <w:divBdr>
        <w:top w:val="none" w:sz="0" w:space="0" w:color="auto"/>
        <w:left w:val="none" w:sz="0" w:space="0" w:color="auto"/>
        <w:bottom w:val="none" w:sz="0" w:space="0" w:color="auto"/>
        <w:right w:val="none" w:sz="0" w:space="0" w:color="auto"/>
      </w:divBdr>
    </w:div>
    <w:div w:id="1317492149">
      <w:bodyDiv w:val="1"/>
      <w:marLeft w:val="0"/>
      <w:marRight w:val="0"/>
      <w:marTop w:val="0"/>
      <w:marBottom w:val="0"/>
      <w:divBdr>
        <w:top w:val="none" w:sz="0" w:space="0" w:color="auto"/>
        <w:left w:val="none" w:sz="0" w:space="0" w:color="auto"/>
        <w:bottom w:val="none" w:sz="0" w:space="0" w:color="auto"/>
        <w:right w:val="none" w:sz="0" w:space="0" w:color="auto"/>
      </w:divBdr>
    </w:div>
    <w:div w:id="1413888860">
      <w:bodyDiv w:val="1"/>
      <w:marLeft w:val="0"/>
      <w:marRight w:val="0"/>
      <w:marTop w:val="0"/>
      <w:marBottom w:val="0"/>
      <w:divBdr>
        <w:top w:val="none" w:sz="0" w:space="0" w:color="auto"/>
        <w:left w:val="none" w:sz="0" w:space="0" w:color="auto"/>
        <w:bottom w:val="none" w:sz="0" w:space="0" w:color="auto"/>
        <w:right w:val="none" w:sz="0" w:space="0" w:color="auto"/>
      </w:divBdr>
    </w:div>
    <w:div w:id="1419012333">
      <w:bodyDiv w:val="1"/>
      <w:marLeft w:val="0"/>
      <w:marRight w:val="0"/>
      <w:marTop w:val="0"/>
      <w:marBottom w:val="0"/>
      <w:divBdr>
        <w:top w:val="none" w:sz="0" w:space="0" w:color="auto"/>
        <w:left w:val="none" w:sz="0" w:space="0" w:color="auto"/>
        <w:bottom w:val="none" w:sz="0" w:space="0" w:color="auto"/>
        <w:right w:val="none" w:sz="0" w:space="0" w:color="auto"/>
      </w:divBdr>
    </w:div>
    <w:div w:id="1493137800">
      <w:bodyDiv w:val="1"/>
      <w:marLeft w:val="0"/>
      <w:marRight w:val="0"/>
      <w:marTop w:val="0"/>
      <w:marBottom w:val="0"/>
      <w:divBdr>
        <w:top w:val="none" w:sz="0" w:space="0" w:color="auto"/>
        <w:left w:val="none" w:sz="0" w:space="0" w:color="auto"/>
        <w:bottom w:val="none" w:sz="0" w:space="0" w:color="auto"/>
        <w:right w:val="none" w:sz="0" w:space="0" w:color="auto"/>
      </w:divBdr>
    </w:div>
    <w:div w:id="1601570753">
      <w:bodyDiv w:val="1"/>
      <w:marLeft w:val="0"/>
      <w:marRight w:val="0"/>
      <w:marTop w:val="0"/>
      <w:marBottom w:val="0"/>
      <w:divBdr>
        <w:top w:val="none" w:sz="0" w:space="0" w:color="auto"/>
        <w:left w:val="none" w:sz="0" w:space="0" w:color="auto"/>
        <w:bottom w:val="none" w:sz="0" w:space="0" w:color="auto"/>
        <w:right w:val="none" w:sz="0" w:space="0" w:color="auto"/>
      </w:divBdr>
    </w:div>
    <w:div w:id="1842575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hyperlink" Target="https://www.niu.edu/citl/resources/guides/instructional-guide." TargetMode="External"/><Relationship Id="rId18"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webSettings" Target="webSettings.xml"/><Relationship Id="rId7" Type="http://schemas.openxmlformats.org/officeDocument/2006/relationships/hyperlink" Target="https://www.simplypsychology.org/questionnaires.html" TargetMode="External"/><Relationship Id="rId12" Type="http://schemas.openxmlformats.org/officeDocument/2006/relationships/hyperlink" Target="https://doi.org/10.1093/oxfordhb/9780190847388.013.9" TargetMode="External"/><Relationship Id="rId17" Type="http://schemas.openxmlformats.org/officeDocument/2006/relationships/hyperlink" Target="https://www.nicole-brown.co.uk/the-mosaic-approach-according-to-clark-and-moss/" TargetMode="External"/><Relationship Id="rId2" Type="http://schemas.openxmlformats.org/officeDocument/2006/relationships/settings" Target="settings.xml"/><Relationship Id="rId16" Type="http://schemas.openxmlformats.org/officeDocument/2006/relationships/hyperlink" Target="https://education.nsw.gov.au/teaching-and-learning/professional-learning/teacher-quality-and-accreditation/strong-start-great-teachers/refining-practice/peer-and-self-assessment-for-student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link.springer.com/article/10.1007/s10648-019-09510-3" TargetMode="External"/><Relationship Id="rId5" Type="http://schemas.openxmlformats.org/officeDocument/2006/relationships/hyperlink" Target="https://aspiringyouths.com/advantages-disadvantages/self-assessment/?utm_content=cmp-true" TargetMode="External"/><Relationship Id="rId15" Type="http://schemas.openxmlformats.org/officeDocument/2006/relationships/hyperlink" Target="https://doi.org/10.4324/9781315265858" TargetMode="External"/><Relationship Id="rId10" Type="http://schemas.openxmlformats.org/officeDocument/2006/relationships/hyperlink" Target="https://fmch.bmj.com/content/7/2/e000057" TargetMode="External"/><Relationship Id="rId19" Type="http://schemas.openxmlformats.org/officeDocument/2006/relationships/fontTable" Target="fontTable.xml"/><Relationship Id="rId4" Type="http://schemas.openxmlformats.org/officeDocument/2006/relationships/hyperlink" Target="https://www.researchgate.net/publication/301738442_Conducting_Semi-Structured_Interviews" TargetMode="External"/><Relationship Id="rId9" Type="http://schemas.openxmlformats.org/officeDocument/2006/relationships/hyperlink" Target="https://doi.org/10.1007/978-3-030-99295-8_2" TargetMode="External"/><Relationship Id="rId14" Type="http://schemas.openxmlformats.org/officeDocument/2006/relationships/hyperlink" Target="https://www.teaching.unsw.edu.au/peer-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9</Pages>
  <Words>3818</Words>
  <Characters>21768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9</cp:revision>
  <dcterms:created xsi:type="dcterms:W3CDTF">2024-04-11T10:17:00Z</dcterms:created>
  <dcterms:modified xsi:type="dcterms:W3CDTF">2024-04-18T08:08:00Z</dcterms:modified>
</cp:coreProperties>
</file>